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02E4E" w14:textId="77777777" w:rsidR="00EE5282" w:rsidRDefault="00154371" w:rsidP="00EE5282">
      <w:pPr>
        <w:spacing w:after="2040" w:line="240" w:lineRule="auto"/>
        <w:jc w:val="center"/>
      </w:pPr>
      <w:bookmarkStart w:id="0" w:name="_GoBack"/>
      <w:bookmarkEnd w:id="0"/>
      <w:r>
        <w:br/>
      </w:r>
      <w:r>
        <w:br/>
      </w:r>
      <w:r w:rsidR="00EE5282" w:rsidRPr="00E83F26">
        <w:rPr>
          <w:b/>
          <w:caps/>
          <w:noProof/>
        </w:rPr>
        <w:drawing>
          <wp:anchor distT="0" distB="0" distL="114300" distR="114300" simplePos="0" relativeHeight="251658240" behindDoc="1" locked="0" layoutInCell="1" allowOverlap="1" wp14:anchorId="3AB0F5E5" wp14:editId="31D61A80">
            <wp:simplePos x="1076325" y="1076325"/>
            <wp:positionH relativeFrom="page">
              <wp:align>center</wp:align>
            </wp:positionH>
            <wp:positionV relativeFrom="page">
              <wp:align>top</wp:align>
            </wp:positionV>
            <wp:extent cx="7558767" cy="10691999"/>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 Cover_headings.jpg"/>
                    <pic:cNvPicPr/>
                  </pic:nvPicPr>
                  <pic:blipFill>
                    <a:blip r:embed="rId14">
                      <a:extLst>
                        <a:ext uri="{28A0092B-C50C-407E-A947-70E740481C1C}">
                          <a14:useLocalDpi xmlns:a14="http://schemas.microsoft.com/office/drawing/2010/main" val="0"/>
                        </a:ext>
                      </a:extLst>
                    </a:blip>
                    <a:stretch>
                      <a:fillRect/>
                    </a:stretch>
                  </pic:blipFill>
                  <pic:spPr>
                    <a:xfrm>
                      <a:off x="0" y="0"/>
                      <a:ext cx="7558767" cy="10691999"/>
                    </a:xfrm>
                    <a:prstGeom prst="rect">
                      <a:avLst/>
                    </a:prstGeom>
                  </pic:spPr>
                </pic:pic>
              </a:graphicData>
            </a:graphic>
            <wp14:sizeRelH relativeFrom="margin">
              <wp14:pctWidth>0</wp14:pctWidth>
            </wp14:sizeRelH>
            <wp14:sizeRelV relativeFrom="margin">
              <wp14:pctHeight>0</wp14:pctHeight>
            </wp14:sizeRelV>
          </wp:anchor>
        </w:drawing>
      </w:r>
    </w:p>
    <w:p w14:paraId="657D2D5E" w14:textId="77777777" w:rsidR="00EE5282" w:rsidRPr="00622D85" w:rsidRDefault="00EE5282" w:rsidP="00EE5282">
      <w:pPr>
        <w:pStyle w:val="Title"/>
      </w:pPr>
      <w:r w:rsidRPr="00E806E0">
        <w:t>EXPLORING THE POTENTIAL TO ALIGN ACCOUNTING AND TAX SYSTEMS IN AUSTRALIA</w:t>
      </w:r>
    </w:p>
    <w:p w14:paraId="0E42507C" w14:textId="77777777" w:rsidR="00EE5282" w:rsidRDefault="00EE5282" w:rsidP="00EE5282">
      <w:pPr>
        <w:spacing w:line="240" w:lineRule="auto"/>
        <w:jc w:val="center"/>
        <w:rPr>
          <w:i/>
          <w:color w:val="FFFFFF" w:themeColor="background1"/>
          <w:sz w:val="44"/>
        </w:rPr>
      </w:pPr>
    </w:p>
    <w:p w14:paraId="211656A7" w14:textId="77777777" w:rsidR="00EE5282" w:rsidRDefault="00EE5282" w:rsidP="00EE5282">
      <w:pPr>
        <w:spacing w:line="240" w:lineRule="auto"/>
        <w:jc w:val="center"/>
        <w:rPr>
          <w:i/>
          <w:color w:val="FFFFFF" w:themeColor="background1"/>
          <w:sz w:val="44"/>
        </w:rPr>
      </w:pPr>
    </w:p>
    <w:p w14:paraId="71070195" w14:textId="77777777" w:rsidR="00EE5282" w:rsidRDefault="00EE5282" w:rsidP="00EE5282">
      <w:pPr>
        <w:spacing w:line="240" w:lineRule="auto"/>
        <w:jc w:val="center"/>
        <w:rPr>
          <w:i/>
          <w:color w:val="FFFFFF" w:themeColor="background1"/>
          <w:sz w:val="44"/>
        </w:rPr>
      </w:pPr>
    </w:p>
    <w:p w14:paraId="34D4A4D2" w14:textId="77777777" w:rsidR="00EE5282" w:rsidRDefault="00EE5282" w:rsidP="00EE5282">
      <w:pPr>
        <w:spacing w:line="240" w:lineRule="auto"/>
        <w:jc w:val="center"/>
        <w:rPr>
          <w:i/>
          <w:color w:val="FFFFFF" w:themeColor="background1"/>
          <w:sz w:val="44"/>
        </w:rPr>
      </w:pPr>
    </w:p>
    <w:p w14:paraId="5CC3D126" w14:textId="77777777" w:rsidR="00EE5282" w:rsidRDefault="00EE5282" w:rsidP="00EE5282">
      <w:pPr>
        <w:spacing w:line="240" w:lineRule="auto"/>
        <w:jc w:val="center"/>
        <w:rPr>
          <w:i/>
          <w:color w:val="FFFFFF" w:themeColor="background1"/>
          <w:sz w:val="44"/>
        </w:rPr>
      </w:pPr>
    </w:p>
    <w:p w14:paraId="5F3B75DF" w14:textId="77777777" w:rsidR="00EE5282" w:rsidRDefault="00EE5282" w:rsidP="00EE5282">
      <w:pPr>
        <w:spacing w:line="240" w:lineRule="auto"/>
        <w:jc w:val="center"/>
        <w:rPr>
          <w:i/>
          <w:color w:val="FFFFFF" w:themeColor="background1"/>
          <w:sz w:val="44"/>
        </w:rPr>
      </w:pPr>
    </w:p>
    <w:p w14:paraId="4F85C978" w14:textId="44EBB719" w:rsidR="00EE5282" w:rsidRDefault="00EE5282" w:rsidP="00EE5282">
      <w:pPr>
        <w:spacing w:line="240" w:lineRule="auto"/>
        <w:jc w:val="center"/>
        <w:rPr>
          <w:i/>
          <w:color w:val="FFFFFF" w:themeColor="background1"/>
          <w:sz w:val="44"/>
        </w:rPr>
      </w:pPr>
      <w:r>
        <w:rPr>
          <w:i/>
          <w:color w:val="FFFFFF" w:themeColor="background1"/>
          <w:sz w:val="44"/>
        </w:rPr>
        <w:t>T</w:t>
      </w:r>
      <w:r w:rsidRPr="00EE5282">
        <w:rPr>
          <w:i/>
          <w:color w:val="FFFFFF" w:themeColor="background1"/>
          <w:sz w:val="44"/>
        </w:rPr>
        <w:t>ax treatment of trading stock and accounting treatment of inventories</w:t>
      </w:r>
    </w:p>
    <w:p w14:paraId="08FE71E9" w14:textId="77777777" w:rsidR="00EE5282" w:rsidRDefault="00EE5282" w:rsidP="00EE5282">
      <w:pPr>
        <w:spacing w:line="240" w:lineRule="auto"/>
        <w:jc w:val="center"/>
        <w:rPr>
          <w:color w:val="FFFFFF" w:themeColor="background1"/>
          <w:sz w:val="56"/>
        </w:rPr>
      </w:pPr>
    </w:p>
    <w:p w14:paraId="5A8EE752" w14:textId="77777777" w:rsidR="00EE5282" w:rsidRDefault="00EE5282" w:rsidP="00EE5282">
      <w:pPr>
        <w:spacing w:line="240" w:lineRule="auto"/>
        <w:jc w:val="center"/>
        <w:rPr>
          <w:color w:val="FFFFFF" w:themeColor="background1"/>
          <w:sz w:val="56"/>
        </w:rPr>
      </w:pPr>
      <w:r>
        <w:rPr>
          <w:color w:val="FFFFFF" w:themeColor="background1"/>
          <w:sz w:val="56"/>
        </w:rPr>
        <w:t>July 2018</w:t>
      </w:r>
    </w:p>
    <w:p w14:paraId="374D0FC1" w14:textId="77777777" w:rsidR="00EE5282" w:rsidRDefault="00EE5282" w:rsidP="00EE5282">
      <w:pPr>
        <w:spacing w:line="240" w:lineRule="auto"/>
        <w:jc w:val="center"/>
        <w:sectPr w:rsidR="00EE5282" w:rsidSect="00894823">
          <w:headerReference w:type="even" r:id="rId15"/>
          <w:headerReference w:type="default" r:id="rId16"/>
          <w:footerReference w:type="even" r:id="rId17"/>
          <w:footerReference w:type="default" r:id="rId18"/>
          <w:footerReference w:type="first" r:id="rId19"/>
          <w:pgSz w:w="11909" w:h="16834" w:code="9"/>
          <w:pgMar w:top="1701" w:right="1701" w:bottom="1701" w:left="1701" w:header="851" w:footer="851" w:gutter="0"/>
          <w:cols w:space="708"/>
          <w:titlePg/>
          <w:docGrid w:linePitch="360"/>
        </w:sectPr>
      </w:pPr>
    </w:p>
    <w:p w14:paraId="22622639" w14:textId="2E2A620E" w:rsidR="00EE5282" w:rsidRDefault="00EE5282" w:rsidP="00EE5282">
      <w:r w:rsidRPr="00661BF0">
        <w:lastRenderedPageBreak/>
        <w:t xml:space="preserve">© Commonwealth of Australia </w:t>
      </w:r>
      <w:r w:rsidRPr="007D4EEC">
        <w:t>201</w:t>
      </w:r>
      <w:r w:rsidR="007D4EEC" w:rsidRPr="007D4EEC">
        <w:t>8</w:t>
      </w:r>
    </w:p>
    <w:p w14:paraId="2A611AA5" w14:textId="2072C794" w:rsidR="00EE5282" w:rsidRPr="00086F82" w:rsidRDefault="00EE5282" w:rsidP="00EE5282">
      <w:pPr>
        <w:rPr>
          <w:rFonts w:cstheme="minorBidi"/>
          <w:sz w:val="24"/>
          <w:szCs w:val="24"/>
        </w:rPr>
      </w:pPr>
      <w:r w:rsidRPr="002F1BC2">
        <w:t>This publication is available for your use under a</w:t>
      </w:r>
      <w:r w:rsidRPr="00476F09">
        <w:rPr>
          <w:rFonts w:cstheme="minorHAnsi"/>
          <w:sz w:val="24"/>
          <w:szCs w:val="24"/>
        </w:rPr>
        <w:t xml:space="preserve"> </w:t>
      </w:r>
      <w:hyperlink r:id="rId20"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21" w:history="1">
        <w:r w:rsidRPr="001F1B27">
          <w:rPr>
            <w:rStyle w:val="Hyperlink"/>
          </w:rPr>
          <w:t>http://creativecommons.org/licenses/by/3.0/au/legalcode</w:t>
        </w:r>
      </w:hyperlink>
      <w:r w:rsidRPr="006627B4">
        <w:rPr>
          <w:rStyle w:val="Hyperlink"/>
        </w:rPr>
        <w:t>.</w:t>
      </w:r>
      <w:r w:rsidRPr="00D06A21">
        <w:rPr>
          <w:sz w:val="24"/>
          <w:szCs w:val="24"/>
        </w:rPr>
        <w:t xml:space="preserve"> </w:t>
      </w:r>
    </w:p>
    <w:p w14:paraId="6A47FFC9" w14:textId="77777777" w:rsidR="00EE5282" w:rsidRDefault="00EE5282" w:rsidP="00EE5282">
      <w:pPr>
        <w:pStyle w:val="ChartGraphic"/>
        <w:spacing w:after="120"/>
        <w:jc w:val="left"/>
      </w:pPr>
      <w:r w:rsidRPr="00E56DFB">
        <w:rPr>
          <w:noProof/>
        </w:rPr>
        <w:drawing>
          <wp:inline distT="0" distB="0" distL="0" distR="0" wp14:anchorId="7DC35ED6" wp14:editId="4B1A3CBD">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672CA5AC" w14:textId="77777777" w:rsidR="00EE5282" w:rsidRPr="006627B4" w:rsidRDefault="00EE5282" w:rsidP="00EE5282">
      <w:r w:rsidRPr="006627B4">
        <w:t>Use of Treasury material under a</w:t>
      </w:r>
      <w:r w:rsidRPr="00476F09">
        <w:rPr>
          <w:rFonts w:cstheme="minorHAnsi"/>
          <w:sz w:val="24"/>
          <w:szCs w:val="24"/>
        </w:rPr>
        <w:t xml:space="preserve"> </w:t>
      </w:r>
      <w:hyperlink r:id="rId23"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36DCA7A7" w14:textId="77777777" w:rsidR="00EE5282" w:rsidRPr="006256BA" w:rsidRDefault="00EE5282" w:rsidP="00EE5282">
      <w:pPr>
        <w:spacing w:after="120"/>
        <w:rPr>
          <w:b/>
        </w:rPr>
      </w:pPr>
      <w:r w:rsidRPr="006256BA">
        <w:rPr>
          <w:b/>
        </w:rPr>
        <w:t>Treasury material used ‘as supplied’.</w:t>
      </w:r>
    </w:p>
    <w:p w14:paraId="4A188849" w14:textId="77777777" w:rsidR="00EE5282" w:rsidRPr="00476F09" w:rsidRDefault="00EE5282" w:rsidP="00EE5282">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2A313176" w14:textId="4495C574" w:rsidR="00EE5282" w:rsidRPr="00A13A11" w:rsidRDefault="00EE5282" w:rsidP="00EE5282">
      <w:pPr>
        <w:ind w:firstLine="720"/>
      </w:pPr>
      <w:r w:rsidRPr="002F1BC2">
        <w:rPr>
          <w:i/>
        </w:rPr>
        <w:t xml:space="preserve">Source: </w:t>
      </w:r>
      <w:r>
        <w:rPr>
          <w:i/>
        </w:rPr>
        <w:t>The Board of Taxation</w:t>
      </w:r>
      <w:r>
        <w:t>.</w:t>
      </w:r>
    </w:p>
    <w:p w14:paraId="3C4346A5" w14:textId="77777777" w:rsidR="00EE5282" w:rsidRPr="006256BA" w:rsidRDefault="00EE5282" w:rsidP="00EE5282">
      <w:pPr>
        <w:spacing w:after="120"/>
        <w:rPr>
          <w:b/>
        </w:rPr>
      </w:pPr>
      <w:r w:rsidRPr="006256BA">
        <w:rPr>
          <w:b/>
        </w:rPr>
        <w:t>Derivative material</w:t>
      </w:r>
    </w:p>
    <w:p w14:paraId="7BFA0C6B" w14:textId="77777777" w:rsidR="00EE5282" w:rsidRPr="006627B4" w:rsidRDefault="00EE5282" w:rsidP="00EE5282">
      <w:r w:rsidRPr="006627B4">
        <w:t xml:space="preserve">If you have modified or transformed Treasury material, or derived new material from those of the Treasury in any way, then Treasury prefers the following attribution: </w:t>
      </w:r>
    </w:p>
    <w:p w14:paraId="42BB54F7" w14:textId="03A0CD2A" w:rsidR="00EE5282" w:rsidRPr="006627B4" w:rsidRDefault="00EE5282" w:rsidP="00EE5282">
      <w:pPr>
        <w:ind w:firstLine="720"/>
      </w:pPr>
      <w:r w:rsidRPr="002F1BC2">
        <w:rPr>
          <w:i/>
        </w:rPr>
        <w:t xml:space="preserve">Based on </w:t>
      </w:r>
      <w:r>
        <w:rPr>
          <w:i/>
        </w:rPr>
        <w:t>the Board of Taxation</w:t>
      </w:r>
      <w:r w:rsidRPr="002F1BC2">
        <w:rPr>
          <w:i/>
        </w:rPr>
        <w:t xml:space="preserve"> data</w:t>
      </w:r>
      <w:r>
        <w:t>.</w:t>
      </w:r>
    </w:p>
    <w:p w14:paraId="27B75762" w14:textId="77777777" w:rsidR="00EE5282" w:rsidRPr="006256BA" w:rsidRDefault="00EE5282" w:rsidP="00EE5282">
      <w:pPr>
        <w:spacing w:before="240" w:after="120"/>
        <w:rPr>
          <w:b/>
        </w:rPr>
      </w:pPr>
      <w:r w:rsidRPr="006256BA">
        <w:rPr>
          <w:b/>
        </w:rPr>
        <w:t>Use of the Coat of Arms</w:t>
      </w:r>
    </w:p>
    <w:p w14:paraId="3FA0014D" w14:textId="77777777" w:rsidR="00EE5282" w:rsidRPr="006627B4" w:rsidRDefault="00EE5282" w:rsidP="00EE5282">
      <w:pPr>
        <w:jc w:val="left"/>
      </w:pPr>
      <w:r w:rsidRPr="00820CAF">
        <w:t xml:space="preserve">The terms under which the Coat of Arms can be used are set out on the </w:t>
      </w:r>
      <w:r>
        <w:br/>
      </w:r>
      <w:r w:rsidRPr="00820CAF">
        <w:t xml:space="preserve">Department of the Prime Minister and Cabinet website (see </w:t>
      </w:r>
      <w:r>
        <w:br/>
      </w:r>
      <w:hyperlink r:id="rId24" w:history="1">
        <w:r w:rsidRPr="00522C0B">
          <w:rPr>
            <w:rStyle w:val="Hyperlink"/>
          </w:rPr>
          <w:t>www.pmc.gov.au/government/commonwealth-coat-arms</w:t>
        </w:r>
      </w:hyperlink>
      <w:r w:rsidRPr="00820CAF">
        <w:t>.</w:t>
      </w:r>
    </w:p>
    <w:p w14:paraId="785EB160" w14:textId="77777777" w:rsidR="00EE5282" w:rsidRPr="006627B4" w:rsidRDefault="00EE5282" w:rsidP="00EE5282">
      <w:pPr>
        <w:spacing w:before="240" w:after="120"/>
        <w:rPr>
          <w:b/>
        </w:rPr>
      </w:pPr>
      <w:r>
        <w:rPr>
          <w:b/>
        </w:rPr>
        <w:t>Other u</w:t>
      </w:r>
      <w:r w:rsidRPr="006627B4">
        <w:rPr>
          <w:b/>
        </w:rPr>
        <w:t>ses</w:t>
      </w:r>
    </w:p>
    <w:p w14:paraId="63C797E0" w14:textId="77777777" w:rsidR="00EE5282" w:rsidRPr="006627B4" w:rsidRDefault="00EE5282" w:rsidP="00EE5282">
      <w:r>
        <w:t>E</w:t>
      </w:r>
      <w:r w:rsidRPr="006627B4">
        <w:t>nquiries regarding this licence and any other use of this document are welcome at:</w:t>
      </w:r>
    </w:p>
    <w:p w14:paraId="7B1A4AB5" w14:textId="77777777" w:rsidR="00EE5282" w:rsidRDefault="00EE5282" w:rsidP="00EE5282">
      <w:pPr>
        <w:ind w:left="720"/>
        <w:jc w:val="left"/>
        <w:rPr>
          <w:rStyle w:val="Hyperlink"/>
        </w:rPr>
        <w:sectPr w:rsidR="00EE5282" w:rsidSect="00CF6D38">
          <w:headerReference w:type="even" r:id="rId25"/>
          <w:headerReference w:type="default" r:id="rId26"/>
          <w:footerReference w:type="even" r:id="rId27"/>
          <w:footerReference w:type="default" r:id="rId28"/>
          <w:headerReference w:type="first" r:id="rId29"/>
          <w:footerReference w:type="first" r:id="rId30"/>
          <w:pgSz w:w="11909" w:h="16834" w:code="9"/>
          <w:pgMar w:top="1167" w:right="1701" w:bottom="1701" w:left="1701" w:header="851" w:footer="851" w:gutter="0"/>
          <w:cols w:space="708"/>
          <w:docGrid w:linePitch="360"/>
        </w:sectPr>
      </w:pPr>
      <w:r w:rsidRPr="006256BA">
        <w:t>Manager</w:t>
      </w:r>
      <w:r w:rsidRPr="006256BA">
        <w:br/>
        <w:t>Media and Speeches Unit</w:t>
      </w:r>
      <w:r w:rsidRPr="006256BA">
        <w:br/>
        <w:t>The Treasury</w:t>
      </w:r>
      <w:r w:rsidRPr="006256BA">
        <w:br/>
        <w:t>Langton Crescent</w:t>
      </w:r>
      <w:r w:rsidRPr="006627B4">
        <w:t xml:space="preserve">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31" w:history="1">
        <w:r w:rsidRPr="00B31CFB">
          <w:rPr>
            <w:rStyle w:val="Hyperlink"/>
          </w:rPr>
          <w:t>medialiaison@treasury.gov.au</w:t>
        </w:r>
      </w:hyperlink>
    </w:p>
    <w:p w14:paraId="6A912E43" w14:textId="0B28D903" w:rsidR="00EE5282" w:rsidRDefault="00EE5282" w:rsidP="00EE5282">
      <w:pPr>
        <w:pStyle w:val="PreChapterHeading"/>
      </w:pPr>
      <w:bookmarkStart w:id="1" w:name="_Toc519004387"/>
      <w:bookmarkStart w:id="2" w:name="_Toc519004779"/>
      <w:bookmarkStart w:id="3" w:name="_Toc519006440"/>
      <w:bookmarkStart w:id="4" w:name="_Toc519069918"/>
      <w:bookmarkStart w:id="5" w:name="_Toc520377806"/>
      <w:bookmarkStart w:id="6" w:name="_Toc467768024"/>
      <w:r>
        <w:lastRenderedPageBreak/>
        <w:t>Contents</w:t>
      </w:r>
      <w:bookmarkEnd w:id="1"/>
      <w:bookmarkEnd w:id="2"/>
      <w:bookmarkEnd w:id="3"/>
      <w:bookmarkEnd w:id="4"/>
      <w:bookmarkEnd w:id="5"/>
    </w:p>
    <w:p w14:paraId="1909BF63" w14:textId="77777777" w:rsidR="009D61B0" w:rsidRDefault="00EE5282">
      <w:pPr>
        <w:pStyle w:val="TOC1"/>
        <w:rPr>
          <w:rFonts w:asciiTheme="minorHAnsi" w:eastAsiaTheme="minorEastAsia" w:hAnsiTheme="minorHAnsi" w:cstheme="minorBidi"/>
          <w:b w:val="0"/>
          <w:smallCaps w:val="0"/>
          <w:noProof/>
          <w:color w:val="auto"/>
        </w:rPr>
      </w:pPr>
      <w:r>
        <w:rPr>
          <w:b w:val="0"/>
        </w:rPr>
        <w:fldChar w:fldCharType="begin"/>
      </w:r>
      <w:r>
        <w:rPr>
          <w:b w:val="0"/>
        </w:rPr>
        <w:instrText xml:space="preserve"> TOC \o "1-1" \t "Heading 2,2,PreChapterHeading,1" </w:instrText>
      </w:r>
      <w:r>
        <w:rPr>
          <w:b w:val="0"/>
        </w:rPr>
        <w:fldChar w:fldCharType="separate"/>
      </w:r>
      <w:r w:rsidR="009D61B0">
        <w:rPr>
          <w:noProof/>
        </w:rPr>
        <w:t>Contents</w:t>
      </w:r>
      <w:r w:rsidR="009D61B0">
        <w:rPr>
          <w:noProof/>
        </w:rPr>
        <w:tab/>
      </w:r>
      <w:r w:rsidR="009D61B0">
        <w:rPr>
          <w:noProof/>
        </w:rPr>
        <w:fldChar w:fldCharType="begin"/>
      </w:r>
      <w:r w:rsidR="009D61B0">
        <w:rPr>
          <w:noProof/>
        </w:rPr>
        <w:instrText xml:space="preserve"> PAGEREF _Toc520377806 \h </w:instrText>
      </w:r>
      <w:r w:rsidR="009D61B0">
        <w:rPr>
          <w:noProof/>
        </w:rPr>
      </w:r>
      <w:r w:rsidR="009D61B0">
        <w:rPr>
          <w:noProof/>
        </w:rPr>
        <w:fldChar w:fldCharType="separate"/>
      </w:r>
      <w:r w:rsidR="00A51FAF">
        <w:rPr>
          <w:noProof/>
        </w:rPr>
        <w:t>3</w:t>
      </w:r>
      <w:r w:rsidR="009D61B0">
        <w:rPr>
          <w:noProof/>
        </w:rPr>
        <w:fldChar w:fldCharType="end"/>
      </w:r>
    </w:p>
    <w:p w14:paraId="26000B2A" w14:textId="77777777" w:rsidR="009D61B0" w:rsidRDefault="009D61B0">
      <w:pPr>
        <w:pStyle w:val="TOC1"/>
        <w:rPr>
          <w:rFonts w:asciiTheme="minorHAnsi" w:eastAsiaTheme="minorEastAsia" w:hAnsiTheme="minorHAnsi" w:cstheme="minorBidi"/>
          <w:b w:val="0"/>
          <w:smallCaps w:val="0"/>
          <w:noProof/>
          <w:color w:val="auto"/>
        </w:rPr>
      </w:pPr>
      <w:r>
        <w:rPr>
          <w:noProof/>
        </w:rPr>
        <w:t>Executive summary</w:t>
      </w:r>
      <w:r>
        <w:rPr>
          <w:noProof/>
        </w:rPr>
        <w:tab/>
      </w:r>
      <w:r>
        <w:rPr>
          <w:noProof/>
        </w:rPr>
        <w:fldChar w:fldCharType="begin"/>
      </w:r>
      <w:r>
        <w:rPr>
          <w:noProof/>
        </w:rPr>
        <w:instrText xml:space="preserve"> PAGEREF _Toc520377807 \h </w:instrText>
      </w:r>
      <w:r>
        <w:rPr>
          <w:noProof/>
        </w:rPr>
      </w:r>
      <w:r>
        <w:rPr>
          <w:noProof/>
        </w:rPr>
        <w:fldChar w:fldCharType="separate"/>
      </w:r>
      <w:r w:rsidR="00A51FAF">
        <w:rPr>
          <w:noProof/>
        </w:rPr>
        <w:t>4</w:t>
      </w:r>
      <w:r>
        <w:rPr>
          <w:noProof/>
        </w:rPr>
        <w:fldChar w:fldCharType="end"/>
      </w:r>
    </w:p>
    <w:p w14:paraId="6AB907B2" w14:textId="77777777" w:rsidR="009D61B0" w:rsidRDefault="009D61B0">
      <w:pPr>
        <w:pStyle w:val="TOC1"/>
        <w:rPr>
          <w:rFonts w:asciiTheme="minorHAnsi" w:eastAsiaTheme="minorEastAsia" w:hAnsiTheme="minorHAnsi" w:cstheme="minorBidi"/>
          <w:b w:val="0"/>
          <w:smallCaps w:val="0"/>
          <w:noProof/>
          <w:color w:val="auto"/>
        </w:rPr>
      </w:pPr>
      <w:r>
        <w:rPr>
          <w:noProof/>
        </w:rPr>
        <w:t>Scope</w:t>
      </w:r>
      <w:r>
        <w:rPr>
          <w:noProof/>
        </w:rPr>
        <w:tab/>
      </w:r>
      <w:r>
        <w:rPr>
          <w:noProof/>
        </w:rPr>
        <w:fldChar w:fldCharType="begin"/>
      </w:r>
      <w:r>
        <w:rPr>
          <w:noProof/>
        </w:rPr>
        <w:instrText xml:space="preserve"> PAGEREF _Toc520377808 \h </w:instrText>
      </w:r>
      <w:r>
        <w:rPr>
          <w:noProof/>
        </w:rPr>
      </w:r>
      <w:r>
        <w:rPr>
          <w:noProof/>
        </w:rPr>
        <w:fldChar w:fldCharType="separate"/>
      </w:r>
      <w:r w:rsidR="00A51FAF">
        <w:rPr>
          <w:noProof/>
        </w:rPr>
        <w:t>5</w:t>
      </w:r>
      <w:r>
        <w:rPr>
          <w:noProof/>
        </w:rPr>
        <w:fldChar w:fldCharType="end"/>
      </w:r>
    </w:p>
    <w:p w14:paraId="576935C4" w14:textId="77777777" w:rsidR="009D61B0" w:rsidRDefault="009D61B0">
      <w:pPr>
        <w:pStyle w:val="TOC1"/>
        <w:rPr>
          <w:rFonts w:asciiTheme="minorHAnsi" w:eastAsiaTheme="minorEastAsia" w:hAnsiTheme="minorHAnsi" w:cstheme="minorBidi"/>
          <w:b w:val="0"/>
          <w:smallCaps w:val="0"/>
          <w:noProof/>
          <w:color w:val="auto"/>
        </w:rPr>
      </w:pPr>
      <w:r>
        <w:rPr>
          <w:noProof/>
        </w:rPr>
        <w:t>Glossary</w:t>
      </w:r>
      <w:r>
        <w:rPr>
          <w:noProof/>
        </w:rPr>
        <w:tab/>
      </w:r>
      <w:r>
        <w:rPr>
          <w:noProof/>
        </w:rPr>
        <w:fldChar w:fldCharType="begin"/>
      </w:r>
      <w:r>
        <w:rPr>
          <w:noProof/>
        </w:rPr>
        <w:instrText xml:space="preserve"> PAGEREF _Toc520377809 \h </w:instrText>
      </w:r>
      <w:r>
        <w:rPr>
          <w:noProof/>
        </w:rPr>
      </w:r>
      <w:r>
        <w:rPr>
          <w:noProof/>
        </w:rPr>
        <w:fldChar w:fldCharType="separate"/>
      </w:r>
      <w:r w:rsidR="00A51FAF">
        <w:rPr>
          <w:noProof/>
        </w:rPr>
        <w:t>6</w:t>
      </w:r>
      <w:r>
        <w:rPr>
          <w:noProof/>
        </w:rPr>
        <w:fldChar w:fldCharType="end"/>
      </w:r>
    </w:p>
    <w:p w14:paraId="7A4094F0" w14:textId="77777777" w:rsidR="009D61B0" w:rsidRDefault="009D61B0">
      <w:pPr>
        <w:pStyle w:val="TOC1"/>
        <w:rPr>
          <w:rFonts w:asciiTheme="minorHAnsi" w:eastAsiaTheme="minorEastAsia" w:hAnsiTheme="minorHAnsi" w:cstheme="minorBidi"/>
          <w:b w:val="0"/>
          <w:smallCaps w:val="0"/>
          <w:noProof/>
          <w:color w:val="auto"/>
        </w:rPr>
      </w:pPr>
      <w:r>
        <w:rPr>
          <w:noProof/>
        </w:rPr>
        <w:t>Chapter 1: Background</w:t>
      </w:r>
      <w:r>
        <w:rPr>
          <w:noProof/>
        </w:rPr>
        <w:tab/>
      </w:r>
      <w:r>
        <w:rPr>
          <w:noProof/>
        </w:rPr>
        <w:fldChar w:fldCharType="begin"/>
      </w:r>
      <w:r>
        <w:rPr>
          <w:noProof/>
        </w:rPr>
        <w:instrText xml:space="preserve"> PAGEREF _Toc520377810 \h </w:instrText>
      </w:r>
      <w:r>
        <w:rPr>
          <w:noProof/>
        </w:rPr>
      </w:r>
      <w:r>
        <w:rPr>
          <w:noProof/>
        </w:rPr>
        <w:fldChar w:fldCharType="separate"/>
      </w:r>
      <w:r w:rsidR="00A51FAF">
        <w:rPr>
          <w:noProof/>
        </w:rPr>
        <w:t>7</w:t>
      </w:r>
      <w:r>
        <w:rPr>
          <w:noProof/>
        </w:rPr>
        <w:fldChar w:fldCharType="end"/>
      </w:r>
    </w:p>
    <w:p w14:paraId="1A9EBB3E" w14:textId="77777777" w:rsidR="009D61B0" w:rsidRDefault="009D61B0">
      <w:pPr>
        <w:pStyle w:val="TOC2"/>
        <w:rPr>
          <w:rFonts w:asciiTheme="minorHAnsi" w:eastAsiaTheme="minorEastAsia" w:hAnsiTheme="minorHAnsi" w:cstheme="minorBidi"/>
          <w:noProof/>
          <w:color w:val="auto"/>
          <w:sz w:val="22"/>
          <w:szCs w:val="22"/>
        </w:rPr>
      </w:pPr>
      <w:r>
        <w:rPr>
          <w:noProof/>
        </w:rPr>
        <w:t>The income tax law and the accounting treatment</w:t>
      </w:r>
      <w:r>
        <w:rPr>
          <w:noProof/>
        </w:rPr>
        <w:tab/>
      </w:r>
      <w:r>
        <w:rPr>
          <w:noProof/>
        </w:rPr>
        <w:fldChar w:fldCharType="begin"/>
      </w:r>
      <w:r>
        <w:rPr>
          <w:noProof/>
        </w:rPr>
        <w:instrText xml:space="preserve"> PAGEREF _Toc520377811 \h </w:instrText>
      </w:r>
      <w:r>
        <w:rPr>
          <w:noProof/>
        </w:rPr>
      </w:r>
      <w:r>
        <w:rPr>
          <w:noProof/>
        </w:rPr>
        <w:fldChar w:fldCharType="separate"/>
      </w:r>
      <w:r w:rsidR="00A51FAF">
        <w:rPr>
          <w:noProof/>
        </w:rPr>
        <w:t>7</w:t>
      </w:r>
      <w:r>
        <w:rPr>
          <w:noProof/>
        </w:rPr>
        <w:fldChar w:fldCharType="end"/>
      </w:r>
    </w:p>
    <w:p w14:paraId="5681FD55" w14:textId="77777777" w:rsidR="009D61B0" w:rsidRDefault="009D61B0">
      <w:pPr>
        <w:pStyle w:val="TOC2"/>
        <w:rPr>
          <w:rFonts w:asciiTheme="minorHAnsi" w:eastAsiaTheme="minorEastAsia" w:hAnsiTheme="minorHAnsi" w:cstheme="minorBidi"/>
          <w:noProof/>
          <w:color w:val="auto"/>
          <w:sz w:val="22"/>
          <w:szCs w:val="22"/>
        </w:rPr>
      </w:pPr>
      <w:r>
        <w:rPr>
          <w:noProof/>
        </w:rPr>
        <w:t>Option evaluated by the Working Group</w:t>
      </w:r>
      <w:r>
        <w:rPr>
          <w:noProof/>
        </w:rPr>
        <w:tab/>
      </w:r>
      <w:r>
        <w:rPr>
          <w:noProof/>
        </w:rPr>
        <w:fldChar w:fldCharType="begin"/>
      </w:r>
      <w:r>
        <w:rPr>
          <w:noProof/>
        </w:rPr>
        <w:instrText xml:space="preserve"> PAGEREF _Toc520377812 \h </w:instrText>
      </w:r>
      <w:r>
        <w:rPr>
          <w:noProof/>
        </w:rPr>
      </w:r>
      <w:r>
        <w:rPr>
          <w:noProof/>
        </w:rPr>
        <w:fldChar w:fldCharType="separate"/>
      </w:r>
      <w:r w:rsidR="00A51FAF">
        <w:rPr>
          <w:noProof/>
        </w:rPr>
        <w:t>8</w:t>
      </w:r>
      <w:r>
        <w:rPr>
          <w:noProof/>
        </w:rPr>
        <w:fldChar w:fldCharType="end"/>
      </w:r>
    </w:p>
    <w:p w14:paraId="53E08E7A" w14:textId="77777777" w:rsidR="009D61B0" w:rsidRDefault="009D61B0">
      <w:pPr>
        <w:pStyle w:val="TOC2"/>
        <w:rPr>
          <w:rFonts w:asciiTheme="minorHAnsi" w:eastAsiaTheme="minorEastAsia" w:hAnsiTheme="minorHAnsi" w:cstheme="minorBidi"/>
          <w:noProof/>
          <w:color w:val="auto"/>
          <w:sz w:val="22"/>
          <w:szCs w:val="22"/>
        </w:rPr>
      </w:pPr>
      <w:r>
        <w:rPr>
          <w:noProof/>
        </w:rPr>
        <w:t>Review and consultation process</w:t>
      </w:r>
      <w:r>
        <w:rPr>
          <w:noProof/>
        </w:rPr>
        <w:tab/>
      </w:r>
      <w:r>
        <w:rPr>
          <w:noProof/>
        </w:rPr>
        <w:fldChar w:fldCharType="begin"/>
      </w:r>
      <w:r>
        <w:rPr>
          <w:noProof/>
        </w:rPr>
        <w:instrText xml:space="preserve"> PAGEREF _Toc520377813 \h </w:instrText>
      </w:r>
      <w:r>
        <w:rPr>
          <w:noProof/>
        </w:rPr>
      </w:r>
      <w:r>
        <w:rPr>
          <w:noProof/>
        </w:rPr>
        <w:fldChar w:fldCharType="separate"/>
      </w:r>
      <w:r w:rsidR="00A51FAF">
        <w:rPr>
          <w:noProof/>
        </w:rPr>
        <w:t>10</w:t>
      </w:r>
      <w:r>
        <w:rPr>
          <w:noProof/>
        </w:rPr>
        <w:fldChar w:fldCharType="end"/>
      </w:r>
    </w:p>
    <w:p w14:paraId="68C6CE09" w14:textId="77777777" w:rsidR="009D61B0" w:rsidRDefault="009D61B0">
      <w:pPr>
        <w:pStyle w:val="TOC1"/>
        <w:rPr>
          <w:rFonts w:asciiTheme="minorHAnsi" w:eastAsiaTheme="minorEastAsia" w:hAnsiTheme="minorHAnsi" w:cstheme="minorBidi"/>
          <w:b w:val="0"/>
          <w:smallCaps w:val="0"/>
          <w:noProof/>
          <w:color w:val="auto"/>
        </w:rPr>
      </w:pPr>
      <w:r>
        <w:rPr>
          <w:noProof/>
        </w:rPr>
        <w:t xml:space="preserve"> Chapter 2: Analysis</w:t>
      </w:r>
      <w:r>
        <w:rPr>
          <w:noProof/>
        </w:rPr>
        <w:tab/>
      </w:r>
      <w:r>
        <w:rPr>
          <w:noProof/>
        </w:rPr>
        <w:fldChar w:fldCharType="begin"/>
      </w:r>
      <w:r>
        <w:rPr>
          <w:noProof/>
        </w:rPr>
        <w:instrText xml:space="preserve"> PAGEREF _Toc520377814 \h </w:instrText>
      </w:r>
      <w:r>
        <w:rPr>
          <w:noProof/>
        </w:rPr>
      </w:r>
      <w:r>
        <w:rPr>
          <w:noProof/>
        </w:rPr>
        <w:fldChar w:fldCharType="separate"/>
      </w:r>
      <w:r w:rsidR="00A51FAF">
        <w:rPr>
          <w:noProof/>
        </w:rPr>
        <w:t>11</w:t>
      </w:r>
      <w:r>
        <w:rPr>
          <w:noProof/>
        </w:rPr>
        <w:fldChar w:fldCharType="end"/>
      </w:r>
    </w:p>
    <w:p w14:paraId="2DDB28CE" w14:textId="77777777" w:rsidR="009D61B0" w:rsidRDefault="009D61B0">
      <w:pPr>
        <w:pStyle w:val="TOC2"/>
        <w:rPr>
          <w:rFonts w:asciiTheme="minorHAnsi" w:eastAsiaTheme="minorEastAsia" w:hAnsiTheme="minorHAnsi" w:cstheme="minorBidi"/>
          <w:noProof/>
          <w:color w:val="auto"/>
          <w:sz w:val="22"/>
          <w:szCs w:val="22"/>
        </w:rPr>
      </w:pPr>
      <w:r>
        <w:rPr>
          <w:noProof/>
        </w:rPr>
        <w:t>Background and history of existing law</w:t>
      </w:r>
      <w:r>
        <w:rPr>
          <w:noProof/>
        </w:rPr>
        <w:tab/>
      </w:r>
      <w:r>
        <w:rPr>
          <w:noProof/>
        </w:rPr>
        <w:fldChar w:fldCharType="begin"/>
      </w:r>
      <w:r>
        <w:rPr>
          <w:noProof/>
        </w:rPr>
        <w:instrText xml:space="preserve"> PAGEREF _Toc520377815 \h </w:instrText>
      </w:r>
      <w:r>
        <w:rPr>
          <w:noProof/>
        </w:rPr>
      </w:r>
      <w:r>
        <w:rPr>
          <w:noProof/>
        </w:rPr>
        <w:fldChar w:fldCharType="separate"/>
      </w:r>
      <w:r w:rsidR="00A51FAF">
        <w:rPr>
          <w:noProof/>
        </w:rPr>
        <w:t>11</w:t>
      </w:r>
      <w:r>
        <w:rPr>
          <w:noProof/>
        </w:rPr>
        <w:fldChar w:fldCharType="end"/>
      </w:r>
    </w:p>
    <w:p w14:paraId="4BB93223" w14:textId="77777777" w:rsidR="009D61B0" w:rsidRDefault="009D61B0">
      <w:pPr>
        <w:pStyle w:val="TOC2"/>
        <w:rPr>
          <w:rFonts w:asciiTheme="minorHAnsi" w:eastAsiaTheme="minorEastAsia" w:hAnsiTheme="minorHAnsi" w:cstheme="minorBidi"/>
          <w:noProof/>
          <w:color w:val="auto"/>
          <w:sz w:val="22"/>
          <w:szCs w:val="22"/>
        </w:rPr>
      </w:pPr>
      <w:r>
        <w:rPr>
          <w:noProof/>
        </w:rPr>
        <w:t>Application of existing law</w:t>
      </w:r>
      <w:r>
        <w:rPr>
          <w:noProof/>
        </w:rPr>
        <w:tab/>
      </w:r>
      <w:r>
        <w:rPr>
          <w:noProof/>
        </w:rPr>
        <w:fldChar w:fldCharType="begin"/>
      </w:r>
      <w:r>
        <w:rPr>
          <w:noProof/>
        </w:rPr>
        <w:instrText xml:space="preserve"> PAGEREF _Toc520377816 \h </w:instrText>
      </w:r>
      <w:r>
        <w:rPr>
          <w:noProof/>
        </w:rPr>
      </w:r>
      <w:r>
        <w:rPr>
          <w:noProof/>
        </w:rPr>
        <w:fldChar w:fldCharType="separate"/>
      </w:r>
      <w:r w:rsidR="00A51FAF">
        <w:rPr>
          <w:noProof/>
        </w:rPr>
        <w:t>12</w:t>
      </w:r>
      <w:r>
        <w:rPr>
          <w:noProof/>
        </w:rPr>
        <w:fldChar w:fldCharType="end"/>
      </w:r>
    </w:p>
    <w:p w14:paraId="1AC5579C" w14:textId="77777777" w:rsidR="009D61B0" w:rsidRDefault="009D61B0">
      <w:pPr>
        <w:pStyle w:val="TOC2"/>
        <w:rPr>
          <w:rFonts w:asciiTheme="minorHAnsi" w:eastAsiaTheme="minorEastAsia" w:hAnsiTheme="minorHAnsi" w:cstheme="minorBidi"/>
          <w:noProof/>
          <w:color w:val="auto"/>
          <w:sz w:val="22"/>
          <w:szCs w:val="22"/>
        </w:rPr>
      </w:pPr>
      <w:r>
        <w:rPr>
          <w:noProof/>
        </w:rPr>
        <w:t>Taxpayer trading stock valuation methodology approaches</w:t>
      </w:r>
      <w:r>
        <w:rPr>
          <w:noProof/>
        </w:rPr>
        <w:tab/>
      </w:r>
      <w:r>
        <w:rPr>
          <w:noProof/>
        </w:rPr>
        <w:fldChar w:fldCharType="begin"/>
      </w:r>
      <w:r>
        <w:rPr>
          <w:noProof/>
        </w:rPr>
        <w:instrText xml:space="preserve"> PAGEREF _Toc520377817 \h </w:instrText>
      </w:r>
      <w:r>
        <w:rPr>
          <w:noProof/>
        </w:rPr>
      </w:r>
      <w:r>
        <w:rPr>
          <w:noProof/>
        </w:rPr>
        <w:fldChar w:fldCharType="separate"/>
      </w:r>
      <w:r w:rsidR="00A51FAF">
        <w:rPr>
          <w:noProof/>
        </w:rPr>
        <w:t>14</w:t>
      </w:r>
      <w:r>
        <w:rPr>
          <w:noProof/>
        </w:rPr>
        <w:fldChar w:fldCharType="end"/>
      </w:r>
    </w:p>
    <w:p w14:paraId="1FBECEEB" w14:textId="77777777" w:rsidR="009D61B0" w:rsidRDefault="009D61B0">
      <w:pPr>
        <w:pStyle w:val="TOC2"/>
        <w:rPr>
          <w:rFonts w:asciiTheme="minorHAnsi" w:eastAsiaTheme="minorEastAsia" w:hAnsiTheme="minorHAnsi" w:cstheme="minorBidi"/>
          <w:noProof/>
          <w:color w:val="auto"/>
          <w:sz w:val="22"/>
          <w:szCs w:val="22"/>
        </w:rPr>
      </w:pPr>
      <w:r>
        <w:rPr>
          <w:noProof/>
        </w:rPr>
        <w:t>Interim conclusion – efficiency grounds for proposed option</w:t>
      </w:r>
      <w:r>
        <w:rPr>
          <w:noProof/>
        </w:rPr>
        <w:tab/>
      </w:r>
      <w:r>
        <w:rPr>
          <w:noProof/>
        </w:rPr>
        <w:fldChar w:fldCharType="begin"/>
      </w:r>
      <w:r>
        <w:rPr>
          <w:noProof/>
        </w:rPr>
        <w:instrText xml:space="preserve"> PAGEREF _Toc520377818 \h </w:instrText>
      </w:r>
      <w:r>
        <w:rPr>
          <w:noProof/>
        </w:rPr>
      </w:r>
      <w:r>
        <w:rPr>
          <w:noProof/>
        </w:rPr>
        <w:fldChar w:fldCharType="separate"/>
      </w:r>
      <w:r w:rsidR="00A51FAF">
        <w:rPr>
          <w:noProof/>
        </w:rPr>
        <w:t>14</w:t>
      </w:r>
      <w:r>
        <w:rPr>
          <w:noProof/>
        </w:rPr>
        <w:fldChar w:fldCharType="end"/>
      </w:r>
    </w:p>
    <w:p w14:paraId="7614DFA4" w14:textId="77777777" w:rsidR="009D61B0" w:rsidRDefault="009D61B0">
      <w:pPr>
        <w:pStyle w:val="TOC2"/>
        <w:rPr>
          <w:rFonts w:asciiTheme="minorHAnsi" w:eastAsiaTheme="minorEastAsia" w:hAnsiTheme="minorHAnsi" w:cstheme="minorBidi"/>
          <w:noProof/>
          <w:color w:val="auto"/>
          <w:sz w:val="22"/>
          <w:szCs w:val="22"/>
        </w:rPr>
      </w:pPr>
      <w:r>
        <w:rPr>
          <w:noProof/>
        </w:rPr>
        <w:t>Additional considerations</w:t>
      </w:r>
      <w:r>
        <w:rPr>
          <w:noProof/>
        </w:rPr>
        <w:tab/>
      </w:r>
      <w:r>
        <w:rPr>
          <w:noProof/>
        </w:rPr>
        <w:fldChar w:fldCharType="begin"/>
      </w:r>
      <w:r>
        <w:rPr>
          <w:noProof/>
        </w:rPr>
        <w:instrText xml:space="preserve"> PAGEREF _Toc520377819 \h </w:instrText>
      </w:r>
      <w:r>
        <w:rPr>
          <w:noProof/>
        </w:rPr>
      </w:r>
      <w:r>
        <w:rPr>
          <w:noProof/>
        </w:rPr>
        <w:fldChar w:fldCharType="separate"/>
      </w:r>
      <w:r w:rsidR="00A51FAF">
        <w:rPr>
          <w:noProof/>
        </w:rPr>
        <w:t>14</w:t>
      </w:r>
      <w:r>
        <w:rPr>
          <w:noProof/>
        </w:rPr>
        <w:fldChar w:fldCharType="end"/>
      </w:r>
    </w:p>
    <w:p w14:paraId="44923CEF" w14:textId="77777777" w:rsidR="00EE5282" w:rsidRDefault="00EE5282" w:rsidP="00EE5282">
      <w:r>
        <w:rPr>
          <w:rFonts w:ascii="Arial Bold" w:hAnsi="Arial Bold"/>
          <w:b/>
          <w:color w:val="000080"/>
        </w:rPr>
        <w:fldChar w:fldCharType="end"/>
      </w:r>
    </w:p>
    <w:p w14:paraId="0D1CB327" w14:textId="77777777" w:rsidR="00EE5282" w:rsidRPr="00EE5282" w:rsidRDefault="00EE5282" w:rsidP="00EE5282"/>
    <w:p w14:paraId="072AAC83" w14:textId="77777777" w:rsidR="00EE5282" w:rsidRPr="00EE5282" w:rsidRDefault="00EE5282" w:rsidP="00EE5282">
      <w:pPr>
        <w:sectPr w:rsidR="00EE5282" w:rsidRPr="00EE5282" w:rsidSect="00894823">
          <w:headerReference w:type="even" r:id="rId32"/>
          <w:headerReference w:type="default" r:id="rId33"/>
          <w:footerReference w:type="even" r:id="rId34"/>
          <w:footerReference w:type="default" r:id="rId35"/>
          <w:headerReference w:type="first" r:id="rId36"/>
          <w:pgSz w:w="11909" w:h="16834" w:code="9"/>
          <w:pgMar w:top="1701" w:right="1701" w:bottom="1701" w:left="1701" w:header="851" w:footer="851" w:gutter="0"/>
          <w:cols w:space="708"/>
          <w:titlePg/>
          <w:docGrid w:linePitch="360"/>
        </w:sectPr>
      </w:pPr>
    </w:p>
    <w:p w14:paraId="3870B650" w14:textId="687D2C10" w:rsidR="00DD18CB" w:rsidRDefault="00154371" w:rsidP="007F5413">
      <w:pPr>
        <w:pStyle w:val="PreChapterHeading"/>
      </w:pPr>
      <w:bookmarkStart w:id="7" w:name="_Toc520377807"/>
      <w:bookmarkEnd w:id="6"/>
      <w:r>
        <w:lastRenderedPageBreak/>
        <w:t>Executive summary</w:t>
      </w:r>
      <w:bookmarkEnd w:id="7"/>
    </w:p>
    <w:p w14:paraId="557CBBFE" w14:textId="7F9CE42E" w:rsidR="001908E9" w:rsidRDefault="001908E9" w:rsidP="001908E9">
      <w:r>
        <w:t xml:space="preserve">The Board </w:t>
      </w:r>
      <w:r w:rsidR="000F2D08">
        <w:t xml:space="preserve">of Taxation (the Board) </w:t>
      </w:r>
      <w:r w:rsidR="009C3375">
        <w:t>undertook a self-initiated review and</w:t>
      </w:r>
      <w:r>
        <w:t xml:space="preserve"> considered whether there </w:t>
      </w:r>
      <w:r w:rsidR="007577C4">
        <w:t xml:space="preserve">exists </w:t>
      </w:r>
      <w:r>
        <w:t xml:space="preserve">a compelling case for legislative reform to provide for </w:t>
      </w:r>
      <w:r w:rsidR="007577C4">
        <w:t xml:space="preserve">simplification through </w:t>
      </w:r>
      <w:r>
        <w:t>greater alignment between the tax treatment of trading stock and the accounting treatment of inventories.</w:t>
      </w:r>
      <w:r w:rsidR="00C160D7">
        <w:t xml:space="preserve">  The specific option explored by the </w:t>
      </w:r>
      <w:r w:rsidR="00347A63">
        <w:t xml:space="preserve">Board </w:t>
      </w:r>
      <w:r w:rsidR="00C160D7">
        <w:t xml:space="preserve">was to amend the tax law to allow taxpayers to rely on an asset’s cost, as determined for financial accounting purposes, as </w:t>
      </w:r>
      <w:r w:rsidR="00C160D7" w:rsidRPr="008A3FFF">
        <w:t>an optional additional valuation method</w:t>
      </w:r>
      <w:r w:rsidR="00C160D7">
        <w:t xml:space="preserve"> for trading stock.</w:t>
      </w:r>
    </w:p>
    <w:p w14:paraId="484FA068" w14:textId="1AECD4B0" w:rsidR="00C160D7" w:rsidRDefault="00C160D7" w:rsidP="001908E9">
      <w:r>
        <w:t xml:space="preserve">Following a process of targeted consultation with stakeholders and internal deliberation, the </w:t>
      </w:r>
      <w:r w:rsidR="00347A63">
        <w:t xml:space="preserve">Board </w:t>
      </w:r>
      <w:r>
        <w:t xml:space="preserve">is of the view that the tax law should not be amended in this way.  The </w:t>
      </w:r>
      <w:r w:rsidR="00347A63">
        <w:t xml:space="preserve">Board </w:t>
      </w:r>
      <w:r>
        <w:t>considers that:</w:t>
      </w:r>
    </w:p>
    <w:p w14:paraId="788BF130" w14:textId="57F4C438" w:rsidR="00E917DA" w:rsidRDefault="00E917DA" w:rsidP="00E917DA">
      <w:pPr>
        <w:pStyle w:val="Bullet"/>
      </w:pPr>
      <w:r>
        <w:t xml:space="preserve">Such an amendment would represent a systemic risk to </w:t>
      </w:r>
      <w:r w:rsidR="00282D9F">
        <w:t>r</w:t>
      </w:r>
      <w:r>
        <w:t>evenue and could create integrity issues; and</w:t>
      </w:r>
    </w:p>
    <w:p w14:paraId="23C2A074" w14:textId="74CFF4A5" w:rsidR="00C160D7" w:rsidRDefault="00C160D7" w:rsidP="00C160D7">
      <w:pPr>
        <w:pStyle w:val="Bullet"/>
      </w:pPr>
      <w:r>
        <w:t xml:space="preserve">Such an amendment would not significantly reduce compliance costs for most taxpayers or enforcement costs for the </w:t>
      </w:r>
      <w:r w:rsidR="00434DFC">
        <w:t>ATO</w:t>
      </w:r>
      <w:r w:rsidR="00E917DA">
        <w:t>.</w:t>
      </w:r>
    </w:p>
    <w:p w14:paraId="2BF7F3A4" w14:textId="05E7780C" w:rsidR="00A95CFA" w:rsidRDefault="00A95CFA" w:rsidP="00B33DDA">
      <w:pPr>
        <w:pStyle w:val="Bullet"/>
        <w:numPr>
          <w:ilvl w:val="0"/>
          <w:numId w:val="0"/>
        </w:numPr>
      </w:pPr>
      <w:r>
        <w:t>The ex officio members of the Board — the Secretary of the Treasury, John Fraser, the Commissioner of Taxation, Chris Jordan AO, and the First Parliamentary Counsel, Peter Quiggin PSM — have reserved their final views on the observations and recommendations for advice to Government.</w:t>
      </w:r>
    </w:p>
    <w:p w14:paraId="7493DCC1" w14:textId="6887A221" w:rsidR="00154371" w:rsidRDefault="00154371" w:rsidP="007F5413">
      <w:pPr>
        <w:pStyle w:val="PreChapterHeading"/>
      </w:pPr>
      <w:bookmarkStart w:id="8" w:name="_Toc520377808"/>
      <w:r>
        <w:lastRenderedPageBreak/>
        <w:t>Scope</w:t>
      </w:r>
      <w:bookmarkEnd w:id="8"/>
    </w:p>
    <w:p w14:paraId="2CD7DD9D" w14:textId="68E963E9" w:rsidR="00957A0C" w:rsidRDefault="00957A0C" w:rsidP="00154371">
      <w:r>
        <w:t xml:space="preserve">In 2016 the Board </w:t>
      </w:r>
      <w:r w:rsidR="00E55A3E">
        <w:t xml:space="preserve">commenced </w:t>
      </w:r>
      <w:r w:rsidR="009C3375">
        <w:t>a self-initiated review</w:t>
      </w:r>
      <w:r>
        <w:t xml:space="preserve"> to </w:t>
      </w:r>
      <w:r w:rsidRPr="00957A0C">
        <w:t xml:space="preserve">develop potential solutions for greater alignment of tax and accounting treatments to reduce the compliance and administrative burden of complying with two different systems for taxpayers that produce financial statements. </w:t>
      </w:r>
      <w:r>
        <w:t xml:space="preserve"> This involved identifying specific opportunities for greater alignment between tax and accounting treatments by considering interactions between the two systems.  </w:t>
      </w:r>
    </w:p>
    <w:p w14:paraId="3FDEE2AA" w14:textId="793BD550" w:rsidR="006D2D97" w:rsidRDefault="00C354F9" w:rsidP="00154371">
      <w:r>
        <w:t xml:space="preserve">To investigate these matters, the Board formed a Working Group, which was chaired by Board Member Craig Yaxley and supported by </w:t>
      </w:r>
      <w:r w:rsidR="003A490D">
        <w:t xml:space="preserve">Board Member </w:t>
      </w:r>
      <w:r>
        <w:t xml:space="preserve">Ann-Maree Wolff.  The Board also received </w:t>
      </w:r>
      <w:r w:rsidR="00974026">
        <w:t xml:space="preserve">high level </w:t>
      </w:r>
      <w:r>
        <w:t xml:space="preserve">input from </w:t>
      </w:r>
      <w:r w:rsidR="00282D9F">
        <w:t>AASB</w:t>
      </w:r>
      <w:r w:rsidR="00597D6D">
        <w:t xml:space="preserve"> staff</w:t>
      </w:r>
      <w:r w:rsidR="00977F23">
        <w:t>,</w:t>
      </w:r>
      <w:r w:rsidR="00283DEA">
        <w:t xml:space="preserve"> input from the</w:t>
      </w:r>
      <w:r w:rsidR="00977F23">
        <w:t xml:space="preserve"> </w:t>
      </w:r>
      <w:r w:rsidR="00282D9F">
        <w:t>ATO</w:t>
      </w:r>
      <w:r w:rsidR="00977F23">
        <w:t xml:space="preserve"> </w:t>
      </w:r>
      <w:r>
        <w:t xml:space="preserve">and the Treasury.  </w:t>
      </w:r>
    </w:p>
    <w:p w14:paraId="28880156" w14:textId="28B7158E" w:rsidR="000E7E4A" w:rsidRDefault="000E7E4A" w:rsidP="00154371">
      <w:r>
        <w:t xml:space="preserve">In order to determine priorities, the Working Group consulted with the </w:t>
      </w:r>
      <w:r w:rsidRPr="000E7E4A">
        <w:t>ATO’s Tax and Accounting Safe Harbour Working Group</w:t>
      </w:r>
      <w:r>
        <w:t xml:space="preserve">.  </w:t>
      </w:r>
    </w:p>
    <w:p w14:paraId="3A1ED405" w14:textId="5014D609" w:rsidR="00D97040" w:rsidRDefault="00D97040" w:rsidP="00154371">
      <w:r>
        <w:t>The Board</w:t>
      </w:r>
      <w:r w:rsidR="00347A63">
        <w:t xml:space="preserve"> </w:t>
      </w:r>
      <w:r w:rsidR="007577C4">
        <w:t xml:space="preserve">concluded </w:t>
      </w:r>
      <w:r>
        <w:t>that</w:t>
      </w:r>
      <w:r w:rsidR="00154371">
        <w:t xml:space="preserve"> </w:t>
      </w:r>
      <w:r>
        <w:t>broad-</w:t>
      </w:r>
      <w:r w:rsidR="00154371" w:rsidRPr="0066390F">
        <w:t xml:space="preserve">spectrum alignment between the accounting and tax system </w:t>
      </w:r>
      <w:r>
        <w:t xml:space="preserve">within Australia’s current taxation framework </w:t>
      </w:r>
      <w:r w:rsidR="00154371" w:rsidRPr="0066390F">
        <w:t>would be</w:t>
      </w:r>
      <w:r>
        <w:t xml:space="preserve"> neither feasible nor desirable, given the disparate purposes of the tax and accounting systems. </w:t>
      </w:r>
    </w:p>
    <w:p w14:paraId="3A9C676B" w14:textId="4BB88D78" w:rsidR="00154371" w:rsidRPr="0066390F" w:rsidRDefault="00D97040" w:rsidP="00154371">
      <w:r>
        <w:t>The t</w:t>
      </w:r>
      <w:r w:rsidR="00154371" w:rsidRPr="0066390F">
        <w:t xml:space="preserve">ax laws provide a legal basis for raising revenue </w:t>
      </w:r>
      <w:r>
        <w:t>to fund Government expenditure as well as, in some cases, serving as a policy implementation tool, by intentionally creating economic incentives and disincentives to certain types of behaviour.</w:t>
      </w:r>
    </w:p>
    <w:p w14:paraId="1D383B21" w14:textId="080F29D6" w:rsidR="00154371" w:rsidRPr="0066390F" w:rsidRDefault="00154371" w:rsidP="00154371">
      <w:r w:rsidRPr="0066390F">
        <w:t xml:space="preserve">Accounting standards exist to guide the </w:t>
      </w:r>
      <w:r w:rsidR="00D97040">
        <w:t xml:space="preserve">reporting </w:t>
      </w:r>
      <w:r w:rsidRPr="0066390F">
        <w:t xml:space="preserve">of financial information to </w:t>
      </w:r>
      <w:r w:rsidR="00D97040">
        <w:t xml:space="preserve">organisation stakeholders </w:t>
      </w:r>
      <w:r w:rsidRPr="0066390F">
        <w:t xml:space="preserve">and support </w:t>
      </w:r>
      <w:r w:rsidR="00D97040">
        <w:t xml:space="preserve">a range of </w:t>
      </w:r>
      <w:r w:rsidRPr="0066390F">
        <w:t xml:space="preserve">decision making </w:t>
      </w:r>
      <w:r w:rsidR="00D97040">
        <w:t xml:space="preserve">(e.g. </w:t>
      </w:r>
      <w:r w:rsidRPr="0066390F">
        <w:t>in relation to investment</w:t>
      </w:r>
      <w:r w:rsidR="00D97040">
        <w:t>, lending, trading transactions)</w:t>
      </w:r>
      <w:r w:rsidRPr="0066390F">
        <w:t xml:space="preserve">. </w:t>
      </w:r>
    </w:p>
    <w:p w14:paraId="16C81CF7" w14:textId="76175CFF" w:rsidR="00D97040" w:rsidRDefault="00D97040" w:rsidP="00154371">
      <w:r>
        <w:t xml:space="preserve">However, the </w:t>
      </w:r>
      <w:r w:rsidR="00347A63">
        <w:t xml:space="preserve">Board </w:t>
      </w:r>
      <w:r w:rsidR="007577C4">
        <w:t xml:space="preserve">acknowledged </w:t>
      </w:r>
      <w:r>
        <w:t>that t</w:t>
      </w:r>
      <w:r w:rsidRPr="0066390F">
        <w:t xml:space="preserve">here </w:t>
      </w:r>
      <w:r>
        <w:t>may be particular areas of the tax law where greater alignment with accounting practices can create net benefits by reducing compliance costs and improving certainty</w:t>
      </w:r>
      <w:r w:rsidR="007577C4">
        <w:t>,</w:t>
      </w:r>
      <w:r>
        <w:t xml:space="preserve"> without prejudicing tax policy objectives.</w:t>
      </w:r>
    </w:p>
    <w:p w14:paraId="5465431A" w14:textId="328D5E2A" w:rsidR="00154371" w:rsidRDefault="00D97040" w:rsidP="00154371">
      <w:r>
        <w:t xml:space="preserve">The </w:t>
      </w:r>
      <w:r w:rsidR="00347A63">
        <w:t xml:space="preserve">Board </w:t>
      </w:r>
      <w:r>
        <w:t>considers that it is appropriate to consider such areas on a case-by-case basis</w:t>
      </w:r>
      <w:r w:rsidR="00A516B4">
        <w:t xml:space="preserve"> to identify situations where greater alignment could be warranted and could be achieved in a simple and targeted fashion.</w:t>
      </w:r>
    </w:p>
    <w:p w14:paraId="6502239B" w14:textId="746235D0" w:rsidR="007F5413" w:rsidRDefault="00A516B4" w:rsidP="005E1688">
      <w:r>
        <w:t xml:space="preserve">Based on submissions from stakeholders in the business community, the </w:t>
      </w:r>
      <w:r w:rsidR="00347A63">
        <w:t>Working Group</w:t>
      </w:r>
      <w:r>
        <w:t xml:space="preserve"> considered whether there was likely a net benefit from greater alignment between the tax treatment of trading stock and the accounting treatment of inventories.</w:t>
      </w:r>
    </w:p>
    <w:p w14:paraId="027D61F4" w14:textId="1E1CD26B" w:rsidR="007F5413" w:rsidRDefault="005E1688" w:rsidP="005E1688">
      <w:pPr>
        <w:sectPr w:rsidR="007F5413" w:rsidSect="00894823">
          <w:pgSz w:w="11909" w:h="16834" w:code="9"/>
          <w:pgMar w:top="1701" w:right="1701" w:bottom="1701" w:left="1701" w:header="851" w:footer="851" w:gutter="0"/>
          <w:cols w:space="708"/>
          <w:titlePg/>
          <w:docGrid w:linePitch="360"/>
        </w:sectPr>
      </w:pPr>
      <w:r>
        <w:t xml:space="preserve">  </w:t>
      </w:r>
    </w:p>
    <w:p w14:paraId="79FEA243" w14:textId="39D2245A" w:rsidR="007F5413" w:rsidRDefault="007F5413" w:rsidP="007F5413">
      <w:pPr>
        <w:pStyle w:val="PreChapterHeading"/>
      </w:pPr>
      <w:bookmarkStart w:id="9" w:name="_Toc520377809"/>
      <w:r>
        <w:lastRenderedPageBreak/>
        <w:t>Glossary</w:t>
      </w:r>
      <w:bookmarkEnd w:id="9"/>
    </w:p>
    <w:p w14:paraId="76E41C24" w14:textId="77777777" w:rsidR="007F5413" w:rsidRDefault="007F5413" w:rsidP="007F5413">
      <w:r>
        <w:t>The following abbreviations and acronyms are used throughout this report.</w:t>
      </w:r>
    </w:p>
    <w:tbl>
      <w:tblPr>
        <w:tblStyle w:val="HeadingsAboveOnly"/>
        <w:tblW w:w="8647" w:type="dxa"/>
        <w:tblLook w:val="0020" w:firstRow="1" w:lastRow="0" w:firstColumn="0" w:lastColumn="0" w:noHBand="0" w:noVBand="0"/>
      </w:tblPr>
      <w:tblGrid>
        <w:gridCol w:w="3855"/>
        <w:gridCol w:w="4792"/>
      </w:tblGrid>
      <w:tr w:rsidR="007F5413" w:rsidRPr="00935ED2" w14:paraId="3EF68800" w14:textId="77777777" w:rsidTr="00080B3F">
        <w:trPr>
          <w:cnfStyle w:val="100000000000" w:firstRow="1" w:lastRow="0" w:firstColumn="0" w:lastColumn="0" w:oddVBand="0" w:evenVBand="0" w:oddHBand="0" w:evenHBand="0" w:firstRowFirstColumn="0" w:firstRowLastColumn="0" w:lastRowFirstColumn="0" w:lastRowLastColumn="0"/>
        </w:trPr>
        <w:tc>
          <w:tcPr>
            <w:tcW w:w="3855" w:type="dxa"/>
          </w:tcPr>
          <w:p w14:paraId="28189853" w14:textId="77777777" w:rsidR="007F5413" w:rsidRPr="003A6DA7" w:rsidRDefault="007F5413" w:rsidP="00080B3F">
            <w:pPr>
              <w:pStyle w:val="TableColumnHeadingLeft"/>
            </w:pPr>
            <w:r w:rsidRPr="003A6DA7">
              <w:t>Abbreviation</w:t>
            </w:r>
          </w:p>
        </w:tc>
        <w:tc>
          <w:tcPr>
            <w:tcW w:w="4792" w:type="dxa"/>
          </w:tcPr>
          <w:p w14:paraId="52987CBF" w14:textId="77777777" w:rsidR="007F5413" w:rsidRDefault="007F5413" w:rsidP="00080B3F">
            <w:pPr>
              <w:pStyle w:val="TableColumnHeadingLeft"/>
            </w:pPr>
            <w:r w:rsidRPr="003A6DA7">
              <w:t>Definition</w:t>
            </w:r>
          </w:p>
        </w:tc>
      </w:tr>
      <w:tr w:rsidR="007F5413" w:rsidRPr="00935ED2" w14:paraId="26EB0D24" w14:textId="77777777" w:rsidTr="00080B3F">
        <w:tc>
          <w:tcPr>
            <w:tcW w:w="3855" w:type="dxa"/>
          </w:tcPr>
          <w:p w14:paraId="6702CBC4" w14:textId="55355CCD" w:rsidR="007F5413" w:rsidRDefault="007F5413" w:rsidP="00080B3F">
            <w:pPr>
              <w:pStyle w:val="TableTextLeft"/>
            </w:pPr>
            <w:r>
              <w:t>1936 Tax Act</w:t>
            </w:r>
          </w:p>
        </w:tc>
        <w:tc>
          <w:tcPr>
            <w:tcW w:w="4792" w:type="dxa"/>
          </w:tcPr>
          <w:p w14:paraId="71500C0C" w14:textId="3A5F645B" w:rsidR="007F5413" w:rsidRDefault="007F5413" w:rsidP="00080B3F">
            <w:pPr>
              <w:pStyle w:val="TableTextLeft"/>
            </w:pPr>
            <w:r w:rsidRPr="007913A3">
              <w:t>Income Tax Assessment Act 1936</w:t>
            </w:r>
          </w:p>
        </w:tc>
      </w:tr>
      <w:tr w:rsidR="007F5413" w:rsidRPr="00935ED2" w14:paraId="69E77E8F" w14:textId="77777777" w:rsidTr="00080B3F">
        <w:tc>
          <w:tcPr>
            <w:tcW w:w="3855" w:type="dxa"/>
          </w:tcPr>
          <w:p w14:paraId="55DB5393" w14:textId="1A69F64F" w:rsidR="007F5413" w:rsidRDefault="007F5413" w:rsidP="00080B3F">
            <w:pPr>
              <w:pStyle w:val="TableTextLeft"/>
            </w:pPr>
            <w:r>
              <w:t>1997 Tax Act</w:t>
            </w:r>
          </w:p>
        </w:tc>
        <w:tc>
          <w:tcPr>
            <w:tcW w:w="4792" w:type="dxa"/>
          </w:tcPr>
          <w:p w14:paraId="5A221E0B" w14:textId="42A30D32" w:rsidR="007F5413" w:rsidRDefault="007F5413" w:rsidP="00080B3F">
            <w:pPr>
              <w:pStyle w:val="TableTextLeft"/>
            </w:pPr>
            <w:r w:rsidRPr="007913A3">
              <w:t>Income Tax Assessment Act 1997</w:t>
            </w:r>
          </w:p>
        </w:tc>
      </w:tr>
      <w:tr w:rsidR="007F5413" w:rsidRPr="00935ED2" w14:paraId="29E8BD3D" w14:textId="77777777" w:rsidTr="00080B3F">
        <w:tc>
          <w:tcPr>
            <w:tcW w:w="3855" w:type="dxa"/>
          </w:tcPr>
          <w:p w14:paraId="12CC2EF6" w14:textId="77777777" w:rsidR="007F5413" w:rsidRPr="00935ED2" w:rsidRDefault="007F5413" w:rsidP="00080B3F">
            <w:pPr>
              <w:pStyle w:val="TableTextLeft"/>
            </w:pPr>
            <w:r>
              <w:t>AASB</w:t>
            </w:r>
          </w:p>
        </w:tc>
        <w:tc>
          <w:tcPr>
            <w:tcW w:w="4792" w:type="dxa"/>
          </w:tcPr>
          <w:p w14:paraId="3E32475E" w14:textId="77777777" w:rsidR="007F5413" w:rsidRPr="00935ED2" w:rsidRDefault="007F5413" w:rsidP="00080B3F">
            <w:pPr>
              <w:pStyle w:val="TableTextLeft"/>
            </w:pPr>
            <w:r>
              <w:t>Australian Accounting Standards Board</w:t>
            </w:r>
          </w:p>
        </w:tc>
      </w:tr>
      <w:tr w:rsidR="007F5413" w:rsidRPr="00935ED2" w14:paraId="5746F0A0" w14:textId="77777777" w:rsidTr="00080B3F">
        <w:tc>
          <w:tcPr>
            <w:tcW w:w="3855" w:type="dxa"/>
          </w:tcPr>
          <w:p w14:paraId="60B089B3" w14:textId="77777777" w:rsidR="007F5413" w:rsidRPr="00935ED2" w:rsidRDefault="007F5413" w:rsidP="00080B3F">
            <w:pPr>
              <w:pStyle w:val="TableTextLeft"/>
            </w:pPr>
            <w:r>
              <w:t>ATO</w:t>
            </w:r>
          </w:p>
        </w:tc>
        <w:tc>
          <w:tcPr>
            <w:tcW w:w="4792" w:type="dxa"/>
          </w:tcPr>
          <w:p w14:paraId="6F9F8F3C" w14:textId="77777777" w:rsidR="007F5413" w:rsidRPr="00935ED2" w:rsidRDefault="007F5413" w:rsidP="00080B3F">
            <w:pPr>
              <w:pStyle w:val="TableTextLeft"/>
            </w:pPr>
            <w:r>
              <w:t>Australian Taxation Office</w:t>
            </w:r>
          </w:p>
        </w:tc>
      </w:tr>
    </w:tbl>
    <w:p w14:paraId="2C0FD827" w14:textId="77777777" w:rsidR="007F5413" w:rsidRPr="007F5413" w:rsidRDefault="007F5413" w:rsidP="007F5413"/>
    <w:p w14:paraId="1A482095" w14:textId="77777777" w:rsidR="007F5413" w:rsidRDefault="007F5413" w:rsidP="007F5413">
      <w:pPr>
        <w:spacing w:after="0" w:line="240" w:lineRule="auto"/>
        <w:jc w:val="left"/>
        <w:sectPr w:rsidR="007F5413" w:rsidSect="00894823">
          <w:pgSz w:w="11909" w:h="16834" w:code="9"/>
          <w:pgMar w:top="1701" w:right="1701" w:bottom="1701" w:left="1701" w:header="851" w:footer="851" w:gutter="0"/>
          <w:cols w:space="708"/>
          <w:titlePg/>
          <w:docGrid w:linePitch="360"/>
        </w:sectPr>
      </w:pPr>
    </w:p>
    <w:p w14:paraId="3663C692" w14:textId="534BD9D9" w:rsidR="00154371" w:rsidRDefault="007F5413" w:rsidP="007F5413">
      <w:pPr>
        <w:pStyle w:val="PreChapterHeading"/>
      </w:pPr>
      <w:bookmarkStart w:id="10" w:name="_Toc520377810"/>
      <w:r>
        <w:lastRenderedPageBreak/>
        <w:t xml:space="preserve">Chapter 1: </w:t>
      </w:r>
      <w:r w:rsidR="00154371">
        <w:t>Background</w:t>
      </w:r>
      <w:bookmarkEnd w:id="10"/>
    </w:p>
    <w:p w14:paraId="1ADA998C" w14:textId="2B88C8F8" w:rsidR="00154371" w:rsidRDefault="009F2267" w:rsidP="00154371">
      <w:pPr>
        <w:pStyle w:val="Heading2"/>
      </w:pPr>
      <w:bookmarkStart w:id="11" w:name="_Toc520377811"/>
      <w:r>
        <w:t>The income tax law and the accounting treatment</w:t>
      </w:r>
      <w:bookmarkEnd w:id="11"/>
      <w:r>
        <w:t xml:space="preserve"> </w:t>
      </w:r>
    </w:p>
    <w:p w14:paraId="3A4BF1D3" w14:textId="0F972D24" w:rsidR="00E62083" w:rsidRDefault="00E62083" w:rsidP="007F5413">
      <w:pPr>
        <w:pStyle w:val="NewNumberedParagraph"/>
      </w:pPr>
      <w:r>
        <w:t xml:space="preserve">At the outset it is noted that, generally, the issues concerning the treatment of trading stock for tax purposes and of inventory for financial accounting purposes are concerned with </w:t>
      </w:r>
      <w:r w:rsidR="00FD2021">
        <w:t xml:space="preserve">both </w:t>
      </w:r>
      <w:r>
        <w:t xml:space="preserve">the </w:t>
      </w:r>
      <w:r w:rsidR="001C0751" w:rsidRPr="00FD2021">
        <w:rPr>
          <w:u w:val="single"/>
        </w:rPr>
        <w:t xml:space="preserve">quantum and </w:t>
      </w:r>
      <w:r w:rsidRPr="00FD2021">
        <w:rPr>
          <w:u w:val="single"/>
        </w:rPr>
        <w:t>timing</w:t>
      </w:r>
      <w:r>
        <w:t xml:space="preserve"> of recognition of gains and losses.  </w:t>
      </w:r>
    </w:p>
    <w:p w14:paraId="2064FA3E" w14:textId="53A1ADE3" w:rsidR="00E62083" w:rsidRDefault="00FD2021" w:rsidP="007F5413">
      <w:pPr>
        <w:pStyle w:val="NewNumberedParagraph"/>
      </w:pPr>
      <w:r>
        <w:t xml:space="preserve">That is, </w:t>
      </w:r>
      <w:r w:rsidR="00E62083">
        <w:t xml:space="preserve">the total taxable income realised on a purchase and sale of stock </w:t>
      </w:r>
      <w:r>
        <w:t xml:space="preserve">may or may not </w:t>
      </w:r>
      <w:r w:rsidR="001C0751">
        <w:t xml:space="preserve">to </w:t>
      </w:r>
      <w:r w:rsidR="00E62083">
        <w:t>be equal to the accounting profit</w:t>
      </w:r>
      <w:r w:rsidR="001C0751">
        <w:t xml:space="preserve"> or loss</w:t>
      </w:r>
      <w:r w:rsidR="00E62083">
        <w:t xml:space="preserve"> realised </w:t>
      </w:r>
      <w:r w:rsidR="00DC04C5">
        <w:t>in respect of the same transaction.</w:t>
      </w:r>
      <w:r>
        <w:t xml:space="preserve"> </w:t>
      </w:r>
      <w:r w:rsidR="00E7161B">
        <w:t>In addition</w:t>
      </w:r>
      <w:r w:rsidR="00DC04C5">
        <w:t xml:space="preserve">, the time at which the taxable income is recognised may differ from the time at which the accounting profit is recognised. </w:t>
      </w:r>
    </w:p>
    <w:p w14:paraId="519A67B1" w14:textId="013C3FBE" w:rsidR="00474F0C" w:rsidRPr="00474F0C" w:rsidRDefault="00474F0C" w:rsidP="00474F0C">
      <w:pPr>
        <w:pStyle w:val="Heading3"/>
      </w:pPr>
      <w:r>
        <w:t>Income tax treatment overview</w:t>
      </w:r>
    </w:p>
    <w:p w14:paraId="301C22B5" w14:textId="7352A5A0" w:rsidR="009F2267" w:rsidRDefault="009F2267" w:rsidP="007F5413">
      <w:pPr>
        <w:pStyle w:val="NewNumberedParagraph"/>
      </w:pPr>
      <w:r>
        <w:t xml:space="preserve">Broadly, the income tax law operates on the basis that net profits or losses on the sale of trading stock are to be returned </w:t>
      </w:r>
      <w:r w:rsidR="007577C4">
        <w:t xml:space="preserve">in the year in </w:t>
      </w:r>
      <w:r>
        <w:t xml:space="preserve">which </w:t>
      </w:r>
      <w:r w:rsidR="007577C4">
        <w:t xml:space="preserve">trading </w:t>
      </w:r>
      <w:r>
        <w:t>stock is sold.  This is accomplished, mechanically, by:</w:t>
      </w:r>
    </w:p>
    <w:p w14:paraId="0D327DD1" w14:textId="76FC7F8D" w:rsidR="009F2267" w:rsidRDefault="009F2267" w:rsidP="00B33DDA">
      <w:pPr>
        <w:pStyle w:val="Dash"/>
      </w:pPr>
      <w:r>
        <w:t xml:space="preserve">allowing a deduction for purchases </w:t>
      </w:r>
      <w:r w:rsidR="007577C4">
        <w:t xml:space="preserve">or costs of manufacture </w:t>
      </w:r>
      <w:r>
        <w:t xml:space="preserve">(as a general deduction); </w:t>
      </w:r>
    </w:p>
    <w:p w14:paraId="426C5910" w14:textId="4BA31057" w:rsidR="009F2267" w:rsidRDefault="009F2267" w:rsidP="007F5413">
      <w:pPr>
        <w:pStyle w:val="Dash"/>
      </w:pPr>
      <w:r>
        <w:t xml:space="preserve">assessing sales proceeds (as ordinary income); </w:t>
      </w:r>
      <w:r w:rsidRPr="009F2267">
        <w:t xml:space="preserve">and </w:t>
      </w:r>
    </w:p>
    <w:p w14:paraId="51A19673" w14:textId="1EC05C40" w:rsidR="009F2267" w:rsidRDefault="009F2267" w:rsidP="007F5413">
      <w:pPr>
        <w:pStyle w:val="Dash"/>
      </w:pPr>
      <w:r>
        <w:t>treating the increase in value of trading stock over an income year as assessable</w:t>
      </w:r>
      <w:r>
        <w:rPr>
          <w:rStyle w:val="FootnoteReference"/>
        </w:rPr>
        <w:footnoteReference w:id="2"/>
      </w:r>
      <w:r>
        <w:t xml:space="preserve"> (by operation of a statutory regime in Division 70).  </w:t>
      </w:r>
    </w:p>
    <w:p w14:paraId="3F15993D" w14:textId="77777777" w:rsidR="009F2267" w:rsidRDefault="009F2267" w:rsidP="007F5413">
      <w:pPr>
        <w:pStyle w:val="NewNumberedParagraph"/>
      </w:pPr>
      <w:r>
        <w:t>The tax law allows a taxpayer to choose between three valuation methods (cost, market selling value, replacement value) in calculating the movement in the value of trading stock.</w:t>
      </w:r>
    </w:p>
    <w:p w14:paraId="7DE46D6B" w14:textId="21F9D24B" w:rsidR="00474F0C" w:rsidRDefault="00474F0C" w:rsidP="007F5413">
      <w:pPr>
        <w:pStyle w:val="NewNumberedParagraph"/>
      </w:pPr>
      <w:r>
        <w:t xml:space="preserve">In determining the ‘cost’ value of an item of trading stock, taxpayers apply an ‘absorption costing’ basis, which recognises in the cost of stock certain warehousing, distribution and similar costs (as well as the direct cost of purchase or manufacture).  </w:t>
      </w:r>
      <w:r>
        <w:lastRenderedPageBreak/>
        <w:t xml:space="preserve">ATO Rulings IT2350 and TR 2006/8 </w:t>
      </w:r>
      <w:r w:rsidR="00824F52">
        <w:t xml:space="preserve">provide </w:t>
      </w:r>
      <w:r w:rsidR="007577C4">
        <w:t xml:space="preserve">a </w:t>
      </w:r>
      <w:r w:rsidR="00824F52">
        <w:t>reflection of the Commissioner’s view of what costs should be absorbed into the tax cost of trading stock.</w:t>
      </w:r>
    </w:p>
    <w:p w14:paraId="7F65FC04" w14:textId="7E00C076" w:rsidR="00474F0C" w:rsidRDefault="00474F0C" w:rsidP="00474F0C">
      <w:pPr>
        <w:pStyle w:val="Heading3"/>
      </w:pPr>
      <w:r>
        <w:t>Financial accounting treatment overview</w:t>
      </w:r>
    </w:p>
    <w:p w14:paraId="5AA7FCDF" w14:textId="11CF4072" w:rsidR="00DB0754" w:rsidRDefault="00347121" w:rsidP="007F5413">
      <w:pPr>
        <w:pStyle w:val="NewNumberedParagraph"/>
      </w:pPr>
      <w:r>
        <w:t xml:space="preserve">The accounting for inventories </w:t>
      </w:r>
      <w:r w:rsidR="0068236A">
        <w:t xml:space="preserve">(including certain discounts and rebates) </w:t>
      </w:r>
      <w:r>
        <w:t>is addressed</w:t>
      </w:r>
      <w:r w:rsidR="00974026">
        <w:t xml:space="preserve"> </w:t>
      </w:r>
      <w:r w:rsidR="0068236A">
        <w:t>by</w:t>
      </w:r>
      <w:r w:rsidR="00974026">
        <w:t xml:space="preserve"> AASB 102 </w:t>
      </w:r>
      <w:r>
        <w:rPr>
          <w:i/>
        </w:rPr>
        <w:t xml:space="preserve">Inventories, </w:t>
      </w:r>
      <w:r>
        <w:t xml:space="preserve">and the recognition of revenue upon sale of inventories is </w:t>
      </w:r>
      <w:r w:rsidR="0068236A">
        <w:t>specified by</w:t>
      </w:r>
      <w:r>
        <w:t xml:space="preserve"> AASB 15 </w:t>
      </w:r>
      <w:r>
        <w:rPr>
          <w:i/>
        </w:rPr>
        <w:t xml:space="preserve">Revenue from Contracts with Customers. </w:t>
      </w:r>
      <w:r w:rsidR="009F2267">
        <w:t xml:space="preserve">For financial accounting purposes, the timing of recognition of profits on the sale of inventory </w:t>
      </w:r>
      <w:r>
        <w:t>may be</w:t>
      </w:r>
      <w:r w:rsidR="009F2267">
        <w:t xml:space="preserve"> the same as for tax purposes (that is, when the stock is sold), although</w:t>
      </w:r>
      <w:r>
        <w:t xml:space="preserve"> in some instances, can be different.</w:t>
      </w:r>
      <w:r w:rsidR="009F2267">
        <w:t xml:space="preserve">  </w:t>
      </w:r>
    </w:p>
    <w:p w14:paraId="3AA47C5F" w14:textId="1D98E7CB" w:rsidR="009F2267" w:rsidRDefault="0068236A" w:rsidP="007F5413">
      <w:pPr>
        <w:pStyle w:val="NewNumberedParagraph"/>
      </w:pPr>
      <w:r>
        <w:t>AASB 102 requires inventories to be measured at</w:t>
      </w:r>
      <w:r w:rsidR="009F2267">
        <w:t xml:space="preserve"> the </w:t>
      </w:r>
      <w:r w:rsidR="009F2267" w:rsidRPr="00E80E2C">
        <w:t>lower of</w:t>
      </w:r>
      <w:r w:rsidR="009F2267">
        <w:t xml:space="preserve"> cost and net realisable value).</w:t>
      </w:r>
      <w:r>
        <w:t xml:space="preserve"> </w:t>
      </w:r>
    </w:p>
    <w:p w14:paraId="490EFF93" w14:textId="0E010894" w:rsidR="00474F0C" w:rsidRDefault="00474F0C" w:rsidP="007F5413">
      <w:pPr>
        <w:pStyle w:val="NewNumberedParagraph"/>
      </w:pPr>
      <w:r>
        <w:t xml:space="preserve">AASB 102 </w:t>
      </w:r>
      <w:r w:rsidR="00597D6D">
        <w:t xml:space="preserve">further </w:t>
      </w:r>
      <w:r>
        <w:t>requires the ‘cost’ of inventories to comprise the cost of purchase, conversion and other costs incurred in bringing the inventory to their present location and condition.</w:t>
      </w:r>
      <w:r w:rsidR="0068236A">
        <w:t xml:space="preserve">  </w:t>
      </w:r>
      <w:r w:rsidR="00E7161B">
        <w:t xml:space="preserve">This differs from tax law, which allows taxpayers a choice </w:t>
      </w:r>
      <w:r w:rsidR="00597D6D">
        <w:t>of how to value trading stock</w:t>
      </w:r>
      <w:r w:rsidR="00E7161B">
        <w:t xml:space="preserve">. </w:t>
      </w:r>
    </w:p>
    <w:p w14:paraId="4F27FAD4" w14:textId="08053D59" w:rsidR="00154371" w:rsidRDefault="00DB0754" w:rsidP="00154371">
      <w:pPr>
        <w:pStyle w:val="Heading2"/>
      </w:pPr>
      <w:bookmarkStart w:id="12" w:name="_Toc520377812"/>
      <w:r>
        <w:t>O</w:t>
      </w:r>
      <w:r w:rsidR="008A3FFF">
        <w:t>ption</w:t>
      </w:r>
      <w:r>
        <w:t xml:space="preserve"> evaluated by the </w:t>
      </w:r>
      <w:r w:rsidR="00347A63">
        <w:t>Working Group</w:t>
      </w:r>
      <w:bookmarkEnd w:id="12"/>
    </w:p>
    <w:p w14:paraId="0C664EAE" w14:textId="4C0F385A" w:rsidR="009F2267" w:rsidRDefault="00474F0C" w:rsidP="007F5413">
      <w:pPr>
        <w:pStyle w:val="NewNumberedParagraph"/>
      </w:pPr>
      <w:r>
        <w:t xml:space="preserve">After deliberating </w:t>
      </w:r>
      <w:r w:rsidR="00DB0754">
        <w:t xml:space="preserve">on submissions and representations </w:t>
      </w:r>
      <w:r>
        <w:t xml:space="preserve">received, the </w:t>
      </w:r>
      <w:r w:rsidR="00347A63">
        <w:t>Working Group</w:t>
      </w:r>
      <w:r>
        <w:t xml:space="preserve"> </w:t>
      </w:r>
      <w:r w:rsidR="008A3FFF">
        <w:t>identified the following potential option</w:t>
      </w:r>
      <w:r>
        <w:t xml:space="preserve"> for further consideration:</w:t>
      </w:r>
    </w:p>
    <w:tbl>
      <w:tblPr>
        <w:tblW w:w="0" w:type="auto"/>
        <w:tblInd w:w="108" w:type="dxa"/>
        <w:shd w:val="clear" w:color="auto" w:fill="E6E6E6"/>
        <w:tblLook w:val="01E0" w:firstRow="1" w:lastRow="1" w:firstColumn="1" w:lastColumn="1" w:noHBand="0" w:noVBand="0"/>
      </w:tblPr>
      <w:tblGrid>
        <w:gridCol w:w="8615"/>
      </w:tblGrid>
      <w:tr w:rsidR="008A3FFF" w14:paraId="70E95A58" w14:textId="77777777" w:rsidTr="00F550A2">
        <w:tc>
          <w:tcPr>
            <w:tcW w:w="8615" w:type="dxa"/>
            <w:shd w:val="clear" w:color="auto" w:fill="E6E6E6"/>
          </w:tcPr>
          <w:p w14:paraId="40E0C842" w14:textId="09CCCFC9" w:rsidR="008A3FFF" w:rsidRDefault="008A3FFF" w:rsidP="00B33DDA">
            <w:pPr>
              <w:pStyle w:val="Heading5"/>
            </w:pPr>
            <w:r>
              <w:t>Valuation methodology alignment</w:t>
            </w:r>
          </w:p>
          <w:p w14:paraId="0BB90446" w14:textId="736D6CFD" w:rsidR="008A3FFF" w:rsidRDefault="008A3FFF" w:rsidP="008A3FFF">
            <w:pPr>
              <w:pStyle w:val="BoxText"/>
            </w:pPr>
            <w:r>
              <w:t xml:space="preserve">To amend the tax law to allow taxpayers to rely on </w:t>
            </w:r>
            <w:r w:rsidR="00670318">
              <w:t xml:space="preserve">an asset’s cost, as determined for financial accounting purposes, </w:t>
            </w:r>
            <w:r>
              <w:t xml:space="preserve">as </w:t>
            </w:r>
            <w:r w:rsidRPr="008A3FFF">
              <w:t>an optional additional valuation method</w:t>
            </w:r>
            <w:r>
              <w:t xml:space="preserve"> for trading stock, where:</w:t>
            </w:r>
          </w:p>
          <w:p w14:paraId="658A9042" w14:textId="7EF1B74C" w:rsidR="007577C4" w:rsidRDefault="007577C4" w:rsidP="008A3FFF">
            <w:pPr>
              <w:pStyle w:val="BoxBullet"/>
            </w:pPr>
            <w:r>
              <w:t xml:space="preserve">The asset is trading stock that is to be taken into account under Division 70; </w:t>
            </w:r>
          </w:p>
          <w:p w14:paraId="3181DC85" w14:textId="1A11E050" w:rsidR="008A3FFF" w:rsidRDefault="008A3FFF" w:rsidP="008A3FFF">
            <w:pPr>
              <w:pStyle w:val="BoxBullet"/>
            </w:pPr>
            <w:r w:rsidRPr="008A3FFF">
              <w:t xml:space="preserve">The taxpayer has audited accounts; </w:t>
            </w:r>
          </w:p>
          <w:p w14:paraId="565B5B5D" w14:textId="78E9EE1F" w:rsidR="008A3FFF" w:rsidRDefault="008A3FFF" w:rsidP="008A3FFF">
            <w:pPr>
              <w:pStyle w:val="BoxBullet"/>
            </w:pPr>
            <w:r w:rsidRPr="008A3FFF">
              <w:t>The audited accounts recognise the trading stock</w:t>
            </w:r>
            <w:r w:rsidR="007577C4">
              <w:t xml:space="preserve"> asset</w:t>
            </w:r>
            <w:r w:rsidRPr="008A3FFF">
              <w:t xml:space="preserve"> as an item of accounting inventory and disclose an</w:t>
            </w:r>
            <w:r w:rsidR="00670318">
              <w:t xml:space="preserve"> accounting value for that item; and</w:t>
            </w:r>
          </w:p>
          <w:p w14:paraId="0A6F7508" w14:textId="409CFDBD" w:rsidR="00670318" w:rsidRPr="0010343E" w:rsidRDefault="00670318" w:rsidP="008A3FFF">
            <w:pPr>
              <w:pStyle w:val="BoxBullet"/>
            </w:pPr>
            <w:r>
              <w:t>The accounting value is determined on a ‘cost’ basis.</w:t>
            </w:r>
          </w:p>
        </w:tc>
      </w:tr>
    </w:tbl>
    <w:p w14:paraId="1BA28741" w14:textId="77777777" w:rsidR="007F5413" w:rsidRDefault="007F5413" w:rsidP="007F5413">
      <w:pPr>
        <w:pStyle w:val="NewNumberedParagraph"/>
        <w:numPr>
          <w:ilvl w:val="0"/>
          <w:numId w:val="0"/>
        </w:numPr>
        <w:ind w:left="567"/>
      </w:pPr>
    </w:p>
    <w:p w14:paraId="044350DE" w14:textId="452B8FCC" w:rsidR="008A3FFF" w:rsidRDefault="008A3FFF" w:rsidP="007F5413">
      <w:pPr>
        <w:pStyle w:val="NewNumberedParagraph"/>
      </w:pPr>
      <w:r>
        <w:t xml:space="preserve">The potential benefits of this option could include reduced compliance costs </w:t>
      </w:r>
      <w:r w:rsidR="00D0055C">
        <w:t xml:space="preserve">and increased certainty for taxpayers.  </w:t>
      </w:r>
    </w:p>
    <w:p w14:paraId="466957EA" w14:textId="3AD720B9" w:rsidR="008A3FFF" w:rsidRDefault="008A3FFF" w:rsidP="008A3FFF">
      <w:pPr>
        <w:pStyle w:val="Heading3"/>
      </w:pPr>
      <w:r>
        <w:lastRenderedPageBreak/>
        <w:t xml:space="preserve">Options </w:t>
      </w:r>
      <w:r w:rsidR="00091679">
        <w:t>not investigated</w:t>
      </w:r>
      <w:r>
        <w:t xml:space="preserve"> by the </w:t>
      </w:r>
      <w:r w:rsidR="00347A63">
        <w:t>Working Group</w:t>
      </w:r>
    </w:p>
    <w:p w14:paraId="2866F809" w14:textId="6445C39B" w:rsidR="00470AF8" w:rsidRDefault="00470AF8" w:rsidP="007F5413">
      <w:pPr>
        <w:pStyle w:val="NewNumberedParagraph"/>
      </w:pPr>
      <w:r>
        <w:t xml:space="preserve">The </w:t>
      </w:r>
      <w:r w:rsidR="00347A63">
        <w:t>Working Group</w:t>
      </w:r>
      <w:r>
        <w:t xml:space="preserve"> determined that certain potential alignment approaches did not warran</w:t>
      </w:r>
      <w:r w:rsidR="000F12A1">
        <w:t xml:space="preserve">t more detailed consideration. </w:t>
      </w:r>
      <w:r>
        <w:t xml:space="preserve">Namely, </w:t>
      </w:r>
      <w:r w:rsidR="00091679">
        <w:t xml:space="preserve">following initial deliberation, </w:t>
      </w:r>
      <w:r>
        <w:t xml:space="preserve">the </w:t>
      </w:r>
      <w:r w:rsidR="00347A63">
        <w:t>Working Group</w:t>
      </w:r>
      <w:r>
        <w:t xml:space="preserve"> considered that the following options </w:t>
      </w:r>
      <w:r w:rsidR="00091679">
        <w:t>were unlikely</w:t>
      </w:r>
      <w:r>
        <w:t xml:space="preserve"> </w:t>
      </w:r>
      <w:r w:rsidR="00091679">
        <w:t xml:space="preserve">to answer </w:t>
      </w:r>
      <w:r>
        <w:t>to the requirements of a simple and targeted amendment:</w:t>
      </w:r>
    </w:p>
    <w:p w14:paraId="24601B23" w14:textId="636E0A17" w:rsidR="00D0055C" w:rsidRDefault="00470AF8" w:rsidP="007F5413">
      <w:pPr>
        <w:pStyle w:val="Dash"/>
      </w:pPr>
      <w:r>
        <w:t xml:space="preserve">an alignment between the tax definition of trading stock to which Division 70 applies and the range of </w:t>
      </w:r>
      <w:r w:rsidR="00283DEA">
        <w:t>inventories</w:t>
      </w:r>
      <w:r>
        <w:t xml:space="preserve"> to which AASB 102 applies.  </w:t>
      </w:r>
      <w:r w:rsidR="007577C4">
        <w:br/>
      </w:r>
      <w:r w:rsidR="007577C4">
        <w:br/>
        <w:t xml:space="preserve">The Working Group considered that such </w:t>
      </w:r>
      <w:r>
        <w:t>an alignment would represent a significant departure from the underlying architecture of the income tax law, which subordinates the trading stock rules in Division 70 to a number of other regimes</w:t>
      </w:r>
      <w:r>
        <w:rPr>
          <w:rStyle w:val="FootnoteReference"/>
        </w:rPr>
        <w:footnoteReference w:id="3"/>
      </w:r>
      <w:r w:rsidR="003A490D">
        <w:t xml:space="preserve">; </w:t>
      </w:r>
    </w:p>
    <w:p w14:paraId="09384661" w14:textId="0F860D11" w:rsidR="00470AF8" w:rsidRDefault="00470AF8" w:rsidP="007F5413">
      <w:pPr>
        <w:pStyle w:val="Dash"/>
      </w:pPr>
      <w:r>
        <w:t xml:space="preserve">a mandatory, rather than elective, requirement for accounting </w:t>
      </w:r>
      <w:r w:rsidR="00091679">
        <w:t>values to be adopted for trading stock for a class of taxpayers.</w:t>
      </w:r>
      <w:r w:rsidR="007577C4">
        <w:br/>
      </w:r>
      <w:r w:rsidR="007577C4">
        <w:br/>
        <w:t>The Working Group considered that such an alignment would represent a significant departure from the underlying architecture of the income tax law and would create complexity by creating classes of taxpayers differentiated by whether they have audited accounts.</w:t>
      </w:r>
    </w:p>
    <w:p w14:paraId="670669B5" w14:textId="1177E717" w:rsidR="00DE14D8" w:rsidRDefault="00DE14D8" w:rsidP="007F5413">
      <w:pPr>
        <w:pStyle w:val="NewNumberedParagraph"/>
      </w:pPr>
      <w:r>
        <w:t xml:space="preserve">The Working Group is aware that the report of the Ralph Review, </w:t>
      </w:r>
      <w:r>
        <w:rPr>
          <w:i/>
        </w:rPr>
        <w:t xml:space="preserve">A tax system </w:t>
      </w:r>
      <w:r w:rsidRPr="00394222">
        <w:rPr>
          <w:i/>
        </w:rPr>
        <w:t>redesigned</w:t>
      </w:r>
      <w:r>
        <w:t>, contained a recommendation that the tax law be changed to require trading stock be valued at the lower of cost or net realisable value (i.e. a basis aligned with accounting principles).</w:t>
      </w:r>
      <w:r w:rsidRPr="00394222">
        <w:t xml:space="preserve"> </w:t>
      </w:r>
    </w:p>
    <w:p w14:paraId="7C1225B5" w14:textId="699C7F8B" w:rsidR="00DE14D8" w:rsidRDefault="00DE14D8" w:rsidP="007F5413">
      <w:pPr>
        <w:pStyle w:val="NewNumberedParagraph"/>
      </w:pPr>
      <w:r>
        <w:t>Whilst noting the Ralph Review’s endorsement of an approach that would effectively align tax trading stock valuation with accounting principles, the Working Group observed that there were a number of key differences between that approach and the option evaluated by the Working Group, namely:</w:t>
      </w:r>
    </w:p>
    <w:p w14:paraId="5F3D929A" w14:textId="77777777" w:rsidR="00DE14D8" w:rsidRDefault="00DE14D8" w:rsidP="007F5413">
      <w:pPr>
        <w:pStyle w:val="Dash"/>
      </w:pPr>
      <w:r>
        <w:t>Difference in purpose and scope - the Ralph Review recommended a mandatory default regime to reduce taxpayers’ ability to make self-serving choices, whereas the Board Working Group considered an additional optional valuation methodology to increase choices and reduce compliance costs for taxpayers and administrators.</w:t>
      </w:r>
    </w:p>
    <w:p w14:paraId="582E15E8" w14:textId="77777777" w:rsidR="00DE14D8" w:rsidRDefault="00DE14D8" w:rsidP="007F5413">
      <w:pPr>
        <w:pStyle w:val="Dash"/>
      </w:pPr>
      <w:r>
        <w:t xml:space="preserve">Difference in context - the Ralph Review recommendation in respect of trading stock valuation was aligned with the broader ‘tax value approach’ </w:t>
      </w:r>
      <w:r>
        <w:lastRenderedPageBreak/>
        <w:t xml:space="preserve">recommended by the Review.  The broader tax value approach was not ultimately adopted by Government.  </w:t>
      </w:r>
    </w:p>
    <w:p w14:paraId="053D6730" w14:textId="7506B842" w:rsidR="00154371" w:rsidRDefault="00154371" w:rsidP="00154371">
      <w:pPr>
        <w:pStyle w:val="Heading2"/>
      </w:pPr>
      <w:bookmarkStart w:id="13" w:name="_Toc520377813"/>
      <w:r>
        <w:t>Review and consultation process</w:t>
      </w:r>
      <w:bookmarkEnd w:id="13"/>
    </w:p>
    <w:p w14:paraId="0A28DC6E" w14:textId="33D5DEC0" w:rsidR="008F3EDB" w:rsidRDefault="000A252D" w:rsidP="007F5413">
      <w:pPr>
        <w:pStyle w:val="NewNumberedParagraph"/>
      </w:pPr>
      <w:r>
        <w:t xml:space="preserve">In </w:t>
      </w:r>
      <w:r w:rsidR="00781BF1">
        <w:t xml:space="preserve">considering </w:t>
      </w:r>
      <w:r>
        <w:t xml:space="preserve">the </w:t>
      </w:r>
      <w:r w:rsidR="00781BF1">
        <w:t xml:space="preserve">scope for </w:t>
      </w:r>
      <w:r>
        <w:t xml:space="preserve">greater alignment between the tax treatment of trading stock and the accounting treatment of inventories </w:t>
      </w:r>
      <w:r w:rsidR="00781BF1">
        <w:t xml:space="preserve">in general and whether the specific option identified </w:t>
      </w:r>
      <w:r>
        <w:t>had merit, the Working Group undertook targeted consult</w:t>
      </w:r>
      <w:r w:rsidR="00781BF1">
        <w:t>ation</w:t>
      </w:r>
      <w:r>
        <w:t xml:space="preserve"> with government</w:t>
      </w:r>
      <w:r w:rsidR="00781BF1">
        <w:t xml:space="preserve"> agencies</w:t>
      </w:r>
      <w:r>
        <w:t xml:space="preserve"> (</w:t>
      </w:r>
      <w:r w:rsidR="00781BF1">
        <w:t xml:space="preserve">including </w:t>
      </w:r>
      <w:r>
        <w:t>the ATO and AASB</w:t>
      </w:r>
      <w:r w:rsidR="00597D6D">
        <w:t xml:space="preserve"> staff</w:t>
      </w:r>
      <w:r>
        <w:t xml:space="preserve">) and private sector </w:t>
      </w:r>
      <w:r w:rsidR="00781BF1">
        <w:t>businesses operating in sectors that involve significant trading stock balances and transactions.</w:t>
      </w:r>
    </w:p>
    <w:p w14:paraId="423A5898" w14:textId="2ECF2AC4" w:rsidR="000A252D" w:rsidRDefault="000A252D" w:rsidP="007F5413">
      <w:pPr>
        <w:pStyle w:val="NewNumberedParagraph"/>
      </w:pPr>
      <w:r>
        <w:t xml:space="preserve">The Working Group also </w:t>
      </w:r>
      <w:r w:rsidR="007577C4">
        <w:t xml:space="preserve">obtained </w:t>
      </w:r>
      <w:r w:rsidR="00781BF1">
        <w:t xml:space="preserve">selected historical </w:t>
      </w:r>
      <w:r>
        <w:t xml:space="preserve">income tax return data from Treasury which </w:t>
      </w:r>
      <w:r w:rsidR="00781BF1" w:rsidRPr="0090466F">
        <w:t>related to the tax trading stock valuation methodology used by taxpayers of varying scale and legal s</w:t>
      </w:r>
      <w:r w:rsidR="00781BF1" w:rsidRPr="00F42BB8">
        <w:t>tructure.</w:t>
      </w:r>
      <w:r w:rsidRPr="00F42BB8">
        <w:t xml:space="preserve"> </w:t>
      </w:r>
    </w:p>
    <w:p w14:paraId="169E1BA2" w14:textId="77777777" w:rsidR="007F5413" w:rsidRDefault="007F5413" w:rsidP="007F5413">
      <w:pPr>
        <w:pStyle w:val="NewNumberedParagraph"/>
        <w:numPr>
          <w:ilvl w:val="0"/>
          <w:numId w:val="0"/>
        </w:numPr>
        <w:sectPr w:rsidR="007F5413" w:rsidSect="00725F97">
          <w:pgSz w:w="11909" w:h="16834" w:code="9"/>
          <w:pgMar w:top="1701" w:right="1701" w:bottom="1701" w:left="1701" w:header="851" w:footer="851" w:gutter="0"/>
          <w:cols w:space="708"/>
          <w:docGrid w:linePitch="360"/>
        </w:sectPr>
      </w:pPr>
    </w:p>
    <w:p w14:paraId="70FB555D" w14:textId="1D5F2086" w:rsidR="00154371" w:rsidRDefault="007F5413" w:rsidP="007F5413">
      <w:pPr>
        <w:pStyle w:val="Heading1"/>
      </w:pPr>
      <w:bookmarkStart w:id="14" w:name="_Toc520377814"/>
      <w:r>
        <w:lastRenderedPageBreak/>
        <w:t xml:space="preserve">Chapter 2: </w:t>
      </w:r>
      <w:r w:rsidR="00154371">
        <w:t>Analysis</w:t>
      </w:r>
      <w:bookmarkEnd w:id="14"/>
      <w:r w:rsidR="00154371">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048"/>
      </w:tblGrid>
      <w:tr w:rsidR="007F5413" w14:paraId="005010CA" w14:textId="77777777" w:rsidTr="00080B3F">
        <w:tc>
          <w:tcPr>
            <w:tcW w:w="675" w:type="dxa"/>
            <w:tcBorders>
              <w:bottom w:val="single" w:sz="24" w:space="0" w:color="3F6294"/>
            </w:tcBorders>
          </w:tcPr>
          <w:p w14:paraId="215F035D" w14:textId="77777777" w:rsidR="007F5413" w:rsidRPr="00A66202" w:rsidRDefault="007F5413" w:rsidP="00080B3F">
            <w:pPr>
              <w:pStyle w:val="BoxText"/>
            </w:pPr>
          </w:p>
        </w:tc>
        <w:tc>
          <w:tcPr>
            <w:tcW w:w="8048" w:type="dxa"/>
            <w:tcBorders>
              <w:bottom w:val="single" w:sz="24" w:space="0" w:color="3F6294"/>
            </w:tcBorders>
          </w:tcPr>
          <w:p w14:paraId="5510CB32" w14:textId="77777777" w:rsidR="007F5413" w:rsidRPr="00A66202" w:rsidRDefault="007F5413" w:rsidP="00080B3F">
            <w:pPr>
              <w:pStyle w:val="KeyPointsHeading"/>
            </w:pPr>
            <w:r w:rsidRPr="00A66202">
              <w:t>Key Points</w:t>
            </w:r>
          </w:p>
        </w:tc>
      </w:tr>
      <w:tr w:rsidR="007F5413" w14:paraId="6F99D91B" w14:textId="77777777" w:rsidTr="00080B3F">
        <w:tc>
          <w:tcPr>
            <w:tcW w:w="675" w:type="dxa"/>
            <w:tcBorders>
              <w:top w:val="single" w:sz="24" w:space="0" w:color="3F6294"/>
            </w:tcBorders>
            <w:shd w:val="clear" w:color="auto" w:fill="auto"/>
          </w:tcPr>
          <w:p w14:paraId="1AA0BDC6" w14:textId="77777777" w:rsidR="007F5413" w:rsidRDefault="007F5413" w:rsidP="00080B3F">
            <w:pPr>
              <w:pStyle w:val="BoxText"/>
            </w:pPr>
          </w:p>
        </w:tc>
        <w:tc>
          <w:tcPr>
            <w:tcW w:w="8048" w:type="dxa"/>
            <w:tcBorders>
              <w:top w:val="single" w:sz="24" w:space="0" w:color="3F6294"/>
            </w:tcBorders>
            <w:shd w:val="clear" w:color="auto" w:fill="C2DAEB"/>
          </w:tcPr>
          <w:p w14:paraId="239D04BD" w14:textId="47A6A61F" w:rsidR="007F5413" w:rsidRDefault="004B38B3" w:rsidP="008621A8">
            <w:pPr>
              <w:pStyle w:val="BoxBullet"/>
              <w:rPr>
                <w:noProof/>
              </w:rPr>
            </w:pPr>
            <w:r>
              <w:rPr>
                <w:noProof/>
              </w:rPr>
              <w:t>A majority of taxpayers chose to value trading stock at ‘cost’ for tax purposes. Many already rely on financial accounting numbers to establish that cost value, and this treatment was neither contentious nor subject to regular challenge from the ATO.</w:t>
            </w:r>
          </w:p>
          <w:p w14:paraId="24F68D36" w14:textId="77777777" w:rsidR="00B33DDA" w:rsidRDefault="004B38B3" w:rsidP="008621A8">
            <w:pPr>
              <w:pStyle w:val="BoxBullet"/>
            </w:pPr>
            <w:r>
              <w:rPr>
                <w:noProof/>
              </w:rPr>
              <w:t>Accordingly, the Board has concluded that there is not a strong efficiency or simplicity impetus for the introduction of an additional trading stock valuation method into the tax law.</w:t>
            </w:r>
            <w:r w:rsidR="008621A8">
              <w:rPr>
                <w:noProof/>
              </w:rPr>
              <w:t xml:space="preserve"> </w:t>
            </w:r>
          </w:p>
          <w:p w14:paraId="59CB8428" w14:textId="2194279C" w:rsidR="007F5413" w:rsidRDefault="008621A8" w:rsidP="008621A8">
            <w:pPr>
              <w:pStyle w:val="BoxBullet"/>
            </w:pPr>
            <w:r>
              <w:rPr>
                <w:noProof/>
              </w:rPr>
              <w:t>A</w:t>
            </w:r>
            <w:r w:rsidRPr="008621A8">
              <w:rPr>
                <w:noProof/>
              </w:rPr>
              <w:t>dditional considerations</w:t>
            </w:r>
            <w:r>
              <w:rPr>
                <w:noProof/>
              </w:rPr>
              <w:t xml:space="preserve"> – such as the treatment of trade incentives - </w:t>
            </w:r>
            <w:r w:rsidRPr="008621A8">
              <w:rPr>
                <w:noProof/>
              </w:rPr>
              <w:t>do not support the case for legislative reform.</w:t>
            </w:r>
          </w:p>
        </w:tc>
      </w:tr>
    </w:tbl>
    <w:p w14:paraId="06FE76D2" w14:textId="7EE76570" w:rsidR="008F3EDB" w:rsidRDefault="008F3EDB" w:rsidP="008F3EDB">
      <w:pPr>
        <w:pStyle w:val="Heading2"/>
      </w:pPr>
      <w:bookmarkStart w:id="15" w:name="_Toc520377815"/>
      <w:r>
        <w:t>Background and history of existing law</w:t>
      </w:r>
      <w:bookmarkEnd w:id="15"/>
    </w:p>
    <w:p w14:paraId="4CCF92CE" w14:textId="5CA871D3" w:rsidR="00A76CDA" w:rsidRDefault="00076686" w:rsidP="007F5413">
      <w:pPr>
        <w:pStyle w:val="NewNumberedParagraph"/>
      </w:pPr>
      <w:r>
        <w:t xml:space="preserve">The </w:t>
      </w:r>
      <w:r w:rsidR="00347A63">
        <w:t xml:space="preserve">Working Group considered </w:t>
      </w:r>
      <w:r>
        <w:t>the</w:t>
      </w:r>
      <w:r w:rsidR="007913A3">
        <w:t xml:space="preserve"> research paper prepared by the ATO on the</w:t>
      </w:r>
      <w:r>
        <w:t xml:space="preserve"> history of the </w:t>
      </w:r>
      <w:r w:rsidR="007913A3">
        <w:t xml:space="preserve">income tax </w:t>
      </w:r>
      <w:r>
        <w:t>trading stock rules</w:t>
      </w:r>
      <w:r w:rsidR="007913A3">
        <w:t>.  The research</w:t>
      </w:r>
      <w:r>
        <w:t xml:space="preserve"> </w:t>
      </w:r>
      <w:r w:rsidR="007913A3">
        <w:t>revealed</w:t>
      </w:r>
      <w:r>
        <w:t xml:space="preserve"> that the requirement to take the change in the value of trading stock on hand into account when computing a taxpayer’s taxable income has been a feature of </w:t>
      </w:r>
      <w:r w:rsidR="007913A3">
        <w:t xml:space="preserve">Australian </w:t>
      </w:r>
      <w:r>
        <w:t xml:space="preserve">income tax legislation since </w:t>
      </w:r>
      <w:r w:rsidR="007913A3">
        <w:t xml:space="preserve">at least </w:t>
      </w:r>
      <w:r>
        <w:t>1915.</w:t>
      </w:r>
      <w:r w:rsidR="00C31060">
        <w:t xml:space="preserve">  Valuation methodologies were first prescribed in 1918 and </w:t>
      </w:r>
      <w:r w:rsidR="006047A9">
        <w:t xml:space="preserve">subsequently amended in 1922 to </w:t>
      </w:r>
      <w:r w:rsidR="007913A3">
        <w:t xml:space="preserve">permit </w:t>
      </w:r>
      <w:r w:rsidR="006047A9">
        <w:t xml:space="preserve">an election between cost, market selling value </w:t>
      </w:r>
      <w:r w:rsidR="007913A3">
        <w:t xml:space="preserve">and </w:t>
      </w:r>
      <w:r w:rsidR="006047A9">
        <w:t>replacement price.</w:t>
      </w:r>
      <w:r w:rsidR="00A76CDA">
        <w:t xml:space="preserve"> </w:t>
      </w:r>
      <w:r w:rsidR="006047A9">
        <w:t xml:space="preserve">The 1922 </w:t>
      </w:r>
      <w:r w:rsidR="00A76CDA">
        <w:t xml:space="preserve">rules were subsequently substantially replicated in the 1936 Tax Act and the 1997 Tax Act.  </w:t>
      </w:r>
    </w:p>
    <w:p w14:paraId="2DCD7E99" w14:textId="16D621B0" w:rsidR="006047A9" w:rsidRDefault="00A76CDA" w:rsidP="007F5413">
      <w:pPr>
        <w:pStyle w:val="NewNumberedParagraph"/>
      </w:pPr>
      <w:r>
        <w:t xml:space="preserve">The </w:t>
      </w:r>
      <w:r w:rsidR="00F508EA">
        <w:t xml:space="preserve">historical </w:t>
      </w:r>
      <w:r>
        <w:t xml:space="preserve">review did not reveal a clear policy reason for the three particular valuation methods being selected, although it </w:t>
      </w:r>
      <w:r w:rsidR="007577C4">
        <w:t xml:space="preserve">could be observed </w:t>
      </w:r>
      <w:r>
        <w:t>that the context in which the methods suggested that their focus was livestock</w:t>
      </w:r>
      <w:r w:rsidR="00F508EA">
        <w:t>, rather than goods and merchandise.</w:t>
      </w:r>
    </w:p>
    <w:p w14:paraId="4460C7DC" w14:textId="60E7D71A" w:rsidR="00076686" w:rsidRDefault="00076686" w:rsidP="00076686">
      <w:pPr>
        <w:pStyle w:val="Heading3"/>
      </w:pPr>
      <w:r>
        <w:t>Ralph review proposal</w:t>
      </w:r>
    </w:p>
    <w:p w14:paraId="5C90C3D6" w14:textId="6F935F70" w:rsidR="00F508EA" w:rsidRDefault="00F508EA" w:rsidP="007F5413">
      <w:pPr>
        <w:pStyle w:val="NewNumberedParagraph"/>
      </w:pPr>
      <w:r>
        <w:t xml:space="preserve">The valuation of trading stock was considered as part of the Review of Business Taxation.  In the </w:t>
      </w:r>
      <w:r w:rsidR="007577C4">
        <w:t>C</w:t>
      </w:r>
      <w:r>
        <w:t xml:space="preserve">onsultation </w:t>
      </w:r>
      <w:r w:rsidR="007577C4">
        <w:t>P</w:t>
      </w:r>
      <w:r>
        <w:t>aper</w:t>
      </w:r>
      <w:r w:rsidR="003A490D">
        <w:t xml:space="preserve">, </w:t>
      </w:r>
      <w:r w:rsidR="003A490D" w:rsidRPr="0090466F">
        <w:rPr>
          <w:i/>
        </w:rPr>
        <w:t>A</w:t>
      </w:r>
      <w:r>
        <w:rPr>
          <w:i/>
        </w:rPr>
        <w:t xml:space="preserve"> platform for consultation</w:t>
      </w:r>
      <w:r w:rsidR="000F12A1">
        <w:rPr>
          <w:rStyle w:val="FootnoteReference"/>
          <w:i/>
        </w:rPr>
        <w:footnoteReference w:id="4"/>
      </w:r>
      <w:r>
        <w:t xml:space="preserve">, the options canvassed </w:t>
      </w:r>
      <w:r>
        <w:lastRenderedPageBreak/>
        <w:t>included adopting the accounting approach, valuing all stock at net realisable value and removing taxpayers’ ability to change between valuation methods.</w:t>
      </w:r>
    </w:p>
    <w:p w14:paraId="7D0B784C" w14:textId="24F70E5A" w:rsidR="00841290" w:rsidRPr="00F508EA" w:rsidRDefault="00F508EA" w:rsidP="007F5413">
      <w:pPr>
        <w:pStyle w:val="NewNumberedParagraph"/>
      </w:pPr>
      <w:r>
        <w:t xml:space="preserve">In the </w:t>
      </w:r>
      <w:r w:rsidR="007577C4">
        <w:t>Review’s Report</w:t>
      </w:r>
      <w:r>
        <w:t xml:space="preserve">, </w:t>
      </w:r>
      <w:r>
        <w:rPr>
          <w:i/>
        </w:rPr>
        <w:t>A tax system redesigned</w:t>
      </w:r>
      <w:r w:rsidR="000F12A1">
        <w:rPr>
          <w:rStyle w:val="FootnoteReference"/>
          <w:i/>
        </w:rPr>
        <w:footnoteReference w:id="5"/>
      </w:r>
      <w:r>
        <w:t xml:space="preserve">, </w:t>
      </w:r>
      <w:r w:rsidR="00841290">
        <w:t xml:space="preserve">the recommendation was that the law be changed to require trading stock be valued at the lower of cost or net realisable value (i.e. a basis aligned with accounting principles, without direct reference to accounting standards), by default, with an election for taxpayers to instead use market selling value. </w:t>
      </w:r>
    </w:p>
    <w:p w14:paraId="720CBBEA" w14:textId="60DFD7C3" w:rsidR="008F3EDB" w:rsidRDefault="008F3EDB" w:rsidP="008F3EDB">
      <w:pPr>
        <w:pStyle w:val="Heading2"/>
      </w:pPr>
      <w:bookmarkStart w:id="16" w:name="_Toc520377816"/>
      <w:r>
        <w:t>Application of existing law</w:t>
      </w:r>
      <w:bookmarkEnd w:id="16"/>
      <w:r>
        <w:t xml:space="preserve"> </w:t>
      </w:r>
    </w:p>
    <w:p w14:paraId="6DEB1E20" w14:textId="4F253F57" w:rsidR="008F3EDB" w:rsidRDefault="008F3EDB" w:rsidP="008F3EDB">
      <w:pPr>
        <w:pStyle w:val="Heading3"/>
      </w:pPr>
      <w:r>
        <w:t xml:space="preserve">Practice </w:t>
      </w:r>
    </w:p>
    <w:p w14:paraId="3C3A1878" w14:textId="77777777" w:rsidR="00433132" w:rsidRDefault="00433132" w:rsidP="007F5413">
      <w:pPr>
        <w:pStyle w:val="NewNumberedParagraph"/>
      </w:pPr>
      <w:r>
        <w:t>As the trading stock valuation rules have operated in substantially their modern form since 1922, the compliance practice in the taxpayer community in respect of these rules is largely well settled, as is the ATO approach to the core rules.</w:t>
      </w:r>
    </w:p>
    <w:p w14:paraId="5B575A0E" w14:textId="677291A1" w:rsidR="008F3EDB" w:rsidRDefault="00936749" w:rsidP="007F5413">
      <w:pPr>
        <w:pStyle w:val="NewNumberedParagraph"/>
      </w:pPr>
      <w:r>
        <w:t xml:space="preserve">Following the decision in </w:t>
      </w:r>
      <w:r w:rsidRPr="0090466F">
        <w:rPr>
          <w:i/>
        </w:rPr>
        <w:t xml:space="preserve">Philip Morris Ltd v FCT </w:t>
      </w:r>
      <w:r w:rsidRPr="00936749">
        <w:t>79 ATC 4352</w:t>
      </w:r>
      <w:r>
        <w:t xml:space="preserve"> </w:t>
      </w:r>
      <w:r w:rsidR="007577C4">
        <w:t>(</w:t>
      </w:r>
      <w:r>
        <w:t>which supported the ATO’s position</w:t>
      </w:r>
      <w:r w:rsidR="007577C4">
        <w:t>)</w:t>
      </w:r>
      <w:r>
        <w:t xml:space="preserve">, the </w:t>
      </w:r>
      <w:r w:rsidR="00433132">
        <w:t xml:space="preserve">ATO publicly released its view </w:t>
      </w:r>
      <w:r w:rsidR="009E6D15">
        <w:t xml:space="preserve">of the meaning of </w:t>
      </w:r>
      <w:r w:rsidR="00433132">
        <w:t xml:space="preserve">‘cost’ of trading </w:t>
      </w:r>
      <w:r w:rsidR="009E6D15">
        <w:t>stock for income tax purposes in the 1986 Taxation Ruling IT 2350 (</w:t>
      </w:r>
      <w:r w:rsidR="009E6D15">
        <w:rPr>
          <w:i/>
        </w:rPr>
        <w:t>I</w:t>
      </w:r>
      <w:r w:rsidR="009E6D15" w:rsidRPr="009E6D15">
        <w:rPr>
          <w:i/>
        </w:rPr>
        <w:t>ncome tax : value of trading stock on hand at end of year : cost price : absorption cost</w:t>
      </w:r>
      <w:r w:rsidR="009E6D15">
        <w:t>)</w:t>
      </w:r>
      <w:r w:rsidR="007577C4">
        <w:t>.  The Ruling provided, relevantly</w:t>
      </w:r>
      <w:r w:rsidR="009E6D15">
        <w:t>:</w:t>
      </w:r>
      <w:r w:rsidR="00433132">
        <w:t xml:space="preserve"> </w:t>
      </w:r>
    </w:p>
    <w:p w14:paraId="0545BBEB" w14:textId="20B12C43" w:rsidR="009E6D15" w:rsidRPr="007F5413" w:rsidRDefault="009E6D15" w:rsidP="007F5413">
      <w:pPr>
        <w:pStyle w:val="NormalIndent"/>
        <w:ind w:left="1440"/>
        <w:rPr>
          <w:i/>
        </w:rPr>
      </w:pPr>
      <w:r>
        <w:t>5</w:t>
      </w:r>
      <w:r w:rsidRPr="007F5413">
        <w:rPr>
          <w:i/>
        </w:rPr>
        <w:t>. …there are two methods of ascertaining the cost of manufactured trading stock which are recognised for accounting purposes. The first, known as direct costing or variable costing, takes into account the cost of materials and the cost of labour used directly in the manufacturing operations. The second method, known as absorption costing or conventional costing, has regard not only to the costs of materials and direct labour but takes into account also what are known as indirect costs, e.g. factory overheads.</w:t>
      </w:r>
    </w:p>
    <w:p w14:paraId="5F46CF5B" w14:textId="53FCB4CE" w:rsidR="009E6D15" w:rsidRPr="007F5413" w:rsidRDefault="009E6D15" w:rsidP="007F5413">
      <w:pPr>
        <w:pStyle w:val="NormalIndent"/>
        <w:ind w:left="1440"/>
        <w:rPr>
          <w:i/>
        </w:rPr>
      </w:pPr>
      <w:bookmarkStart w:id="17" w:name="P6"/>
      <w:bookmarkEnd w:id="17"/>
      <w:r w:rsidRPr="007F5413">
        <w:rPr>
          <w:i/>
        </w:rPr>
        <w:t>6. It is the official view that the absorption cost method is the correct means of ascertaining the cost of trading stock on hand at the end of a year in a manufacturing business.</w:t>
      </w:r>
    </w:p>
    <w:p w14:paraId="1EC7495F" w14:textId="4DD5DB72" w:rsidR="009E6D15" w:rsidRDefault="00AF4350" w:rsidP="007F5413">
      <w:pPr>
        <w:pStyle w:val="NewNumberedParagraph"/>
      </w:pPr>
      <w:r>
        <w:t xml:space="preserve">Existing </w:t>
      </w:r>
      <w:r w:rsidR="009E6D15">
        <w:t xml:space="preserve">Australian accounting standards </w:t>
      </w:r>
      <w:r>
        <w:t>do not</w:t>
      </w:r>
      <w:r w:rsidR="009E6D15">
        <w:t xml:space="preserve"> </w:t>
      </w:r>
      <w:r w:rsidR="00936749">
        <w:t>permit</w:t>
      </w:r>
      <w:r w:rsidR="0076767A">
        <w:t xml:space="preserve"> solely</w:t>
      </w:r>
      <w:r w:rsidR="00936749">
        <w:t xml:space="preserve"> </w:t>
      </w:r>
      <w:r w:rsidR="009E6D15">
        <w:t>‘direct’ costing</w:t>
      </w:r>
      <w:r w:rsidR="00936749">
        <w:t xml:space="preserve"> of the sort referred to in IT 2350</w:t>
      </w:r>
      <w:r w:rsidR="009E6D15">
        <w:t xml:space="preserve">, and IT 2350, which dealt with taxpayers in the manufacturing industry, </w:t>
      </w:r>
      <w:r w:rsidR="0068236A">
        <w:t xml:space="preserve">and which </w:t>
      </w:r>
      <w:r w:rsidR="007577C4">
        <w:t xml:space="preserve">has been </w:t>
      </w:r>
      <w:r w:rsidR="009E6D15">
        <w:t>supplemented by the release of TR</w:t>
      </w:r>
      <w:r w:rsidR="00562DE1">
        <w:t> </w:t>
      </w:r>
      <w:r w:rsidR="009E6D15">
        <w:t>2006/8 (</w:t>
      </w:r>
      <w:r w:rsidR="009E6D15" w:rsidRPr="009E6D15">
        <w:rPr>
          <w:i/>
        </w:rPr>
        <w:t>Income tax: the cost basis of valuing trading stock for taxpayers in the retail and wholesale industries</w:t>
      </w:r>
      <w:r w:rsidR="009E6D15">
        <w:t>).</w:t>
      </w:r>
    </w:p>
    <w:p w14:paraId="56068726" w14:textId="77777777" w:rsidR="009E6D15" w:rsidRDefault="009E6D15" w:rsidP="007F5413">
      <w:pPr>
        <w:pStyle w:val="NewNumberedParagraph"/>
      </w:pPr>
      <w:r>
        <w:lastRenderedPageBreak/>
        <w:t>In computing their taxable income, taxpayers may make a number of typical trading stock related adjustments:</w:t>
      </w:r>
    </w:p>
    <w:p w14:paraId="4BD2EA35" w14:textId="75830594" w:rsidR="009E6D15" w:rsidRDefault="009E6D15" w:rsidP="007F5413">
      <w:pPr>
        <w:pStyle w:val="Dash"/>
      </w:pPr>
      <w:r>
        <w:t>adjustment for consumables (amounts of accounting inventory that are not trading stock for tax);</w:t>
      </w:r>
    </w:p>
    <w:p w14:paraId="0D7FAA46" w14:textId="5F2125F9" w:rsidR="008F3EDB" w:rsidRDefault="009E6D15" w:rsidP="007F5413">
      <w:pPr>
        <w:pStyle w:val="Dash"/>
      </w:pPr>
      <w:r>
        <w:t xml:space="preserve">adjustment for certain rebates received (amounts received from suppliers that are income and not part of cost of trading stock for tax); </w:t>
      </w:r>
    </w:p>
    <w:p w14:paraId="21BC832D" w14:textId="7290C894" w:rsidR="00727F93" w:rsidRPr="0090466F" w:rsidRDefault="00F914AA" w:rsidP="007F5413">
      <w:pPr>
        <w:pStyle w:val="Dash"/>
      </w:pPr>
      <w:r w:rsidRPr="007577C4">
        <w:t xml:space="preserve">adjustment for </w:t>
      </w:r>
      <w:r w:rsidR="00727F93" w:rsidRPr="007577C4">
        <w:t xml:space="preserve">costs absorbed for accounting </w:t>
      </w:r>
      <w:r w:rsidRPr="007577C4">
        <w:t>purposes that are non-deductible for income tax purposes</w:t>
      </w:r>
      <w:r w:rsidR="00562DE1">
        <w:t>; and</w:t>
      </w:r>
      <w:r w:rsidRPr="007577C4" w:rsidDel="00F914AA">
        <w:t xml:space="preserve"> </w:t>
      </w:r>
    </w:p>
    <w:p w14:paraId="18FA2AAE" w14:textId="1E08A53D" w:rsidR="009E6D15" w:rsidRDefault="009E6D15" w:rsidP="007F5413">
      <w:pPr>
        <w:pStyle w:val="Dash"/>
      </w:pPr>
      <w:r>
        <w:t>adjustment for stock obsolescence provision movements.</w:t>
      </w:r>
    </w:p>
    <w:p w14:paraId="336FFCA7" w14:textId="45239693" w:rsidR="00F72FB4" w:rsidRDefault="00E67B01" w:rsidP="007F5413">
      <w:pPr>
        <w:pStyle w:val="NewNumberedParagraph"/>
      </w:pPr>
      <w:r>
        <w:t xml:space="preserve">The </w:t>
      </w:r>
      <w:r w:rsidR="00347A63">
        <w:t>Working Group</w:t>
      </w:r>
      <w:r>
        <w:t>’s assessment, based on consultation, was that the annual compliance cost associated with making such adjustments for established businesses</w:t>
      </w:r>
      <w:r w:rsidR="00F914AA">
        <w:t xml:space="preserve"> that prepare audited financial accounts</w:t>
      </w:r>
      <w:r>
        <w:t xml:space="preserve"> tends</w:t>
      </w:r>
      <w:r w:rsidR="007577C4">
        <w:t>, on the whole</w:t>
      </w:r>
      <w:r w:rsidR="007577C4">
        <w:rPr>
          <w:rStyle w:val="FootnoteReference"/>
        </w:rPr>
        <w:footnoteReference w:id="6"/>
      </w:r>
      <w:r w:rsidR="007577C4">
        <w:t>,</w:t>
      </w:r>
      <w:r>
        <w:t xml:space="preserve"> to be low, as </w:t>
      </w:r>
      <w:r w:rsidR="00F914AA">
        <w:t xml:space="preserve">such </w:t>
      </w:r>
      <w:r>
        <w:t xml:space="preserve">businesses </w:t>
      </w:r>
      <w:r w:rsidR="00F914AA">
        <w:t xml:space="preserve">tend to </w:t>
      </w:r>
      <w:r>
        <w:t>have an established methodology and a known list of general ledger accounts that must be analysed or adjusted</w:t>
      </w:r>
      <w:r w:rsidR="00143EB2">
        <w:t xml:space="preserve"> for on an annual basis</w:t>
      </w:r>
      <w:r w:rsidR="00F72FB4">
        <w:rPr>
          <w:rStyle w:val="FootnoteReference"/>
        </w:rPr>
        <w:footnoteReference w:id="7"/>
      </w:r>
      <w:r>
        <w:t>.</w:t>
      </w:r>
    </w:p>
    <w:p w14:paraId="0980B4C3" w14:textId="4FF6F8B8" w:rsidR="008F3EDB" w:rsidRDefault="008F3EDB" w:rsidP="008F3EDB">
      <w:pPr>
        <w:pStyle w:val="Heading3"/>
      </w:pPr>
      <w:r>
        <w:t>Disputes</w:t>
      </w:r>
    </w:p>
    <w:p w14:paraId="759437A1" w14:textId="015466F7" w:rsidR="00E67B01" w:rsidRDefault="00E67B01" w:rsidP="007F5413">
      <w:pPr>
        <w:pStyle w:val="NewNumberedParagraph"/>
      </w:pPr>
      <w:r>
        <w:t xml:space="preserve">The </w:t>
      </w:r>
      <w:r w:rsidR="00347A63">
        <w:t>Working Group</w:t>
      </w:r>
      <w:r>
        <w:t xml:space="preserve"> engaged with </w:t>
      </w:r>
      <w:r w:rsidR="00143EB2">
        <w:t>a number of ATO business lines to assess the magnitude of compliance costs borne by taxpayers in the form of disputes with the ATO around the valuation methodology used for stock.</w:t>
      </w:r>
    </w:p>
    <w:p w14:paraId="60BA6DDB" w14:textId="4EFAB54B" w:rsidR="00143EB2" w:rsidRDefault="00143EB2" w:rsidP="007F5413">
      <w:pPr>
        <w:pStyle w:val="NewNumberedParagraph"/>
      </w:pPr>
      <w:r>
        <w:t xml:space="preserve">Based on this engagement, the </w:t>
      </w:r>
      <w:r w:rsidR="00347A63">
        <w:t>Working Group</w:t>
      </w:r>
      <w:r>
        <w:t xml:space="preserve"> understands that, within the class of taxpayers that could avail themselves </w:t>
      </w:r>
      <w:r w:rsidR="004B38B3">
        <w:t xml:space="preserve">of the </w:t>
      </w:r>
      <w:r>
        <w:t xml:space="preserve">proposed optional trading stock valuation methodology (namely, taxpayers with audited accounts), </w:t>
      </w:r>
      <w:r w:rsidR="00F72FB4">
        <w:t xml:space="preserve">taxpayers typically </w:t>
      </w:r>
      <w:r w:rsidR="00E3659C">
        <w:t xml:space="preserve">already </w:t>
      </w:r>
      <w:r w:rsidR="00F72FB4">
        <w:t xml:space="preserve">rely on their financial accounts </w:t>
      </w:r>
      <w:r w:rsidR="00E3659C">
        <w:t xml:space="preserve">for income tax purposes </w:t>
      </w:r>
      <w:r w:rsidR="00F72FB4">
        <w:t xml:space="preserve">and that this </w:t>
      </w:r>
      <w:r w:rsidR="00E3659C">
        <w:t xml:space="preserve">approach to tax </w:t>
      </w:r>
      <w:r>
        <w:t>trading stock valuation does not represent a regular or recurrent matter of dispute</w:t>
      </w:r>
      <w:r w:rsidR="00E3659C">
        <w:t xml:space="preserve"> with the ATO</w:t>
      </w:r>
      <w:r>
        <w:t>.  Indeed, disputes in relation to this matter were uncommon</w:t>
      </w:r>
      <w:r w:rsidR="00E3659C">
        <w:t xml:space="preserve"> within this class of taxpayers</w:t>
      </w:r>
      <w:r>
        <w:t>.</w:t>
      </w:r>
    </w:p>
    <w:p w14:paraId="6D100493" w14:textId="4004D0F1" w:rsidR="00846FAC" w:rsidRDefault="00E62083" w:rsidP="007F5413">
      <w:pPr>
        <w:pStyle w:val="NewNumberedParagraph"/>
      </w:pPr>
      <w:r>
        <w:t xml:space="preserve">This outcome is consistent with the Commissioner’s observation, albeit non-binding, </w:t>
      </w:r>
      <w:r w:rsidR="00E3659C">
        <w:t>included</w:t>
      </w:r>
      <w:r>
        <w:t xml:space="preserve"> in ATO’s Tax Ruling TR 2006/8:</w:t>
      </w:r>
    </w:p>
    <w:p w14:paraId="1F6D742F" w14:textId="2FC6FA8F" w:rsidR="00E62083" w:rsidRPr="007F5413" w:rsidRDefault="00E62083" w:rsidP="007F5413">
      <w:pPr>
        <w:pStyle w:val="NormalIndent"/>
        <w:ind w:left="1440"/>
        <w:rPr>
          <w:i/>
        </w:rPr>
      </w:pPr>
      <w:r w:rsidRPr="007F5413">
        <w:rPr>
          <w:i/>
        </w:rPr>
        <w:t>21. Use of absorption costing for inventories in accordance with AASB 102 would often produce an acceptable value of the cost of trading stock for taxation purposes.</w:t>
      </w:r>
    </w:p>
    <w:p w14:paraId="1E746E3B" w14:textId="05737E08" w:rsidR="008F3EDB" w:rsidRDefault="008F3EDB" w:rsidP="008F3EDB">
      <w:pPr>
        <w:pStyle w:val="Heading2"/>
      </w:pPr>
      <w:bookmarkStart w:id="18" w:name="_Toc520377817"/>
      <w:r>
        <w:lastRenderedPageBreak/>
        <w:t>Taxpayer trading stock valuation methodology approaches</w:t>
      </w:r>
      <w:bookmarkEnd w:id="18"/>
    </w:p>
    <w:p w14:paraId="04861A45" w14:textId="34676849" w:rsidR="008F3EDB" w:rsidRDefault="003D06C4" w:rsidP="007F5413">
      <w:pPr>
        <w:pStyle w:val="NewNumberedParagraph"/>
      </w:pPr>
      <w:r w:rsidRPr="004B38B3">
        <w:t xml:space="preserve">The </w:t>
      </w:r>
      <w:r w:rsidR="00347A63" w:rsidRPr="004B38B3">
        <w:t>Working Group</w:t>
      </w:r>
      <w:r w:rsidRPr="004B38B3">
        <w:t xml:space="preserve"> also reviewed </w:t>
      </w:r>
      <w:r w:rsidR="00F550A2" w:rsidRPr="004B38B3">
        <w:t>selected statistical tax return disclosure data from five income years of lodgements</w:t>
      </w:r>
      <w:r w:rsidR="004B38B3" w:rsidRPr="004B38B3">
        <w:rPr>
          <w:rStyle w:val="FootnoteReference"/>
        </w:rPr>
        <w:footnoteReference w:id="8"/>
      </w:r>
      <w:r w:rsidR="004E338A" w:rsidRPr="004B38B3">
        <w:t xml:space="preserve"> </w:t>
      </w:r>
      <w:r w:rsidR="00F550A2" w:rsidRPr="004B38B3">
        <w:t>.</w:t>
      </w:r>
      <w:r w:rsidR="00F550A2">
        <w:t xml:space="preserve">  The data showed that a significant majority of taxpayers (over 90</w:t>
      </w:r>
      <w:r w:rsidR="00D40714">
        <w:t xml:space="preserve"> per cent</w:t>
      </w:r>
      <w:r w:rsidR="00F550A2">
        <w:t xml:space="preserve">, by number) </w:t>
      </w:r>
      <w:r w:rsidR="00D93F8D">
        <w:t xml:space="preserve">disclosed that they </w:t>
      </w:r>
      <w:r w:rsidR="00F550A2">
        <w:t>chose to use the ‘cost’ basis for valuing their trading stock</w:t>
      </w:r>
      <w:r w:rsidR="00F914AA">
        <w:rPr>
          <w:rStyle w:val="FootnoteReference"/>
        </w:rPr>
        <w:footnoteReference w:id="9"/>
      </w:r>
      <w:r w:rsidR="00F550A2">
        <w:t>.</w:t>
      </w:r>
    </w:p>
    <w:p w14:paraId="570583B7" w14:textId="161D199A" w:rsidR="00F550A2" w:rsidRDefault="00F550A2" w:rsidP="007F5413">
      <w:pPr>
        <w:pStyle w:val="NewNumberedParagraph"/>
      </w:pPr>
      <w:r>
        <w:t>This trend was evident across the section of taxpayer types (companies, trusts and partnerships) and business sizes (large, SME and micro enterprises).</w:t>
      </w:r>
    </w:p>
    <w:p w14:paraId="0FB7B811" w14:textId="715E72F4" w:rsidR="00727F93" w:rsidRDefault="00AF2093" w:rsidP="00AF2093">
      <w:pPr>
        <w:pStyle w:val="Heading2"/>
      </w:pPr>
      <w:bookmarkStart w:id="19" w:name="_Toc520377818"/>
      <w:r>
        <w:t>Interim c</w:t>
      </w:r>
      <w:r w:rsidR="00727F93">
        <w:t xml:space="preserve">onclusion </w:t>
      </w:r>
      <w:r>
        <w:t xml:space="preserve">– </w:t>
      </w:r>
      <w:r w:rsidR="00727F93">
        <w:t>efficiency</w:t>
      </w:r>
      <w:r w:rsidR="00B22C61">
        <w:t xml:space="preserve"> grounds for</w:t>
      </w:r>
      <w:r w:rsidR="00727F93">
        <w:t xml:space="preserve"> proposed option</w:t>
      </w:r>
      <w:bookmarkEnd w:id="19"/>
    </w:p>
    <w:p w14:paraId="20D01D14" w14:textId="1574BAD4" w:rsidR="00727F93" w:rsidRDefault="00727F93" w:rsidP="007F5413">
      <w:pPr>
        <w:pStyle w:val="NewNumberedParagraph"/>
      </w:pPr>
      <w:r>
        <w:t xml:space="preserve">Based on an assessment of information presented to the </w:t>
      </w:r>
      <w:r w:rsidR="00347A63">
        <w:t>Working Group</w:t>
      </w:r>
      <w:r>
        <w:t xml:space="preserve"> as part of the consultation process and the </w:t>
      </w:r>
      <w:r w:rsidR="00347A63">
        <w:t>Board</w:t>
      </w:r>
      <w:r>
        <w:t xml:space="preserve">’s own deliberation, the </w:t>
      </w:r>
      <w:r w:rsidR="00347A63">
        <w:t xml:space="preserve">Board </w:t>
      </w:r>
      <w:r>
        <w:t xml:space="preserve">concluded that there is not a strong efficiency </w:t>
      </w:r>
      <w:r w:rsidR="00F72FB4">
        <w:t>or simplicity impetus for the introduction of an additional trading stock valuation method into the tax law.</w:t>
      </w:r>
    </w:p>
    <w:p w14:paraId="563BB871" w14:textId="3A300F96" w:rsidR="00F72FB4" w:rsidRDefault="00F72FB4" w:rsidP="007F5413">
      <w:pPr>
        <w:pStyle w:val="NewNumberedParagraph"/>
      </w:pPr>
      <w:r>
        <w:t xml:space="preserve">This is because </w:t>
      </w:r>
      <w:r w:rsidR="00B22C61">
        <w:t xml:space="preserve">the taxation law already </w:t>
      </w:r>
      <w:r w:rsidR="001908E9">
        <w:t xml:space="preserve">largely </w:t>
      </w:r>
      <w:r w:rsidR="00B22C61">
        <w:t>operates</w:t>
      </w:r>
      <w:r w:rsidR="00E3659C">
        <w:t xml:space="preserve"> and is administered</w:t>
      </w:r>
      <w:r w:rsidR="00B22C61">
        <w:t xml:space="preserve">, in a </w:t>
      </w:r>
      <w:r w:rsidR="00B22C61">
        <w:rPr>
          <w:i/>
        </w:rPr>
        <w:t xml:space="preserve">de </w:t>
      </w:r>
      <w:r w:rsidR="00B22C61" w:rsidRPr="00B22C61">
        <w:rPr>
          <w:i/>
        </w:rPr>
        <w:t>facto</w:t>
      </w:r>
      <w:r w:rsidR="00B22C61">
        <w:t xml:space="preserve"> sense, as if the proposed valuation method were operative.  </w:t>
      </w:r>
      <w:r w:rsidRPr="00B22C61">
        <w:t>Specifically</w:t>
      </w:r>
      <w:r>
        <w:t xml:space="preserve">, information received by the </w:t>
      </w:r>
      <w:r w:rsidR="00347A63">
        <w:t>Working Group</w:t>
      </w:r>
      <w:r>
        <w:t xml:space="preserve"> suggested that, in practice, taxpayers </w:t>
      </w:r>
      <w:r w:rsidR="00B22C61">
        <w:t xml:space="preserve">who </w:t>
      </w:r>
      <w:r>
        <w:t>were presently electing a ‘cost’ valuation methodology</w:t>
      </w:r>
      <w:r w:rsidR="00B22C61">
        <w:rPr>
          <w:rStyle w:val="FootnoteReference"/>
        </w:rPr>
        <w:footnoteReference w:id="10"/>
      </w:r>
      <w:r>
        <w:t xml:space="preserve"> </w:t>
      </w:r>
      <w:r w:rsidR="00B22C61">
        <w:t>were</w:t>
      </w:r>
      <w:r>
        <w:t xml:space="preserve"> </w:t>
      </w:r>
      <w:r w:rsidR="00E3659C">
        <w:t xml:space="preserve">regularly </w:t>
      </w:r>
      <w:r>
        <w:t xml:space="preserve">relying on financial accounting numbers to establish </w:t>
      </w:r>
      <w:r w:rsidR="00B22C61">
        <w:t>that cost</w:t>
      </w:r>
      <w:r>
        <w:t xml:space="preserve"> value, that accounting-to-tax adjustments made were well understood </w:t>
      </w:r>
      <w:r w:rsidR="00B22C61">
        <w:t xml:space="preserve">by the taxpayer community </w:t>
      </w:r>
      <w:r>
        <w:t xml:space="preserve">and that this treatment was </w:t>
      </w:r>
      <w:r w:rsidR="00E62083">
        <w:t>neither contentious nor</w:t>
      </w:r>
      <w:r>
        <w:t xml:space="preserve"> subject to regular challenge from the ATO.  </w:t>
      </w:r>
    </w:p>
    <w:p w14:paraId="7AA88A88" w14:textId="13A53D2F" w:rsidR="00B22C61" w:rsidRDefault="00B22C61" w:rsidP="00B33DDA">
      <w:pPr>
        <w:pStyle w:val="Heading2"/>
      </w:pPr>
      <w:bookmarkStart w:id="20" w:name="_Toc520377819"/>
      <w:r>
        <w:t>Additional considerations</w:t>
      </w:r>
      <w:bookmarkEnd w:id="20"/>
    </w:p>
    <w:p w14:paraId="3FD23E02" w14:textId="5E57F95D" w:rsidR="00DC04C5" w:rsidRDefault="00B22C61" w:rsidP="007F5413">
      <w:pPr>
        <w:pStyle w:val="NewNumberedParagraph"/>
      </w:pPr>
      <w:r>
        <w:t xml:space="preserve">The </w:t>
      </w:r>
      <w:r w:rsidR="00347A63">
        <w:t>Working Group</w:t>
      </w:r>
      <w:r>
        <w:t xml:space="preserve"> also noted that in addition to potential efficiency/simplicity outcomes, an ability for taxpayers to rely on accounting </w:t>
      </w:r>
      <w:r w:rsidR="00DC04C5">
        <w:t xml:space="preserve">cost </w:t>
      </w:r>
      <w:r>
        <w:t xml:space="preserve">values in valuing trading stock could, in some circumstances, result in substantive changes to </w:t>
      </w:r>
      <w:r w:rsidR="00DC04C5">
        <w:t xml:space="preserve">the timing of recognition of </w:t>
      </w:r>
      <w:r>
        <w:t>taxpayers’</w:t>
      </w:r>
      <w:r w:rsidR="00DC04C5">
        <w:t xml:space="preserve"> taxable incomes and/or create particular systemic biases on an economy-wide basis.</w:t>
      </w:r>
      <w:r w:rsidR="00DC04C5" w:rsidRPr="00DC04C5">
        <w:t xml:space="preserve"> </w:t>
      </w:r>
    </w:p>
    <w:p w14:paraId="4461416C" w14:textId="700658EC" w:rsidR="00DC04C5" w:rsidRDefault="00DC04C5" w:rsidP="007F5413">
      <w:pPr>
        <w:pStyle w:val="NewNumberedParagraph"/>
      </w:pPr>
      <w:r>
        <w:lastRenderedPageBreak/>
        <w:t xml:space="preserve">The </w:t>
      </w:r>
      <w:r w:rsidR="00347A63">
        <w:t>Working Group</w:t>
      </w:r>
      <w:r>
        <w:t xml:space="preserve"> considered these potential changes to determine whether they added to or detracted from the case for reform. A summary of the </w:t>
      </w:r>
      <w:r w:rsidR="00347A63">
        <w:t>Board Working Group</w:t>
      </w:r>
      <w:r>
        <w:t>’s views in this regard is presented below.</w:t>
      </w:r>
    </w:p>
    <w:p w14:paraId="173E632B" w14:textId="758628B6" w:rsidR="00F16B07" w:rsidRDefault="00DC04C5" w:rsidP="00B33DDA">
      <w:pPr>
        <w:pStyle w:val="Heading3"/>
      </w:pPr>
      <w:r>
        <w:t>Trade incentives</w:t>
      </w:r>
    </w:p>
    <w:p w14:paraId="5B808657" w14:textId="36D4D4B0" w:rsidR="00DC04C5" w:rsidRDefault="00DC04C5" w:rsidP="007F5413">
      <w:pPr>
        <w:pStyle w:val="NewNumberedParagraph"/>
      </w:pPr>
      <w:r>
        <w:t>In some industries it is common for suppliers to offer incentives to their customers.  Such incentives can take multiple forms and include rebates, subsidies and discounts.</w:t>
      </w:r>
    </w:p>
    <w:p w14:paraId="1DF04678" w14:textId="59BB4002" w:rsidR="00DC04C5" w:rsidRDefault="00DC04C5" w:rsidP="007F5413">
      <w:pPr>
        <w:pStyle w:val="NewNumberedParagraph"/>
      </w:pPr>
      <w:r>
        <w:t>The ATO has published its views on the income tax consequences of such arrangements in Taxation Ruling TR 2009/5.  The Ruling provides, relevantly:</w:t>
      </w:r>
    </w:p>
    <w:p w14:paraId="42DC6490" w14:textId="77777777" w:rsidR="00DC04C5" w:rsidRPr="007F5413" w:rsidRDefault="00DC04C5" w:rsidP="007F5413">
      <w:pPr>
        <w:pStyle w:val="NormalIndent"/>
        <w:ind w:left="1440"/>
        <w:rPr>
          <w:i/>
        </w:rPr>
      </w:pPr>
      <w:r w:rsidRPr="007F5413">
        <w:rPr>
          <w:i/>
        </w:rPr>
        <w:t xml:space="preserve">6. A seller may provide a trade incentive that subsidises, compensates, reimburses or rewards a buyer for carrying out activities or performing services (such as promotional services) or, in the absence of such activities or services, secures a real commercial benefit for the seller in relation to its brand or future sales of its goods. </w:t>
      </w:r>
      <w:r w:rsidRPr="007F5413">
        <w:rPr>
          <w:b/>
          <w:i/>
        </w:rPr>
        <w:t>Such a trade incentive does not relate directly to the purchase of the trading stock and does not reduce the cost of acquiring trading stock for the buyer</w:t>
      </w:r>
      <w:r w:rsidRPr="007F5413">
        <w:rPr>
          <w:i/>
        </w:rPr>
        <w:t>.</w:t>
      </w:r>
    </w:p>
    <w:p w14:paraId="2771F470" w14:textId="63206B57" w:rsidR="00DC04C5" w:rsidRPr="007F5413" w:rsidRDefault="00DC04C5" w:rsidP="007F5413">
      <w:pPr>
        <w:pStyle w:val="NormalIndent"/>
        <w:ind w:left="1440"/>
        <w:rPr>
          <w:i/>
        </w:rPr>
      </w:pPr>
      <w:r w:rsidRPr="007F5413">
        <w:rPr>
          <w:i/>
        </w:rPr>
        <w:t>7. Where a trade incentive does not reduce the buyer's cost of acquiring trading stock, the trade incentive is ordinary income of the buyer. On the assumption that the buyer returns income on an accruals basis, the income will be derived in the income year in which it is earned.</w:t>
      </w:r>
    </w:p>
    <w:p w14:paraId="6DC2CAD6" w14:textId="5929B622" w:rsidR="00DC04C5" w:rsidRPr="007F5413" w:rsidRDefault="00DC04C5" w:rsidP="007F5413">
      <w:pPr>
        <w:pStyle w:val="NormalIndent"/>
        <w:ind w:left="873" w:firstLine="567"/>
        <w:rPr>
          <w:i/>
        </w:rPr>
      </w:pPr>
      <w:r w:rsidRPr="007F5413">
        <w:rPr>
          <w:i/>
        </w:rPr>
        <w:t>(emphasis added)</w:t>
      </w:r>
    </w:p>
    <w:p w14:paraId="6CAE9F9B" w14:textId="72E30832" w:rsidR="00DC04C5" w:rsidRDefault="00670318" w:rsidP="007F5413">
      <w:pPr>
        <w:pStyle w:val="NewNumberedParagraph"/>
      </w:pPr>
      <w:r>
        <w:t xml:space="preserve">The </w:t>
      </w:r>
      <w:r w:rsidR="00347A63">
        <w:t>Working Group</w:t>
      </w:r>
      <w:r>
        <w:t xml:space="preserve">’s consultation process revealed that the exclusion of such incentives from the cost of trading stock </w:t>
      </w:r>
      <w:r w:rsidR="00AF4350">
        <w:t xml:space="preserve">could </w:t>
      </w:r>
      <w:r>
        <w:t>cause misalignment between the accounting cost of the relevant stock and its tax cost for some taxpayers</w:t>
      </w:r>
      <w:r>
        <w:rPr>
          <w:rStyle w:val="FootnoteReference"/>
        </w:rPr>
        <w:footnoteReference w:id="11"/>
      </w:r>
      <w:r>
        <w:t xml:space="preserve"> and creates added compliance costs, through the requirement to identify and quantify such incentives </w:t>
      </w:r>
      <w:r w:rsidR="00E3659C">
        <w:t xml:space="preserve">for </w:t>
      </w:r>
      <w:r>
        <w:t xml:space="preserve">each </w:t>
      </w:r>
      <w:r w:rsidR="00E3659C">
        <w:t xml:space="preserve">income </w:t>
      </w:r>
      <w:r>
        <w:t xml:space="preserve">year.  For these taxpayers, adding an ability to use the cost determined under the accounting standards </w:t>
      </w:r>
      <w:r w:rsidR="00E3659C">
        <w:t xml:space="preserve">could </w:t>
      </w:r>
      <w:r>
        <w:t>eliminate the associated compliance costs</w:t>
      </w:r>
      <w:r w:rsidR="00E3659C">
        <w:t xml:space="preserve">. </w:t>
      </w:r>
      <w:r w:rsidR="00D23DCA">
        <w:t xml:space="preserve"> </w:t>
      </w:r>
      <w:r w:rsidR="00E3659C">
        <w:t>O</w:t>
      </w:r>
      <w:r w:rsidR="00D23DCA">
        <w:t>n balance,</w:t>
      </w:r>
      <w:r w:rsidR="00E3659C">
        <w:t xml:space="preserve"> this change would also</w:t>
      </w:r>
      <w:r w:rsidR="00D23DCA">
        <w:t xml:space="preserve"> tend to reduce </w:t>
      </w:r>
      <w:r w:rsidR="00E3659C">
        <w:t xml:space="preserve">current </w:t>
      </w:r>
      <w:r w:rsidR="00D23DCA">
        <w:t>taxable income</w:t>
      </w:r>
      <w:r w:rsidR="00E3659C">
        <w:t xml:space="preserve"> by deferring the recognition timing of some incentive for recipients.</w:t>
      </w:r>
    </w:p>
    <w:p w14:paraId="1F2CC57F" w14:textId="0ABE4BC5" w:rsidR="00D23DCA" w:rsidRDefault="00D23DCA" w:rsidP="007F5413">
      <w:pPr>
        <w:pStyle w:val="NewNumberedParagraph"/>
      </w:pPr>
      <w:r>
        <w:t xml:space="preserve">Whilst recognising the compliance benefit that would be available to taxpayers in such circumstances, the </w:t>
      </w:r>
      <w:r w:rsidR="00347A63">
        <w:t>Working Group</w:t>
      </w:r>
      <w:r>
        <w:t xml:space="preserve"> also noted a number of </w:t>
      </w:r>
      <w:r w:rsidR="00E95A85">
        <w:t>countervailing matters and consequences</w:t>
      </w:r>
      <w:r>
        <w:t>:</w:t>
      </w:r>
    </w:p>
    <w:p w14:paraId="04D435C7" w14:textId="56956D6C" w:rsidR="00D23DCA" w:rsidRDefault="00D23DCA" w:rsidP="007F5413">
      <w:pPr>
        <w:pStyle w:val="OutlineNumbered1"/>
        <w:numPr>
          <w:ilvl w:val="0"/>
          <w:numId w:val="49"/>
        </w:numPr>
      </w:pPr>
      <w:r>
        <w:t xml:space="preserve">Accounting standards and accounting policy – </w:t>
      </w:r>
      <w:r w:rsidR="008A623E">
        <w:t xml:space="preserve">Although AASB 102.11 states that trade discounts, rebates and other similar items are to be deducted in </w:t>
      </w:r>
      <w:r w:rsidR="008A623E">
        <w:lastRenderedPageBreak/>
        <w:t>determining the cost of an inventory’s purchase, AASB 102</w:t>
      </w:r>
      <w:r w:rsidR="0068236A">
        <w:t xml:space="preserve"> does not set out detailed accounting treatments in respect of different rebate types</w:t>
      </w:r>
      <w:r>
        <w:t xml:space="preserve">.  </w:t>
      </w:r>
      <w:r w:rsidR="0068236A">
        <w:t>Rather</w:t>
      </w:r>
      <w:r w:rsidR="00EC68D4" w:rsidRPr="00EC68D4">
        <w:t xml:space="preserve">, the accounting treatment adopted by entities in respect of different rebate types may vary according to the specific nature and terms of the rebate, including the entity’s history in ‘qualifying’ for particular rebates and the entity’s accounting policy in relation thereto. </w:t>
      </w:r>
      <w:r>
        <w:t xml:space="preserve">It </w:t>
      </w:r>
      <w:r w:rsidR="00FB188B">
        <w:t xml:space="preserve">may </w:t>
      </w:r>
      <w:r>
        <w:t xml:space="preserve">therefore be possible </w:t>
      </w:r>
      <w:r w:rsidR="00FB188B">
        <w:t xml:space="preserve">that in some instances, the accounting policy for </w:t>
      </w:r>
      <w:r w:rsidR="00E7161B">
        <w:t xml:space="preserve">specific </w:t>
      </w:r>
      <w:r w:rsidR="00FB188B">
        <w:t xml:space="preserve">trade incentives and </w:t>
      </w:r>
      <w:r w:rsidR="00E7161B">
        <w:t xml:space="preserve">the </w:t>
      </w:r>
      <w:r w:rsidR="00FB188B">
        <w:t>tax treatment adopted may align.</w:t>
      </w:r>
    </w:p>
    <w:p w14:paraId="62366549" w14:textId="3093C2B2" w:rsidR="00E95A85" w:rsidRDefault="00E95A85" w:rsidP="007F5413">
      <w:pPr>
        <w:pStyle w:val="OutlineNumbered1"/>
        <w:numPr>
          <w:ilvl w:val="0"/>
          <w:numId w:val="49"/>
        </w:numPr>
      </w:pPr>
      <w:r>
        <w:t>Commercial practice – taxpayers may be able to amend or re-negotiate commercial agreements to eliminate the mismatch that exists between the accounting and tax treatment of trade incentives or to eliminate the trade incentives altogether</w:t>
      </w:r>
      <w:r w:rsidR="00E3659C">
        <w:t xml:space="preserve"> (thereby achieving the compliance cost benefits)</w:t>
      </w:r>
      <w:r>
        <w:t>.</w:t>
      </w:r>
    </w:p>
    <w:p w14:paraId="43033A8A" w14:textId="64562B84" w:rsidR="00023988" w:rsidRDefault="00023988" w:rsidP="007F5413">
      <w:pPr>
        <w:pStyle w:val="OutlineNumbered1"/>
        <w:numPr>
          <w:ilvl w:val="0"/>
          <w:numId w:val="49"/>
        </w:numPr>
      </w:pPr>
      <w:r>
        <w:t xml:space="preserve">Departure from existing tax law architecture – in recent legislative practice, where the tax law has allowed direct adoption of financial accounting values, this has occurred in situations where the financial accounting outcome is </w:t>
      </w:r>
      <w:r w:rsidR="00881B38">
        <w:t xml:space="preserve">strictly prescribed by the accounting standards and/or known not to vary the </w:t>
      </w:r>
      <w:r w:rsidR="00E3659C">
        <w:t xml:space="preserve">result that is otherwise obtained </w:t>
      </w:r>
      <w:r w:rsidR="00881B38">
        <w:t>under the tax law</w:t>
      </w:r>
      <w:r w:rsidR="00881B38">
        <w:rPr>
          <w:rStyle w:val="FootnoteReference"/>
        </w:rPr>
        <w:footnoteReference w:id="12"/>
      </w:r>
      <w:r w:rsidR="00881B38">
        <w:t xml:space="preserve">.  The financial accounting methodology for rebates, however, is subject to </w:t>
      </w:r>
      <w:r w:rsidR="00E7161B">
        <w:t>the nature and terms of the rebate</w:t>
      </w:r>
      <w:r w:rsidR="00881B38">
        <w:t>.</w:t>
      </w:r>
    </w:p>
    <w:p w14:paraId="5AF0B6C9" w14:textId="0BEE0AD1" w:rsidR="00D23DCA" w:rsidRDefault="00D23DCA" w:rsidP="007F5413">
      <w:pPr>
        <w:pStyle w:val="OutlineNumbered1"/>
        <w:numPr>
          <w:ilvl w:val="0"/>
          <w:numId w:val="49"/>
        </w:numPr>
      </w:pPr>
      <w:r>
        <w:t>Creation of systemic asymmetry – although there is not</w:t>
      </w:r>
      <w:r w:rsidR="00E95A85">
        <w:t>,</w:t>
      </w:r>
      <w:r>
        <w:t xml:space="preserve"> technical</w:t>
      </w:r>
      <w:r w:rsidR="00E95A85">
        <w:t>ly,</w:t>
      </w:r>
      <w:r>
        <w:t xml:space="preserve"> alignment between the time that an incentive amount is derived as income by the recipient and the time that it is incurred as a deduction by the provider, in practice significant alignment </w:t>
      </w:r>
      <w:r w:rsidR="00881B38">
        <w:t xml:space="preserve">is </w:t>
      </w:r>
      <w:r>
        <w:t xml:space="preserve">expected, leading to </w:t>
      </w:r>
      <w:r w:rsidR="00E95A85">
        <w:t xml:space="preserve">broadly </w:t>
      </w:r>
      <w:r>
        <w:t xml:space="preserve">neutral </w:t>
      </w:r>
      <w:r w:rsidR="00E3659C">
        <w:t xml:space="preserve">expected </w:t>
      </w:r>
      <w:r>
        <w:t xml:space="preserve">outcomes on an economy-wide basis.  Allowing the recognition of rebates received to be deferred until the relevant trading stock </w:t>
      </w:r>
      <w:r w:rsidR="00023988">
        <w:t xml:space="preserve">is sold would create a systemic </w:t>
      </w:r>
      <w:r>
        <w:t xml:space="preserve">asymmetry </w:t>
      </w:r>
      <w:r w:rsidR="00023988">
        <w:t xml:space="preserve">that is adverse to </w:t>
      </w:r>
      <w:r w:rsidR="00881B38">
        <w:t>R</w:t>
      </w:r>
      <w:r w:rsidR="00023988">
        <w:t>evenue</w:t>
      </w:r>
      <w:r w:rsidR="00881B38">
        <w:rPr>
          <w:rStyle w:val="FootnoteReference"/>
        </w:rPr>
        <w:footnoteReference w:id="13"/>
      </w:r>
      <w:r w:rsidR="00023988">
        <w:t>.</w:t>
      </w:r>
    </w:p>
    <w:p w14:paraId="16940E7F" w14:textId="2C31C422" w:rsidR="00023988" w:rsidRDefault="00023988" w:rsidP="007F5413">
      <w:pPr>
        <w:pStyle w:val="OutlineNumbered1"/>
        <w:numPr>
          <w:ilvl w:val="0"/>
          <w:numId w:val="49"/>
        </w:numPr>
      </w:pPr>
      <w:r>
        <w:t xml:space="preserve">Systemic asymmetry: behavioural effects – the existence of the asymmetry would create a risk that taxpayer behaviours </w:t>
      </w:r>
      <w:r w:rsidR="00E95A85">
        <w:t>c</w:t>
      </w:r>
      <w:r>
        <w:t xml:space="preserve">ould </w:t>
      </w:r>
      <w:r w:rsidR="00E3659C">
        <w:t xml:space="preserve">be distorted and could </w:t>
      </w:r>
      <w:r>
        <w:t>develop to exploit the asymmetry (e.g.</w:t>
      </w:r>
      <w:r w:rsidR="00E3659C">
        <w:t xml:space="preserve"> tending to</w:t>
      </w:r>
      <w:r>
        <w:t xml:space="preserve"> sale</w:t>
      </w:r>
      <w:r w:rsidR="00E3659C">
        <w:t>s</w:t>
      </w:r>
      <w:r>
        <w:t xml:space="preserve"> of stock at </w:t>
      </w:r>
      <w:r w:rsidR="00E3659C">
        <w:t xml:space="preserve">relatively </w:t>
      </w:r>
      <w:r>
        <w:t xml:space="preserve">higher </w:t>
      </w:r>
      <w:r w:rsidR="00E3659C">
        <w:t xml:space="preserve">gross </w:t>
      </w:r>
      <w:r>
        <w:t xml:space="preserve">prices, coupled with </w:t>
      </w:r>
      <w:r w:rsidR="00E3659C">
        <w:t xml:space="preserve">relatively </w:t>
      </w:r>
      <w:r>
        <w:t>higher incentives) to create tax deferrals.</w:t>
      </w:r>
    </w:p>
    <w:p w14:paraId="1B56091D" w14:textId="21637B7F" w:rsidR="00D93F8D" w:rsidRDefault="00D93F8D" w:rsidP="007F5413">
      <w:pPr>
        <w:pStyle w:val="NewNumberedParagraph"/>
      </w:pPr>
      <w:r>
        <w:t>I</w:t>
      </w:r>
      <w:r w:rsidR="00AF2093" w:rsidRPr="00D93F8D">
        <w:t xml:space="preserve">nitial </w:t>
      </w:r>
      <w:r>
        <w:t xml:space="preserve">deliberations of </w:t>
      </w:r>
      <w:r w:rsidR="00AF2093" w:rsidRPr="00D93F8D">
        <w:t xml:space="preserve">the </w:t>
      </w:r>
      <w:r w:rsidR="00347A63" w:rsidRPr="00D93F8D">
        <w:t>Working Group</w:t>
      </w:r>
      <w:r w:rsidR="00AF2093" w:rsidRPr="00D93F8D">
        <w:t xml:space="preserve"> suggested that </w:t>
      </w:r>
      <w:r>
        <w:t>additional complicating</w:t>
      </w:r>
      <w:r w:rsidR="00AF2093" w:rsidRPr="00D93F8D">
        <w:t xml:space="preserve"> issues may arise in respect of </w:t>
      </w:r>
      <w:r>
        <w:t>other areas of the tax law that may interact with the trading stock rules.  A possible example would be the treatment of any permanently non-deductible costs that are absorbed into the cost of inventory for financial accounting purposes.</w:t>
      </w:r>
      <w:r w:rsidRPr="00D93F8D" w:rsidDel="00D93F8D">
        <w:t xml:space="preserve"> </w:t>
      </w:r>
      <w:r>
        <w:t xml:space="preserve"> Special cases such as this would likely require limitations on the use of </w:t>
      </w:r>
      <w:r>
        <w:lastRenderedPageBreak/>
        <w:t>accounting cost for income tax purposes, frustrating the ability to achieve simple and targeted alignment.</w:t>
      </w:r>
    </w:p>
    <w:p w14:paraId="0402D618" w14:textId="219F9181" w:rsidR="00936749" w:rsidRDefault="00936749" w:rsidP="00B33DDA">
      <w:pPr>
        <w:pStyle w:val="Heading3"/>
      </w:pPr>
      <w:r>
        <w:t>Ralph review recommendation</w:t>
      </w:r>
    </w:p>
    <w:p w14:paraId="4CBC3968" w14:textId="00857375" w:rsidR="00394222" w:rsidRPr="00F508EA" w:rsidRDefault="00321A7C" w:rsidP="007F5413">
      <w:pPr>
        <w:pStyle w:val="NewNumberedParagraph"/>
      </w:pPr>
      <w:r>
        <w:t>The Board considered that, absent the broader tax value approach, the case for an alignment of tax trading stock valuation to accounting inventory valuation is significantly less compelling.</w:t>
      </w:r>
    </w:p>
    <w:p w14:paraId="0409F013" w14:textId="145AAE4C" w:rsidR="00AF2093" w:rsidRDefault="00AF2093" w:rsidP="00B33DDA">
      <w:pPr>
        <w:pStyle w:val="Heading3"/>
      </w:pPr>
      <w:r>
        <w:t>Conclusion – effect of additional considerations</w:t>
      </w:r>
    </w:p>
    <w:p w14:paraId="2E64E746" w14:textId="2EE2FA3F" w:rsidR="0018069B" w:rsidRDefault="00AF2093" w:rsidP="007F5413">
      <w:pPr>
        <w:pStyle w:val="NewNumberedParagraph"/>
      </w:pPr>
      <w:r>
        <w:t xml:space="preserve">The </w:t>
      </w:r>
      <w:r w:rsidR="00347A63">
        <w:t xml:space="preserve">Board </w:t>
      </w:r>
      <w:r w:rsidR="00E3659C">
        <w:t xml:space="preserve">concluded </w:t>
      </w:r>
      <w:r>
        <w:t xml:space="preserve">that, on balance, </w:t>
      </w:r>
      <w:r w:rsidR="0018069B">
        <w:t xml:space="preserve">the above additional considerations do not </w:t>
      </w:r>
      <w:r w:rsidR="002F79AF">
        <w:t>support</w:t>
      </w:r>
      <w:r w:rsidR="0018069B">
        <w:t xml:space="preserve"> the case for legislative reform.</w:t>
      </w:r>
    </w:p>
    <w:p w14:paraId="19EE3B01" w14:textId="54A6FC18" w:rsidR="00AF2093" w:rsidRDefault="0018069B" w:rsidP="007F5413">
      <w:pPr>
        <w:pStyle w:val="NewNumberedParagraph"/>
      </w:pPr>
      <w:r>
        <w:t xml:space="preserve">Specifically, the Board considers that that the context and content of the Ralph Review recommendation in relation to trading stock valuation is substantially different to that considered by the Working Group and that </w:t>
      </w:r>
      <w:r w:rsidR="00AF2093">
        <w:t>the compliance cost benefits that would be experienced by taxpayers in receipt of trade incentives, if the tax law were amended to provide ability to rely on accounting cost values in valuing trading stock</w:t>
      </w:r>
      <w:r w:rsidR="00E3659C">
        <w:t>,</w:t>
      </w:r>
      <w:r w:rsidR="00AF2093">
        <w:t xml:space="preserve"> are outweighed by the </w:t>
      </w:r>
      <w:r w:rsidR="00E95A85">
        <w:t>difficulties associated with the proposal.</w:t>
      </w:r>
      <w:r w:rsidR="001908E9">
        <w:t xml:space="preserve">  As such, it would be more appropriate for these compliance benefits to be achieved by courses of action open to taxpayers (change in commercial arrangements, revisiting accounting policies), rather than amendment of tax legislation.</w:t>
      </w:r>
    </w:p>
    <w:sectPr w:rsidR="00AF2093" w:rsidSect="00725F97">
      <w:headerReference w:type="default" r:id="rId37"/>
      <w:headerReference w:type="first" r:id="rId38"/>
      <w:pgSz w:w="11909" w:h="16834" w:code="9"/>
      <w:pgMar w:top="1701" w:right="1701" w:bottom="1701" w:left="1701"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4DAC7" w14:textId="77777777" w:rsidR="00080B3F" w:rsidRDefault="00080B3F">
      <w:r>
        <w:separator/>
      </w:r>
    </w:p>
  </w:endnote>
  <w:endnote w:type="continuationSeparator" w:id="0">
    <w:p w14:paraId="306FA4B8" w14:textId="77777777" w:rsidR="00080B3F" w:rsidRDefault="00080B3F">
      <w:r>
        <w:continuationSeparator/>
      </w:r>
    </w:p>
  </w:endnote>
  <w:endnote w:type="continuationNotice" w:id="1">
    <w:p w14:paraId="43DD01D2" w14:textId="77777777" w:rsidR="00080B3F" w:rsidRDefault="00080B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5096D" w14:textId="77777777" w:rsidR="00080B3F" w:rsidRDefault="00080B3F">
    <w:pPr>
      <w:pStyle w:val="FooterEven"/>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A6D7E" w14:textId="77777777" w:rsidR="00080B3F" w:rsidRDefault="00080B3F">
    <w:pPr>
      <w:pStyle w:val="FooterOdd"/>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95A11" w14:textId="77777777" w:rsidR="00080B3F" w:rsidRPr="00AE77FC" w:rsidRDefault="00080B3F">
    <w:pPr>
      <w:pStyle w:val="FooterOdd"/>
    </w:pPr>
    <w:r w:rsidRPr="005317EF">
      <w:t xml:space="preserve">Page </w:t>
    </w:r>
    <w:r w:rsidRPr="00AE77FC">
      <w:rPr>
        <w:rStyle w:val="PageNumber"/>
      </w:rPr>
      <w:fldChar w:fldCharType="begin"/>
    </w:r>
    <w:r w:rsidRPr="00AE77FC">
      <w:rPr>
        <w:rStyle w:val="PageNumber"/>
      </w:rPr>
      <w:instrText xml:space="preserve"> PAGE </w:instrText>
    </w:r>
    <w:r w:rsidRPr="00AE77FC">
      <w:rPr>
        <w:rStyle w:val="PageNumber"/>
      </w:rPr>
      <w:fldChar w:fldCharType="separate"/>
    </w:r>
    <w:r w:rsidR="00A51FAF">
      <w:rPr>
        <w:rStyle w:val="PageNumber"/>
        <w:noProof/>
      </w:rPr>
      <w:t>1</w:t>
    </w:r>
    <w:r w:rsidRPr="00AE77FC">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83A57" w14:textId="77777777" w:rsidR="00080B3F" w:rsidRDefault="00080B3F">
    <w:pPr>
      <w:pStyle w:val="FooterEven"/>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5B5D67F" w14:textId="77777777" w:rsidR="00080B3F" w:rsidRDefault="00080B3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F0443" w14:textId="77777777" w:rsidR="00080B3F" w:rsidRPr="00622D85" w:rsidRDefault="00080B3F" w:rsidP="00CF6D38">
    <w:pPr>
      <w:pStyle w:val="FooterOdd"/>
    </w:pPr>
    <w:r>
      <w:t xml:space="preserve">| Page </w:t>
    </w:r>
    <w:r>
      <w:fldChar w:fldCharType="begin"/>
    </w:r>
    <w:r>
      <w:instrText xml:space="preserve"> PAGE  \* Arabic  \* MERGEFORMAT </w:instrText>
    </w:r>
    <w:r>
      <w:fldChar w:fldCharType="separate"/>
    </w:r>
    <w:r w:rsidR="00A51FAF">
      <w:rPr>
        <w:noProof/>
      </w:rPr>
      <w:t>2</w:t>
    </w:r>
    <w:r>
      <w:fldChar w:fldCharType="end"/>
    </w:r>
  </w:p>
  <w:p w14:paraId="11C872D3" w14:textId="77777777" w:rsidR="00080B3F" w:rsidRDefault="00080B3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67DFE" w14:textId="77777777" w:rsidR="00080B3F" w:rsidRPr="00622D85" w:rsidRDefault="00080B3F" w:rsidP="00080B3F">
    <w:pPr>
      <w:pStyle w:val="FooterOdd"/>
    </w:pPr>
    <w:r>
      <w:t xml:space="preserve">| Page </w:t>
    </w:r>
    <w:r>
      <w:fldChar w:fldCharType="begin"/>
    </w:r>
    <w:r>
      <w:instrText xml:space="preserve"> PAGE  \* Arabic  \* MERGEFORMAT </w:instrText>
    </w:r>
    <w:r>
      <w:fldChar w:fldCharType="separate"/>
    </w:r>
    <w:r w:rsidR="00A51FAF">
      <w:rPr>
        <w:noProof/>
      </w:rPr>
      <w:t>4</w:t>
    </w:r>
    <w:r>
      <w:fldChar w:fldCharType="end"/>
    </w:r>
  </w:p>
  <w:p w14:paraId="2461D60D" w14:textId="77777777" w:rsidR="00080B3F" w:rsidRDefault="00080B3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0C046" w14:textId="7A0B0BD9" w:rsidR="00080B3F" w:rsidRDefault="00080B3F">
    <w:pPr>
      <w:pStyle w:val="FooterEven"/>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5D9EA" w14:textId="30D80E0C" w:rsidR="00080B3F" w:rsidRDefault="00080B3F">
    <w:pPr>
      <w:pStyle w:val="FooterOdd"/>
      <w:rPr>
        <w:rStyle w:val="PageNumber"/>
      </w:rPr>
    </w:pPr>
    <w:r>
      <w:t xml:space="preserve">| Page </w:t>
    </w:r>
    <w:r>
      <w:rPr>
        <w:rStyle w:val="PageNumber"/>
      </w:rPr>
      <w:fldChar w:fldCharType="begin"/>
    </w:r>
    <w:r>
      <w:rPr>
        <w:rStyle w:val="PageNumber"/>
      </w:rPr>
      <w:instrText xml:space="preserve"> PAGE </w:instrText>
    </w:r>
    <w:r>
      <w:rPr>
        <w:rStyle w:val="PageNumber"/>
      </w:rPr>
      <w:fldChar w:fldCharType="separate"/>
    </w:r>
    <w:r w:rsidR="00A51FAF">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81D6B" w14:textId="77777777" w:rsidR="00080B3F" w:rsidRDefault="00080B3F">
      <w:r>
        <w:separator/>
      </w:r>
    </w:p>
  </w:footnote>
  <w:footnote w:type="continuationSeparator" w:id="0">
    <w:p w14:paraId="5145CD4A" w14:textId="77777777" w:rsidR="00080B3F" w:rsidRDefault="00080B3F">
      <w:r>
        <w:continuationSeparator/>
      </w:r>
    </w:p>
  </w:footnote>
  <w:footnote w:type="continuationNotice" w:id="1">
    <w:p w14:paraId="4F8A02DF" w14:textId="77777777" w:rsidR="00080B3F" w:rsidRDefault="00080B3F">
      <w:pPr>
        <w:spacing w:after="0" w:line="240" w:lineRule="auto"/>
      </w:pPr>
    </w:p>
  </w:footnote>
  <w:footnote w:id="2">
    <w:p w14:paraId="549FBDEB" w14:textId="19D4815B" w:rsidR="00080B3F" w:rsidRDefault="00080B3F">
      <w:pPr>
        <w:pStyle w:val="FootnoteText"/>
      </w:pPr>
      <w:r>
        <w:rPr>
          <w:rStyle w:val="FootnoteReference"/>
        </w:rPr>
        <w:footnoteRef/>
      </w:r>
      <w:r>
        <w:t xml:space="preserve"> and any decrease as deductible</w:t>
      </w:r>
      <w:r w:rsidR="009D61B0">
        <w:t>.</w:t>
      </w:r>
    </w:p>
  </w:footnote>
  <w:footnote w:id="3">
    <w:p w14:paraId="23712C48" w14:textId="4722E640" w:rsidR="00080B3F" w:rsidRDefault="00080B3F">
      <w:pPr>
        <w:pStyle w:val="FootnoteText"/>
      </w:pPr>
      <w:r>
        <w:rPr>
          <w:rStyle w:val="FootnoteReference"/>
        </w:rPr>
        <w:footnoteRef/>
      </w:r>
      <w:r>
        <w:t xml:space="preserve"> Including Division 230, 275 and 420 (refer Section 70-10)</w:t>
      </w:r>
    </w:p>
  </w:footnote>
  <w:footnote w:id="4">
    <w:p w14:paraId="03C13A6F" w14:textId="76B805D0" w:rsidR="00080B3F" w:rsidRDefault="00080B3F">
      <w:pPr>
        <w:pStyle w:val="FootnoteText"/>
      </w:pPr>
      <w:r>
        <w:rPr>
          <w:rStyle w:val="FootnoteReference"/>
        </w:rPr>
        <w:footnoteRef/>
      </w:r>
      <w:r>
        <w:t xml:space="preserve"> </w:t>
      </w:r>
      <w:hyperlink r:id="rId1" w:history="1">
        <w:r w:rsidRPr="00A60CF9">
          <w:rPr>
            <w:rStyle w:val="Hyperlink"/>
          </w:rPr>
          <w:t>http://rbt.treasury.gov.au/publications/paper3/download/Ch3.PDF</w:t>
        </w:r>
      </w:hyperlink>
      <w:r>
        <w:t xml:space="preserve"> </w:t>
      </w:r>
    </w:p>
  </w:footnote>
  <w:footnote w:id="5">
    <w:p w14:paraId="34EE63C5" w14:textId="7557C3EC" w:rsidR="00080B3F" w:rsidRDefault="00080B3F">
      <w:pPr>
        <w:pStyle w:val="FootnoteText"/>
      </w:pPr>
      <w:r>
        <w:rPr>
          <w:rStyle w:val="FootnoteReference"/>
        </w:rPr>
        <w:footnoteRef/>
      </w:r>
      <w:r>
        <w:t xml:space="preserve"> </w:t>
      </w:r>
      <w:hyperlink r:id="rId2" w:history="1">
        <w:r w:rsidRPr="00A60CF9">
          <w:rPr>
            <w:rStyle w:val="Hyperlink"/>
          </w:rPr>
          <w:t>http://rbt.treasury.gov.au/publications/paper4/download/Section4.pdf</w:t>
        </w:r>
      </w:hyperlink>
      <w:r>
        <w:t xml:space="preserve"> </w:t>
      </w:r>
    </w:p>
  </w:footnote>
  <w:footnote w:id="6">
    <w:p w14:paraId="36EFEFAD" w14:textId="77777777" w:rsidR="00080B3F" w:rsidRDefault="00080B3F" w:rsidP="007577C4">
      <w:pPr>
        <w:pStyle w:val="FootnoteText"/>
      </w:pPr>
      <w:r>
        <w:rPr>
          <w:rStyle w:val="FootnoteReference"/>
        </w:rPr>
        <w:footnoteRef/>
      </w:r>
      <w:r>
        <w:t xml:space="preserve"> The Board notes that some exceptions do exist within the taxpayer population.</w:t>
      </w:r>
    </w:p>
  </w:footnote>
  <w:footnote w:id="7">
    <w:p w14:paraId="33566AC2" w14:textId="69EC1716" w:rsidR="00080B3F" w:rsidRDefault="00080B3F" w:rsidP="00F72FB4">
      <w:pPr>
        <w:pStyle w:val="FootnoteText"/>
        <w:tabs>
          <w:tab w:val="clear" w:pos="567"/>
          <w:tab w:val="left" w:pos="142"/>
        </w:tabs>
        <w:ind w:left="142" w:hanging="142"/>
      </w:pPr>
      <w:r>
        <w:rPr>
          <w:rStyle w:val="FootnoteReference"/>
        </w:rPr>
        <w:footnoteRef/>
      </w:r>
      <w:r>
        <w:t xml:space="preserve"> It is acknowledged that businesses may have previously incurred some compliance costs in setting up the methodology that is subsequently being used.</w:t>
      </w:r>
    </w:p>
  </w:footnote>
  <w:footnote w:id="8">
    <w:p w14:paraId="3C2AC1EF" w14:textId="2597836A" w:rsidR="004B38B3" w:rsidRDefault="004B38B3">
      <w:pPr>
        <w:pStyle w:val="FootnoteText"/>
      </w:pPr>
      <w:r>
        <w:rPr>
          <w:rStyle w:val="FootnoteReference"/>
        </w:rPr>
        <w:footnoteRef/>
      </w:r>
      <w:r>
        <w:t xml:space="preserve"> 2010-11 to 2014-15</w:t>
      </w:r>
    </w:p>
  </w:footnote>
  <w:footnote w:id="9">
    <w:p w14:paraId="1C898A7D" w14:textId="01BAA993" w:rsidR="00080B3F" w:rsidRDefault="00080B3F" w:rsidP="0090466F">
      <w:pPr>
        <w:pStyle w:val="NoSpacing"/>
      </w:pPr>
      <w:r w:rsidRPr="00D65FB7">
        <w:rPr>
          <w:rStyle w:val="FootnoteReference"/>
          <w:rFonts w:asciiTheme="minorHAnsi" w:hAnsiTheme="minorHAnsi"/>
        </w:rPr>
        <w:footnoteRef/>
      </w:r>
      <w:r w:rsidRPr="00D65FB7">
        <w:rPr>
          <w:rFonts w:asciiTheme="minorHAnsi" w:hAnsiTheme="minorHAnsi"/>
        </w:rPr>
        <w:t xml:space="preserve"> </w:t>
      </w:r>
      <w:r w:rsidRPr="00D65FB7">
        <w:rPr>
          <w:rFonts w:ascii="Calibri" w:hAnsi="Calibri"/>
          <w:color w:val="auto"/>
          <w:sz w:val="18"/>
          <w:szCs w:val="18"/>
        </w:rPr>
        <w:t>For completeness, it is noted that taxpayers may use more than one method to value their trading stock. In these circumstances, taxpayers are required to disclose the valuation method that represents the greatest value.</w:t>
      </w:r>
    </w:p>
  </w:footnote>
  <w:footnote w:id="10">
    <w:p w14:paraId="7F0B04FC" w14:textId="655EB10F" w:rsidR="00080B3F" w:rsidRDefault="00080B3F" w:rsidP="00B22C61">
      <w:pPr>
        <w:pStyle w:val="FootnoteText"/>
        <w:tabs>
          <w:tab w:val="clear" w:pos="567"/>
          <w:tab w:val="left" w:pos="142"/>
        </w:tabs>
        <w:ind w:left="142" w:hanging="142"/>
      </w:pPr>
      <w:r>
        <w:rPr>
          <w:rStyle w:val="FootnoteReference"/>
        </w:rPr>
        <w:footnoteRef/>
      </w:r>
      <w:r>
        <w:t xml:space="preserve"> Taxpayers not currently selecting ‘cost’ would be unlikely to benefit from an ability to adopt an accounting cost valuation methodology.</w:t>
      </w:r>
    </w:p>
  </w:footnote>
  <w:footnote w:id="11">
    <w:p w14:paraId="5BCFF667" w14:textId="2ED7ECD3" w:rsidR="00080B3F" w:rsidRDefault="00080B3F" w:rsidP="00670318">
      <w:pPr>
        <w:pStyle w:val="FootnoteText"/>
        <w:tabs>
          <w:tab w:val="clear" w:pos="567"/>
          <w:tab w:val="left" w:pos="142"/>
        </w:tabs>
        <w:ind w:left="142" w:hanging="142"/>
      </w:pPr>
      <w:r>
        <w:rPr>
          <w:rStyle w:val="FootnoteReference"/>
        </w:rPr>
        <w:footnoteRef/>
      </w:r>
      <w:r>
        <w:t xml:space="preserve"> This is on the basis that the relevant taxpayers’ accounting practice is to treat the rebate as a reduction to the cost of inventory.</w:t>
      </w:r>
    </w:p>
  </w:footnote>
  <w:footnote w:id="12">
    <w:p w14:paraId="73368C6F" w14:textId="6A1180C8" w:rsidR="00080B3F" w:rsidRDefault="00080B3F" w:rsidP="00881B38">
      <w:pPr>
        <w:pStyle w:val="FootnoteText"/>
        <w:tabs>
          <w:tab w:val="clear" w:pos="567"/>
          <w:tab w:val="left" w:pos="0"/>
        </w:tabs>
        <w:ind w:left="142" w:hanging="142"/>
      </w:pPr>
      <w:r>
        <w:rPr>
          <w:rStyle w:val="FootnoteReference"/>
        </w:rPr>
        <w:footnoteRef/>
      </w:r>
      <w:r>
        <w:t xml:space="preserve"> Examples can be found in the elective methods provided for in Subdivisions 230-C, 230-D and 230</w:t>
      </w:r>
      <w:r>
        <w:noBreakHyphen/>
        <w:t xml:space="preserve">F </w:t>
      </w:r>
    </w:p>
  </w:footnote>
  <w:footnote w:id="13">
    <w:p w14:paraId="3218D2BE" w14:textId="39BBBF40" w:rsidR="00080B3F" w:rsidRDefault="00080B3F" w:rsidP="00881B38">
      <w:pPr>
        <w:pStyle w:val="FootnoteText"/>
        <w:tabs>
          <w:tab w:val="clear" w:pos="567"/>
          <w:tab w:val="left" w:pos="142"/>
        </w:tabs>
        <w:ind w:left="142" w:hanging="142"/>
      </w:pPr>
      <w:r>
        <w:rPr>
          <w:rStyle w:val="FootnoteReference"/>
        </w:rPr>
        <w:footnoteRef/>
      </w:r>
      <w:r>
        <w:t xml:space="preserve"> Specifically, the rebate paid would be immediately deductible to the payer, but effectively not assessable to recipient until a later period.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90862" w14:textId="77777777" w:rsidR="00080B3F" w:rsidRDefault="00080B3F">
    <w:pPr>
      <w:pStyle w:val="HeaderEven"/>
    </w:pPr>
    <w:r>
      <w:t>Chapter name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5BF18" w14:textId="56AFC730" w:rsidR="00080B3F" w:rsidRDefault="009D61B0" w:rsidP="00725F97">
    <w:pPr>
      <w:pStyle w:val="Header"/>
    </w:pPr>
    <w:fldSimple w:instr=" STYLEREF  &quot;Heading 1&quot;  \* MERGEFORMAT ">
      <w:r w:rsidR="00A51FAF">
        <w:rPr>
          <w:noProof/>
        </w:rPr>
        <w:t>Chapter 2: Analysis</w:t>
      </w:r>
    </w:fldSimple>
    <w:r w:rsidR="00080B3F" w:rsidDel="002851F4">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5DA31" w14:textId="77777777" w:rsidR="00080B3F" w:rsidRDefault="00080B3F">
    <w:pPr>
      <w:pStyle w:val="HeaderOdd"/>
    </w:pPr>
    <w:r>
      <w:t>Chapter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2FF00" w14:textId="77777777" w:rsidR="00080B3F" w:rsidRDefault="00080B3F" w:rsidP="00080B3F">
    <w:pPr>
      <w:pStyle w:val="HeaderEve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67EA6" w14:textId="6AD524D3" w:rsidR="00080B3F" w:rsidRPr="007D4EEC" w:rsidRDefault="00080B3F" w:rsidP="007D4EE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05B4E" w14:textId="5A3D843E" w:rsidR="00080B3F" w:rsidRPr="007D4EEC" w:rsidRDefault="00080B3F" w:rsidP="007D4EE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1E864" w14:textId="3C857226" w:rsidR="00080B3F" w:rsidRPr="007D4EEC" w:rsidRDefault="00080B3F" w:rsidP="007D4EE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D548E" w14:textId="212776D7" w:rsidR="00080B3F" w:rsidRDefault="009D61B0" w:rsidP="00725F97">
    <w:pPr>
      <w:pStyle w:val="Header"/>
    </w:pPr>
    <w:fldSimple w:instr=" STYLEREF  PreChapterHeading  \* MERGEFORMAT ">
      <w:r w:rsidR="00A51FAF">
        <w:rPr>
          <w:noProof/>
        </w:rPr>
        <w:t>Chapter 1: Background</w:t>
      </w:r>
    </w:fldSimple>
    <w:r w:rsidR="00080B3F" w:rsidDel="002851F4">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A97A2" w14:textId="77777777" w:rsidR="00080B3F" w:rsidRDefault="009D61B0" w:rsidP="00725F97">
    <w:pPr>
      <w:pStyle w:val="Header"/>
    </w:pPr>
    <w:fldSimple w:instr=" STYLEREF  PreChapterHeading  \* MERGEFORMAT ">
      <w:r w:rsidR="00A51FAF">
        <w:rPr>
          <w:noProof/>
        </w:rPr>
        <w:t>Executive summary</w:t>
      </w:r>
    </w:fldSimple>
    <w:r w:rsidR="00080B3F" w:rsidDel="002851F4">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6F2B7" w14:textId="7175793B" w:rsidR="00080B3F" w:rsidRDefault="009D61B0" w:rsidP="00725F97">
    <w:pPr>
      <w:pStyle w:val="Header"/>
    </w:pPr>
    <w:fldSimple w:instr=" STYLEREF  &quot;Heading 1&quot;  \* MERGEFORMAT ">
      <w:r w:rsidR="00A51FAF">
        <w:rPr>
          <w:noProof/>
        </w:rPr>
        <w:t>Chapter 2: Analysis</w:t>
      </w:r>
    </w:fldSimple>
    <w:r w:rsidR="00080B3F" w:rsidDel="002851F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6E94F4"/>
    <w:lvl w:ilvl="0">
      <w:start w:val="1"/>
      <w:numFmt w:val="decimal"/>
      <w:lvlText w:val="%1."/>
      <w:lvlJc w:val="left"/>
      <w:pPr>
        <w:tabs>
          <w:tab w:val="num" w:pos="1492"/>
        </w:tabs>
        <w:ind w:left="1492" w:hanging="360"/>
      </w:pPr>
    </w:lvl>
  </w:abstractNum>
  <w:abstractNum w:abstractNumId="1">
    <w:nsid w:val="FFFFFF7D"/>
    <w:multiLevelType w:val="singleLevel"/>
    <w:tmpl w:val="3364DBF0"/>
    <w:lvl w:ilvl="0">
      <w:start w:val="1"/>
      <w:numFmt w:val="decimal"/>
      <w:lvlText w:val="%1."/>
      <w:lvlJc w:val="left"/>
      <w:pPr>
        <w:tabs>
          <w:tab w:val="num" w:pos="1209"/>
        </w:tabs>
        <w:ind w:left="1209" w:hanging="360"/>
      </w:pPr>
    </w:lvl>
  </w:abstractNum>
  <w:abstractNum w:abstractNumId="2">
    <w:nsid w:val="FFFFFF7E"/>
    <w:multiLevelType w:val="singleLevel"/>
    <w:tmpl w:val="480C596E"/>
    <w:lvl w:ilvl="0">
      <w:start w:val="1"/>
      <w:numFmt w:val="decimal"/>
      <w:lvlText w:val="%1."/>
      <w:lvlJc w:val="left"/>
      <w:pPr>
        <w:tabs>
          <w:tab w:val="num" w:pos="926"/>
        </w:tabs>
        <w:ind w:left="926" w:hanging="360"/>
      </w:pPr>
    </w:lvl>
  </w:abstractNum>
  <w:abstractNum w:abstractNumId="3">
    <w:nsid w:val="FFFFFF7F"/>
    <w:multiLevelType w:val="singleLevel"/>
    <w:tmpl w:val="2C9E0934"/>
    <w:lvl w:ilvl="0">
      <w:start w:val="1"/>
      <w:numFmt w:val="decimal"/>
      <w:lvlText w:val="%1."/>
      <w:lvlJc w:val="left"/>
      <w:pPr>
        <w:tabs>
          <w:tab w:val="num" w:pos="643"/>
        </w:tabs>
        <w:ind w:left="643" w:hanging="360"/>
      </w:pPr>
    </w:lvl>
  </w:abstractNum>
  <w:abstractNum w:abstractNumId="4">
    <w:nsid w:val="FFFFFF80"/>
    <w:multiLevelType w:val="singleLevel"/>
    <w:tmpl w:val="4BF2D1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6859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7658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5C29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0094B4"/>
    <w:lvl w:ilvl="0">
      <w:start w:val="1"/>
      <w:numFmt w:val="decimal"/>
      <w:lvlText w:val="%1."/>
      <w:lvlJc w:val="left"/>
      <w:pPr>
        <w:tabs>
          <w:tab w:val="num" w:pos="360"/>
        </w:tabs>
        <w:ind w:left="360" w:hanging="360"/>
      </w:pPr>
    </w:lvl>
  </w:abstractNum>
  <w:abstractNum w:abstractNumId="9">
    <w:nsid w:val="FFFFFF89"/>
    <w:multiLevelType w:val="singleLevel"/>
    <w:tmpl w:val="B40CBBB2"/>
    <w:lvl w:ilvl="0">
      <w:start w:val="1"/>
      <w:numFmt w:val="bullet"/>
      <w:lvlText w:val=""/>
      <w:lvlJc w:val="left"/>
      <w:pPr>
        <w:tabs>
          <w:tab w:val="num" w:pos="360"/>
        </w:tabs>
        <w:ind w:left="360" w:hanging="360"/>
      </w:pPr>
      <w:rPr>
        <w:rFonts w:ascii="Symbol" w:hAnsi="Symbol" w:hint="default"/>
      </w:rPr>
    </w:lvl>
  </w:abstractNum>
  <w:abstractNum w:abstractNumId="10">
    <w:nsid w:val="00BA0B92"/>
    <w:multiLevelType w:val="multilevel"/>
    <w:tmpl w:val="F720083A"/>
    <w:lvl w:ilvl="0">
      <w:start w:val="1"/>
      <w:numFmt w:val="decimal"/>
      <w:lvlRestart w:val="0"/>
      <w:pStyle w:val="ChapterHeading"/>
      <w:suff w:val="nothing"/>
      <w:lvlText w:val="%1"/>
      <w:lvlJc w:val="left"/>
      <w:pPr>
        <w:ind w:left="0" w:firstLine="0"/>
      </w:pPr>
      <w:rPr>
        <w:rFonts w:hint="default"/>
        <w:b w:val="0"/>
        <w:i w:val="0"/>
        <w:color w:val="000000"/>
      </w:rPr>
    </w:lvl>
    <w:lvl w:ilvl="1">
      <w:start w:val="1"/>
      <w:numFmt w:val="decimal"/>
      <w:pStyle w:val="NumberedParagraph"/>
      <w:lvlText w:val="%1.%2"/>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418" w:hanging="851"/>
      </w:pPr>
      <w:rPr>
        <w:rFonts w:hint="default"/>
        <w:b w:val="0"/>
        <w:i w:val="0"/>
        <w:color w:val="000000"/>
      </w:rPr>
    </w:lvl>
    <w:lvl w:ilvl="3">
      <w:start w:val="1"/>
      <w:numFmt w:val="decimal"/>
      <w:lvlText w:val="%1.%2.%3.%4"/>
      <w:lvlJc w:val="left"/>
      <w:pPr>
        <w:tabs>
          <w:tab w:val="num" w:pos="1701"/>
        </w:tabs>
        <w:ind w:left="1701" w:hanging="283"/>
      </w:pPr>
      <w:rPr>
        <w:rFonts w:hint="default"/>
        <w:b w:val="0"/>
        <w:i w:val="0"/>
        <w:color w:val="000000"/>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11">
    <w:nsid w:val="10C21F48"/>
    <w:multiLevelType w:val="singleLevel"/>
    <w:tmpl w:val="F0B87A5C"/>
    <w:name w:val="Case study bullet List"/>
    <w:lvl w:ilvl="0">
      <w:start w:val="1"/>
      <w:numFmt w:val="bullet"/>
      <w:lvlRestart w:val="0"/>
      <w:pStyle w:val="Casestudybullet"/>
      <w:lvlText w:val="•"/>
      <w:lvlJc w:val="left"/>
      <w:pPr>
        <w:tabs>
          <w:tab w:val="num" w:pos="283"/>
        </w:tabs>
        <w:ind w:left="283" w:hanging="283"/>
      </w:pPr>
      <w:rPr>
        <w:rFonts w:ascii="Book Antiqua" w:hAnsi="Book Antiqua"/>
        <w:b w:val="0"/>
        <w:i w:val="0"/>
        <w:color w:val="000080"/>
        <w:sz w:val="16"/>
      </w:rPr>
    </w:lvl>
  </w:abstractNum>
  <w:abstractNum w:abstractNumId="12">
    <w:nsid w:val="12E87BD1"/>
    <w:multiLevelType w:val="multilevel"/>
    <w:tmpl w:val="D7346CB8"/>
    <w:lvl w:ilvl="0">
      <w:start w:val="1"/>
      <w:numFmt w:val="decimal"/>
      <w:lvlRestart w:val="0"/>
      <w:lvlText w:val="Chapter %1"/>
      <w:lvlJc w:val="left"/>
      <w:pPr>
        <w:tabs>
          <w:tab w:val="num" w:pos="567"/>
        </w:tabs>
        <w:ind w:left="567" w:hanging="567"/>
      </w:pPr>
      <w:rPr>
        <w:rFonts w:hint="default"/>
        <w:b w:val="0"/>
        <w:i w:val="0"/>
        <w:color w:val="000080"/>
      </w:rPr>
    </w:lvl>
    <w:lvl w:ilvl="1">
      <w:start w:val="1"/>
      <w:numFmt w:val="decimal"/>
      <w:lvlText w:val="%1.%2"/>
      <w:lvlJc w:val="lef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hint="default"/>
        <w:b w:val="0"/>
        <w:i w:val="0"/>
        <w:color w:val="000000"/>
      </w:rPr>
    </w:lvl>
    <w:lvl w:ilvl="3">
      <w:start w:val="1"/>
      <w:numFmt w:val="decimal"/>
      <w:lvlText w:val="%4"/>
      <w:lvlJc w:val="left"/>
      <w:pPr>
        <w:tabs>
          <w:tab w:val="num" w:pos="2268"/>
        </w:tabs>
        <w:ind w:left="2268" w:hanging="567"/>
      </w:pPr>
      <w:rPr>
        <w:rFonts w:hint="default"/>
        <w:b w:val="0"/>
        <w:i w:val="0"/>
        <w:color w:val="000000"/>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13">
    <w:nsid w:val="164A4E0E"/>
    <w:multiLevelType w:val="multilevel"/>
    <w:tmpl w:val="6B2272A8"/>
    <w:name w:val="BoTStandardBulletedList"/>
    <w:lvl w:ilvl="0">
      <w:start w:val="1"/>
      <w:numFmt w:val="bullet"/>
      <w:lvlRestart w:val="0"/>
      <w:lvlText w:val="•"/>
      <w:lvlJc w:val="left"/>
      <w:pPr>
        <w:tabs>
          <w:tab w:val="num" w:pos="567"/>
        </w:tabs>
        <w:ind w:left="567" w:hanging="567"/>
      </w:pPr>
      <w:rPr>
        <w:rFonts w:ascii="Times New Roman" w:hAnsi="Times New Roman" w:cs="Times New Roman"/>
        <w:b w:val="0"/>
        <w:i w:val="0"/>
      </w:rPr>
    </w:lvl>
    <w:lvl w:ilvl="1">
      <w:start w:val="1"/>
      <w:numFmt w:val="bullet"/>
      <w:lvlText w:val="–"/>
      <w:lvlJc w:val="left"/>
      <w:pPr>
        <w:tabs>
          <w:tab w:val="num" w:pos="1134"/>
        </w:tabs>
        <w:ind w:left="1134" w:hanging="567"/>
      </w:pPr>
      <w:rPr>
        <w:rFonts w:ascii="Times New Roman" w:hAnsi="Times New Roman" w:cs="Times New Roman"/>
        <w:b w:val="0"/>
        <w:i w:val="0"/>
      </w:rPr>
    </w:lvl>
    <w:lvl w:ilvl="2">
      <w:start w:val="1"/>
      <w:numFmt w:val="bullet"/>
      <w:lvlText w:val=":"/>
      <w:lvlJc w:val="left"/>
      <w:pPr>
        <w:tabs>
          <w:tab w:val="num" w:pos="1701"/>
        </w:tabs>
        <w:ind w:left="1701" w:hanging="567"/>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4">
    <w:nsid w:val="16CC39A7"/>
    <w:multiLevelType w:val="multilevel"/>
    <w:tmpl w:val="C7BCEE44"/>
    <w:lvl w:ilvl="0">
      <w:start w:val="1"/>
      <w:numFmt w:val="decimal"/>
      <w:lvlRestart w:val="0"/>
      <w:lvlText w:val=""/>
      <w:lvlJc w:val="left"/>
      <w:pPr>
        <w:tabs>
          <w:tab w:val="num" w:pos="567"/>
        </w:tabs>
        <w:ind w:left="567" w:hanging="567"/>
      </w:pPr>
      <w:rPr>
        <w:b w:val="0"/>
        <w:i w:val="0"/>
        <w:color w:val="000000"/>
      </w:rPr>
    </w:lvl>
    <w:lvl w:ilvl="1">
      <w:start w:val="1"/>
      <w:numFmt w:val="decimal"/>
      <w:lvlText w:val="%1.%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5">
    <w:nsid w:val="19C960FD"/>
    <w:multiLevelType w:val="multilevel"/>
    <w:tmpl w:val="69265B00"/>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6">
    <w:nsid w:val="1AE751AB"/>
    <w:multiLevelType w:val="multilevel"/>
    <w:tmpl w:val="FCA6223C"/>
    <w:lvl w:ilvl="0">
      <w:start w:val="5"/>
      <w:numFmt w:val="decimal"/>
      <w:lvlRestart w:val="0"/>
      <w:suff w:val="nothing"/>
      <w:lvlText w:val="Chapter %1"/>
      <w:lvlJc w:val="left"/>
      <w:pPr>
        <w:ind w:left="0" w:firstLine="0"/>
      </w:pPr>
      <w:rPr>
        <w:rFonts w:ascii="Times New Roman" w:hAnsi="Times New Roman" w:cs="Times New Roman" w:hint="default"/>
        <w:b w:val="0"/>
        <w:i w:val="0"/>
        <w:color w:val="000000"/>
      </w:rPr>
    </w:lvl>
    <w:lvl w:ilvl="1">
      <w:start w:val="1"/>
      <w:numFmt w:val="decimal"/>
      <w:lvlText w:val="%1.%2"/>
      <w:lvlJc w:val="left"/>
      <w:pPr>
        <w:tabs>
          <w:tab w:val="num" w:pos="850"/>
        </w:tabs>
        <w:ind w:left="0" w:firstLine="0"/>
      </w:pPr>
      <w:rPr>
        <w:rFonts w:ascii="Times New Roman" w:hAnsi="Times New Roman" w:cs="Times New Roman" w:hint="default"/>
        <w:b w:val="0"/>
        <w:i w:val="0"/>
        <w:color w:val="000000"/>
      </w:rPr>
    </w:lvl>
    <w:lvl w:ilvl="2">
      <w:start w:val="1"/>
      <w:numFmt w:val="decimal"/>
      <w:lvlText w:val="%3"/>
      <w:lvlJc w:val="left"/>
      <w:pPr>
        <w:tabs>
          <w:tab w:val="num" w:pos="1701"/>
        </w:tabs>
        <w:ind w:left="1701" w:hanging="567"/>
      </w:pPr>
      <w:rPr>
        <w:rFonts w:ascii="Times New Roman" w:hAnsi="Times New Roman" w:cs="Times New Roman" w:hint="default"/>
        <w:b w:val="0"/>
        <w:i w:val="0"/>
        <w:color w:val="000000"/>
      </w:rPr>
    </w:lvl>
    <w:lvl w:ilvl="3">
      <w:start w:val="1"/>
      <w:numFmt w:val="decimal"/>
      <w:lvlText w:val="%4"/>
      <w:lvlJc w:val="left"/>
      <w:pPr>
        <w:tabs>
          <w:tab w:val="num" w:pos="2268"/>
        </w:tabs>
        <w:ind w:left="2268" w:hanging="567"/>
      </w:pPr>
      <w:rPr>
        <w:rFonts w:ascii="Times New Roman" w:hAnsi="Times New Roman" w:cs="Times New Roman" w:hint="default"/>
        <w:b w:val="0"/>
        <w:i w:val="0"/>
        <w:color w:val="000000"/>
      </w:rPr>
    </w:lvl>
    <w:lvl w:ilvl="4">
      <w:start w:val="1"/>
      <w:numFmt w:val="decimal"/>
      <w:lvlText w:val="%5"/>
      <w:lvlJc w:val="left"/>
      <w:pPr>
        <w:tabs>
          <w:tab w:val="num" w:pos="2835"/>
        </w:tabs>
        <w:ind w:left="2835" w:hanging="567"/>
      </w:pPr>
      <w:rPr>
        <w:rFonts w:ascii="Times New Roman" w:hAnsi="Times New Roman" w:cs="Times New Roman" w:hint="default"/>
        <w:b w:val="0"/>
        <w:i w:val="0"/>
        <w:color w:val="000000"/>
      </w:rPr>
    </w:lvl>
    <w:lvl w:ilvl="5">
      <w:start w:val="1"/>
      <w:numFmt w:val="decimal"/>
      <w:lvlText w:val="%6"/>
      <w:lvlJc w:val="left"/>
      <w:pPr>
        <w:tabs>
          <w:tab w:val="num" w:pos="3402"/>
        </w:tabs>
        <w:ind w:left="3402" w:hanging="567"/>
      </w:pPr>
      <w:rPr>
        <w:rFonts w:ascii="Times New Roman" w:hAnsi="Times New Roman" w:cs="Times New Roman" w:hint="default"/>
        <w:b w:val="0"/>
        <w:i w:val="0"/>
        <w:color w:val="000000"/>
      </w:rPr>
    </w:lvl>
    <w:lvl w:ilvl="6">
      <w:start w:val="1"/>
      <w:numFmt w:val="decimal"/>
      <w:lvlText w:val="%7"/>
      <w:lvlJc w:val="left"/>
      <w:pPr>
        <w:tabs>
          <w:tab w:val="num" w:pos="3969"/>
        </w:tabs>
        <w:ind w:left="3969" w:hanging="567"/>
      </w:pPr>
      <w:rPr>
        <w:rFonts w:ascii="Times New Roman" w:hAnsi="Times New Roman" w:cs="Times New Roman" w:hint="default"/>
        <w:b w:val="0"/>
        <w:i w:val="0"/>
        <w:color w:val="000000"/>
      </w:rPr>
    </w:lvl>
    <w:lvl w:ilvl="7">
      <w:start w:val="1"/>
      <w:numFmt w:val="decimal"/>
      <w:lvlText w:val="%8"/>
      <w:lvlJc w:val="left"/>
      <w:pPr>
        <w:tabs>
          <w:tab w:val="num" w:pos="4536"/>
        </w:tabs>
        <w:ind w:left="4536" w:hanging="567"/>
      </w:pPr>
      <w:rPr>
        <w:rFonts w:ascii="Times New Roman" w:hAnsi="Times New Roman" w:cs="Times New Roman" w:hint="default"/>
        <w:b w:val="0"/>
        <w:i w:val="0"/>
        <w:color w:val="000000"/>
      </w:rPr>
    </w:lvl>
    <w:lvl w:ilvl="8">
      <w:start w:val="1"/>
      <w:numFmt w:val="decimal"/>
      <w:lvlText w:val="%9"/>
      <w:lvlJc w:val="left"/>
      <w:pPr>
        <w:tabs>
          <w:tab w:val="num" w:pos="5103"/>
        </w:tabs>
        <w:ind w:left="5103" w:hanging="567"/>
      </w:pPr>
      <w:rPr>
        <w:rFonts w:ascii="Times New Roman" w:hAnsi="Times New Roman" w:cs="Times New Roman" w:hint="default"/>
        <w:b w:val="0"/>
        <w:i w:val="0"/>
        <w:color w:val="000000"/>
      </w:rPr>
    </w:lvl>
  </w:abstractNum>
  <w:abstractNum w:abstractNumId="17">
    <w:nsid w:val="20FF002D"/>
    <w:multiLevelType w:val="multilevel"/>
    <w:tmpl w:val="721AB7AE"/>
    <w:lvl w:ilvl="0">
      <w:start w:val="1"/>
      <w:numFmt w:val="decimal"/>
      <w:suff w:val="nothing"/>
      <w:lvlText w:val="%1"/>
      <w:lvlJc w:val="left"/>
      <w:pPr>
        <w:ind w:left="0" w:firstLine="0"/>
      </w:pPr>
      <w:rPr>
        <w:rFonts w:hint="default"/>
        <w:b w:val="0"/>
        <w:i w:val="0"/>
        <w:vanish/>
        <w:color w:val="000000"/>
        <w:sz w:val="2"/>
      </w:rPr>
    </w:lvl>
    <w:lvl w:ilvl="1">
      <w:start w:val="1"/>
      <w:numFmt w:val="decimal"/>
      <w:lvlText w:val="%1.%2"/>
      <w:lvlJc w:val="left"/>
      <w:pPr>
        <w:tabs>
          <w:tab w:val="num" w:pos="567"/>
        </w:tabs>
        <w:ind w:left="567" w:hanging="567"/>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851"/>
        </w:tabs>
        <w:ind w:left="1418" w:hanging="851"/>
      </w:pPr>
      <w:rPr>
        <w:rFonts w:hint="default"/>
        <w:b w:val="0"/>
        <w:i w:val="0"/>
        <w:color w:val="000000"/>
      </w:rPr>
    </w:lvl>
    <w:lvl w:ilvl="3">
      <w:start w:val="1"/>
      <w:numFmt w:val="decimal"/>
      <w:lvlText w:val="%1.%2.%3.%4"/>
      <w:lvlJc w:val="left"/>
      <w:pPr>
        <w:tabs>
          <w:tab w:val="num" w:pos="1134"/>
        </w:tabs>
        <w:ind w:left="2552" w:hanging="1134"/>
      </w:pPr>
      <w:rPr>
        <w:rFonts w:hint="default"/>
        <w:b w:val="0"/>
        <w:i w:val="0"/>
        <w:color w:val="000000"/>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18">
    <w:nsid w:val="232F003D"/>
    <w:multiLevelType w:val="multilevel"/>
    <w:tmpl w:val="3C3425A2"/>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960" w:hanging="360"/>
      </w:pPr>
    </w:lvl>
    <w:lvl w:ilvl="4">
      <w:start w:val="1"/>
      <w:numFmt w:val="lowerLetter"/>
      <w:lvlText w:val="(%5)"/>
      <w:lvlJc w:val="left"/>
      <w:pPr>
        <w:ind w:left="2320" w:hanging="360"/>
      </w:pPr>
    </w:lvl>
    <w:lvl w:ilvl="5">
      <w:start w:val="1"/>
      <w:numFmt w:val="lowerRoman"/>
      <w:lvlText w:val="(%6)"/>
      <w:lvlJc w:val="left"/>
      <w:pPr>
        <w:ind w:left="2680" w:hanging="360"/>
      </w:pPr>
    </w:lvl>
    <w:lvl w:ilvl="6">
      <w:start w:val="1"/>
      <w:numFmt w:val="decimal"/>
      <w:lvlText w:val="%7."/>
      <w:lvlJc w:val="left"/>
      <w:pPr>
        <w:ind w:left="3040" w:hanging="360"/>
      </w:pPr>
    </w:lvl>
    <w:lvl w:ilvl="7">
      <w:start w:val="1"/>
      <w:numFmt w:val="lowerLetter"/>
      <w:lvlText w:val="%8."/>
      <w:lvlJc w:val="left"/>
      <w:pPr>
        <w:ind w:left="3400" w:hanging="360"/>
      </w:pPr>
    </w:lvl>
    <w:lvl w:ilvl="8">
      <w:start w:val="1"/>
      <w:numFmt w:val="lowerRoman"/>
      <w:lvlText w:val="%9."/>
      <w:lvlJc w:val="left"/>
      <w:pPr>
        <w:ind w:left="3760" w:hanging="360"/>
      </w:pPr>
    </w:lvl>
  </w:abstractNum>
  <w:abstractNum w:abstractNumId="19">
    <w:nsid w:val="236A5BB3"/>
    <w:multiLevelType w:val="multilevel"/>
    <w:tmpl w:val="FA9E4CAC"/>
    <w:lvl w:ilvl="0">
      <w:start w:val="1"/>
      <w:numFmt w:val="decimal"/>
      <w:lvlRestart w:val="0"/>
      <w:lvlText w:val="%1."/>
      <w:lvlJc w:val="left"/>
      <w:pPr>
        <w:tabs>
          <w:tab w:val="num" w:pos="567"/>
        </w:tabs>
        <w:ind w:left="567" w:hanging="567"/>
      </w:pPr>
      <w:rPr>
        <w:b w:val="0"/>
        <w:i w:val="0"/>
      </w:rPr>
    </w:lvl>
    <w:lvl w:ilvl="1">
      <w:start w:val="1"/>
      <w:numFmt w:val="decimal"/>
      <w:lvlText w:val="%1.%2."/>
      <w:lvlJc w:val="left"/>
      <w:pPr>
        <w:tabs>
          <w:tab w:val="num" w:pos="1134"/>
        </w:tabs>
        <w:ind w:left="1134" w:hanging="567"/>
      </w:pPr>
      <w:rPr>
        <w:b w:val="0"/>
        <w:i w:val="0"/>
      </w:rPr>
    </w:lvl>
    <w:lvl w:ilvl="2">
      <w:start w:val="1"/>
      <w:numFmt w:val="decimal"/>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0">
    <w:nsid w:val="244237C5"/>
    <w:multiLevelType w:val="multilevel"/>
    <w:tmpl w:val="F0BE3518"/>
    <w:lvl w:ilvl="0">
      <w:start w:val="1"/>
      <w:numFmt w:val="decimal"/>
      <w:lvlRestart w:val="0"/>
      <w:pStyle w:val="OutlineNumbered1"/>
      <w:lvlText w:val="%1."/>
      <w:lvlJc w:val="left"/>
      <w:pPr>
        <w:tabs>
          <w:tab w:val="num" w:pos="567"/>
        </w:tabs>
        <w:ind w:left="567" w:hanging="567"/>
      </w:pPr>
      <w:rPr>
        <w:b w:val="0"/>
        <w:i w:val="0"/>
      </w:rPr>
    </w:lvl>
    <w:lvl w:ilvl="1">
      <w:start w:val="1"/>
      <w:numFmt w:val="decimal"/>
      <w:pStyle w:val="OutlineNumbered2"/>
      <w:lvlText w:val="%1.%2."/>
      <w:lvlJc w:val="left"/>
      <w:pPr>
        <w:tabs>
          <w:tab w:val="num" w:pos="1134"/>
        </w:tabs>
        <w:ind w:left="1134" w:hanging="567"/>
      </w:pPr>
      <w:rPr>
        <w:b w:val="0"/>
        <w:i w:val="0"/>
      </w:rPr>
    </w:lvl>
    <w:lvl w:ilvl="2">
      <w:start w:val="1"/>
      <w:numFmt w:val="decimal"/>
      <w:pStyle w:val="OutlineNumbered3"/>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1">
    <w:nsid w:val="254A5402"/>
    <w:multiLevelType w:val="hybridMultilevel"/>
    <w:tmpl w:val="CB981F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7440C8B"/>
    <w:multiLevelType w:val="multilevel"/>
    <w:tmpl w:val="7AD00388"/>
    <w:name w:val="StandardBulletedList"/>
    <w:lvl w:ilvl="0">
      <w:start w:val="1"/>
      <w:numFmt w:val="bullet"/>
      <w:lvlText w:val="•"/>
      <w:lvlJc w:val="left"/>
      <w:pPr>
        <w:tabs>
          <w:tab w:val="num" w:pos="520"/>
        </w:tabs>
        <w:ind w:left="520" w:hanging="520"/>
      </w:pPr>
      <w:rPr>
        <w:rFonts w:ascii="Times New Roman" w:hAnsi="Times New Roman" w:cs="Times New Roman"/>
        <w:b w:val="0"/>
        <w:i w:val="0"/>
      </w:rPr>
    </w:lvl>
    <w:lvl w:ilvl="1">
      <w:start w:val="1"/>
      <w:numFmt w:val="bullet"/>
      <w:lvlText w:val="–"/>
      <w:lvlJc w:val="left"/>
      <w:pPr>
        <w:tabs>
          <w:tab w:val="num" w:pos="1040"/>
        </w:tabs>
        <w:ind w:left="1040" w:hanging="520"/>
      </w:pPr>
      <w:rPr>
        <w:rFonts w:ascii="Times New Roman" w:hAnsi="Times New Roman" w:cs="Times New Roman"/>
        <w:b w:val="0"/>
        <w:i w:val="0"/>
      </w:rPr>
    </w:lvl>
    <w:lvl w:ilvl="2">
      <w:start w:val="1"/>
      <w:numFmt w:val="bullet"/>
      <w:lvlText w:val=":"/>
      <w:lvlJc w:val="left"/>
      <w:pPr>
        <w:tabs>
          <w:tab w:val="num" w:pos="1560"/>
        </w:tabs>
        <w:ind w:left="1560" w:hanging="520"/>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3">
    <w:nsid w:val="293042B6"/>
    <w:multiLevelType w:val="hybridMultilevel"/>
    <w:tmpl w:val="AF7E10C8"/>
    <w:lvl w:ilvl="0" w:tplc="4286996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2D665DFA"/>
    <w:multiLevelType w:val="singleLevel"/>
    <w:tmpl w:val="C0868FF0"/>
    <w:lvl w:ilvl="0">
      <w:start w:val="1"/>
      <w:numFmt w:val="lowerLetter"/>
      <w:pStyle w:val="AlphaParagraph"/>
      <w:lvlText w:val="(%1)"/>
      <w:lvlJc w:val="left"/>
      <w:pPr>
        <w:ind w:left="360" w:hanging="360"/>
      </w:pPr>
      <w:rPr>
        <w:rFonts w:ascii="Calibri" w:hAnsi="Calibri" w:cs="Times New Roman" w:hint="default"/>
        <w:b w:val="0"/>
        <w:i w:val="0"/>
        <w:color w:val="auto"/>
        <w:sz w:val="22"/>
      </w:rPr>
    </w:lvl>
  </w:abstractNum>
  <w:abstractNum w:abstractNumId="25">
    <w:nsid w:val="2FD2372F"/>
    <w:multiLevelType w:val="multilevel"/>
    <w:tmpl w:val="35103160"/>
    <w:lvl w:ilvl="0">
      <w:start w:val="1"/>
      <w:numFmt w:val="decimal"/>
      <w:lvlRestart w:val="0"/>
      <w:suff w:val="nothing"/>
      <w:lvlText w:val=""/>
      <w:lvlJc w:val="left"/>
      <w:pPr>
        <w:ind w:left="0" w:firstLine="0"/>
      </w:pPr>
      <w:rPr>
        <w:rFonts w:ascii="Times New Roman" w:hAnsi="Times New Roman" w:cs="Times New Roman"/>
        <w:b w:val="0"/>
        <w:i w:val="0"/>
        <w:color w:val="000000"/>
      </w:rPr>
    </w:lvl>
    <w:lvl w:ilvl="1">
      <w:start w:val="1"/>
      <w:numFmt w:val="decimal"/>
      <w:lvlText w:val="%1.%2"/>
      <w:lvlJc w:val="left"/>
      <w:pPr>
        <w:tabs>
          <w:tab w:val="num" w:pos="850"/>
        </w:tabs>
        <w:ind w:left="0" w:firstLine="0"/>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26">
    <w:nsid w:val="3C857931"/>
    <w:multiLevelType w:val="singleLevel"/>
    <w:tmpl w:val="0C09000F"/>
    <w:lvl w:ilvl="0">
      <w:start w:val="1"/>
      <w:numFmt w:val="decimal"/>
      <w:lvlText w:val="%1."/>
      <w:lvlJc w:val="left"/>
      <w:pPr>
        <w:tabs>
          <w:tab w:val="num" w:pos="720"/>
        </w:tabs>
        <w:ind w:left="720" w:hanging="360"/>
      </w:pPr>
    </w:lvl>
  </w:abstractNum>
  <w:abstractNum w:abstractNumId="27">
    <w:nsid w:val="418B22D4"/>
    <w:multiLevelType w:val="singleLevel"/>
    <w:tmpl w:val="0C09000F"/>
    <w:lvl w:ilvl="0">
      <w:start w:val="1"/>
      <w:numFmt w:val="decimal"/>
      <w:lvlText w:val="%1."/>
      <w:lvlJc w:val="left"/>
      <w:pPr>
        <w:tabs>
          <w:tab w:val="num" w:pos="720"/>
        </w:tabs>
        <w:ind w:left="720" w:hanging="360"/>
      </w:pPr>
    </w:lvl>
  </w:abstractNum>
  <w:abstractNum w:abstractNumId="28">
    <w:nsid w:val="423700C6"/>
    <w:multiLevelType w:val="multilevel"/>
    <w:tmpl w:val="0ABE909A"/>
    <w:lvl w:ilvl="0">
      <w:start w:val="1"/>
      <w:numFmt w:val="decimal"/>
      <w:pStyle w:val="Heading1"/>
      <w:suff w:val="nothing"/>
      <w:lvlText w:val="%1."/>
      <w:lvlJc w:val="left"/>
      <w:pPr>
        <w:ind w:left="0" w:firstLine="0"/>
      </w:pPr>
      <w:rPr>
        <w:rFonts w:hint="default"/>
        <w:b w:val="0"/>
        <w:i w:val="0"/>
        <w:vanish/>
        <w:sz w:val="2"/>
      </w:rPr>
    </w:lvl>
    <w:lvl w:ilvl="1">
      <w:start w:val="1"/>
      <w:numFmt w:val="decimal"/>
      <w:pStyle w:val="NewNumberedParagraph"/>
      <w:lvlText w:val="%1.%2"/>
      <w:lvlJc w:val="left"/>
      <w:pPr>
        <w:ind w:left="567" w:hanging="567"/>
      </w:pPr>
      <w:rPr>
        <w:rFonts w:hint="default"/>
        <w:b w:val="0"/>
        <w:i w:val="0"/>
      </w:rPr>
    </w:lvl>
    <w:lvl w:ilvl="2">
      <w:start w:val="1"/>
      <w:numFmt w:val="lowerLetter"/>
      <w:pStyle w:val="NewNumberedParagraph2"/>
      <w:lvlText w:val="(%3)"/>
      <w:lvlJc w:val="left"/>
      <w:pPr>
        <w:ind w:left="1418" w:hanging="851"/>
      </w:pPr>
      <w:rPr>
        <w:rFonts w:hint="default"/>
        <w:b w:val="0"/>
        <w:i w:val="0"/>
      </w:rPr>
    </w:lvl>
    <w:lvl w:ilvl="3">
      <w:start w:val="1"/>
      <w:numFmt w:val="decimal"/>
      <w:pStyle w:val="NewNumberedParagraph3"/>
      <w:lvlText w:val="(%4)"/>
      <w:lvlJc w:val="left"/>
      <w:pPr>
        <w:ind w:left="2552" w:hanging="1134"/>
      </w:pPr>
      <w:rPr>
        <w:rFonts w:hint="default"/>
        <w:b w:val="0"/>
        <w:i w:val="0"/>
      </w:rPr>
    </w:lvl>
    <w:lvl w:ilvl="4">
      <w:start w:val="1"/>
      <w:numFmt w:val="lowerRoman"/>
      <w:pStyle w:val="NewNumberedParagraph4"/>
      <w:lvlText w:val="(%5)"/>
      <w:lvlJc w:val="left"/>
      <w:pPr>
        <w:ind w:left="3686" w:hanging="1701"/>
      </w:pPr>
      <w:rPr>
        <w:rFonts w:hint="default"/>
        <w:b w:val="0"/>
        <w:i w:val="0"/>
      </w:rPr>
    </w:lvl>
    <w:lvl w:ilvl="5">
      <w:start w:val="1"/>
      <w:numFmt w:val="upperLetter"/>
      <w:pStyle w:val="NewNumberedParagraph5"/>
      <w:lvlText w:val="(%6)"/>
      <w:lvlJc w:val="left"/>
      <w:pPr>
        <w:ind w:left="4820" w:hanging="2268"/>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9">
    <w:nsid w:val="4311160F"/>
    <w:multiLevelType w:val="multilevel"/>
    <w:tmpl w:val="AD88B198"/>
    <w:name w:val="StandardNumberedList"/>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70A060D"/>
    <w:multiLevelType w:val="singleLevel"/>
    <w:tmpl w:val="7DD26AF0"/>
    <w:name w:val="RecommendationAlphaList"/>
    <w:lvl w:ilvl="0">
      <w:start w:val="1"/>
      <w:numFmt w:val="lowerLetter"/>
      <w:pStyle w:val="Recommendationalpha"/>
      <w:lvlText w:val="(%1)"/>
      <w:lvlJc w:val="left"/>
      <w:pPr>
        <w:ind w:left="360" w:hanging="360"/>
      </w:pPr>
      <w:rPr>
        <w:rFonts w:ascii="Calibri" w:hAnsi="Calibri" w:cs="Times New Roman" w:hint="default"/>
        <w:b w:val="0"/>
        <w:i w:val="0"/>
        <w:color w:val="auto"/>
      </w:rPr>
    </w:lvl>
  </w:abstractNum>
  <w:abstractNum w:abstractNumId="31">
    <w:nsid w:val="4CE06931"/>
    <w:multiLevelType w:val="singleLevel"/>
    <w:tmpl w:val="1958B15C"/>
    <w:name w:val="ChartTableFootnoteAlpha"/>
    <w:lvl w:ilvl="0">
      <w:start w:val="1"/>
      <w:numFmt w:val="lowerLetter"/>
      <w:pStyle w:val="ChartandTableFootnoteAlpha"/>
      <w:lvlText w:val="(%1)"/>
      <w:lvlJc w:val="left"/>
      <w:pPr>
        <w:ind w:left="360" w:hanging="360"/>
      </w:pPr>
      <w:rPr>
        <w:rFonts w:ascii="Calibri" w:hAnsi="Calibri" w:cs="Arial" w:hint="default"/>
        <w:b w:val="0"/>
        <w:i w:val="0"/>
        <w:sz w:val="18"/>
      </w:rPr>
    </w:lvl>
  </w:abstractNum>
  <w:abstractNum w:abstractNumId="32">
    <w:nsid w:val="4DCF3A8E"/>
    <w:multiLevelType w:val="singleLevel"/>
    <w:tmpl w:val="00087A28"/>
    <w:name w:val="Roman numeral list"/>
    <w:lvl w:ilvl="0">
      <w:start w:val="1"/>
      <w:numFmt w:val="lowerRoman"/>
      <w:lvlRestart w:val="0"/>
      <w:pStyle w:val="Romannumeral"/>
      <w:lvlText w:val="(%1)"/>
      <w:lvlJc w:val="left"/>
      <w:pPr>
        <w:tabs>
          <w:tab w:val="num" w:pos="1134"/>
        </w:tabs>
        <w:ind w:left="1134" w:hanging="567"/>
      </w:pPr>
      <w:rPr>
        <w:b w:val="0"/>
        <w:i w:val="0"/>
        <w:color w:val="000000"/>
      </w:rPr>
    </w:lvl>
  </w:abstractNum>
  <w:abstractNum w:abstractNumId="33">
    <w:nsid w:val="4F7C106C"/>
    <w:multiLevelType w:val="multilevel"/>
    <w:tmpl w:val="0A26968A"/>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1C00A89"/>
    <w:multiLevelType w:val="multilevel"/>
    <w:tmpl w:val="85DCC9D2"/>
    <w:lvl w:ilvl="0">
      <w:start w:val="5"/>
      <w:numFmt w:val="decimal"/>
      <w:lvlRestart w:val="0"/>
      <w:suff w:val="nothing"/>
      <w:lvlText w:val="Chapter %1"/>
      <w:lvlJc w:val="left"/>
      <w:pPr>
        <w:ind w:left="0" w:firstLine="0"/>
      </w:pPr>
      <w:rPr>
        <w:rFonts w:ascii="Times New Roman" w:hAnsi="Times New Roman" w:cs="Times New Roman" w:hint="default"/>
        <w:b w:val="0"/>
        <w:i w:val="0"/>
        <w:color w:val="000000"/>
      </w:rPr>
    </w:lvl>
    <w:lvl w:ilvl="1">
      <w:start w:val="1"/>
      <w:numFmt w:val="decimal"/>
      <w:lvlText w:val="%1.%2"/>
      <w:lvlJc w:val="left"/>
      <w:pPr>
        <w:tabs>
          <w:tab w:val="num" w:pos="850"/>
        </w:tabs>
        <w:ind w:left="0" w:firstLine="0"/>
      </w:pPr>
      <w:rPr>
        <w:rFonts w:ascii="Times New Roman" w:hAnsi="Times New Roman" w:cs="Times New Roman" w:hint="default"/>
        <w:b w:val="0"/>
        <w:i w:val="0"/>
        <w:color w:val="000000"/>
      </w:rPr>
    </w:lvl>
    <w:lvl w:ilvl="2">
      <w:start w:val="1"/>
      <w:numFmt w:val="decimal"/>
      <w:lvlText w:val="%3"/>
      <w:lvlJc w:val="left"/>
      <w:pPr>
        <w:tabs>
          <w:tab w:val="num" w:pos="1701"/>
        </w:tabs>
        <w:ind w:left="1701" w:hanging="567"/>
      </w:pPr>
      <w:rPr>
        <w:rFonts w:ascii="Times New Roman" w:hAnsi="Times New Roman" w:cs="Times New Roman" w:hint="default"/>
        <w:b w:val="0"/>
        <w:i w:val="0"/>
        <w:color w:val="000000"/>
      </w:rPr>
    </w:lvl>
    <w:lvl w:ilvl="3">
      <w:start w:val="1"/>
      <w:numFmt w:val="decimal"/>
      <w:lvlText w:val="%4"/>
      <w:lvlJc w:val="left"/>
      <w:pPr>
        <w:tabs>
          <w:tab w:val="num" w:pos="2268"/>
        </w:tabs>
        <w:ind w:left="2268" w:hanging="567"/>
      </w:pPr>
      <w:rPr>
        <w:rFonts w:ascii="Times New Roman" w:hAnsi="Times New Roman" w:cs="Times New Roman" w:hint="default"/>
        <w:b w:val="0"/>
        <w:i w:val="0"/>
        <w:color w:val="000000"/>
      </w:rPr>
    </w:lvl>
    <w:lvl w:ilvl="4">
      <w:start w:val="1"/>
      <w:numFmt w:val="decimal"/>
      <w:lvlText w:val="%5"/>
      <w:lvlJc w:val="left"/>
      <w:pPr>
        <w:tabs>
          <w:tab w:val="num" w:pos="2835"/>
        </w:tabs>
        <w:ind w:left="2835" w:hanging="567"/>
      </w:pPr>
      <w:rPr>
        <w:rFonts w:ascii="Times New Roman" w:hAnsi="Times New Roman" w:cs="Times New Roman" w:hint="default"/>
        <w:b w:val="0"/>
        <w:i w:val="0"/>
        <w:color w:val="000000"/>
      </w:rPr>
    </w:lvl>
    <w:lvl w:ilvl="5">
      <w:start w:val="1"/>
      <w:numFmt w:val="decimal"/>
      <w:lvlText w:val="%6"/>
      <w:lvlJc w:val="left"/>
      <w:pPr>
        <w:tabs>
          <w:tab w:val="num" w:pos="3402"/>
        </w:tabs>
        <w:ind w:left="3402" w:hanging="567"/>
      </w:pPr>
      <w:rPr>
        <w:rFonts w:ascii="Times New Roman" w:hAnsi="Times New Roman" w:cs="Times New Roman" w:hint="default"/>
        <w:b w:val="0"/>
        <w:i w:val="0"/>
        <w:color w:val="000000"/>
      </w:rPr>
    </w:lvl>
    <w:lvl w:ilvl="6">
      <w:start w:val="1"/>
      <w:numFmt w:val="decimal"/>
      <w:lvlText w:val="%7"/>
      <w:lvlJc w:val="left"/>
      <w:pPr>
        <w:tabs>
          <w:tab w:val="num" w:pos="3969"/>
        </w:tabs>
        <w:ind w:left="3969" w:hanging="567"/>
      </w:pPr>
      <w:rPr>
        <w:rFonts w:ascii="Times New Roman" w:hAnsi="Times New Roman" w:cs="Times New Roman" w:hint="default"/>
        <w:b w:val="0"/>
        <w:i w:val="0"/>
        <w:color w:val="000000"/>
      </w:rPr>
    </w:lvl>
    <w:lvl w:ilvl="7">
      <w:start w:val="1"/>
      <w:numFmt w:val="decimal"/>
      <w:lvlText w:val="%8"/>
      <w:lvlJc w:val="left"/>
      <w:pPr>
        <w:tabs>
          <w:tab w:val="num" w:pos="4536"/>
        </w:tabs>
        <w:ind w:left="4536" w:hanging="567"/>
      </w:pPr>
      <w:rPr>
        <w:rFonts w:ascii="Times New Roman" w:hAnsi="Times New Roman" w:cs="Times New Roman" w:hint="default"/>
        <w:b w:val="0"/>
        <w:i w:val="0"/>
        <w:color w:val="000000"/>
      </w:rPr>
    </w:lvl>
    <w:lvl w:ilvl="8">
      <w:start w:val="1"/>
      <w:numFmt w:val="decimal"/>
      <w:lvlText w:val="%9"/>
      <w:lvlJc w:val="left"/>
      <w:pPr>
        <w:tabs>
          <w:tab w:val="num" w:pos="5103"/>
        </w:tabs>
        <w:ind w:left="5103" w:hanging="567"/>
      </w:pPr>
      <w:rPr>
        <w:rFonts w:ascii="Times New Roman" w:hAnsi="Times New Roman" w:cs="Times New Roman" w:hint="default"/>
        <w:b w:val="0"/>
        <w:i w:val="0"/>
        <w:color w:val="000000"/>
      </w:rPr>
    </w:lvl>
  </w:abstractNum>
  <w:abstractNum w:abstractNumId="35">
    <w:nsid w:val="535357C1"/>
    <w:multiLevelType w:val="singleLevel"/>
    <w:tmpl w:val="0C09000F"/>
    <w:lvl w:ilvl="0">
      <w:start w:val="1"/>
      <w:numFmt w:val="decimal"/>
      <w:lvlText w:val="%1."/>
      <w:lvlJc w:val="left"/>
      <w:pPr>
        <w:tabs>
          <w:tab w:val="num" w:pos="720"/>
        </w:tabs>
        <w:ind w:left="720" w:hanging="360"/>
      </w:pPr>
    </w:lvl>
  </w:abstractNum>
  <w:abstractNum w:abstractNumId="36">
    <w:nsid w:val="540D4B0B"/>
    <w:multiLevelType w:val="hybridMultilevel"/>
    <w:tmpl w:val="7772C888"/>
    <w:lvl w:ilvl="0" w:tplc="9DFC556C">
      <w:start w:val="1"/>
      <w:numFmt w:val="bullet"/>
      <w:pStyle w:val="Dash"/>
      <w:lvlText w:val="-"/>
      <w:lvlJc w:val="left"/>
      <w:pPr>
        <w:ind w:left="720" w:hanging="360"/>
      </w:pPr>
      <w:rPr>
        <w:rFonts w:ascii="Calibri" w:hAnsi="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8101827"/>
    <w:multiLevelType w:val="multilevel"/>
    <w:tmpl w:val="FA067A32"/>
    <w:name w:val="BoxBulletedList"/>
    <w:lvl w:ilvl="0">
      <w:start w:val="1"/>
      <w:numFmt w:val="bullet"/>
      <w:lvlRestart w:val="0"/>
      <w:pStyle w:val="BoxBullet"/>
      <w:lvlText w:val="•"/>
      <w:lvlJc w:val="left"/>
      <w:pPr>
        <w:tabs>
          <w:tab w:val="num" w:pos="283"/>
        </w:tabs>
        <w:ind w:left="283" w:hanging="28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8">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9">
    <w:nsid w:val="65FB0D17"/>
    <w:multiLevelType w:val="singleLevel"/>
    <w:tmpl w:val="0C09000F"/>
    <w:lvl w:ilvl="0">
      <w:start w:val="1"/>
      <w:numFmt w:val="decimal"/>
      <w:lvlText w:val="%1."/>
      <w:lvlJc w:val="left"/>
      <w:pPr>
        <w:tabs>
          <w:tab w:val="num" w:pos="720"/>
        </w:tabs>
        <w:ind w:left="720" w:hanging="360"/>
      </w:pPr>
    </w:lvl>
  </w:abstractNum>
  <w:abstractNum w:abstractNumId="40">
    <w:nsid w:val="662442AE"/>
    <w:multiLevelType w:val="singleLevel"/>
    <w:tmpl w:val="A87ABB18"/>
    <w:lvl w:ilvl="0">
      <w:start w:val="1"/>
      <w:numFmt w:val="lowerRoman"/>
      <w:lvlRestart w:val="0"/>
      <w:pStyle w:val="Recommendationromannumeral"/>
      <w:lvlText w:val="(%1)"/>
      <w:lvlJc w:val="left"/>
      <w:pPr>
        <w:tabs>
          <w:tab w:val="num" w:pos="567"/>
        </w:tabs>
        <w:ind w:left="0" w:firstLine="0"/>
      </w:pPr>
      <w:rPr>
        <w:rFonts w:ascii="Times New Roman" w:hAnsi="Times New Roman" w:cs="Times New Roman"/>
        <w:b w:val="0"/>
        <w:i w:val="0"/>
        <w:color w:val="000000"/>
      </w:rPr>
    </w:lvl>
  </w:abstractNum>
  <w:abstractNum w:abstractNumId="41">
    <w:nsid w:val="6E9A4EBB"/>
    <w:multiLevelType w:val="hybridMultilevel"/>
    <w:tmpl w:val="4608FB46"/>
    <w:lvl w:ilvl="0" w:tplc="CEB6C302">
      <w:start w:val="1"/>
      <w:numFmt w:val="bullet"/>
      <w:pStyle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FC35026"/>
    <w:multiLevelType w:val="multilevel"/>
    <w:tmpl w:val="13C2392A"/>
    <w:lvl w:ilvl="0">
      <w:start w:val="1"/>
      <w:numFmt w:val="lowerLetter"/>
      <w:lvlText w:val="%1)"/>
      <w:lvlJc w:val="left"/>
      <w:pPr>
        <w:tabs>
          <w:tab w:val="num" w:pos="1134"/>
        </w:tabs>
        <w:ind w:left="1134" w:hanging="567"/>
      </w:pPr>
      <w:rPr>
        <w:b w:val="0"/>
        <w:i w:val="0"/>
      </w:rPr>
    </w:lvl>
    <w:lvl w:ilvl="1">
      <w:start w:val="1"/>
      <w:numFmt w:val="decimal"/>
      <w:lvlText w:val="%1.%2."/>
      <w:lvlJc w:val="left"/>
      <w:pPr>
        <w:tabs>
          <w:tab w:val="num" w:pos="1701"/>
        </w:tabs>
        <w:ind w:left="1701" w:hanging="567"/>
      </w:pPr>
      <w:rPr>
        <w:b w:val="0"/>
        <w:i w:val="0"/>
      </w:rPr>
    </w:lvl>
    <w:lvl w:ilvl="2">
      <w:start w:val="1"/>
      <w:numFmt w:val="decimal"/>
      <w:lvlText w:val="%1.%2.%3."/>
      <w:lvlJc w:val="left"/>
      <w:pPr>
        <w:tabs>
          <w:tab w:val="num" w:pos="2268"/>
        </w:tabs>
        <w:ind w:left="2268" w:hanging="567"/>
      </w:pPr>
      <w:rPr>
        <w:b w:val="0"/>
        <w:i w:val="0"/>
      </w:rPr>
    </w:lvl>
    <w:lvl w:ilvl="3">
      <w:start w:val="1"/>
      <w:numFmt w:val="decimal"/>
      <w:lvlText w:val="(%4)"/>
      <w:lvlJc w:val="left"/>
      <w:pPr>
        <w:tabs>
          <w:tab w:val="num" w:pos="2007"/>
        </w:tabs>
        <w:ind w:left="2007" w:hanging="360"/>
      </w:pPr>
      <w:rPr>
        <w:b w:val="0"/>
        <w:i w:val="0"/>
      </w:rPr>
    </w:lvl>
    <w:lvl w:ilvl="4">
      <w:start w:val="1"/>
      <w:numFmt w:val="lowerLetter"/>
      <w:lvlText w:val="(%5)"/>
      <w:lvlJc w:val="left"/>
      <w:pPr>
        <w:tabs>
          <w:tab w:val="num" w:pos="2367"/>
        </w:tabs>
        <w:ind w:left="2367" w:hanging="360"/>
      </w:pPr>
      <w:rPr>
        <w:b w:val="0"/>
        <w:i w:val="0"/>
      </w:rPr>
    </w:lvl>
    <w:lvl w:ilvl="5">
      <w:start w:val="1"/>
      <w:numFmt w:val="lowerRoman"/>
      <w:lvlText w:val="(%6)"/>
      <w:lvlJc w:val="left"/>
      <w:pPr>
        <w:tabs>
          <w:tab w:val="num" w:pos="2727"/>
        </w:tabs>
        <w:ind w:left="2727" w:hanging="360"/>
      </w:pPr>
      <w:rPr>
        <w:b w:val="0"/>
        <w:i w:val="0"/>
      </w:rPr>
    </w:lvl>
    <w:lvl w:ilvl="6">
      <w:start w:val="1"/>
      <w:numFmt w:val="decimal"/>
      <w:lvlText w:val="%7."/>
      <w:lvlJc w:val="left"/>
      <w:pPr>
        <w:tabs>
          <w:tab w:val="num" w:pos="3087"/>
        </w:tabs>
        <w:ind w:left="3087" w:hanging="360"/>
      </w:pPr>
      <w:rPr>
        <w:b w:val="0"/>
        <w:i w:val="0"/>
      </w:rPr>
    </w:lvl>
    <w:lvl w:ilvl="7">
      <w:start w:val="1"/>
      <w:numFmt w:val="lowerLetter"/>
      <w:lvlText w:val="%8."/>
      <w:lvlJc w:val="left"/>
      <w:pPr>
        <w:tabs>
          <w:tab w:val="num" w:pos="3447"/>
        </w:tabs>
        <w:ind w:left="3447" w:hanging="360"/>
      </w:pPr>
      <w:rPr>
        <w:b w:val="0"/>
        <w:i w:val="0"/>
      </w:rPr>
    </w:lvl>
    <w:lvl w:ilvl="8">
      <w:start w:val="1"/>
      <w:numFmt w:val="lowerRoman"/>
      <w:lvlText w:val="%9."/>
      <w:lvlJc w:val="left"/>
      <w:pPr>
        <w:tabs>
          <w:tab w:val="num" w:pos="3807"/>
        </w:tabs>
        <w:ind w:left="3807" w:hanging="360"/>
      </w:pPr>
      <w:rPr>
        <w:b w:val="0"/>
        <w:i w:val="0"/>
      </w:rPr>
    </w:lvl>
  </w:abstractNum>
  <w:abstractNum w:abstractNumId="43">
    <w:nsid w:val="708438AC"/>
    <w:multiLevelType w:val="multilevel"/>
    <w:tmpl w:val="49F47D52"/>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66C68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75A12A2"/>
    <w:multiLevelType w:val="hybridMultilevel"/>
    <w:tmpl w:val="E40E9134"/>
    <w:lvl w:ilvl="0" w:tplc="AA24A0F8">
      <w:start w:val="1"/>
      <w:numFmt w:val="bullet"/>
      <w:pStyle w:val="DoubleDot"/>
      <w:lvlText w:val=":"/>
      <w:lvlJc w:val="left"/>
      <w:pPr>
        <w:ind w:left="720" w:hanging="360"/>
      </w:pPr>
      <w:rPr>
        <w:rFonts w:ascii="Calibri" w:hAnsi="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8663746"/>
    <w:multiLevelType w:val="multilevel"/>
    <w:tmpl w:val="2DB61A66"/>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20"/>
  </w:num>
  <w:num w:numId="3">
    <w:abstractNumId w:val="24"/>
  </w:num>
  <w:num w:numId="4">
    <w:abstractNumId w:val="31"/>
  </w:num>
  <w:num w:numId="5">
    <w:abstractNumId w:val="19"/>
  </w:num>
  <w:num w:numId="6">
    <w:abstractNumId w:val="19"/>
  </w:num>
  <w:num w:numId="7">
    <w:abstractNumId w:val="19"/>
  </w:num>
  <w:num w:numId="8">
    <w:abstractNumId w:val="46"/>
  </w:num>
  <w:num w:numId="9">
    <w:abstractNumId w:val="37"/>
  </w:num>
  <w:num w:numId="10">
    <w:abstractNumId w:val="15"/>
  </w:num>
  <w:num w:numId="11">
    <w:abstractNumId w:val="38"/>
  </w:num>
  <w:num w:numId="12">
    <w:abstractNumId w:val="16"/>
  </w:num>
  <w:num w:numId="13">
    <w:abstractNumId w:val="30"/>
  </w:num>
  <w:num w:numId="14">
    <w:abstractNumId w:val="40"/>
  </w:num>
  <w:num w:numId="15">
    <w:abstractNumId w:val="16"/>
  </w:num>
  <w:num w:numId="16">
    <w:abstractNumId w:val="40"/>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1"/>
  </w:num>
  <w:num w:numId="28">
    <w:abstractNumId w:val="25"/>
  </w:num>
  <w:num w:numId="29">
    <w:abstractNumId w:val="34"/>
  </w:num>
  <w:num w:numId="30">
    <w:abstractNumId w:val="44"/>
  </w:num>
  <w:num w:numId="31">
    <w:abstractNumId w:val="12"/>
  </w:num>
  <w:num w:numId="32">
    <w:abstractNumId w:val="14"/>
  </w:num>
  <w:num w:numId="33">
    <w:abstractNumId w:val="12"/>
  </w:num>
  <w:num w:numId="34">
    <w:abstractNumId w:val="10"/>
  </w:num>
  <w:num w:numId="35">
    <w:abstractNumId w:val="32"/>
  </w:num>
  <w:num w:numId="36">
    <w:abstractNumId w:val="10"/>
  </w:num>
  <w:num w:numId="37">
    <w:abstractNumId w:val="38"/>
  </w:num>
  <w:num w:numId="38">
    <w:abstractNumId w:val="18"/>
  </w:num>
  <w:num w:numId="39">
    <w:abstractNumId w:val="33"/>
  </w:num>
  <w:num w:numId="40">
    <w:abstractNumId w:val="21"/>
  </w:num>
  <w:num w:numId="41">
    <w:abstractNumId w:val="29"/>
  </w:num>
  <w:num w:numId="42">
    <w:abstractNumId w:val="43"/>
  </w:num>
  <w:num w:numId="43">
    <w:abstractNumId w:val="17"/>
  </w:num>
  <w:num w:numId="44">
    <w:abstractNumId w:val="41"/>
  </w:num>
  <w:num w:numId="45">
    <w:abstractNumId w:val="36"/>
  </w:num>
  <w:num w:numId="46">
    <w:abstractNumId w:val="45"/>
  </w:num>
  <w:num w:numId="47">
    <w:abstractNumId w:val="23"/>
  </w:num>
  <w:num w:numId="48">
    <w:abstractNumId w:val="28"/>
  </w:num>
  <w:num w:numId="49">
    <w:abstractNumId w:val="42"/>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False"/>
    <w:docVar w:name="SecurityClassificationInHeader" w:val="False"/>
    <w:docVar w:name="SecurityDLMInHeader" w:val="False"/>
  </w:docVars>
  <w:rsids>
    <w:rsidRoot w:val="00F54D1E"/>
    <w:rsid w:val="00011623"/>
    <w:rsid w:val="00015950"/>
    <w:rsid w:val="00016CD7"/>
    <w:rsid w:val="00023988"/>
    <w:rsid w:val="00031E96"/>
    <w:rsid w:val="000446C8"/>
    <w:rsid w:val="00053244"/>
    <w:rsid w:val="000537F1"/>
    <w:rsid w:val="0006525A"/>
    <w:rsid w:val="0007609E"/>
    <w:rsid w:val="00076686"/>
    <w:rsid w:val="00076B56"/>
    <w:rsid w:val="00080B3F"/>
    <w:rsid w:val="00091679"/>
    <w:rsid w:val="000A252D"/>
    <w:rsid w:val="000B7610"/>
    <w:rsid w:val="000C3381"/>
    <w:rsid w:val="000E3754"/>
    <w:rsid w:val="000E7E4A"/>
    <w:rsid w:val="000F12A1"/>
    <w:rsid w:val="000F2D08"/>
    <w:rsid w:val="00143EB2"/>
    <w:rsid w:val="00154371"/>
    <w:rsid w:val="0018069B"/>
    <w:rsid w:val="001908E9"/>
    <w:rsid w:val="001B62BB"/>
    <w:rsid w:val="001C0751"/>
    <w:rsid w:val="001C5C56"/>
    <w:rsid w:val="001E2AB6"/>
    <w:rsid w:val="001E3E0B"/>
    <w:rsid w:val="00201DBE"/>
    <w:rsid w:val="00213BF0"/>
    <w:rsid w:val="002327A3"/>
    <w:rsid w:val="00265768"/>
    <w:rsid w:val="00282D9F"/>
    <w:rsid w:val="00283DEA"/>
    <w:rsid w:val="00284F92"/>
    <w:rsid w:val="002A6691"/>
    <w:rsid w:val="002C7C3B"/>
    <w:rsid w:val="002D36E0"/>
    <w:rsid w:val="002F0D19"/>
    <w:rsid w:val="002F79AF"/>
    <w:rsid w:val="00321A7C"/>
    <w:rsid w:val="00347121"/>
    <w:rsid w:val="00347A63"/>
    <w:rsid w:val="00354673"/>
    <w:rsid w:val="00355C76"/>
    <w:rsid w:val="00357D27"/>
    <w:rsid w:val="003638CD"/>
    <w:rsid w:val="00371F30"/>
    <w:rsid w:val="00374D4E"/>
    <w:rsid w:val="0039392E"/>
    <w:rsid w:val="00394222"/>
    <w:rsid w:val="003A490D"/>
    <w:rsid w:val="003A761F"/>
    <w:rsid w:val="003D06C4"/>
    <w:rsid w:val="004019E3"/>
    <w:rsid w:val="00426FD2"/>
    <w:rsid w:val="00433132"/>
    <w:rsid w:val="00434DFC"/>
    <w:rsid w:val="00450AD2"/>
    <w:rsid w:val="00470AF8"/>
    <w:rsid w:val="00474F0C"/>
    <w:rsid w:val="004B38B3"/>
    <w:rsid w:val="004E338A"/>
    <w:rsid w:val="005071F7"/>
    <w:rsid w:val="00514057"/>
    <w:rsid w:val="00543D2C"/>
    <w:rsid w:val="005629F3"/>
    <w:rsid w:val="00562DE1"/>
    <w:rsid w:val="00563293"/>
    <w:rsid w:val="00577FF5"/>
    <w:rsid w:val="00597D6D"/>
    <w:rsid w:val="005B4A40"/>
    <w:rsid w:val="005D417A"/>
    <w:rsid w:val="005E1688"/>
    <w:rsid w:val="005E1D16"/>
    <w:rsid w:val="006047A9"/>
    <w:rsid w:val="00615966"/>
    <w:rsid w:val="00626B4B"/>
    <w:rsid w:val="00640183"/>
    <w:rsid w:val="00642A4B"/>
    <w:rsid w:val="0065045B"/>
    <w:rsid w:val="00670318"/>
    <w:rsid w:val="0068236A"/>
    <w:rsid w:val="00693FD0"/>
    <w:rsid w:val="006952D3"/>
    <w:rsid w:val="006D2D97"/>
    <w:rsid w:val="006D55CD"/>
    <w:rsid w:val="006E5992"/>
    <w:rsid w:val="00704A51"/>
    <w:rsid w:val="00706FDB"/>
    <w:rsid w:val="00725F97"/>
    <w:rsid w:val="00727F93"/>
    <w:rsid w:val="00741F2A"/>
    <w:rsid w:val="007577C4"/>
    <w:rsid w:val="0076767A"/>
    <w:rsid w:val="007705F7"/>
    <w:rsid w:val="00773F07"/>
    <w:rsid w:val="007754B3"/>
    <w:rsid w:val="0078076B"/>
    <w:rsid w:val="00781BF1"/>
    <w:rsid w:val="007913A3"/>
    <w:rsid w:val="00795C1E"/>
    <w:rsid w:val="007C0607"/>
    <w:rsid w:val="007D2914"/>
    <w:rsid w:val="007D4EEC"/>
    <w:rsid w:val="007E2130"/>
    <w:rsid w:val="007F5413"/>
    <w:rsid w:val="00824F52"/>
    <w:rsid w:val="00841199"/>
    <w:rsid w:val="00841290"/>
    <w:rsid w:val="008412FB"/>
    <w:rsid w:val="00846FAC"/>
    <w:rsid w:val="008621A8"/>
    <w:rsid w:val="00881B38"/>
    <w:rsid w:val="008923D2"/>
    <w:rsid w:val="00894823"/>
    <w:rsid w:val="00897D5E"/>
    <w:rsid w:val="008A3FFF"/>
    <w:rsid w:val="008A623E"/>
    <w:rsid w:val="008A6733"/>
    <w:rsid w:val="008B7DB8"/>
    <w:rsid w:val="008D3B4C"/>
    <w:rsid w:val="008F3EDB"/>
    <w:rsid w:val="008F6F6E"/>
    <w:rsid w:val="00902A3B"/>
    <w:rsid w:val="0090466F"/>
    <w:rsid w:val="00934A38"/>
    <w:rsid w:val="00936749"/>
    <w:rsid w:val="009375E0"/>
    <w:rsid w:val="00946896"/>
    <w:rsid w:val="009547FD"/>
    <w:rsid w:val="00957A0C"/>
    <w:rsid w:val="00971B4E"/>
    <w:rsid w:val="00974026"/>
    <w:rsid w:val="00977F23"/>
    <w:rsid w:val="009A7C40"/>
    <w:rsid w:val="009C201E"/>
    <w:rsid w:val="009C3375"/>
    <w:rsid w:val="009D0350"/>
    <w:rsid w:val="009D61B0"/>
    <w:rsid w:val="009E549F"/>
    <w:rsid w:val="009E6D15"/>
    <w:rsid w:val="009F2267"/>
    <w:rsid w:val="00A117C6"/>
    <w:rsid w:val="00A24EAC"/>
    <w:rsid w:val="00A47648"/>
    <w:rsid w:val="00A516B4"/>
    <w:rsid w:val="00A51FAF"/>
    <w:rsid w:val="00A76CDA"/>
    <w:rsid w:val="00A77E83"/>
    <w:rsid w:val="00A95CFA"/>
    <w:rsid w:val="00AA38C2"/>
    <w:rsid w:val="00AB1F33"/>
    <w:rsid w:val="00AE5B3C"/>
    <w:rsid w:val="00AF2093"/>
    <w:rsid w:val="00AF4350"/>
    <w:rsid w:val="00B02F25"/>
    <w:rsid w:val="00B03F09"/>
    <w:rsid w:val="00B06545"/>
    <w:rsid w:val="00B1701F"/>
    <w:rsid w:val="00B22C61"/>
    <w:rsid w:val="00B33DDA"/>
    <w:rsid w:val="00B349A8"/>
    <w:rsid w:val="00B54641"/>
    <w:rsid w:val="00B656AC"/>
    <w:rsid w:val="00B978D5"/>
    <w:rsid w:val="00BB7103"/>
    <w:rsid w:val="00BE6267"/>
    <w:rsid w:val="00BE648B"/>
    <w:rsid w:val="00C00A07"/>
    <w:rsid w:val="00C160D7"/>
    <w:rsid w:val="00C220E5"/>
    <w:rsid w:val="00C31060"/>
    <w:rsid w:val="00C354F9"/>
    <w:rsid w:val="00C47B87"/>
    <w:rsid w:val="00C53860"/>
    <w:rsid w:val="00C73188"/>
    <w:rsid w:val="00C739E5"/>
    <w:rsid w:val="00CF6D38"/>
    <w:rsid w:val="00D0055C"/>
    <w:rsid w:val="00D1241A"/>
    <w:rsid w:val="00D23DCA"/>
    <w:rsid w:val="00D333E7"/>
    <w:rsid w:val="00D3340C"/>
    <w:rsid w:val="00D33D9A"/>
    <w:rsid w:val="00D40714"/>
    <w:rsid w:val="00D45AFD"/>
    <w:rsid w:val="00D65360"/>
    <w:rsid w:val="00D65FB7"/>
    <w:rsid w:val="00D83AD9"/>
    <w:rsid w:val="00D93F8D"/>
    <w:rsid w:val="00D97040"/>
    <w:rsid w:val="00D97B3F"/>
    <w:rsid w:val="00DB0754"/>
    <w:rsid w:val="00DC04C5"/>
    <w:rsid w:val="00DC5BD6"/>
    <w:rsid w:val="00DD18CB"/>
    <w:rsid w:val="00DE14D8"/>
    <w:rsid w:val="00DE5779"/>
    <w:rsid w:val="00DF5423"/>
    <w:rsid w:val="00E073CE"/>
    <w:rsid w:val="00E177C0"/>
    <w:rsid w:val="00E3659C"/>
    <w:rsid w:val="00E55A3E"/>
    <w:rsid w:val="00E62083"/>
    <w:rsid w:val="00E6383B"/>
    <w:rsid w:val="00E6703B"/>
    <w:rsid w:val="00E67B01"/>
    <w:rsid w:val="00E7161B"/>
    <w:rsid w:val="00E80D5B"/>
    <w:rsid w:val="00E80E2C"/>
    <w:rsid w:val="00E917DA"/>
    <w:rsid w:val="00E95A85"/>
    <w:rsid w:val="00EB42E8"/>
    <w:rsid w:val="00EB6EEC"/>
    <w:rsid w:val="00EC68D4"/>
    <w:rsid w:val="00ED19FE"/>
    <w:rsid w:val="00EE5282"/>
    <w:rsid w:val="00EF61B8"/>
    <w:rsid w:val="00F16B07"/>
    <w:rsid w:val="00F25B26"/>
    <w:rsid w:val="00F30CA2"/>
    <w:rsid w:val="00F41F15"/>
    <w:rsid w:val="00F420FF"/>
    <w:rsid w:val="00F42BB8"/>
    <w:rsid w:val="00F508EA"/>
    <w:rsid w:val="00F54D1E"/>
    <w:rsid w:val="00F550A2"/>
    <w:rsid w:val="00F72FB4"/>
    <w:rsid w:val="00F84EEC"/>
    <w:rsid w:val="00F914AA"/>
    <w:rsid w:val="00FA6029"/>
    <w:rsid w:val="00FB188B"/>
    <w:rsid w:val="00FC7889"/>
    <w:rsid w:val="00FD2021"/>
    <w:rsid w:val="00FD6C3C"/>
    <w:rsid w:val="00FF7F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C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282"/>
    <w:pPr>
      <w:spacing w:after="240" w:line="300" w:lineRule="exact"/>
      <w:jc w:val="both"/>
    </w:pPr>
    <w:rPr>
      <w:rFonts w:ascii="Calibri" w:hAnsi="Calibri"/>
      <w:sz w:val="22"/>
      <w:szCs w:val="22"/>
    </w:rPr>
  </w:style>
  <w:style w:type="paragraph" w:styleId="Heading1">
    <w:name w:val="heading 1"/>
    <w:basedOn w:val="HeadingBase"/>
    <w:next w:val="Normal"/>
    <w:qFormat/>
    <w:rsid w:val="00EE5282"/>
    <w:pPr>
      <w:keepNext/>
      <w:pageBreakBefore/>
      <w:numPr>
        <w:numId w:val="48"/>
      </w:numPr>
      <w:pBdr>
        <w:bottom w:val="single" w:sz="2" w:space="1" w:color="000080"/>
      </w:pBdr>
      <w:spacing w:before="720" w:after="800"/>
      <w:outlineLvl w:val="0"/>
    </w:pPr>
    <w:rPr>
      <w:rFonts w:cs="Arial"/>
      <w:bCs/>
      <w:smallCaps/>
      <w:kern w:val="32"/>
      <w:sz w:val="56"/>
      <w:szCs w:val="38"/>
    </w:rPr>
  </w:style>
  <w:style w:type="paragraph" w:styleId="Heading2">
    <w:name w:val="heading 2"/>
    <w:basedOn w:val="HeadingBase"/>
    <w:next w:val="Normal"/>
    <w:qFormat/>
    <w:rsid w:val="00EE5282"/>
    <w:pPr>
      <w:keepNext/>
      <w:spacing w:before="360" w:after="240"/>
      <w:outlineLvl w:val="1"/>
    </w:pPr>
    <w:rPr>
      <w:rFonts w:asciiTheme="minorHAnsi" w:hAnsiTheme="minorHAnsi" w:cs="Arial"/>
      <w:b/>
      <w:bCs/>
      <w:iCs/>
      <w:color w:val="C00000"/>
      <w:sz w:val="40"/>
      <w:szCs w:val="30"/>
    </w:rPr>
  </w:style>
  <w:style w:type="paragraph" w:styleId="Heading3">
    <w:name w:val="heading 3"/>
    <w:basedOn w:val="HeadingBase"/>
    <w:next w:val="Normal"/>
    <w:qFormat/>
    <w:rsid w:val="00EE5282"/>
    <w:pPr>
      <w:keepNext/>
      <w:spacing w:before="180" w:after="120"/>
      <w:outlineLvl w:val="2"/>
    </w:pPr>
    <w:rPr>
      <w:rFonts w:cs="Arial"/>
      <w:b/>
      <w:bCs/>
      <w:i/>
      <w:sz w:val="32"/>
      <w:szCs w:val="26"/>
    </w:rPr>
  </w:style>
  <w:style w:type="paragraph" w:styleId="Heading4">
    <w:name w:val="heading 4"/>
    <w:basedOn w:val="HeadingBase"/>
    <w:next w:val="Normal"/>
    <w:qFormat/>
    <w:rsid w:val="00EE5282"/>
    <w:pPr>
      <w:keepNext/>
      <w:spacing w:before="120" w:after="120"/>
      <w:outlineLvl w:val="3"/>
    </w:pPr>
    <w:rPr>
      <w:bCs/>
      <w:i/>
      <w:color w:val="C00000"/>
      <w:sz w:val="28"/>
      <w:szCs w:val="23"/>
    </w:rPr>
  </w:style>
  <w:style w:type="paragraph" w:styleId="Heading5">
    <w:name w:val="heading 5"/>
    <w:basedOn w:val="HeadingBase"/>
    <w:next w:val="Normal"/>
    <w:qFormat/>
    <w:rsid w:val="00EE5282"/>
    <w:pPr>
      <w:spacing w:before="160" w:after="80"/>
      <w:outlineLvl w:val="4"/>
    </w:pPr>
    <w:rPr>
      <w:b/>
      <w:bCs/>
      <w:iCs/>
      <w:sz w:val="24"/>
    </w:rPr>
  </w:style>
  <w:style w:type="paragraph" w:styleId="Heading6">
    <w:name w:val="heading 6"/>
    <w:basedOn w:val="HeadingBase"/>
    <w:next w:val="Normal"/>
    <w:qFormat/>
    <w:rsid w:val="00EE5282"/>
    <w:pPr>
      <w:spacing w:after="120"/>
      <w:outlineLvl w:val="5"/>
    </w:pPr>
    <w:rPr>
      <w:bCs/>
      <w:i/>
      <w:sz w:val="24"/>
    </w:rPr>
  </w:style>
  <w:style w:type="paragraph" w:styleId="Heading7">
    <w:name w:val="heading 7"/>
    <w:basedOn w:val="HeadingBase"/>
    <w:next w:val="Normal"/>
    <w:qFormat/>
    <w:rsid w:val="00EE5282"/>
    <w:pPr>
      <w:spacing w:after="120"/>
      <w:outlineLvl w:val="6"/>
    </w:pPr>
    <w:rPr>
      <w:szCs w:val="24"/>
    </w:rPr>
  </w:style>
  <w:style w:type="paragraph" w:styleId="Heading8">
    <w:name w:val="heading 8"/>
    <w:basedOn w:val="HeadingBase"/>
    <w:next w:val="Normal"/>
    <w:qFormat/>
    <w:rsid w:val="00EE5282"/>
    <w:pPr>
      <w:spacing w:after="120"/>
      <w:outlineLvl w:val="7"/>
    </w:pPr>
    <w:rPr>
      <w:iCs/>
      <w:szCs w:val="24"/>
    </w:rPr>
  </w:style>
  <w:style w:type="paragraph" w:styleId="Heading9">
    <w:name w:val="heading 9"/>
    <w:basedOn w:val="HeadingBase"/>
    <w:next w:val="Normal"/>
    <w:qFormat/>
    <w:rsid w:val="00EE5282"/>
    <w:pPr>
      <w:spacing w:after="1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link w:val="HeadingBaseChar"/>
    <w:rsid w:val="00EE5282"/>
    <w:rPr>
      <w:rFonts w:ascii="Calibri" w:hAnsi="Calibri"/>
      <w:color w:val="000080"/>
      <w:sz w:val="22"/>
      <w:szCs w:val="22"/>
    </w:rPr>
  </w:style>
  <w:style w:type="paragraph" w:customStyle="1" w:styleId="NumberedParagraph">
    <w:name w:val="Numbered Paragraph"/>
    <w:basedOn w:val="Normal"/>
    <w:rsid w:val="00284F92"/>
    <w:pPr>
      <w:numPr>
        <w:ilvl w:val="1"/>
        <w:numId w:val="36"/>
      </w:numPr>
    </w:pPr>
  </w:style>
  <w:style w:type="paragraph" w:customStyle="1" w:styleId="SingleParagraph">
    <w:name w:val="Single Paragraph"/>
    <w:basedOn w:val="Normal"/>
    <w:rsid w:val="00EE5282"/>
    <w:pPr>
      <w:spacing w:after="0"/>
    </w:pPr>
  </w:style>
  <w:style w:type="character" w:styleId="Hyperlink">
    <w:name w:val="Hyperlink"/>
    <w:basedOn w:val="DefaultParagraphFont"/>
    <w:uiPriority w:val="99"/>
    <w:rsid w:val="00EE5282"/>
    <w:rPr>
      <w:color w:val="0000FF"/>
      <w:u w:val="single"/>
    </w:rPr>
  </w:style>
  <w:style w:type="paragraph" w:customStyle="1" w:styleId="ChapterHeading">
    <w:name w:val="ChapterHeading"/>
    <w:basedOn w:val="HeadingBase"/>
    <w:next w:val="NumberedParagraph"/>
    <w:rsid w:val="00284F92"/>
    <w:pPr>
      <w:numPr>
        <w:numId w:val="36"/>
      </w:numPr>
      <w:pBdr>
        <w:bottom w:val="single" w:sz="2" w:space="1" w:color="000080"/>
      </w:pBdr>
      <w:spacing w:before="720" w:after="800"/>
    </w:pPr>
    <w:rPr>
      <w:smallCaps/>
      <w:sz w:val="38"/>
      <w:szCs w:val="38"/>
    </w:rPr>
  </w:style>
  <w:style w:type="character" w:styleId="PageNumber">
    <w:name w:val="page number"/>
    <w:basedOn w:val="DefaultParagraphFont"/>
    <w:rsid w:val="00EE5282"/>
    <w:rPr>
      <w:rFonts w:ascii="Arial" w:hAnsi="Arial"/>
      <w:sz w:val="18"/>
    </w:rPr>
  </w:style>
  <w:style w:type="paragraph" w:customStyle="1" w:styleId="CaseStudyHeading">
    <w:name w:val="Case Study Heading"/>
    <w:basedOn w:val="HeadingBase"/>
    <w:next w:val="Normal"/>
    <w:rsid w:val="00EE5282"/>
    <w:pPr>
      <w:spacing w:before="120" w:after="240"/>
    </w:pPr>
    <w:rPr>
      <w:b/>
    </w:rPr>
  </w:style>
  <w:style w:type="paragraph" w:customStyle="1" w:styleId="Casestudytext">
    <w:name w:val="Case study text"/>
    <w:basedOn w:val="Normal"/>
    <w:rsid w:val="00894823"/>
    <w:pPr>
      <w:spacing w:line="240" w:lineRule="auto"/>
    </w:pPr>
    <w:rPr>
      <w:color w:val="000080"/>
    </w:rPr>
  </w:style>
  <w:style w:type="paragraph" w:customStyle="1" w:styleId="Bullet">
    <w:name w:val="Bullet"/>
    <w:basedOn w:val="Normal"/>
    <w:link w:val="BulletChar"/>
    <w:rsid w:val="00EE5282"/>
    <w:pPr>
      <w:numPr>
        <w:numId w:val="44"/>
      </w:numPr>
      <w:tabs>
        <w:tab w:val="left" w:pos="567"/>
      </w:tabs>
      <w:ind w:left="567" w:hanging="567"/>
    </w:pPr>
  </w:style>
  <w:style w:type="paragraph" w:customStyle="1" w:styleId="Dash">
    <w:name w:val="Dash"/>
    <w:basedOn w:val="Normal"/>
    <w:rsid w:val="00EE5282"/>
    <w:pPr>
      <w:numPr>
        <w:numId w:val="45"/>
      </w:numPr>
      <w:tabs>
        <w:tab w:val="left" w:pos="1418"/>
      </w:tabs>
      <w:ind w:left="1418" w:hanging="851"/>
    </w:pPr>
  </w:style>
  <w:style w:type="paragraph" w:customStyle="1" w:styleId="DoubleDot">
    <w:name w:val="Double Dot"/>
    <w:basedOn w:val="Normal"/>
    <w:rsid w:val="00EE5282"/>
    <w:pPr>
      <w:numPr>
        <w:numId w:val="46"/>
      </w:numPr>
      <w:tabs>
        <w:tab w:val="left" w:pos="2552"/>
      </w:tabs>
      <w:ind w:left="2269" w:hanging="851"/>
    </w:pPr>
  </w:style>
  <w:style w:type="paragraph" w:customStyle="1" w:styleId="OutlineNumbered1">
    <w:name w:val="Outline Numbered 1"/>
    <w:basedOn w:val="Normal"/>
    <w:rsid w:val="00EE5282"/>
    <w:pPr>
      <w:numPr>
        <w:numId w:val="2"/>
      </w:numPr>
    </w:pPr>
  </w:style>
  <w:style w:type="paragraph" w:customStyle="1" w:styleId="OutlineNumbered2">
    <w:name w:val="Outline Numbered 2"/>
    <w:basedOn w:val="Normal"/>
    <w:rsid w:val="00EE5282"/>
    <w:pPr>
      <w:numPr>
        <w:ilvl w:val="1"/>
        <w:numId w:val="2"/>
      </w:numPr>
    </w:pPr>
  </w:style>
  <w:style w:type="paragraph" w:customStyle="1" w:styleId="OutlineNumbered3">
    <w:name w:val="Outline Numbered 3"/>
    <w:basedOn w:val="Normal"/>
    <w:rsid w:val="00EE5282"/>
    <w:pPr>
      <w:numPr>
        <w:ilvl w:val="2"/>
        <w:numId w:val="2"/>
      </w:numPr>
    </w:pPr>
  </w:style>
  <w:style w:type="paragraph" w:customStyle="1" w:styleId="AlphaParagraph">
    <w:name w:val="Alpha Paragraph"/>
    <w:basedOn w:val="Normal"/>
    <w:rsid w:val="00EE5282"/>
    <w:pPr>
      <w:numPr>
        <w:numId w:val="3"/>
      </w:numPr>
    </w:pPr>
  </w:style>
  <w:style w:type="paragraph" w:customStyle="1" w:styleId="AppendixHeading">
    <w:name w:val="Appendix Heading"/>
    <w:basedOn w:val="HeadingBase"/>
    <w:next w:val="Normal"/>
    <w:rsid w:val="00EE5282"/>
    <w:pPr>
      <w:pBdr>
        <w:bottom w:val="single" w:sz="2" w:space="1" w:color="000080"/>
      </w:pBdr>
      <w:spacing w:after="240"/>
    </w:pPr>
    <w:rPr>
      <w:smallCaps/>
      <w:sz w:val="38"/>
      <w:szCs w:val="38"/>
    </w:rPr>
  </w:style>
  <w:style w:type="character" w:customStyle="1" w:styleId="Bold">
    <w:name w:val="Bold"/>
    <w:basedOn w:val="DefaultParagraphFont"/>
    <w:rsid w:val="00EE5282"/>
    <w:rPr>
      <w:b/>
    </w:rPr>
  </w:style>
  <w:style w:type="paragraph" w:customStyle="1" w:styleId="BoxHeading">
    <w:name w:val="Box Heading"/>
    <w:basedOn w:val="HeadingBase"/>
    <w:next w:val="BoxText"/>
    <w:rsid w:val="00EE5282"/>
    <w:pPr>
      <w:spacing w:before="120" w:after="80"/>
    </w:pPr>
    <w:rPr>
      <w:rFonts w:asciiTheme="minorHAnsi" w:hAnsiTheme="minorHAnsi"/>
      <w:b/>
      <w:caps/>
      <w:color w:val="FFFFFF" w:themeColor="background1"/>
      <w:sz w:val="28"/>
    </w:rPr>
  </w:style>
  <w:style w:type="paragraph" w:customStyle="1" w:styleId="BoxText">
    <w:name w:val="Box Text"/>
    <w:basedOn w:val="BoxTextBase"/>
    <w:rsid w:val="00EE5282"/>
  </w:style>
  <w:style w:type="paragraph" w:customStyle="1" w:styleId="BoxTextBase">
    <w:name w:val="Box Text Base"/>
    <w:basedOn w:val="Normal"/>
    <w:rsid w:val="00EE5282"/>
    <w:pPr>
      <w:spacing w:before="120" w:after="120" w:line="240" w:lineRule="auto"/>
    </w:pPr>
  </w:style>
  <w:style w:type="paragraph" w:customStyle="1" w:styleId="ChartandTableFootnoteAlpha">
    <w:name w:val="Chart and Table Footnote Alpha"/>
    <w:rsid w:val="00EE5282"/>
    <w:pPr>
      <w:numPr>
        <w:numId w:val="4"/>
      </w:numPr>
      <w:jc w:val="both"/>
    </w:pPr>
    <w:rPr>
      <w:rFonts w:asciiTheme="minorHAnsi" w:hAnsiTheme="minorHAnsi"/>
      <w:color w:val="000000"/>
      <w:sz w:val="18"/>
      <w:szCs w:val="16"/>
    </w:rPr>
  </w:style>
  <w:style w:type="paragraph" w:customStyle="1" w:styleId="ChartGraphic">
    <w:name w:val="Chart Graphic"/>
    <w:basedOn w:val="HeadingBase"/>
    <w:next w:val="Normal"/>
    <w:rsid w:val="00EE5282"/>
    <w:pPr>
      <w:spacing w:after="20"/>
      <w:jc w:val="center"/>
    </w:pPr>
  </w:style>
  <w:style w:type="paragraph" w:customStyle="1" w:styleId="ChartMainHeading">
    <w:name w:val="Chart Main Heading"/>
    <w:basedOn w:val="HeadingBase"/>
    <w:next w:val="ChartGraphic"/>
    <w:rsid w:val="00EE5282"/>
    <w:pPr>
      <w:keepNext/>
      <w:spacing w:after="20"/>
      <w:jc w:val="center"/>
    </w:pPr>
    <w:rPr>
      <w:b/>
    </w:rPr>
  </w:style>
  <w:style w:type="paragraph" w:customStyle="1" w:styleId="ChartorTableNote">
    <w:name w:val="Chart or Table Note"/>
    <w:next w:val="Normal"/>
    <w:rsid w:val="00EE5282"/>
    <w:pPr>
      <w:jc w:val="both"/>
    </w:pPr>
    <w:rPr>
      <w:rFonts w:ascii="Arial" w:hAnsi="Arial"/>
      <w:color w:val="000000"/>
      <w:sz w:val="16"/>
      <w:szCs w:val="22"/>
    </w:rPr>
  </w:style>
  <w:style w:type="paragraph" w:customStyle="1" w:styleId="ChartSecondHeading">
    <w:name w:val="Chart Second Heading"/>
    <w:basedOn w:val="HeadingBase"/>
    <w:next w:val="ChartGraphic"/>
    <w:rsid w:val="00EE5282"/>
    <w:pPr>
      <w:keepNext/>
      <w:spacing w:after="20"/>
      <w:jc w:val="center"/>
    </w:pPr>
  </w:style>
  <w:style w:type="paragraph" w:customStyle="1" w:styleId="Classification">
    <w:name w:val="Classification"/>
    <w:basedOn w:val="HeadingBase"/>
    <w:next w:val="Footer"/>
    <w:rsid w:val="00EE5282"/>
    <w:pPr>
      <w:spacing w:after="120"/>
      <w:jc w:val="center"/>
    </w:pPr>
    <w:rPr>
      <w:b/>
      <w:smallCaps/>
    </w:rPr>
  </w:style>
  <w:style w:type="paragraph" w:styleId="Footer">
    <w:name w:val="footer"/>
    <w:basedOn w:val="HeadingBase"/>
    <w:rsid w:val="00EE5282"/>
    <w:rPr>
      <w:sz w:val="18"/>
    </w:rPr>
  </w:style>
  <w:style w:type="paragraph" w:customStyle="1" w:styleId="ContentsHeading">
    <w:name w:val="Contents Heading"/>
    <w:basedOn w:val="HeadingBase"/>
    <w:next w:val="Normal"/>
    <w:rsid w:val="00EE5282"/>
    <w:pPr>
      <w:pBdr>
        <w:bottom w:val="single" w:sz="2" w:space="1" w:color="000080"/>
      </w:pBdr>
      <w:spacing w:before="720" w:after="800"/>
    </w:pPr>
    <w:rPr>
      <w:smallCaps/>
      <w:sz w:val="56"/>
      <w:szCs w:val="38"/>
    </w:rPr>
  </w:style>
  <w:style w:type="paragraph" w:customStyle="1" w:styleId="CoverTitleMain">
    <w:name w:val="Cover Title Main"/>
    <w:basedOn w:val="HeadingBase"/>
    <w:next w:val="Normal"/>
    <w:rsid w:val="00EE5282"/>
    <w:pPr>
      <w:spacing w:after="240"/>
      <w:jc w:val="center"/>
    </w:pPr>
    <w:rPr>
      <w:b/>
      <w:spacing w:val="20"/>
      <w:sz w:val="52"/>
      <w:szCs w:val="52"/>
    </w:rPr>
  </w:style>
  <w:style w:type="paragraph" w:customStyle="1" w:styleId="CoverTitleSub">
    <w:name w:val="Cover Title Sub"/>
    <w:basedOn w:val="HeadingBase"/>
    <w:rsid w:val="00EE5282"/>
    <w:pPr>
      <w:spacing w:after="120" w:line="420" w:lineRule="exact"/>
      <w:jc w:val="center"/>
    </w:pPr>
    <w:rPr>
      <w:sz w:val="36"/>
      <w:szCs w:val="36"/>
    </w:rPr>
  </w:style>
  <w:style w:type="paragraph" w:customStyle="1" w:styleId="FooterCentered">
    <w:name w:val="Footer Centered"/>
    <w:basedOn w:val="Footer"/>
    <w:rsid w:val="00EE5282"/>
    <w:pPr>
      <w:jc w:val="center"/>
    </w:pPr>
  </w:style>
  <w:style w:type="paragraph" w:customStyle="1" w:styleId="FooterEven">
    <w:name w:val="Footer Even"/>
    <w:basedOn w:val="Footer"/>
    <w:rsid w:val="00EE5282"/>
  </w:style>
  <w:style w:type="paragraph" w:customStyle="1" w:styleId="FooterOdd">
    <w:name w:val="Footer Odd"/>
    <w:basedOn w:val="Footer"/>
    <w:rsid w:val="00EE5282"/>
    <w:pPr>
      <w:jc w:val="right"/>
    </w:pPr>
  </w:style>
  <w:style w:type="character" w:customStyle="1" w:styleId="FramedFooter">
    <w:name w:val="Framed Footer"/>
    <w:rsid w:val="00EE5282"/>
    <w:rPr>
      <w:rFonts w:ascii="Arial" w:hAnsi="Arial"/>
      <w:color w:val="000080"/>
      <w:sz w:val="18"/>
      <w:szCs w:val="18"/>
    </w:rPr>
  </w:style>
  <w:style w:type="character" w:customStyle="1" w:styleId="FramedHeader">
    <w:name w:val="Framed Header"/>
    <w:basedOn w:val="DefaultParagraphFont"/>
    <w:rsid w:val="00EE5282"/>
    <w:rPr>
      <w:rFonts w:ascii="Arial" w:hAnsi="Arial"/>
      <w:dstrike w:val="0"/>
      <w:color w:val="000080"/>
      <w:sz w:val="18"/>
      <w:szCs w:val="18"/>
      <w:vertAlign w:val="baseline"/>
    </w:rPr>
  </w:style>
  <w:style w:type="paragraph" w:styleId="Header">
    <w:name w:val="header"/>
    <w:basedOn w:val="HeadingBase"/>
    <w:link w:val="HeaderChar"/>
    <w:rsid w:val="00EE5282"/>
    <w:pPr>
      <w:jc w:val="right"/>
    </w:pPr>
    <w:rPr>
      <w:sz w:val="18"/>
    </w:rPr>
  </w:style>
  <w:style w:type="paragraph" w:customStyle="1" w:styleId="HeaderEven">
    <w:name w:val="Header Even"/>
    <w:basedOn w:val="Header"/>
    <w:rsid w:val="00EE5282"/>
  </w:style>
  <w:style w:type="paragraph" w:customStyle="1" w:styleId="HeaderOdd">
    <w:name w:val="Header Odd"/>
    <w:basedOn w:val="Header"/>
    <w:rsid w:val="00EE5282"/>
  </w:style>
  <w:style w:type="paragraph" w:styleId="NormalIndent">
    <w:name w:val="Normal Indent"/>
    <w:basedOn w:val="Normal"/>
    <w:rsid w:val="00EE5282"/>
    <w:pPr>
      <w:ind w:left="567"/>
    </w:pPr>
    <w:rPr>
      <w:sz w:val="20"/>
    </w:rPr>
  </w:style>
  <w:style w:type="paragraph" w:customStyle="1" w:styleId="RecommendationHeading">
    <w:name w:val="Recommendation Heading"/>
    <w:basedOn w:val="HeadingBase"/>
    <w:next w:val="RecommendationText"/>
    <w:rsid w:val="00EE5282"/>
    <w:pPr>
      <w:spacing w:before="120" w:after="240"/>
    </w:pPr>
    <w:rPr>
      <w:b/>
    </w:rPr>
  </w:style>
  <w:style w:type="paragraph" w:customStyle="1" w:styleId="RecommendationText">
    <w:name w:val="Recommendation Text"/>
    <w:basedOn w:val="RecommendationTextBase"/>
    <w:rsid w:val="00EE5282"/>
    <w:pPr>
      <w:spacing w:before="120" w:after="120"/>
    </w:pPr>
  </w:style>
  <w:style w:type="paragraph" w:customStyle="1" w:styleId="RecommendationTextBase">
    <w:name w:val="Recommendation Text Base"/>
    <w:basedOn w:val="Normal"/>
    <w:rsid w:val="00EE5282"/>
  </w:style>
  <w:style w:type="paragraph" w:customStyle="1" w:styleId="TableTextBase">
    <w:name w:val="Table Text Base"/>
    <w:rsid w:val="00EE5282"/>
    <w:pPr>
      <w:spacing w:after="120"/>
    </w:pPr>
    <w:rPr>
      <w:rFonts w:asciiTheme="minorHAnsi" w:hAnsiTheme="minorHAnsi"/>
      <w:color w:val="000000"/>
      <w:sz w:val="22"/>
      <w:szCs w:val="18"/>
    </w:rPr>
  </w:style>
  <w:style w:type="paragraph" w:customStyle="1" w:styleId="TableColumnHeadingCentred">
    <w:name w:val="Table Column Heading Centred"/>
    <w:basedOn w:val="TableTextBase"/>
    <w:rsid w:val="00EE5282"/>
    <w:pPr>
      <w:spacing w:before="60" w:after="60"/>
      <w:jc w:val="center"/>
    </w:pPr>
    <w:rPr>
      <w:color w:val="FFFFFF" w:themeColor="background1"/>
      <w:sz w:val="24"/>
    </w:rPr>
  </w:style>
  <w:style w:type="paragraph" w:customStyle="1" w:styleId="TableColumnHeadingLeft">
    <w:name w:val="Table Column Heading Left"/>
    <w:basedOn w:val="TableTextBase"/>
    <w:rsid w:val="00EE5282"/>
    <w:pPr>
      <w:spacing w:before="60" w:after="60"/>
    </w:pPr>
    <w:rPr>
      <w:color w:val="FFFFFF" w:themeColor="background1"/>
      <w:sz w:val="24"/>
    </w:rPr>
  </w:style>
  <w:style w:type="paragraph" w:customStyle="1" w:styleId="TableColumnHeadingRight">
    <w:name w:val="Table Column Heading Right"/>
    <w:basedOn w:val="TableTextBase"/>
    <w:rsid w:val="00EE5282"/>
    <w:pPr>
      <w:spacing w:before="60" w:after="60"/>
      <w:jc w:val="right"/>
    </w:pPr>
    <w:rPr>
      <w:rFonts w:ascii="Calibri" w:hAnsi="Calibri"/>
      <w:color w:val="FFFFFF" w:themeColor="background1"/>
      <w:sz w:val="24"/>
    </w:rPr>
  </w:style>
  <w:style w:type="paragraph" w:customStyle="1" w:styleId="TableGraphic">
    <w:name w:val="Table Graphic"/>
    <w:basedOn w:val="HeadingBase"/>
    <w:next w:val="Normal"/>
    <w:rsid w:val="00EE5282"/>
    <w:pPr>
      <w:spacing w:after="40"/>
      <w:ind w:right="-113"/>
    </w:pPr>
  </w:style>
  <w:style w:type="paragraph" w:customStyle="1" w:styleId="TableMainHeading">
    <w:name w:val="Table Main Heading"/>
    <w:basedOn w:val="HeadingBase"/>
    <w:next w:val="TableGraphic"/>
    <w:rsid w:val="00EE5282"/>
    <w:pPr>
      <w:keepNext/>
      <w:spacing w:after="20"/>
    </w:pPr>
    <w:rPr>
      <w:b/>
      <w:sz w:val="24"/>
    </w:rPr>
  </w:style>
  <w:style w:type="paragraph" w:customStyle="1" w:styleId="TableMainHeadingContd">
    <w:name w:val="Table Main Heading Contd"/>
    <w:basedOn w:val="HeadingBase"/>
    <w:next w:val="TableGraphic"/>
    <w:rsid w:val="00EE5282"/>
    <w:pPr>
      <w:keepNext/>
      <w:spacing w:after="20"/>
    </w:pPr>
    <w:rPr>
      <w:b/>
    </w:rPr>
  </w:style>
  <w:style w:type="paragraph" w:customStyle="1" w:styleId="TableSecondHeading">
    <w:name w:val="Table Second Heading"/>
    <w:basedOn w:val="HeadingBase"/>
    <w:next w:val="TableGraphic"/>
    <w:rsid w:val="00EE5282"/>
    <w:pPr>
      <w:keepNext/>
      <w:spacing w:after="20"/>
    </w:pPr>
  </w:style>
  <w:style w:type="paragraph" w:customStyle="1" w:styleId="TableTextCentered">
    <w:name w:val="Table Text Centered"/>
    <w:basedOn w:val="TableTextBase"/>
    <w:rsid w:val="00EE5282"/>
    <w:pPr>
      <w:jc w:val="center"/>
    </w:pPr>
  </w:style>
  <w:style w:type="paragraph" w:customStyle="1" w:styleId="TableTextIndented">
    <w:name w:val="Table Text Indented"/>
    <w:basedOn w:val="TableTextBase"/>
    <w:rsid w:val="00EE5282"/>
    <w:pPr>
      <w:ind w:left="284"/>
    </w:pPr>
  </w:style>
  <w:style w:type="paragraph" w:customStyle="1" w:styleId="TableTextLeft">
    <w:name w:val="Table Text Left"/>
    <w:basedOn w:val="TableTextBase"/>
    <w:rsid w:val="00EE5282"/>
    <w:pPr>
      <w:spacing w:before="30" w:after="80"/>
    </w:pPr>
  </w:style>
  <w:style w:type="paragraph" w:customStyle="1" w:styleId="TableTextRight">
    <w:name w:val="Table Text Right"/>
    <w:basedOn w:val="TableTextBase"/>
    <w:rsid w:val="00EE5282"/>
    <w:pPr>
      <w:jc w:val="right"/>
    </w:pPr>
  </w:style>
  <w:style w:type="paragraph" w:styleId="TOC1">
    <w:name w:val="toc 1"/>
    <w:basedOn w:val="HeadingBase"/>
    <w:next w:val="Normal"/>
    <w:uiPriority w:val="39"/>
    <w:rsid w:val="00EE5282"/>
    <w:pPr>
      <w:tabs>
        <w:tab w:val="right" w:leader="dot" w:pos="8505"/>
      </w:tabs>
      <w:spacing w:before="120"/>
      <w:ind w:right="1134"/>
    </w:pPr>
    <w:rPr>
      <w:rFonts w:ascii="Arial Bold" w:hAnsi="Arial Bold"/>
      <w:b/>
      <w:smallCaps/>
    </w:rPr>
  </w:style>
  <w:style w:type="paragraph" w:styleId="TOC2">
    <w:name w:val="toc 2"/>
    <w:basedOn w:val="Normal"/>
    <w:next w:val="Normal"/>
    <w:uiPriority w:val="39"/>
    <w:rsid w:val="00EE5282"/>
    <w:pPr>
      <w:tabs>
        <w:tab w:val="right" w:leader="dot" w:pos="8505"/>
      </w:tabs>
      <w:spacing w:before="60" w:after="60" w:line="240" w:lineRule="auto"/>
      <w:ind w:right="1134"/>
    </w:pPr>
    <w:rPr>
      <w:rFonts w:ascii="Arial" w:hAnsi="Arial"/>
      <w:color w:val="000080"/>
      <w:sz w:val="20"/>
      <w:szCs w:val="20"/>
    </w:rPr>
  </w:style>
  <w:style w:type="paragraph" w:styleId="TOC3">
    <w:name w:val="toc 3"/>
    <w:basedOn w:val="Normal"/>
    <w:next w:val="Normal"/>
    <w:rsid w:val="00EE5282"/>
    <w:pPr>
      <w:tabs>
        <w:tab w:val="right" w:pos="7700"/>
      </w:tabs>
      <w:spacing w:before="20" w:after="0" w:line="240" w:lineRule="auto"/>
      <w:ind w:left="284" w:right="851"/>
    </w:pPr>
  </w:style>
  <w:style w:type="paragraph" w:styleId="TOC4">
    <w:name w:val="toc 4"/>
    <w:basedOn w:val="Normal"/>
    <w:next w:val="Normal"/>
    <w:rsid w:val="00EE5282"/>
    <w:pPr>
      <w:tabs>
        <w:tab w:val="right" w:pos="7700"/>
      </w:tabs>
      <w:spacing w:after="0" w:line="240" w:lineRule="auto"/>
      <w:ind w:left="284" w:right="851"/>
    </w:pPr>
  </w:style>
  <w:style w:type="character" w:customStyle="1" w:styleId="italic">
    <w:name w:val="italic"/>
    <w:basedOn w:val="DefaultParagraphFont"/>
    <w:rsid w:val="00EE5282"/>
    <w:rPr>
      <w:i/>
    </w:rPr>
  </w:style>
  <w:style w:type="paragraph" w:customStyle="1" w:styleId="OneLevelNumberedParagraph">
    <w:name w:val="One Level Numbered Paragraph"/>
    <w:basedOn w:val="Normal"/>
    <w:rsid w:val="00EE5282"/>
    <w:pPr>
      <w:numPr>
        <w:numId w:val="10"/>
      </w:numPr>
    </w:pPr>
  </w:style>
  <w:style w:type="paragraph" w:customStyle="1" w:styleId="BoxBullet">
    <w:name w:val="Box Bullet"/>
    <w:basedOn w:val="BoxTextBase"/>
    <w:rsid w:val="00EE5282"/>
    <w:pPr>
      <w:numPr>
        <w:numId w:val="9"/>
      </w:numPr>
    </w:pPr>
  </w:style>
  <w:style w:type="paragraph" w:customStyle="1" w:styleId="BoxDash">
    <w:name w:val="Box Dash"/>
    <w:basedOn w:val="Normal"/>
    <w:rsid w:val="00EE5282"/>
    <w:pPr>
      <w:numPr>
        <w:ilvl w:val="1"/>
        <w:numId w:val="9"/>
      </w:numPr>
      <w:tabs>
        <w:tab w:val="clear" w:pos="567"/>
        <w:tab w:val="left" w:pos="1134"/>
      </w:tabs>
      <w:ind w:left="1134" w:hanging="567"/>
    </w:pPr>
  </w:style>
  <w:style w:type="paragraph" w:customStyle="1" w:styleId="BoxDoubleDot">
    <w:name w:val="Box Double Dot"/>
    <w:basedOn w:val="BoxTextBase"/>
    <w:rsid w:val="00EE5282"/>
    <w:pPr>
      <w:numPr>
        <w:ilvl w:val="2"/>
        <w:numId w:val="9"/>
      </w:numPr>
      <w:tabs>
        <w:tab w:val="clear" w:pos="850"/>
        <w:tab w:val="left" w:pos="1134"/>
      </w:tabs>
      <w:ind w:left="1701" w:hanging="567"/>
    </w:pPr>
  </w:style>
  <w:style w:type="paragraph" w:customStyle="1" w:styleId="RecommendationBullet">
    <w:name w:val="Recommendation Bullet"/>
    <w:basedOn w:val="RecommendationTextBase"/>
    <w:rsid w:val="00EE5282"/>
    <w:pPr>
      <w:numPr>
        <w:numId w:val="11"/>
      </w:numPr>
      <w:tabs>
        <w:tab w:val="clear" w:pos="283"/>
        <w:tab w:val="num" w:pos="567"/>
      </w:tabs>
      <w:ind w:left="567" w:hanging="567"/>
    </w:pPr>
  </w:style>
  <w:style w:type="paragraph" w:customStyle="1" w:styleId="RecommendationDash">
    <w:name w:val="Recommendation Dash"/>
    <w:basedOn w:val="RecommendationTextBase"/>
    <w:rsid w:val="00EE5282"/>
    <w:pPr>
      <w:numPr>
        <w:ilvl w:val="1"/>
        <w:numId w:val="11"/>
      </w:numPr>
      <w:tabs>
        <w:tab w:val="clear" w:pos="567"/>
        <w:tab w:val="left" w:pos="1134"/>
      </w:tabs>
      <w:ind w:left="1134" w:hanging="567"/>
    </w:pPr>
  </w:style>
  <w:style w:type="paragraph" w:customStyle="1" w:styleId="RecommendationDoubleDot">
    <w:name w:val="Recommendation Double Dot"/>
    <w:basedOn w:val="RecommendationTextBase"/>
    <w:rsid w:val="00EE5282"/>
    <w:pPr>
      <w:numPr>
        <w:ilvl w:val="2"/>
        <w:numId w:val="11"/>
      </w:numPr>
      <w:tabs>
        <w:tab w:val="clear" w:pos="850"/>
        <w:tab w:val="left" w:pos="1134"/>
      </w:tabs>
      <w:ind w:left="1701" w:hanging="567"/>
    </w:pPr>
  </w:style>
  <w:style w:type="paragraph" w:customStyle="1" w:styleId="Casestudysourcenote">
    <w:name w:val="Case study source note"/>
    <w:basedOn w:val="HeadingBase"/>
    <w:rsid w:val="00EE5282"/>
    <w:pPr>
      <w:jc w:val="both"/>
    </w:pPr>
    <w:rPr>
      <w:sz w:val="16"/>
      <w:szCs w:val="16"/>
    </w:rPr>
  </w:style>
  <w:style w:type="paragraph" w:customStyle="1" w:styleId="Recommendationalpha">
    <w:name w:val="Recommendation alpha"/>
    <w:basedOn w:val="RecommendationTextBase"/>
    <w:rsid w:val="00EE5282"/>
    <w:pPr>
      <w:numPr>
        <w:numId w:val="13"/>
      </w:numPr>
      <w:tabs>
        <w:tab w:val="left" w:pos="567"/>
      </w:tabs>
      <w:ind w:left="567" w:hanging="567"/>
    </w:pPr>
  </w:style>
  <w:style w:type="paragraph" w:customStyle="1" w:styleId="Recommendationindent">
    <w:name w:val="Recommendation indent"/>
    <w:basedOn w:val="RecommendationTextBase"/>
    <w:rsid w:val="00EE5282"/>
    <w:pPr>
      <w:ind w:left="567"/>
    </w:pPr>
  </w:style>
  <w:style w:type="paragraph" w:customStyle="1" w:styleId="Recommendationromannumeral">
    <w:name w:val="Recommendation roman numeral"/>
    <w:basedOn w:val="RecommendationTextBase"/>
    <w:rsid w:val="00EE5282"/>
    <w:pPr>
      <w:numPr>
        <w:numId w:val="14"/>
      </w:numPr>
    </w:pPr>
  </w:style>
  <w:style w:type="paragraph" w:customStyle="1" w:styleId="CoverTitleSub2">
    <w:name w:val="Cover Title Sub 2"/>
    <w:basedOn w:val="HeadingBase"/>
    <w:rsid w:val="00EE5282"/>
    <w:pPr>
      <w:spacing w:after="120" w:line="420" w:lineRule="exact"/>
      <w:jc w:val="center"/>
    </w:pPr>
    <w:rPr>
      <w:sz w:val="28"/>
      <w:szCs w:val="28"/>
    </w:rPr>
  </w:style>
  <w:style w:type="character" w:styleId="FootnoteReference">
    <w:name w:val="footnote reference"/>
    <w:basedOn w:val="DefaultParagraphFont"/>
    <w:rsid w:val="00EE5282"/>
    <w:rPr>
      <w:sz w:val="20"/>
      <w:szCs w:val="20"/>
      <w:vertAlign w:val="superscript"/>
    </w:rPr>
  </w:style>
  <w:style w:type="paragraph" w:styleId="FootnoteText">
    <w:name w:val="footnote text"/>
    <w:basedOn w:val="Normal"/>
    <w:link w:val="FootnoteTextChar"/>
    <w:rsid w:val="00EE5282"/>
    <w:pPr>
      <w:tabs>
        <w:tab w:val="left" w:pos="567"/>
      </w:tabs>
      <w:spacing w:after="0" w:line="240" w:lineRule="auto"/>
      <w:ind w:left="567" w:hanging="567"/>
    </w:pPr>
    <w:rPr>
      <w:sz w:val="18"/>
      <w:szCs w:val="18"/>
    </w:rPr>
  </w:style>
  <w:style w:type="table" w:styleId="TableContemporary">
    <w:name w:val="Table Contemporary"/>
    <w:basedOn w:val="TableNormal"/>
    <w:rsid w:val="00EE5282"/>
    <w:pPr>
      <w:spacing w:after="240" w:line="300" w:lineRule="exact"/>
      <w:jc w:val="both"/>
    </w:pPr>
    <w:rPr>
      <w:rFonts w:ascii="Calibri" w:hAnsi="Calibr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Bolditalic">
    <w:name w:val="Bold italic"/>
    <w:basedOn w:val="DefaultParagraphFont"/>
    <w:rsid w:val="00EE5282"/>
    <w:rPr>
      <w:b/>
      <w:i/>
    </w:rPr>
  </w:style>
  <w:style w:type="paragraph" w:customStyle="1" w:styleId="Graphic">
    <w:name w:val="Graphic"/>
    <w:basedOn w:val="Normal"/>
    <w:rsid w:val="00EE5282"/>
    <w:pPr>
      <w:spacing w:after="0" w:line="240" w:lineRule="auto"/>
      <w:jc w:val="center"/>
    </w:pPr>
  </w:style>
  <w:style w:type="paragraph" w:customStyle="1" w:styleId="Casestudybullet">
    <w:name w:val="Case study bullet"/>
    <w:basedOn w:val="Casestudytext"/>
    <w:rsid w:val="00894823"/>
    <w:pPr>
      <w:numPr>
        <w:numId w:val="27"/>
      </w:numPr>
    </w:pPr>
  </w:style>
  <w:style w:type="paragraph" w:customStyle="1" w:styleId="Casestudyheading2">
    <w:name w:val="Case study heading 2"/>
    <w:basedOn w:val="HeadingBase"/>
    <w:rsid w:val="00EE5282"/>
    <w:pPr>
      <w:spacing w:after="120"/>
    </w:pPr>
    <w:rPr>
      <w:i/>
    </w:rPr>
  </w:style>
  <w:style w:type="paragraph" w:customStyle="1" w:styleId="Normalindentitalics">
    <w:name w:val="Normal indent italics"/>
    <w:basedOn w:val="NormalIndent"/>
    <w:rsid w:val="00EE5282"/>
    <w:pPr>
      <w:tabs>
        <w:tab w:val="left" w:pos="1134"/>
      </w:tabs>
    </w:pPr>
    <w:rPr>
      <w:i/>
      <w:szCs w:val="20"/>
    </w:rPr>
  </w:style>
  <w:style w:type="paragraph" w:customStyle="1" w:styleId="NormalIndentbold">
    <w:name w:val="Normal Indent bold"/>
    <w:basedOn w:val="Normal"/>
    <w:rsid w:val="00EE5282"/>
    <w:pPr>
      <w:tabs>
        <w:tab w:val="left" w:pos="1134"/>
      </w:tabs>
      <w:spacing w:after="0"/>
      <w:ind w:left="567"/>
    </w:pPr>
    <w:rPr>
      <w:b/>
      <w:sz w:val="20"/>
      <w:szCs w:val="20"/>
    </w:rPr>
  </w:style>
  <w:style w:type="character" w:customStyle="1" w:styleId="Italics">
    <w:name w:val="Italics"/>
    <w:basedOn w:val="DefaultParagraphFont"/>
    <w:rsid w:val="00EE5282"/>
    <w:rPr>
      <w:i/>
    </w:rPr>
  </w:style>
  <w:style w:type="paragraph" w:customStyle="1" w:styleId="Romannumeral">
    <w:name w:val="Roman numeral"/>
    <w:basedOn w:val="Normal"/>
    <w:rsid w:val="00EE5282"/>
    <w:pPr>
      <w:numPr>
        <w:numId w:val="35"/>
      </w:numPr>
    </w:pPr>
  </w:style>
  <w:style w:type="paragraph" w:styleId="Title">
    <w:name w:val="Title"/>
    <w:basedOn w:val="Normal"/>
    <w:next w:val="Normal"/>
    <w:link w:val="TitleChar"/>
    <w:qFormat/>
    <w:rsid w:val="00EE5282"/>
    <w:pPr>
      <w:spacing w:line="240" w:lineRule="auto"/>
      <w:jc w:val="center"/>
    </w:pPr>
    <w:rPr>
      <w:b/>
      <w:caps/>
      <w:color w:val="3F6294"/>
      <w:sz w:val="56"/>
    </w:rPr>
  </w:style>
  <w:style w:type="character" w:customStyle="1" w:styleId="TitleChar">
    <w:name w:val="Title Char"/>
    <w:basedOn w:val="DefaultParagraphFont"/>
    <w:link w:val="Title"/>
    <w:rsid w:val="00EE5282"/>
    <w:rPr>
      <w:rFonts w:ascii="Calibri" w:hAnsi="Calibri"/>
      <w:b/>
      <w:caps/>
      <w:color w:val="3F6294"/>
      <w:sz w:val="56"/>
      <w:szCs w:val="22"/>
    </w:rPr>
  </w:style>
  <w:style w:type="character" w:customStyle="1" w:styleId="BulletChar">
    <w:name w:val="Bullet Char"/>
    <w:basedOn w:val="DefaultParagraphFont"/>
    <w:link w:val="Bullet"/>
    <w:locked/>
    <w:rsid w:val="00154371"/>
    <w:rPr>
      <w:rFonts w:ascii="Calibri" w:hAnsi="Calibri"/>
      <w:sz w:val="22"/>
      <w:szCs w:val="22"/>
    </w:rPr>
  </w:style>
  <w:style w:type="character" w:customStyle="1" w:styleId="FootnoteTextChar">
    <w:name w:val="Footnote Text Char"/>
    <w:basedOn w:val="DefaultParagraphFont"/>
    <w:link w:val="FootnoteText"/>
    <w:rsid w:val="009F2267"/>
    <w:rPr>
      <w:rFonts w:ascii="Calibri" w:hAnsi="Calibri"/>
      <w:sz w:val="18"/>
      <w:szCs w:val="18"/>
    </w:rPr>
  </w:style>
  <w:style w:type="character" w:styleId="CommentReference">
    <w:name w:val="annotation reference"/>
    <w:basedOn w:val="DefaultParagraphFont"/>
    <w:rsid w:val="00470AF8"/>
    <w:rPr>
      <w:sz w:val="16"/>
      <w:szCs w:val="16"/>
    </w:rPr>
  </w:style>
  <w:style w:type="paragraph" w:styleId="CommentText">
    <w:name w:val="annotation text"/>
    <w:basedOn w:val="Normal"/>
    <w:link w:val="CommentTextChar"/>
    <w:rsid w:val="00470AF8"/>
    <w:pPr>
      <w:spacing w:line="240" w:lineRule="auto"/>
    </w:pPr>
    <w:rPr>
      <w:sz w:val="20"/>
      <w:szCs w:val="20"/>
    </w:rPr>
  </w:style>
  <w:style w:type="character" w:customStyle="1" w:styleId="CommentTextChar">
    <w:name w:val="Comment Text Char"/>
    <w:basedOn w:val="DefaultParagraphFont"/>
    <w:link w:val="CommentText"/>
    <w:rsid w:val="00470AF8"/>
    <w:rPr>
      <w:rFonts w:ascii="Book Antiqua" w:hAnsi="Book Antiqua"/>
      <w:color w:val="000000"/>
    </w:rPr>
  </w:style>
  <w:style w:type="paragraph" w:styleId="CommentSubject">
    <w:name w:val="annotation subject"/>
    <w:basedOn w:val="CommentText"/>
    <w:next w:val="CommentText"/>
    <w:link w:val="CommentSubjectChar"/>
    <w:rsid w:val="00470AF8"/>
    <w:rPr>
      <w:b/>
      <w:bCs/>
    </w:rPr>
  </w:style>
  <w:style w:type="character" w:customStyle="1" w:styleId="CommentSubjectChar">
    <w:name w:val="Comment Subject Char"/>
    <w:basedOn w:val="CommentTextChar"/>
    <w:link w:val="CommentSubject"/>
    <w:rsid w:val="00470AF8"/>
    <w:rPr>
      <w:rFonts w:ascii="Book Antiqua" w:hAnsi="Book Antiqua"/>
      <w:b/>
      <w:bCs/>
      <w:color w:val="000000"/>
    </w:rPr>
  </w:style>
  <w:style w:type="paragraph" w:styleId="BalloonText">
    <w:name w:val="Balloon Text"/>
    <w:basedOn w:val="Normal"/>
    <w:link w:val="BalloonTextChar"/>
    <w:rsid w:val="00EE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E5282"/>
    <w:rPr>
      <w:rFonts w:ascii="Tahoma" w:hAnsi="Tahoma" w:cs="Tahoma"/>
      <w:sz w:val="16"/>
      <w:szCs w:val="16"/>
    </w:rPr>
  </w:style>
  <w:style w:type="paragraph" w:styleId="NormalWeb">
    <w:name w:val="Normal (Web)"/>
    <w:basedOn w:val="Normal"/>
    <w:uiPriority w:val="99"/>
    <w:unhideWhenUsed/>
    <w:rsid w:val="009E6D15"/>
    <w:pPr>
      <w:spacing w:before="100" w:beforeAutospacing="1" w:after="100" w:afterAutospacing="1" w:line="240" w:lineRule="auto"/>
      <w:jc w:val="left"/>
    </w:pPr>
    <w:rPr>
      <w:rFonts w:ascii="Times New Roman" w:hAnsi="Times New Roman"/>
      <w:sz w:val="24"/>
      <w:szCs w:val="24"/>
    </w:rPr>
  </w:style>
  <w:style w:type="paragraph" w:customStyle="1" w:styleId="SecurityClassificationHeader">
    <w:name w:val="Security Classification Header"/>
    <w:link w:val="SecurityClassificationHeaderChar"/>
    <w:rsid w:val="00706FDB"/>
    <w:pPr>
      <w:spacing w:before="240" w:after="60"/>
      <w:jc w:val="center"/>
    </w:pPr>
    <w:rPr>
      <w:rFonts w:ascii="Calibri" w:hAnsi="Calibri"/>
      <w:b/>
      <w:caps/>
      <w:color w:val="000080"/>
      <w:sz w:val="24"/>
      <w:szCs w:val="22"/>
    </w:rPr>
  </w:style>
  <w:style w:type="character" w:customStyle="1" w:styleId="HeadingBaseChar">
    <w:name w:val="Heading Base Char"/>
    <w:basedOn w:val="DefaultParagraphFont"/>
    <w:link w:val="HeadingBase"/>
    <w:rsid w:val="00706FDB"/>
    <w:rPr>
      <w:rFonts w:ascii="Calibri" w:hAnsi="Calibri"/>
      <w:color w:val="000080"/>
      <w:sz w:val="22"/>
      <w:szCs w:val="22"/>
    </w:rPr>
  </w:style>
  <w:style w:type="character" w:customStyle="1" w:styleId="HeaderChar">
    <w:name w:val="Header Char"/>
    <w:basedOn w:val="HeadingBaseChar"/>
    <w:link w:val="Header"/>
    <w:rsid w:val="00706FDB"/>
    <w:rPr>
      <w:rFonts w:ascii="Calibri" w:hAnsi="Calibri"/>
      <w:color w:val="000080"/>
      <w:sz w:val="18"/>
      <w:szCs w:val="22"/>
    </w:rPr>
  </w:style>
  <w:style w:type="character" w:customStyle="1" w:styleId="SecurityClassificationHeaderChar">
    <w:name w:val="Security Classification Header Char"/>
    <w:basedOn w:val="HeaderChar"/>
    <w:link w:val="SecurityClassificationHeader"/>
    <w:rsid w:val="00706FDB"/>
    <w:rPr>
      <w:rFonts w:ascii="Calibri" w:hAnsi="Calibri"/>
      <w:b/>
      <w:caps/>
      <w:color w:val="000080"/>
      <w:sz w:val="24"/>
      <w:szCs w:val="22"/>
    </w:rPr>
  </w:style>
  <w:style w:type="paragraph" w:customStyle="1" w:styleId="SecurityClassificationFooter">
    <w:name w:val="Security Classification Footer"/>
    <w:link w:val="SecurityClassificationFooterChar"/>
    <w:rsid w:val="00706FDB"/>
    <w:pPr>
      <w:spacing w:before="60" w:after="240"/>
      <w:jc w:val="center"/>
    </w:pPr>
    <w:rPr>
      <w:rFonts w:ascii="Calibri" w:hAnsi="Calibri"/>
      <w:b/>
      <w:caps/>
      <w:color w:val="000080"/>
      <w:sz w:val="24"/>
      <w:szCs w:val="22"/>
    </w:rPr>
  </w:style>
  <w:style w:type="character" w:customStyle="1" w:styleId="SecurityClassificationFooterChar">
    <w:name w:val="Security Classification Footer Char"/>
    <w:basedOn w:val="HeaderChar"/>
    <w:link w:val="SecurityClassificationFooter"/>
    <w:rsid w:val="00706FDB"/>
    <w:rPr>
      <w:rFonts w:ascii="Calibri" w:hAnsi="Calibri"/>
      <w:b/>
      <w:caps/>
      <w:color w:val="000080"/>
      <w:sz w:val="24"/>
      <w:szCs w:val="22"/>
    </w:rPr>
  </w:style>
  <w:style w:type="paragraph" w:customStyle="1" w:styleId="DLMSecurityHeader">
    <w:name w:val="DLM Security Header"/>
    <w:link w:val="DLMSecurityHeaderChar"/>
    <w:rsid w:val="00706FDB"/>
    <w:pPr>
      <w:spacing w:before="60" w:after="240"/>
      <w:jc w:val="center"/>
    </w:pPr>
    <w:rPr>
      <w:rFonts w:ascii="Calibri" w:hAnsi="Calibri"/>
      <w:b/>
      <w:caps/>
      <w:color w:val="000080"/>
      <w:sz w:val="24"/>
      <w:szCs w:val="22"/>
    </w:rPr>
  </w:style>
  <w:style w:type="character" w:customStyle="1" w:styleId="DLMSecurityHeaderChar">
    <w:name w:val="DLM Security Header Char"/>
    <w:basedOn w:val="HeaderChar"/>
    <w:link w:val="DLMSecurityHeader"/>
    <w:rsid w:val="00706FDB"/>
    <w:rPr>
      <w:rFonts w:ascii="Calibri" w:hAnsi="Calibri"/>
      <w:b/>
      <w:caps/>
      <w:color w:val="000080"/>
      <w:sz w:val="24"/>
      <w:szCs w:val="22"/>
    </w:rPr>
  </w:style>
  <w:style w:type="paragraph" w:customStyle="1" w:styleId="DLMSecurityFooter">
    <w:name w:val="DLM Security Footer"/>
    <w:link w:val="DLMSecurityFooterChar"/>
    <w:rsid w:val="00706FDB"/>
    <w:pPr>
      <w:spacing w:before="240" w:after="60"/>
      <w:jc w:val="center"/>
    </w:pPr>
    <w:rPr>
      <w:rFonts w:ascii="Calibri" w:hAnsi="Calibri"/>
      <w:b/>
      <w:caps/>
      <w:color w:val="000080"/>
      <w:sz w:val="24"/>
      <w:szCs w:val="22"/>
    </w:rPr>
  </w:style>
  <w:style w:type="character" w:customStyle="1" w:styleId="DLMSecurityFooterChar">
    <w:name w:val="DLM Security Footer Char"/>
    <w:basedOn w:val="HeaderChar"/>
    <w:link w:val="DLMSecurityFooter"/>
    <w:rsid w:val="00706FDB"/>
    <w:rPr>
      <w:rFonts w:ascii="Calibri" w:hAnsi="Calibri"/>
      <w:b/>
      <w:caps/>
      <w:color w:val="000080"/>
      <w:sz w:val="24"/>
      <w:szCs w:val="22"/>
    </w:rPr>
  </w:style>
  <w:style w:type="table" w:styleId="TableColumns3">
    <w:name w:val="Table Columns 3"/>
    <w:basedOn w:val="TableNormal"/>
    <w:rsid w:val="007913A3"/>
    <w:pPr>
      <w:keepLines/>
      <w:spacing w:after="240" w:line="300" w:lineRule="exac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rPr>
        <w:tblHeader/>
      </w:trPr>
      <w:tcPr>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NoSpacing">
    <w:name w:val="No Spacing"/>
    <w:uiPriority w:val="1"/>
    <w:qFormat/>
    <w:rsid w:val="00D93F8D"/>
    <w:pPr>
      <w:jc w:val="both"/>
    </w:pPr>
    <w:rPr>
      <w:rFonts w:ascii="Book Antiqua" w:hAnsi="Book Antiqua"/>
      <w:color w:val="000000"/>
      <w:sz w:val="22"/>
      <w:szCs w:val="22"/>
    </w:rPr>
  </w:style>
  <w:style w:type="paragraph" w:styleId="Revision">
    <w:name w:val="Revision"/>
    <w:hidden/>
    <w:uiPriority w:val="99"/>
    <w:semiHidden/>
    <w:rsid w:val="00EB42E8"/>
    <w:rPr>
      <w:rFonts w:ascii="Book Antiqua" w:hAnsi="Book Antiqua"/>
      <w:color w:val="000000"/>
      <w:sz w:val="22"/>
      <w:szCs w:val="22"/>
    </w:rPr>
  </w:style>
  <w:style w:type="paragraph" w:customStyle="1" w:styleId="PreChapterHeading">
    <w:name w:val="PreChapterHeading"/>
    <w:basedOn w:val="HeadingBase"/>
    <w:next w:val="Normal"/>
    <w:rsid w:val="00EE5282"/>
    <w:pPr>
      <w:pageBreakBefore/>
      <w:pBdr>
        <w:bottom w:val="single" w:sz="2" w:space="1" w:color="000080"/>
      </w:pBdr>
      <w:spacing w:before="720" w:after="800"/>
    </w:pPr>
    <w:rPr>
      <w:smallCaps/>
      <w:sz w:val="56"/>
      <w:szCs w:val="38"/>
    </w:rPr>
  </w:style>
  <w:style w:type="table" w:styleId="TableGrid">
    <w:name w:val="Table Grid"/>
    <w:basedOn w:val="TableNormal"/>
    <w:rsid w:val="00EE528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yPointsHeading">
    <w:name w:val="Key Points Heading"/>
    <w:basedOn w:val="BoxHeading"/>
    <w:qFormat/>
    <w:rsid w:val="00EE5282"/>
    <w:rPr>
      <w:color w:val="404040"/>
    </w:rPr>
  </w:style>
  <w:style w:type="paragraph" w:customStyle="1" w:styleId="NewNumberedParagraph">
    <w:name w:val="New Numbered Paragraph"/>
    <w:basedOn w:val="Bullet"/>
    <w:qFormat/>
    <w:rsid w:val="00EE5282"/>
    <w:pPr>
      <w:numPr>
        <w:ilvl w:val="1"/>
        <w:numId w:val="48"/>
      </w:numPr>
      <w:outlineLvl w:val="1"/>
    </w:pPr>
  </w:style>
  <w:style w:type="paragraph" w:customStyle="1" w:styleId="NewNumberedParagraph2">
    <w:name w:val="New Numbered Paragraph 2"/>
    <w:basedOn w:val="Dash"/>
    <w:qFormat/>
    <w:rsid w:val="00EE5282"/>
    <w:pPr>
      <w:numPr>
        <w:ilvl w:val="2"/>
        <w:numId w:val="48"/>
      </w:numPr>
      <w:tabs>
        <w:tab w:val="clear" w:pos="1418"/>
        <w:tab w:val="left" w:pos="1134"/>
      </w:tabs>
      <w:ind w:left="1134" w:hanging="567"/>
    </w:pPr>
  </w:style>
  <w:style w:type="paragraph" w:customStyle="1" w:styleId="NewNumberedParagraph3">
    <w:name w:val="New Numbered Paragraph 3"/>
    <w:basedOn w:val="DoubleDot"/>
    <w:qFormat/>
    <w:rsid w:val="00EE5282"/>
    <w:pPr>
      <w:numPr>
        <w:ilvl w:val="3"/>
        <w:numId w:val="48"/>
      </w:numPr>
      <w:tabs>
        <w:tab w:val="clear" w:pos="2552"/>
        <w:tab w:val="left" w:pos="1701"/>
      </w:tabs>
      <w:ind w:left="1701" w:hanging="567"/>
    </w:pPr>
  </w:style>
  <w:style w:type="paragraph" w:customStyle="1" w:styleId="NewNumberedParagraph4">
    <w:name w:val="New Numbered Paragraph 4"/>
    <w:basedOn w:val="Normal"/>
    <w:qFormat/>
    <w:rsid w:val="00EE5282"/>
    <w:pPr>
      <w:numPr>
        <w:ilvl w:val="4"/>
        <w:numId w:val="48"/>
      </w:numPr>
      <w:tabs>
        <w:tab w:val="left" w:pos="2268"/>
      </w:tabs>
      <w:ind w:left="2268" w:hanging="567"/>
    </w:pPr>
  </w:style>
  <w:style w:type="paragraph" w:customStyle="1" w:styleId="NewNumberedParagraph5">
    <w:name w:val="New Numbered Paragraph 5"/>
    <w:basedOn w:val="Normal"/>
    <w:qFormat/>
    <w:rsid w:val="00EE5282"/>
    <w:pPr>
      <w:numPr>
        <w:ilvl w:val="5"/>
        <w:numId w:val="48"/>
      </w:numPr>
      <w:tabs>
        <w:tab w:val="left" w:pos="2835"/>
      </w:tabs>
      <w:ind w:left="2835" w:hanging="567"/>
    </w:pPr>
  </w:style>
  <w:style w:type="table" w:customStyle="1" w:styleId="Headingsonfirstcolumnandrow">
    <w:name w:val="Headings on first column and row"/>
    <w:basedOn w:val="TableNormal"/>
    <w:uiPriority w:val="99"/>
    <w:rsid w:val="00EE5282"/>
    <w:rPr>
      <w:rFonts w:asciiTheme="minorHAnsi" w:hAnsiTheme="minorHAnsi"/>
      <w:sz w:val="22"/>
      <w:szCs w:val="22"/>
    </w:rPr>
    <w:tblPr>
      <w:tblBorders>
        <w:top w:val="single" w:sz="4" w:space="0" w:color="3F6294"/>
        <w:left w:val="single" w:sz="4" w:space="0" w:color="3F6294"/>
        <w:bottom w:val="single" w:sz="4" w:space="0" w:color="3F6294"/>
        <w:right w:val="single" w:sz="4" w:space="0" w:color="3F6294"/>
      </w:tblBorders>
    </w:tblPr>
    <w:tcPr>
      <w:shd w:val="clear" w:color="auto" w:fill="C2DAEB"/>
    </w:tcPr>
    <w:tblStylePr w:type="firstRow">
      <w:rPr>
        <w:rFonts w:ascii="Arial" w:hAnsi="Arial"/>
        <w:color w:val="FFFFFF" w:themeColor="background1"/>
        <w:sz w:val="22"/>
      </w:rPr>
      <w:tblPr/>
      <w:tcPr>
        <w:shd w:val="clear" w:color="auto" w:fill="3F6294"/>
      </w:tcPr>
    </w:tblStylePr>
    <w:tblStylePr w:type="firstCol">
      <w:rPr>
        <w:rFonts w:ascii="Arial" w:hAnsi="Arial"/>
        <w:color w:val="FFFFFF" w:themeColor="background1"/>
        <w:sz w:val="22"/>
      </w:rPr>
      <w:tblPr/>
      <w:tcPr>
        <w:shd w:val="clear" w:color="auto" w:fill="3F6294"/>
      </w:tcPr>
    </w:tblStylePr>
  </w:style>
  <w:style w:type="table" w:customStyle="1" w:styleId="HeadingsAboveOnly">
    <w:name w:val="Headings Above Only"/>
    <w:basedOn w:val="TableNormal"/>
    <w:uiPriority w:val="99"/>
    <w:rsid w:val="00EE5282"/>
    <w:rPr>
      <w:rFonts w:asciiTheme="minorHAnsi" w:hAnsiTheme="minorHAnsi"/>
      <w:sz w:val="22"/>
      <w:szCs w:val="22"/>
    </w:rPr>
    <w:tblPr>
      <w:tblBorders>
        <w:top w:val="single" w:sz="4" w:space="0" w:color="3F6294"/>
        <w:left w:val="single" w:sz="4" w:space="0" w:color="3F6294"/>
        <w:bottom w:val="single" w:sz="4" w:space="0" w:color="3F6294"/>
        <w:right w:val="single" w:sz="4" w:space="0" w:color="3F6294"/>
      </w:tblBorders>
    </w:tblPr>
    <w:tcPr>
      <w:shd w:val="clear" w:color="auto" w:fill="C2DAEB"/>
    </w:tcPr>
    <w:tblStylePr w:type="firstRow">
      <w:rPr>
        <w:rFonts w:ascii="Arial" w:hAnsi="Arial"/>
        <w:color w:val="FFFFFF" w:themeColor="background1"/>
        <w:sz w:val="22"/>
      </w:rPr>
      <w:tblPr/>
      <w:tcPr>
        <w:shd w:val="clear" w:color="auto" w:fill="3F6294"/>
      </w:tcPr>
    </w:tblStylePr>
  </w:style>
  <w:style w:type="paragraph" w:styleId="ListParagraph">
    <w:name w:val="List Paragraph"/>
    <w:basedOn w:val="Normal"/>
    <w:uiPriority w:val="34"/>
    <w:qFormat/>
    <w:rsid w:val="00EE52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282"/>
    <w:pPr>
      <w:spacing w:after="240" w:line="300" w:lineRule="exact"/>
      <w:jc w:val="both"/>
    </w:pPr>
    <w:rPr>
      <w:rFonts w:ascii="Calibri" w:hAnsi="Calibri"/>
      <w:sz w:val="22"/>
      <w:szCs w:val="22"/>
    </w:rPr>
  </w:style>
  <w:style w:type="paragraph" w:styleId="Heading1">
    <w:name w:val="heading 1"/>
    <w:basedOn w:val="HeadingBase"/>
    <w:next w:val="Normal"/>
    <w:qFormat/>
    <w:rsid w:val="00EE5282"/>
    <w:pPr>
      <w:keepNext/>
      <w:pageBreakBefore/>
      <w:numPr>
        <w:numId w:val="48"/>
      </w:numPr>
      <w:pBdr>
        <w:bottom w:val="single" w:sz="2" w:space="1" w:color="000080"/>
      </w:pBdr>
      <w:spacing w:before="720" w:after="800"/>
      <w:outlineLvl w:val="0"/>
    </w:pPr>
    <w:rPr>
      <w:rFonts w:cs="Arial"/>
      <w:bCs/>
      <w:smallCaps/>
      <w:kern w:val="32"/>
      <w:sz w:val="56"/>
      <w:szCs w:val="38"/>
    </w:rPr>
  </w:style>
  <w:style w:type="paragraph" w:styleId="Heading2">
    <w:name w:val="heading 2"/>
    <w:basedOn w:val="HeadingBase"/>
    <w:next w:val="Normal"/>
    <w:qFormat/>
    <w:rsid w:val="00EE5282"/>
    <w:pPr>
      <w:keepNext/>
      <w:spacing w:before="360" w:after="240"/>
      <w:outlineLvl w:val="1"/>
    </w:pPr>
    <w:rPr>
      <w:rFonts w:asciiTheme="minorHAnsi" w:hAnsiTheme="minorHAnsi" w:cs="Arial"/>
      <w:b/>
      <w:bCs/>
      <w:iCs/>
      <w:color w:val="C00000"/>
      <w:sz w:val="40"/>
      <w:szCs w:val="30"/>
    </w:rPr>
  </w:style>
  <w:style w:type="paragraph" w:styleId="Heading3">
    <w:name w:val="heading 3"/>
    <w:basedOn w:val="HeadingBase"/>
    <w:next w:val="Normal"/>
    <w:qFormat/>
    <w:rsid w:val="00EE5282"/>
    <w:pPr>
      <w:keepNext/>
      <w:spacing w:before="180" w:after="120"/>
      <w:outlineLvl w:val="2"/>
    </w:pPr>
    <w:rPr>
      <w:rFonts w:cs="Arial"/>
      <w:b/>
      <w:bCs/>
      <w:i/>
      <w:sz w:val="32"/>
      <w:szCs w:val="26"/>
    </w:rPr>
  </w:style>
  <w:style w:type="paragraph" w:styleId="Heading4">
    <w:name w:val="heading 4"/>
    <w:basedOn w:val="HeadingBase"/>
    <w:next w:val="Normal"/>
    <w:qFormat/>
    <w:rsid w:val="00EE5282"/>
    <w:pPr>
      <w:keepNext/>
      <w:spacing w:before="120" w:after="120"/>
      <w:outlineLvl w:val="3"/>
    </w:pPr>
    <w:rPr>
      <w:bCs/>
      <w:i/>
      <w:color w:val="C00000"/>
      <w:sz w:val="28"/>
      <w:szCs w:val="23"/>
    </w:rPr>
  </w:style>
  <w:style w:type="paragraph" w:styleId="Heading5">
    <w:name w:val="heading 5"/>
    <w:basedOn w:val="HeadingBase"/>
    <w:next w:val="Normal"/>
    <w:qFormat/>
    <w:rsid w:val="00EE5282"/>
    <w:pPr>
      <w:spacing w:before="160" w:after="80"/>
      <w:outlineLvl w:val="4"/>
    </w:pPr>
    <w:rPr>
      <w:b/>
      <w:bCs/>
      <w:iCs/>
      <w:sz w:val="24"/>
    </w:rPr>
  </w:style>
  <w:style w:type="paragraph" w:styleId="Heading6">
    <w:name w:val="heading 6"/>
    <w:basedOn w:val="HeadingBase"/>
    <w:next w:val="Normal"/>
    <w:qFormat/>
    <w:rsid w:val="00EE5282"/>
    <w:pPr>
      <w:spacing w:after="120"/>
      <w:outlineLvl w:val="5"/>
    </w:pPr>
    <w:rPr>
      <w:bCs/>
      <w:i/>
      <w:sz w:val="24"/>
    </w:rPr>
  </w:style>
  <w:style w:type="paragraph" w:styleId="Heading7">
    <w:name w:val="heading 7"/>
    <w:basedOn w:val="HeadingBase"/>
    <w:next w:val="Normal"/>
    <w:qFormat/>
    <w:rsid w:val="00EE5282"/>
    <w:pPr>
      <w:spacing w:after="120"/>
      <w:outlineLvl w:val="6"/>
    </w:pPr>
    <w:rPr>
      <w:szCs w:val="24"/>
    </w:rPr>
  </w:style>
  <w:style w:type="paragraph" w:styleId="Heading8">
    <w:name w:val="heading 8"/>
    <w:basedOn w:val="HeadingBase"/>
    <w:next w:val="Normal"/>
    <w:qFormat/>
    <w:rsid w:val="00EE5282"/>
    <w:pPr>
      <w:spacing w:after="120"/>
      <w:outlineLvl w:val="7"/>
    </w:pPr>
    <w:rPr>
      <w:iCs/>
      <w:szCs w:val="24"/>
    </w:rPr>
  </w:style>
  <w:style w:type="paragraph" w:styleId="Heading9">
    <w:name w:val="heading 9"/>
    <w:basedOn w:val="HeadingBase"/>
    <w:next w:val="Normal"/>
    <w:qFormat/>
    <w:rsid w:val="00EE5282"/>
    <w:pPr>
      <w:spacing w:after="1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link w:val="HeadingBaseChar"/>
    <w:rsid w:val="00EE5282"/>
    <w:rPr>
      <w:rFonts w:ascii="Calibri" w:hAnsi="Calibri"/>
      <w:color w:val="000080"/>
      <w:sz w:val="22"/>
      <w:szCs w:val="22"/>
    </w:rPr>
  </w:style>
  <w:style w:type="paragraph" w:customStyle="1" w:styleId="NumberedParagraph">
    <w:name w:val="Numbered Paragraph"/>
    <w:basedOn w:val="Normal"/>
    <w:rsid w:val="00284F92"/>
    <w:pPr>
      <w:numPr>
        <w:ilvl w:val="1"/>
        <w:numId w:val="36"/>
      </w:numPr>
    </w:pPr>
  </w:style>
  <w:style w:type="paragraph" w:customStyle="1" w:styleId="SingleParagraph">
    <w:name w:val="Single Paragraph"/>
    <w:basedOn w:val="Normal"/>
    <w:rsid w:val="00EE5282"/>
    <w:pPr>
      <w:spacing w:after="0"/>
    </w:pPr>
  </w:style>
  <w:style w:type="character" w:styleId="Hyperlink">
    <w:name w:val="Hyperlink"/>
    <w:basedOn w:val="DefaultParagraphFont"/>
    <w:uiPriority w:val="99"/>
    <w:rsid w:val="00EE5282"/>
    <w:rPr>
      <w:color w:val="0000FF"/>
      <w:u w:val="single"/>
    </w:rPr>
  </w:style>
  <w:style w:type="paragraph" w:customStyle="1" w:styleId="ChapterHeading">
    <w:name w:val="ChapterHeading"/>
    <w:basedOn w:val="HeadingBase"/>
    <w:next w:val="NumberedParagraph"/>
    <w:rsid w:val="00284F92"/>
    <w:pPr>
      <w:numPr>
        <w:numId w:val="36"/>
      </w:numPr>
      <w:pBdr>
        <w:bottom w:val="single" w:sz="2" w:space="1" w:color="000080"/>
      </w:pBdr>
      <w:spacing w:before="720" w:after="800"/>
    </w:pPr>
    <w:rPr>
      <w:smallCaps/>
      <w:sz w:val="38"/>
      <w:szCs w:val="38"/>
    </w:rPr>
  </w:style>
  <w:style w:type="character" w:styleId="PageNumber">
    <w:name w:val="page number"/>
    <w:basedOn w:val="DefaultParagraphFont"/>
    <w:rsid w:val="00EE5282"/>
    <w:rPr>
      <w:rFonts w:ascii="Arial" w:hAnsi="Arial"/>
      <w:sz w:val="18"/>
    </w:rPr>
  </w:style>
  <w:style w:type="paragraph" w:customStyle="1" w:styleId="CaseStudyHeading">
    <w:name w:val="Case Study Heading"/>
    <w:basedOn w:val="HeadingBase"/>
    <w:next w:val="Normal"/>
    <w:rsid w:val="00EE5282"/>
    <w:pPr>
      <w:spacing w:before="120" w:after="240"/>
    </w:pPr>
    <w:rPr>
      <w:b/>
    </w:rPr>
  </w:style>
  <w:style w:type="paragraph" w:customStyle="1" w:styleId="Casestudytext">
    <w:name w:val="Case study text"/>
    <w:basedOn w:val="Normal"/>
    <w:rsid w:val="00894823"/>
    <w:pPr>
      <w:spacing w:line="240" w:lineRule="auto"/>
    </w:pPr>
    <w:rPr>
      <w:color w:val="000080"/>
    </w:rPr>
  </w:style>
  <w:style w:type="paragraph" w:customStyle="1" w:styleId="Bullet">
    <w:name w:val="Bullet"/>
    <w:basedOn w:val="Normal"/>
    <w:link w:val="BulletChar"/>
    <w:rsid w:val="00EE5282"/>
    <w:pPr>
      <w:numPr>
        <w:numId w:val="44"/>
      </w:numPr>
      <w:tabs>
        <w:tab w:val="left" w:pos="567"/>
      </w:tabs>
      <w:ind w:left="567" w:hanging="567"/>
    </w:pPr>
  </w:style>
  <w:style w:type="paragraph" w:customStyle="1" w:styleId="Dash">
    <w:name w:val="Dash"/>
    <w:basedOn w:val="Normal"/>
    <w:rsid w:val="00EE5282"/>
    <w:pPr>
      <w:numPr>
        <w:numId w:val="45"/>
      </w:numPr>
      <w:tabs>
        <w:tab w:val="left" w:pos="1418"/>
      </w:tabs>
      <w:ind w:left="1418" w:hanging="851"/>
    </w:pPr>
  </w:style>
  <w:style w:type="paragraph" w:customStyle="1" w:styleId="DoubleDot">
    <w:name w:val="Double Dot"/>
    <w:basedOn w:val="Normal"/>
    <w:rsid w:val="00EE5282"/>
    <w:pPr>
      <w:numPr>
        <w:numId w:val="46"/>
      </w:numPr>
      <w:tabs>
        <w:tab w:val="left" w:pos="2552"/>
      </w:tabs>
      <w:ind w:left="2269" w:hanging="851"/>
    </w:pPr>
  </w:style>
  <w:style w:type="paragraph" w:customStyle="1" w:styleId="OutlineNumbered1">
    <w:name w:val="Outline Numbered 1"/>
    <w:basedOn w:val="Normal"/>
    <w:rsid w:val="00EE5282"/>
    <w:pPr>
      <w:numPr>
        <w:numId w:val="2"/>
      </w:numPr>
    </w:pPr>
  </w:style>
  <w:style w:type="paragraph" w:customStyle="1" w:styleId="OutlineNumbered2">
    <w:name w:val="Outline Numbered 2"/>
    <w:basedOn w:val="Normal"/>
    <w:rsid w:val="00EE5282"/>
    <w:pPr>
      <w:numPr>
        <w:ilvl w:val="1"/>
        <w:numId w:val="2"/>
      </w:numPr>
    </w:pPr>
  </w:style>
  <w:style w:type="paragraph" w:customStyle="1" w:styleId="OutlineNumbered3">
    <w:name w:val="Outline Numbered 3"/>
    <w:basedOn w:val="Normal"/>
    <w:rsid w:val="00EE5282"/>
    <w:pPr>
      <w:numPr>
        <w:ilvl w:val="2"/>
        <w:numId w:val="2"/>
      </w:numPr>
    </w:pPr>
  </w:style>
  <w:style w:type="paragraph" w:customStyle="1" w:styleId="AlphaParagraph">
    <w:name w:val="Alpha Paragraph"/>
    <w:basedOn w:val="Normal"/>
    <w:rsid w:val="00EE5282"/>
    <w:pPr>
      <w:numPr>
        <w:numId w:val="3"/>
      </w:numPr>
    </w:pPr>
  </w:style>
  <w:style w:type="paragraph" w:customStyle="1" w:styleId="AppendixHeading">
    <w:name w:val="Appendix Heading"/>
    <w:basedOn w:val="HeadingBase"/>
    <w:next w:val="Normal"/>
    <w:rsid w:val="00EE5282"/>
    <w:pPr>
      <w:pBdr>
        <w:bottom w:val="single" w:sz="2" w:space="1" w:color="000080"/>
      </w:pBdr>
      <w:spacing w:after="240"/>
    </w:pPr>
    <w:rPr>
      <w:smallCaps/>
      <w:sz w:val="38"/>
      <w:szCs w:val="38"/>
    </w:rPr>
  </w:style>
  <w:style w:type="character" w:customStyle="1" w:styleId="Bold">
    <w:name w:val="Bold"/>
    <w:basedOn w:val="DefaultParagraphFont"/>
    <w:rsid w:val="00EE5282"/>
    <w:rPr>
      <w:b/>
    </w:rPr>
  </w:style>
  <w:style w:type="paragraph" w:customStyle="1" w:styleId="BoxHeading">
    <w:name w:val="Box Heading"/>
    <w:basedOn w:val="HeadingBase"/>
    <w:next w:val="BoxText"/>
    <w:rsid w:val="00EE5282"/>
    <w:pPr>
      <w:spacing w:before="120" w:after="80"/>
    </w:pPr>
    <w:rPr>
      <w:rFonts w:asciiTheme="minorHAnsi" w:hAnsiTheme="minorHAnsi"/>
      <w:b/>
      <w:caps/>
      <w:color w:val="FFFFFF" w:themeColor="background1"/>
      <w:sz w:val="28"/>
    </w:rPr>
  </w:style>
  <w:style w:type="paragraph" w:customStyle="1" w:styleId="BoxText">
    <w:name w:val="Box Text"/>
    <w:basedOn w:val="BoxTextBase"/>
    <w:rsid w:val="00EE5282"/>
  </w:style>
  <w:style w:type="paragraph" w:customStyle="1" w:styleId="BoxTextBase">
    <w:name w:val="Box Text Base"/>
    <w:basedOn w:val="Normal"/>
    <w:rsid w:val="00EE5282"/>
    <w:pPr>
      <w:spacing w:before="120" w:after="120" w:line="240" w:lineRule="auto"/>
    </w:pPr>
  </w:style>
  <w:style w:type="paragraph" w:customStyle="1" w:styleId="ChartandTableFootnoteAlpha">
    <w:name w:val="Chart and Table Footnote Alpha"/>
    <w:rsid w:val="00EE5282"/>
    <w:pPr>
      <w:numPr>
        <w:numId w:val="4"/>
      </w:numPr>
      <w:jc w:val="both"/>
    </w:pPr>
    <w:rPr>
      <w:rFonts w:asciiTheme="minorHAnsi" w:hAnsiTheme="minorHAnsi"/>
      <w:color w:val="000000"/>
      <w:sz w:val="18"/>
      <w:szCs w:val="16"/>
    </w:rPr>
  </w:style>
  <w:style w:type="paragraph" w:customStyle="1" w:styleId="ChartGraphic">
    <w:name w:val="Chart Graphic"/>
    <w:basedOn w:val="HeadingBase"/>
    <w:next w:val="Normal"/>
    <w:rsid w:val="00EE5282"/>
    <w:pPr>
      <w:spacing w:after="20"/>
      <w:jc w:val="center"/>
    </w:pPr>
  </w:style>
  <w:style w:type="paragraph" w:customStyle="1" w:styleId="ChartMainHeading">
    <w:name w:val="Chart Main Heading"/>
    <w:basedOn w:val="HeadingBase"/>
    <w:next w:val="ChartGraphic"/>
    <w:rsid w:val="00EE5282"/>
    <w:pPr>
      <w:keepNext/>
      <w:spacing w:after="20"/>
      <w:jc w:val="center"/>
    </w:pPr>
    <w:rPr>
      <w:b/>
    </w:rPr>
  </w:style>
  <w:style w:type="paragraph" w:customStyle="1" w:styleId="ChartorTableNote">
    <w:name w:val="Chart or Table Note"/>
    <w:next w:val="Normal"/>
    <w:rsid w:val="00EE5282"/>
    <w:pPr>
      <w:jc w:val="both"/>
    </w:pPr>
    <w:rPr>
      <w:rFonts w:ascii="Arial" w:hAnsi="Arial"/>
      <w:color w:val="000000"/>
      <w:sz w:val="16"/>
      <w:szCs w:val="22"/>
    </w:rPr>
  </w:style>
  <w:style w:type="paragraph" w:customStyle="1" w:styleId="ChartSecondHeading">
    <w:name w:val="Chart Second Heading"/>
    <w:basedOn w:val="HeadingBase"/>
    <w:next w:val="ChartGraphic"/>
    <w:rsid w:val="00EE5282"/>
    <w:pPr>
      <w:keepNext/>
      <w:spacing w:after="20"/>
      <w:jc w:val="center"/>
    </w:pPr>
  </w:style>
  <w:style w:type="paragraph" w:customStyle="1" w:styleId="Classification">
    <w:name w:val="Classification"/>
    <w:basedOn w:val="HeadingBase"/>
    <w:next w:val="Footer"/>
    <w:rsid w:val="00EE5282"/>
    <w:pPr>
      <w:spacing w:after="120"/>
      <w:jc w:val="center"/>
    </w:pPr>
    <w:rPr>
      <w:b/>
      <w:smallCaps/>
    </w:rPr>
  </w:style>
  <w:style w:type="paragraph" w:styleId="Footer">
    <w:name w:val="footer"/>
    <w:basedOn w:val="HeadingBase"/>
    <w:rsid w:val="00EE5282"/>
    <w:rPr>
      <w:sz w:val="18"/>
    </w:rPr>
  </w:style>
  <w:style w:type="paragraph" w:customStyle="1" w:styleId="ContentsHeading">
    <w:name w:val="Contents Heading"/>
    <w:basedOn w:val="HeadingBase"/>
    <w:next w:val="Normal"/>
    <w:rsid w:val="00EE5282"/>
    <w:pPr>
      <w:pBdr>
        <w:bottom w:val="single" w:sz="2" w:space="1" w:color="000080"/>
      </w:pBdr>
      <w:spacing w:before="720" w:after="800"/>
    </w:pPr>
    <w:rPr>
      <w:smallCaps/>
      <w:sz w:val="56"/>
      <w:szCs w:val="38"/>
    </w:rPr>
  </w:style>
  <w:style w:type="paragraph" w:customStyle="1" w:styleId="CoverTitleMain">
    <w:name w:val="Cover Title Main"/>
    <w:basedOn w:val="HeadingBase"/>
    <w:next w:val="Normal"/>
    <w:rsid w:val="00EE5282"/>
    <w:pPr>
      <w:spacing w:after="240"/>
      <w:jc w:val="center"/>
    </w:pPr>
    <w:rPr>
      <w:b/>
      <w:spacing w:val="20"/>
      <w:sz w:val="52"/>
      <w:szCs w:val="52"/>
    </w:rPr>
  </w:style>
  <w:style w:type="paragraph" w:customStyle="1" w:styleId="CoverTitleSub">
    <w:name w:val="Cover Title Sub"/>
    <w:basedOn w:val="HeadingBase"/>
    <w:rsid w:val="00EE5282"/>
    <w:pPr>
      <w:spacing w:after="120" w:line="420" w:lineRule="exact"/>
      <w:jc w:val="center"/>
    </w:pPr>
    <w:rPr>
      <w:sz w:val="36"/>
      <w:szCs w:val="36"/>
    </w:rPr>
  </w:style>
  <w:style w:type="paragraph" w:customStyle="1" w:styleId="FooterCentered">
    <w:name w:val="Footer Centered"/>
    <w:basedOn w:val="Footer"/>
    <w:rsid w:val="00EE5282"/>
    <w:pPr>
      <w:jc w:val="center"/>
    </w:pPr>
  </w:style>
  <w:style w:type="paragraph" w:customStyle="1" w:styleId="FooterEven">
    <w:name w:val="Footer Even"/>
    <w:basedOn w:val="Footer"/>
    <w:rsid w:val="00EE5282"/>
  </w:style>
  <w:style w:type="paragraph" w:customStyle="1" w:styleId="FooterOdd">
    <w:name w:val="Footer Odd"/>
    <w:basedOn w:val="Footer"/>
    <w:rsid w:val="00EE5282"/>
    <w:pPr>
      <w:jc w:val="right"/>
    </w:pPr>
  </w:style>
  <w:style w:type="character" w:customStyle="1" w:styleId="FramedFooter">
    <w:name w:val="Framed Footer"/>
    <w:rsid w:val="00EE5282"/>
    <w:rPr>
      <w:rFonts w:ascii="Arial" w:hAnsi="Arial"/>
      <w:color w:val="000080"/>
      <w:sz w:val="18"/>
      <w:szCs w:val="18"/>
    </w:rPr>
  </w:style>
  <w:style w:type="character" w:customStyle="1" w:styleId="FramedHeader">
    <w:name w:val="Framed Header"/>
    <w:basedOn w:val="DefaultParagraphFont"/>
    <w:rsid w:val="00EE5282"/>
    <w:rPr>
      <w:rFonts w:ascii="Arial" w:hAnsi="Arial"/>
      <w:dstrike w:val="0"/>
      <w:color w:val="000080"/>
      <w:sz w:val="18"/>
      <w:szCs w:val="18"/>
      <w:vertAlign w:val="baseline"/>
    </w:rPr>
  </w:style>
  <w:style w:type="paragraph" w:styleId="Header">
    <w:name w:val="header"/>
    <w:basedOn w:val="HeadingBase"/>
    <w:link w:val="HeaderChar"/>
    <w:rsid w:val="00EE5282"/>
    <w:pPr>
      <w:jc w:val="right"/>
    </w:pPr>
    <w:rPr>
      <w:sz w:val="18"/>
    </w:rPr>
  </w:style>
  <w:style w:type="paragraph" w:customStyle="1" w:styleId="HeaderEven">
    <w:name w:val="Header Even"/>
    <w:basedOn w:val="Header"/>
    <w:rsid w:val="00EE5282"/>
  </w:style>
  <w:style w:type="paragraph" w:customStyle="1" w:styleId="HeaderOdd">
    <w:name w:val="Header Odd"/>
    <w:basedOn w:val="Header"/>
    <w:rsid w:val="00EE5282"/>
  </w:style>
  <w:style w:type="paragraph" w:styleId="NormalIndent">
    <w:name w:val="Normal Indent"/>
    <w:basedOn w:val="Normal"/>
    <w:rsid w:val="00EE5282"/>
    <w:pPr>
      <w:ind w:left="567"/>
    </w:pPr>
    <w:rPr>
      <w:sz w:val="20"/>
    </w:rPr>
  </w:style>
  <w:style w:type="paragraph" w:customStyle="1" w:styleId="RecommendationHeading">
    <w:name w:val="Recommendation Heading"/>
    <w:basedOn w:val="HeadingBase"/>
    <w:next w:val="RecommendationText"/>
    <w:rsid w:val="00EE5282"/>
    <w:pPr>
      <w:spacing w:before="120" w:after="240"/>
    </w:pPr>
    <w:rPr>
      <w:b/>
    </w:rPr>
  </w:style>
  <w:style w:type="paragraph" w:customStyle="1" w:styleId="RecommendationText">
    <w:name w:val="Recommendation Text"/>
    <w:basedOn w:val="RecommendationTextBase"/>
    <w:rsid w:val="00EE5282"/>
    <w:pPr>
      <w:spacing w:before="120" w:after="120"/>
    </w:pPr>
  </w:style>
  <w:style w:type="paragraph" w:customStyle="1" w:styleId="RecommendationTextBase">
    <w:name w:val="Recommendation Text Base"/>
    <w:basedOn w:val="Normal"/>
    <w:rsid w:val="00EE5282"/>
  </w:style>
  <w:style w:type="paragraph" w:customStyle="1" w:styleId="TableTextBase">
    <w:name w:val="Table Text Base"/>
    <w:rsid w:val="00EE5282"/>
    <w:pPr>
      <w:spacing w:after="120"/>
    </w:pPr>
    <w:rPr>
      <w:rFonts w:asciiTheme="minorHAnsi" w:hAnsiTheme="minorHAnsi"/>
      <w:color w:val="000000"/>
      <w:sz w:val="22"/>
      <w:szCs w:val="18"/>
    </w:rPr>
  </w:style>
  <w:style w:type="paragraph" w:customStyle="1" w:styleId="TableColumnHeadingCentred">
    <w:name w:val="Table Column Heading Centred"/>
    <w:basedOn w:val="TableTextBase"/>
    <w:rsid w:val="00EE5282"/>
    <w:pPr>
      <w:spacing w:before="60" w:after="60"/>
      <w:jc w:val="center"/>
    </w:pPr>
    <w:rPr>
      <w:color w:val="FFFFFF" w:themeColor="background1"/>
      <w:sz w:val="24"/>
    </w:rPr>
  </w:style>
  <w:style w:type="paragraph" w:customStyle="1" w:styleId="TableColumnHeadingLeft">
    <w:name w:val="Table Column Heading Left"/>
    <w:basedOn w:val="TableTextBase"/>
    <w:rsid w:val="00EE5282"/>
    <w:pPr>
      <w:spacing w:before="60" w:after="60"/>
    </w:pPr>
    <w:rPr>
      <w:color w:val="FFFFFF" w:themeColor="background1"/>
      <w:sz w:val="24"/>
    </w:rPr>
  </w:style>
  <w:style w:type="paragraph" w:customStyle="1" w:styleId="TableColumnHeadingRight">
    <w:name w:val="Table Column Heading Right"/>
    <w:basedOn w:val="TableTextBase"/>
    <w:rsid w:val="00EE5282"/>
    <w:pPr>
      <w:spacing w:before="60" w:after="60"/>
      <w:jc w:val="right"/>
    </w:pPr>
    <w:rPr>
      <w:rFonts w:ascii="Calibri" w:hAnsi="Calibri"/>
      <w:color w:val="FFFFFF" w:themeColor="background1"/>
      <w:sz w:val="24"/>
    </w:rPr>
  </w:style>
  <w:style w:type="paragraph" w:customStyle="1" w:styleId="TableGraphic">
    <w:name w:val="Table Graphic"/>
    <w:basedOn w:val="HeadingBase"/>
    <w:next w:val="Normal"/>
    <w:rsid w:val="00EE5282"/>
    <w:pPr>
      <w:spacing w:after="40"/>
      <w:ind w:right="-113"/>
    </w:pPr>
  </w:style>
  <w:style w:type="paragraph" w:customStyle="1" w:styleId="TableMainHeading">
    <w:name w:val="Table Main Heading"/>
    <w:basedOn w:val="HeadingBase"/>
    <w:next w:val="TableGraphic"/>
    <w:rsid w:val="00EE5282"/>
    <w:pPr>
      <w:keepNext/>
      <w:spacing w:after="20"/>
    </w:pPr>
    <w:rPr>
      <w:b/>
      <w:sz w:val="24"/>
    </w:rPr>
  </w:style>
  <w:style w:type="paragraph" w:customStyle="1" w:styleId="TableMainHeadingContd">
    <w:name w:val="Table Main Heading Contd"/>
    <w:basedOn w:val="HeadingBase"/>
    <w:next w:val="TableGraphic"/>
    <w:rsid w:val="00EE5282"/>
    <w:pPr>
      <w:keepNext/>
      <w:spacing w:after="20"/>
    </w:pPr>
    <w:rPr>
      <w:b/>
    </w:rPr>
  </w:style>
  <w:style w:type="paragraph" w:customStyle="1" w:styleId="TableSecondHeading">
    <w:name w:val="Table Second Heading"/>
    <w:basedOn w:val="HeadingBase"/>
    <w:next w:val="TableGraphic"/>
    <w:rsid w:val="00EE5282"/>
    <w:pPr>
      <w:keepNext/>
      <w:spacing w:after="20"/>
    </w:pPr>
  </w:style>
  <w:style w:type="paragraph" w:customStyle="1" w:styleId="TableTextCentered">
    <w:name w:val="Table Text Centered"/>
    <w:basedOn w:val="TableTextBase"/>
    <w:rsid w:val="00EE5282"/>
    <w:pPr>
      <w:jc w:val="center"/>
    </w:pPr>
  </w:style>
  <w:style w:type="paragraph" w:customStyle="1" w:styleId="TableTextIndented">
    <w:name w:val="Table Text Indented"/>
    <w:basedOn w:val="TableTextBase"/>
    <w:rsid w:val="00EE5282"/>
    <w:pPr>
      <w:ind w:left="284"/>
    </w:pPr>
  </w:style>
  <w:style w:type="paragraph" w:customStyle="1" w:styleId="TableTextLeft">
    <w:name w:val="Table Text Left"/>
    <w:basedOn w:val="TableTextBase"/>
    <w:rsid w:val="00EE5282"/>
    <w:pPr>
      <w:spacing w:before="30" w:after="80"/>
    </w:pPr>
  </w:style>
  <w:style w:type="paragraph" w:customStyle="1" w:styleId="TableTextRight">
    <w:name w:val="Table Text Right"/>
    <w:basedOn w:val="TableTextBase"/>
    <w:rsid w:val="00EE5282"/>
    <w:pPr>
      <w:jc w:val="right"/>
    </w:pPr>
  </w:style>
  <w:style w:type="paragraph" w:styleId="TOC1">
    <w:name w:val="toc 1"/>
    <w:basedOn w:val="HeadingBase"/>
    <w:next w:val="Normal"/>
    <w:uiPriority w:val="39"/>
    <w:rsid w:val="00EE5282"/>
    <w:pPr>
      <w:tabs>
        <w:tab w:val="right" w:leader="dot" w:pos="8505"/>
      </w:tabs>
      <w:spacing w:before="120"/>
      <w:ind w:right="1134"/>
    </w:pPr>
    <w:rPr>
      <w:rFonts w:ascii="Arial Bold" w:hAnsi="Arial Bold"/>
      <w:b/>
      <w:smallCaps/>
    </w:rPr>
  </w:style>
  <w:style w:type="paragraph" w:styleId="TOC2">
    <w:name w:val="toc 2"/>
    <w:basedOn w:val="Normal"/>
    <w:next w:val="Normal"/>
    <w:uiPriority w:val="39"/>
    <w:rsid w:val="00EE5282"/>
    <w:pPr>
      <w:tabs>
        <w:tab w:val="right" w:leader="dot" w:pos="8505"/>
      </w:tabs>
      <w:spacing w:before="60" w:after="60" w:line="240" w:lineRule="auto"/>
      <w:ind w:right="1134"/>
    </w:pPr>
    <w:rPr>
      <w:rFonts w:ascii="Arial" w:hAnsi="Arial"/>
      <w:color w:val="000080"/>
      <w:sz w:val="20"/>
      <w:szCs w:val="20"/>
    </w:rPr>
  </w:style>
  <w:style w:type="paragraph" w:styleId="TOC3">
    <w:name w:val="toc 3"/>
    <w:basedOn w:val="Normal"/>
    <w:next w:val="Normal"/>
    <w:rsid w:val="00EE5282"/>
    <w:pPr>
      <w:tabs>
        <w:tab w:val="right" w:pos="7700"/>
      </w:tabs>
      <w:spacing w:before="20" w:after="0" w:line="240" w:lineRule="auto"/>
      <w:ind w:left="284" w:right="851"/>
    </w:pPr>
  </w:style>
  <w:style w:type="paragraph" w:styleId="TOC4">
    <w:name w:val="toc 4"/>
    <w:basedOn w:val="Normal"/>
    <w:next w:val="Normal"/>
    <w:rsid w:val="00EE5282"/>
    <w:pPr>
      <w:tabs>
        <w:tab w:val="right" w:pos="7700"/>
      </w:tabs>
      <w:spacing w:after="0" w:line="240" w:lineRule="auto"/>
      <w:ind w:left="284" w:right="851"/>
    </w:pPr>
  </w:style>
  <w:style w:type="character" w:customStyle="1" w:styleId="italic">
    <w:name w:val="italic"/>
    <w:basedOn w:val="DefaultParagraphFont"/>
    <w:rsid w:val="00EE5282"/>
    <w:rPr>
      <w:i/>
    </w:rPr>
  </w:style>
  <w:style w:type="paragraph" w:customStyle="1" w:styleId="OneLevelNumberedParagraph">
    <w:name w:val="One Level Numbered Paragraph"/>
    <w:basedOn w:val="Normal"/>
    <w:rsid w:val="00EE5282"/>
    <w:pPr>
      <w:numPr>
        <w:numId w:val="10"/>
      </w:numPr>
    </w:pPr>
  </w:style>
  <w:style w:type="paragraph" w:customStyle="1" w:styleId="BoxBullet">
    <w:name w:val="Box Bullet"/>
    <w:basedOn w:val="BoxTextBase"/>
    <w:rsid w:val="00EE5282"/>
    <w:pPr>
      <w:numPr>
        <w:numId w:val="9"/>
      </w:numPr>
    </w:pPr>
  </w:style>
  <w:style w:type="paragraph" w:customStyle="1" w:styleId="BoxDash">
    <w:name w:val="Box Dash"/>
    <w:basedOn w:val="Normal"/>
    <w:rsid w:val="00EE5282"/>
    <w:pPr>
      <w:numPr>
        <w:ilvl w:val="1"/>
        <w:numId w:val="9"/>
      </w:numPr>
      <w:tabs>
        <w:tab w:val="clear" w:pos="567"/>
        <w:tab w:val="left" w:pos="1134"/>
      </w:tabs>
      <w:ind w:left="1134" w:hanging="567"/>
    </w:pPr>
  </w:style>
  <w:style w:type="paragraph" w:customStyle="1" w:styleId="BoxDoubleDot">
    <w:name w:val="Box Double Dot"/>
    <w:basedOn w:val="BoxTextBase"/>
    <w:rsid w:val="00EE5282"/>
    <w:pPr>
      <w:numPr>
        <w:ilvl w:val="2"/>
        <w:numId w:val="9"/>
      </w:numPr>
      <w:tabs>
        <w:tab w:val="clear" w:pos="850"/>
        <w:tab w:val="left" w:pos="1134"/>
      </w:tabs>
      <w:ind w:left="1701" w:hanging="567"/>
    </w:pPr>
  </w:style>
  <w:style w:type="paragraph" w:customStyle="1" w:styleId="RecommendationBullet">
    <w:name w:val="Recommendation Bullet"/>
    <w:basedOn w:val="RecommendationTextBase"/>
    <w:rsid w:val="00EE5282"/>
    <w:pPr>
      <w:numPr>
        <w:numId w:val="11"/>
      </w:numPr>
      <w:tabs>
        <w:tab w:val="clear" w:pos="283"/>
        <w:tab w:val="num" w:pos="567"/>
      </w:tabs>
      <w:ind w:left="567" w:hanging="567"/>
    </w:pPr>
  </w:style>
  <w:style w:type="paragraph" w:customStyle="1" w:styleId="RecommendationDash">
    <w:name w:val="Recommendation Dash"/>
    <w:basedOn w:val="RecommendationTextBase"/>
    <w:rsid w:val="00EE5282"/>
    <w:pPr>
      <w:numPr>
        <w:ilvl w:val="1"/>
        <w:numId w:val="11"/>
      </w:numPr>
      <w:tabs>
        <w:tab w:val="clear" w:pos="567"/>
        <w:tab w:val="left" w:pos="1134"/>
      </w:tabs>
      <w:ind w:left="1134" w:hanging="567"/>
    </w:pPr>
  </w:style>
  <w:style w:type="paragraph" w:customStyle="1" w:styleId="RecommendationDoubleDot">
    <w:name w:val="Recommendation Double Dot"/>
    <w:basedOn w:val="RecommendationTextBase"/>
    <w:rsid w:val="00EE5282"/>
    <w:pPr>
      <w:numPr>
        <w:ilvl w:val="2"/>
        <w:numId w:val="11"/>
      </w:numPr>
      <w:tabs>
        <w:tab w:val="clear" w:pos="850"/>
        <w:tab w:val="left" w:pos="1134"/>
      </w:tabs>
      <w:ind w:left="1701" w:hanging="567"/>
    </w:pPr>
  </w:style>
  <w:style w:type="paragraph" w:customStyle="1" w:styleId="Casestudysourcenote">
    <w:name w:val="Case study source note"/>
    <w:basedOn w:val="HeadingBase"/>
    <w:rsid w:val="00EE5282"/>
    <w:pPr>
      <w:jc w:val="both"/>
    </w:pPr>
    <w:rPr>
      <w:sz w:val="16"/>
      <w:szCs w:val="16"/>
    </w:rPr>
  </w:style>
  <w:style w:type="paragraph" w:customStyle="1" w:styleId="Recommendationalpha">
    <w:name w:val="Recommendation alpha"/>
    <w:basedOn w:val="RecommendationTextBase"/>
    <w:rsid w:val="00EE5282"/>
    <w:pPr>
      <w:numPr>
        <w:numId w:val="13"/>
      </w:numPr>
      <w:tabs>
        <w:tab w:val="left" w:pos="567"/>
      </w:tabs>
      <w:ind w:left="567" w:hanging="567"/>
    </w:pPr>
  </w:style>
  <w:style w:type="paragraph" w:customStyle="1" w:styleId="Recommendationindent">
    <w:name w:val="Recommendation indent"/>
    <w:basedOn w:val="RecommendationTextBase"/>
    <w:rsid w:val="00EE5282"/>
    <w:pPr>
      <w:ind w:left="567"/>
    </w:pPr>
  </w:style>
  <w:style w:type="paragraph" w:customStyle="1" w:styleId="Recommendationromannumeral">
    <w:name w:val="Recommendation roman numeral"/>
    <w:basedOn w:val="RecommendationTextBase"/>
    <w:rsid w:val="00EE5282"/>
    <w:pPr>
      <w:numPr>
        <w:numId w:val="14"/>
      </w:numPr>
    </w:pPr>
  </w:style>
  <w:style w:type="paragraph" w:customStyle="1" w:styleId="CoverTitleSub2">
    <w:name w:val="Cover Title Sub 2"/>
    <w:basedOn w:val="HeadingBase"/>
    <w:rsid w:val="00EE5282"/>
    <w:pPr>
      <w:spacing w:after="120" w:line="420" w:lineRule="exact"/>
      <w:jc w:val="center"/>
    </w:pPr>
    <w:rPr>
      <w:sz w:val="28"/>
      <w:szCs w:val="28"/>
    </w:rPr>
  </w:style>
  <w:style w:type="character" w:styleId="FootnoteReference">
    <w:name w:val="footnote reference"/>
    <w:basedOn w:val="DefaultParagraphFont"/>
    <w:rsid w:val="00EE5282"/>
    <w:rPr>
      <w:sz w:val="20"/>
      <w:szCs w:val="20"/>
      <w:vertAlign w:val="superscript"/>
    </w:rPr>
  </w:style>
  <w:style w:type="paragraph" w:styleId="FootnoteText">
    <w:name w:val="footnote text"/>
    <w:basedOn w:val="Normal"/>
    <w:link w:val="FootnoteTextChar"/>
    <w:rsid w:val="00EE5282"/>
    <w:pPr>
      <w:tabs>
        <w:tab w:val="left" w:pos="567"/>
      </w:tabs>
      <w:spacing w:after="0" w:line="240" w:lineRule="auto"/>
      <w:ind w:left="567" w:hanging="567"/>
    </w:pPr>
    <w:rPr>
      <w:sz w:val="18"/>
      <w:szCs w:val="18"/>
    </w:rPr>
  </w:style>
  <w:style w:type="table" w:styleId="TableContemporary">
    <w:name w:val="Table Contemporary"/>
    <w:basedOn w:val="TableNormal"/>
    <w:rsid w:val="00EE5282"/>
    <w:pPr>
      <w:spacing w:after="240" w:line="300" w:lineRule="exact"/>
      <w:jc w:val="both"/>
    </w:pPr>
    <w:rPr>
      <w:rFonts w:ascii="Calibri" w:hAnsi="Calibr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Bolditalic">
    <w:name w:val="Bold italic"/>
    <w:basedOn w:val="DefaultParagraphFont"/>
    <w:rsid w:val="00EE5282"/>
    <w:rPr>
      <w:b/>
      <w:i/>
    </w:rPr>
  </w:style>
  <w:style w:type="paragraph" w:customStyle="1" w:styleId="Graphic">
    <w:name w:val="Graphic"/>
    <w:basedOn w:val="Normal"/>
    <w:rsid w:val="00EE5282"/>
    <w:pPr>
      <w:spacing w:after="0" w:line="240" w:lineRule="auto"/>
      <w:jc w:val="center"/>
    </w:pPr>
  </w:style>
  <w:style w:type="paragraph" w:customStyle="1" w:styleId="Casestudybullet">
    <w:name w:val="Case study bullet"/>
    <w:basedOn w:val="Casestudytext"/>
    <w:rsid w:val="00894823"/>
    <w:pPr>
      <w:numPr>
        <w:numId w:val="27"/>
      </w:numPr>
    </w:pPr>
  </w:style>
  <w:style w:type="paragraph" w:customStyle="1" w:styleId="Casestudyheading2">
    <w:name w:val="Case study heading 2"/>
    <w:basedOn w:val="HeadingBase"/>
    <w:rsid w:val="00EE5282"/>
    <w:pPr>
      <w:spacing w:after="120"/>
    </w:pPr>
    <w:rPr>
      <w:i/>
    </w:rPr>
  </w:style>
  <w:style w:type="paragraph" w:customStyle="1" w:styleId="Normalindentitalics">
    <w:name w:val="Normal indent italics"/>
    <w:basedOn w:val="NormalIndent"/>
    <w:rsid w:val="00EE5282"/>
    <w:pPr>
      <w:tabs>
        <w:tab w:val="left" w:pos="1134"/>
      </w:tabs>
    </w:pPr>
    <w:rPr>
      <w:i/>
      <w:szCs w:val="20"/>
    </w:rPr>
  </w:style>
  <w:style w:type="paragraph" w:customStyle="1" w:styleId="NormalIndentbold">
    <w:name w:val="Normal Indent bold"/>
    <w:basedOn w:val="Normal"/>
    <w:rsid w:val="00EE5282"/>
    <w:pPr>
      <w:tabs>
        <w:tab w:val="left" w:pos="1134"/>
      </w:tabs>
      <w:spacing w:after="0"/>
      <w:ind w:left="567"/>
    </w:pPr>
    <w:rPr>
      <w:b/>
      <w:sz w:val="20"/>
      <w:szCs w:val="20"/>
    </w:rPr>
  </w:style>
  <w:style w:type="character" w:customStyle="1" w:styleId="Italics">
    <w:name w:val="Italics"/>
    <w:basedOn w:val="DefaultParagraphFont"/>
    <w:rsid w:val="00EE5282"/>
    <w:rPr>
      <w:i/>
    </w:rPr>
  </w:style>
  <w:style w:type="paragraph" w:customStyle="1" w:styleId="Romannumeral">
    <w:name w:val="Roman numeral"/>
    <w:basedOn w:val="Normal"/>
    <w:rsid w:val="00EE5282"/>
    <w:pPr>
      <w:numPr>
        <w:numId w:val="35"/>
      </w:numPr>
    </w:pPr>
  </w:style>
  <w:style w:type="paragraph" w:styleId="Title">
    <w:name w:val="Title"/>
    <w:basedOn w:val="Normal"/>
    <w:next w:val="Normal"/>
    <w:link w:val="TitleChar"/>
    <w:qFormat/>
    <w:rsid w:val="00EE5282"/>
    <w:pPr>
      <w:spacing w:line="240" w:lineRule="auto"/>
      <w:jc w:val="center"/>
    </w:pPr>
    <w:rPr>
      <w:b/>
      <w:caps/>
      <w:color w:val="3F6294"/>
      <w:sz w:val="56"/>
    </w:rPr>
  </w:style>
  <w:style w:type="character" w:customStyle="1" w:styleId="TitleChar">
    <w:name w:val="Title Char"/>
    <w:basedOn w:val="DefaultParagraphFont"/>
    <w:link w:val="Title"/>
    <w:rsid w:val="00EE5282"/>
    <w:rPr>
      <w:rFonts w:ascii="Calibri" w:hAnsi="Calibri"/>
      <w:b/>
      <w:caps/>
      <w:color w:val="3F6294"/>
      <w:sz w:val="56"/>
      <w:szCs w:val="22"/>
    </w:rPr>
  </w:style>
  <w:style w:type="character" w:customStyle="1" w:styleId="BulletChar">
    <w:name w:val="Bullet Char"/>
    <w:basedOn w:val="DefaultParagraphFont"/>
    <w:link w:val="Bullet"/>
    <w:locked/>
    <w:rsid w:val="00154371"/>
    <w:rPr>
      <w:rFonts w:ascii="Calibri" w:hAnsi="Calibri"/>
      <w:sz w:val="22"/>
      <w:szCs w:val="22"/>
    </w:rPr>
  </w:style>
  <w:style w:type="character" w:customStyle="1" w:styleId="FootnoteTextChar">
    <w:name w:val="Footnote Text Char"/>
    <w:basedOn w:val="DefaultParagraphFont"/>
    <w:link w:val="FootnoteText"/>
    <w:rsid w:val="009F2267"/>
    <w:rPr>
      <w:rFonts w:ascii="Calibri" w:hAnsi="Calibri"/>
      <w:sz w:val="18"/>
      <w:szCs w:val="18"/>
    </w:rPr>
  </w:style>
  <w:style w:type="character" w:styleId="CommentReference">
    <w:name w:val="annotation reference"/>
    <w:basedOn w:val="DefaultParagraphFont"/>
    <w:rsid w:val="00470AF8"/>
    <w:rPr>
      <w:sz w:val="16"/>
      <w:szCs w:val="16"/>
    </w:rPr>
  </w:style>
  <w:style w:type="paragraph" w:styleId="CommentText">
    <w:name w:val="annotation text"/>
    <w:basedOn w:val="Normal"/>
    <w:link w:val="CommentTextChar"/>
    <w:rsid w:val="00470AF8"/>
    <w:pPr>
      <w:spacing w:line="240" w:lineRule="auto"/>
    </w:pPr>
    <w:rPr>
      <w:sz w:val="20"/>
      <w:szCs w:val="20"/>
    </w:rPr>
  </w:style>
  <w:style w:type="character" w:customStyle="1" w:styleId="CommentTextChar">
    <w:name w:val="Comment Text Char"/>
    <w:basedOn w:val="DefaultParagraphFont"/>
    <w:link w:val="CommentText"/>
    <w:rsid w:val="00470AF8"/>
    <w:rPr>
      <w:rFonts w:ascii="Book Antiqua" w:hAnsi="Book Antiqua"/>
      <w:color w:val="000000"/>
    </w:rPr>
  </w:style>
  <w:style w:type="paragraph" w:styleId="CommentSubject">
    <w:name w:val="annotation subject"/>
    <w:basedOn w:val="CommentText"/>
    <w:next w:val="CommentText"/>
    <w:link w:val="CommentSubjectChar"/>
    <w:rsid w:val="00470AF8"/>
    <w:rPr>
      <w:b/>
      <w:bCs/>
    </w:rPr>
  </w:style>
  <w:style w:type="character" w:customStyle="1" w:styleId="CommentSubjectChar">
    <w:name w:val="Comment Subject Char"/>
    <w:basedOn w:val="CommentTextChar"/>
    <w:link w:val="CommentSubject"/>
    <w:rsid w:val="00470AF8"/>
    <w:rPr>
      <w:rFonts w:ascii="Book Antiqua" w:hAnsi="Book Antiqua"/>
      <w:b/>
      <w:bCs/>
      <w:color w:val="000000"/>
    </w:rPr>
  </w:style>
  <w:style w:type="paragraph" w:styleId="BalloonText">
    <w:name w:val="Balloon Text"/>
    <w:basedOn w:val="Normal"/>
    <w:link w:val="BalloonTextChar"/>
    <w:rsid w:val="00EE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E5282"/>
    <w:rPr>
      <w:rFonts w:ascii="Tahoma" w:hAnsi="Tahoma" w:cs="Tahoma"/>
      <w:sz w:val="16"/>
      <w:szCs w:val="16"/>
    </w:rPr>
  </w:style>
  <w:style w:type="paragraph" w:styleId="NormalWeb">
    <w:name w:val="Normal (Web)"/>
    <w:basedOn w:val="Normal"/>
    <w:uiPriority w:val="99"/>
    <w:unhideWhenUsed/>
    <w:rsid w:val="009E6D15"/>
    <w:pPr>
      <w:spacing w:before="100" w:beforeAutospacing="1" w:after="100" w:afterAutospacing="1" w:line="240" w:lineRule="auto"/>
      <w:jc w:val="left"/>
    </w:pPr>
    <w:rPr>
      <w:rFonts w:ascii="Times New Roman" w:hAnsi="Times New Roman"/>
      <w:sz w:val="24"/>
      <w:szCs w:val="24"/>
    </w:rPr>
  </w:style>
  <w:style w:type="paragraph" w:customStyle="1" w:styleId="SecurityClassificationHeader">
    <w:name w:val="Security Classification Header"/>
    <w:link w:val="SecurityClassificationHeaderChar"/>
    <w:rsid w:val="00706FDB"/>
    <w:pPr>
      <w:spacing w:before="240" w:after="60"/>
      <w:jc w:val="center"/>
    </w:pPr>
    <w:rPr>
      <w:rFonts w:ascii="Calibri" w:hAnsi="Calibri"/>
      <w:b/>
      <w:caps/>
      <w:color w:val="000080"/>
      <w:sz w:val="24"/>
      <w:szCs w:val="22"/>
    </w:rPr>
  </w:style>
  <w:style w:type="character" w:customStyle="1" w:styleId="HeadingBaseChar">
    <w:name w:val="Heading Base Char"/>
    <w:basedOn w:val="DefaultParagraphFont"/>
    <w:link w:val="HeadingBase"/>
    <w:rsid w:val="00706FDB"/>
    <w:rPr>
      <w:rFonts w:ascii="Calibri" w:hAnsi="Calibri"/>
      <w:color w:val="000080"/>
      <w:sz w:val="22"/>
      <w:szCs w:val="22"/>
    </w:rPr>
  </w:style>
  <w:style w:type="character" w:customStyle="1" w:styleId="HeaderChar">
    <w:name w:val="Header Char"/>
    <w:basedOn w:val="HeadingBaseChar"/>
    <w:link w:val="Header"/>
    <w:rsid w:val="00706FDB"/>
    <w:rPr>
      <w:rFonts w:ascii="Calibri" w:hAnsi="Calibri"/>
      <w:color w:val="000080"/>
      <w:sz w:val="18"/>
      <w:szCs w:val="22"/>
    </w:rPr>
  </w:style>
  <w:style w:type="character" w:customStyle="1" w:styleId="SecurityClassificationHeaderChar">
    <w:name w:val="Security Classification Header Char"/>
    <w:basedOn w:val="HeaderChar"/>
    <w:link w:val="SecurityClassificationHeader"/>
    <w:rsid w:val="00706FDB"/>
    <w:rPr>
      <w:rFonts w:ascii="Calibri" w:hAnsi="Calibri"/>
      <w:b/>
      <w:caps/>
      <w:color w:val="000080"/>
      <w:sz w:val="24"/>
      <w:szCs w:val="22"/>
    </w:rPr>
  </w:style>
  <w:style w:type="paragraph" w:customStyle="1" w:styleId="SecurityClassificationFooter">
    <w:name w:val="Security Classification Footer"/>
    <w:link w:val="SecurityClassificationFooterChar"/>
    <w:rsid w:val="00706FDB"/>
    <w:pPr>
      <w:spacing w:before="60" w:after="240"/>
      <w:jc w:val="center"/>
    </w:pPr>
    <w:rPr>
      <w:rFonts w:ascii="Calibri" w:hAnsi="Calibri"/>
      <w:b/>
      <w:caps/>
      <w:color w:val="000080"/>
      <w:sz w:val="24"/>
      <w:szCs w:val="22"/>
    </w:rPr>
  </w:style>
  <w:style w:type="character" w:customStyle="1" w:styleId="SecurityClassificationFooterChar">
    <w:name w:val="Security Classification Footer Char"/>
    <w:basedOn w:val="HeaderChar"/>
    <w:link w:val="SecurityClassificationFooter"/>
    <w:rsid w:val="00706FDB"/>
    <w:rPr>
      <w:rFonts w:ascii="Calibri" w:hAnsi="Calibri"/>
      <w:b/>
      <w:caps/>
      <w:color w:val="000080"/>
      <w:sz w:val="24"/>
      <w:szCs w:val="22"/>
    </w:rPr>
  </w:style>
  <w:style w:type="paragraph" w:customStyle="1" w:styleId="DLMSecurityHeader">
    <w:name w:val="DLM Security Header"/>
    <w:link w:val="DLMSecurityHeaderChar"/>
    <w:rsid w:val="00706FDB"/>
    <w:pPr>
      <w:spacing w:before="60" w:after="240"/>
      <w:jc w:val="center"/>
    </w:pPr>
    <w:rPr>
      <w:rFonts w:ascii="Calibri" w:hAnsi="Calibri"/>
      <w:b/>
      <w:caps/>
      <w:color w:val="000080"/>
      <w:sz w:val="24"/>
      <w:szCs w:val="22"/>
    </w:rPr>
  </w:style>
  <w:style w:type="character" w:customStyle="1" w:styleId="DLMSecurityHeaderChar">
    <w:name w:val="DLM Security Header Char"/>
    <w:basedOn w:val="HeaderChar"/>
    <w:link w:val="DLMSecurityHeader"/>
    <w:rsid w:val="00706FDB"/>
    <w:rPr>
      <w:rFonts w:ascii="Calibri" w:hAnsi="Calibri"/>
      <w:b/>
      <w:caps/>
      <w:color w:val="000080"/>
      <w:sz w:val="24"/>
      <w:szCs w:val="22"/>
    </w:rPr>
  </w:style>
  <w:style w:type="paragraph" w:customStyle="1" w:styleId="DLMSecurityFooter">
    <w:name w:val="DLM Security Footer"/>
    <w:link w:val="DLMSecurityFooterChar"/>
    <w:rsid w:val="00706FDB"/>
    <w:pPr>
      <w:spacing w:before="240" w:after="60"/>
      <w:jc w:val="center"/>
    </w:pPr>
    <w:rPr>
      <w:rFonts w:ascii="Calibri" w:hAnsi="Calibri"/>
      <w:b/>
      <w:caps/>
      <w:color w:val="000080"/>
      <w:sz w:val="24"/>
      <w:szCs w:val="22"/>
    </w:rPr>
  </w:style>
  <w:style w:type="character" w:customStyle="1" w:styleId="DLMSecurityFooterChar">
    <w:name w:val="DLM Security Footer Char"/>
    <w:basedOn w:val="HeaderChar"/>
    <w:link w:val="DLMSecurityFooter"/>
    <w:rsid w:val="00706FDB"/>
    <w:rPr>
      <w:rFonts w:ascii="Calibri" w:hAnsi="Calibri"/>
      <w:b/>
      <w:caps/>
      <w:color w:val="000080"/>
      <w:sz w:val="24"/>
      <w:szCs w:val="22"/>
    </w:rPr>
  </w:style>
  <w:style w:type="table" w:styleId="TableColumns3">
    <w:name w:val="Table Columns 3"/>
    <w:basedOn w:val="TableNormal"/>
    <w:rsid w:val="007913A3"/>
    <w:pPr>
      <w:keepLines/>
      <w:spacing w:after="240" w:line="300" w:lineRule="exac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rPr>
        <w:tblHeader/>
      </w:trPr>
      <w:tcPr>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NoSpacing">
    <w:name w:val="No Spacing"/>
    <w:uiPriority w:val="1"/>
    <w:qFormat/>
    <w:rsid w:val="00D93F8D"/>
    <w:pPr>
      <w:jc w:val="both"/>
    </w:pPr>
    <w:rPr>
      <w:rFonts w:ascii="Book Antiqua" w:hAnsi="Book Antiqua"/>
      <w:color w:val="000000"/>
      <w:sz w:val="22"/>
      <w:szCs w:val="22"/>
    </w:rPr>
  </w:style>
  <w:style w:type="paragraph" w:styleId="Revision">
    <w:name w:val="Revision"/>
    <w:hidden/>
    <w:uiPriority w:val="99"/>
    <w:semiHidden/>
    <w:rsid w:val="00EB42E8"/>
    <w:rPr>
      <w:rFonts w:ascii="Book Antiqua" w:hAnsi="Book Antiqua"/>
      <w:color w:val="000000"/>
      <w:sz w:val="22"/>
      <w:szCs w:val="22"/>
    </w:rPr>
  </w:style>
  <w:style w:type="paragraph" w:customStyle="1" w:styleId="PreChapterHeading">
    <w:name w:val="PreChapterHeading"/>
    <w:basedOn w:val="HeadingBase"/>
    <w:next w:val="Normal"/>
    <w:rsid w:val="00EE5282"/>
    <w:pPr>
      <w:pageBreakBefore/>
      <w:pBdr>
        <w:bottom w:val="single" w:sz="2" w:space="1" w:color="000080"/>
      </w:pBdr>
      <w:spacing w:before="720" w:after="800"/>
    </w:pPr>
    <w:rPr>
      <w:smallCaps/>
      <w:sz w:val="56"/>
      <w:szCs w:val="38"/>
    </w:rPr>
  </w:style>
  <w:style w:type="table" w:styleId="TableGrid">
    <w:name w:val="Table Grid"/>
    <w:basedOn w:val="TableNormal"/>
    <w:rsid w:val="00EE528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yPointsHeading">
    <w:name w:val="Key Points Heading"/>
    <w:basedOn w:val="BoxHeading"/>
    <w:qFormat/>
    <w:rsid w:val="00EE5282"/>
    <w:rPr>
      <w:color w:val="404040"/>
    </w:rPr>
  </w:style>
  <w:style w:type="paragraph" w:customStyle="1" w:styleId="NewNumberedParagraph">
    <w:name w:val="New Numbered Paragraph"/>
    <w:basedOn w:val="Bullet"/>
    <w:qFormat/>
    <w:rsid w:val="00EE5282"/>
    <w:pPr>
      <w:numPr>
        <w:ilvl w:val="1"/>
        <w:numId w:val="48"/>
      </w:numPr>
      <w:outlineLvl w:val="1"/>
    </w:pPr>
  </w:style>
  <w:style w:type="paragraph" w:customStyle="1" w:styleId="NewNumberedParagraph2">
    <w:name w:val="New Numbered Paragraph 2"/>
    <w:basedOn w:val="Dash"/>
    <w:qFormat/>
    <w:rsid w:val="00EE5282"/>
    <w:pPr>
      <w:numPr>
        <w:ilvl w:val="2"/>
        <w:numId w:val="48"/>
      </w:numPr>
      <w:tabs>
        <w:tab w:val="clear" w:pos="1418"/>
        <w:tab w:val="left" w:pos="1134"/>
      </w:tabs>
      <w:ind w:left="1134" w:hanging="567"/>
    </w:pPr>
  </w:style>
  <w:style w:type="paragraph" w:customStyle="1" w:styleId="NewNumberedParagraph3">
    <w:name w:val="New Numbered Paragraph 3"/>
    <w:basedOn w:val="DoubleDot"/>
    <w:qFormat/>
    <w:rsid w:val="00EE5282"/>
    <w:pPr>
      <w:numPr>
        <w:ilvl w:val="3"/>
        <w:numId w:val="48"/>
      </w:numPr>
      <w:tabs>
        <w:tab w:val="clear" w:pos="2552"/>
        <w:tab w:val="left" w:pos="1701"/>
      </w:tabs>
      <w:ind w:left="1701" w:hanging="567"/>
    </w:pPr>
  </w:style>
  <w:style w:type="paragraph" w:customStyle="1" w:styleId="NewNumberedParagraph4">
    <w:name w:val="New Numbered Paragraph 4"/>
    <w:basedOn w:val="Normal"/>
    <w:qFormat/>
    <w:rsid w:val="00EE5282"/>
    <w:pPr>
      <w:numPr>
        <w:ilvl w:val="4"/>
        <w:numId w:val="48"/>
      </w:numPr>
      <w:tabs>
        <w:tab w:val="left" w:pos="2268"/>
      </w:tabs>
      <w:ind w:left="2268" w:hanging="567"/>
    </w:pPr>
  </w:style>
  <w:style w:type="paragraph" w:customStyle="1" w:styleId="NewNumberedParagraph5">
    <w:name w:val="New Numbered Paragraph 5"/>
    <w:basedOn w:val="Normal"/>
    <w:qFormat/>
    <w:rsid w:val="00EE5282"/>
    <w:pPr>
      <w:numPr>
        <w:ilvl w:val="5"/>
        <w:numId w:val="48"/>
      </w:numPr>
      <w:tabs>
        <w:tab w:val="left" w:pos="2835"/>
      </w:tabs>
      <w:ind w:left="2835" w:hanging="567"/>
    </w:pPr>
  </w:style>
  <w:style w:type="table" w:customStyle="1" w:styleId="Headingsonfirstcolumnandrow">
    <w:name w:val="Headings on first column and row"/>
    <w:basedOn w:val="TableNormal"/>
    <w:uiPriority w:val="99"/>
    <w:rsid w:val="00EE5282"/>
    <w:rPr>
      <w:rFonts w:asciiTheme="minorHAnsi" w:hAnsiTheme="minorHAnsi"/>
      <w:sz w:val="22"/>
      <w:szCs w:val="22"/>
    </w:rPr>
    <w:tblPr>
      <w:tblBorders>
        <w:top w:val="single" w:sz="4" w:space="0" w:color="3F6294"/>
        <w:left w:val="single" w:sz="4" w:space="0" w:color="3F6294"/>
        <w:bottom w:val="single" w:sz="4" w:space="0" w:color="3F6294"/>
        <w:right w:val="single" w:sz="4" w:space="0" w:color="3F6294"/>
      </w:tblBorders>
    </w:tblPr>
    <w:tcPr>
      <w:shd w:val="clear" w:color="auto" w:fill="C2DAEB"/>
    </w:tcPr>
    <w:tblStylePr w:type="firstRow">
      <w:rPr>
        <w:rFonts w:ascii="Arial" w:hAnsi="Arial"/>
        <w:color w:val="FFFFFF" w:themeColor="background1"/>
        <w:sz w:val="22"/>
      </w:rPr>
      <w:tblPr/>
      <w:tcPr>
        <w:shd w:val="clear" w:color="auto" w:fill="3F6294"/>
      </w:tcPr>
    </w:tblStylePr>
    <w:tblStylePr w:type="firstCol">
      <w:rPr>
        <w:rFonts w:ascii="Arial" w:hAnsi="Arial"/>
        <w:color w:val="FFFFFF" w:themeColor="background1"/>
        <w:sz w:val="22"/>
      </w:rPr>
      <w:tblPr/>
      <w:tcPr>
        <w:shd w:val="clear" w:color="auto" w:fill="3F6294"/>
      </w:tcPr>
    </w:tblStylePr>
  </w:style>
  <w:style w:type="table" w:customStyle="1" w:styleId="HeadingsAboveOnly">
    <w:name w:val="Headings Above Only"/>
    <w:basedOn w:val="TableNormal"/>
    <w:uiPriority w:val="99"/>
    <w:rsid w:val="00EE5282"/>
    <w:rPr>
      <w:rFonts w:asciiTheme="minorHAnsi" w:hAnsiTheme="minorHAnsi"/>
      <w:sz w:val="22"/>
      <w:szCs w:val="22"/>
    </w:rPr>
    <w:tblPr>
      <w:tblBorders>
        <w:top w:val="single" w:sz="4" w:space="0" w:color="3F6294"/>
        <w:left w:val="single" w:sz="4" w:space="0" w:color="3F6294"/>
        <w:bottom w:val="single" w:sz="4" w:space="0" w:color="3F6294"/>
        <w:right w:val="single" w:sz="4" w:space="0" w:color="3F6294"/>
      </w:tblBorders>
    </w:tblPr>
    <w:tcPr>
      <w:shd w:val="clear" w:color="auto" w:fill="C2DAEB"/>
    </w:tcPr>
    <w:tblStylePr w:type="firstRow">
      <w:rPr>
        <w:rFonts w:ascii="Arial" w:hAnsi="Arial"/>
        <w:color w:val="FFFFFF" w:themeColor="background1"/>
        <w:sz w:val="22"/>
      </w:rPr>
      <w:tblPr/>
      <w:tcPr>
        <w:shd w:val="clear" w:color="auto" w:fill="3F6294"/>
      </w:tcPr>
    </w:tblStylePr>
  </w:style>
  <w:style w:type="paragraph" w:styleId="ListParagraph">
    <w:name w:val="List Paragraph"/>
    <w:basedOn w:val="Normal"/>
    <w:uiPriority w:val="34"/>
    <w:qFormat/>
    <w:rsid w:val="00EE5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5520">
      <w:bodyDiv w:val="1"/>
      <w:marLeft w:val="0"/>
      <w:marRight w:val="0"/>
      <w:marTop w:val="0"/>
      <w:marBottom w:val="0"/>
      <w:divBdr>
        <w:top w:val="none" w:sz="0" w:space="0" w:color="auto"/>
        <w:left w:val="none" w:sz="0" w:space="0" w:color="auto"/>
        <w:bottom w:val="none" w:sz="0" w:space="0" w:color="auto"/>
        <w:right w:val="none" w:sz="0" w:space="0" w:color="auto"/>
      </w:divBdr>
    </w:div>
    <w:div w:id="346947675">
      <w:bodyDiv w:val="1"/>
      <w:marLeft w:val="0"/>
      <w:marRight w:val="0"/>
      <w:marTop w:val="0"/>
      <w:marBottom w:val="0"/>
      <w:divBdr>
        <w:top w:val="none" w:sz="0" w:space="0" w:color="auto"/>
        <w:left w:val="none" w:sz="0" w:space="0" w:color="auto"/>
        <w:bottom w:val="none" w:sz="0" w:space="0" w:color="auto"/>
        <w:right w:val="none" w:sz="0" w:space="0" w:color="auto"/>
      </w:divBdr>
    </w:div>
    <w:div w:id="927929225">
      <w:bodyDiv w:val="1"/>
      <w:marLeft w:val="0"/>
      <w:marRight w:val="0"/>
      <w:marTop w:val="0"/>
      <w:marBottom w:val="0"/>
      <w:divBdr>
        <w:top w:val="none" w:sz="0" w:space="0" w:color="auto"/>
        <w:left w:val="none" w:sz="0" w:space="0" w:color="auto"/>
        <w:bottom w:val="none" w:sz="0" w:space="0" w:color="auto"/>
        <w:right w:val="none" w:sz="0" w:space="0" w:color="auto"/>
      </w:divBdr>
    </w:div>
    <w:div w:id="953054693">
      <w:bodyDiv w:val="1"/>
      <w:marLeft w:val="0"/>
      <w:marRight w:val="0"/>
      <w:marTop w:val="0"/>
      <w:marBottom w:val="0"/>
      <w:divBdr>
        <w:top w:val="none" w:sz="0" w:space="0" w:color="auto"/>
        <w:left w:val="none" w:sz="0" w:space="0" w:color="auto"/>
        <w:bottom w:val="none" w:sz="0" w:space="0" w:color="auto"/>
        <w:right w:val="none" w:sz="0" w:space="0" w:color="auto"/>
      </w:divBdr>
    </w:div>
    <w:div w:id="158761876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4.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creativecommons.org/licenses/by/3.0/au/legalcode" TargetMode="External"/><Relationship Id="rId34" Type="http://schemas.openxmlformats.org/officeDocument/2006/relationships/footer" Target="footer7.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header" Target="header7.xml"/><Relationship Id="rId38"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creativecommons.org/licenses/by/3.0/au/deed.en"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pmc.gov.au/government/commonwealth-coat-arms" TargetMode="External"/><Relationship Id="rId32" Type="http://schemas.openxmlformats.org/officeDocument/2006/relationships/header" Target="header6.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creativecommons.org/licenses/by/3.0/au/deed.en" TargetMode="External"/><Relationship Id="rId28" Type="http://schemas.openxmlformats.org/officeDocument/2006/relationships/footer" Target="footer5.xml"/><Relationship Id="rId36" Type="http://schemas.openxmlformats.org/officeDocument/2006/relationships/header" Target="header8.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mailto:medialiaison@treasury.gov.a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 Id="rId22" Type="http://schemas.openxmlformats.org/officeDocument/2006/relationships/image" Target="media/image2.wmf"/><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oter" Target="footer8.xml"/></Relationships>
</file>

<file path=word/_rels/footnotes.xml.rels><?xml version="1.0" encoding="UTF-8" standalone="yes"?>
<Relationships xmlns="http://schemas.openxmlformats.org/package/2006/relationships"><Relationship Id="rId2" Type="http://schemas.openxmlformats.org/officeDocument/2006/relationships/hyperlink" Target="http://rbt.treasury.gov.au/publications/paper4/download/Section4.pdf" TargetMode="External"/><Relationship Id="rId1" Type="http://schemas.openxmlformats.org/officeDocument/2006/relationships/hyperlink" Target="http://rbt.treasury.gov.au/publications/paper3/download/Ch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ax%20Board\Board%20of%20Taxation%20Repor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GRA26-21135 - Retain as national archives</TermName>
          <TermId xmlns="http://schemas.microsoft.com/office/infopath/2007/PartnerControls">f1e1d764-3604-4ca6-bc54-6b106e291d6f</TermId>
        </TermInfo>
      </Terms>
    </lb508a4dc5e84436a0fe496b536466aa>
    <IconOverlay xmlns="http://schemas.microsoft.com/sharepoint/v4" xsi:nil="true"/>
    <TaxCatchAll xmlns="0f563589-9cf9-4143-b1eb-fb0534803d38">
      <Value>18</Value>
    </TaxCatchAll>
    <_dlc_DocId xmlns="0f563589-9cf9-4143-b1eb-fb0534803d38">2018RG-355-5035</_dlc_DocId>
    <_dlc_DocIdUrl xmlns="0f563589-9cf9-4143-b1eb-fb0534803d38">
      <Url>http://tweb/sites/rg/bots/projects/_layouts/15/DocIdRedir.aspx?ID=2018RG-355-5035</Url>
      <Description>2018RG-355-5035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7F2E04CA2AAA104DB2D93AC73B6CBA42" ma:contentTypeVersion="14865" ma:contentTypeDescription="" ma:contentTypeScope="" ma:versionID="47b7b1a5ff459396844f5c0326deb2a1">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e929a2910a307a6ca8346e0528784012"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8;#GRA26-21135 - Retain as national archives|f1e1d764-3604-4ca6-bc54-6b106e291d6f"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056DD-0DE4-4E85-B77C-7A85006754C7}">
  <ds:schemaRefs>
    <ds:schemaRef ds:uri="http://schemas.microsoft.com/sharepoint/v3/contenttype/forms"/>
  </ds:schemaRefs>
</ds:datastoreItem>
</file>

<file path=customXml/itemProps2.xml><?xml version="1.0" encoding="utf-8"?>
<ds:datastoreItem xmlns:ds="http://schemas.openxmlformats.org/officeDocument/2006/customXml" ds:itemID="{0B0D4E70-AFF8-44FE-B7E1-6A92B795F982}">
  <ds:schemaRefs>
    <ds:schemaRef ds:uri="http://schemas.microsoft.com/sharepoint/events"/>
  </ds:schemaRefs>
</ds:datastoreItem>
</file>

<file path=customXml/itemProps3.xml><?xml version="1.0" encoding="utf-8"?>
<ds:datastoreItem xmlns:ds="http://schemas.openxmlformats.org/officeDocument/2006/customXml" ds:itemID="{F77DD312-A861-406C-80DF-F34FEE09C8F3}">
  <ds:schemaRefs>
    <ds:schemaRef ds:uri="office.server.policy"/>
  </ds:schemaRefs>
</ds:datastoreItem>
</file>

<file path=customXml/itemProps4.xml><?xml version="1.0" encoding="utf-8"?>
<ds:datastoreItem xmlns:ds="http://schemas.openxmlformats.org/officeDocument/2006/customXml" ds:itemID="{4CC2BF3C-D83E-4DDA-89F6-D3D299C79EC1}">
  <ds:schemaRefs>
    <ds:schemaRef ds:uri="http://schemas.microsoft.com/office/infopath/2007/PartnerControls"/>
    <ds:schemaRef ds:uri="http://schemas.microsoft.com/office/2006/documentManagement/types"/>
    <ds:schemaRef ds:uri="9f7bc583-7cbe-45b9-a2bd-8bbb6543b37e"/>
    <ds:schemaRef ds:uri="http://www.w3.org/XML/1998/namespace"/>
    <ds:schemaRef ds:uri="http://purl.org/dc/dcmitype/"/>
    <ds:schemaRef ds:uri="http://schemas.microsoft.com/office/2006/metadata/properties"/>
    <ds:schemaRef ds:uri="http://purl.org/dc/elements/1.1/"/>
    <ds:schemaRef ds:uri="http://schemas.openxmlformats.org/package/2006/metadata/core-properties"/>
    <ds:schemaRef ds:uri="http://purl.org/dc/terms/"/>
    <ds:schemaRef ds:uri="http://schemas.microsoft.com/sharepoint/v4"/>
    <ds:schemaRef ds:uri="http://schemas.microsoft.com/sharepoint/v3"/>
  </ds:schemaRefs>
</ds:datastoreItem>
</file>

<file path=customXml/itemProps5.xml><?xml version="1.0" encoding="utf-8"?>
<ds:datastoreItem xmlns:ds="http://schemas.openxmlformats.org/officeDocument/2006/customXml" ds:itemID="{CF0BA1E2-D045-4446-B10F-AAF814D875C8}"/>
</file>

<file path=customXml/itemProps6.xml><?xml version="1.0" encoding="utf-8"?>
<ds:datastoreItem xmlns:ds="http://schemas.openxmlformats.org/officeDocument/2006/customXml" ds:itemID="{39A1E0FB-D18D-49C3-876C-6AC3585CD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of Taxation Reports.dotm</Template>
  <TotalTime>16</TotalTime>
  <Pages>17</Pages>
  <Words>4048</Words>
  <Characters>22886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The Treasury</Company>
  <LinksUpToDate>false</LinksUpToDate>
  <CharactersWithSpaces>26881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Gontmakher, Boris</dc:creator>
  <cp:lastModifiedBy>Atfield, Michael</cp:lastModifiedBy>
  <cp:revision>7</cp:revision>
  <cp:lastPrinted>2018-07-26T06:00:00Z</cp:lastPrinted>
  <dcterms:created xsi:type="dcterms:W3CDTF">2018-07-26T04:07:00Z</dcterms:created>
  <dcterms:modified xsi:type="dcterms:W3CDTF">2018-07-26T06:01:00Z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0x01010036BB8DE7EC542E42A8B2E98CC20CB697007F2E04CA2AAA104DB2D93AC73B6CBA42</vt:lpwstr>
  </property>
  <property fmtid="{D5CDD505-2E9C-101B-9397-08002B2CF9AE}" pid="3" name="TSYRecordClass">
    <vt:lpwstr>18;#GRA26-21135 - Retain as national archives|f1e1d764-3604-4ca6-bc54-6b106e291d6f</vt:lpwstr>
  </property>
  <property fmtid="{D5CDD505-2E9C-101B-9397-08002B2CF9AE}" pid="4" name="_dlc_DocIdItemGuid">
    <vt:lpwstr>1e442e1b-9bac-489e-ab88-f1a526223200</vt:lpwstr>
  </property>
  <property fmtid="{D5CDD505-2E9C-101B-9397-08002B2CF9AE}" pid="5" name="WorkingDocStatus">
    <vt:lpwstr/>
  </property>
  <property fmtid="{D5CDD505-2E9C-101B-9397-08002B2CF9AE}" pid="6" name="_NewReviewCycle">
    <vt:lpwstr/>
  </property>
  <property fmtid="{D5CDD505-2E9C-101B-9397-08002B2CF9AE}" pid="7" name="_AdHocReviewCycleID">
    <vt:i4>980298474</vt:i4>
  </property>
  <property fmtid="{D5CDD505-2E9C-101B-9397-08002B2CF9AE}" pid="8" name="_EmailSubject">
    <vt:lpwstr>Request for new web page - Exploring the potential to align accounting and tax systems in Australia #335685 [SEC=UNCLASSIFIED]</vt:lpwstr>
  </property>
  <property fmtid="{D5CDD505-2E9C-101B-9397-08002B2CF9AE}" pid="9" name="_AuthorEmail">
    <vt:lpwstr>Paul.Atkinson@TREASURY.GOV.AU</vt:lpwstr>
  </property>
  <property fmtid="{D5CDD505-2E9C-101B-9397-08002B2CF9AE}" pid="10" name="_AuthorEmailDisplayName">
    <vt:lpwstr>Atkinson, Paul</vt:lpwstr>
  </property>
</Properties>
</file>