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D31FCC" w14:textId="77777777" w:rsidR="00E806E0" w:rsidRDefault="00E806E0" w:rsidP="00E806E0">
      <w:pPr>
        <w:spacing w:after="2040" w:line="240" w:lineRule="auto"/>
        <w:jc w:val="center"/>
      </w:pPr>
      <w:bookmarkStart w:id="0" w:name="_GoBack"/>
      <w:bookmarkEnd w:id="0"/>
      <w:r w:rsidRPr="00E83F26">
        <w:rPr>
          <w:b/>
          <w:caps/>
          <w:noProof/>
        </w:rPr>
        <w:drawing>
          <wp:anchor distT="0" distB="0" distL="114300" distR="114300" simplePos="0" relativeHeight="251658240" behindDoc="1" locked="0" layoutInCell="1" allowOverlap="1" wp14:anchorId="6559675C" wp14:editId="31DF335A">
            <wp:simplePos x="1076325" y="1076325"/>
            <wp:positionH relativeFrom="page">
              <wp:align>center</wp:align>
            </wp:positionH>
            <wp:positionV relativeFrom="page">
              <wp:align>top</wp:align>
            </wp:positionV>
            <wp:extent cx="7558767" cy="10691999"/>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 Cover_headings.jpg"/>
                    <pic:cNvPicPr/>
                  </pic:nvPicPr>
                  <pic:blipFill>
                    <a:blip r:embed="rId14">
                      <a:extLst>
                        <a:ext uri="{28A0092B-C50C-407E-A947-70E740481C1C}">
                          <a14:useLocalDpi xmlns:a14="http://schemas.microsoft.com/office/drawing/2010/main" val="0"/>
                        </a:ext>
                      </a:extLst>
                    </a:blip>
                    <a:stretch>
                      <a:fillRect/>
                    </a:stretch>
                  </pic:blipFill>
                  <pic:spPr>
                    <a:xfrm>
                      <a:off x="0" y="0"/>
                      <a:ext cx="7558767" cy="10691999"/>
                    </a:xfrm>
                    <a:prstGeom prst="rect">
                      <a:avLst/>
                    </a:prstGeom>
                  </pic:spPr>
                </pic:pic>
              </a:graphicData>
            </a:graphic>
            <wp14:sizeRelH relativeFrom="margin">
              <wp14:pctWidth>0</wp14:pctWidth>
            </wp14:sizeRelH>
            <wp14:sizeRelV relativeFrom="margin">
              <wp14:pctHeight>0</wp14:pctHeight>
            </wp14:sizeRelV>
          </wp:anchor>
        </w:drawing>
      </w:r>
    </w:p>
    <w:p w14:paraId="6B779F23" w14:textId="4AFC42C9" w:rsidR="00E806E0" w:rsidRPr="00622D85" w:rsidRDefault="00E806E0" w:rsidP="00E806E0">
      <w:pPr>
        <w:pStyle w:val="Title"/>
      </w:pPr>
      <w:r w:rsidRPr="00E806E0">
        <w:t>EXPLORING THE POTENTIAL TO ALIGN ACCOUNTING AND TAX SYSTEMS IN AUSTRALIA</w:t>
      </w:r>
    </w:p>
    <w:p w14:paraId="5547A8D9" w14:textId="77777777" w:rsidR="00E806E0" w:rsidRDefault="00E806E0" w:rsidP="00E806E0">
      <w:pPr>
        <w:spacing w:line="240" w:lineRule="auto"/>
        <w:jc w:val="center"/>
        <w:rPr>
          <w:i/>
          <w:color w:val="FFFFFF" w:themeColor="background1"/>
          <w:sz w:val="44"/>
        </w:rPr>
      </w:pPr>
    </w:p>
    <w:p w14:paraId="392565C6" w14:textId="77777777" w:rsidR="00E806E0" w:rsidRDefault="00E806E0" w:rsidP="00E806E0">
      <w:pPr>
        <w:spacing w:line="240" w:lineRule="auto"/>
        <w:jc w:val="center"/>
        <w:rPr>
          <w:i/>
          <w:color w:val="FFFFFF" w:themeColor="background1"/>
          <w:sz w:val="44"/>
        </w:rPr>
      </w:pPr>
    </w:p>
    <w:p w14:paraId="6ABE27B5" w14:textId="77777777" w:rsidR="00E806E0" w:rsidRDefault="00E806E0" w:rsidP="00E806E0">
      <w:pPr>
        <w:spacing w:line="240" w:lineRule="auto"/>
        <w:jc w:val="center"/>
        <w:rPr>
          <w:i/>
          <w:color w:val="FFFFFF" w:themeColor="background1"/>
          <w:sz w:val="44"/>
        </w:rPr>
      </w:pPr>
    </w:p>
    <w:p w14:paraId="1C062F3C" w14:textId="77777777" w:rsidR="00E806E0" w:rsidRDefault="00E806E0" w:rsidP="00E806E0">
      <w:pPr>
        <w:spacing w:line="240" w:lineRule="auto"/>
        <w:jc w:val="center"/>
        <w:rPr>
          <w:i/>
          <w:color w:val="FFFFFF" w:themeColor="background1"/>
          <w:sz w:val="44"/>
        </w:rPr>
      </w:pPr>
    </w:p>
    <w:p w14:paraId="344EDA87" w14:textId="77777777" w:rsidR="00E806E0" w:rsidRDefault="00E806E0" w:rsidP="00E806E0">
      <w:pPr>
        <w:spacing w:line="240" w:lineRule="auto"/>
        <w:jc w:val="center"/>
        <w:rPr>
          <w:i/>
          <w:color w:val="FFFFFF" w:themeColor="background1"/>
          <w:sz w:val="44"/>
        </w:rPr>
      </w:pPr>
    </w:p>
    <w:p w14:paraId="50223CB1" w14:textId="77777777" w:rsidR="00E806E0" w:rsidRDefault="00E806E0" w:rsidP="00E806E0">
      <w:pPr>
        <w:spacing w:line="240" w:lineRule="auto"/>
        <w:jc w:val="center"/>
        <w:rPr>
          <w:i/>
          <w:color w:val="FFFFFF" w:themeColor="background1"/>
          <w:sz w:val="44"/>
        </w:rPr>
      </w:pPr>
    </w:p>
    <w:p w14:paraId="6B4EABF8" w14:textId="442829D4" w:rsidR="00E806E0" w:rsidRPr="00E806E0" w:rsidRDefault="00E806E0" w:rsidP="00E806E0">
      <w:pPr>
        <w:spacing w:line="240" w:lineRule="auto"/>
        <w:jc w:val="center"/>
        <w:rPr>
          <w:i/>
          <w:color w:val="FFFFFF" w:themeColor="background1"/>
          <w:sz w:val="44"/>
        </w:rPr>
      </w:pPr>
      <w:r w:rsidRPr="00E806E0">
        <w:rPr>
          <w:i/>
          <w:color w:val="FFFFFF" w:themeColor="background1"/>
          <w:sz w:val="44"/>
        </w:rPr>
        <w:t>Preliminary report by the Board of Taxation</w:t>
      </w:r>
    </w:p>
    <w:p w14:paraId="4C7F2F5C" w14:textId="77777777" w:rsidR="00E806E0" w:rsidRDefault="00E806E0" w:rsidP="00E806E0">
      <w:pPr>
        <w:spacing w:line="240" w:lineRule="auto"/>
        <w:jc w:val="center"/>
        <w:rPr>
          <w:color w:val="FFFFFF" w:themeColor="background1"/>
          <w:sz w:val="56"/>
        </w:rPr>
      </w:pPr>
    </w:p>
    <w:p w14:paraId="753A09CF" w14:textId="77777777" w:rsidR="00E806E0" w:rsidRDefault="00E806E0" w:rsidP="00E806E0">
      <w:pPr>
        <w:spacing w:line="240" w:lineRule="auto"/>
        <w:jc w:val="center"/>
        <w:rPr>
          <w:color w:val="FFFFFF" w:themeColor="background1"/>
          <w:sz w:val="56"/>
        </w:rPr>
      </w:pPr>
      <w:r>
        <w:rPr>
          <w:color w:val="FFFFFF" w:themeColor="background1"/>
          <w:sz w:val="56"/>
        </w:rPr>
        <w:t>July 2018</w:t>
      </w:r>
    </w:p>
    <w:p w14:paraId="4E97436F" w14:textId="77777777" w:rsidR="00E806E0" w:rsidRDefault="00E806E0" w:rsidP="00E806E0">
      <w:pPr>
        <w:spacing w:line="240" w:lineRule="auto"/>
        <w:jc w:val="center"/>
        <w:sectPr w:rsidR="00E806E0" w:rsidSect="00894823">
          <w:headerReference w:type="even" r:id="rId15"/>
          <w:headerReference w:type="default" r:id="rId16"/>
          <w:footerReference w:type="even" r:id="rId17"/>
          <w:footerReference w:type="default" r:id="rId18"/>
          <w:footerReference w:type="first" r:id="rId19"/>
          <w:pgSz w:w="11909" w:h="16834" w:code="9"/>
          <w:pgMar w:top="1701" w:right="1701" w:bottom="1701" w:left="1701" w:header="851" w:footer="851" w:gutter="0"/>
          <w:cols w:space="708"/>
          <w:titlePg/>
          <w:docGrid w:linePitch="360"/>
        </w:sectPr>
      </w:pPr>
    </w:p>
    <w:p w14:paraId="1C02CF1F" w14:textId="11A1ABA1" w:rsidR="00E806E0" w:rsidRDefault="00E806E0" w:rsidP="00E806E0">
      <w:r w:rsidRPr="00661BF0">
        <w:lastRenderedPageBreak/>
        <w:t xml:space="preserve">© Commonwealth of Australia </w:t>
      </w:r>
      <w:r w:rsidR="00916E0E" w:rsidRPr="00916E0E">
        <w:t>2018</w:t>
      </w:r>
    </w:p>
    <w:p w14:paraId="32D08AEA" w14:textId="1D8E7CA2" w:rsidR="00E806E0" w:rsidRPr="00086F82" w:rsidRDefault="00E806E0" w:rsidP="00E806E0">
      <w:pPr>
        <w:rPr>
          <w:rFonts w:cstheme="minorBidi"/>
          <w:sz w:val="24"/>
          <w:szCs w:val="24"/>
        </w:rPr>
      </w:pPr>
      <w:r w:rsidRPr="002F1BC2">
        <w:t>This publication is available for your use under a</w:t>
      </w:r>
      <w:r w:rsidRPr="00476F09">
        <w:rPr>
          <w:rFonts w:cstheme="minorHAnsi"/>
          <w:sz w:val="24"/>
          <w:szCs w:val="24"/>
        </w:rPr>
        <w:t xml:space="preserve"> </w:t>
      </w:r>
      <w:hyperlink r:id="rId20" w:history="1">
        <w:r w:rsidRPr="006627B4">
          <w:rPr>
            <w:rStyle w:val="Hyperlink"/>
          </w:rPr>
          <w:t>Creative Commons Attribution 3.0 Australia</w:t>
        </w:r>
      </w:hyperlink>
      <w:r w:rsidRPr="00476F09">
        <w:rPr>
          <w:rFonts w:cstheme="minorHAnsi"/>
          <w:sz w:val="24"/>
          <w:szCs w:val="24"/>
        </w:rPr>
        <w:t xml:space="preserve"> </w:t>
      </w:r>
      <w:r w:rsidRPr="002F1BC2">
        <w:t>licence, with the exception of the Commonwealth Coat of Arms, the Treasury logo</w:t>
      </w:r>
      <w:r>
        <w:t xml:space="preserve">, photographs, images, signatures </w:t>
      </w:r>
      <w:r w:rsidRPr="002F1BC2">
        <w:t>and where otherwise stated. The full licence terms are available from</w:t>
      </w:r>
      <w:r w:rsidRPr="00476F09">
        <w:rPr>
          <w:rFonts w:cstheme="minorHAnsi"/>
          <w:sz w:val="24"/>
          <w:szCs w:val="24"/>
        </w:rPr>
        <w:t xml:space="preserve"> </w:t>
      </w:r>
      <w:hyperlink r:id="rId21" w:history="1">
        <w:r w:rsidRPr="001F1B27">
          <w:rPr>
            <w:rStyle w:val="Hyperlink"/>
          </w:rPr>
          <w:t>http://creativecommons.org/licenses/by/3.0/au/legalcode</w:t>
        </w:r>
      </w:hyperlink>
      <w:r w:rsidRPr="006627B4">
        <w:rPr>
          <w:rStyle w:val="Hyperlink"/>
        </w:rPr>
        <w:t>.</w:t>
      </w:r>
      <w:r w:rsidRPr="00D06A21">
        <w:rPr>
          <w:sz w:val="24"/>
          <w:szCs w:val="24"/>
        </w:rPr>
        <w:t xml:space="preserve"> </w:t>
      </w:r>
    </w:p>
    <w:p w14:paraId="056E04C2" w14:textId="77777777" w:rsidR="00E806E0" w:rsidRDefault="00E806E0" w:rsidP="00E806E0">
      <w:pPr>
        <w:pStyle w:val="ChartGraphic"/>
        <w:spacing w:after="120"/>
        <w:jc w:val="left"/>
      </w:pPr>
      <w:r w:rsidRPr="00E56DFB">
        <w:rPr>
          <w:noProof/>
        </w:rPr>
        <w:drawing>
          <wp:inline distT="0" distB="0" distL="0" distR="0" wp14:anchorId="5AC1D1FE" wp14:editId="58A1F65B">
            <wp:extent cx="809625" cy="285750"/>
            <wp:effectExtent l="0" t="0" r="9525" b="0"/>
            <wp:docPr id="3" name="Picture 1" descr="Creative Commons attribution licence 3.0 icon. " title="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68B94078" w14:textId="77777777" w:rsidR="00E806E0" w:rsidRPr="006627B4" w:rsidRDefault="00E806E0" w:rsidP="00E806E0">
      <w:r w:rsidRPr="006627B4">
        <w:t>Use of Treasury material under a</w:t>
      </w:r>
      <w:r w:rsidRPr="00476F09">
        <w:rPr>
          <w:rFonts w:cstheme="minorHAnsi"/>
          <w:sz w:val="24"/>
          <w:szCs w:val="24"/>
        </w:rPr>
        <w:t xml:space="preserve"> </w:t>
      </w:r>
      <w:hyperlink r:id="rId23" w:history="1">
        <w:r w:rsidRPr="002F1BC2">
          <w:rPr>
            <w:rStyle w:val="Hyperlink"/>
          </w:rPr>
          <w:t>Creative Commons Attribution 3.0 Australia</w:t>
        </w:r>
      </w:hyperlink>
      <w:r w:rsidRPr="002F1BC2">
        <w:rPr>
          <w:rStyle w:val="Hyperlink"/>
        </w:rPr>
        <w:t xml:space="preserve"> </w:t>
      </w:r>
      <w:r w:rsidRPr="006627B4">
        <w:t>licence requires you to attribute the work (but not in any way that suggests that the Treasury endorse</w:t>
      </w:r>
      <w:r>
        <w:t>s you or your use of the work).</w:t>
      </w:r>
    </w:p>
    <w:p w14:paraId="25EB2C10" w14:textId="77777777" w:rsidR="00E806E0" w:rsidRPr="006256BA" w:rsidRDefault="00E806E0" w:rsidP="00E806E0">
      <w:pPr>
        <w:spacing w:after="120"/>
        <w:rPr>
          <w:b/>
        </w:rPr>
      </w:pPr>
      <w:r w:rsidRPr="006256BA">
        <w:rPr>
          <w:b/>
        </w:rPr>
        <w:t>Treasury material used ‘as supplied’.</w:t>
      </w:r>
    </w:p>
    <w:p w14:paraId="4A062DF0" w14:textId="77777777" w:rsidR="00E806E0" w:rsidRPr="00476F09" w:rsidRDefault="00E806E0" w:rsidP="00E806E0">
      <w:r w:rsidRPr="00476F09">
        <w:t>Provided you have not modified or transformed Treasury material in any way including, for example, by</w:t>
      </w:r>
      <w:r>
        <w:t xml:space="preserve"> </w:t>
      </w:r>
      <w:r w:rsidRPr="0096692D">
        <w:t>changing the Treasury text; calculating percentage changes; graphing or charting data</w:t>
      </w:r>
      <w:r>
        <w:t>;</w:t>
      </w:r>
      <w:r w:rsidRPr="0096692D">
        <w:t xml:space="preserve"> or deriving new statistics from published Treasury statistics</w:t>
      </w:r>
      <w:r>
        <w:t xml:space="preserve"> — then Treasury prefers t</w:t>
      </w:r>
      <w:r w:rsidRPr="00476F09">
        <w:t xml:space="preserve">he following attribution: </w:t>
      </w:r>
    </w:p>
    <w:p w14:paraId="6A1D3F01" w14:textId="12D90268" w:rsidR="00E806E0" w:rsidRPr="00A13A11" w:rsidRDefault="00E806E0" w:rsidP="00E806E0">
      <w:pPr>
        <w:ind w:firstLine="720"/>
      </w:pPr>
      <w:r w:rsidRPr="002F1BC2">
        <w:rPr>
          <w:i/>
        </w:rPr>
        <w:t xml:space="preserve">Source: </w:t>
      </w:r>
      <w:r>
        <w:rPr>
          <w:i/>
        </w:rPr>
        <w:t>The Board of Taxation</w:t>
      </w:r>
      <w:r>
        <w:t>.</w:t>
      </w:r>
    </w:p>
    <w:p w14:paraId="7F06FC00" w14:textId="77777777" w:rsidR="00E806E0" w:rsidRPr="006256BA" w:rsidRDefault="00E806E0" w:rsidP="00E806E0">
      <w:pPr>
        <w:spacing w:after="120"/>
        <w:rPr>
          <w:b/>
        </w:rPr>
      </w:pPr>
      <w:r w:rsidRPr="006256BA">
        <w:rPr>
          <w:b/>
        </w:rPr>
        <w:t>Derivative material</w:t>
      </w:r>
    </w:p>
    <w:p w14:paraId="49FE88C1" w14:textId="77777777" w:rsidR="00E806E0" w:rsidRPr="006627B4" w:rsidRDefault="00E806E0" w:rsidP="00E806E0">
      <w:r w:rsidRPr="006627B4">
        <w:t xml:space="preserve">If you have modified or transformed Treasury material, or derived new material from those of the Treasury in any way, then Treasury prefers the following attribution: </w:t>
      </w:r>
    </w:p>
    <w:p w14:paraId="44D13E96" w14:textId="149F9DFE" w:rsidR="00E806E0" w:rsidRPr="006627B4" w:rsidRDefault="00E806E0" w:rsidP="00E806E0">
      <w:pPr>
        <w:ind w:firstLine="720"/>
      </w:pPr>
      <w:r w:rsidRPr="002F1BC2">
        <w:rPr>
          <w:i/>
        </w:rPr>
        <w:t xml:space="preserve">Based on </w:t>
      </w:r>
      <w:r>
        <w:rPr>
          <w:i/>
        </w:rPr>
        <w:t>the Board of Taxation</w:t>
      </w:r>
      <w:r w:rsidRPr="002F1BC2">
        <w:rPr>
          <w:i/>
        </w:rPr>
        <w:t xml:space="preserve"> data</w:t>
      </w:r>
      <w:r>
        <w:t>.</w:t>
      </w:r>
    </w:p>
    <w:p w14:paraId="2A5ADE9B" w14:textId="77777777" w:rsidR="00E806E0" w:rsidRPr="006256BA" w:rsidRDefault="00E806E0" w:rsidP="00E806E0">
      <w:pPr>
        <w:spacing w:before="240" w:after="120"/>
        <w:rPr>
          <w:b/>
        </w:rPr>
      </w:pPr>
      <w:r w:rsidRPr="006256BA">
        <w:rPr>
          <w:b/>
        </w:rPr>
        <w:t>Use of the Coat of Arms</w:t>
      </w:r>
    </w:p>
    <w:p w14:paraId="7B1A992D" w14:textId="77777777" w:rsidR="00E806E0" w:rsidRPr="006627B4" w:rsidRDefault="00E806E0" w:rsidP="00E806E0">
      <w:pPr>
        <w:jc w:val="left"/>
      </w:pPr>
      <w:r w:rsidRPr="00820CAF">
        <w:t xml:space="preserve">The terms under which the Coat of Arms can be used are set out on the </w:t>
      </w:r>
      <w:r>
        <w:br/>
      </w:r>
      <w:r w:rsidRPr="00820CAF">
        <w:t xml:space="preserve">Department of the Prime Minister and Cabinet website (see </w:t>
      </w:r>
      <w:r>
        <w:br/>
      </w:r>
      <w:hyperlink r:id="rId24" w:history="1">
        <w:r w:rsidRPr="00522C0B">
          <w:rPr>
            <w:rStyle w:val="Hyperlink"/>
          </w:rPr>
          <w:t>www.pmc.gov.au/government/commonwealth-coat-arms</w:t>
        </w:r>
      </w:hyperlink>
      <w:r w:rsidRPr="00820CAF">
        <w:t>.</w:t>
      </w:r>
    </w:p>
    <w:p w14:paraId="46734E61" w14:textId="77777777" w:rsidR="00E806E0" w:rsidRPr="006627B4" w:rsidRDefault="00E806E0" w:rsidP="00E806E0">
      <w:pPr>
        <w:spacing w:before="240" w:after="120"/>
        <w:rPr>
          <w:b/>
        </w:rPr>
      </w:pPr>
      <w:r>
        <w:rPr>
          <w:b/>
        </w:rPr>
        <w:t>Other u</w:t>
      </w:r>
      <w:r w:rsidRPr="006627B4">
        <w:rPr>
          <w:b/>
        </w:rPr>
        <w:t>ses</w:t>
      </w:r>
    </w:p>
    <w:p w14:paraId="5092C2D1" w14:textId="77777777" w:rsidR="00E806E0" w:rsidRPr="006627B4" w:rsidRDefault="00E806E0" w:rsidP="00E806E0">
      <w:r>
        <w:t>E</w:t>
      </w:r>
      <w:r w:rsidRPr="006627B4">
        <w:t>nquiries regarding this licence and any other use of this document are welcome at:</w:t>
      </w:r>
    </w:p>
    <w:p w14:paraId="607B3603" w14:textId="77777777" w:rsidR="00524A64" w:rsidRDefault="00E806E0" w:rsidP="00E806E0">
      <w:pPr>
        <w:ind w:left="720"/>
        <w:jc w:val="left"/>
        <w:rPr>
          <w:rStyle w:val="Hyperlink"/>
        </w:rPr>
        <w:sectPr w:rsidR="00524A64" w:rsidSect="00524A64">
          <w:headerReference w:type="even" r:id="rId25"/>
          <w:headerReference w:type="default" r:id="rId26"/>
          <w:footerReference w:type="even" r:id="rId27"/>
          <w:footerReference w:type="default" r:id="rId28"/>
          <w:headerReference w:type="first" r:id="rId29"/>
          <w:footerReference w:type="first" r:id="rId30"/>
          <w:pgSz w:w="11909" w:h="16834" w:code="9"/>
          <w:pgMar w:top="1167" w:right="1701" w:bottom="1701" w:left="1701" w:header="851" w:footer="851" w:gutter="0"/>
          <w:cols w:space="708"/>
          <w:docGrid w:linePitch="360"/>
        </w:sectPr>
      </w:pPr>
      <w:r w:rsidRPr="006256BA">
        <w:t>Manager</w:t>
      </w:r>
      <w:r w:rsidRPr="006256BA">
        <w:br/>
        <w:t>Media and Speeches Unit</w:t>
      </w:r>
      <w:r w:rsidRPr="006256BA">
        <w:br/>
        <w:t>The Treasury</w:t>
      </w:r>
      <w:r w:rsidRPr="006256BA">
        <w:br/>
        <w:t>Langton Crescent</w:t>
      </w:r>
      <w:r w:rsidRPr="006627B4">
        <w:t xml:space="preserve"> </w:t>
      </w:r>
      <w:r>
        <w:br/>
      </w:r>
      <w:r w:rsidRPr="006627B4">
        <w:t xml:space="preserve">Parkes </w:t>
      </w:r>
      <w:r>
        <w:t xml:space="preserve"> </w:t>
      </w:r>
      <w:r w:rsidRPr="006627B4">
        <w:t xml:space="preserve">ACT </w:t>
      </w:r>
      <w:r>
        <w:t xml:space="preserve"> </w:t>
      </w:r>
      <w:r w:rsidRPr="006627B4">
        <w:t>2600</w:t>
      </w:r>
      <w:r>
        <w:br/>
      </w:r>
      <w:r w:rsidRPr="006627B4">
        <w:t xml:space="preserve">Email: </w:t>
      </w:r>
      <w:hyperlink r:id="rId31" w:history="1">
        <w:r w:rsidRPr="00B31CFB">
          <w:rPr>
            <w:rStyle w:val="Hyperlink"/>
          </w:rPr>
          <w:t>medialiaison@treasury.gov.au</w:t>
        </w:r>
      </w:hyperlink>
    </w:p>
    <w:p w14:paraId="04F5560F" w14:textId="0664D0F3" w:rsidR="00F30B9E" w:rsidRDefault="00E806E0" w:rsidP="00DB090C">
      <w:pPr>
        <w:pStyle w:val="PreChapterHeading"/>
      </w:pPr>
      <w:bookmarkStart w:id="1" w:name="_Toc519003375"/>
      <w:bookmarkStart w:id="2" w:name="_Toc519071684"/>
      <w:bookmarkStart w:id="3" w:name="_Toc520377719"/>
      <w:r>
        <w:lastRenderedPageBreak/>
        <w:t>C</w:t>
      </w:r>
      <w:r w:rsidR="00F30B9E">
        <w:t>ontents</w:t>
      </w:r>
      <w:bookmarkEnd w:id="1"/>
      <w:bookmarkEnd w:id="2"/>
      <w:bookmarkEnd w:id="3"/>
    </w:p>
    <w:p w14:paraId="5EE99D26" w14:textId="77777777" w:rsidR="00916E0E" w:rsidRDefault="00AA0D71">
      <w:pPr>
        <w:pStyle w:val="TOC1"/>
        <w:rPr>
          <w:rFonts w:asciiTheme="minorHAnsi" w:eastAsiaTheme="minorEastAsia" w:hAnsiTheme="minorHAnsi" w:cstheme="minorBidi"/>
          <w:b w:val="0"/>
          <w:smallCaps w:val="0"/>
          <w:noProof/>
          <w:color w:val="auto"/>
        </w:rPr>
      </w:pPr>
      <w:r>
        <w:rPr>
          <w:b w:val="0"/>
        </w:rPr>
        <w:fldChar w:fldCharType="begin"/>
      </w:r>
      <w:r>
        <w:rPr>
          <w:b w:val="0"/>
        </w:rPr>
        <w:instrText xml:space="preserve"> TOC \o "1-1" \t "Heading 2,2,PreChapterHeading,1" </w:instrText>
      </w:r>
      <w:r>
        <w:rPr>
          <w:b w:val="0"/>
        </w:rPr>
        <w:fldChar w:fldCharType="separate"/>
      </w:r>
      <w:r w:rsidR="00916E0E">
        <w:rPr>
          <w:noProof/>
        </w:rPr>
        <w:t>Contents</w:t>
      </w:r>
      <w:r w:rsidR="00916E0E">
        <w:rPr>
          <w:noProof/>
        </w:rPr>
        <w:tab/>
      </w:r>
      <w:r w:rsidR="00916E0E">
        <w:rPr>
          <w:noProof/>
        </w:rPr>
        <w:fldChar w:fldCharType="begin"/>
      </w:r>
      <w:r w:rsidR="00916E0E">
        <w:rPr>
          <w:noProof/>
        </w:rPr>
        <w:instrText xml:space="preserve"> PAGEREF _Toc520377719 \h </w:instrText>
      </w:r>
      <w:r w:rsidR="00916E0E">
        <w:rPr>
          <w:noProof/>
        </w:rPr>
      </w:r>
      <w:r w:rsidR="00916E0E">
        <w:rPr>
          <w:noProof/>
        </w:rPr>
        <w:fldChar w:fldCharType="separate"/>
      </w:r>
      <w:r w:rsidR="00916E0E">
        <w:rPr>
          <w:noProof/>
        </w:rPr>
        <w:t>3</w:t>
      </w:r>
      <w:r w:rsidR="00916E0E">
        <w:rPr>
          <w:noProof/>
        </w:rPr>
        <w:fldChar w:fldCharType="end"/>
      </w:r>
    </w:p>
    <w:p w14:paraId="433EA8BA" w14:textId="77777777" w:rsidR="00916E0E" w:rsidRDefault="00916E0E">
      <w:pPr>
        <w:pStyle w:val="TOC1"/>
        <w:rPr>
          <w:rFonts w:asciiTheme="minorHAnsi" w:eastAsiaTheme="minorEastAsia" w:hAnsiTheme="minorHAnsi" w:cstheme="minorBidi"/>
          <w:b w:val="0"/>
          <w:smallCaps w:val="0"/>
          <w:noProof/>
          <w:color w:val="auto"/>
        </w:rPr>
      </w:pPr>
      <w:r>
        <w:rPr>
          <w:noProof/>
        </w:rPr>
        <w:t>Executive Summary</w:t>
      </w:r>
      <w:r>
        <w:rPr>
          <w:noProof/>
        </w:rPr>
        <w:tab/>
      </w:r>
      <w:r>
        <w:rPr>
          <w:noProof/>
        </w:rPr>
        <w:fldChar w:fldCharType="begin"/>
      </w:r>
      <w:r>
        <w:rPr>
          <w:noProof/>
        </w:rPr>
        <w:instrText xml:space="preserve"> PAGEREF _Toc520377720 \h </w:instrText>
      </w:r>
      <w:r>
        <w:rPr>
          <w:noProof/>
        </w:rPr>
      </w:r>
      <w:r>
        <w:rPr>
          <w:noProof/>
        </w:rPr>
        <w:fldChar w:fldCharType="separate"/>
      </w:r>
      <w:r>
        <w:rPr>
          <w:noProof/>
        </w:rPr>
        <w:t>4</w:t>
      </w:r>
      <w:r>
        <w:rPr>
          <w:noProof/>
        </w:rPr>
        <w:fldChar w:fldCharType="end"/>
      </w:r>
    </w:p>
    <w:p w14:paraId="55DBACF4" w14:textId="77777777" w:rsidR="00916E0E" w:rsidRDefault="00916E0E">
      <w:pPr>
        <w:pStyle w:val="TOC1"/>
        <w:rPr>
          <w:rFonts w:asciiTheme="minorHAnsi" w:eastAsiaTheme="minorEastAsia" w:hAnsiTheme="minorHAnsi" w:cstheme="minorBidi"/>
          <w:b w:val="0"/>
          <w:smallCaps w:val="0"/>
          <w:noProof/>
          <w:color w:val="auto"/>
        </w:rPr>
      </w:pPr>
      <w:r>
        <w:rPr>
          <w:noProof/>
        </w:rPr>
        <w:t>Scope</w:t>
      </w:r>
      <w:r>
        <w:rPr>
          <w:noProof/>
        </w:rPr>
        <w:tab/>
      </w:r>
      <w:r>
        <w:rPr>
          <w:noProof/>
        </w:rPr>
        <w:fldChar w:fldCharType="begin"/>
      </w:r>
      <w:r>
        <w:rPr>
          <w:noProof/>
        </w:rPr>
        <w:instrText xml:space="preserve"> PAGEREF _Toc520377721 \h </w:instrText>
      </w:r>
      <w:r>
        <w:rPr>
          <w:noProof/>
        </w:rPr>
      </w:r>
      <w:r>
        <w:rPr>
          <w:noProof/>
        </w:rPr>
        <w:fldChar w:fldCharType="separate"/>
      </w:r>
      <w:r>
        <w:rPr>
          <w:noProof/>
        </w:rPr>
        <w:t>5</w:t>
      </w:r>
      <w:r>
        <w:rPr>
          <w:noProof/>
        </w:rPr>
        <w:fldChar w:fldCharType="end"/>
      </w:r>
    </w:p>
    <w:p w14:paraId="6786EE1F" w14:textId="77777777" w:rsidR="00916E0E" w:rsidRDefault="00916E0E">
      <w:pPr>
        <w:pStyle w:val="TOC1"/>
        <w:rPr>
          <w:rFonts w:asciiTheme="minorHAnsi" w:eastAsiaTheme="minorEastAsia" w:hAnsiTheme="minorHAnsi" w:cstheme="minorBidi"/>
          <w:b w:val="0"/>
          <w:smallCaps w:val="0"/>
          <w:noProof/>
          <w:color w:val="auto"/>
        </w:rPr>
      </w:pPr>
      <w:r>
        <w:rPr>
          <w:noProof/>
        </w:rPr>
        <w:t>Glossary</w:t>
      </w:r>
      <w:r>
        <w:rPr>
          <w:noProof/>
        </w:rPr>
        <w:tab/>
      </w:r>
      <w:r>
        <w:rPr>
          <w:noProof/>
        </w:rPr>
        <w:fldChar w:fldCharType="begin"/>
      </w:r>
      <w:r>
        <w:rPr>
          <w:noProof/>
        </w:rPr>
        <w:instrText xml:space="preserve"> PAGEREF _Toc520377722 \h </w:instrText>
      </w:r>
      <w:r>
        <w:rPr>
          <w:noProof/>
        </w:rPr>
      </w:r>
      <w:r>
        <w:rPr>
          <w:noProof/>
        </w:rPr>
        <w:fldChar w:fldCharType="separate"/>
      </w:r>
      <w:r>
        <w:rPr>
          <w:noProof/>
        </w:rPr>
        <w:t>6</w:t>
      </w:r>
      <w:r>
        <w:rPr>
          <w:noProof/>
        </w:rPr>
        <w:fldChar w:fldCharType="end"/>
      </w:r>
    </w:p>
    <w:p w14:paraId="3E6A012A" w14:textId="77777777" w:rsidR="00916E0E" w:rsidRDefault="00916E0E">
      <w:pPr>
        <w:pStyle w:val="TOC1"/>
        <w:rPr>
          <w:rFonts w:asciiTheme="minorHAnsi" w:eastAsiaTheme="minorEastAsia" w:hAnsiTheme="minorHAnsi" w:cstheme="minorBidi"/>
          <w:b w:val="0"/>
          <w:smallCaps w:val="0"/>
          <w:noProof/>
          <w:color w:val="auto"/>
        </w:rPr>
      </w:pPr>
      <w:r>
        <w:rPr>
          <w:noProof/>
        </w:rPr>
        <w:t xml:space="preserve"> Chapter 1: Merits of alignment between accounting and tax systems</w:t>
      </w:r>
      <w:r>
        <w:rPr>
          <w:noProof/>
        </w:rPr>
        <w:tab/>
      </w:r>
      <w:r>
        <w:rPr>
          <w:noProof/>
        </w:rPr>
        <w:fldChar w:fldCharType="begin"/>
      </w:r>
      <w:r>
        <w:rPr>
          <w:noProof/>
        </w:rPr>
        <w:instrText xml:space="preserve"> PAGEREF _Toc520377723 \h </w:instrText>
      </w:r>
      <w:r>
        <w:rPr>
          <w:noProof/>
        </w:rPr>
      </w:r>
      <w:r>
        <w:rPr>
          <w:noProof/>
        </w:rPr>
        <w:fldChar w:fldCharType="separate"/>
      </w:r>
      <w:r>
        <w:rPr>
          <w:noProof/>
        </w:rPr>
        <w:t>7</w:t>
      </w:r>
      <w:r>
        <w:rPr>
          <w:noProof/>
        </w:rPr>
        <w:fldChar w:fldCharType="end"/>
      </w:r>
    </w:p>
    <w:p w14:paraId="03BB834D" w14:textId="77777777" w:rsidR="00916E0E" w:rsidRDefault="00916E0E">
      <w:pPr>
        <w:pStyle w:val="TOC1"/>
        <w:rPr>
          <w:rFonts w:asciiTheme="minorHAnsi" w:eastAsiaTheme="minorEastAsia" w:hAnsiTheme="minorHAnsi" w:cstheme="minorBidi"/>
          <w:b w:val="0"/>
          <w:smallCaps w:val="0"/>
          <w:noProof/>
          <w:color w:val="auto"/>
        </w:rPr>
      </w:pPr>
      <w:r>
        <w:rPr>
          <w:noProof/>
        </w:rPr>
        <w:t xml:space="preserve"> Chapter 2: Australian and international experiences of alignment</w:t>
      </w:r>
      <w:r>
        <w:rPr>
          <w:noProof/>
        </w:rPr>
        <w:tab/>
      </w:r>
      <w:r>
        <w:rPr>
          <w:noProof/>
        </w:rPr>
        <w:fldChar w:fldCharType="begin"/>
      </w:r>
      <w:r>
        <w:rPr>
          <w:noProof/>
        </w:rPr>
        <w:instrText xml:space="preserve"> PAGEREF _Toc520377724 \h </w:instrText>
      </w:r>
      <w:r>
        <w:rPr>
          <w:noProof/>
        </w:rPr>
      </w:r>
      <w:r>
        <w:rPr>
          <w:noProof/>
        </w:rPr>
        <w:fldChar w:fldCharType="separate"/>
      </w:r>
      <w:r>
        <w:rPr>
          <w:noProof/>
        </w:rPr>
        <w:t>10</w:t>
      </w:r>
      <w:r>
        <w:rPr>
          <w:noProof/>
        </w:rPr>
        <w:fldChar w:fldCharType="end"/>
      </w:r>
    </w:p>
    <w:p w14:paraId="4BA8C8AF" w14:textId="77777777" w:rsidR="00916E0E" w:rsidRDefault="00916E0E">
      <w:pPr>
        <w:pStyle w:val="TOC2"/>
        <w:rPr>
          <w:rFonts w:asciiTheme="minorHAnsi" w:eastAsiaTheme="minorEastAsia" w:hAnsiTheme="minorHAnsi" w:cstheme="minorBidi"/>
          <w:noProof/>
          <w:color w:val="auto"/>
          <w:sz w:val="22"/>
          <w:szCs w:val="22"/>
        </w:rPr>
      </w:pPr>
      <w:r>
        <w:rPr>
          <w:noProof/>
        </w:rPr>
        <w:t>Accounting standards – international trends</w:t>
      </w:r>
      <w:r>
        <w:rPr>
          <w:noProof/>
        </w:rPr>
        <w:tab/>
      </w:r>
      <w:r>
        <w:rPr>
          <w:noProof/>
        </w:rPr>
        <w:fldChar w:fldCharType="begin"/>
      </w:r>
      <w:r>
        <w:rPr>
          <w:noProof/>
        </w:rPr>
        <w:instrText xml:space="preserve"> PAGEREF _Toc520377725 \h </w:instrText>
      </w:r>
      <w:r>
        <w:rPr>
          <w:noProof/>
        </w:rPr>
      </w:r>
      <w:r>
        <w:rPr>
          <w:noProof/>
        </w:rPr>
        <w:fldChar w:fldCharType="separate"/>
      </w:r>
      <w:r>
        <w:rPr>
          <w:noProof/>
        </w:rPr>
        <w:t>10</w:t>
      </w:r>
      <w:r>
        <w:rPr>
          <w:noProof/>
        </w:rPr>
        <w:fldChar w:fldCharType="end"/>
      </w:r>
    </w:p>
    <w:p w14:paraId="2527C5C1" w14:textId="77777777" w:rsidR="00916E0E" w:rsidRDefault="00916E0E">
      <w:pPr>
        <w:pStyle w:val="TOC2"/>
        <w:rPr>
          <w:rFonts w:asciiTheme="minorHAnsi" w:eastAsiaTheme="minorEastAsia" w:hAnsiTheme="minorHAnsi" w:cstheme="minorBidi"/>
          <w:noProof/>
          <w:color w:val="auto"/>
          <w:sz w:val="22"/>
          <w:szCs w:val="22"/>
        </w:rPr>
      </w:pPr>
      <w:r>
        <w:rPr>
          <w:noProof/>
        </w:rPr>
        <w:t>Accounting standards – the Australian approach</w:t>
      </w:r>
      <w:r>
        <w:rPr>
          <w:noProof/>
        </w:rPr>
        <w:tab/>
      </w:r>
      <w:r>
        <w:rPr>
          <w:noProof/>
        </w:rPr>
        <w:fldChar w:fldCharType="begin"/>
      </w:r>
      <w:r>
        <w:rPr>
          <w:noProof/>
        </w:rPr>
        <w:instrText xml:space="preserve"> PAGEREF _Toc520377726 \h </w:instrText>
      </w:r>
      <w:r>
        <w:rPr>
          <w:noProof/>
        </w:rPr>
      </w:r>
      <w:r>
        <w:rPr>
          <w:noProof/>
        </w:rPr>
        <w:fldChar w:fldCharType="separate"/>
      </w:r>
      <w:r>
        <w:rPr>
          <w:noProof/>
        </w:rPr>
        <w:t>11</w:t>
      </w:r>
      <w:r>
        <w:rPr>
          <w:noProof/>
        </w:rPr>
        <w:fldChar w:fldCharType="end"/>
      </w:r>
    </w:p>
    <w:p w14:paraId="01DA5156" w14:textId="77777777" w:rsidR="00916E0E" w:rsidRDefault="00916E0E">
      <w:pPr>
        <w:pStyle w:val="TOC2"/>
        <w:rPr>
          <w:rFonts w:asciiTheme="minorHAnsi" w:eastAsiaTheme="minorEastAsia" w:hAnsiTheme="minorHAnsi" w:cstheme="minorBidi"/>
          <w:noProof/>
          <w:color w:val="auto"/>
          <w:sz w:val="22"/>
          <w:szCs w:val="22"/>
        </w:rPr>
      </w:pPr>
      <w:r>
        <w:rPr>
          <w:noProof/>
        </w:rPr>
        <w:t>The Australian experience to date</w:t>
      </w:r>
      <w:r>
        <w:rPr>
          <w:noProof/>
        </w:rPr>
        <w:tab/>
      </w:r>
      <w:r>
        <w:rPr>
          <w:noProof/>
        </w:rPr>
        <w:fldChar w:fldCharType="begin"/>
      </w:r>
      <w:r>
        <w:rPr>
          <w:noProof/>
        </w:rPr>
        <w:instrText xml:space="preserve"> PAGEREF _Toc520377727 \h </w:instrText>
      </w:r>
      <w:r>
        <w:rPr>
          <w:noProof/>
        </w:rPr>
      </w:r>
      <w:r>
        <w:rPr>
          <w:noProof/>
        </w:rPr>
        <w:fldChar w:fldCharType="separate"/>
      </w:r>
      <w:r>
        <w:rPr>
          <w:noProof/>
        </w:rPr>
        <w:t>11</w:t>
      </w:r>
      <w:r>
        <w:rPr>
          <w:noProof/>
        </w:rPr>
        <w:fldChar w:fldCharType="end"/>
      </w:r>
    </w:p>
    <w:p w14:paraId="2F6F0A03" w14:textId="77777777" w:rsidR="00916E0E" w:rsidRDefault="00916E0E">
      <w:pPr>
        <w:pStyle w:val="TOC2"/>
        <w:rPr>
          <w:rFonts w:asciiTheme="minorHAnsi" w:eastAsiaTheme="minorEastAsia" w:hAnsiTheme="minorHAnsi" w:cstheme="minorBidi"/>
          <w:noProof/>
          <w:color w:val="auto"/>
          <w:sz w:val="22"/>
          <w:szCs w:val="22"/>
        </w:rPr>
      </w:pPr>
      <w:r>
        <w:rPr>
          <w:noProof/>
        </w:rPr>
        <w:t>The international experience</w:t>
      </w:r>
      <w:r>
        <w:rPr>
          <w:noProof/>
        </w:rPr>
        <w:tab/>
      </w:r>
      <w:r>
        <w:rPr>
          <w:noProof/>
        </w:rPr>
        <w:fldChar w:fldCharType="begin"/>
      </w:r>
      <w:r>
        <w:rPr>
          <w:noProof/>
        </w:rPr>
        <w:instrText xml:space="preserve"> PAGEREF _Toc520377728 \h </w:instrText>
      </w:r>
      <w:r>
        <w:rPr>
          <w:noProof/>
        </w:rPr>
      </w:r>
      <w:r>
        <w:rPr>
          <w:noProof/>
        </w:rPr>
        <w:fldChar w:fldCharType="separate"/>
      </w:r>
      <w:r>
        <w:rPr>
          <w:noProof/>
        </w:rPr>
        <w:t>12</w:t>
      </w:r>
      <w:r>
        <w:rPr>
          <w:noProof/>
        </w:rPr>
        <w:fldChar w:fldCharType="end"/>
      </w:r>
    </w:p>
    <w:p w14:paraId="51DFF0A7" w14:textId="77777777" w:rsidR="00916E0E" w:rsidRDefault="00916E0E">
      <w:pPr>
        <w:pStyle w:val="TOC1"/>
        <w:rPr>
          <w:rFonts w:asciiTheme="minorHAnsi" w:eastAsiaTheme="minorEastAsia" w:hAnsiTheme="minorHAnsi" w:cstheme="minorBidi"/>
          <w:b w:val="0"/>
          <w:smallCaps w:val="0"/>
          <w:noProof/>
          <w:color w:val="auto"/>
        </w:rPr>
      </w:pPr>
      <w:r>
        <w:rPr>
          <w:noProof/>
        </w:rPr>
        <w:t xml:space="preserve"> Appendix A: Advantages and disadvantages of alignment between the accounting and tax systems</w:t>
      </w:r>
      <w:r>
        <w:rPr>
          <w:noProof/>
        </w:rPr>
        <w:tab/>
      </w:r>
      <w:r>
        <w:rPr>
          <w:noProof/>
        </w:rPr>
        <w:fldChar w:fldCharType="begin"/>
      </w:r>
      <w:r>
        <w:rPr>
          <w:noProof/>
        </w:rPr>
        <w:instrText xml:space="preserve"> PAGEREF _Toc520377729 \h </w:instrText>
      </w:r>
      <w:r>
        <w:rPr>
          <w:noProof/>
        </w:rPr>
      </w:r>
      <w:r>
        <w:rPr>
          <w:noProof/>
        </w:rPr>
        <w:fldChar w:fldCharType="separate"/>
      </w:r>
      <w:r>
        <w:rPr>
          <w:noProof/>
        </w:rPr>
        <w:t>18</w:t>
      </w:r>
      <w:r>
        <w:rPr>
          <w:noProof/>
        </w:rPr>
        <w:fldChar w:fldCharType="end"/>
      </w:r>
    </w:p>
    <w:p w14:paraId="1720262A" w14:textId="77777777" w:rsidR="00916E0E" w:rsidRDefault="00916E0E">
      <w:pPr>
        <w:pStyle w:val="TOC2"/>
        <w:rPr>
          <w:rFonts w:asciiTheme="minorHAnsi" w:eastAsiaTheme="minorEastAsia" w:hAnsiTheme="minorHAnsi" w:cstheme="minorBidi"/>
          <w:noProof/>
          <w:color w:val="auto"/>
          <w:sz w:val="22"/>
          <w:szCs w:val="22"/>
        </w:rPr>
      </w:pPr>
      <w:r>
        <w:rPr>
          <w:noProof/>
        </w:rPr>
        <w:t>Advantages</w:t>
      </w:r>
      <w:r>
        <w:rPr>
          <w:noProof/>
        </w:rPr>
        <w:tab/>
      </w:r>
      <w:r>
        <w:rPr>
          <w:noProof/>
        </w:rPr>
        <w:fldChar w:fldCharType="begin"/>
      </w:r>
      <w:r>
        <w:rPr>
          <w:noProof/>
        </w:rPr>
        <w:instrText xml:space="preserve"> PAGEREF _Toc520377730 \h </w:instrText>
      </w:r>
      <w:r>
        <w:rPr>
          <w:noProof/>
        </w:rPr>
      </w:r>
      <w:r>
        <w:rPr>
          <w:noProof/>
        </w:rPr>
        <w:fldChar w:fldCharType="separate"/>
      </w:r>
      <w:r>
        <w:rPr>
          <w:noProof/>
        </w:rPr>
        <w:t>18</w:t>
      </w:r>
      <w:r>
        <w:rPr>
          <w:noProof/>
        </w:rPr>
        <w:fldChar w:fldCharType="end"/>
      </w:r>
    </w:p>
    <w:p w14:paraId="4764D786" w14:textId="77777777" w:rsidR="00916E0E" w:rsidRDefault="00916E0E">
      <w:pPr>
        <w:pStyle w:val="TOC2"/>
        <w:rPr>
          <w:rFonts w:asciiTheme="minorHAnsi" w:eastAsiaTheme="minorEastAsia" w:hAnsiTheme="minorHAnsi" w:cstheme="minorBidi"/>
          <w:noProof/>
          <w:color w:val="auto"/>
          <w:sz w:val="22"/>
          <w:szCs w:val="22"/>
        </w:rPr>
      </w:pPr>
      <w:r>
        <w:rPr>
          <w:noProof/>
        </w:rPr>
        <w:t>Disadvantages</w:t>
      </w:r>
      <w:r>
        <w:rPr>
          <w:noProof/>
        </w:rPr>
        <w:tab/>
      </w:r>
      <w:r>
        <w:rPr>
          <w:noProof/>
        </w:rPr>
        <w:fldChar w:fldCharType="begin"/>
      </w:r>
      <w:r>
        <w:rPr>
          <w:noProof/>
        </w:rPr>
        <w:instrText xml:space="preserve"> PAGEREF _Toc520377731 \h </w:instrText>
      </w:r>
      <w:r>
        <w:rPr>
          <w:noProof/>
        </w:rPr>
      </w:r>
      <w:r>
        <w:rPr>
          <w:noProof/>
        </w:rPr>
        <w:fldChar w:fldCharType="separate"/>
      </w:r>
      <w:r>
        <w:rPr>
          <w:noProof/>
        </w:rPr>
        <w:t>18</w:t>
      </w:r>
      <w:r>
        <w:rPr>
          <w:noProof/>
        </w:rPr>
        <w:fldChar w:fldCharType="end"/>
      </w:r>
    </w:p>
    <w:p w14:paraId="02AD075A" w14:textId="77777777" w:rsidR="00916E0E" w:rsidRDefault="00916E0E">
      <w:pPr>
        <w:pStyle w:val="TOC1"/>
        <w:rPr>
          <w:rFonts w:asciiTheme="minorHAnsi" w:eastAsiaTheme="minorEastAsia" w:hAnsiTheme="minorHAnsi" w:cstheme="minorBidi"/>
          <w:b w:val="0"/>
          <w:smallCaps w:val="0"/>
          <w:noProof/>
          <w:color w:val="auto"/>
        </w:rPr>
      </w:pPr>
      <w:r>
        <w:rPr>
          <w:noProof/>
        </w:rPr>
        <w:t xml:space="preserve"> Appendix B: Recent changes to Australian accounting standards</w:t>
      </w:r>
      <w:r>
        <w:rPr>
          <w:noProof/>
        </w:rPr>
        <w:tab/>
      </w:r>
      <w:r>
        <w:rPr>
          <w:noProof/>
        </w:rPr>
        <w:fldChar w:fldCharType="begin"/>
      </w:r>
      <w:r>
        <w:rPr>
          <w:noProof/>
        </w:rPr>
        <w:instrText xml:space="preserve"> PAGEREF _Toc520377732 \h </w:instrText>
      </w:r>
      <w:r>
        <w:rPr>
          <w:noProof/>
        </w:rPr>
      </w:r>
      <w:r>
        <w:rPr>
          <w:noProof/>
        </w:rPr>
        <w:fldChar w:fldCharType="separate"/>
      </w:r>
      <w:r>
        <w:rPr>
          <w:noProof/>
        </w:rPr>
        <w:t>20</w:t>
      </w:r>
      <w:r>
        <w:rPr>
          <w:noProof/>
        </w:rPr>
        <w:fldChar w:fldCharType="end"/>
      </w:r>
    </w:p>
    <w:p w14:paraId="42FFA8BD" w14:textId="77777777" w:rsidR="00916E0E" w:rsidRDefault="00916E0E">
      <w:pPr>
        <w:pStyle w:val="TOC2"/>
        <w:rPr>
          <w:rFonts w:asciiTheme="minorHAnsi" w:eastAsiaTheme="minorEastAsia" w:hAnsiTheme="minorHAnsi" w:cstheme="minorBidi"/>
          <w:noProof/>
          <w:color w:val="auto"/>
          <w:sz w:val="22"/>
          <w:szCs w:val="22"/>
        </w:rPr>
      </w:pPr>
      <w:r>
        <w:rPr>
          <w:noProof/>
        </w:rPr>
        <w:t>AASB / IASB work programs</w:t>
      </w:r>
      <w:r>
        <w:rPr>
          <w:noProof/>
        </w:rPr>
        <w:tab/>
      </w:r>
      <w:r>
        <w:rPr>
          <w:noProof/>
        </w:rPr>
        <w:fldChar w:fldCharType="begin"/>
      </w:r>
      <w:r>
        <w:rPr>
          <w:noProof/>
        </w:rPr>
        <w:instrText xml:space="preserve"> PAGEREF _Toc520377733 \h </w:instrText>
      </w:r>
      <w:r>
        <w:rPr>
          <w:noProof/>
        </w:rPr>
      </w:r>
      <w:r>
        <w:rPr>
          <w:noProof/>
        </w:rPr>
        <w:fldChar w:fldCharType="separate"/>
      </w:r>
      <w:r>
        <w:rPr>
          <w:noProof/>
        </w:rPr>
        <w:t>24</w:t>
      </w:r>
      <w:r>
        <w:rPr>
          <w:noProof/>
        </w:rPr>
        <w:fldChar w:fldCharType="end"/>
      </w:r>
    </w:p>
    <w:p w14:paraId="774A6A64" w14:textId="77777777" w:rsidR="00AA0D71" w:rsidRDefault="00AA0D71" w:rsidP="00AA0D71">
      <w:r>
        <w:rPr>
          <w:rFonts w:ascii="Arial Bold" w:hAnsi="Arial Bold"/>
          <w:b/>
          <w:color w:val="000080"/>
        </w:rPr>
        <w:fldChar w:fldCharType="end"/>
      </w:r>
    </w:p>
    <w:p w14:paraId="38170DBC" w14:textId="77777777" w:rsidR="00DB090C" w:rsidRDefault="00DB090C" w:rsidP="00FF73A5">
      <w:pPr>
        <w:sectPr w:rsidR="00DB090C" w:rsidSect="00524A64">
          <w:headerReference w:type="default" r:id="rId32"/>
          <w:footerReference w:type="default" r:id="rId33"/>
          <w:pgSz w:w="11909" w:h="16834" w:code="9"/>
          <w:pgMar w:top="1167" w:right="1701" w:bottom="1701" w:left="1701" w:header="851" w:footer="851" w:gutter="0"/>
          <w:cols w:space="708"/>
          <w:docGrid w:linePitch="360"/>
        </w:sectPr>
      </w:pPr>
    </w:p>
    <w:p w14:paraId="5937CEA6" w14:textId="7CB3E2D4" w:rsidR="00CF1708" w:rsidRDefault="00CF1708" w:rsidP="00DB090C">
      <w:pPr>
        <w:pStyle w:val="PreChapterHeading"/>
      </w:pPr>
      <w:bookmarkStart w:id="4" w:name="_Toc514074664"/>
      <w:bookmarkStart w:id="5" w:name="_Toc520377720"/>
      <w:r>
        <w:lastRenderedPageBreak/>
        <w:t>Executive Summary</w:t>
      </w:r>
      <w:bookmarkEnd w:id="4"/>
      <w:bookmarkEnd w:id="5"/>
    </w:p>
    <w:p w14:paraId="77F33A46" w14:textId="3A60A888" w:rsidR="00CF1708" w:rsidRPr="00FF73A5" w:rsidRDefault="00CF1708" w:rsidP="00DB090C">
      <w:r w:rsidRPr="00FF73A5">
        <w:t xml:space="preserve">The Board </w:t>
      </w:r>
      <w:r>
        <w:t xml:space="preserve">of Taxation </w:t>
      </w:r>
      <w:r w:rsidR="007E7E47">
        <w:t xml:space="preserve">(the Board) </w:t>
      </w:r>
      <w:r>
        <w:t>has considered whether there are opportunities for greater alignment between the tax and accounting systems in Australia. The</w:t>
      </w:r>
      <w:r w:rsidR="00E7271D">
        <w:t xml:space="preserve"> Board</w:t>
      </w:r>
      <w:r w:rsidRPr="00FF73A5">
        <w:t xml:space="preserve"> concluded that broad-spectrum alignment between the accounting and tax system within Australia’s current taxation framework would be neither feasible nor desirable, given the disparate purposes of the tax and accounting systems. </w:t>
      </w:r>
    </w:p>
    <w:p w14:paraId="490F85BE" w14:textId="77777777" w:rsidR="00CF1708" w:rsidRPr="00FF73A5" w:rsidRDefault="00CF1708" w:rsidP="00DB090C">
      <w:r w:rsidRPr="00FF73A5">
        <w:t>The tax laws provide a legal basis for raising revenue to fund Government expenditure as well as, in some cases, serving as a policy implementation tool, by intentionally creating economic incentives and disincentives to certain types of behaviour.</w:t>
      </w:r>
    </w:p>
    <w:p w14:paraId="738A9CAB" w14:textId="77777777" w:rsidR="00CF1708" w:rsidRPr="00FF73A5" w:rsidRDefault="00CF1708" w:rsidP="00DB090C">
      <w:r w:rsidRPr="00FF73A5">
        <w:t xml:space="preserve">Accounting standards exist to guide the reporting of financial information to organisation stakeholders and support a range of decision making (e.g. in relation to investment, lending, trading transactions). </w:t>
      </w:r>
    </w:p>
    <w:p w14:paraId="27A93360" w14:textId="292E3CBA" w:rsidR="00CF1708" w:rsidRPr="00FF73A5" w:rsidRDefault="00CF1708" w:rsidP="00DB090C">
      <w:r w:rsidRPr="00FF73A5">
        <w:t>However, the Board acknowledged that there may be particular areas of the tax law where greater alignment with accounting practices can create net benefits by reducing compliance costs and improving certainty, without prejudicing tax policy objectives.</w:t>
      </w:r>
    </w:p>
    <w:p w14:paraId="0EBCD13E" w14:textId="6DDC84CF" w:rsidR="00CF1708" w:rsidRPr="009B3A06" w:rsidRDefault="00CF1708" w:rsidP="00DB090C">
      <w:r w:rsidRPr="00FF73A5">
        <w:t>The Board considers that it is appropriate to consider such areas on a case-by-case basis to identify situations where greater alignment could be warranted and could be achieved in a simple and targeted fashion.</w:t>
      </w:r>
      <w:r>
        <w:t xml:space="preserve"> The Board’s work in this area is ongoing.</w:t>
      </w:r>
    </w:p>
    <w:p w14:paraId="75F6947C" w14:textId="77777777" w:rsidR="007B10DE" w:rsidRDefault="007B10DE" w:rsidP="007B10DE">
      <w:pPr>
        <w:pStyle w:val="Bullet"/>
        <w:numPr>
          <w:ilvl w:val="0"/>
          <w:numId w:val="0"/>
        </w:numPr>
      </w:pPr>
      <w:r>
        <w:t>The ex officio members of the Board — the Secretary of the Treasury, John Fraser, the Commissioner of Taxation, Chris Jordan AO, and the First Parliamentary Counsel, Peter Quiggin PSM — have reserved their final views on the observations and recommendations for advice to Government.</w:t>
      </w:r>
    </w:p>
    <w:p w14:paraId="4C33A145" w14:textId="77777777" w:rsidR="007B10DE" w:rsidRDefault="007B10DE">
      <w:pPr>
        <w:spacing w:after="0" w:line="240" w:lineRule="auto"/>
        <w:jc w:val="left"/>
        <w:sectPr w:rsidR="007B10DE" w:rsidSect="00E806E0">
          <w:headerReference w:type="first" r:id="rId34"/>
          <w:pgSz w:w="11909" w:h="16834" w:code="9"/>
          <w:pgMar w:top="1167" w:right="1701" w:bottom="1701" w:left="1701" w:header="851" w:footer="851" w:gutter="0"/>
          <w:cols w:space="708"/>
          <w:titlePg/>
          <w:docGrid w:linePitch="360"/>
        </w:sectPr>
      </w:pPr>
    </w:p>
    <w:p w14:paraId="517CE0A6" w14:textId="0A4E79DA" w:rsidR="00FF73A5" w:rsidRDefault="00CF1708" w:rsidP="00DB090C">
      <w:pPr>
        <w:pStyle w:val="PreChapterHeading"/>
      </w:pPr>
      <w:bookmarkStart w:id="6" w:name="_Toc514074665"/>
      <w:bookmarkStart w:id="7" w:name="_Toc520377721"/>
      <w:r>
        <w:lastRenderedPageBreak/>
        <w:t>Scope</w:t>
      </w:r>
      <w:bookmarkEnd w:id="6"/>
      <w:bookmarkEnd w:id="7"/>
    </w:p>
    <w:p w14:paraId="3EC32BD4" w14:textId="0ADE5D08" w:rsidR="00FF73A5" w:rsidRPr="00FF73A5" w:rsidRDefault="00FF73A5" w:rsidP="00FF73A5">
      <w:r w:rsidRPr="00FF73A5">
        <w:t xml:space="preserve">In 2016 the Board </w:t>
      </w:r>
      <w:r w:rsidR="00E15270">
        <w:t xml:space="preserve">commenced </w:t>
      </w:r>
      <w:r w:rsidR="005F0948">
        <w:t>a self-initiated review</w:t>
      </w:r>
      <w:r w:rsidRPr="00FF73A5">
        <w:t xml:space="preserve"> to develop potential solutions for greater alignment of tax and accounting treatments to reduce the compliance and administrative burden of complying with two different systems for taxpayers that produce financial statements.  This involved identifying specific opportunities for greater alignment between tax and accounting treatments by considering interactions between the two systems.  </w:t>
      </w:r>
    </w:p>
    <w:p w14:paraId="60753097" w14:textId="6BE51513" w:rsidR="00FF73A5" w:rsidRPr="00FF73A5" w:rsidRDefault="00FF73A5" w:rsidP="00FF73A5">
      <w:r w:rsidRPr="00FF73A5">
        <w:t xml:space="preserve">To investigate these matters, the Board formed a Working Group, which was chaired by Board Member Craig Yaxley and supported by Board Member Ann-Maree Wolff.  The Board also received high level input from AASB staff, the ATO and the Treasury.  </w:t>
      </w:r>
    </w:p>
    <w:p w14:paraId="0AD60320" w14:textId="4E666D24" w:rsidR="00FF73A5" w:rsidRPr="00FF73A5" w:rsidRDefault="00FF73A5" w:rsidP="00FF73A5">
      <w:r w:rsidRPr="00FF73A5">
        <w:t xml:space="preserve">In order to determine priorities, the Working Group consulted with the ATO’s Tax and Accounting Safe Harbour Working.  </w:t>
      </w:r>
    </w:p>
    <w:p w14:paraId="12EA945E" w14:textId="1CD08608" w:rsidR="00DB090C" w:rsidRDefault="00C17A76" w:rsidP="00C17A76">
      <w:r>
        <w:t xml:space="preserve">This report outlines the research undertaken to support the overarching conclusion </w:t>
      </w:r>
      <w:r w:rsidR="00CF1708">
        <w:t>reached by the Working Group</w:t>
      </w:r>
      <w:r>
        <w:t>.  This report also outlines the Board’s view in more depth, looks at the trends and experiences of international jurisdictions as well as lists advantages and disadvantages of alignment</w:t>
      </w:r>
      <w:r w:rsidR="00285128">
        <w:t xml:space="preserve"> identified during the course of this project</w:t>
      </w:r>
      <w:r>
        <w:t xml:space="preserve">. </w:t>
      </w:r>
    </w:p>
    <w:p w14:paraId="17EBC931" w14:textId="4C4A86BB" w:rsidR="00DB090C" w:rsidRDefault="00C17A76" w:rsidP="00C17A76">
      <w:pPr>
        <w:sectPr w:rsidR="00DB090C" w:rsidSect="00E806E0">
          <w:pgSz w:w="11909" w:h="16834" w:code="9"/>
          <w:pgMar w:top="1167" w:right="1701" w:bottom="1701" w:left="1701" w:header="851" w:footer="851" w:gutter="0"/>
          <w:cols w:space="708"/>
          <w:titlePg/>
          <w:docGrid w:linePitch="360"/>
        </w:sectPr>
      </w:pPr>
      <w:r>
        <w:t xml:space="preserve"> </w:t>
      </w:r>
    </w:p>
    <w:p w14:paraId="5F3ADBD8" w14:textId="46BBBDC3" w:rsidR="00D62556" w:rsidRDefault="00DB090C" w:rsidP="00DB090C">
      <w:pPr>
        <w:pStyle w:val="PreChapterHeading"/>
      </w:pPr>
      <w:bookmarkStart w:id="8" w:name="_Toc520377722"/>
      <w:r>
        <w:lastRenderedPageBreak/>
        <w:t>Glossary</w:t>
      </w:r>
      <w:bookmarkEnd w:id="8"/>
    </w:p>
    <w:p w14:paraId="36EF4DB9" w14:textId="77777777" w:rsidR="00DB090C" w:rsidRDefault="00DB090C" w:rsidP="00DB090C">
      <w:r>
        <w:t>The following abbreviations and acronyms are used throughout this report.</w:t>
      </w:r>
    </w:p>
    <w:tbl>
      <w:tblPr>
        <w:tblStyle w:val="HeadingsAboveOnly"/>
        <w:tblW w:w="8647" w:type="dxa"/>
        <w:tblLook w:val="0020" w:firstRow="1" w:lastRow="0" w:firstColumn="0" w:lastColumn="0" w:noHBand="0" w:noVBand="0"/>
      </w:tblPr>
      <w:tblGrid>
        <w:gridCol w:w="3855"/>
        <w:gridCol w:w="4792"/>
      </w:tblGrid>
      <w:tr w:rsidR="00DB090C" w:rsidRPr="00935ED2" w14:paraId="32DEE302" w14:textId="77777777" w:rsidTr="00AA0D71">
        <w:trPr>
          <w:cnfStyle w:val="100000000000" w:firstRow="1" w:lastRow="0" w:firstColumn="0" w:lastColumn="0" w:oddVBand="0" w:evenVBand="0" w:oddHBand="0" w:evenHBand="0" w:firstRowFirstColumn="0" w:firstRowLastColumn="0" w:lastRowFirstColumn="0" w:lastRowLastColumn="0"/>
        </w:trPr>
        <w:tc>
          <w:tcPr>
            <w:tcW w:w="3855" w:type="dxa"/>
          </w:tcPr>
          <w:p w14:paraId="15857B1D" w14:textId="77777777" w:rsidR="00DB090C" w:rsidRPr="003A6DA7" w:rsidRDefault="00DB090C" w:rsidP="00AA0D71">
            <w:pPr>
              <w:pStyle w:val="TableColumnHeadingLeft"/>
            </w:pPr>
            <w:r w:rsidRPr="003A6DA7">
              <w:t>Abbreviation</w:t>
            </w:r>
          </w:p>
        </w:tc>
        <w:tc>
          <w:tcPr>
            <w:tcW w:w="4792" w:type="dxa"/>
          </w:tcPr>
          <w:p w14:paraId="3CD0D742" w14:textId="77777777" w:rsidR="00DB090C" w:rsidRDefault="00DB090C" w:rsidP="00AA0D71">
            <w:pPr>
              <w:pStyle w:val="TableColumnHeadingLeft"/>
            </w:pPr>
            <w:r w:rsidRPr="003A6DA7">
              <w:t>Definition</w:t>
            </w:r>
          </w:p>
        </w:tc>
      </w:tr>
      <w:tr w:rsidR="00DB090C" w:rsidRPr="00935ED2" w14:paraId="2EB85B43" w14:textId="77777777" w:rsidTr="00AA0D71">
        <w:trPr>
          <w:cnfStyle w:val="000000100000" w:firstRow="0" w:lastRow="0" w:firstColumn="0" w:lastColumn="0" w:oddVBand="0" w:evenVBand="0" w:oddHBand="1" w:evenHBand="0" w:firstRowFirstColumn="0" w:firstRowLastColumn="0" w:lastRowFirstColumn="0" w:lastRowLastColumn="0"/>
        </w:trPr>
        <w:tc>
          <w:tcPr>
            <w:tcW w:w="3855" w:type="dxa"/>
          </w:tcPr>
          <w:p w14:paraId="2BB78A03" w14:textId="6E46A403" w:rsidR="00DB090C" w:rsidRPr="00935ED2" w:rsidRDefault="000B355C" w:rsidP="00AA0D71">
            <w:pPr>
              <w:pStyle w:val="TableTextLeft"/>
            </w:pPr>
            <w:r>
              <w:t>AASB</w:t>
            </w:r>
          </w:p>
        </w:tc>
        <w:tc>
          <w:tcPr>
            <w:tcW w:w="4792" w:type="dxa"/>
          </w:tcPr>
          <w:p w14:paraId="3B36571A" w14:textId="35231BCD" w:rsidR="00DB090C" w:rsidRPr="00935ED2" w:rsidRDefault="000B355C" w:rsidP="00AA0D71">
            <w:pPr>
              <w:pStyle w:val="TableTextLeft"/>
            </w:pPr>
            <w:r>
              <w:t>Australian Accounting Standards Board</w:t>
            </w:r>
          </w:p>
        </w:tc>
      </w:tr>
      <w:tr w:rsidR="00DB090C" w:rsidRPr="00935ED2" w14:paraId="475B19A9" w14:textId="77777777" w:rsidTr="00AA0D71">
        <w:trPr>
          <w:cnfStyle w:val="000000010000" w:firstRow="0" w:lastRow="0" w:firstColumn="0" w:lastColumn="0" w:oddVBand="0" w:evenVBand="0" w:oddHBand="0" w:evenHBand="1" w:firstRowFirstColumn="0" w:firstRowLastColumn="0" w:lastRowFirstColumn="0" w:lastRowLastColumn="0"/>
        </w:trPr>
        <w:tc>
          <w:tcPr>
            <w:tcW w:w="3855" w:type="dxa"/>
          </w:tcPr>
          <w:p w14:paraId="7191D282" w14:textId="71E9D043" w:rsidR="00DB090C" w:rsidRPr="00935ED2" w:rsidRDefault="000B355C" w:rsidP="00AA0D71">
            <w:pPr>
              <w:pStyle w:val="TableTextLeft"/>
            </w:pPr>
            <w:r>
              <w:t>ATO</w:t>
            </w:r>
          </w:p>
        </w:tc>
        <w:tc>
          <w:tcPr>
            <w:tcW w:w="4792" w:type="dxa"/>
          </w:tcPr>
          <w:p w14:paraId="0245B5C6" w14:textId="209F50F6" w:rsidR="00DB090C" w:rsidRPr="00935ED2" w:rsidRDefault="000B355C" w:rsidP="00AA0D71">
            <w:pPr>
              <w:pStyle w:val="TableTextLeft"/>
            </w:pPr>
            <w:r>
              <w:t>Australian Taxation Office</w:t>
            </w:r>
          </w:p>
        </w:tc>
      </w:tr>
      <w:tr w:rsidR="005B2E39" w:rsidRPr="00935ED2" w14:paraId="3D0C9EBB" w14:textId="77777777" w:rsidTr="00AA0D71">
        <w:trPr>
          <w:cnfStyle w:val="000000100000" w:firstRow="0" w:lastRow="0" w:firstColumn="0" w:lastColumn="0" w:oddVBand="0" w:evenVBand="0" w:oddHBand="1" w:evenHBand="0" w:firstRowFirstColumn="0" w:firstRowLastColumn="0" w:lastRowFirstColumn="0" w:lastRowLastColumn="0"/>
        </w:trPr>
        <w:tc>
          <w:tcPr>
            <w:tcW w:w="3855" w:type="dxa"/>
          </w:tcPr>
          <w:p w14:paraId="6488F35B" w14:textId="7B3215EE" w:rsidR="005B2E39" w:rsidRDefault="005B2E39" w:rsidP="00AA0D71">
            <w:pPr>
              <w:pStyle w:val="TableTextLeft"/>
            </w:pPr>
            <w:r>
              <w:t>GAAP</w:t>
            </w:r>
          </w:p>
        </w:tc>
        <w:tc>
          <w:tcPr>
            <w:tcW w:w="4792" w:type="dxa"/>
          </w:tcPr>
          <w:p w14:paraId="74ECD74D" w14:textId="4B8039E8" w:rsidR="005B2E39" w:rsidRDefault="005B2E39" w:rsidP="00AA0D71">
            <w:pPr>
              <w:pStyle w:val="TableTextLeft"/>
            </w:pPr>
            <w:r>
              <w:t>Generally Accepted Accounting Principles</w:t>
            </w:r>
          </w:p>
        </w:tc>
      </w:tr>
      <w:tr w:rsidR="00DB090C" w:rsidRPr="00935ED2" w14:paraId="5C9C63AE" w14:textId="77777777" w:rsidTr="00AA0D71">
        <w:trPr>
          <w:cnfStyle w:val="000000010000" w:firstRow="0" w:lastRow="0" w:firstColumn="0" w:lastColumn="0" w:oddVBand="0" w:evenVBand="0" w:oddHBand="0" w:evenHBand="1" w:firstRowFirstColumn="0" w:firstRowLastColumn="0" w:lastRowFirstColumn="0" w:lastRowLastColumn="0"/>
        </w:trPr>
        <w:tc>
          <w:tcPr>
            <w:tcW w:w="3855" w:type="dxa"/>
          </w:tcPr>
          <w:p w14:paraId="0CF45319" w14:textId="57DC0089" w:rsidR="00DB090C" w:rsidRPr="00935ED2" w:rsidRDefault="000B355C" w:rsidP="00AA0D71">
            <w:pPr>
              <w:pStyle w:val="TableTextLeft"/>
            </w:pPr>
            <w:r>
              <w:t>IFRS</w:t>
            </w:r>
          </w:p>
        </w:tc>
        <w:tc>
          <w:tcPr>
            <w:tcW w:w="4792" w:type="dxa"/>
          </w:tcPr>
          <w:p w14:paraId="1424A360" w14:textId="37A7F02F" w:rsidR="00DB090C" w:rsidRPr="00935ED2" w:rsidRDefault="000B355C" w:rsidP="00AA0D71">
            <w:pPr>
              <w:pStyle w:val="TableTextLeft"/>
            </w:pPr>
            <w:r>
              <w:t>International Financial Reporting Standards</w:t>
            </w:r>
          </w:p>
        </w:tc>
      </w:tr>
      <w:tr w:rsidR="00DB090C" w:rsidRPr="00935ED2" w14:paraId="11AC6ADC" w14:textId="77777777" w:rsidTr="00AA0D71">
        <w:trPr>
          <w:cnfStyle w:val="000000100000" w:firstRow="0" w:lastRow="0" w:firstColumn="0" w:lastColumn="0" w:oddVBand="0" w:evenVBand="0" w:oddHBand="1" w:evenHBand="0" w:firstRowFirstColumn="0" w:firstRowLastColumn="0" w:lastRowFirstColumn="0" w:lastRowLastColumn="0"/>
        </w:trPr>
        <w:tc>
          <w:tcPr>
            <w:tcW w:w="3855" w:type="dxa"/>
          </w:tcPr>
          <w:p w14:paraId="76A8E0D3" w14:textId="24B1C1B8" w:rsidR="00DB090C" w:rsidRPr="00935ED2" w:rsidRDefault="006604B4" w:rsidP="00AA0D71">
            <w:pPr>
              <w:pStyle w:val="TableTextLeft"/>
            </w:pPr>
            <w:r>
              <w:t>TOFA</w:t>
            </w:r>
          </w:p>
        </w:tc>
        <w:tc>
          <w:tcPr>
            <w:tcW w:w="4792" w:type="dxa"/>
          </w:tcPr>
          <w:p w14:paraId="47C5FDF5" w14:textId="4F5D93F8" w:rsidR="00DB090C" w:rsidRPr="00935ED2" w:rsidRDefault="006604B4" w:rsidP="00AA0D71">
            <w:pPr>
              <w:pStyle w:val="TableTextLeft"/>
            </w:pPr>
            <w:r>
              <w:t>Taxation of Financial Arrangements</w:t>
            </w:r>
          </w:p>
        </w:tc>
      </w:tr>
    </w:tbl>
    <w:p w14:paraId="6670BB94" w14:textId="77777777" w:rsidR="00DB090C" w:rsidRDefault="00DB090C" w:rsidP="00DB090C"/>
    <w:p w14:paraId="26849102" w14:textId="77777777" w:rsidR="00DB090C" w:rsidRDefault="00DB090C" w:rsidP="00C17A76"/>
    <w:p w14:paraId="2428C7C6" w14:textId="77777777" w:rsidR="00DB090C" w:rsidRDefault="00DB090C" w:rsidP="00D62556">
      <w:pPr>
        <w:pStyle w:val="Bullet"/>
        <w:numPr>
          <w:ilvl w:val="0"/>
          <w:numId w:val="0"/>
        </w:numPr>
        <w:ind w:left="520" w:hanging="520"/>
        <w:sectPr w:rsidR="00DB090C" w:rsidSect="00E806E0">
          <w:pgSz w:w="11909" w:h="16834" w:code="9"/>
          <w:pgMar w:top="1167" w:right="1701" w:bottom="1701" w:left="1701" w:header="851" w:footer="851" w:gutter="0"/>
          <w:cols w:space="708"/>
          <w:titlePg/>
          <w:docGrid w:linePitch="360"/>
        </w:sectPr>
      </w:pPr>
    </w:p>
    <w:p w14:paraId="52EF8349" w14:textId="55F302D3" w:rsidR="00FF73A5" w:rsidRDefault="006604B4" w:rsidP="00DB090C">
      <w:pPr>
        <w:pStyle w:val="Heading1"/>
      </w:pPr>
      <w:bookmarkStart w:id="9" w:name="_Toc514074666"/>
      <w:bookmarkStart w:id="10" w:name="_Toc520377723"/>
      <w:r>
        <w:lastRenderedPageBreak/>
        <w:t xml:space="preserve">Chapter 1: </w:t>
      </w:r>
      <w:r w:rsidR="00DB090C">
        <w:t>M</w:t>
      </w:r>
      <w:r w:rsidR="003130FD">
        <w:t>erits of alignment between accounting and tax systems</w:t>
      </w:r>
      <w:bookmarkEnd w:id="9"/>
      <w:bookmarkEnd w:id="1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048"/>
      </w:tblGrid>
      <w:tr w:rsidR="00DB090C" w14:paraId="1DBA2D13" w14:textId="77777777" w:rsidTr="00AA0D71">
        <w:tc>
          <w:tcPr>
            <w:tcW w:w="675" w:type="dxa"/>
            <w:tcBorders>
              <w:bottom w:val="single" w:sz="24" w:space="0" w:color="3F6294"/>
            </w:tcBorders>
          </w:tcPr>
          <w:p w14:paraId="621F90B1" w14:textId="77777777" w:rsidR="00DB090C" w:rsidRPr="00A66202" w:rsidRDefault="00DB090C" w:rsidP="00AA0D71">
            <w:pPr>
              <w:pStyle w:val="BoxText"/>
            </w:pPr>
          </w:p>
        </w:tc>
        <w:tc>
          <w:tcPr>
            <w:tcW w:w="8048" w:type="dxa"/>
            <w:tcBorders>
              <w:bottom w:val="single" w:sz="24" w:space="0" w:color="3F6294"/>
            </w:tcBorders>
          </w:tcPr>
          <w:p w14:paraId="6FFED18E" w14:textId="77777777" w:rsidR="00DB090C" w:rsidRPr="00A66202" w:rsidRDefault="00DB090C" w:rsidP="00AA0D71">
            <w:pPr>
              <w:pStyle w:val="KeyPointsHeading"/>
            </w:pPr>
            <w:r w:rsidRPr="00A66202">
              <w:t>Key Points</w:t>
            </w:r>
          </w:p>
        </w:tc>
      </w:tr>
      <w:tr w:rsidR="00DB090C" w14:paraId="1420069C" w14:textId="77777777" w:rsidTr="00AA0D71">
        <w:tc>
          <w:tcPr>
            <w:tcW w:w="675" w:type="dxa"/>
            <w:tcBorders>
              <w:top w:val="single" w:sz="24" w:space="0" w:color="3F6294"/>
            </w:tcBorders>
            <w:shd w:val="clear" w:color="auto" w:fill="auto"/>
          </w:tcPr>
          <w:p w14:paraId="0A5FE861" w14:textId="77777777" w:rsidR="00DB090C" w:rsidRDefault="00DB090C" w:rsidP="00AA0D71">
            <w:pPr>
              <w:pStyle w:val="BoxText"/>
            </w:pPr>
          </w:p>
        </w:tc>
        <w:tc>
          <w:tcPr>
            <w:tcW w:w="8048" w:type="dxa"/>
            <w:tcBorders>
              <w:top w:val="single" w:sz="24" w:space="0" w:color="3F6294"/>
            </w:tcBorders>
            <w:shd w:val="clear" w:color="auto" w:fill="C2DAEB"/>
          </w:tcPr>
          <w:p w14:paraId="03EEF1D4" w14:textId="77777777" w:rsidR="000B355C" w:rsidRDefault="000B355C" w:rsidP="005B2E39">
            <w:pPr>
              <w:pStyle w:val="BoxBullet"/>
              <w:tabs>
                <w:tab w:val="clear" w:pos="567"/>
                <w:tab w:val="num" w:pos="283"/>
              </w:tabs>
              <w:ind w:left="283" w:hanging="283"/>
              <w:rPr>
                <w:noProof/>
              </w:rPr>
            </w:pPr>
            <w:r>
              <w:rPr>
                <w:noProof/>
              </w:rPr>
              <w:t xml:space="preserve">The Board of Taxation considers that broad spectrum alignment between accounting and tax systems is neither possible nor desirable, due to competing objectives of the tax and accounting systems. </w:t>
            </w:r>
          </w:p>
          <w:p w14:paraId="5E35BEE4" w14:textId="77777777" w:rsidR="000B355C" w:rsidRDefault="000B355C" w:rsidP="005B2E39">
            <w:pPr>
              <w:pStyle w:val="BoxBullet"/>
              <w:tabs>
                <w:tab w:val="clear" w:pos="567"/>
                <w:tab w:val="num" w:pos="283"/>
              </w:tabs>
              <w:ind w:left="283" w:hanging="283"/>
              <w:rPr>
                <w:noProof/>
              </w:rPr>
            </w:pPr>
            <w:r>
              <w:rPr>
                <w:noProof/>
              </w:rPr>
              <w:t>However, the Board acknowledges that there may be particular areas of the tax law where greater alignment with accounting practices can create net benefits by reducing compliance costs and improving certainty, without prejudicing tax policy objectives.</w:t>
            </w:r>
          </w:p>
          <w:p w14:paraId="0AD7CEAA" w14:textId="4EE90AAB" w:rsidR="00DB090C" w:rsidRDefault="000B355C" w:rsidP="005B2E39">
            <w:pPr>
              <w:pStyle w:val="BoxBullet"/>
              <w:tabs>
                <w:tab w:val="clear" w:pos="567"/>
                <w:tab w:val="num" w:pos="283"/>
              </w:tabs>
              <w:ind w:left="283" w:hanging="283"/>
            </w:pPr>
            <w:r>
              <w:rPr>
                <w:noProof/>
              </w:rPr>
              <w:t>Accordingly, Board considers that it is appropriate to consider areas for greater alignment between tax and accounting on a case-by-case basis to identify situations where greater alignment could be warranted and could be achieved in a simple and targeted fashion.</w:t>
            </w:r>
          </w:p>
        </w:tc>
      </w:tr>
    </w:tbl>
    <w:p w14:paraId="4C3244E5" w14:textId="77777777" w:rsidR="00DB090C" w:rsidRDefault="00DB090C" w:rsidP="00DB090C">
      <w:pPr>
        <w:pStyle w:val="NumberedParagraph"/>
        <w:numPr>
          <w:ilvl w:val="0"/>
          <w:numId w:val="0"/>
        </w:numPr>
        <w:ind w:left="567"/>
      </w:pPr>
    </w:p>
    <w:p w14:paraId="7CA134FF" w14:textId="5D4B81DB" w:rsidR="00F0263C" w:rsidRDefault="002F3238" w:rsidP="00A51AE6">
      <w:pPr>
        <w:pStyle w:val="NumberedParagraph"/>
      </w:pPr>
      <w:r w:rsidRPr="0066390F">
        <w:t>In Australia, accounting standards and tax laws have different objectives.</w:t>
      </w:r>
      <w:r w:rsidR="00F0263C">
        <w:t xml:space="preserve"> </w:t>
      </w:r>
      <w:r w:rsidRPr="0066390F">
        <w:t>Tax laws provide a legal basis for raising revenue and seek to drive the Government’s policy objectives</w:t>
      </w:r>
      <w:r w:rsidR="00F0263C">
        <w:t>, whilst a</w:t>
      </w:r>
      <w:r w:rsidRPr="0066390F">
        <w:t xml:space="preserve">ccounting standards exist to guide the comparable provision of financial information to existing and potential shareholders, lenders and other creditors on the past performance of the company, and support decision making in relation to investment and future corporate strategies. </w:t>
      </w:r>
    </w:p>
    <w:p w14:paraId="56F55747" w14:textId="14343D5A" w:rsidR="00F0263C" w:rsidRPr="0066390F" w:rsidRDefault="00F0263C" w:rsidP="00A51AE6">
      <w:pPr>
        <w:pStyle w:val="NumberedParagraph"/>
      </w:pPr>
      <w:r w:rsidRPr="00F0263C">
        <w:t>Australia’s current corporate tax system is not based on alignment between accounting and tax. To the contrary, each system is based on specific and differing objectives (as noted above). Alignment in Australia has occurred on a case by case basis, after weighing up the merits of alignment as against other policy considerations.</w:t>
      </w:r>
      <w:r>
        <w:t xml:space="preserve"> Refer to Chapter 2 for further details of the Australian experience to date. </w:t>
      </w:r>
      <w:r w:rsidRPr="00F0263C">
        <w:t xml:space="preserve">   </w:t>
      </w:r>
    </w:p>
    <w:p w14:paraId="73085DDF" w14:textId="582EB0E9" w:rsidR="002F3238" w:rsidRPr="0066390F" w:rsidRDefault="00F0263C" w:rsidP="00A51AE6">
      <w:pPr>
        <w:pStyle w:val="NumberedParagraph"/>
      </w:pPr>
      <w:r>
        <w:t>T</w:t>
      </w:r>
      <w:r w:rsidR="002F3238" w:rsidRPr="0066390F">
        <w:t>he Board of Taxation is of the view that</w:t>
      </w:r>
      <w:r w:rsidR="002F3238">
        <w:t xml:space="preserve"> </w:t>
      </w:r>
      <w:r w:rsidR="002F3238" w:rsidRPr="0066390F">
        <w:t xml:space="preserve">broad spectrum alignment between the accounting and tax system would be neither possible nor desirable.  This is because broad spectrum alignment would: </w:t>
      </w:r>
    </w:p>
    <w:p w14:paraId="23062BC0" w14:textId="77777777" w:rsidR="002F3238" w:rsidRPr="00A51AE6" w:rsidRDefault="002F3238" w:rsidP="00DB090C">
      <w:pPr>
        <w:pStyle w:val="Dash"/>
      </w:pPr>
      <w:r w:rsidRPr="00A51AE6">
        <w:t xml:space="preserve">Severely restrict the capacity of policy makers to drive objectives other than alignment / simplicity; </w:t>
      </w:r>
    </w:p>
    <w:p w14:paraId="3EC92244" w14:textId="77777777" w:rsidR="002F3238" w:rsidRPr="00A51AE6" w:rsidRDefault="002F3238" w:rsidP="00DB090C">
      <w:pPr>
        <w:pStyle w:val="Dash"/>
      </w:pPr>
      <w:r w:rsidRPr="00A51AE6">
        <w:t xml:space="preserve">Compromise the integrity of both the tax and accounting systems by trying to achieve competing objectives through a single system; and  </w:t>
      </w:r>
    </w:p>
    <w:p w14:paraId="4534696A" w14:textId="77777777" w:rsidR="002F3238" w:rsidRPr="00A51AE6" w:rsidRDefault="002F3238" w:rsidP="00DB090C">
      <w:pPr>
        <w:pStyle w:val="Dash"/>
      </w:pPr>
      <w:r w:rsidRPr="00A51AE6">
        <w:lastRenderedPageBreak/>
        <w:t xml:space="preserve">Require a significant departure from the current basis of Australia’s corporate tax system.  </w:t>
      </w:r>
    </w:p>
    <w:p w14:paraId="4FCE9427" w14:textId="3B4D50E8" w:rsidR="00F0263C" w:rsidRPr="0066390F" w:rsidRDefault="002F3238" w:rsidP="00A51AE6">
      <w:pPr>
        <w:pStyle w:val="NumberedParagraph"/>
      </w:pPr>
      <w:r>
        <w:t>However, t</w:t>
      </w:r>
      <w:r w:rsidRPr="0066390F">
        <w:t xml:space="preserve">here are some compliance cost savings available from increased alignment for companies that already prepare audited financial accounts. These compliance cost savings will largely accrue to companies that prepare </w:t>
      </w:r>
      <w:r>
        <w:t>accounts</w:t>
      </w:r>
      <w:r w:rsidRPr="0066390F">
        <w:t xml:space="preserve"> in accordance with IFRS, which includes companies based in Australia and a range of other countries, with the notable exception of the United States (which mandates the use of US GAAP). The compliance costs involved are typically one-off, up-front costs and most companies would also bear a compliance cost of transition from any changes to the current system. </w:t>
      </w:r>
    </w:p>
    <w:p w14:paraId="57B1277E" w14:textId="77777777" w:rsidR="002F3238" w:rsidRPr="0066390F" w:rsidRDefault="002F3238" w:rsidP="00A51AE6">
      <w:pPr>
        <w:pStyle w:val="NumberedParagraph"/>
      </w:pPr>
      <w:r>
        <w:t xml:space="preserve">There may also be scope to link to accounting systems to improve administration of taxation (for example in relation to lodgements, calculation of PAYG instalments and transfer of information to the ATO), especially in the </w:t>
      </w:r>
      <w:r w:rsidRPr="007F1277">
        <w:t>small business sector</w:t>
      </w:r>
      <w:r>
        <w:t xml:space="preserve">. </w:t>
      </w:r>
    </w:p>
    <w:p w14:paraId="6C241A9B" w14:textId="624C6122" w:rsidR="002F3238" w:rsidRPr="00A51AE6" w:rsidRDefault="002F3238" w:rsidP="00A51AE6">
      <w:pPr>
        <w:pStyle w:val="NumberedParagraph"/>
      </w:pPr>
      <w:r>
        <w:t xml:space="preserve">As </w:t>
      </w:r>
      <w:r w:rsidRPr="00074C39">
        <w:t>such, the Board considers that</w:t>
      </w:r>
      <w:r w:rsidR="00F0263C">
        <w:t>, i</w:t>
      </w:r>
      <w:r w:rsidRPr="00A51AE6">
        <w:t xml:space="preserve">n relation to </w:t>
      </w:r>
      <w:r w:rsidRPr="00A51AE6">
        <w:rPr>
          <w:b/>
        </w:rPr>
        <w:t>future tax policy and law design initiatives</w:t>
      </w:r>
      <w:r w:rsidRPr="00A51AE6">
        <w:t>:</w:t>
      </w:r>
    </w:p>
    <w:p w14:paraId="401D93DC" w14:textId="77777777" w:rsidR="002F3238" w:rsidRPr="00074C39" w:rsidRDefault="002F3238" w:rsidP="00DB090C">
      <w:pPr>
        <w:pStyle w:val="Dash"/>
      </w:pPr>
      <w:r w:rsidRPr="00074C39">
        <w:t xml:space="preserve">Specific opportunities for alignment should be considered when designing new business tax policy options. Accounting treatment should be routinely considered as a potential option to deliver the intended tax policy outcomes. Any deviations should be justified on policy grounds. </w:t>
      </w:r>
    </w:p>
    <w:p w14:paraId="49BE39CF" w14:textId="77777777" w:rsidR="002F3238" w:rsidRPr="00A51AE6" w:rsidRDefault="002F3238" w:rsidP="00DB090C">
      <w:pPr>
        <w:pStyle w:val="Dash"/>
      </w:pPr>
      <w:r w:rsidRPr="00074C39">
        <w:t xml:space="preserve">There should be increased communication and co-ordination between the relevant agencies (Treasury, ATO and AASB) early in tax policy development and tax law design processes which involve both tax laws and accounting standards. (An ongoing dialogue will also facilitate the ongoing monitoring process referred to below). A concerted focus on knowledge sharing and capacity building in each agency is encouraged. </w:t>
      </w:r>
    </w:p>
    <w:p w14:paraId="21BCA0B4" w14:textId="77777777" w:rsidR="002F3238" w:rsidRPr="00074C39" w:rsidRDefault="002F3238" w:rsidP="00DB090C">
      <w:pPr>
        <w:pStyle w:val="Dash"/>
      </w:pPr>
      <w:r w:rsidRPr="00074C39">
        <w:t xml:space="preserve">Where there is interplay between accounting and tax, the law design process should start with the presumption that reliance on the accounting standards should be “pure” i.e. not modified by the tax law. This is because linking tax outcomes to accounting standards which are themselves modified by the tax provisions is likely to create complexity and uncertainty and should be avoided where possible. </w:t>
      </w:r>
    </w:p>
    <w:p w14:paraId="5C6DDF72" w14:textId="273732B7" w:rsidR="002F3238" w:rsidRPr="00A51AE6" w:rsidRDefault="002F3238" w:rsidP="00A51AE6">
      <w:pPr>
        <w:pStyle w:val="NumberedParagraph"/>
      </w:pPr>
      <w:r w:rsidRPr="00A51AE6">
        <w:t xml:space="preserve">In relation to </w:t>
      </w:r>
      <w:r w:rsidRPr="00A51AE6">
        <w:rPr>
          <w:b/>
        </w:rPr>
        <w:t>current tax laws</w:t>
      </w:r>
      <w:r w:rsidR="00F0263C">
        <w:t>, the Board considers that:</w:t>
      </w:r>
    </w:p>
    <w:p w14:paraId="7E22123E" w14:textId="477C3835" w:rsidR="002F3238" w:rsidRPr="0066390F" w:rsidRDefault="002F3238" w:rsidP="00DB090C">
      <w:pPr>
        <w:pStyle w:val="Dash"/>
      </w:pPr>
      <w:r w:rsidRPr="00074C39">
        <w:t>Specific opportunities for greater alignment in the current law should be considered and implemented on a case</w:t>
      </w:r>
      <w:r w:rsidR="00F0263C">
        <w:t>-</w:t>
      </w:r>
      <w:r w:rsidRPr="00074C39">
        <w:t>by</w:t>
      </w:r>
      <w:r w:rsidR="00F0263C">
        <w:t>-</w:t>
      </w:r>
      <w:r w:rsidRPr="00074C39">
        <w:t>case basis to reduce compliance costs or to improve certainty in the context of tax policy objectives. Where such changes are implemented, mitigation strategies should be put in place</w:t>
      </w:r>
      <w:r w:rsidRPr="0066390F">
        <w:t xml:space="preserve"> to manage adverse impacts. This could include, carve outs for companies that do not prepare audited financial statements and/or transition periods. </w:t>
      </w:r>
    </w:p>
    <w:p w14:paraId="7C22E20F" w14:textId="77777777" w:rsidR="002F3238" w:rsidRPr="00D62556" w:rsidRDefault="002F3238" w:rsidP="00DB090C">
      <w:pPr>
        <w:pStyle w:val="Dash"/>
      </w:pPr>
      <w:r w:rsidRPr="00D62556">
        <w:t xml:space="preserve">Existing provisions within the tax act which rely on accounting standards but where that reliance creates complexity or uncertainty (potentially as a result of a </w:t>
      </w:r>
      <w:r w:rsidRPr="00D62556">
        <w:lastRenderedPageBreak/>
        <w:t xml:space="preserve">modified application of accounting standards for tax purposes) and current outcomes are inconsistent with the underlying policy intent of the tax laws should be reviewed. </w:t>
      </w:r>
    </w:p>
    <w:p w14:paraId="1A80EA62" w14:textId="0686C317" w:rsidR="00F0263C" w:rsidRDefault="00F0263C" w:rsidP="00A51AE6">
      <w:pPr>
        <w:pStyle w:val="NumberedParagraph"/>
      </w:pPr>
      <w:r>
        <w:t>The Board is of the view that, given the potential for compliance cost savings for small business, the scope to link to accounting and tax systems to improve administration of taxation should be carefully considered</w:t>
      </w:r>
      <w:r w:rsidRPr="00D62556">
        <w:t xml:space="preserve"> </w:t>
      </w:r>
      <w:r>
        <w:t>i</w:t>
      </w:r>
      <w:r w:rsidR="002F3238" w:rsidRPr="00D62556">
        <w:t xml:space="preserve">n relation to the </w:t>
      </w:r>
      <w:r w:rsidR="002F3238" w:rsidRPr="00A51AE6">
        <w:t>small business sector</w:t>
      </w:r>
      <w:r w:rsidRPr="00F0263C">
        <w:t xml:space="preserve">. </w:t>
      </w:r>
    </w:p>
    <w:p w14:paraId="6E034A52" w14:textId="028788FD" w:rsidR="002F3238" w:rsidRDefault="00F0263C" w:rsidP="00A51AE6">
      <w:pPr>
        <w:pStyle w:val="NumberedParagraph"/>
      </w:pPr>
      <w:r>
        <w:t>In addition, the Board considers that t</w:t>
      </w:r>
      <w:r w:rsidR="002F3238" w:rsidRPr="0066390F">
        <w:t xml:space="preserve">here should be an ongoing process to monitor the interplay between tax laws and the accounting standards. This may include where changes in accounting standards or differences of interpretation of such standards have created tax treatment anomalies or opportunities.  Australia’s approach to alignment should be routinely re-evaluated based on significant changes in accounting standards or significant developments internationally to ensure that Australia’s approach remains current and appropriately tailored to suit the needs of all users.   </w:t>
      </w:r>
    </w:p>
    <w:p w14:paraId="5A4F5B96" w14:textId="77777777" w:rsidR="00DB090C" w:rsidRDefault="00DB090C" w:rsidP="00D62556">
      <w:pPr>
        <w:sectPr w:rsidR="00DB090C" w:rsidSect="00524A64">
          <w:headerReference w:type="default" r:id="rId35"/>
          <w:headerReference w:type="first" r:id="rId36"/>
          <w:pgSz w:w="11909" w:h="16834" w:code="9"/>
          <w:pgMar w:top="1167" w:right="1701" w:bottom="1701" w:left="1701" w:header="851" w:footer="851" w:gutter="0"/>
          <w:cols w:space="708"/>
          <w:docGrid w:linePitch="360"/>
        </w:sectPr>
      </w:pPr>
    </w:p>
    <w:p w14:paraId="14D5B27F" w14:textId="08C729A7" w:rsidR="00D62556" w:rsidRDefault="006604B4" w:rsidP="00DB090C">
      <w:pPr>
        <w:pStyle w:val="Heading1"/>
      </w:pPr>
      <w:bookmarkStart w:id="11" w:name="_Toc514074667"/>
      <w:bookmarkStart w:id="12" w:name="_Toc520377724"/>
      <w:r>
        <w:lastRenderedPageBreak/>
        <w:t xml:space="preserve">Chapter 2: </w:t>
      </w:r>
      <w:r w:rsidR="00D62556">
        <w:t>Australian and international experiences of alignment</w:t>
      </w:r>
      <w:bookmarkEnd w:id="11"/>
      <w:bookmarkEnd w:id="1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048"/>
      </w:tblGrid>
      <w:tr w:rsidR="00DB090C" w14:paraId="4517D210" w14:textId="77777777" w:rsidTr="00AA0D71">
        <w:tc>
          <w:tcPr>
            <w:tcW w:w="675" w:type="dxa"/>
            <w:tcBorders>
              <w:bottom w:val="single" w:sz="24" w:space="0" w:color="3F6294"/>
            </w:tcBorders>
          </w:tcPr>
          <w:p w14:paraId="4665E00E" w14:textId="77777777" w:rsidR="00DB090C" w:rsidRPr="00A66202" w:rsidRDefault="00DB090C" w:rsidP="00AA0D71">
            <w:pPr>
              <w:pStyle w:val="BoxText"/>
            </w:pPr>
            <w:bookmarkStart w:id="13" w:name="_Toc460237457"/>
            <w:bookmarkStart w:id="14" w:name="_Toc460248267"/>
            <w:bookmarkStart w:id="15" w:name="_Toc460248477"/>
            <w:bookmarkStart w:id="16" w:name="_Toc460254114"/>
            <w:bookmarkStart w:id="17" w:name="_Toc460500216"/>
            <w:bookmarkStart w:id="18" w:name="_Toc460500603"/>
            <w:bookmarkStart w:id="19" w:name="_Toc514074668"/>
          </w:p>
        </w:tc>
        <w:tc>
          <w:tcPr>
            <w:tcW w:w="8048" w:type="dxa"/>
            <w:tcBorders>
              <w:bottom w:val="single" w:sz="24" w:space="0" w:color="3F6294"/>
            </w:tcBorders>
          </w:tcPr>
          <w:p w14:paraId="4D515ADE" w14:textId="77777777" w:rsidR="00DB090C" w:rsidRPr="00A66202" w:rsidRDefault="00DB090C" w:rsidP="00AA0D71">
            <w:pPr>
              <w:pStyle w:val="KeyPointsHeading"/>
            </w:pPr>
            <w:r w:rsidRPr="00A66202">
              <w:t>Key Points</w:t>
            </w:r>
          </w:p>
        </w:tc>
      </w:tr>
      <w:tr w:rsidR="00DB090C" w14:paraId="2EF97A80" w14:textId="77777777" w:rsidTr="00AA0D71">
        <w:tc>
          <w:tcPr>
            <w:tcW w:w="675" w:type="dxa"/>
            <w:tcBorders>
              <w:top w:val="single" w:sz="24" w:space="0" w:color="3F6294"/>
            </w:tcBorders>
            <w:shd w:val="clear" w:color="auto" w:fill="auto"/>
          </w:tcPr>
          <w:p w14:paraId="3DE27A5E" w14:textId="77777777" w:rsidR="00DB090C" w:rsidRDefault="00DB090C" w:rsidP="00AA0D71">
            <w:pPr>
              <w:pStyle w:val="BoxText"/>
            </w:pPr>
          </w:p>
        </w:tc>
        <w:tc>
          <w:tcPr>
            <w:tcW w:w="8048" w:type="dxa"/>
            <w:tcBorders>
              <w:top w:val="single" w:sz="24" w:space="0" w:color="3F6294"/>
            </w:tcBorders>
            <w:shd w:val="clear" w:color="auto" w:fill="C2DAEB"/>
          </w:tcPr>
          <w:p w14:paraId="30C1D3E9" w14:textId="1DF0A751" w:rsidR="000B355C" w:rsidRDefault="000B355C" w:rsidP="005B2E39">
            <w:pPr>
              <w:pStyle w:val="BoxBullet"/>
              <w:numPr>
                <w:ilvl w:val="0"/>
                <w:numId w:val="46"/>
              </w:numPr>
              <w:tabs>
                <w:tab w:val="num" w:pos="283"/>
              </w:tabs>
              <w:ind w:left="283" w:hanging="283"/>
              <w:rPr>
                <w:noProof/>
              </w:rPr>
            </w:pPr>
            <w:r>
              <w:rPr>
                <w:noProof/>
              </w:rPr>
              <w:t xml:space="preserve">Australia has sought to align tax and accounting in discrete areas including </w:t>
            </w:r>
            <w:r w:rsidR="005B2E39">
              <w:rPr>
                <w:noProof/>
              </w:rPr>
              <w:t xml:space="preserve">in relation to </w:t>
            </w:r>
            <w:r>
              <w:rPr>
                <w:noProof/>
              </w:rPr>
              <w:t xml:space="preserve">thin </w:t>
            </w:r>
            <w:r w:rsidR="006604B4">
              <w:rPr>
                <w:noProof/>
              </w:rPr>
              <w:t>capitalisation</w:t>
            </w:r>
            <w:r>
              <w:rPr>
                <w:noProof/>
              </w:rPr>
              <w:t>, TOFA and tax consolidation.</w:t>
            </w:r>
          </w:p>
          <w:p w14:paraId="5FEB0E5D" w14:textId="40B8087D" w:rsidR="006604B4" w:rsidRDefault="000B355C" w:rsidP="005B2E39">
            <w:pPr>
              <w:pStyle w:val="BoxBullet"/>
              <w:numPr>
                <w:ilvl w:val="0"/>
                <w:numId w:val="46"/>
              </w:numPr>
              <w:tabs>
                <w:tab w:val="num" w:pos="283"/>
              </w:tabs>
              <w:ind w:left="283" w:hanging="283"/>
              <w:rPr>
                <w:noProof/>
              </w:rPr>
            </w:pPr>
            <w:r>
              <w:rPr>
                <w:noProof/>
              </w:rPr>
              <w:t xml:space="preserve">The adoption of IFRS globally has seen some jurisdictions </w:t>
            </w:r>
            <w:r w:rsidR="006604B4">
              <w:rPr>
                <w:noProof/>
              </w:rPr>
              <w:t xml:space="preserve">which historically had strong links between tax and account systems (for example, the United Kingdom and European Countries) </w:t>
            </w:r>
            <w:r>
              <w:rPr>
                <w:noProof/>
              </w:rPr>
              <w:t xml:space="preserve">move away from </w:t>
            </w:r>
            <w:r w:rsidR="006604B4">
              <w:rPr>
                <w:noProof/>
              </w:rPr>
              <w:t>this position</w:t>
            </w:r>
            <w:r>
              <w:rPr>
                <w:noProof/>
              </w:rPr>
              <w:t>.</w:t>
            </w:r>
            <w:r w:rsidR="006604B4">
              <w:rPr>
                <w:noProof/>
              </w:rPr>
              <w:t xml:space="preserve"> </w:t>
            </w:r>
          </w:p>
          <w:p w14:paraId="42CF8A4D" w14:textId="60069591" w:rsidR="00DB090C" w:rsidRDefault="006604B4" w:rsidP="005B2E39">
            <w:pPr>
              <w:pStyle w:val="BoxBullet"/>
              <w:numPr>
                <w:ilvl w:val="0"/>
                <w:numId w:val="46"/>
              </w:numPr>
              <w:tabs>
                <w:tab w:val="num" w:pos="283"/>
              </w:tabs>
              <w:ind w:left="283" w:hanging="283"/>
            </w:pPr>
            <w:r>
              <w:rPr>
                <w:noProof/>
              </w:rPr>
              <w:t xml:space="preserve">Jurisdictions such as the United States and New Zealand have historically not had strong links between tax and account, and </w:t>
            </w:r>
            <w:r w:rsidRPr="006604B4">
              <w:rPr>
                <w:noProof/>
              </w:rPr>
              <w:t>have sought to make linkages between the two systems where possible and where the benefits outweigh the costs</w:t>
            </w:r>
            <w:r>
              <w:rPr>
                <w:noProof/>
              </w:rPr>
              <w:t>.</w:t>
            </w:r>
          </w:p>
        </w:tc>
      </w:tr>
    </w:tbl>
    <w:p w14:paraId="652D62D7" w14:textId="16EB56BB" w:rsidR="00D62556" w:rsidRPr="00753C79" w:rsidRDefault="00D62556" w:rsidP="00A115F8">
      <w:pPr>
        <w:pStyle w:val="Heading2"/>
        <w:spacing w:after="120"/>
      </w:pPr>
      <w:bookmarkStart w:id="20" w:name="_Toc520377725"/>
      <w:r w:rsidRPr="00753C79">
        <w:t xml:space="preserve">Accounting standards </w:t>
      </w:r>
      <w:r>
        <w:t>– international trends</w:t>
      </w:r>
      <w:bookmarkEnd w:id="13"/>
      <w:bookmarkEnd w:id="14"/>
      <w:bookmarkEnd w:id="15"/>
      <w:bookmarkEnd w:id="16"/>
      <w:bookmarkEnd w:id="17"/>
      <w:bookmarkEnd w:id="18"/>
      <w:bookmarkEnd w:id="19"/>
      <w:bookmarkEnd w:id="20"/>
      <w:r>
        <w:t xml:space="preserve"> </w:t>
      </w:r>
    </w:p>
    <w:p w14:paraId="1935AE7F" w14:textId="77777777" w:rsidR="00D62556" w:rsidRPr="000274FC" w:rsidRDefault="00D62556" w:rsidP="00DB090C">
      <w:pPr>
        <w:pStyle w:val="NewNumberedParagraph"/>
      </w:pPr>
      <w:r w:rsidRPr="000274FC">
        <w:t xml:space="preserve">Historically, most jurisdictions have developed their own accounting systems and standards, intended to drive specific policy objectives. </w:t>
      </w:r>
    </w:p>
    <w:p w14:paraId="3B73F030" w14:textId="77777777" w:rsidR="00D62556" w:rsidRPr="000274FC" w:rsidRDefault="00D62556" w:rsidP="00DB090C">
      <w:pPr>
        <w:pStyle w:val="NewNumberedParagraph"/>
      </w:pPr>
      <w:r w:rsidRPr="000274FC">
        <w:t xml:space="preserve">Harmonisation of accounting standards first took place in the European Union then grew in demand across the world through the 1980’s and 1990’s in response to the removal of barriers to the free flow of capital and increased cross-border trade. </w:t>
      </w:r>
    </w:p>
    <w:p w14:paraId="69D24829" w14:textId="5E0C0A29" w:rsidR="00D62556" w:rsidRPr="000274FC" w:rsidRDefault="00D62556" w:rsidP="00DB090C">
      <w:pPr>
        <w:pStyle w:val="NewNumberedParagraph"/>
      </w:pPr>
      <w:r w:rsidRPr="00C11F54">
        <w:t>The current system of international accounting standards (</w:t>
      </w:r>
      <w:r w:rsidRPr="007D6A43">
        <w:t xml:space="preserve">IFRS) </w:t>
      </w:r>
      <w:r w:rsidRPr="00305838">
        <w:t>represents</w:t>
      </w:r>
      <w:r w:rsidRPr="00C11F54">
        <w:t xml:space="preserve"> a principles based approach rather than a rules</w:t>
      </w:r>
      <w:r w:rsidRPr="00305838">
        <w:t>-</w:t>
      </w:r>
      <w:r w:rsidRPr="007D6A43">
        <w:t xml:space="preserve">based approach </w:t>
      </w:r>
      <w:r w:rsidRPr="00305838">
        <w:t>(</w:t>
      </w:r>
      <w:r w:rsidRPr="00C11F54">
        <w:t>which prevailed in some jurisdictions beforehand</w:t>
      </w:r>
      <w:r w:rsidRPr="00305838">
        <w:t>)</w:t>
      </w:r>
      <w:r w:rsidRPr="00C11F54">
        <w:t>.  The application of the</w:t>
      </w:r>
      <w:r w:rsidRPr="00305838">
        <w:t>se</w:t>
      </w:r>
      <w:r w:rsidRPr="00C11F54">
        <w:t xml:space="preserve"> standards may require significant judgment in certain circumsta</w:t>
      </w:r>
      <w:r w:rsidRPr="007D6A43">
        <w:t xml:space="preserve">nces. </w:t>
      </w:r>
      <w:r w:rsidRPr="00305838">
        <w:t>There are</w:t>
      </w:r>
      <w:r w:rsidRPr="00C11F54">
        <w:t xml:space="preserve"> </w:t>
      </w:r>
      <w:r w:rsidRPr="00305838">
        <w:t>a</w:t>
      </w:r>
      <w:r w:rsidRPr="007D6A43">
        <w:t xml:space="preserve"> number of </w:t>
      </w:r>
      <w:r w:rsidRPr="00305838">
        <w:t xml:space="preserve">IFRS </w:t>
      </w:r>
      <w:r w:rsidRPr="00C11F54">
        <w:t xml:space="preserve">standards where </w:t>
      </w:r>
      <w:r w:rsidRPr="00305838">
        <w:t xml:space="preserve">the use of </w:t>
      </w:r>
      <w:r w:rsidRPr="00C11F54">
        <w:t xml:space="preserve">‘fair value’ is required or </w:t>
      </w:r>
      <w:r w:rsidRPr="007D6A43">
        <w:t>available</w:t>
      </w:r>
      <w:r w:rsidRPr="00305838">
        <w:t xml:space="preserve"> as an option</w:t>
      </w:r>
      <w:r w:rsidRPr="00C11F54">
        <w:t xml:space="preserve">. </w:t>
      </w:r>
      <w:r w:rsidRPr="007D6A43">
        <w:t xml:space="preserve">IFRS has been reasonably widely adopted. </w:t>
      </w:r>
    </w:p>
    <w:p w14:paraId="43274E39" w14:textId="77777777" w:rsidR="00D62556" w:rsidRPr="000274FC" w:rsidRDefault="00D62556" w:rsidP="00DB090C">
      <w:pPr>
        <w:pStyle w:val="NewNumberedParagraph"/>
      </w:pPr>
      <w:r w:rsidRPr="000274FC">
        <w:t>The European Union countries adopted IFRS in 2005.  In the years since, more than 100 jurisdictions primarily through Europe, the United Kingdom, South America and Asia and have elected to apply IFRS.</w:t>
      </w:r>
      <w:r w:rsidRPr="000274FC">
        <w:rPr>
          <w:vertAlign w:val="superscript"/>
        </w:rPr>
        <w:footnoteReference w:id="2"/>
      </w:r>
      <w:r w:rsidRPr="000274FC">
        <w:t xml:space="preserve">  Consequently, the benefits noted above have been enhanced as more jurisdictions have adopted IFRS.</w:t>
      </w:r>
    </w:p>
    <w:p w14:paraId="55F0A7D0" w14:textId="77777777" w:rsidR="00D62556" w:rsidRPr="00305838" w:rsidRDefault="00D62556" w:rsidP="00DB090C">
      <w:pPr>
        <w:pStyle w:val="NewNumberedParagraph"/>
      </w:pPr>
      <w:r w:rsidRPr="00305838">
        <w:lastRenderedPageBreak/>
        <w:t>Australia adopted IFRS in 2005. At the time, the main benefits of IFRS adoption were noted as follows</w:t>
      </w:r>
      <w:r w:rsidRPr="00305838">
        <w:rPr>
          <w:vertAlign w:val="superscript"/>
        </w:rPr>
        <w:footnoteReference w:id="3"/>
      </w:r>
      <w:r w:rsidRPr="00305838">
        <w:t>:</w:t>
      </w:r>
    </w:p>
    <w:p w14:paraId="0C62BEDE" w14:textId="77777777" w:rsidR="00D62556" w:rsidRPr="00305838" w:rsidRDefault="00D62556" w:rsidP="00DB090C">
      <w:pPr>
        <w:pStyle w:val="Dash"/>
      </w:pPr>
      <w:r w:rsidRPr="00305838">
        <w:t>removing barriers to international capital flows by reducing differences in financial reporting requirements for participants in international capital markets and by increasing the understanding by foreign investors of Australian financial reports;</w:t>
      </w:r>
    </w:p>
    <w:p w14:paraId="4340F821" w14:textId="77777777" w:rsidR="00D62556" w:rsidRPr="00305838" w:rsidRDefault="00D62556" w:rsidP="00DB090C">
      <w:pPr>
        <w:pStyle w:val="Dash"/>
      </w:pPr>
      <w:r w:rsidRPr="00305838">
        <w:t>reducing financial reporting costs for Australian multinational companies and foreign companies operating in Australia and reporting elsewhere;</w:t>
      </w:r>
    </w:p>
    <w:p w14:paraId="2E7BEDA5" w14:textId="77777777" w:rsidR="00D62556" w:rsidRPr="00305838" w:rsidRDefault="00D62556" w:rsidP="00DB090C">
      <w:pPr>
        <w:pStyle w:val="Dash"/>
      </w:pPr>
      <w:r w:rsidRPr="00305838">
        <w:t>facilitating more meaningful comparisons of the financial performance and financial position of Australian and foreign public sector reporting entities; and</w:t>
      </w:r>
    </w:p>
    <w:p w14:paraId="63589CBE" w14:textId="77777777" w:rsidR="00D62556" w:rsidRPr="00305838" w:rsidRDefault="00D62556" w:rsidP="00DB090C">
      <w:pPr>
        <w:pStyle w:val="Dash"/>
      </w:pPr>
      <w:r w:rsidRPr="00305838">
        <w:t>improving the quality of financial reporting in Australia to best international practice.</w:t>
      </w:r>
      <w:r w:rsidRPr="00305838">
        <w:rPr>
          <w:vertAlign w:val="superscript"/>
        </w:rPr>
        <w:footnoteReference w:id="4"/>
      </w:r>
      <w:r w:rsidRPr="00305838">
        <w:rPr>
          <w:rStyle w:val="FootnoteReference"/>
        </w:rPr>
        <w:footnoteReference w:id="5"/>
      </w:r>
      <w:r w:rsidRPr="00305838">
        <w:t xml:space="preserve"> </w:t>
      </w:r>
    </w:p>
    <w:p w14:paraId="59822201" w14:textId="77777777" w:rsidR="00D62556" w:rsidRPr="000274FC" w:rsidRDefault="00D62556" w:rsidP="00DB090C">
      <w:pPr>
        <w:pStyle w:val="NewNumberedParagraph"/>
      </w:pPr>
      <w:r w:rsidRPr="000274FC">
        <w:t>However, the United States has not adopted IFRS and prescribes the use of US GAAP (Generally Accepted Accounting Principles).  However, there has been harmonisation of many US standards with IFRS.</w:t>
      </w:r>
    </w:p>
    <w:p w14:paraId="705F594D" w14:textId="77777777" w:rsidR="00D62556" w:rsidRDefault="00D62556" w:rsidP="00D62556">
      <w:pPr>
        <w:pStyle w:val="Heading2"/>
        <w:spacing w:before="120" w:after="120"/>
      </w:pPr>
      <w:bookmarkStart w:id="21" w:name="_Toc460237458"/>
      <w:bookmarkStart w:id="22" w:name="_Toc460248268"/>
      <w:bookmarkStart w:id="23" w:name="_Toc460248478"/>
      <w:bookmarkStart w:id="24" w:name="_Toc460254115"/>
      <w:bookmarkStart w:id="25" w:name="_Toc460500217"/>
      <w:bookmarkStart w:id="26" w:name="_Toc460500604"/>
      <w:bookmarkStart w:id="27" w:name="_Toc514074669"/>
      <w:bookmarkStart w:id="28" w:name="_Toc520377726"/>
      <w:r w:rsidRPr="00046CE6">
        <w:t>Accounting standards – the Australian approach</w:t>
      </w:r>
      <w:bookmarkEnd w:id="21"/>
      <w:bookmarkEnd w:id="22"/>
      <w:bookmarkEnd w:id="23"/>
      <w:bookmarkEnd w:id="24"/>
      <w:bookmarkEnd w:id="25"/>
      <w:bookmarkEnd w:id="26"/>
      <w:bookmarkEnd w:id="27"/>
      <w:bookmarkEnd w:id="28"/>
      <w:r w:rsidRPr="00046CE6">
        <w:t xml:space="preserve"> </w:t>
      </w:r>
    </w:p>
    <w:p w14:paraId="14F1D01E" w14:textId="77777777" w:rsidR="00D62556" w:rsidRPr="000274FC" w:rsidRDefault="00D62556" w:rsidP="00DB090C">
      <w:pPr>
        <w:pStyle w:val="NewNumberedParagraph"/>
      </w:pPr>
      <w:r w:rsidRPr="000274FC">
        <w:t xml:space="preserve">As a consequence of adopting IFRS, Australia applies standards issued by the International Accounting Standards Board with modifications if necessary to fit the Australian context.  In practice, IFRS are rarely modified for for-profit entities and are effectively applied in Australia. </w:t>
      </w:r>
    </w:p>
    <w:p w14:paraId="1BC9CD04" w14:textId="77777777" w:rsidR="00D62556" w:rsidRDefault="00D62556" w:rsidP="00DB090C">
      <w:pPr>
        <w:pStyle w:val="NewNumberedParagraph"/>
      </w:pPr>
      <w:r w:rsidRPr="000274FC">
        <w:t xml:space="preserve">The lead time for the development of an accounting standard is typically approximately five years, which includes a consultation period. Furthermore, accounting standards have prospective application and usually allow for a further lead time of at least one year and often two or more where particularly complex.   </w:t>
      </w:r>
    </w:p>
    <w:p w14:paraId="27CADC2F" w14:textId="77777777" w:rsidR="00D62556" w:rsidRPr="00230D6F" w:rsidRDefault="00D62556" w:rsidP="00D62556">
      <w:pPr>
        <w:pStyle w:val="Heading2"/>
        <w:spacing w:before="120" w:after="120"/>
      </w:pPr>
      <w:bookmarkStart w:id="29" w:name="_Toc460237459"/>
      <w:bookmarkStart w:id="30" w:name="_Toc460248269"/>
      <w:bookmarkStart w:id="31" w:name="_Toc460248479"/>
      <w:bookmarkStart w:id="32" w:name="_Toc460254116"/>
      <w:bookmarkStart w:id="33" w:name="_Toc460500218"/>
      <w:bookmarkStart w:id="34" w:name="_Toc460500605"/>
      <w:bookmarkStart w:id="35" w:name="_Toc514074670"/>
      <w:bookmarkStart w:id="36" w:name="_Toc520377727"/>
      <w:r w:rsidRPr="00230D6F">
        <w:t xml:space="preserve">The Australian experience </w:t>
      </w:r>
      <w:r>
        <w:t>to date</w:t>
      </w:r>
      <w:bookmarkEnd w:id="29"/>
      <w:bookmarkEnd w:id="30"/>
      <w:bookmarkEnd w:id="31"/>
      <w:bookmarkEnd w:id="32"/>
      <w:bookmarkEnd w:id="33"/>
      <w:bookmarkEnd w:id="34"/>
      <w:bookmarkEnd w:id="35"/>
      <w:bookmarkEnd w:id="36"/>
      <w:r>
        <w:t xml:space="preserve"> </w:t>
      </w:r>
    </w:p>
    <w:p w14:paraId="2C6DC6B9" w14:textId="77777777" w:rsidR="00D62556" w:rsidRPr="000274FC" w:rsidRDefault="00D62556" w:rsidP="00DB090C">
      <w:pPr>
        <w:pStyle w:val="NewNumberedParagraph"/>
      </w:pPr>
      <w:r w:rsidRPr="000274FC">
        <w:t xml:space="preserve">The Review of Business Taxation (i.e. Ralph Review), sought to ‘align more closely taxation law with accounting principles wherever possible’.  </w:t>
      </w:r>
    </w:p>
    <w:p w14:paraId="0A6D8446" w14:textId="77777777" w:rsidR="00D62556" w:rsidRPr="000274FC" w:rsidRDefault="00D62556" w:rsidP="00DB090C">
      <w:pPr>
        <w:pStyle w:val="NewNumberedParagraph"/>
      </w:pPr>
      <w:r w:rsidRPr="000274FC">
        <w:t xml:space="preserve">While wholescale changes to more closely align tax and accounting e.g. the ‘tax value method’ have not been successful in Australia, a number of developments in the corporate tax space throughout the 1990’s and 2000’s have sought to align accounting </w:t>
      </w:r>
      <w:r w:rsidRPr="000274FC">
        <w:lastRenderedPageBreak/>
        <w:t xml:space="preserve">and tax treatments, or leveraged off accounting standards where appropriate, for example: </w:t>
      </w:r>
    </w:p>
    <w:p w14:paraId="26781579" w14:textId="6F2A86B0" w:rsidR="00D62556" w:rsidRPr="000274FC" w:rsidRDefault="00D62556" w:rsidP="00DB090C">
      <w:pPr>
        <w:pStyle w:val="Dash"/>
      </w:pPr>
      <w:r w:rsidRPr="000274FC">
        <w:t>Thin capitalisation rules, especially in relation to the measurement of assets and liabilities</w:t>
      </w:r>
      <w:r w:rsidR="006604B4">
        <w:rPr>
          <w:rStyle w:val="FootnoteReference"/>
        </w:rPr>
        <w:footnoteReference w:id="6"/>
      </w:r>
      <w:r w:rsidRPr="000274FC">
        <w:t xml:space="preserve">;  </w:t>
      </w:r>
    </w:p>
    <w:p w14:paraId="67DC8498" w14:textId="5B99358E" w:rsidR="00D62556" w:rsidRPr="000274FC" w:rsidRDefault="00D62556" w:rsidP="00DB090C">
      <w:pPr>
        <w:pStyle w:val="Dash"/>
      </w:pPr>
      <w:r w:rsidRPr="000274FC">
        <w:t xml:space="preserve">The </w:t>
      </w:r>
      <w:r w:rsidR="006604B4">
        <w:t>TOFA</w:t>
      </w:r>
      <w:r w:rsidRPr="000274FC">
        <w:t xml:space="preserve"> rules</w:t>
      </w:r>
      <w:r w:rsidR="006604B4">
        <w:t>,</w:t>
      </w:r>
      <w:r w:rsidRPr="000274FC">
        <w:t xml:space="preserve"> especially in relation to the measurement of gains and losses</w:t>
      </w:r>
      <w:r w:rsidR="006604B4">
        <w:rPr>
          <w:rStyle w:val="FootnoteReference"/>
        </w:rPr>
        <w:footnoteReference w:id="7"/>
      </w:r>
      <w:r w:rsidRPr="000274FC">
        <w:t xml:space="preserve">; and </w:t>
      </w:r>
    </w:p>
    <w:p w14:paraId="50BB9886" w14:textId="77777777" w:rsidR="00465DB9" w:rsidRPr="00465DB9" w:rsidRDefault="00D62556" w:rsidP="00DB090C">
      <w:pPr>
        <w:pStyle w:val="Dash"/>
        <w:rPr>
          <w:rFonts w:asciiTheme="minorHAnsi" w:hAnsiTheme="minorHAnsi"/>
          <w:b/>
          <w:i/>
        </w:rPr>
      </w:pPr>
      <w:r w:rsidRPr="000274FC">
        <w:t xml:space="preserve">Income tax consolidation, especially in relation to the measurement of assets and liabilities. </w:t>
      </w:r>
    </w:p>
    <w:p w14:paraId="5AD67A17" w14:textId="77777777" w:rsidR="00D62556" w:rsidRDefault="00D62556" w:rsidP="00D62556">
      <w:pPr>
        <w:pStyle w:val="Heading2"/>
        <w:spacing w:before="120" w:after="120"/>
      </w:pPr>
      <w:bookmarkStart w:id="37" w:name="_Toc460237460"/>
      <w:bookmarkStart w:id="38" w:name="_Toc460248270"/>
      <w:bookmarkStart w:id="39" w:name="_Toc460248480"/>
      <w:bookmarkStart w:id="40" w:name="_Toc460254117"/>
      <w:bookmarkStart w:id="41" w:name="_Toc460500219"/>
      <w:bookmarkStart w:id="42" w:name="_Toc460500606"/>
      <w:bookmarkStart w:id="43" w:name="_Toc514074671"/>
      <w:bookmarkStart w:id="44" w:name="_Toc520377728"/>
      <w:r w:rsidRPr="00230D6F">
        <w:t>The international experience</w:t>
      </w:r>
      <w:r>
        <w:rPr>
          <w:rStyle w:val="FootnoteReference"/>
        </w:rPr>
        <w:footnoteReference w:id="8"/>
      </w:r>
      <w:bookmarkEnd w:id="37"/>
      <w:bookmarkEnd w:id="38"/>
      <w:bookmarkEnd w:id="39"/>
      <w:bookmarkEnd w:id="40"/>
      <w:bookmarkEnd w:id="41"/>
      <w:bookmarkEnd w:id="42"/>
      <w:bookmarkEnd w:id="43"/>
      <w:bookmarkEnd w:id="44"/>
      <w:r w:rsidRPr="00230D6F">
        <w:t xml:space="preserve"> </w:t>
      </w:r>
    </w:p>
    <w:p w14:paraId="7116A90E" w14:textId="77777777" w:rsidR="00D62556" w:rsidRPr="00816503" w:rsidRDefault="00D62556" w:rsidP="00D62556">
      <w:pPr>
        <w:pStyle w:val="Heading3"/>
        <w:spacing w:before="120"/>
      </w:pPr>
      <w:bookmarkStart w:id="45" w:name="_Toc460237461"/>
      <w:bookmarkStart w:id="46" w:name="_Toc460248271"/>
      <w:bookmarkStart w:id="47" w:name="_Toc460248481"/>
      <w:bookmarkStart w:id="48" w:name="_Toc460254118"/>
      <w:bookmarkStart w:id="49" w:name="_Toc460500220"/>
      <w:bookmarkStart w:id="50" w:name="_Toc460500607"/>
      <w:r w:rsidRPr="00230D6F">
        <w:t>Overview</w:t>
      </w:r>
      <w:bookmarkEnd w:id="45"/>
      <w:bookmarkEnd w:id="46"/>
      <w:bookmarkEnd w:id="47"/>
      <w:bookmarkEnd w:id="48"/>
      <w:bookmarkEnd w:id="49"/>
      <w:bookmarkEnd w:id="50"/>
      <w:r w:rsidRPr="00816503">
        <w:t xml:space="preserve"> </w:t>
      </w:r>
    </w:p>
    <w:p w14:paraId="0D608316" w14:textId="77777777" w:rsidR="00D62556" w:rsidRPr="000274FC" w:rsidRDefault="00D62556" w:rsidP="00DB090C">
      <w:pPr>
        <w:pStyle w:val="NewNumberedParagraph"/>
      </w:pPr>
      <w:r w:rsidRPr="000274FC">
        <w:t xml:space="preserve">Historically, most jurisdictions have set their own accounting standards as well as tax policy. </w:t>
      </w:r>
    </w:p>
    <w:p w14:paraId="4A91A65A" w14:textId="77777777" w:rsidR="00D62556" w:rsidRPr="000274FC" w:rsidRDefault="00D62556" w:rsidP="00DB090C">
      <w:pPr>
        <w:pStyle w:val="NewNumberedParagraph"/>
      </w:pPr>
      <w:r w:rsidRPr="000274FC">
        <w:t xml:space="preserve">This paradigm has shifted substantially since the introduction and adoption of International Financial Reporting Standards. </w:t>
      </w:r>
    </w:p>
    <w:p w14:paraId="50A7AFD9" w14:textId="77777777" w:rsidR="00D62556" w:rsidRPr="000274FC" w:rsidRDefault="00D62556" w:rsidP="00DB090C">
      <w:pPr>
        <w:pStyle w:val="NewNumberedParagraph"/>
      </w:pPr>
      <w:r w:rsidRPr="000274FC">
        <w:t xml:space="preserve">Broadly, the link between tax and accounting in the United Kingdom and European countries has historically been strong (by design) but has been deliberately loosened since the adoption of IFRS to allow greater flexibility for domestic policy makers in relation to taxation policy.  </w:t>
      </w:r>
    </w:p>
    <w:p w14:paraId="4C11F9EA" w14:textId="77777777" w:rsidR="00D62556" w:rsidRPr="000274FC" w:rsidRDefault="00D62556" w:rsidP="00DB090C">
      <w:pPr>
        <w:pStyle w:val="NewNumberedParagraph"/>
      </w:pPr>
      <w:r w:rsidRPr="000274FC">
        <w:t xml:space="preserve">Some European countries such as Germany have chosen to maintain strong links between domestic accounting standards and tax laws, but have chosen not to adopt IFRS. </w:t>
      </w:r>
    </w:p>
    <w:p w14:paraId="68AD56EE" w14:textId="77777777" w:rsidR="00D62556" w:rsidRPr="000274FC" w:rsidRDefault="00D62556" w:rsidP="00DB090C">
      <w:pPr>
        <w:pStyle w:val="NewNumberedParagraph"/>
      </w:pPr>
      <w:r w:rsidRPr="000274FC">
        <w:t xml:space="preserve">In contrast, jurisdictions such as the United States and New Zealand have historically had weaker links between accounting and tax, but have sought to make linkages between the two systems where possible and where the benefits outweigh the costs.  </w:t>
      </w:r>
    </w:p>
    <w:p w14:paraId="5CECC8E4" w14:textId="77777777" w:rsidR="00D62556" w:rsidRPr="000274FC" w:rsidRDefault="00D62556" w:rsidP="00DB090C">
      <w:pPr>
        <w:pStyle w:val="NewNumberedParagraph"/>
      </w:pPr>
      <w:r w:rsidRPr="000274FC">
        <w:t xml:space="preserve">The Australian system to date is most in line with the approach taken in the United States and New Zealand. </w:t>
      </w:r>
    </w:p>
    <w:p w14:paraId="02E3CA45" w14:textId="77777777" w:rsidR="00D62556" w:rsidRPr="00230D6F" w:rsidRDefault="00D62556" w:rsidP="00D62556">
      <w:pPr>
        <w:pStyle w:val="Heading3"/>
        <w:spacing w:before="120"/>
      </w:pPr>
      <w:bookmarkStart w:id="51" w:name="_Toc460237462"/>
      <w:bookmarkStart w:id="52" w:name="_Toc460248272"/>
      <w:bookmarkStart w:id="53" w:name="_Toc460248482"/>
      <w:bookmarkStart w:id="54" w:name="_Toc460254119"/>
      <w:bookmarkStart w:id="55" w:name="_Toc460500221"/>
      <w:bookmarkStart w:id="56" w:name="_Toc460500608"/>
      <w:r w:rsidRPr="00230D6F">
        <w:lastRenderedPageBreak/>
        <w:t xml:space="preserve">United </w:t>
      </w:r>
      <w:r w:rsidRPr="009031B6">
        <w:t>Kingdom</w:t>
      </w:r>
      <w:bookmarkEnd w:id="51"/>
      <w:bookmarkEnd w:id="52"/>
      <w:bookmarkEnd w:id="53"/>
      <w:bookmarkEnd w:id="54"/>
      <w:bookmarkEnd w:id="55"/>
      <w:bookmarkEnd w:id="56"/>
      <w:r w:rsidRPr="00230D6F">
        <w:t xml:space="preserve"> </w:t>
      </w:r>
    </w:p>
    <w:p w14:paraId="77D35AB5" w14:textId="77777777" w:rsidR="00D62556" w:rsidRPr="000274FC" w:rsidRDefault="00D62556" w:rsidP="00DB090C">
      <w:pPr>
        <w:pStyle w:val="NewNumberedParagraph"/>
      </w:pPr>
      <w:r w:rsidRPr="000274FC">
        <w:t xml:space="preserve">In the 1980’s, the UK’s corporate tax system was reformed to make the financial accounting system the basis for a significant percentage of the elements of the taxable profit computation. Notable exceptions include long-term investments in land or shares. </w:t>
      </w:r>
    </w:p>
    <w:p w14:paraId="024BC0F4" w14:textId="77777777" w:rsidR="00D62556" w:rsidRPr="000274FC" w:rsidRDefault="00D62556" w:rsidP="00DB090C">
      <w:pPr>
        <w:pStyle w:val="NewNumberedParagraph"/>
      </w:pPr>
      <w:r w:rsidRPr="000274FC">
        <w:t xml:space="preserve">These reforms followed a period of substantial growth in the financial sector in London in the 1980’s spurred on by the abolition of currency exchange controls and supply side reforms.  </w:t>
      </w:r>
    </w:p>
    <w:p w14:paraId="2F3609F6" w14:textId="77777777" w:rsidR="00D62556" w:rsidRPr="000274FC" w:rsidRDefault="00D62556" w:rsidP="00DB090C">
      <w:pPr>
        <w:pStyle w:val="NewNumberedParagraph"/>
      </w:pPr>
      <w:r w:rsidRPr="000274FC">
        <w:t xml:space="preserve">However, the recent drive for harmonisation of financial accounting standards in the European Union and the consequent implementation of IFRS in the UK has led to a rethink about whether the coupling of tax and accounting systems is appropriate. </w:t>
      </w:r>
    </w:p>
    <w:p w14:paraId="4728FA7C" w14:textId="77777777" w:rsidR="00D62556" w:rsidRPr="000274FC" w:rsidRDefault="00D62556" w:rsidP="00DB090C">
      <w:pPr>
        <w:pStyle w:val="NewNumberedParagraph"/>
      </w:pPr>
      <w:r w:rsidRPr="000274FC">
        <w:t>Presently, the starting point for business tax options in the UK remains the accounting treatment. The choice to adopt or modify the accounting treatment depends on whether this treatment is likely to achieve the intended tax policy outcomes</w:t>
      </w:r>
      <w:r w:rsidRPr="000274FC">
        <w:rPr>
          <w:rStyle w:val="FootnoteReference"/>
        </w:rPr>
        <w:footnoteReference w:id="9"/>
      </w:r>
      <w:r w:rsidRPr="000274FC">
        <w:t xml:space="preserve">. </w:t>
      </w:r>
    </w:p>
    <w:p w14:paraId="0A1E48E8" w14:textId="77777777" w:rsidR="00D62556" w:rsidRPr="000274FC" w:rsidRDefault="00D62556" w:rsidP="00DB090C">
      <w:pPr>
        <w:pStyle w:val="NewNumberedParagraph"/>
      </w:pPr>
      <w:r w:rsidRPr="000274FC">
        <w:t>Since 2003, significant changes have been made to the UK tax legislation to modify the link between financial and tax accounting in the areas most affected by the adoption of IFRS, particularly in the field of financial instruments</w:t>
      </w:r>
      <w:r w:rsidRPr="000274FC">
        <w:rPr>
          <w:rStyle w:val="FootnoteReference"/>
        </w:rPr>
        <w:footnoteReference w:id="10"/>
      </w:r>
      <w:r w:rsidRPr="000274FC">
        <w:t xml:space="preserve">. </w:t>
      </w:r>
    </w:p>
    <w:p w14:paraId="46DFA84C" w14:textId="77777777" w:rsidR="00D62556" w:rsidRPr="000274FC" w:rsidRDefault="00D62556" w:rsidP="00DB090C">
      <w:pPr>
        <w:pStyle w:val="NewNumberedParagraph"/>
      </w:pPr>
      <w:r w:rsidRPr="000274FC">
        <w:t xml:space="preserve">The </w:t>
      </w:r>
      <w:r w:rsidRPr="000274FC">
        <w:rPr>
          <w:i/>
        </w:rPr>
        <w:t>Finance Bill</w:t>
      </w:r>
      <w:r w:rsidRPr="000274FC">
        <w:t xml:space="preserve"> passed in 2004 permitted the use of IFRS accounts when filing tax returns, made a number of changes to the UK tax law to accommodate IFRS and enabled the government</w:t>
      </w:r>
      <w:r>
        <w:rPr>
          <w:rFonts w:asciiTheme="majorHAnsi" w:hAnsiTheme="majorHAnsi"/>
        </w:rPr>
        <w:t xml:space="preserve"> to make </w:t>
      </w:r>
      <w:r w:rsidRPr="000274FC">
        <w:t>further detailed changes by issuing statutory instruments (which are legally binding but are faster to implement than changes to legislation)</w:t>
      </w:r>
      <w:r w:rsidRPr="000274FC">
        <w:rPr>
          <w:rStyle w:val="FootnoteReference"/>
        </w:rPr>
        <w:footnoteReference w:id="11"/>
      </w:r>
      <w:r w:rsidRPr="000274FC">
        <w:t xml:space="preserve">. </w:t>
      </w:r>
    </w:p>
    <w:p w14:paraId="0D485869" w14:textId="77777777" w:rsidR="00D62556" w:rsidRPr="000274FC" w:rsidRDefault="00D62556" w:rsidP="00DB090C">
      <w:pPr>
        <w:pStyle w:val="NewNumberedParagraph"/>
      </w:pPr>
      <w:r w:rsidRPr="000274FC">
        <w:t xml:space="preserve">Examples of changes made to the UK tax laws to take account of IFRS include: </w:t>
      </w:r>
    </w:p>
    <w:p w14:paraId="2B745DBB" w14:textId="77777777" w:rsidR="00D62556" w:rsidRPr="000274FC" w:rsidRDefault="00D62556" w:rsidP="00DB090C">
      <w:pPr>
        <w:pStyle w:val="Dash"/>
      </w:pPr>
      <w:r w:rsidRPr="000274FC">
        <w:t>Specific tax rules to recognise a wider range of hedges for tax purposes than permitted by IFRS for financial accounting so that companies are in the same position for tax purposes under IFRS as they were under UK GAAP</w:t>
      </w:r>
      <w:r w:rsidRPr="000274FC">
        <w:rPr>
          <w:rStyle w:val="FootnoteReference"/>
        </w:rPr>
        <w:footnoteReference w:id="12"/>
      </w:r>
      <w:r w:rsidRPr="000274FC">
        <w:t xml:space="preserve">; </w:t>
      </w:r>
    </w:p>
    <w:p w14:paraId="2A3CA182" w14:textId="77777777" w:rsidR="00D62556" w:rsidRPr="000274FC" w:rsidRDefault="00D62556" w:rsidP="00DB090C">
      <w:pPr>
        <w:pStyle w:val="Dash"/>
      </w:pPr>
      <w:r w:rsidRPr="000274FC">
        <w:t>In relation to the taxation of securitisation Special Purpose Vehicles, the financial accounting principles that were being used as a measure of taxable profit have been set aside and a new taxation system has been introduced</w:t>
      </w:r>
      <w:r w:rsidRPr="000274FC">
        <w:rPr>
          <w:rStyle w:val="FootnoteReference"/>
        </w:rPr>
        <w:footnoteReference w:id="13"/>
      </w:r>
      <w:r w:rsidRPr="000274FC">
        <w:t xml:space="preserve">; and  </w:t>
      </w:r>
      <w:r w:rsidRPr="000274FC">
        <w:tab/>
      </w:r>
    </w:p>
    <w:p w14:paraId="730CB225" w14:textId="12422211" w:rsidR="00D62556" w:rsidRPr="000274FC" w:rsidRDefault="00D62556" w:rsidP="00DB090C">
      <w:pPr>
        <w:pStyle w:val="Dash"/>
      </w:pPr>
      <w:r w:rsidRPr="00D00BEA">
        <w:t xml:space="preserve">The HMRC </w:t>
      </w:r>
      <w:r w:rsidR="00D00BEA" w:rsidRPr="00D00BEA">
        <w:t xml:space="preserve">has recently outlined </w:t>
      </w:r>
      <w:r w:rsidR="00D00BEA">
        <w:t>a number of proposed tax law amendments in response</w:t>
      </w:r>
      <w:r w:rsidRPr="00D00BEA">
        <w:t xml:space="preserve"> to the introduction of IFRS16 (the new lease accounting standard)</w:t>
      </w:r>
      <w:r w:rsidRPr="000274FC">
        <w:rPr>
          <w:rStyle w:val="FootnoteReference"/>
        </w:rPr>
        <w:footnoteReference w:id="14"/>
      </w:r>
      <w:r w:rsidRPr="000274FC">
        <w:t xml:space="preserve">. </w:t>
      </w:r>
    </w:p>
    <w:p w14:paraId="491B1EF1" w14:textId="77777777" w:rsidR="00D62556" w:rsidRPr="000274FC" w:rsidRDefault="00D62556" w:rsidP="00DB090C">
      <w:pPr>
        <w:pStyle w:val="NewNumberedParagraph"/>
      </w:pPr>
      <w:r w:rsidRPr="000274FC">
        <w:lastRenderedPageBreak/>
        <w:t xml:space="preserve">As IFRSs are unprecedentedly complex, the tax legislation that has been introduced in order to adjust IFRS annual accounts is now also highly complex.  In light of this, the merits of closely aligning tax and accounting have been re-evaluated. </w:t>
      </w:r>
    </w:p>
    <w:p w14:paraId="307ED3CD" w14:textId="77777777" w:rsidR="00D62556" w:rsidRPr="000274FC" w:rsidRDefault="00D62556" w:rsidP="00DB090C">
      <w:pPr>
        <w:pStyle w:val="NewNumberedParagraph"/>
      </w:pPr>
      <w:r w:rsidRPr="000274FC">
        <w:t xml:space="preserve">Currently, significant parts of the UK corporate tax system are still closely linked to accounting, however the strength of this relationship and the perceived merits of alignment have reduced in the past two decades.    </w:t>
      </w:r>
    </w:p>
    <w:p w14:paraId="0C90278F" w14:textId="77777777" w:rsidR="00D62556" w:rsidRPr="00230D6F" w:rsidRDefault="00D62556" w:rsidP="00D62556">
      <w:pPr>
        <w:pStyle w:val="Heading3"/>
        <w:spacing w:before="120"/>
      </w:pPr>
      <w:bookmarkStart w:id="57" w:name="_Toc460237463"/>
      <w:bookmarkStart w:id="58" w:name="_Toc460248273"/>
      <w:bookmarkStart w:id="59" w:name="_Toc460248483"/>
      <w:bookmarkStart w:id="60" w:name="_Toc460254120"/>
      <w:bookmarkStart w:id="61" w:name="_Toc460500222"/>
      <w:bookmarkStart w:id="62" w:name="_Toc460500609"/>
      <w:r w:rsidRPr="00230D6F">
        <w:t>The Netherlands</w:t>
      </w:r>
      <w:bookmarkEnd w:id="57"/>
      <w:bookmarkEnd w:id="58"/>
      <w:bookmarkEnd w:id="59"/>
      <w:bookmarkEnd w:id="60"/>
      <w:bookmarkEnd w:id="61"/>
      <w:bookmarkEnd w:id="62"/>
      <w:r w:rsidRPr="00230D6F">
        <w:t xml:space="preserve"> </w:t>
      </w:r>
    </w:p>
    <w:p w14:paraId="114A4263" w14:textId="77777777" w:rsidR="00D62556" w:rsidRPr="000274FC" w:rsidRDefault="00D62556" w:rsidP="00DB090C">
      <w:pPr>
        <w:pStyle w:val="NewNumberedParagraph"/>
      </w:pPr>
      <w:r w:rsidRPr="000274FC">
        <w:t xml:space="preserve">There is a complete independence between the accounting and tax systems in the Netherlands – by design. The Netherlands authorities do not have a practise of seeking to align tax and accounting treatments. </w:t>
      </w:r>
    </w:p>
    <w:p w14:paraId="68E19499" w14:textId="77777777" w:rsidR="00D62556" w:rsidRPr="000274FC" w:rsidRDefault="00D62556" w:rsidP="00DB090C">
      <w:pPr>
        <w:pStyle w:val="NewNumberedParagraph"/>
      </w:pPr>
      <w:r w:rsidRPr="000274FC">
        <w:t xml:space="preserve">However, as in Australia, in practice the calculation of taxable income comprises accounting profit with adjustments.  </w:t>
      </w:r>
    </w:p>
    <w:p w14:paraId="310E9A1C" w14:textId="77777777" w:rsidR="00D62556" w:rsidRPr="000274FC" w:rsidRDefault="00D62556" w:rsidP="00DB090C">
      <w:pPr>
        <w:pStyle w:val="NewNumberedParagraph"/>
      </w:pPr>
      <w:r w:rsidRPr="000274FC">
        <w:t xml:space="preserve">Companies can prepare their accounts in conformity with endorsed IFRSs, Dutch GAAP, or, if so justified by the international structure of the group the company belongs to, in conformity with the GAAP of another EU Member State. </w:t>
      </w:r>
    </w:p>
    <w:p w14:paraId="183AE690" w14:textId="0E21A139" w:rsidR="00D62556" w:rsidRPr="000274FC" w:rsidRDefault="00D62556" w:rsidP="00DB090C">
      <w:pPr>
        <w:pStyle w:val="NewNumberedParagraph"/>
      </w:pPr>
      <w:r w:rsidRPr="000274FC">
        <w:t>The Dutch Accounting Standards Board now focuses on setting financial reporting standards for non-listed entities.</w:t>
      </w:r>
      <w:r w:rsidRPr="000274FC">
        <w:rPr>
          <w:rStyle w:val="FootnoteReference"/>
        </w:rPr>
        <w:footnoteReference w:id="15"/>
      </w:r>
      <w:r w:rsidRPr="000274FC">
        <w:t xml:space="preserve"> Listed entities are required to conform with IFRS following the adoption of IFRS by the European Union. </w:t>
      </w:r>
    </w:p>
    <w:p w14:paraId="26ABD33E" w14:textId="77777777" w:rsidR="00D62556" w:rsidRPr="00816503" w:rsidRDefault="00D62556" w:rsidP="00D62556">
      <w:pPr>
        <w:pStyle w:val="Heading3"/>
        <w:spacing w:before="120"/>
      </w:pPr>
      <w:bookmarkStart w:id="63" w:name="_Toc460237464"/>
      <w:bookmarkStart w:id="64" w:name="_Toc460248274"/>
      <w:bookmarkStart w:id="65" w:name="_Toc460248484"/>
      <w:bookmarkStart w:id="66" w:name="_Toc460254121"/>
      <w:bookmarkStart w:id="67" w:name="_Toc460500223"/>
      <w:bookmarkStart w:id="68" w:name="_Toc460500610"/>
      <w:r w:rsidRPr="00230D6F">
        <w:t>France</w:t>
      </w:r>
      <w:bookmarkEnd w:id="63"/>
      <w:bookmarkEnd w:id="64"/>
      <w:bookmarkEnd w:id="65"/>
      <w:bookmarkEnd w:id="66"/>
      <w:bookmarkEnd w:id="67"/>
      <w:bookmarkEnd w:id="68"/>
      <w:r w:rsidRPr="00816503">
        <w:t xml:space="preserve"> </w:t>
      </w:r>
    </w:p>
    <w:p w14:paraId="28D3BC74" w14:textId="77777777" w:rsidR="00D62556" w:rsidRPr="000274FC" w:rsidRDefault="00D62556" w:rsidP="00DB090C">
      <w:pPr>
        <w:pStyle w:val="NewNumberedParagraph"/>
      </w:pPr>
      <w:r w:rsidRPr="000274FC">
        <w:t xml:space="preserve">In France, taxable profit is based on the annual accounts of the relevant company, subject to specific adjustments. In effect, this means that except where a specific tax provision applies, a company is required to prepare its tax return using the same recognition and measurement principles as the ones it uses in its annual accounts i.e. financial accounting recognition and measurement principles. In practice, tax laws also impact on accounting rules e.g. companies tend to record accelerated depreciation (allowable for tax purposes) in their accounts as well. </w:t>
      </w:r>
    </w:p>
    <w:p w14:paraId="5DF17A31" w14:textId="77777777" w:rsidR="00D62556" w:rsidRPr="000274FC" w:rsidRDefault="00D62556" w:rsidP="00DB090C">
      <w:pPr>
        <w:pStyle w:val="NewNumberedParagraph"/>
      </w:pPr>
      <w:r w:rsidRPr="000274FC">
        <w:t xml:space="preserve">French national accounting standards are based on legal form and historical cost (as opposed to IFRS). </w:t>
      </w:r>
    </w:p>
    <w:p w14:paraId="13E991A8" w14:textId="77777777" w:rsidR="00D62556" w:rsidRPr="000274FC" w:rsidRDefault="00D62556" w:rsidP="00DB090C">
      <w:pPr>
        <w:pStyle w:val="NewNumberedParagraph"/>
      </w:pPr>
      <w:r w:rsidRPr="000274FC">
        <w:t>Historically, France has kept the number of required adjustments to a minimum in order to minimize the administrative burden on companies.</w:t>
      </w:r>
    </w:p>
    <w:p w14:paraId="02858412" w14:textId="77777777" w:rsidR="00D62556" w:rsidRPr="000274FC" w:rsidRDefault="00D62556" w:rsidP="00DB090C">
      <w:pPr>
        <w:pStyle w:val="NewNumberedParagraph"/>
      </w:pPr>
      <w:r w:rsidRPr="000274FC">
        <w:lastRenderedPageBreak/>
        <w:t xml:space="preserve">In recent years, French accounting standards started converging with IFRSs to meet the needs of the different users of financial information. That is, some French domestic accounting standards now incorporate IFRS concepts.  </w:t>
      </w:r>
    </w:p>
    <w:p w14:paraId="57285631" w14:textId="3B32C047" w:rsidR="00D62556" w:rsidRPr="000274FC" w:rsidRDefault="00D62556" w:rsidP="00DB090C">
      <w:pPr>
        <w:pStyle w:val="NewNumberedParagraph"/>
      </w:pPr>
      <w:r w:rsidRPr="000274FC">
        <w:t xml:space="preserve">The French national authorities have commenced a process (which includes consultation) to manage these changes and related impacts on tax laws. </w:t>
      </w:r>
    </w:p>
    <w:p w14:paraId="417F83B9" w14:textId="77777777" w:rsidR="00D62556" w:rsidRPr="00816503" w:rsidRDefault="00D62556" w:rsidP="00D62556">
      <w:pPr>
        <w:pStyle w:val="Heading3"/>
        <w:spacing w:before="120"/>
      </w:pPr>
      <w:bookmarkStart w:id="69" w:name="_Toc460237465"/>
      <w:bookmarkStart w:id="70" w:name="_Toc460248275"/>
      <w:bookmarkStart w:id="71" w:name="_Toc460248485"/>
      <w:bookmarkStart w:id="72" w:name="_Toc460254122"/>
      <w:bookmarkStart w:id="73" w:name="_Toc460500224"/>
      <w:bookmarkStart w:id="74" w:name="_Toc460500611"/>
      <w:r w:rsidRPr="00230D6F">
        <w:t>Germany</w:t>
      </w:r>
      <w:bookmarkEnd w:id="69"/>
      <w:bookmarkEnd w:id="70"/>
      <w:bookmarkEnd w:id="71"/>
      <w:bookmarkEnd w:id="72"/>
      <w:bookmarkEnd w:id="73"/>
      <w:bookmarkEnd w:id="74"/>
      <w:r w:rsidRPr="00816503">
        <w:t xml:space="preserve"> </w:t>
      </w:r>
    </w:p>
    <w:p w14:paraId="53ED2C98" w14:textId="77777777" w:rsidR="00D62556" w:rsidRPr="000274FC" w:rsidRDefault="00D62556" w:rsidP="00DB090C">
      <w:pPr>
        <w:pStyle w:val="NewNumberedParagraph"/>
      </w:pPr>
      <w:r w:rsidRPr="000274FC">
        <w:t xml:space="preserve">Germany has a long, established history and a direct statutory relationship between financial reporting (based on German national accounting standards) and the tax system. </w:t>
      </w:r>
    </w:p>
    <w:p w14:paraId="4CD49BA2" w14:textId="77777777" w:rsidR="00D62556" w:rsidRPr="000274FC" w:rsidRDefault="00D62556" w:rsidP="00DB090C">
      <w:pPr>
        <w:pStyle w:val="NewNumberedParagraph"/>
      </w:pPr>
      <w:r w:rsidRPr="000274FC">
        <w:t xml:space="preserve">The calculation of taxable profit in Germany is based on the calculation of accounting profit. Some deviations apply, but there is generally a high degree of conformity. </w:t>
      </w:r>
    </w:p>
    <w:p w14:paraId="13637C95" w14:textId="77777777" w:rsidR="00D62556" w:rsidRPr="000274FC" w:rsidRDefault="00D62556" w:rsidP="00DB090C">
      <w:pPr>
        <w:pStyle w:val="NewNumberedParagraph"/>
      </w:pPr>
      <w:r w:rsidRPr="000274FC">
        <w:t>This principle is sometimes applied in reverse in that a company will use a specific financial accounting treatment in its annual accounts in order to achieve a particular tax treatment in its tax return.</w:t>
      </w:r>
    </w:p>
    <w:p w14:paraId="6AAF14BA" w14:textId="77777777" w:rsidR="00D62556" w:rsidRPr="000274FC" w:rsidRDefault="00D62556" w:rsidP="00DB090C">
      <w:pPr>
        <w:pStyle w:val="NewNumberedParagraph"/>
      </w:pPr>
      <w:r w:rsidRPr="000274FC">
        <w:t xml:space="preserve">The intent of this high degree of conformity is simplicity i.e. to allow companies to prepare one set of accounts for both accounting and tax purposes. </w:t>
      </w:r>
    </w:p>
    <w:p w14:paraId="59BB110A" w14:textId="77777777" w:rsidR="00D62556" w:rsidRPr="000274FC" w:rsidRDefault="00D62556" w:rsidP="00DB090C">
      <w:pPr>
        <w:pStyle w:val="NewNumberedParagraph"/>
      </w:pPr>
      <w:r w:rsidRPr="000274FC">
        <w:t xml:space="preserve">Germany requires the preparation of financial accounts in accordance with German national accounting standards.  In some circumstances, companies may </w:t>
      </w:r>
      <w:r w:rsidRPr="000274FC">
        <w:rPr>
          <w:i/>
        </w:rPr>
        <w:t>also</w:t>
      </w:r>
      <w:r w:rsidRPr="000274FC">
        <w:t xml:space="preserve"> prepare separate accounts in accordance with IFRS</w:t>
      </w:r>
      <w:r w:rsidRPr="000274FC">
        <w:rPr>
          <w:rStyle w:val="FootnoteReference"/>
        </w:rPr>
        <w:footnoteReference w:id="16"/>
      </w:r>
      <w:r w:rsidRPr="000274FC">
        <w:t xml:space="preserve">. </w:t>
      </w:r>
    </w:p>
    <w:p w14:paraId="788994EE" w14:textId="50062F0D" w:rsidR="00D62556" w:rsidRPr="001533C8" w:rsidRDefault="00D62556" w:rsidP="00DB090C">
      <w:pPr>
        <w:pStyle w:val="NewNumberedParagraph"/>
      </w:pPr>
      <w:r w:rsidRPr="001533C8">
        <w:t xml:space="preserve">Germany has chosen not to mandatorily adopt IFRS </w:t>
      </w:r>
      <w:r w:rsidR="001533C8" w:rsidRPr="001533C8">
        <w:t xml:space="preserve">for all companies </w:t>
      </w:r>
      <w:r w:rsidRPr="001533C8">
        <w:t>on the basis that IFRS would represent a significant paradigm shift away from the principal idea of the protection of creditors, which lies at the heart of German national accounting standards</w:t>
      </w:r>
      <w:r w:rsidR="003A670C" w:rsidRPr="001533C8">
        <w:rPr>
          <w:rStyle w:val="FootnoteReference"/>
        </w:rPr>
        <w:footnoteReference w:id="17"/>
      </w:r>
      <w:r w:rsidR="001533C8" w:rsidRPr="001533C8">
        <w:rPr>
          <w:rStyle w:val="FootnoteReference"/>
        </w:rPr>
        <w:footnoteReference w:id="18"/>
      </w:r>
      <w:r w:rsidRPr="001533C8">
        <w:t>.</w:t>
      </w:r>
    </w:p>
    <w:p w14:paraId="512368AB" w14:textId="77777777" w:rsidR="00D62556" w:rsidRPr="00230D6F" w:rsidRDefault="00D62556" w:rsidP="00D62556">
      <w:pPr>
        <w:pStyle w:val="Heading3"/>
        <w:spacing w:before="120"/>
      </w:pPr>
      <w:bookmarkStart w:id="75" w:name="_Toc460237466"/>
      <w:bookmarkStart w:id="76" w:name="_Toc460248276"/>
      <w:bookmarkStart w:id="77" w:name="_Toc460248486"/>
      <w:bookmarkStart w:id="78" w:name="_Toc460254123"/>
      <w:bookmarkStart w:id="79" w:name="_Toc460500225"/>
      <w:bookmarkStart w:id="80" w:name="_Toc460500612"/>
      <w:r w:rsidRPr="00230D6F">
        <w:t>United States</w:t>
      </w:r>
      <w:bookmarkEnd w:id="75"/>
      <w:bookmarkEnd w:id="76"/>
      <w:bookmarkEnd w:id="77"/>
      <w:bookmarkEnd w:id="78"/>
      <w:bookmarkEnd w:id="79"/>
      <w:bookmarkEnd w:id="80"/>
      <w:r w:rsidRPr="00230D6F">
        <w:t xml:space="preserve"> </w:t>
      </w:r>
    </w:p>
    <w:p w14:paraId="56734BD9" w14:textId="77777777" w:rsidR="00D62556" w:rsidRPr="000274FC" w:rsidRDefault="00D62556" w:rsidP="00DB090C">
      <w:pPr>
        <w:pStyle w:val="NewNumberedParagraph"/>
      </w:pPr>
      <w:r w:rsidRPr="000274FC">
        <w:t xml:space="preserve">Despite ongoing debates on the merits of alignment between accounting and tax in the United States, there has been no effort to align these systems.  This is despite both the tax and accounting systems being largely set by United States authorities as the United States has not adopted IFRS accounting. </w:t>
      </w:r>
    </w:p>
    <w:p w14:paraId="2031BAF8" w14:textId="77777777" w:rsidR="00D62556" w:rsidRPr="000274FC" w:rsidRDefault="00D62556" w:rsidP="00DB090C">
      <w:pPr>
        <w:pStyle w:val="NewNumberedParagraph"/>
      </w:pPr>
      <w:r w:rsidRPr="000274FC">
        <w:t xml:space="preserve">Since the Global Financial Crisis a related public and academic debate has focussed on the potential integrity benefits of aligning “book” and “tax” profits more closely, or at </w:t>
      </w:r>
      <w:r w:rsidRPr="000274FC">
        <w:lastRenderedPageBreak/>
        <w:t>least requiring the public disclosure of a reconciliation of accounting profit to taxable income</w:t>
      </w:r>
      <w:r w:rsidRPr="000274FC">
        <w:rPr>
          <w:rStyle w:val="FootnoteReference"/>
        </w:rPr>
        <w:footnoteReference w:id="19"/>
      </w:r>
      <w:r w:rsidRPr="000274FC">
        <w:t xml:space="preserve">. </w:t>
      </w:r>
    </w:p>
    <w:p w14:paraId="2EDE8E97" w14:textId="77777777" w:rsidR="00D62556" w:rsidRPr="000274FC" w:rsidRDefault="00D62556" w:rsidP="00DB090C">
      <w:pPr>
        <w:pStyle w:val="NewNumberedParagraph"/>
      </w:pPr>
      <w:r w:rsidRPr="000274FC">
        <w:t>The academic research on the impact on integrity of the tax and accounting systems of increasing alignment is inconclusive</w:t>
      </w:r>
      <w:r w:rsidRPr="000274FC">
        <w:rPr>
          <w:rStyle w:val="FootnoteReference"/>
        </w:rPr>
        <w:footnoteReference w:id="20"/>
      </w:r>
      <w:r w:rsidRPr="000274FC">
        <w:rPr>
          <w:rStyle w:val="FootnoteReference"/>
        </w:rPr>
        <w:footnoteReference w:id="21"/>
      </w:r>
      <w:r w:rsidRPr="000274FC">
        <w:rPr>
          <w:rStyle w:val="FootnoteReference"/>
        </w:rPr>
        <w:footnoteReference w:id="22"/>
      </w:r>
      <w:r w:rsidRPr="000274FC">
        <w:rPr>
          <w:rStyle w:val="FootnoteReference"/>
        </w:rPr>
        <w:footnoteReference w:id="23"/>
      </w:r>
      <w:r w:rsidRPr="000274FC">
        <w:t xml:space="preserve">, and the United States authorities have not made any public statements or efforts to increase alignment between accounting and tax, especially for simplification purposes. </w:t>
      </w:r>
    </w:p>
    <w:p w14:paraId="2B11102C" w14:textId="77777777" w:rsidR="00D62556" w:rsidRPr="00230D6F" w:rsidRDefault="00D62556" w:rsidP="00D62556">
      <w:pPr>
        <w:pStyle w:val="Heading3"/>
        <w:spacing w:before="120"/>
      </w:pPr>
      <w:bookmarkStart w:id="81" w:name="_Toc460237467"/>
      <w:bookmarkStart w:id="82" w:name="_Toc460248277"/>
      <w:bookmarkStart w:id="83" w:name="_Toc460248487"/>
      <w:bookmarkStart w:id="84" w:name="_Toc460254124"/>
      <w:bookmarkStart w:id="85" w:name="_Toc460500226"/>
      <w:bookmarkStart w:id="86" w:name="_Toc460500613"/>
      <w:r w:rsidRPr="00230D6F">
        <w:t>New Zealand</w:t>
      </w:r>
      <w:bookmarkEnd w:id="81"/>
      <w:bookmarkEnd w:id="82"/>
      <w:bookmarkEnd w:id="83"/>
      <w:bookmarkEnd w:id="84"/>
      <w:bookmarkEnd w:id="85"/>
      <w:bookmarkEnd w:id="86"/>
      <w:r w:rsidRPr="00230D6F">
        <w:t xml:space="preserve"> </w:t>
      </w:r>
    </w:p>
    <w:p w14:paraId="48A62F3E" w14:textId="77777777" w:rsidR="00D62556" w:rsidRPr="000274FC" w:rsidRDefault="00D62556" w:rsidP="00DB090C">
      <w:pPr>
        <w:pStyle w:val="NewNumberedParagraph"/>
      </w:pPr>
      <w:r w:rsidRPr="000274FC">
        <w:t xml:space="preserve">Historically there has been a low level of alignment between tax and accounting in New Zealand. New Zealand adopted IFRS from 2007 onwards.  </w:t>
      </w:r>
    </w:p>
    <w:p w14:paraId="2A6F2D66" w14:textId="77777777" w:rsidR="00D62556" w:rsidRPr="000274FC" w:rsidRDefault="00D62556" w:rsidP="00DB090C">
      <w:pPr>
        <w:pStyle w:val="NewNumberedParagraph"/>
      </w:pPr>
      <w:r w:rsidRPr="000274FC">
        <w:t>Alignment has not been a specific goal or focus for the legislature. For example, alignment was not closely considered or consulted on as part of the recent tax reform process embarked on in New Zealand through the “Tax Working Group”</w:t>
      </w:r>
      <w:r w:rsidRPr="000274FC">
        <w:rPr>
          <w:rStyle w:val="FootnoteReference"/>
        </w:rPr>
        <w:footnoteReference w:id="24"/>
      </w:r>
      <w:r w:rsidRPr="000274FC">
        <w:t xml:space="preserve">. </w:t>
      </w:r>
    </w:p>
    <w:p w14:paraId="062D6DA9" w14:textId="77777777" w:rsidR="00D62556" w:rsidRPr="000274FC" w:rsidRDefault="00D62556" w:rsidP="00DB090C">
      <w:pPr>
        <w:pStyle w:val="NewNumberedParagraph"/>
      </w:pPr>
      <w:r w:rsidRPr="000274FC">
        <w:t xml:space="preserve">New Zealand has at times considered specific opportunities for alignment when it came to the adoption of IFRS.  The New Zealand revenue authority (“New Zealand Inland Revenue”) has in recent years leveraged accounting standards to reduce the compliance burden and costs of compliance.  </w:t>
      </w:r>
    </w:p>
    <w:p w14:paraId="549B4D73" w14:textId="274FCA53" w:rsidR="00D62556" w:rsidRPr="001533C8" w:rsidRDefault="00D62556" w:rsidP="0089389C">
      <w:pPr>
        <w:pStyle w:val="NewNumberedParagraph"/>
      </w:pPr>
      <w:r w:rsidRPr="001533C8">
        <w:t xml:space="preserve">One example of this has been the recent </w:t>
      </w:r>
      <w:r w:rsidR="0089389C" w:rsidRPr="001533C8">
        <w:t>introduction of</w:t>
      </w:r>
      <w:r w:rsidRPr="001533C8">
        <w:t xml:space="preserve"> a new way for businesses to calculate and pay provisional tax (i.e. PAYG instalments) using the Accounting Income Method (AIM).  </w:t>
      </w:r>
      <w:r w:rsidR="0089389C" w:rsidRPr="001533C8">
        <w:t>From 1 April 2018</w:t>
      </w:r>
      <w:r w:rsidRPr="001533C8">
        <w:t xml:space="preserve">, </w:t>
      </w:r>
      <w:r w:rsidR="0089389C" w:rsidRPr="001533C8">
        <w:t xml:space="preserve">small </w:t>
      </w:r>
      <w:r w:rsidRPr="001533C8">
        <w:t xml:space="preserve">businesses with </w:t>
      </w:r>
      <w:r w:rsidR="0089389C" w:rsidRPr="001533C8">
        <w:t>annual turnover</w:t>
      </w:r>
      <w:r w:rsidRPr="001533C8">
        <w:t xml:space="preserve"> of less than $5 million </w:t>
      </w:r>
      <w:r w:rsidR="0089389C" w:rsidRPr="001533C8">
        <w:t>are</w:t>
      </w:r>
      <w:r w:rsidRPr="001533C8">
        <w:t xml:space="preserve"> able to use their accounting software to calculate their provisional tax payments throughout the year.</w:t>
      </w:r>
      <w:r w:rsidRPr="001533C8">
        <w:rPr>
          <w:rStyle w:val="FootnoteReference"/>
        </w:rPr>
        <w:footnoteReference w:id="25"/>
      </w:r>
      <w:r w:rsidRPr="001533C8">
        <w:t xml:space="preserve"> </w:t>
      </w:r>
    </w:p>
    <w:p w14:paraId="64F7088C" w14:textId="3B119570" w:rsidR="00D62556" w:rsidRPr="001533C8" w:rsidRDefault="00D62556" w:rsidP="00DB090C">
      <w:pPr>
        <w:pStyle w:val="NewNumberedParagraph"/>
      </w:pPr>
      <w:r w:rsidRPr="001533C8">
        <w:t xml:space="preserve">In effect, the </w:t>
      </w:r>
      <w:r w:rsidR="0089389C">
        <w:t>AIM</w:t>
      </w:r>
      <w:r w:rsidRPr="001533C8">
        <w:t xml:space="preserve"> seeks to leverage natural business systems that record accounting data to also record and implement routine tax adjustments throughout the year so that provisional tax payments are based on a more accurate, up to date details of a company’s taxable income. </w:t>
      </w:r>
    </w:p>
    <w:p w14:paraId="740FBF8B" w14:textId="2C9EC7E0" w:rsidR="00D62556" w:rsidRPr="001533C8" w:rsidRDefault="00D62556" w:rsidP="00DB090C">
      <w:pPr>
        <w:pStyle w:val="NewNumberedParagraph"/>
      </w:pPr>
      <w:r w:rsidRPr="001533C8">
        <w:t xml:space="preserve">This method </w:t>
      </w:r>
      <w:r w:rsidR="0089389C" w:rsidRPr="001533C8">
        <w:t>is</w:t>
      </w:r>
      <w:r w:rsidRPr="001533C8">
        <w:t xml:space="preserve"> available in addition to </w:t>
      </w:r>
      <w:r w:rsidR="0089389C" w:rsidRPr="001533C8">
        <w:t>other pre-</w:t>
      </w:r>
      <w:r w:rsidRPr="001533C8">
        <w:t xml:space="preserve">existing methods and is intended to ameliorate the impact of applying a uniform rule to businesses with seasonal income as </w:t>
      </w:r>
      <w:r w:rsidRPr="001533C8">
        <w:lastRenderedPageBreak/>
        <w:t>it allows such businesses to pay tax as income is earned rather than in equal instalments spread across the year.</w:t>
      </w:r>
      <w:r w:rsidRPr="001533C8">
        <w:rPr>
          <w:rStyle w:val="FootnoteReference"/>
        </w:rPr>
        <w:footnoteReference w:id="26"/>
      </w:r>
      <w:r w:rsidRPr="001533C8">
        <w:t xml:space="preserve">  </w:t>
      </w:r>
    </w:p>
    <w:p w14:paraId="489DBBC0" w14:textId="77777777" w:rsidR="00DB090C" w:rsidRDefault="00DB090C" w:rsidP="00D62556">
      <w:pPr>
        <w:spacing w:before="120" w:after="120" w:line="240" w:lineRule="auto"/>
        <w:sectPr w:rsidR="00DB090C" w:rsidSect="00E806E0">
          <w:pgSz w:w="11909" w:h="16834" w:code="9"/>
          <w:pgMar w:top="1167" w:right="1701" w:bottom="1701" w:left="1701" w:header="851" w:footer="851" w:gutter="0"/>
          <w:cols w:space="708"/>
          <w:titlePg/>
          <w:docGrid w:linePitch="360"/>
        </w:sectPr>
      </w:pPr>
    </w:p>
    <w:p w14:paraId="4EC4AACD" w14:textId="4B6E0C50" w:rsidR="003130FD" w:rsidRDefault="003130FD" w:rsidP="00DB090C">
      <w:pPr>
        <w:pStyle w:val="Heading1"/>
      </w:pPr>
      <w:bookmarkStart w:id="87" w:name="_Toc460237453"/>
      <w:bookmarkStart w:id="88" w:name="_Toc460248473"/>
      <w:bookmarkStart w:id="89" w:name="_Toc460254110"/>
      <w:bookmarkStart w:id="90" w:name="_Toc460500212"/>
      <w:bookmarkStart w:id="91" w:name="_Toc460500599"/>
      <w:bookmarkStart w:id="92" w:name="_Toc514074672"/>
      <w:bookmarkStart w:id="93" w:name="_Toc520377729"/>
      <w:r w:rsidRPr="00333064">
        <w:lastRenderedPageBreak/>
        <w:t>Appendix A: Advantages and disadvantages of alignment between the accounting and tax systems</w:t>
      </w:r>
      <w:bookmarkEnd w:id="87"/>
      <w:bookmarkEnd w:id="88"/>
      <w:bookmarkEnd w:id="89"/>
      <w:bookmarkEnd w:id="90"/>
      <w:bookmarkEnd w:id="91"/>
      <w:bookmarkEnd w:id="92"/>
      <w:bookmarkEnd w:id="93"/>
      <w:r>
        <w:t xml:space="preserve"> </w:t>
      </w:r>
    </w:p>
    <w:p w14:paraId="69D959DB" w14:textId="77777777" w:rsidR="003130FD" w:rsidRPr="009474CC" w:rsidRDefault="003130FD" w:rsidP="003130FD">
      <w:pPr>
        <w:pStyle w:val="Heading2"/>
        <w:jc w:val="both"/>
      </w:pPr>
      <w:bookmarkStart w:id="94" w:name="_Toc460237454"/>
      <w:bookmarkStart w:id="95" w:name="_Toc460248474"/>
      <w:bookmarkStart w:id="96" w:name="_Toc460254111"/>
      <w:bookmarkStart w:id="97" w:name="_Toc460500213"/>
      <w:bookmarkStart w:id="98" w:name="_Toc460500600"/>
      <w:bookmarkStart w:id="99" w:name="_Toc514074673"/>
      <w:bookmarkStart w:id="100" w:name="_Toc520377730"/>
      <w:r>
        <w:t>Advantages</w:t>
      </w:r>
      <w:bookmarkEnd w:id="94"/>
      <w:bookmarkEnd w:id="95"/>
      <w:bookmarkEnd w:id="96"/>
      <w:bookmarkEnd w:id="97"/>
      <w:bookmarkEnd w:id="98"/>
      <w:bookmarkEnd w:id="99"/>
      <w:bookmarkEnd w:id="100"/>
    </w:p>
    <w:p w14:paraId="5259092A" w14:textId="77777777" w:rsidR="003130FD" w:rsidRPr="009474CC" w:rsidRDefault="003130FD" w:rsidP="003130FD">
      <w:pPr>
        <w:pStyle w:val="Bullet"/>
        <w:numPr>
          <w:ilvl w:val="0"/>
          <w:numId w:val="38"/>
        </w:numPr>
        <w:spacing w:before="120" w:after="120" w:line="240" w:lineRule="auto"/>
      </w:pPr>
      <w:r w:rsidRPr="009474CC">
        <w:t xml:space="preserve">Reduction in compliance cost for companies who currently need to comply with </w:t>
      </w:r>
      <w:r w:rsidRPr="00A80B5B">
        <w:t xml:space="preserve">a </w:t>
      </w:r>
      <w:r w:rsidRPr="009474CC">
        <w:t xml:space="preserve">tax and </w:t>
      </w:r>
      <w:r w:rsidRPr="00A80B5B">
        <w:t xml:space="preserve">an </w:t>
      </w:r>
      <w:r w:rsidRPr="009474CC">
        <w:t xml:space="preserve">accounting </w:t>
      </w:r>
      <w:r w:rsidRPr="00A80B5B">
        <w:t>system (i.e.</w:t>
      </w:r>
      <w:r w:rsidRPr="009474CC">
        <w:t xml:space="preserve"> IFRS</w:t>
      </w:r>
      <w:r w:rsidRPr="00A80B5B">
        <w:t>).</w:t>
      </w:r>
      <w:r w:rsidRPr="009474CC">
        <w:t xml:space="preserve"> </w:t>
      </w:r>
    </w:p>
    <w:p w14:paraId="3CC16B99" w14:textId="77777777" w:rsidR="003130FD" w:rsidRPr="009474CC" w:rsidRDefault="003130FD" w:rsidP="003130FD">
      <w:pPr>
        <w:pStyle w:val="Bullet"/>
        <w:numPr>
          <w:ilvl w:val="0"/>
          <w:numId w:val="38"/>
        </w:numPr>
        <w:spacing w:before="120" w:after="120" w:line="240" w:lineRule="auto"/>
      </w:pPr>
      <w:r w:rsidRPr="009474CC">
        <w:t>Compliance benefits of leveraging off the typically rigorous financial auditing process.</w:t>
      </w:r>
    </w:p>
    <w:p w14:paraId="6349902A" w14:textId="77777777" w:rsidR="003130FD" w:rsidRPr="009474CC" w:rsidRDefault="003130FD" w:rsidP="003130FD">
      <w:pPr>
        <w:pStyle w:val="Bullet"/>
        <w:numPr>
          <w:ilvl w:val="0"/>
          <w:numId w:val="38"/>
        </w:numPr>
        <w:spacing w:before="120" w:after="120" w:line="240" w:lineRule="auto"/>
      </w:pPr>
      <w:r w:rsidRPr="009474CC">
        <w:t xml:space="preserve">May lead to a convergence of definitions and thresholds from an international perspective as accounting standards are based on international frameworks. This may reduce compliance costs for cross-border transactions as well as bolster the integrity of the international taxation system. </w:t>
      </w:r>
    </w:p>
    <w:p w14:paraId="182C9552" w14:textId="77777777" w:rsidR="003130FD" w:rsidRPr="00A80B5B" w:rsidRDefault="003130FD" w:rsidP="003130FD">
      <w:pPr>
        <w:pStyle w:val="Heading2"/>
        <w:jc w:val="both"/>
      </w:pPr>
      <w:bookmarkStart w:id="101" w:name="_Toc460237455"/>
      <w:bookmarkStart w:id="102" w:name="_Toc460248265"/>
      <w:bookmarkStart w:id="103" w:name="_Toc460248475"/>
      <w:bookmarkStart w:id="104" w:name="_Toc460254112"/>
      <w:bookmarkStart w:id="105" w:name="_Toc460500214"/>
      <w:bookmarkStart w:id="106" w:name="_Toc460500601"/>
      <w:bookmarkStart w:id="107" w:name="_Toc514074674"/>
      <w:bookmarkStart w:id="108" w:name="_Toc520377731"/>
      <w:r>
        <w:t>Disadvantages</w:t>
      </w:r>
      <w:bookmarkEnd w:id="101"/>
      <w:bookmarkEnd w:id="102"/>
      <w:bookmarkEnd w:id="103"/>
      <w:bookmarkEnd w:id="104"/>
      <w:bookmarkEnd w:id="105"/>
      <w:bookmarkEnd w:id="106"/>
      <w:bookmarkEnd w:id="107"/>
      <w:bookmarkEnd w:id="108"/>
      <w:r w:rsidRPr="009474CC">
        <w:t xml:space="preserve"> </w:t>
      </w:r>
    </w:p>
    <w:p w14:paraId="01691A26" w14:textId="77777777" w:rsidR="003130FD" w:rsidRPr="009474CC" w:rsidRDefault="003130FD" w:rsidP="003130FD">
      <w:pPr>
        <w:pStyle w:val="Bullet"/>
        <w:numPr>
          <w:ilvl w:val="0"/>
          <w:numId w:val="38"/>
        </w:numPr>
        <w:spacing w:before="120" w:after="120" w:line="240" w:lineRule="auto"/>
        <w:ind w:left="522" w:hanging="522"/>
      </w:pPr>
      <w:r w:rsidRPr="009474CC">
        <w:t xml:space="preserve">Alignment needs to be evaluated from the perspective of </w:t>
      </w:r>
      <w:r w:rsidRPr="009474CC">
        <w:rPr>
          <w:i/>
        </w:rPr>
        <w:t xml:space="preserve">status quo. </w:t>
      </w:r>
      <w:r w:rsidRPr="009474CC">
        <w:t>In Australia, alignment is likely to require tax law change which is likely to have ramifications for other purposes. For example, greater alignment will result in different tax outcomes for taxpayers and will affect revenue collections, creating winners and losers.</w:t>
      </w:r>
    </w:p>
    <w:p w14:paraId="381CCF7D" w14:textId="77777777" w:rsidR="003130FD" w:rsidRPr="009474CC" w:rsidRDefault="003130FD" w:rsidP="003130FD">
      <w:pPr>
        <w:pStyle w:val="Bullet"/>
        <w:numPr>
          <w:ilvl w:val="0"/>
          <w:numId w:val="38"/>
        </w:numPr>
        <w:spacing w:before="120" w:after="120" w:line="240" w:lineRule="auto"/>
        <w:ind w:left="522" w:hanging="522"/>
      </w:pPr>
      <w:r w:rsidRPr="009474CC">
        <w:t xml:space="preserve">A commitment to alignment with accounting may restrict capacity of policy makers to drive competing objectives via the tax system. </w:t>
      </w:r>
    </w:p>
    <w:p w14:paraId="4450C447" w14:textId="77777777" w:rsidR="003130FD" w:rsidRPr="009474CC" w:rsidRDefault="003130FD" w:rsidP="003130FD">
      <w:pPr>
        <w:pStyle w:val="Bullet"/>
        <w:numPr>
          <w:ilvl w:val="0"/>
          <w:numId w:val="38"/>
        </w:numPr>
        <w:spacing w:before="120" w:after="120" w:line="240" w:lineRule="auto"/>
        <w:ind w:left="522" w:hanging="522"/>
      </w:pPr>
      <w:r w:rsidRPr="009474CC">
        <w:t xml:space="preserve">Greater alignment may compromise the integrity of both the accounting and tax systems, as the core purpose of these systems differs greatly. </w:t>
      </w:r>
    </w:p>
    <w:p w14:paraId="6986C33D" w14:textId="77777777" w:rsidR="003130FD" w:rsidRPr="009474CC" w:rsidRDefault="003130FD" w:rsidP="003130FD">
      <w:pPr>
        <w:pStyle w:val="Bullet"/>
        <w:numPr>
          <w:ilvl w:val="0"/>
          <w:numId w:val="38"/>
        </w:numPr>
        <w:spacing w:before="120" w:after="120" w:line="240" w:lineRule="auto"/>
        <w:ind w:left="522" w:hanging="522"/>
      </w:pPr>
      <w:r w:rsidRPr="009474CC">
        <w:t xml:space="preserve">As only some companies are required to comply with accounting standards, greater alignment could create a two-tiered taxation system, or alternately create obligations on a wider range of companies to comply with accounting standards. </w:t>
      </w:r>
      <w:r>
        <w:t xml:space="preserve"> For example, small businesses are not required to comply with accounting standards.    </w:t>
      </w:r>
    </w:p>
    <w:p w14:paraId="71FCE721" w14:textId="77777777" w:rsidR="003130FD" w:rsidRPr="00F82179" w:rsidRDefault="003130FD" w:rsidP="003130FD">
      <w:pPr>
        <w:pStyle w:val="Bullet"/>
        <w:numPr>
          <w:ilvl w:val="0"/>
          <w:numId w:val="38"/>
        </w:numPr>
        <w:spacing w:before="120" w:after="120" w:line="240" w:lineRule="auto"/>
        <w:ind w:left="522" w:hanging="522"/>
      </w:pPr>
      <w:r w:rsidRPr="00A80B5B">
        <w:t>United States-based</w:t>
      </w:r>
      <w:r w:rsidRPr="00F82179">
        <w:t xml:space="preserve"> companies </w:t>
      </w:r>
      <w:r w:rsidRPr="00A80B5B">
        <w:t>which are</w:t>
      </w:r>
      <w:r w:rsidRPr="00F82179">
        <w:t xml:space="preserve"> required to comply with</w:t>
      </w:r>
      <w:r w:rsidRPr="00F82179" w:rsidDel="003C73AD">
        <w:t xml:space="preserve"> </w:t>
      </w:r>
      <w:r w:rsidRPr="00F82179">
        <w:t xml:space="preserve">US GAAP </w:t>
      </w:r>
      <w:r w:rsidRPr="00A80B5B">
        <w:t xml:space="preserve">rather than IFRS will likely not see any significant compliance cost reductions as a consequence of increased alignment. Notably, </w:t>
      </w:r>
      <w:r>
        <w:t>t</w:t>
      </w:r>
      <w:r w:rsidRPr="00A80B5B">
        <w:t xml:space="preserve">he majority of countries from which foreign investment flows into Australia or in which Australian companies invest require accounts to be prepared in accordance with IFRS. </w:t>
      </w:r>
    </w:p>
    <w:p w14:paraId="0E3BD361" w14:textId="77777777" w:rsidR="003130FD" w:rsidRPr="00F82179" w:rsidRDefault="003130FD" w:rsidP="003130FD">
      <w:pPr>
        <w:pStyle w:val="Bullet"/>
        <w:numPr>
          <w:ilvl w:val="0"/>
          <w:numId w:val="38"/>
        </w:numPr>
        <w:spacing w:before="120" w:after="120" w:line="240" w:lineRule="auto"/>
        <w:ind w:left="522" w:hanging="522"/>
      </w:pPr>
      <w:r w:rsidRPr="00F82179">
        <w:lastRenderedPageBreak/>
        <w:t xml:space="preserve">Materiality thresholds used in accounting may not be appropriate in the taxation system, and may create integrity risks. </w:t>
      </w:r>
    </w:p>
    <w:p w14:paraId="2828E36B" w14:textId="77777777" w:rsidR="003130FD" w:rsidRPr="00F82179" w:rsidRDefault="003130FD" w:rsidP="003130FD">
      <w:pPr>
        <w:pStyle w:val="Bullet"/>
        <w:numPr>
          <w:ilvl w:val="0"/>
          <w:numId w:val="38"/>
        </w:numPr>
        <w:spacing w:before="120" w:after="120" w:line="240" w:lineRule="auto"/>
        <w:ind w:left="522" w:hanging="522"/>
      </w:pPr>
      <w:r w:rsidRPr="00F82179">
        <w:t xml:space="preserve">One-off compliance and training costs of transition to a new system for taxpayers and the revenue authority. </w:t>
      </w:r>
    </w:p>
    <w:p w14:paraId="43A935AB" w14:textId="77777777" w:rsidR="003130FD" w:rsidRPr="00F82179" w:rsidRDefault="003130FD" w:rsidP="003130FD">
      <w:pPr>
        <w:pStyle w:val="Bullet"/>
        <w:numPr>
          <w:ilvl w:val="0"/>
          <w:numId w:val="38"/>
        </w:numPr>
        <w:spacing w:before="120" w:after="120" w:line="240" w:lineRule="auto"/>
        <w:ind w:left="522" w:hanging="522"/>
      </w:pPr>
      <w:r w:rsidRPr="00F82179">
        <w:t xml:space="preserve">Enforceability is problematic when a revenue authority is effectively enforcing compliance with accounting standards. </w:t>
      </w:r>
    </w:p>
    <w:p w14:paraId="4D7CCAFF" w14:textId="77777777" w:rsidR="003130FD" w:rsidRDefault="003130FD" w:rsidP="003130FD">
      <w:pPr>
        <w:pStyle w:val="Bullet"/>
        <w:numPr>
          <w:ilvl w:val="0"/>
          <w:numId w:val="38"/>
        </w:numPr>
        <w:spacing w:before="120" w:after="120" w:line="240" w:lineRule="auto"/>
        <w:ind w:left="522" w:hanging="522"/>
      </w:pPr>
      <w:r w:rsidRPr="00F82179">
        <w:t>Financial accounting standards continue to evolve to meet the needs of users of financial information. As such</w:t>
      </w:r>
      <w:r>
        <w:t>,</w:t>
      </w:r>
      <w:r w:rsidRPr="00F82179">
        <w:t xml:space="preserve"> increased alignment may lead to unwanted changes in tax policy. May result in uncertainty over future tax outcomes. </w:t>
      </w:r>
    </w:p>
    <w:p w14:paraId="4784655D" w14:textId="77777777" w:rsidR="003130FD" w:rsidRDefault="003130FD" w:rsidP="003130FD">
      <w:pPr>
        <w:pStyle w:val="Bullet"/>
        <w:numPr>
          <w:ilvl w:val="0"/>
          <w:numId w:val="38"/>
        </w:numPr>
        <w:spacing w:before="120" w:after="120" w:line="240" w:lineRule="auto"/>
      </w:pPr>
      <w:r>
        <w:t xml:space="preserve">No clear evidence as to whether alignment incentivises the over-statement of income (as may be preferable in an accounting context) or understatement of income (as may be preferable in a tax context). The literature suggests that the actual impact of alignment on incentives </w:t>
      </w:r>
      <w:r w:rsidRPr="009474CC">
        <w:t>to under or overstate income</w:t>
      </w:r>
      <w:r>
        <w:t xml:space="preserve">, </w:t>
      </w:r>
      <w:r w:rsidRPr="009474CC">
        <w:t>earnings management and tax avoidance is</w:t>
      </w:r>
      <w:r>
        <w:t xml:space="preserve"> difficult to identify as the actions of specific companies tend to depend on their specific circumstances</w:t>
      </w:r>
      <w:r w:rsidRPr="009474CC">
        <w:t>.</w:t>
      </w:r>
      <w:r w:rsidRPr="00A80B5B">
        <w:rPr>
          <w:rStyle w:val="FootnoteReference"/>
        </w:rPr>
        <w:footnoteReference w:id="27"/>
      </w:r>
      <w:r w:rsidRPr="00A80B5B">
        <w:rPr>
          <w:rStyle w:val="FootnoteReference"/>
        </w:rPr>
        <w:footnoteReference w:id="28"/>
      </w:r>
      <w:r w:rsidRPr="00A80B5B">
        <w:rPr>
          <w:rStyle w:val="FootnoteReference"/>
        </w:rPr>
        <w:footnoteReference w:id="29"/>
      </w:r>
      <w:r w:rsidRPr="00A80B5B">
        <w:rPr>
          <w:rStyle w:val="FootnoteReference"/>
        </w:rPr>
        <w:footnoteReference w:id="30"/>
      </w:r>
    </w:p>
    <w:p w14:paraId="3D317AA0" w14:textId="77777777" w:rsidR="003130FD" w:rsidRPr="00F82179" w:rsidRDefault="003130FD" w:rsidP="003130FD">
      <w:pPr>
        <w:pStyle w:val="Bullet"/>
        <w:numPr>
          <w:ilvl w:val="0"/>
          <w:numId w:val="38"/>
        </w:numPr>
        <w:spacing w:before="120" w:after="120" w:line="240" w:lineRule="auto"/>
        <w:ind w:left="522" w:hanging="522"/>
      </w:pPr>
      <w:r w:rsidRPr="00A80B5B">
        <w:t xml:space="preserve">IFRS accounting rules are generally principles-based and not intended to be prescriptive in nature. In contrast, tax laws have historically been subject to a very high degree of interpretative pressure. Greater alignment will place a similar degree of interpretative pressure on accounting standards. </w:t>
      </w:r>
      <w:r>
        <w:t>In addition, q</w:t>
      </w:r>
      <w:r w:rsidRPr="00A80B5B">
        <w:t xml:space="preserve">uestions of interpretation and opportunities for arbitrage could shift from tax law to accounting standards. </w:t>
      </w:r>
    </w:p>
    <w:p w14:paraId="2E3A1DCC" w14:textId="77777777" w:rsidR="003130FD" w:rsidRPr="00A80B5B" w:rsidRDefault="003130FD" w:rsidP="003130FD">
      <w:pPr>
        <w:pStyle w:val="Bullet"/>
        <w:numPr>
          <w:ilvl w:val="0"/>
          <w:numId w:val="38"/>
        </w:numPr>
        <w:spacing w:before="120" w:after="120" w:line="240" w:lineRule="auto"/>
        <w:ind w:left="522" w:hanging="522"/>
      </w:pPr>
      <w:r w:rsidRPr="00F82179">
        <w:t xml:space="preserve">Tax systems of comparable jurisdictions are moving away from or re-evaluating the merits of accounting / tax alignment since the adoption of IFRS. </w:t>
      </w:r>
    </w:p>
    <w:p w14:paraId="22F772F4" w14:textId="77777777" w:rsidR="00DB090C" w:rsidRDefault="003130FD" w:rsidP="00DB090C">
      <w:pPr>
        <w:pStyle w:val="Bullet"/>
        <w:numPr>
          <w:ilvl w:val="0"/>
          <w:numId w:val="38"/>
        </w:numPr>
        <w:spacing w:before="120" w:after="0" w:line="240" w:lineRule="auto"/>
        <w:ind w:left="522" w:hanging="522"/>
        <w:jc w:val="left"/>
        <w:sectPr w:rsidR="00DB090C" w:rsidSect="00E806E0">
          <w:pgSz w:w="11909" w:h="16834" w:code="9"/>
          <w:pgMar w:top="1167" w:right="1701" w:bottom="1701" w:left="1701" w:header="851" w:footer="851" w:gutter="0"/>
          <w:cols w:space="708"/>
          <w:titlePg/>
          <w:docGrid w:linePitch="360"/>
        </w:sectPr>
      </w:pPr>
      <w:r w:rsidRPr="00F82179">
        <w:t>May be difficult to achieve consensus for changes to tax law primarily to increase alignment as taxpayers are likely to only be supportive of changes where the outcome is either not detrimental (i.e. no additional tax payable) or the marginal cost of compliance is higher than the marginal cost of the detriment. In general, larger taxpayers are less likely to be attracted to alignment unless the proposed change delivers a more favourable tax outcome.</w:t>
      </w:r>
    </w:p>
    <w:p w14:paraId="42024AAE" w14:textId="120B3943" w:rsidR="002F3238" w:rsidRDefault="009B3A06" w:rsidP="00DB090C">
      <w:pPr>
        <w:pStyle w:val="Heading1"/>
      </w:pPr>
      <w:bookmarkStart w:id="109" w:name="_Toc520377732"/>
      <w:r w:rsidRPr="00333064">
        <w:lastRenderedPageBreak/>
        <w:t xml:space="preserve">Appendix </w:t>
      </w:r>
      <w:r>
        <w:t>B</w:t>
      </w:r>
      <w:r w:rsidRPr="00333064">
        <w:t>:</w:t>
      </w:r>
      <w:r>
        <w:t xml:space="preserve"> </w:t>
      </w:r>
      <w:r w:rsidR="00621A8F">
        <w:t>Recent</w:t>
      </w:r>
      <w:r w:rsidR="00621A8F" w:rsidRPr="009B3A06">
        <w:t xml:space="preserve"> </w:t>
      </w:r>
      <w:r w:rsidRPr="009B3A06">
        <w:t>changes to Australian accounting standards</w:t>
      </w:r>
      <w:bookmarkEnd w:id="109"/>
      <w:r w:rsidRPr="009B3A06">
        <w:t xml:space="preserve"> </w:t>
      </w:r>
    </w:p>
    <w:p w14:paraId="301B5161" w14:textId="208B0F79" w:rsidR="00E026E9" w:rsidRPr="000274FC" w:rsidRDefault="00E026E9" w:rsidP="00E026E9">
      <w:pPr>
        <w:spacing w:before="120" w:after="120" w:line="240" w:lineRule="auto"/>
      </w:pPr>
      <w:r w:rsidRPr="000274FC">
        <w:t xml:space="preserve">There are </w:t>
      </w:r>
      <w:r w:rsidR="005C2127">
        <w:t>four</w:t>
      </w:r>
      <w:r w:rsidR="005C2127" w:rsidRPr="000274FC">
        <w:t xml:space="preserve"> </w:t>
      </w:r>
      <w:r w:rsidRPr="000274FC">
        <w:t xml:space="preserve">key accounting standards </w:t>
      </w:r>
      <w:r w:rsidR="000B355C">
        <w:t xml:space="preserve">that have recently come into effect, or are </w:t>
      </w:r>
      <w:r w:rsidRPr="000274FC">
        <w:t xml:space="preserve">coming into effect in Australia </w:t>
      </w:r>
      <w:r w:rsidR="005C2127">
        <w:t>in the next few years</w:t>
      </w:r>
      <w:r w:rsidR="000B355C">
        <w:t>,</w:t>
      </w:r>
      <w:r w:rsidRPr="000274FC">
        <w:t xml:space="preserve"> that may have tax implications. These are:</w:t>
      </w:r>
    </w:p>
    <w:p w14:paraId="230DCEE1" w14:textId="736F8221" w:rsidR="00E026E9" w:rsidRPr="000274FC" w:rsidRDefault="00E026E9" w:rsidP="00E026E9">
      <w:pPr>
        <w:pStyle w:val="Bullet"/>
        <w:numPr>
          <w:ilvl w:val="0"/>
          <w:numId w:val="41"/>
        </w:numPr>
        <w:spacing w:before="120" w:after="120" w:line="240" w:lineRule="auto"/>
        <w:jc w:val="left"/>
      </w:pPr>
      <w:r w:rsidRPr="000274FC">
        <w:t xml:space="preserve">AASB 9 </w:t>
      </w:r>
      <w:r w:rsidR="00CC576E">
        <w:t>–</w:t>
      </w:r>
      <w:r w:rsidRPr="000274FC">
        <w:t xml:space="preserve"> Financial</w:t>
      </w:r>
      <w:r w:rsidR="00CC576E">
        <w:t xml:space="preserve"> </w:t>
      </w:r>
      <w:r w:rsidRPr="000274FC">
        <w:t>Instruments</w:t>
      </w:r>
      <w:r w:rsidR="005C2127">
        <w:t>;</w:t>
      </w:r>
    </w:p>
    <w:p w14:paraId="63C66301" w14:textId="2CC94531" w:rsidR="00E026E9" w:rsidRPr="000274FC" w:rsidRDefault="00E026E9" w:rsidP="00E026E9">
      <w:pPr>
        <w:pStyle w:val="Bullet"/>
        <w:numPr>
          <w:ilvl w:val="0"/>
          <w:numId w:val="41"/>
        </w:numPr>
        <w:spacing w:before="120" w:after="120" w:line="240" w:lineRule="auto"/>
        <w:jc w:val="left"/>
      </w:pPr>
      <w:r w:rsidRPr="000274FC">
        <w:t>AASB 15 – Revenue from Contracts with Customers</w:t>
      </w:r>
      <w:r w:rsidR="005C2127">
        <w:t>;</w:t>
      </w:r>
    </w:p>
    <w:p w14:paraId="4CD11253" w14:textId="55CDD18B" w:rsidR="00E026E9" w:rsidRDefault="00E026E9" w:rsidP="00E026E9">
      <w:pPr>
        <w:pStyle w:val="Bullet"/>
        <w:numPr>
          <w:ilvl w:val="0"/>
          <w:numId w:val="41"/>
        </w:numPr>
        <w:spacing w:before="120" w:after="120" w:line="240" w:lineRule="auto"/>
        <w:jc w:val="left"/>
      </w:pPr>
      <w:r w:rsidRPr="000274FC">
        <w:t>AASB 16 – Leases</w:t>
      </w:r>
      <w:r w:rsidR="005C2127">
        <w:t>; and</w:t>
      </w:r>
    </w:p>
    <w:p w14:paraId="3F977611" w14:textId="53ECAB5E" w:rsidR="005C2127" w:rsidRPr="000274FC" w:rsidRDefault="005C2127" w:rsidP="00E026E9">
      <w:pPr>
        <w:pStyle w:val="Bullet"/>
        <w:numPr>
          <w:ilvl w:val="0"/>
          <w:numId w:val="41"/>
        </w:numPr>
        <w:spacing w:before="120" w:after="120" w:line="240" w:lineRule="auto"/>
        <w:jc w:val="left"/>
      </w:pPr>
      <w:r>
        <w:t>AASB 17 – Insurance Contracts.</w:t>
      </w:r>
    </w:p>
    <w:p w14:paraId="0BB8E8C0" w14:textId="77777777" w:rsidR="00E026E9" w:rsidRPr="000274FC" w:rsidRDefault="00E026E9" w:rsidP="00E026E9">
      <w:pPr>
        <w:spacing w:before="120" w:after="120" w:line="240" w:lineRule="auto"/>
      </w:pPr>
      <w:r w:rsidRPr="000274FC">
        <w:t xml:space="preserve">The option for early adoption is available for each standard and guidance material is available from the major accounting firms.  </w:t>
      </w:r>
    </w:p>
    <w:p w14:paraId="4FC5C51F" w14:textId="77777777" w:rsidR="00E026E9" w:rsidRPr="000274FC" w:rsidRDefault="00E026E9" w:rsidP="00E026E9">
      <w:pPr>
        <w:spacing w:before="120" w:after="120" w:line="240" w:lineRule="auto"/>
      </w:pPr>
      <w:r w:rsidRPr="000274FC">
        <w:t xml:space="preserve">However, in practice, most companies tend to begin applying new accounting standards once compliance is mandatory.  </w:t>
      </w:r>
    </w:p>
    <w:p w14:paraId="71281904" w14:textId="77777777" w:rsidR="00E026E9" w:rsidRPr="000274FC" w:rsidRDefault="00E026E9" w:rsidP="00E026E9">
      <w:pPr>
        <w:spacing w:before="120" w:after="120" w:line="240" w:lineRule="auto"/>
      </w:pPr>
      <w:r w:rsidRPr="000274FC">
        <w:t>Initial consultation has indicated that tax policy impacts are not considered when accounting standards are developed.  The tax implications for preparers are noted where there might be significant impacts on the financial statements.</w:t>
      </w:r>
    </w:p>
    <w:p w14:paraId="2A5497BB" w14:textId="43D14F80" w:rsidR="00E026E9" w:rsidRDefault="00E026E9" w:rsidP="00E026E9">
      <w:pPr>
        <w:spacing w:before="120" w:after="120" w:line="240" w:lineRule="auto"/>
      </w:pPr>
      <w:r w:rsidRPr="000274FC">
        <w:t xml:space="preserve">However, the AASB has been </w:t>
      </w:r>
      <w:r>
        <w:t>engaging</w:t>
      </w:r>
      <w:r w:rsidRPr="000274FC">
        <w:t xml:space="preserve"> with Treasury and the ATO to update, inform and assist with managing the impact of new accounting standards on the taxation system. </w:t>
      </w:r>
    </w:p>
    <w:p w14:paraId="0A4D9C5B" w14:textId="77777777" w:rsidR="00E026E9" w:rsidRDefault="00E026E9" w:rsidP="00E026E9">
      <w:pPr>
        <w:spacing w:before="120" w:after="120" w:line="240" w:lineRule="auto"/>
      </w:pPr>
      <w:r>
        <w:t xml:space="preserve">The current system depends on a broad understanding and appreciating of the links between tax and accounting within the ATO, Treasury and AASB. The ATO and Treasury have been building accounting capability within their respective organisations to deepen this understanding. </w:t>
      </w:r>
    </w:p>
    <w:p w14:paraId="5E74041B" w14:textId="77777777" w:rsidR="00E026E9" w:rsidRDefault="00E026E9" w:rsidP="00E026E9">
      <w:pPr>
        <w:spacing w:before="120" w:after="120" w:line="240" w:lineRule="auto"/>
      </w:pPr>
      <w:r>
        <w:t xml:space="preserve">However, to date no changes have been implemented to ATO systems (e.g. practice statements) or Treasury systems (e.g. reporting requirements through the Regulation Impact Statement process) to ensure that consideration of accounting is systematic and routine. </w:t>
      </w:r>
    </w:p>
    <w:p w14:paraId="3FADEF43" w14:textId="4AF95DCB" w:rsidR="00A51AE6" w:rsidRDefault="00A51AE6" w:rsidP="00E026E9">
      <w:pPr>
        <w:spacing w:before="120" w:after="120" w:line="240" w:lineRule="auto"/>
      </w:pPr>
      <w:r w:rsidRPr="00E806E0">
        <w:t xml:space="preserve">The Board of Taxation may consider the impacts of these new standards on a case-by-case basis </w:t>
      </w:r>
      <w:r w:rsidR="00CC576E">
        <w:t xml:space="preserve">in </w:t>
      </w:r>
      <w:r w:rsidRPr="00E806E0">
        <w:t>the future.</w:t>
      </w:r>
      <w:r>
        <w:t xml:space="preserve">  </w:t>
      </w:r>
    </w:p>
    <w:p w14:paraId="23CE70BA" w14:textId="5F7D484E" w:rsidR="00E026E9" w:rsidRDefault="00E026E9" w:rsidP="00E026E9">
      <w:pPr>
        <w:spacing w:before="120" w:after="120" w:line="240" w:lineRule="auto"/>
      </w:pPr>
      <w:r w:rsidRPr="000274FC">
        <w:t xml:space="preserve">Below is a summary table of </w:t>
      </w:r>
      <w:r w:rsidR="00916E0E">
        <w:t>recent and upcoming</w:t>
      </w:r>
      <w:r w:rsidRPr="000274FC">
        <w:t xml:space="preserve"> changes to accounting standards in Australia. </w:t>
      </w:r>
    </w:p>
    <w:p w14:paraId="4A5E4FB4" w14:textId="2A1D0FE1" w:rsidR="00916E0E" w:rsidRDefault="00916E0E" w:rsidP="00E026E9">
      <w:pPr>
        <w:spacing w:before="120" w:after="120" w:line="240" w:lineRule="auto"/>
      </w:pPr>
    </w:p>
    <w:p w14:paraId="76515B00" w14:textId="77777777" w:rsidR="00916E0E" w:rsidRPr="000274FC" w:rsidRDefault="00916E0E" w:rsidP="00E026E9">
      <w:pPr>
        <w:spacing w:before="120" w:after="120" w:line="240" w:lineRule="auto"/>
      </w:pPr>
    </w:p>
    <w:p w14:paraId="1899E489" w14:textId="0D848099" w:rsidR="00E026E9" w:rsidRPr="000274FC" w:rsidRDefault="00E026E9" w:rsidP="00E026E9">
      <w:pPr>
        <w:spacing w:before="120" w:after="120" w:line="240" w:lineRule="auto"/>
        <w:rPr>
          <w:b/>
          <w:i/>
        </w:rPr>
      </w:pPr>
    </w:p>
    <w:tbl>
      <w:tblPr>
        <w:tblStyle w:val="HeadingsAboveOnly"/>
        <w:tblW w:w="8778" w:type="dxa"/>
        <w:tblLook w:val="04A0" w:firstRow="1" w:lastRow="0" w:firstColumn="1" w:lastColumn="0" w:noHBand="0" w:noVBand="1"/>
      </w:tblPr>
      <w:tblGrid>
        <w:gridCol w:w="1358"/>
        <w:gridCol w:w="2861"/>
        <w:gridCol w:w="3402"/>
        <w:gridCol w:w="1157"/>
      </w:tblGrid>
      <w:tr w:rsidR="00E026E9" w:rsidRPr="000274FC" w14:paraId="2F63CE57" w14:textId="77777777" w:rsidTr="003D209B">
        <w:trPr>
          <w:cnfStyle w:val="100000000000" w:firstRow="1" w:lastRow="0" w:firstColumn="0" w:lastColumn="0" w:oddVBand="0" w:evenVBand="0" w:oddHBand="0" w:evenHBand="0" w:firstRowFirstColumn="0" w:firstRowLastColumn="0" w:lastRowFirstColumn="0" w:lastRowLastColumn="0"/>
        </w:trPr>
        <w:tc>
          <w:tcPr>
            <w:tcW w:w="1358" w:type="dxa"/>
            <w:tcBorders>
              <w:bottom w:val="nil"/>
            </w:tcBorders>
            <w:hideMark/>
          </w:tcPr>
          <w:p w14:paraId="62E12A4B" w14:textId="77777777" w:rsidR="00E026E9" w:rsidRPr="003D209B" w:rsidRDefault="00E026E9" w:rsidP="00AA0D71">
            <w:pPr>
              <w:pStyle w:val="OutlineNumbered1"/>
              <w:numPr>
                <w:ilvl w:val="0"/>
                <w:numId w:val="0"/>
              </w:numPr>
              <w:tabs>
                <w:tab w:val="left" w:pos="720"/>
              </w:tabs>
              <w:spacing w:before="120" w:after="120"/>
              <w:rPr>
                <w:b/>
                <w:sz w:val="20"/>
              </w:rPr>
            </w:pPr>
            <w:r w:rsidRPr="003D209B">
              <w:rPr>
                <w:b/>
                <w:sz w:val="20"/>
              </w:rPr>
              <w:lastRenderedPageBreak/>
              <w:t>Standard</w:t>
            </w:r>
          </w:p>
        </w:tc>
        <w:tc>
          <w:tcPr>
            <w:tcW w:w="2861" w:type="dxa"/>
            <w:tcBorders>
              <w:bottom w:val="nil"/>
            </w:tcBorders>
            <w:hideMark/>
          </w:tcPr>
          <w:p w14:paraId="732066DE" w14:textId="77777777" w:rsidR="00E026E9" w:rsidRPr="003D209B" w:rsidRDefault="00E026E9" w:rsidP="00AA0D71">
            <w:pPr>
              <w:pStyle w:val="OutlineNumbered1"/>
              <w:numPr>
                <w:ilvl w:val="0"/>
                <w:numId w:val="0"/>
              </w:numPr>
              <w:tabs>
                <w:tab w:val="left" w:pos="720"/>
              </w:tabs>
              <w:spacing w:before="120" w:after="120"/>
              <w:rPr>
                <w:b/>
                <w:sz w:val="20"/>
              </w:rPr>
            </w:pPr>
            <w:r w:rsidRPr="003D209B">
              <w:rPr>
                <w:b/>
                <w:sz w:val="20"/>
              </w:rPr>
              <w:t>Overview</w:t>
            </w:r>
          </w:p>
        </w:tc>
        <w:tc>
          <w:tcPr>
            <w:tcW w:w="3402" w:type="dxa"/>
            <w:tcBorders>
              <w:bottom w:val="nil"/>
            </w:tcBorders>
            <w:hideMark/>
          </w:tcPr>
          <w:p w14:paraId="3D175ADE" w14:textId="77777777" w:rsidR="00E026E9" w:rsidRPr="003D209B" w:rsidRDefault="00E026E9" w:rsidP="00AA0D71">
            <w:pPr>
              <w:pStyle w:val="OutlineNumbered1"/>
              <w:numPr>
                <w:ilvl w:val="0"/>
                <w:numId w:val="0"/>
              </w:numPr>
              <w:tabs>
                <w:tab w:val="left" w:pos="720"/>
              </w:tabs>
              <w:spacing w:before="120" w:after="120"/>
              <w:rPr>
                <w:b/>
                <w:sz w:val="20"/>
              </w:rPr>
            </w:pPr>
            <w:r w:rsidRPr="003D209B">
              <w:rPr>
                <w:b/>
                <w:sz w:val="20"/>
              </w:rPr>
              <w:t>Accounting changes with possible tax impacts</w:t>
            </w:r>
          </w:p>
        </w:tc>
        <w:tc>
          <w:tcPr>
            <w:tcW w:w="1157" w:type="dxa"/>
            <w:tcBorders>
              <w:bottom w:val="nil"/>
            </w:tcBorders>
            <w:hideMark/>
          </w:tcPr>
          <w:p w14:paraId="4405D908" w14:textId="77777777" w:rsidR="00E026E9" w:rsidRPr="003D209B" w:rsidRDefault="00E026E9" w:rsidP="00AA0D71">
            <w:pPr>
              <w:pStyle w:val="OutlineNumbered1"/>
              <w:numPr>
                <w:ilvl w:val="0"/>
                <w:numId w:val="0"/>
              </w:numPr>
              <w:tabs>
                <w:tab w:val="left" w:pos="720"/>
              </w:tabs>
              <w:spacing w:before="120" w:after="120"/>
              <w:rPr>
                <w:b/>
                <w:sz w:val="20"/>
              </w:rPr>
            </w:pPr>
            <w:r w:rsidRPr="003D209B">
              <w:rPr>
                <w:b/>
                <w:sz w:val="20"/>
              </w:rPr>
              <w:t>Effective Date</w:t>
            </w:r>
          </w:p>
        </w:tc>
      </w:tr>
      <w:tr w:rsidR="00E026E9" w:rsidRPr="000274FC" w14:paraId="620217CE" w14:textId="77777777" w:rsidTr="003D209B">
        <w:trPr>
          <w:cnfStyle w:val="000000100000" w:firstRow="0" w:lastRow="0" w:firstColumn="0" w:lastColumn="0" w:oddVBand="0" w:evenVBand="0" w:oddHBand="1" w:evenHBand="0" w:firstRowFirstColumn="0" w:firstRowLastColumn="0" w:lastRowFirstColumn="0" w:lastRowLastColumn="0"/>
        </w:trPr>
        <w:tc>
          <w:tcPr>
            <w:tcW w:w="1358" w:type="dxa"/>
            <w:tcBorders>
              <w:top w:val="nil"/>
              <w:bottom w:val="single" w:sz="4" w:space="0" w:color="3F6294"/>
            </w:tcBorders>
            <w:hideMark/>
          </w:tcPr>
          <w:p w14:paraId="1CDFC8AA" w14:textId="77777777" w:rsidR="00F33EA1" w:rsidRDefault="00E026E9" w:rsidP="00AA0D71">
            <w:pPr>
              <w:pStyle w:val="OutlineNumbered1"/>
              <w:numPr>
                <w:ilvl w:val="0"/>
                <w:numId w:val="0"/>
              </w:numPr>
              <w:tabs>
                <w:tab w:val="left" w:pos="720"/>
              </w:tabs>
              <w:spacing w:before="120" w:after="120"/>
              <w:rPr>
                <w:b/>
                <w:sz w:val="20"/>
              </w:rPr>
            </w:pPr>
            <w:r w:rsidRPr="003D209B">
              <w:rPr>
                <w:b/>
                <w:sz w:val="20"/>
              </w:rPr>
              <w:t>AASB 9</w:t>
            </w:r>
          </w:p>
          <w:p w14:paraId="22EFAF8E" w14:textId="2F46313E" w:rsidR="00E026E9" w:rsidRPr="003D209B" w:rsidRDefault="00E026E9" w:rsidP="003D209B">
            <w:pPr>
              <w:pStyle w:val="OutlineNumbered1"/>
              <w:numPr>
                <w:ilvl w:val="0"/>
                <w:numId w:val="0"/>
              </w:numPr>
              <w:tabs>
                <w:tab w:val="left" w:pos="720"/>
              </w:tabs>
              <w:spacing w:after="120"/>
              <w:rPr>
                <w:b/>
                <w:sz w:val="20"/>
              </w:rPr>
            </w:pPr>
            <w:r w:rsidRPr="003D209B">
              <w:rPr>
                <w:b/>
                <w:i/>
                <w:sz w:val="20"/>
              </w:rPr>
              <w:t>Financial Instruments (December 2014)</w:t>
            </w:r>
            <w:r w:rsidRPr="00CC576E">
              <w:rPr>
                <w:rStyle w:val="FootnoteReference"/>
                <w:b/>
                <w:i/>
              </w:rPr>
              <w:footnoteReference w:id="31"/>
            </w:r>
          </w:p>
        </w:tc>
        <w:tc>
          <w:tcPr>
            <w:tcW w:w="2861" w:type="dxa"/>
            <w:tcBorders>
              <w:top w:val="nil"/>
              <w:bottom w:val="single" w:sz="4" w:space="0" w:color="3F6294"/>
            </w:tcBorders>
            <w:hideMark/>
          </w:tcPr>
          <w:p w14:paraId="602EAD28" w14:textId="77777777" w:rsidR="00E026E9" w:rsidRPr="003D209B" w:rsidRDefault="00E026E9" w:rsidP="00AA0D71">
            <w:pPr>
              <w:pStyle w:val="OutlineNumbered1"/>
              <w:numPr>
                <w:ilvl w:val="0"/>
                <w:numId w:val="0"/>
              </w:numPr>
              <w:tabs>
                <w:tab w:val="left" w:pos="720"/>
              </w:tabs>
              <w:spacing w:before="120" w:after="120"/>
              <w:rPr>
                <w:sz w:val="20"/>
              </w:rPr>
            </w:pPr>
            <w:r w:rsidRPr="003D209B">
              <w:rPr>
                <w:sz w:val="20"/>
              </w:rPr>
              <w:t>This standard incorporates the international financial reporting standard IFRS 9 Financial Instruments issued in July 2014, which made changes in relation to:</w:t>
            </w:r>
          </w:p>
          <w:p w14:paraId="79B5B7D0" w14:textId="77777777" w:rsidR="00E026E9" w:rsidRPr="003D209B" w:rsidRDefault="00E026E9" w:rsidP="00CC576E">
            <w:pPr>
              <w:pStyle w:val="Bullet"/>
              <w:rPr>
                <w:sz w:val="20"/>
              </w:rPr>
            </w:pPr>
            <w:r w:rsidRPr="003D209B">
              <w:rPr>
                <w:sz w:val="20"/>
              </w:rPr>
              <w:t xml:space="preserve">reporting impairment of financial assets; and </w:t>
            </w:r>
          </w:p>
          <w:p w14:paraId="4B599010" w14:textId="77777777" w:rsidR="00E026E9" w:rsidRPr="003D209B" w:rsidRDefault="00E026E9" w:rsidP="00CC576E">
            <w:pPr>
              <w:pStyle w:val="Bullet"/>
              <w:rPr>
                <w:sz w:val="20"/>
              </w:rPr>
            </w:pPr>
            <w:r w:rsidRPr="003D209B">
              <w:rPr>
                <w:sz w:val="20"/>
              </w:rPr>
              <w:t>classification and measurement of financial assets and financial liabilities, including the introduction of a measurement category of ‘fair value through other comprehensive income’ for debt instruments; and</w:t>
            </w:r>
          </w:p>
          <w:p w14:paraId="45F88610" w14:textId="77777777" w:rsidR="00E026E9" w:rsidRPr="003D209B" w:rsidRDefault="00E026E9" w:rsidP="00CC576E">
            <w:pPr>
              <w:pStyle w:val="Bullet"/>
              <w:rPr>
                <w:sz w:val="20"/>
              </w:rPr>
            </w:pPr>
            <w:r w:rsidRPr="003D209B">
              <w:rPr>
                <w:sz w:val="20"/>
              </w:rPr>
              <w:t xml:space="preserve">hedge accounting.  </w:t>
            </w:r>
          </w:p>
          <w:p w14:paraId="6A3BDBE4" w14:textId="3AE6ED09" w:rsidR="00E026E9" w:rsidRPr="003D209B" w:rsidRDefault="00E026E9" w:rsidP="00CC576E">
            <w:pPr>
              <w:pStyle w:val="OutlineNumbered1"/>
              <w:numPr>
                <w:ilvl w:val="0"/>
                <w:numId w:val="0"/>
              </w:numPr>
              <w:tabs>
                <w:tab w:val="left" w:pos="720"/>
              </w:tabs>
              <w:spacing w:before="120" w:after="120"/>
              <w:rPr>
                <w:sz w:val="20"/>
              </w:rPr>
            </w:pPr>
            <w:r w:rsidRPr="003D209B">
              <w:rPr>
                <w:sz w:val="20"/>
              </w:rPr>
              <w:t xml:space="preserve">The </w:t>
            </w:r>
            <w:r w:rsidR="00CC576E">
              <w:rPr>
                <w:sz w:val="20"/>
              </w:rPr>
              <w:t>new</w:t>
            </w:r>
            <w:r w:rsidRPr="003D209B">
              <w:rPr>
                <w:sz w:val="20"/>
              </w:rPr>
              <w:t xml:space="preserve"> standard </w:t>
            </w:r>
            <w:r w:rsidR="00CC576E" w:rsidRPr="003D209B">
              <w:rPr>
                <w:sz w:val="20"/>
              </w:rPr>
              <w:t>addresse</w:t>
            </w:r>
            <w:r w:rsidR="00CC576E">
              <w:rPr>
                <w:sz w:val="20"/>
              </w:rPr>
              <w:t>s</w:t>
            </w:r>
            <w:r w:rsidR="00CC576E" w:rsidRPr="003D209B">
              <w:rPr>
                <w:sz w:val="20"/>
              </w:rPr>
              <w:t xml:space="preserve"> </w:t>
            </w:r>
            <w:r w:rsidRPr="003D209B">
              <w:rPr>
                <w:sz w:val="20"/>
              </w:rPr>
              <w:t>concerns by users of financial statements that the existing standard for recognition of financial losses on loans did not sufficiently incorporate information on expected losses.</w:t>
            </w:r>
          </w:p>
        </w:tc>
        <w:tc>
          <w:tcPr>
            <w:tcW w:w="3402" w:type="dxa"/>
            <w:tcBorders>
              <w:top w:val="nil"/>
              <w:bottom w:val="single" w:sz="4" w:space="0" w:color="3F6294"/>
            </w:tcBorders>
          </w:tcPr>
          <w:p w14:paraId="46A45855" w14:textId="77777777" w:rsidR="00CC576E" w:rsidRDefault="00E026E9" w:rsidP="00AA0D71">
            <w:pPr>
              <w:pStyle w:val="OutlineNumbered1"/>
              <w:numPr>
                <w:ilvl w:val="0"/>
                <w:numId w:val="0"/>
              </w:numPr>
              <w:tabs>
                <w:tab w:val="left" w:pos="720"/>
              </w:tabs>
              <w:spacing w:before="120" w:after="120"/>
              <w:rPr>
                <w:sz w:val="20"/>
              </w:rPr>
            </w:pPr>
            <w:r w:rsidRPr="003D209B">
              <w:rPr>
                <w:sz w:val="20"/>
              </w:rPr>
              <w:t xml:space="preserve">The industry expected to be most impacted by the provisioning change are banks and similar financial institutions that prepare general purpose financial statements and must comply with the financial instruments standard.  </w:t>
            </w:r>
            <w:r w:rsidRPr="003D209B" w:rsidDel="00D50592">
              <w:rPr>
                <w:sz w:val="20"/>
              </w:rPr>
              <w:t xml:space="preserve"> </w:t>
            </w:r>
            <w:r w:rsidRPr="003D209B">
              <w:rPr>
                <w:sz w:val="20"/>
              </w:rPr>
              <w:t xml:space="preserve">To implement the new approach to financial reporting, Australian banks, plus their auditors, will face both initial and, to a lesser extent, ongoing compliance costs. </w:t>
            </w:r>
          </w:p>
          <w:p w14:paraId="0EFBBBBE" w14:textId="77777777" w:rsidR="00CC576E" w:rsidRDefault="00E026E9" w:rsidP="00AA0D71">
            <w:pPr>
              <w:pStyle w:val="OutlineNumbered1"/>
              <w:numPr>
                <w:ilvl w:val="0"/>
                <w:numId w:val="0"/>
              </w:numPr>
              <w:tabs>
                <w:tab w:val="left" w:pos="720"/>
              </w:tabs>
              <w:spacing w:before="120" w:after="120"/>
              <w:rPr>
                <w:sz w:val="20"/>
              </w:rPr>
            </w:pPr>
            <w:r w:rsidRPr="003D209B">
              <w:rPr>
                <w:sz w:val="20"/>
              </w:rPr>
              <w:t>There may also be costs arising from flow on effects of changes to reported profits and total net assets, such as through making adjustments to existing contractual arrangements and complying with the requirements of prudential and tax regulations.</w:t>
            </w:r>
          </w:p>
          <w:p w14:paraId="156FAFFE" w14:textId="4663EB5E" w:rsidR="00E026E9" w:rsidRPr="003D209B" w:rsidRDefault="00CC576E" w:rsidP="00CC576E">
            <w:pPr>
              <w:pStyle w:val="OutlineNumbered1"/>
              <w:numPr>
                <w:ilvl w:val="0"/>
                <w:numId w:val="0"/>
              </w:numPr>
              <w:tabs>
                <w:tab w:val="left" w:pos="720"/>
              </w:tabs>
              <w:spacing w:before="120" w:after="120"/>
              <w:rPr>
                <w:b/>
                <w:i/>
                <w:sz w:val="20"/>
              </w:rPr>
            </w:pPr>
            <w:r>
              <w:rPr>
                <w:sz w:val="20"/>
              </w:rPr>
              <w:t>As noted, the new standard also makes significant changes in relation hedge accounting. This is likely to impact taxpayers that have adopted, or wish to adopt, the TOFA hedge election.</w:t>
            </w:r>
          </w:p>
        </w:tc>
        <w:tc>
          <w:tcPr>
            <w:tcW w:w="1157" w:type="dxa"/>
            <w:tcBorders>
              <w:top w:val="nil"/>
              <w:bottom w:val="single" w:sz="4" w:space="0" w:color="3F6294"/>
            </w:tcBorders>
            <w:hideMark/>
          </w:tcPr>
          <w:p w14:paraId="78BF67E8" w14:textId="77777777" w:rsidR="00E026E9" w:rsidRPr="001533C8" w:rsidRDefault="00E026E9" w:rsidP="00AA0D71">
            <w:pPr>
              <w:pStyle w:val="OutlineNumbered1"/>
              <w:numPr>
                <w:ilvl w:val="0"/>
                <w:numId w:val="0"/>
              </w:numPr>
              <w:tabs>
                <w:tab w:val="left" w:pos="720"/>
              </w:tabs>
              <w:spacing w:before="120" w:after="120"/>
              <w:rPr>
                <w:sz w:val="20"/>
              </w:rPr>
            </w:pPr>
            <w:r w:rsidRPr="003D209B">
              <w:rPr>
                <w:sz w:val="20"/>
              </w:rPr>
              <w:t>1 January 2018</w:t>
            </w:r>
          </w:p>
        </w:tc>
      </w:tr>
      <w:tr w:rsidR="00E026E9" w:rsidRPr="000274FC" w14:paraId="4EFCD768" w14:textId="77777777" w:rsidTr="003D209B">
        <w:trPr>
          <w:cnfStyle w:val="000000010000" w:firstRow="0" w:lastRow="0" w:firstColumn="0" w:lastColumn="0" w:oddVBand="0" w:evenVBand="0" w:oddHBand="0" w:evenHBand="1" w:firstRowFirstColumn="0" w:firstRowLastColumn="0" w:lastRowFirstColumn="0" w:lastRowLastColumn="0"/>
        </w:trPr>
        <w:tc>
          <w:tcPr>
            <w:tcW w:w="1358" w:type="dxa"/>
            <w:tcBorders>
              <w:top w:val="single" w:sz="4" w:space="0" w:color="3F6294"/>
              <w:bottom w:val="single" w:sz="4" w:space="0" w:color="3F6294"/>
            </w:tcBorders>
            <w:hideMark/>
          </w:tcPr>
          <w:p w14:paraId="2FE011E9" w14:textId="77777777" w:rsidR="00F33EA1" w:rsidRDefault="00E026E9" w:rsidP="00AA0D71">
            <w:pPr>
              <w:pStyle w:val="OutlineNumbered1"/>
              <w:numPr>
                <w:ilvl w:val="0"/>
                <w:numId w:val="0"/>
              </w:numPr>
              <w:tabs>
                <w:tab w:val="left" w:pos="720"/>
              </w:tabs>
              <w:spacing w:before="120" w:after="120"/>
              <w:rPr>
                <w:b/>
                <w:sz w:val="20"/>
              </w:rPr>
            </w:pPr>
            <w:r w:rsidRPr="003D209B">
              <w:rPr>
                <w:b/>
                <w:sz w:val="20"/>
              </w:rPr>
              <w:lastRenderedPageBreak/>
              <w:t>AASB 15</w:t>
            </w:r>
          </w:p>
          <w:p w14:paraId="055822AA" w14:textId="482044B1" w:rsidR="00E026E9" w:rsidRPr="003D209B" w:rsidRDefault="00E026E9" w:rsidP="003D209B">
            <w:pPr>
              <w:pStyle w:val="OutlineNumbered1"/>
              <w:numPr>
                <w:ilvl w:val="0"/>
                <w:numId w:val="0"/>
              </w:numPr>
              <w:tabs>
                <w:tab w:val="left" w:pos="720"/>
              </w:tabs>
              <w:spacing w:after="120"/>
              <w:rPr>
                <w:b/>
                <w:sz w:val="20"/>
              </w:rPr>
            </w:pPr>
            <w:r w:rsidRPr="003D209B">
              <w:rPr>
                <w:b/>
                <w:i/>
                <w:iCs/>
                <w:sz w:val="20"/>
              </w:rPr>
              <w:t>Revenue from Contracts with Customers</w:t>
            </w:r>
            <w:r w:rsidRPr="00CC576E">
              <w:rPr>
                <w:rStyle w:val="FootnoteReference"/>
                <w:b/>
                <w:i/>
                <w:iCs/>
              </w:rPr>
              <w:footnoteReference w:id="32"/>
            </w:r>
          </w:p>
        </w:tc>
        <w:tc>
          <w:tcPr>
            <w:tcW w:w="2861" w:type="dxa"/>
            <w:tcBorders>
              <w:top w:val="single" w:sz="4" w:space="0" w:color="3F6294"/>
              <w:bottom w:val="single" w:sz="4" w:space="0" w:color="3F6294"/>
            </w:tcBorders>
          </w:tcPr>
          <w:p w14:paraId="21368BA8" w14:textId="77777777" w:rsidR="00E026E9" w:rsidRPr="003D209B" w:rsidRDefault="00E026E9" w:rsidP="00AA0D71">
            <w:pPr>
              <w:spacing w:before="120" w:after="120"/>
              <w:rPr>
                <w:sz w:val="20"/>
              </w:rPr>
            </w:pPr>
            <w:r w:rsidRPr="003D209B">
              <w:rPr>
                <w:sz w:val="20"/>
              </w:rPr>
              <w:t xml:space="preserve">This Standard addresses the financial reporting of revenue and cash flows arising from an entity’s contracts with customers.  </w:t>
            </w:r>
          </w:p>
          <w:p w14:paraId="449872D7" w14:textId="77777777" w:rsidR="00E026E9" w:rsidRPr="003D209B" w:rsidRDefault="00E026E9" w:rsidP="00AA0D71">
            <w:pPr>
              <w:spacing w:before="120" w:after="120"/>
              <w:rPr>
                <w:sz w:val="20"/>
              </w:rPr>
            </w:pPr>
            <w:r w:rsidRPr="003D209B">
              <w:rPr>
                <w:sz w:val="20"/>
              </w:rPr>
              <w:t xml:space="preserve">This includes specifying the accounting for construction contracts and bundled transactions - for example, phone contracts where line service and a phone is provided). </w:t>
            </w:r>
          </w:p>
          <w:p w14:paraId="277A6E89" w14:textId="77777777" w:rsidR="00E026E9" w:rsidRPr="003D209B" w:rsidRDefault="00E026E9" w:rsidP="00AA0D71">
            <w:pPr>
              <w:spacing w:before="120" w:after="120"/>
              <w:rPr>
                <w:sz w:val="20"/>
              </w:rPr>
            </w:pPr>
          </w:p>
          <w:p w14:paraId="1EEF3BBD" w14:textId="77777777" w:rsidR="00E026E9" w:rsidRPr="003D209B" w:rsidRDefault="00E026E9" w:rsidP="00AA0D71">
            <w:pPr>
              <w:spacing w:before="120" w:after="120"/>
              <w:rPr>
                <w:sz w:val="20"/>
              </w:rPr>
            </w:pPr>
          </w:p>
          <w:p w14:paraId="5AD37D74" w14:textId="77777777" w:rsidR="00E026E9" w:rsidRPr="003D209B" w:rsidRDefault="00E026E9" w:rsidP="00AA0D71">
            <w:pPr>
              <w:spacing w:before="120" w:after="120"/>
              <w:rPr>
                <w:sz w:val="20"/>
              </w:rPr>
            </w:pPr>
          </w:p>
        </w:tc>
        <w:tc>
          <w:tcPr>
            <w:tcW w:w="3402" w:type="dxa"/>
            <w:tcBorders>
              <w:top w:val="single" w:sz="4" w:space="0" w:color="3F6294"/>
              <w:bottom w:val="single" w:sz="4" w:space="0" w:color="3F6294"/>
            </w:tcBorders>
          </w:tcPr>
          <w:p w14:paraId="7E80A307" w14:textId="77777777" w:rsidR="00E026E9" w:rsidRPr="003D209B" w:rsidRDefault="00E026E9" w:rsidP="00AA0D71">
            <w:pPr>
              <w:spacing w:before="120" w:after="120"/>
              <w:rPr>
                <w:sz w:val="20"/>
              </w:rPr>
            </w:pPr>
            <w:r w:rsidRPr="003D209B">
              <w:rPr>
                <w:sz w:val="20"/>
              </w:rPr>
              <w:t>This Standard establishes principles, and includes disclosure requirements, for reporting information about the nature, amount, timing and uncertainty of revenue and cash flows arising from contracts with customers.</w:t>
            </w:r>
          </w:p>
          <w:p w14:paraId="27FB4638" w14:textId="77777777" w:rsidR="00E026E9" w:rsidRPr="003D209B" w:rsidRDefault="00E026E9" w:rsidP="00AA0D71">
            <w:pPr>
              <w:spacing w:before="120" w:after="120"/>
              <w:rPr>
                <w:sz w:val="20"/>
              </w:rPr>
            </w:pPr>
            <w:r w:rsidRPr="003D209B">
              <w:rPr>
                <w:sz w:val="20"/>
              </w:rPr>
              <w:t>Entities will initially recognise as an asset the incremental costs of obtaining a contract with a customer provided that the entity expects to recover those costs. </w:t>
            </w:r>
          </w:p>
          <w:p w14:paraId="6DC1A3CA" w14:textId="77777777" w:rsidR="00E026E9" w:rsidRPr="003D209B" w:rsidRDefault="00E026E9" w:rsidP="00AA0D71">
            <w:pPr>
              <w:spacing w:before="120" w:after="120"/>
              <w:rPr>
                <w:sz w:val="20"/>
              </w:rPr>
            </w:pPr>
            <w:r w:rsidRPr="003D209B">
              <w:rPr>
                <w:sz w:val="20"/>
              </w:rPr>
              <w:t>Revenue is recognised when a product or service is delivered, with the main impact for contracts with bundled services, and where performance may be measured on a different basis.</w:t>
            </w:r>
          </w:p>
          <w:p w14:paraId="76D439CE" w14:textId="77777777" w:rsidR="00E026E9" w:rsidRPr="003D209B" w:rsidRDefault="00E026E9" w:rsidP="00AA0D71">
            <w:pPr>
              <w:spacing w:before="120" w:after="120"/>
              <w:rPr>
                <w:sz w:val="20"/>
              </w:rPr>
            </w:pPr>
            <w:r w:rsidRPr="003D209B">
              <w:rPr>
                <w:sz w:val="20"/>
              </w:rPr>
              <w:t>The telecommunications industry will be impacted given the large volume of customers with different plans.  Organisations may have to implement system changes to deal with the new requirements and recognise revenue at different points.</w:t>
            </w:r>
            <w:r w:rsidRPr="003D209B">
              <w:rPr>
                <w:sz w:val="20"/>
                <w:vertAlign w:val="superscript"/>
              </w:rPr>
              <w:footnoteReference w:id="33"/>
            </w:r>
            <w:r w:rsidRPr="003D209B">
              <w:rPr>
                <w:sz w:val="20"/>
              </w:rPr>
              <w:t xml:space="preserve">  </w:t>
            </w:r>
          </w:p>
          <w:p w14:paraId="46BA90BE" w14:textId="229E6C1B" w:rsidR="00E026E9" w:rsidRPr="003D209B" w:rsidRDefault="0089389C" w:rsidP="00621A8F">
            <w:pPr>
              <w:spacing w:before="120" w:after="120"/>
              <w:rPr>
                <w:sz w:val="20"/>
              </w:rPr>
            </w:pPr>
            <w:r w:rsidRPr="00621A8F">
              <w:rPr>
                <w:sz w:val="20"/>
              </w:rPr>
              <w:t xml:space="preserve">On 18 October 2018, the ATO withdrew </w:t>
            </w:r>
            <w:r w:rsidR="00E026E9" w:rsidRPr="00621A8F">
              <w:rPr>
                <w:sz w:val="20"/>
              </w:rPr>
              <w:t>Taxation Ruling IT2450 in relation to long-term construction contracts</w:t>
            </w:r>
            <w:r w:rsidR="00621A8F" w:rsidRPr="00621A8F">
              <w:rPr>
                <w:sz w:val="20"/>
              </w:rPr>
              <w:t xml:space="preserve">. This ruling has been replaced by TR 2018/3, issued on 7 March 2018, which considers the impact of AASB 15 on the tax treatment of long-term construction contracts. </w:t>
            </w:r>
            <w:r w:rsidR="00E026E9" w:rsidRPr="00621A8F">
              <w:rPr>
                <w:sz w:val="20"/>
              </w:rPr>
              <w:t xml:space="preserve"> </w:t>
            </w:r>
          </w:p>
        </w:tc>
        <w:tc>
          <w:tcPr>
            <w:tcW w:w="1157" w:type="dxa"/>
            <w:tcBorders>
              <w:top w:val="single" w:sz="4" w:space="0" w:color="3F6294"/>
              <w:bottom w:val="single" w:sz="4" w:space="0" w:color="3F6294"/>
            </w:tcBorders>
            <w:hideMark/>
          </w:tcPr>
          <w:p w14:paraId="7E4F9B11" w14:textId="77777777" w:rsidR="00E026E9" w:rsidRPr="003D209B" w:rsidRDefault="00E026E9" w:rsidP="00AA0D71">
            <w:pPr>
              <w:pStyle w:val="OutlineNumbered1"/>
              <w:numPr>
                <w:ilvl w:val="0"/>
                <w:numId w:val="0"/>
              </w:numPr>
              <w:tabs>
                <w:tab w:val="left" w:pos="720"/>
              </w:tabs>
              <w:spacing w:before="120" w:after="120"/>
              <w:rPr>
                <w:sz w:val="20"/>
              </w:rPr>
            </w:pPr>
            <w:r w:rsidRPr="003D209B">
              <w:rPr>
                <w:sz w:val="20"/>
              </w:rPr>
              <w:t>1 January 2018</w:t>
            </w:r>
          </w:p>
        </w:tc>
      </w:tr>
      <w:tr w:rsidR="00E026E9" w:rsidRPr="000274FC" w14:paraId="0BA24E71" w14:textId="77777777" w:rsidTr="003D209B">
        <w:trPr>
          <w:cnfStyle w:val="000000100000" w:firstRow="0" w:lastRow="0" w:firstColumn="0" w:lastColumn="0" w:oddVBand="0" w:evenVBand="0" w:oddHBand="1" w:evenHBand="0" w:firstRowFirstColumn="0" w:firstRowLastColumn="0" w:lastRowFirstColumn="0" w:lastRowLastColumn="0"/>
        </w:trPr>
        <w:tc>
          <w:tcPr>
            <w:tcW w:w="1358" w:type="dxa"/>
            <w:tcBorders>
              <w:top w:val="single" w:sz="4" w:space="0" w:color="3F6294"/>
              <w:bottom w:val="single" w:sz="4" w:space="0" w:color="3F6294"/>
            </w:tcBorders>
          </w:tcPr>
          <w:p w14:paraId="264E7CF5" w14:textId="77777777" w:rsidR="00F33EA1" w:rsidRDefault="00E026E9" w:rsidP="00AA0D71">
            <w:pPr>
              <w:pStyle w:val="OutlineNumbered1"/>
              <w:numPr>
                <w:ilvl w:val="0"/>
                <w:numId w:val="0"/>
              </w:numPr>
              <w:tabs>
                <w:tab w:val="left" w:pos="720"/>
              </w:tabs>
              <w:spacing w:before="120" w:after="120"/>
              <w:rPr>
                <w:b/>
                <w:sz w:val="20"/>
              </w:rPr>
            </w:pPr>
            <w:r w:rsidRPr="003D209B">
              <w:rPr>
                <w:b/>
                <w:sz w:val="20"/>
              </w:rPr>
              <w:lastRenderedPageBreak/>
              <w:t>AASB 16</w:t>
            </w:r>
          </w:p>
          <w:p w14:paraId="54E090C3" w14:textId="32A5FB10" w:rsidR="00E026E9" w:rsidRPr="003D209B" w:rsidRDefault="00E026E9" w:rsidP="003D209B">
            <w:pPr>
              <w:pStyle w:val="OutlineNumbered1"/>
              <w:numPr>
                <w:ilvl w:val="0"/>
                <w:numId w:val="0"/>
              </w:numPr>
              <w:tabs>
                <w:tab w:val="left" w:pos="720"/>
              </w:tabs>
              <w:spacing w:after="120"/>
              <w:rPr>
                <w:b/>
                <w:sz w:val="20"/>
              </w:rPr>
            </w:pPr>
            <w:r w:rsidRPr="003D209B">
              <w:rPr>
                <w:b/>
                <w:i/>
                <w:sz w:val="20"/>
              </w:rPr>
              <w:t>Leases</w:t>
            </w:r>
            <w:r w:rsidRPr="00CC576E">
              <w:rPr>
                <w:rStyle w:val="FootnoteReference"/>
                <w:b/>
                <w:i/>
              </w:rPr>
              <w:footnoteReference w:id="34"/>
            </w:r>
          </w:p>
        </w:tc>
        <w:tc>
          <w:tcPr>
            <w:tcW w:w="2861" w:type="dxa"/>
            <w:tcBorders>
              <w:top w:val="single" w:sz="4" w:space="0" w:color="3F6294"/>
              <w:bottom w:val="single" w:sz="4" w:space="0" w:color="3F6294"/>
            </w:tcBorders>
          </w:tcPr>
          <w:p w14:paraId="461E7CD4" w14:textId="77777777" w:rsidR="00E026E9" w:rsidRPr="003D209B" w:rsidRDefault="00E026E9" w:rsidP="00AA0D71">
            <w:pPr>
              <w:pStyle w:val="OutlineNumbered1"/>
              <w:numPr>
                <w:ilvl w:val="0"/>
                <w:numId w:val="0"/>
              </w:numPr>
              <w:tabs>
                <w:tab w:val="left" w:pos="720"/>
              </w:tabs>
              <w:spacing w:before="120" w:after="120"/>
              <w:rPr>
                <w:sz w:val="20"/>
              </w:rPr>
            </w:pPr>
            <w:r w:rsidRPr="003D209B">
              <w:rPr>
                <w:sz w:val="20"/>
              </w:rPr>
              <w:t xml:space="preserve">This Standard requires most lease agreements to be presented on the financial balance sheet of the lessee.  </w:t>
            </w:r>
          </w:p>
        </w:tc>
        <w:tc>
          <w:tcPr>
            <w:tcW w:w="3402" w:type="dxa"/>
            <w:tcBorders>
              <w:top w:val="single" w:sz="4" w:space="0" w:color="3F6294"/>
              <w:bottom w:val="single" w:sz="4" w:space="0" w:color="3F6294"/>
            </w:tcBorders>
          </w:tcPr>
          <w:p w14:paraId="1AA7B1C0" w14:textId="77777777" w:rsidR="00E026E9" w:rsidRPr="003D209B" w:rsidRDefault="00E026E9" w:rsidP="00AA0D71">
            <w:pPr>
              <w:pStyle w:val="OutlineNumbered1"/>
              <w:numPr>
                <w:ilvl w:val="0"/>
                <w:numId w:val="0"/>
              </w:numPr>
              <w:tabs>
                <w:tab w:val="left" w:pos="720"/>
              </w:tabs>
              <w:spacing w:before="120" w:after="120"/>
              <w:rPr>
                <w:sz w:val="20"/>
              </w:rPr>
            </w:pPr>
            <w:r w:rsidRPr="003D209B">
              <w:rPr>
                <w:sz w:val="20"/>
              </w:rPr>
              <w:t>AASB 16 introduces a single lessee accounting model and requires a lessee to recognise assets and liabilities for all leases with a term of more than 12 months, unless the underlying asset is of low value.</w:t>
            </w:r>
          </w:p>
          <w:p w14:paraId="2E5AD955" w14:textId="77777777" w:rsidR="00E026E9" w:rsidRPr="003D209B" w:rsidRDefault="00E026E9" w:rsidP="00AA0D71">
            <w:pPr>
              <w:pStyle w:val="OutlineNumbered1"/>
              <w:numPr>
                <w:ilvl w:val="0"/>
                <w:numId w:val="0"/>
              </w:numPr>
              <w:tabs>
                <w:tab w:val="left" w:pos="720"/>
              </w:tabs>
              <w:spacing w:before="120" w:after="120"/>
              <w:rPr>
                <w:sz w:val="20"/>
              </w:rPr>
            </w:pPr>
            <w:r w:rsidRPr="003D209B">
              <w:rPr>
                <w:sz w:val="20"/>
              </w:rPr>
              <w:t>This will increase both assets and liabilities on an</w:t>
            </w:r>
            <w:r w:rsidRPr="003D209B" w:rsidDel="00AB6136">
              <w:rPr>
                <w:sz w:val="20"/>
              </w:rPr>
              <w:t xml:space="preserve"> </w:t>
            </w:r>
            <w:r w:rsidRPr="003D209B">
              <w:rPr>
                <w:sz w:val="20"/>
              </w:rPr>
              <w:t>entity balance sheet.</w:t>
            </w:r>
          </w:p>
          <w:p w14:paraId="6E506FC3" w14:textId="249D5195" w:rsidR="00E026E9" w:rsidRPr="003D209B" w:rsidRDefault="00E026E9" w:rsidP="00CC576E">
            <w:pPr>
              <w:pStyle w:val="OutlineNumbered1"/>
              <w:numPr>
                <w:ilvl w:val="0"/>
                <w:numId w:val="0"/>
              </w:numPr>
              <w:tabs>
                <w:tab w:val="left" w:pos="720"/>
              </w:tabs>
              <w:spacing w:before="120" w:after="120"/>
              <w:rPr>
                <w:sz w:val="20"/>
              </w:rPr>
            </w:pPr>
            <w:r w:rsidRPr="003D209B">
              <w:rPr>
                <w:sz w:val="20"/>
              </w:rPr>
              <w:t xml:space="preserve">The new </w:t>
            </w:r>
            <w:r w:rsidR="00CC576E">
              <w:rPr>
                <w:sz w:val="20"/>
              </w:rPr>
              <w:t>AASB</w:t>
            </w:r>
            <w:r w:rsidR="00CC576E" w:rsidRPr="003D209B">
              <w:rPr>
                <w:sz w:val="20"/>
              </w:rPr>
              <w:t xml:space="preserve"> </w:t>
            </w:r>
            <w:r w:rsidRPr="003D209B">
              <w:rPr>
                <w:sz w:val="20"/>
              </w:rPr>
              <w:t xml:space="preserve">16 treatment will result in both a depreciation and interest charge impacting on the Profit and Loss statement, with more front loading of expenses in earlier years of the lease, reducing over time.  </w:t>
            </w:r>
          </w:p>
        </w:tc>
        <w:tc>
          <w:tcPr>
            <w:tcW w:w="1157" w:type="dxa"/>
            <w:tcBorders>
              <w:top w:val="single" w:sz="4" w:space="0" w:color="3F6294"/>
              <w:bottom w:val="single" w:sz="4" w:space="0" w:color="3F6294"/>
            </w:tcBorders>
          </w:tcPr>
          <w:p w14:paraId="1EDC7C89" w14:textId="77777777" w:rsidR="00E026E9" w:rsidRPr="00621A8F" w:rsidRDefault="00E026E9" w:rsidP="00AA0D71">
            <w:pPr>
              <w:pStyle w:val="OutlineNumbered1"/>
              <w:numPr>
                <w:ilvl w:val="0"/>
                <w:numId w:val="0"/>
              </w:numPr>
              <w:tabs>
                <w:tab w:val="left" w:pos="720"/>
              </w:tabs>
              <w:spacing w:before="120" w:after="120"/>
              <w:rPr>
                <w:sz w:val="20"/>
              </w:rPr>
            </w:pPr>
            <w:r w:rsidRPr="003D209B">
              <w:rPr>
                <w:sz w:val="20"/>
              </w:rPr>
              <w:t>1 January 2019</w:t>
            </w:r>
          </w:p>
        </w:tc>
      </w:tr>
      <w:tr w:rsidR="005C2127" w:rsidRPr="000274FC" w14:paraId="51C1B791" w14:textId="77777777" w:rsidTr="003D209B">
        <w:trPr>
          <w:cnfStyle w:val="000000010000" w:firstRow="0" w:lastRow="0" w:firstColumn="0" w:lastColumn="0" w:oddVBand="0" w:evenVBand="0" w:oddHBand="0" w:evenHBand="1" w:firstRowFirstColumn="0" w:firstRowLastColumn="0" w:lastRowFirstColumn="0" w:lastRowLastColumn="0"/>
        </w:trPr>
        <w:tc>
          <w:tcPr>
            <w:tcW w:w="1358" w:type="dxa"/>
            <w:tcBorders>
              <w:top w:val="single" w:sz="4" w:space="0" w:color="3F6294"/>
              <w:bottom w:val="single" w:sz="4" w:space="0" w:color="3F6294"/>
            </w:tcBorders>
          </w:tcPr>
          <w:p w14:paraId="54C41394" w14:textId="012FF07B" w:rsidR="005C2127" w:rsidRDefault="005C2127" w:rsidP="00AA0D71">
            <w:pPr>
              <w:pStyle w:val="OutlineNumbered1"/>
              <w:numPr>
                <w:ilvl w:val="0"/>
                <w:numId w:val="0"/>
              </w:numPr>
              <w:tabs>
                <w:tab w:val="left" w:pos="720"/>
              </w:tabs>
              <w:spacing w:before="120" w:after="120"/>
              <w:rPr>
                <w:b/>
                <w:sz w:val="20"/>
              </w:rPr>
            </w:pPr>
            <w:r>
              <w:rPr>
                <w:b/>
                <w:sz w:val="20"/>
              </w:rPr>
              <w:t>AASB 17</w:t>
            </w:r>
          </w:p>
          <w:p w14:paraId="57A93F09" w14:textId="7924AAD6" w:rsidR="005C2127" w:rsidRPr="001533C8" w:rsidRDefault="005C2127" w:rsidP="001533C8">
            <w:pPr>
              <w:pStyle w:val="OutlineNumbered1"/>
              <w:numPr>
                <w:ilvl w:val="0"/>
                <w:numId w:val="0"/>
              </w:numPr>
              <w:tabs>
                <w:tab w:val="left" w:pos="720"/>
              </w:tabs>
              <w:spacing w:after="120"/>
              <w:rPr>
                <w:b/>
                <w:i/>
                <w:sz w:val="20"/>
              </w:rPr>
            </w:pPr>
            <w:r w:rsidRPr="001533C8">
              <w:rPr>
                <w:b/>
                <w:i/>
                <w:sz w:val="20"/>
              </w:rPr>
              <w:t>Insurance Contracts</w:t>
            </w:r>
          </w:p>
        </w:tc>
        <w:tc>
          <w:tcPr>
            <w:tcW w:w="2861" w:type="dxa"/>
            <w:tcBorders>
              <w:top w:val="single" w:sz="4" w:space="0" w:color="3F6294"/>
              <w:bottom w:val="single" w:sz="4" w:space="0" w:color="3F6294"/>
            </w:tcBorders>
          </w:tcPr>
          <w:p w14:paraId="3D2A6DF1" w14:textId="77777777" w:rsidR="008B26AD" w:rsidRDefault="005C2127">
            <w:pPr>
              <w:pStyle w:val="OutlineNumbered1"/>
              <w:numPr>
                <w:ilvl w:val="0"/>
                <w:numId w:val="0"/>
              </w:numPr>
              <w:tabs>
                <w:tab w:val="left" w:pos="720"/>
              </w:tabs>
              <w:spacing w:before="120" w:after="120"/>
              <w:rPr>
                <w:sz w:val="20"/>
              </w:rPr>
            </w:pPr>
            <w:r>
              <w:rPr>
                <w:sz w:val="20"/>
              </w:rPr>
              <w:t>This standard</w:t>
            </w:r>
            <w:r w:rsidRPr="005C2127">
              <w:rPr>
                <w:sz w:val="20"/>
              </w:rPr>
              <w:t xml:space="preserve"> establishes </w:t>
            </w:r>
            <w:r>
              <w:rPr>
                <w:sz w:val="20"/>
              </w:rPr>
              <w:t xml:space="preserve">new </w:t>
            </w:r>
            <w:r w:rsidRPr="005C2127">
              <w:rPr>
                <w:sz w:val="20"/>
              </w:rPr>
              <w:t xml:space="preserve">principles for the recognition, measurement, presentation and disclosure of insurance contracts issued. </w:t>
            </w:r>
          </w:p>
          <w:p w14:paraId="12E426E5" w14:textId="1FC899AF" w:rsidR="005C2127" w:rsidRPr="003D209B" w:rsidRDefault="005C2127">
            <w:pPr>
              <w:pStyle w:val="OutlineNumbered1"/>
              <w:numPr>
                <w:ilvl w:val="0"/>
                <w:numId w:val="0"/>
              </w:numPr>
              <w:tabs>
                <w:tab w:val="left" w:pos="720"/>
              </w:tabs>
              <w:spacing w:before="120" w:after="120"/>
              <w:rPr>
                <w:sz w:val="20"/>
              </w:rPr>
            </w:pPr>
            <w:r w:rsidRPr="005C2127">
              <w:rPr>
                <w:sz w:val="20"/>
              </w:rPr>
              <w:t>The objective is to ensure that entities provide relevant information in a way that faithfully represents those contracts. This information gives a basis for users of financial statements to assess the effect that contracts within the scope of AASB 17 have on the financial position, financial performance and cash flows of the entity.</w:t>
            </w:r>
            <w:r w:rsidR="008B26AD">
              <w:rPr>
                <w:rStyle w:val="FootnoteReference"/>
              </w:rPr>
              <w:footnoteReference w:id="35"/>
            </w:r>
          </w:p>
        </w:tc>
        <w:tc>
          <w:tcPr>
            <w:tcW w:w="3402" w:type="dxa"/>
            <w:tcBorders>
              <w:top w:val="single" w:sz="4" w:space="0" w:color="3F6294"/>
              <w:bottom w:val="single" w:sz="4" w:space="0" w:color="3F6294"/>
            </w:tcBorders>
          </w:tcPr>
          <w:p w14:paraId="3BC92C91" w14:textId="33E0E022" w:rsidR="005C2127" w:rsidRDefault="008B26AD" w:rsidP="00AA0D71">
            <w:pPr>
              <w:pStyle w:val="OutlineNumbered1"/>
              <w:numPr>
                <w:ilvl w:val="0"/>
                <w:numId w:val="0"/>
              </w:numPr>
              <w:tabs>
                <w:tab w:val="left" w:pos="720"/>
              </w:tabs>
              <w:spacing w:before="120" w:after="120"/>
              <w:rPr>
                <w:sz w:val="20"/>
              </w:rPr>
            </w:pPr>
            <w:r>
              <w:rPr>
                <w:sz w:val="20"/>
              </w:rPr>
              <w:t xml:space="preserve">The greatest impact of the new standard will be for life insurance companies, and </w:t>
            </w:r>
            <w:r w:rsidR="005F7ADD">
              <w:rPr>
                <w:sz w:val="20"/>
              </w:rPr>
              <w:t>it</w:t>
            </w:r>
            <w:r w:rsidR="005C2127">
              <w:rPr>
                <w:sz w:val="20"/>
              </w:rPr>
              <w:t xml:space="preserve"> may have implications for the tax provisions relating to life insurance companies found in Division 320 of the </w:t>
            </w:r>
            <w:r w:rsidR="005C2127" w:rsidRPr="001533C8">
              <w:rPr>
                <w:i/>
                <w:sz w:val="20"/>
              </w:rPr>
              <w:t>Income Tax Assessment Act 1997</w:t>
            </w:r>
            <w:r w:rsidR="005C2127">
              <w:rPr>
                <w:sz w:val="20"/>
              </w:rPr>
              <w:t xml:space="preserve">. </w:t>
            </w:r>
          </w:p>
          <w:p w14:paraId="55B4E4E0" w14:textId="632C08B8" w:rsidR="005C2127" w:rsidRPr="003D209B" w:rsidRDefault="005C2127" w:rsidP="00AA0D71">
            <w:pPr>
              <w:pStyle w:val="OutlineNumbered1"/>
              <w:numPr>
                <w:ilvl w:val="0"/>
                <w:numId w:val="0"/>
              </w:numPr>
              <w:tabs>
                <w:tab w:val="left" w:pos="720"/>
              </w:tabs>
              <w:spacing w:before="120" w:after="120"/>
              <w:rPr>
                <w:sz w:val="20"/>
              </w:rPr>
            </w:pPr>
            <w:r w:rsidRPr="001533C8">
              <w:rPr>
                <w:sz w:val="20"/>
              </w:rPr>
              <w:t>Division 320 draws on the prudential valuation standard for life insurance companies to ensure the appropriate valuation of liabilities. These prudential standards are under review by APRA as a consequence of the issuance of the new accounting standard.</w:t>
            </w:r>
          </w:p>
        </w:tc>
        <w:tc>
          <w:tcPr>
            <w:tcW w:w="1157" w:type="dxa"/>
            <w:tcBorders>
              <w:top w:val="single" w:sz="4" w:space="0" w:color="3F6294"/>
              <w:bottom w:val="single" w:sz="4" w:space="0" w:color="3F6294"/>
            </w:tcBorders>
          </w:tcPr>
          <w:p w14:paraId="17BD3C5F" w14:textId="6A53733C" w:rsidR="005C2127" w:rsidRPr="003D209B" w:rsidRDefault="005C2127" w:rsidP="00AA0D71">
            <w:pPr>
              <w:pStyle w:val="OutlineNumbered1"/>
              <w:numPr>
                <w:ilvl w:val="0"/>
                <w:numId w:val="0"/>
              </w:numPr>
              <w:tabs>
                <w:tab w:val="left" w:pos="720"/>
              </w:tabs>
              <w:spacing w:before="120" w:after="120"/>
              <w:rPr>
                <w:sz w:val="20"/>
              </w:rPr>
            </w:pPr>
            <w:r>
              <w:rPr>
                <w:sz w:val="20"/>
              </w:rPr>
              <w:t>1 January 2021</w:t>
            </w:r>
          </w:p>
        </w:tc>
      </w:tr>
    </w:tbl>
    <w:p w14:paraId="6CA80124" w14:textId="424F8085" w:rsidR="00E026E9" w:rsidRPr="001533C8" w:rsidRDefault="001533C8" w:rsidP="00E026E9">
      <w:pPr>
        <w:pStyle w:val="Heading2"/>
        <w:spacing w:before="120" w:after="120"/>
      </w:pPr>
      <w:bookmarkStart w:id="110" w:name="_Toc520377733"/>
      <w:r>
        <w:lastRenderedPageBreak/>
        <w:t xml:space="preserve">AASB </w:t>
      </w:r>
      <w:r w:rsidR="00A115F8">
        <w:t xml:space="preserve">/ IASB </w:t>
      </w:r>
      <w:r>
        <w:t>work program</w:t>
      </w:r>
      <w:r w:rsidR="00A115F8">
        <w:t>s</w:t>
      </w:r>
      <w:bookmarkEnd w:id="110"/>
    </w:p>
    <w:p w14:paraId="0440B5D9" w14:textId="20FA6ADF" w:rsidR="00E026E9" w:rsidRPr="001533C8" w:rsidRDefault="00E026E9" w:rsidP="00E026E9">
      <w:pPr>
        <w:spacing w:before="120" w:after="120" w:line="240" w:lineRule="auto"/>
      </w:pPr>
      <w:r w:rsidRPr="001533C8">
        <w:t>The AASB</w:t>
      </w:r>
      <w:r w:rsidR="00A115F8">
        <w:t xml:space="preserve"> and IASB are</w:t>
      </w:r>
      <w:r w:rsidR="00CF1130">
        <w:t xml:space="preserve"> working on a number of other projects that may have tax implications</w:t>
      </w:r>
      <w:r w:rsidR="00A115F8">
        <w:t xml:space="preserve"> if they result in changes to the accounting standards. Some of these are long term projects in the very early stages of development</w:t>
      </w:r>
      <w:r w:rsidR="00CF1130">
        <w:t>. These include</w:t>
      </w:r>
      <w:r w:rsidRPr="001533C8">
        <w:t>:</w:t>
      </w:r>
    </w:p>
    <w:p w14:paraId="418CEB5F" w14:textId="2E6A4AA0" w:rsidR="00E026E9" w:rsidRPr="001533C8" w:rsidRDefault="00CF1130" w:rsidP="00E026E9">
      <w:pPr>
        <w:pStyle w:val="Bullet"/>
        <w:numPr>
          <w:ilvl w:val="0"/>
          <w:numId w:val="41"/>
        </w:numPr>
        <w:spacing w:before="120" w:after="120" w:line="240" w:lineRule="auto"/>
        <w:jc w:val="left"/>
      </w:pPr>
      <w:r>
        <w:t>Amendments to IRFS 3 (Business combinations) regarding t</w:t>
      </w:r>
      <w:r w:rsidR="00E026E9" w:rsidRPr="001533C8">
        <w:t>he definition of a business</w:t>
      </w:r>
      <w:r>
        <w:t>.</w:t>
      </w:r>
    </w:p>
    <w:p w14:paraId="2A1EF43C" w14:textId="77777777" w:rsidR="00E026E9" w:rsidRPr="001533C8" w:rsidRDefault="00E026E9" w:rsidP="00E026E9">
      <w:pPr>
        <w:pStyle w:val="Bullet"/>
        <w:numPr>
          <w:ilvl w:val="0"/>
          <w:numId w:val="41"/>
        </w:numPr>
        <w:spacing w:before="120" w:after="120" w:line="240" w:lineRule="auto"/>
        <w:jc w:val="left"/>
      </w:pPr>
      <w:r w:rsidRPr="001533C8">
        <w:t>Dynamic risk management – expected to mainly affect the accounting by banks for macro hedging activity.</w:t>
      </w:r>
    </w:p>
    <w:p w14:paraId="008C5E45" w14:textId="77777777" w:rsidR="00E026E9" w:rsidRPr="001533C8" w:rsidRDefault="00E026E9" w:rsidP="00E026E9">
      <w:pPr>
        <w:pStyle w:val="Bullet"/>
        <w:numPr>
          <w:ilvl w:val="0"/>
          <w:numId w:val="41"/>
        </w:numPr>
        <w:spacing w:before="120" w:after="120" w:line="240" w:lineRule="auto"/>
        <w:jc w:val="left"/>
      </w:pPr>
      <w:r w:rsidRPr="001533C8">
        <w:t xml:space="preserve">Financial Instruments with Characteristics of Equity – looking at the classification of financial instruments between liabilities (debt) and equity. </w:t>
      </w:r>
    </w:p>
    <w:p w14:paraId="1C13CF17" w14:textId="2F2BC60C" w:rsidR="00A115F8" w:rsidRPr="00A115F8" w:rsidRDefault="00E026E9" w:rsidP="00E026E9">
      <w:pPr>
        <w:pStyle w:val="Bullet"/>
        <w:numPr>
          <w:ilvl w:val="0"/>
          <w:numId w:val="41"/>
        </w:numPr>
        <w:spacing w:before="120" w:after="120" w:line="240" w:lineRule="auto"/>
        <w:jc w:val="left"/>
      </w:pPr>
      <w:r w:rsidRPr="00A115F8">
        <w:t xml:space="preserve">Business combinations under common control – expected to address diversity in the accounting for restructuring activity within a group. </w:t>
      </w:r>
    </w:p>
    <w:p w14:paraId="3D8650C7" w14:textId="568A2F64" w:rsidR="009B3A06" w:rsidRPr="009B3A06" w:rsidRDefault="00E026E9" w:rsidP="00A115F8">
      <w:pPr>
        <w:pStyle w:val="Bullet"/>
        <w:numPr>
          <w:ilvl w:val="0"/>
          <w:numId w:val="41"/>
        </w:numPr>
        <w:spacing w:before="120" w:after="120" w:line="240" w:lineRule="auto"/>
        <w:jc w:val="left"/>
      </w:pPr>
      <w:r w:rsidRPr="00A115F8">
        <w:t>Goodwill and impairment</w:t>
      </w:r>
      <w:r w:rsidRPr="001533C8">
        <w:t xml:space="preserve"> – review of the existing accounting requirements for goodwill.</w:t>
      </w:r>
    </w:p>
    <w:sectPr w:rsidR="009B3A06" w:rsidRPr="009B3A06" w:rsidSect="00E806E0">
      <w:pgSz w:w="11909" w:h="16834" w:code="9"/>
      <w:pgMar w:top="1167" w:right="1701" w:bottom="1701" w:left="1701" w:header="851"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558E63" w14:textId="77777777" w:rsidR="00D00BEA" w:rsidRDefault="00D00BEA">
      <w:r>
        <w:separator/>
      </w:r>
    </w:p>
  </w:endnote>
  <w:endnote w:type="continuationSeparator" w:id="0">
    <w:p w14:paraId="45BE8978" w14:textId="77777777" w:rsidR="00D00BEA" w:rsidRDefault="00D00BEA">
      <w:r>
        <w:continuationSeparator/>
      </w:r>
    </w:p>
  </w:endnote>
  <w:endnote w:type="continuationNotice" w:id="1">
    <w:p w14:paraId="2EB8B9F8" w14:textId="77777777" w:rsidR="00D00BEA" w:rsidRDefault="00D00B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nkGothic-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262D7" w14:textId="77777777" w:rsidR="00D00BEA" w:rsidRDefault="00D00BEA">
    <w:pPr>
      <w:pStyle w:val="FooterEven"/>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172B9" w14:textId="77777777" w:rsidR="00D00BEA" w:rsidRDefault="00D00BEA">
    <w:pPr>
      <w:pStyle w:val="FooterOdd"/>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4A814" w14:textId="77777777" w:rsidR="00D00BEA" w:rsidRPr="00AE77FC" w:rsidRDefault="00D00BEA">
    <w:pPr>
      <w:pStyle w:val="FooterOdd"/>
    </w:pPr>
    <w:r w:rsidRPr="005317EF">
      <w:t xml:space="preserve">Page </w:t>
    </w:r>
    <w:r w:rsidRPr="00AE77FC">
      <w:rPr>
        <w:rStyle w:val="PageNumber"/>
      </w:rPr>
      <w:fldChar w:fldCharType="begin"/>
    </w:r>
    <w:r w:rsidRPr="00AE77FC">
      <w:rPr>
        <w:rStyle w:val="PageNumber"/>
      </w:rPr>
      <w:instrText xml:space="preserve"> PAGE </w:instrText>
    </w:r>
    <w:r w:rsidRPr="00AE77FC">
      <w:rPr>
        <w:rStyle w:val="PageNumber"/>
      </w:rPr>
      <w:fldChar w:fldCharType="separate"/>
    </w:r>
    <w:r w:rsidR="00E8459F">
      <w:rPr>
        <w:rStyle w:val="PageNumber"/>
        <w:noProof/>
      </w:rPr>
      <w:t>1</w:t>
    </w:r>
    <w:r w:rsidRPr="00AE77FC">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CBB3D" w14:textId="715506E5" w:rsidR="00D00BEA" w:rsidRDefault="00D00BEA">
    <w:pPr>
      <w:pStyle w:val="FooterEven"/>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p>
  <w:p w14:paraId="5568688E" w14:textId="77777777" w:rsidR="00D00BEA" w:rsidRDefault="00D00BEA"/>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C2096" w14:textId="129F63EA" w:rsidR="00D00BEA" w:rsidRDefault="00D00BEA">
    <w:pPr>
      <w:pStyle w:val="FooterOdd"/>
      <w:rPr>
        <w:rStyle w:val="PageNumber"/>
      </w:rPr>
    </w:pPr>
  </w:p>
  <w:p w14:paraId="171CAD9B" w14:textId="77777777" w:rsidR="00D00BEA" w:rsidRDefault="00D00BEA"/>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F1A7A" w14:textId="77777777" w:rsidR="00D00BEA" w:rsidRPr="00622D85" w:rsidRDefault="00D00BEA" w:rsidP="00524A64">
    <w:pPr>
      <w:pStyle w:val="FooterOdd"/>
    </w:pPr>
    <w:r>
      <w:t xml:space="preserve">| Page </w:t>
    </w:r>
    <w:r>
      <w:fldChar w:fldCharType="begin"/>
    </w:r>
    <w:r>
      <w:instrText xml:space="preserve"> PAGE  \* Arabic  \* MERGEFORMAT </w:instrText>
    </w:r>
    <w:r>
      <w:fldChar w:fldCharType="separate"/>
    </w:r>
    <w:r w:rsidR="00E8459F">
      <w:rPr>
        <w:noProof/>
      </w:rPr>
      <w:t>10</w:t>
    </w:r>
    <w:r>
      <w:fldChar w:fldCharType="end"/>
    </w:r>
  </w:p>
  <w:p w14:paraId="6AF09DFB" w14:textId="77777777" w:rsidR="00D00BEA" w:rsidRDefault="00D00BEA"/>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C3019" w14:textId="756906D9" w:rsidR="00D00BEA" w:rsidRPr="00622D85" w:rsidRDefault="00D00BEA" w:rsidP="00524A64">
    <w:pPr>
      <w:pStyle w:val="FooterOdd"/>
    </w:pPr>
    <w:r>
      <w:t xml:space="preserve">| Page </w:t>
    </w:r>
    <w:r>
      <w:fldChar w:fldCharType="begin"/>
    </w:r>
    <w:r>
      <w:instrText xml:space="preserve"> PAGE  \* Arabic  \* MERGEFORMAT </w:instrText>
    </w:r>
    <w:r>
      <w:fldChar w:fldCharType="separate"/>
    </w:r>
    <w:r w:rsidR="00E8459F">
      <w:rPr>
        <w:noProof/>
      </w:rPr>
      <w:t>16</w:t>
    </w:r>
    <w:r>
      <w:fldChar w:fldCharType="end"/>
    </w:r>
  </w:p>
  <w:p w14:paraId="02CF3036" w14:textId="77777777" w:rsidR="00D00BEA" w:rsidRDefault="00D00BE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517DAD" w14:textId="77777777" w:rsidR="00D00BEA" w:rsidRDefault="00D00BEA">
      <w:r>
        <w:separator/>
      </w:r>
    </w:p>
  </w:footnote>
  <w:footnote w:type="continuationSeparator" w:id="0">
    <w:p w14:paraId="10351307" w14:textId="77777777" w:rsidR="00D00BEA" w:rsidRDefault="00D00BEA">
      <w:r>
        <w:continuationSeparator/>
      </w:r>
    </w:p>
  </w:footnote>
  <w:footnote w:type="continuationNotice" w:id="1">
    <w:p w14:paraId="0EC961CB" w14:textId="77777777" w:rsidR="00D00BEA" w:rsidRDefault="00D00BEA">
      <w:pPr>
        <w:spacing w:after="0" w:line="240" w:lineRule="auto"/>
      </w:pPr>
    </w:p>
  </w:footnote>
  <w:footnote w:id="2">
    <w:p w14:paraId="17CBB94C" w14:textId="0107B48A" w:rsidR="00D00BEA" w:rsidRPr="003130FD" w:rsidRDefault="00D00BEA" w:rsidP="00916E0E">
      <w:pPr>
        <w:pStyle w:val="FootnoteText"/>
        <w:tabs>
          <w:tab w:val="clear" w:pos="567"/>
          <w:tab w:val="left" w:pos="0"/>
        </w:tabs>
        <w:ind w:left="0" w:firstLine="0"/>
        <w:jc w:val="left"/>
        <w:rPr>
          <w:sz w:val="16"/>
          <w:szCs w:val="16"/>
        </w:rPr>
      </w:pPr>
      <w:r w:rsidRPr="003130FD">
        <w:rPr>
          <w:rStyle w:val="FootnoteReference"/>
          <w:sz w:val="16"/>
          <w:szCs w:val="16"/>
        </w:rPr>
        <w:footnoteRef/>
      </w:r>
      <w:r>
        <w:rPr>
          <w:sz w:val="16"/>
          <w:szCs w:val="16"/>
        </w:rPr>
        <w:t xml:space="preserve">  </w:t>
      </w:r>
      <w:r w:rsidRPr="003130FD">
        <w:rPr>
          <w:sz w:val="16"/>
          <w:szCs w:val="16"/>
        </w:rPr>
        <w:t xml:space="preserve">For further information, see: </w:t>
      </w:r>
      <w:hyperlink r:id="rId1" w:tooltip="link to IFRS website" w:history="1">
        <w:r w:rsidRPr="003130FD">
          <w:rPr>
            <w:rStyle w:val="Hyperlink"/>
            <w:sz w:val="16"/>
            <w:szCs w:val="16"/>
          </w:rPr>
          <w:t>http://www.ifrs.org/Use-around-the-world/Pages/Jurisdiction-profiles.aspx</w:t>
        </w:r>
      </w:hyperlink>
      <w:r w:rsidRPr="003130FD">
        <w:rPr>
          <w:sz w:val="16"/>
          <w:szCs w:val="16"/>
        </w:rPr>
        <w:t xml:space="preserve"> -- accessed in December 2014.</w:t>
      </w:r>
    </w:p>
  </w:footnote>
  <w:footnote w:id="3">
    <w:p w14:paraId="7D904E68" w14:textId="0161A2A8" w:rsidR="00D00BEA" w:rsidRPr="0093144D" w:rsidRDefault="00D00BEA" w:rsidP="00916E0E">
      <w:pPr>
        <w:spacing w:after="0" w:line="240" w:lineRule="auto"/>
        <w:jc w:val="left"/>
        <w:outlineLvl w:val="1"/>
        <w:rPr>
          <w:sz w:val="20"/>
        </w:rPr>
      </w:pPr>
      <w:r w:rsidRPr="003130FD">
        <w:rPr>
          <w:rStyle w:val="FootnoteReference"/>
          <w:sz w:val="16"/>
          <w:szCs w:val="16"/>
        </w:rPr>
        <w:footnoteRef/>
      </w:r>
      <w:r>
        <w:rPr>
          <w:sz w:val="16"/>
          <w:szCs w:val="16"/>
        </w:rPr>
        <w:t xml:space="preserve">  </w:t>
      </w:r>
      <w:r w:rsidRPr="003130FD">
        <w:rPr>
          <w:sz w:val="16"/>
          <w:szCs w:val="16"/>
        </w:rPr>
        <w:t xml:space="preserve">As directed by the Financial Reporting Council in its 2002 directive to the AASB, see Financial Reporting Council </w:t>
      </w:r>
      <w:r w:rsidRPr="003130FD">
        <w:rPr>
          <w:bCs/>
          <w:sz w:val="16"/>
          <w:szCs w:val="16"/>
        </w:rPr>
        <w:t>Bulletin 2002/4 – 3 July 2002 Adoption of International Accounting Standards by 2005.</w:t>
      </w:r>
    </w:p>
  </w:footnote>
  <w:footnote w:id="4">
    <w:p w14:paraId="241CD5A8" w14:textId="79F89961" w:rsidR="00D00BEA" w:rsidRPr="003130FD" w:rsidRDefault="00D00BEA" w:rsidP="00916E0E">
      <w:pPr>
        <w:pStyle w:val="FootnoteText"/>
        <w:tabs>
          <w:tab w:val="clear" w:pos="567"/>
        </w:tabs>
        <w:ind w:left="0" w:firstLine="0"/>
        <w:jc w:val="left"/>
        <w:rPr>
          <w:sz w:val="16"/>
          <w:szCs w:val="16"/>
        </w:rPr>
      </w:pPr>
      <w:r w:rsidRPr="003130FD">
        <w:rPr>
          <w:rStyle w:val="FootnoteReference"/>
          <w:sz w:val="16"/>
          <w:szCs w:val="16"/>
        </w:rPr>
        <w:footnoteRef/>
      </w:r>
      <w:r>
        <w:rPr>
          <w:sz w:val="16"/>
          <w:szCs w:val="16"/>
        </w:rPr>
        <w:t xml:space="preserve">  </w:t>
      </w:r>
      <w:r w:rsidRPr="003130FD">
        <w:rPr>
          <w:sz w:val="16"/>
          <w:szCs w:val="16"/>
        </w:rPr>
        <w:t xml:space="preserve">Accounting Standards, Building international opportunities for Australian business – Corporate Law Economic Reform Program, Proposals for Reform: Paper No. 1 - </w:t>
      </w:r>
      <w:hyperlink r:id="rId2" w:history="1">
        <w:r w:rsidRPr="003130FD">
          <w:rPr>
            <w:rStyle w:val="Hyperlink"/>
            <w:sz w:val="16"/>
            <w:szCs w:val="16"/>
          </w:rPr>
          <w:t>http://archive.treasury.gov.au/contentitem.asp?ContentID=281</w:t>
        </w:r>
      </w:hyperlink>
      <w:r w:rsidRPr="003130FD">
        <w:rPr>
          <w:sz w:val="16"/>
          <w:szCs w:val="16"/>
        </w:rPr>
        <w:t xml:space="preserve"> </w:t>
      </w:r>
    </w:p>
  </w:footnote>
  <w:footnote w:id="5">
    <w:p w14:paraId="013D5AD6" w14:textId="26EBB9B4" w:rsidR="00D00BEA" w:rsidRDefault="00D00BEA" w:rsidP="00916E0E">
      <w:pPr>
        <w:pStyle w:val="FootnoteText"/>
        <w:tabs>
          <w:tab w:val="clear" w:pos="567"/>
        </w:tabs>
        <w:ind w:left="0" w:firstLine="0"/>
        <w:jc w:val="left"/>
      </w:pPr>
      <w:r w:rsidRPr="003130FD">
        <w:rPr>
          <w:rStyle w:val="FootnoteReference"/>
          <w:sz w:val="16"/>
          <w:szCs w:val="16"/>
        </w:rPr>
        <w:footnoteRef/>
      </w:r>
      <w:r w:rsidRPr="003130FD">
        <w:rPr>
          <w:sz w:val="16"/>
          <w:szCs w:val="16"/>
        </w:rPr>
        <w:t xml:space="preserve"> Corporate disclosure, Strengthening the financial reporting framework - </w:t>
      </w:r>
      <w:hyperlink r:id="rId3" w:history="1">
        <w:r w:rsidRPr="003130FD">
          <w:rPr>
            <w:rStyle w:val="Hyperlink"/>
            <w:sz w:val="16"/>
            <w:szCs w:val="16"/>
          </w:rPr>
          <w:t>http://archive.treasury.gov.au/documents/403/PDF/Clerp9.pdf</w:t>
        </w:r>
      </w:hyperlink>
      <w:r w:rsidRPr="003130FD">
        <w:rPr>
          <w:sz w:val="16"/>
          <w:szCs w:val="16"/>
        </w:rPr>
        <w:t xml:space="preserve"> </w:t>
      </w:r>
    </w:p>
  </w:footnote>
  <w:footnote w:id="6">
    <w:p w14:paraId="4D7E01A0" w14:textId="7331973D" w:rsidR="00D00BEA" w:rsidRPr="00A115F8" w:rsidRDefault="00D00BEA" w:rsidP="00916E0E">
      <w:pPr>
        <w:pStyle w:val="FootnoteText"/>
        <w:tabs>
          <w:tab w:val="clear" w:pos="567"/>
        </w:tabs>
        <w:ind w:left="0" w:firstLine="0"/>
        <w:rPr>
          <w:sz w:val="16"/>
        </w:rPr>
      </w:pPr>
      <w:r w:rsidRPr="006604B4">
        <w:rPr>
          <w:rStyle w:val="FootnoteReference"/>
          <w:sz w:val="18"/>
        </w:rPr>
        <w:footnoteRef/>
      </w:r>
      <w:r w:rsidRPr="00A115F8">
        <w:rPr>
          <w:sz w:val="16"/>
        </w:rPr>
        <w:t xml:space="preserve"> The Government announced in the 2018-19 Federal Budget that taxpayers will no longer be able to revalue certain assets for thin capitalisation purposes where not permitted for accounting purposes. </w:t>
      </w:r>
    </w:p>
  </w:footnote>
  <w:footnote w:id="7">
    <w:p w14:paraId="33A43725" w14:textId="3C420B16" w:rsidR="00D00BEA" w:rsidRDefault="00D00BEA" w:rsidP="00916E0E">
      <w:pPr>
        <w:pStyle w:val="FootnoteText"/>
        <w:tabs>
          <w:tab w:val="clear" w:pos="567"/>
        </w:tabs>
        <w:ind w:left="0" w:firstLine="0"/>
      </w:pPr>
      <w:r w:rsidRPr="006604B4">
        <w:rPr>
          <w:rStyle w:val="FootnoteReference"/>
          <w:sz w:val="18"/>
        </w:rPr>
        <w:footnoteRef/>
      </w:r>
      <w:r w:rsidRPr="00A115F8">
        <w:rPr>
          <w:sz w:val="16"/>
        </w:rPr>
        <w:t xml:space="preserve"> The Government announced further changes to the TOFA regime in the 2015-16 Budget to introduce a stronger link between tax and accounting.</w:t>
      </w:r>
    </w:p>
  </w:footnote>
  <w:footnote w:id="8">
    <w:p w14:paraId="29D27E30" w14:textId="1437580E" w:rsidR="00D00BEA" w:rsidRPr="003130FD" w:rsidRDefault="00D00BEA" w:rsidP="00916E0E">
      <w:pPr>
        <w:autoSpaceDE w:val="0"/>
        <w:autoSpaceDN w:val="0"/>
        <w:adjustRightInd w:val="0"/>
        <w:spacing w:after="0" w:line="240" w:lineRule="auto"/>
        <w:jc w:val="left"/>
        <w:rPr>
          <w:rFonts w:cs="BankGothic-Light"/>
          <w:i/>
          <w:sz w:val="16"/>
          <w:szCs w:val="16"/>
        </w:rPr>
      </w:pPr>
      <w:r w:rsidRPr="003130FD">
        <w:rPr>
          <w:rStyle w:val="FootnoteReference"/>
          <w:sz w:val="16"/>
          <w:szCs w:val="16"/>
        </w:rPr>
        <w:footnoteRef/>
      </w:r>
      <w:r w:rsidRPr="003130FD">
        <w:rPr>
          <w:sz w:val="16"/>
          <w:szCs w:val="16"/>
        </w:rPr>
        <w:t xml:space="preserve"> Most information in this section has been drawn from </w:t>
      </w:r>
      <w:r w:rsidRPr="003130FD">
        <w:rPr>
          <w:rFonts w:cs="BankGothic-Light"/>
          <w:i/>
          <w:sz w:val="16"/>
          <w:szCs w:val="16"/>
        </w:rPr>
        <w:t xml:space="preserve">An accounting and taxation conundrum: A Pan-European perspective on tax accounting implications of IFRS adoption </w:t>
      </w:r>
      <w:r w:rsidRPr="003130FD">
        <w:rPr>
          <w:rFonts w:cs="BankGothic-Light"/>
          <w:sz w:val="16"/>
          <w:szCs w:val="16"/>
        </w:rPr>
        <w:t xml:space="preserve">published by The World Bank’s Centre for </w:t>
      </w:r>
      <w:r w:rsidRPr="003130FD">
        <w:rPr>
          <w:sz w:val="16"/>
          <w:szCs w:val="16"/>
        </w:rPr>
        <w:t xml:space="preserve">Financial Reporting </w:t>
      </w:r>
      <w:r w:rsidRPr="003130FD">
        <w:rPr>
          <w:rFonts w:cs="BankGothic-Light"/>
          <w:sz w:val="16"/>
          <w:szCs w:val="16"/>
        </w:rPr>
        <w:t xml:space="preserve">Reform in September 2007: </w:t>
      </w:r>
      <w:hyperlink r:id="rId4" w:history="1">
        <w:r w:rsidRPr="003130FD">
          <w:rPr>
            <w:rStyle w:val="Hyperlink"/>
            <w:rFonts w:cs="BankGothic-Light"/>
            <w:sz w:val="16"/>
            <w:szCs w:val="16"/>
          </w:rPr>
          <w:t>http://siteresources.worldbank.org/EXTCENFINREPREF/Resources/Taxation_Conundrum.pdf</w:t>
        </w:r>
      </w:hyperlink>
      <w:r w:rsidRPr="003130FD">
        <w:rPr>
          <w:rFonts w:ascii="BankGothic-Light" w:hAnsi="BankGothic-Light" w:cs="BankGothic-Light"/>
          <w:sz w:val="16"/>
          <w:szCs w:val="16"/>
        </w:rPr>
        <w:t xml:space="preserve"> </w:t>
      </w:r>
    </w:p>
  </w:footnote>
  <w:footnote w:id="9">
    <w:p w14:paraId="0B3FC4FE" w14:textId="4214F780" w:rsidR="00D00BEA" w:rsidRPr="003130FD" w:rsidRDefault="00D00BEA" w:rsidP="00916E0E">
      <w:pPr>
        <w:pStyle w:val="FootnoteText"/>
        <w:tabs>
          <w:tab w:val="clear" w:pos="567"/>
        </w:tabs>
        <w:ind w:left="0" w:firstLine="0"/>
        <w:jc w:val="left"/>
        <w:rPr>
          <w:sz w:val="16"/>
          <w:szCs w:val="16"/>
        </w:rPr>
      </w:pPr>
      <w:r w:rsidRPr="003130FD">
        <w:rPr>
          <w:rStyle w:val="FootnoteReference"/>
          <w:sz w:val="16"/>
          <w:szCs w:val="16"/>
        </w:rPr>
        <w:footnoteRef/>
      </w:r>
      <w:r w:rsidRPr="003130FD">
        <w:rPr>
          <w:sz w:val="16"/>
          <w:szCs w:val="16"/>
        </w:rPr>
        <w:t xml:space="preserve"> The Relationship Between Accounting and Taxation, p13, Simon James, University of Exeter - </w:t>
      </w:r>
      <w:hyperlink r:id="rId5" w:history="1">
        <w:r w:rsidRPr="003130FD">
          <w:rPr>
            <w:rStyle w:val="Hyperlink"/>
            <w:sz w:val="16"/>
            <w:szCs w:val="16"/>
          </w:rPr>
          <w:t>https://business-school.exeter.ac.uk/documents/papers/management/2002/0209.pdf</w:t>
        </w:r>
      </w:hyperlink>
      <w:r w:rsidRPr="003130FD">
        <w:rPr>
          <w:sz w:val="16"/>
          <w:szCs w:val="16"/>
        </w:rPr>
        <w:t xml:space="preserve"> </w:t>
      </w:r>
    </w:p>
  </w:footnote>
  <w:footnote w:id="10">
    <w:p w14:paraId="2875032D" w14:textId="483BAC96" w:rsidR="00D00BEA" w:rsidRPr="003130FD" w:rsidRDefault="00D00BEA" w:rsidP="00916E0E">
      <w:pPr>
        <w:pStyle w:val="FootnoteText"/>
        <w:tabs>
          <w:tab w:val="clear" w:pos="567"/>
        </w:tabs>
        <w:ind w:left="0" w:firstLine="0"/>
        <w:jc w:val="left"/>
        <w:rPr>
          <w:sz w:val="16"/>
          <w:szCs w:val="16"/>
        </w:rPr>
      </w:pPr>
      <w:r w:rsidRPr="003130FD">
        <w:rPr>
          <w:rStyle w:val="FootnoteReference"/>
          <w:sz w:val="16"/>
          <w:szCs w:val="16"/>
        </w:rPr>
        <w:footnoteRef/>
      </w:r>
      <w:r w:rsidRPr="003130FD">
        <w:rPr>
          <w:sz w:val="16"/>
          <w:szCs w:val="16"/>
        </w:rPr>
        <w:t xml:space="preserve"> See guidance published by HMRC on the tax implications of adopting IFRS: </w:t>
      </w:r>
      <w:hyperlink r:id="rId6" w:history="1">
        <w:r w:rsidRPr="003130FD">
          <w:rPr>
            <w:rStyle w:val="Hyperlink"/>
            <w:sz w:val="16"/>
            <w:szCs w:val="16"/>
          </w:rPr>
          <w:t>https://www.gov.uk/government/publications/accounting-standards-the-uk-tax-implications-of-new-uk-gaap</w:t>
        </w:r>
      </w:hyperlink>
      <w:r w:rsidRPr="003130FD">
        <w:rPr>
          <w:sz w:val="16"/>
          <w:szCs w:val="16"/>
        </w:rPr>
        <w:t xml:space="preserve"> </w:t>
      </w:r>
    </w:p>
  </w:footnote>
  <w:footnote w:id="11">
    <w:p w14:paraId="2C07AEB4" w14:textId="0AAE8D4E" w:rsidR="00D00BEA" w:rsidRPr="003130FD" w:rsidRDefault="00D00BEA" w:rsidP="00916E0E">
      <w:pPr>
        <w:pStyle w:val="FootnoteText"/>
        <w:tabs>
          <w:tab w:val="clear" w:pos="567"/>
        </w:tabs>
        <w:ind w:left="0" w:firstLine="0"/>
        <w:jc w:val="left"/>
        <w:rPr>
          <w:sz w:val="16"/>
          <w:szCs w:val="16"/>
        </w:rPr>
      </w:pPr>
      <w:r w:rsidRPr="003130FD">
        <w:rPr>
          <w:rStyle w:val="FootnoteReference"/>
          <w:sz w:val="16"/>
          <w:szCs w:val="16"/>
        </w:rPr>
        <w:footnoteRef/>
      </w:r>
      <w:r w:rsidRPr="003130FD">
        <w:rPr>
          <w:sz w:val="16"/>
          <w:szCs w:val="16"/>
        </w:rPr>
        <w:t xml:space="preserve"> See the UK’s </w:t>
      </w:r>
      <w:r w:rsidRPr="003130FD">
        <w:rPr>
          <w:i/>
          <w:sz w:val="16"/>
          <w:szCs w:val="16"/>
        </w:rPr>
        <w:t>Finance Act 2004</w:t>
      </w:r>
      <w:r w:rsidRPr="003130FD">
        <w:rPr>
          <w:sz w:val="16"/>
          <w:szCs w:val="16"/>
        </w:rPr>
        <w:t xml:space="preserve"> at </w:t>
      </w:r>
      <w:hyperlink r:id="rId7" w:history="1">
        <w:r w:rsidRPr="003130FD">
          <w:rPr>
            <w:rStyle w:val="Hyperlink"/>
            <w:sz w:val="16"/>
            <w:szCs w:val="16"/>
          </w:rPr>
          <w:t>http://www.legislation.gov.uk/ukpga/2004/12/contents</w:t>
        </w:r>
      </w:hyperlink>
      <w:r w:rsidRPr="003130FD">
        <w:rPr>
          <w:sz w:val="16"/>
          <w:szCs w:val="16"/>
        </w:rPr>
        <w:t xml:space="preserve"> and also commentary in </w:t>
      </w:r>
      <w:r w:rsidRPr="003130FD">
        <w:rPr>
          <w:i/>
          <w:sz w:val="16"/>
          <w:szCs w:val="16"/>
        </w:rPr>
        <w:t>Corporate Finance</w:t>
      </w:r>
      <w:r w:rsidRPr="003130FD">
        <w:rPr>
          <w:sz w:val="16"/>
          <w:szCs w:val="16"/>
        </w:rPr>
        <w:t xml:space="preserve"> </w:t>
      </w:r>
      <w:hyperlink r:id="rId8" w:history="1">
        <w:r w:rsidRPr="003130FD">
          <w:rPr>
            <w:rStyle w:val="Hyperlink"/>
            <w:sz w:val="16"/>
            <w:szCs w:val="16"/>
          </w:rPr>
          <w:t>https://www.treasurers.org/ACTmedia/sep04TT28-30Amin.pdf</w:t>
        </w:r>
      </w:hyperlink>
      <w:r w:rsidRPr="003130FD">
        <w:rPr>
          <w:sz w:val="16"/>
          <w:szCs w:val="16"/>
        </w:rPr>
        <w:t xml:space="preserve"> </w:t>
      </w:r>
    </w:p>
  </w:footnote>
  <w:footnote w:id="12">
    <w:p w14:paraId="3DC5E6F3" w14:textId="040452F7" w:rsidR="00D00BEA" w:rsidRPr="003130FD" w:rsidRDefault="00D00BEA" w:rsidP="00916E0E">
      <w:pPr>
        <w:pStyle w:val="FootnoteText"/>
        <w:tabs>
          <w:tab w:val="clear" w:pos="567"/>
        </w:tabs>
        <w:ind w:left="0" w:firstLine="0"/>
        <w:jc w:val="left"/>
        <w:rPr>
          <w:sz w:val="16"/>
          <w:szCs w:val="16"/>
        </w:rPr>
      </w:pPr>
      <w:r w:rsidRPr="003130FD">
        <w:rPr>
          <w:rStyle w:val="FootnoteReference"/>
          <w:sz w:val="16"/>
          <w:szCs w:val="16"/>
        </w:rPr>
        <w:footnoteRef/>
      </w:r>
      <w:r w:rsidRPr="003130FD">
        <w:rPr>
          <w:sz w:val="16"/>
          <w:szCs w:val="16"/>
        </w:rPr>
        <w:t xml:space="preserve"> See commentary at </w:t>
      </w:r>
      <w:hyperlink r:id="rId9" w:history="1">
        <w:r w:rsidRPr="003130FD">
          <w:rPr>
            <w:rStyle w:val="Hyperlink"/>
            <w:sz w:val="16"/>
            <w:szCs w:val="16"/>
          </w:rPr>
          <w:t>http://www.grant-thornton.co.uk/Global/Publication_pdf/FRS102-briefing-paper.pdf</w:t>
        </w:r>
      </w:hyperlink>
      <w:r w:rsidRPr="003130FD">
        <w:rPr>
          <w:sz w:val="16"/>
          <w:szCs w:val="16"/>
        </w:rPr>
        <w:t xml:space="preserve"> </w:t>
      </w:r>
    </w:p>
  </w:footnote>
  <w:footnote w:id="13">
    <w:p w14:paraId="6C39D945" w14:textId="43890640" w:rsidR="00D00BEA" w:rsidRPr="003130FD" w:rsidRDefault="00D00BEA" w:rsidP="00916E0E">
      <w:pPr>
        <w:pStyle w:val="FootnoteText"/>
        <w:tabs>
          <w:tab w:val="clear" w:pos="567"/>
        </w:tabs>
        <w:ind w:left="0" w:firstLine="0"/>
        <w:jc w:val="left"/>
        <w:rPr>
          <w:sz w:val="16"/>
          <w:szCs w:val="16"/>
        </w:rPr>
      </w:pPr>
      <w:r w:rsidRPr="003130FD">
        <w:rPr>
          <w:rStyle w:val="FootnoteReference"/>
          <w:sz w:val="16"/>
          <w:szCs w:val="16"/>
        </w:rPr>
        <w:footnoteRef/>
      </w:r>
      <w:r w:rsidRPr="003130FD">
        <w:rPr>
          <w:sz w:val="16"/>
          <w:szCs w:val="16"/>
        </w:rPr>
        <w:t xml:space="preserve"> See commentary at </w:t>
      </w:r>
      <w:hyperlink r:id="rId10" w:history="1">
        <w:r w:rsidRPr="003130FD">
          <w:rPr>
            <w:rStyle w:val="Hyperlink"/>
            <w:sz w:val="16"/>
            <w:szCs w:val="16"/>
          </w:rPr>
          <w:t>http://www.lexology.com/library/detail.aspx?g=c82ccd6a-3caa-401f-babe-7a7b9078e102</w:t>
        </w:r>
      </w:hyperlink>
      <w:r w:rsidRPr="003130FD">
        <w:rPr>
          <w:sz w:val="16"/>
          <w:szCs w:val="16"/>
        </w:rPr>
        <w:t xml:space="preserve"> </w:t>
      </w:r>
    </w:p>
  </w:footnote>
  <w:footnote w:id="14">
    <w:p w14:paraId="02511E43" w14:textId="3AB6B705" w:rsidR="00D00BEA" w:rsidRPr="00981D46" w:rsidRDefault="00D00BEA" w:rsidP="00916E0E">
      <w:pPr>
        <w:pStyle w:val="FootnoteText"/>
        <w:tabs>
          <w:tab w:val="clear" w:pos="567"/>
        </w:tabs>
        <w:ind w:left="0" w:firstLine="0"/>
        <w:jc w:val="left"/>
        <w:rPr>
          <w:sz w:val="16"/>
          <w:szCs w:val="16"/>
        </w:rPr>
      </w:pPr>
      <w:r w:rsidRPr="00981D46">
        <w:rPr>
          <w:rStyle w:val="FootnoteReference"/>
          <w:sz w:val="16"/>
          <w:szCs w:val="16"/>
        </w:rPr>
        <w:footnoteRef/>
      </w:r>
      <w:r w:rsidRPr="00981D46">
        <w:rPr>
          <w:rStyle w:val="FootnoteReference"/>
          <w:sz w:val="16"/>
          <w:szCs w:val="16"/>
        </w:rPr>
        <w:t xml:space="preserve"> </w:t>
      </w:r>
      <w:r w:rsidRPr="00981D46">
        <w:rPr>
          <w:sz w:val="16"/>
          <w:szCs w:val="16"/>
        </w:rPr>
        <w:t xml:space="preserve">See </w:t>
      </w:r>
      <w:hyperlink r:id="rId11" w:history="1">
        <w:r w:rsidRPr="00055B81">
          <w:rPr>
            <w:rStyle w:val="Hyperlink"/>
            <w:sz w:val="16"/>
            <w:szCs w:val="16"/>
          </w:rPr>
          <w:t>https://www.gov.uk/government/publications/income-tax-and-corporation-tax-response-to-accounting-changes-for-leasing/income-tax-and-corporation-tax-response-to-accounting-changes-for-leasing</w:t>
        </w:r>
      </w:hyperlink>
      <w:r>
        <w:rPr>
          <w:rStyle w:val="Hyperlink"/>
          <w:sz w:val="16"/>
          <w:szCs w:val="16"/>
        </w:rPr>
        <w:t xml:space="preserve"> </w:t>
      </w:r>
    </w:p>
  </w:footnote>
  <w:footnote w:id="15">
    <w:p w14:paraId="7D029CEB" w14:textId="07A5B998" w:rsidR="00D00BEA" w:rsidRPr="003130FD" w:rsidRDefault="00D00BEA" w:rsidP="00916E0E">
      <w:pPr>
        <w:pStyle w:val="FootnoteText"/>
        <w:ind w:left="0" w:firstLine="0"/>
        <w:jc w:val="left"/>
        <w:rPr>
          <w:sz w:val="16"/>
          <w:szCs w:val="16"/>
        </w:rPr>
      </w:pPr>
      <w:r w:rsidRPr="003130FD">
        <w:rPr>
          <w:rStyle w:val="FootnoteReference"/>
          <w:sz w:val="16"/>
          <w:szCs w:val="16"/>
        </w:rPr>
        <w:footnoteRef/>
      </w:r>
      <w:r w:rsidRPr="003130FD">
        <w:rPr>
          <w:sz w:val="16"/>
          <w:szCs w:val="16"/>
        </w:rPr>
        <w:t xml:space="preserve"> IFRSs and NL GAAP Highlighting the key differences, Deloitte, November 2014 - </w:t>
      </w:r>
      <w:hyperlink r:id="rId12" w:history="1">
        <w:r w:rsidRPr="003130FD">
          <w:rPr>
            <w:rStyle w:val="Hyperlink"/>
            <w:sz w:val="16"/>
            <w:szCs w:val="16"/>
          </w:rPr>
          <w:t>http://www.iasplus.com/en/publications/netherlands/ifrs-vs-nl-gaap</w:t>
        </w:r>
      </w:hyperlink>
      <w:r w:rsidRPr="003130FD">
        <w:rPr>
          <w:sz w:val="16"/>
          <w:szCs w:val="16"/>
        </w:rPr>
        <w:t xml:space="preserve">  </w:t>
      </w:r>
    </w:p>
  </w:footnote>
  <w:footnote w:id="16">
    <w:p w14:paraId="684AE67F" w14:textId="5AE340AC" w:rsidR="00D00BEA" w:rsidRPr="003130FD" w:rsidRDefault="00D00BEA" w:rsidP="00916E0E">
      <w:pPr>
        <w:pStyle w:val="FootnoteText"/>
        <w:tabs>
          <w:tab w:val="clear" w:pos="567"/>
        </w:tabs>
        <w:ind w:left="0" w:firstLine="0"/>
        <w:jc w:val="left"/>
        <w:rPr>
          <w:sz w:val="16"/>
          <w:szCs w:val="16"/>
        </w:rPr>
      </w:pPr>
      <w:r w:rsidRPr="003130FD">
        <w:rPr>
          <w:rStyle w:val="FootnoteReference"/>
          <w:sz w:val="16"/>
          <w:szCs w:val="16"/>
        </w:rPr>
        <w:footnoteRef/>
      </w:r>
      <w:r w:rsidRPr="003130FD">
        <w:rPr>
          <w:sz w:val="16"/>
          <w:szCs w:val="16"/>
        </w:rPr>
        <w:t xml:space="preserve"> IFRS verses German GAAP (revised) Summary of similarities and differences, PwC, </w:t>
      </w:r>
      <w:hyperlink r:id="rId13" w:history="1">
        <w:r w:rsidRPr="003130FD">
          <w:rPr>
            <w:rStyle w:val="Hyperlink"/>
            <w:sz w:val="16"/>
            <w:szCs w:val="16"/>
          </w:rPr>
          <w:t>https://www.pwc.com/gx/en/ifrs-reporting/pdf/ifrs-vs-german-gaap-similarities-and-differences_final2.pdf</w:t>
        </w:r>
      </w:hyperlink>
      <w:r w:rsidRPr="003130FD">
        <w:rPr>
          <w:sz w:val="16"/>
          <w:szCs w:val="16"/>
        </w:rPr>
        <w:t xml:space="preserve"> </w:t>
      </w:r>
    </w:p>
  </w:footnote>
  <w:footnote w:id="17">
    <w:p w14:paraId="7CB7E24B" w14:textId="3E95CD4B" w:rsidR="00D00BEA" w:rsidRDefault="00D00BEA" w:rsidP="00916E0E">
      <w:pPr>
        <w:pStyle w:val="FootnoteText"/>
        <w:tabs>
          <w:tab w:val="clear" w:pos="567"/>
        </w:tabs>
        <w:ind w:left="0" w:firstLine="0"/>
        <w:jc w:val="left"/>
      </w:pPr>
      <w:r>
        <w:rPr>
          <w:rStyle w:val="FootnoteReference"/>
        </w:rPr>
        <w:footnoteRef/>
      </w:r>
      <w:r>
        <w:t xml:space="preserve"> </w:t>
      </w:r>
      <w:r w:rsidRPr="003130FD">
        <w:rPr>
          <w:rFonts w:cs="BankGothic-Light"/>
          <w:i/>
          <w:sz w:val="16"/>
          <w:szCs w:val="16"/>
        </w:rPr>
        <w:t xml:space="preserve">An accounting and taxation conundrum: A Pan-European perspective on tax accounting implications of IFRS adoption </w:t>
      </w:r>
      <w:r w:rsidRPr="003130FD">
        <w:rPr>
          <w:rFonts w:cs="BankGothic-Light"/>
          <w:sz w:val="16"/>
          <w:szCs w:val="16"/>
        </w:rPr>
        <w:t xml:space="preserve">published by The World Bank’s Centre for </w:t>
      </w:r>
      <w:r w:rsidRPr="003130FD">
        <w:rPr>
          <w:sz w:val="16"/>
          <w:szCs w:val="16"/>
        </w:rPr>
        <w:t xml:space="preserve">Financial Reporting </w:t>
      </w:r>
      <w:r w:rsidRPr="003130FD">
        <w:rPr>
          <w:rFonts w:cs="BankGothic-Light"/>
          <w:sz w:val="16"/>
          <w:szCs w:val="16"/>
        </w:rPr>
        <w:t xml:space="preserve">Reform in September 2007: </w:t>
      </w:r>
      <w:hyperlink r:id="rId14" w:history="1">
        <w:r w:rsidRPr="003130FD">
          <w:rPr>
            <w:rStyle w:val="Hyperlink"/>
            <w:rFonts w:cs="BankGothic-Light"/>
            <w:sz w:val="16"/>
            <w:szCs w:val="16"/>
          </w:rPr>
          <w:t>http://siteresources.worldbank.org/EXTCENFINREPREF/Resources/Taxation_Conundrum.pdf</w:t>
        </w:r>
      </w:hyperlink>
    </w:p>
  </w:footnote>
  <w:footnote w:id="18">
    <w:p w14:paraId="1847F79E" w14:textId="097825AB" w:rsidR="001533C8" w:rsidRDefault="001533C8" w:rsidP="00916E0E">
      <w:pPr>
        <w:pStyle w:val="FootnoteText"/>
        <w:tabs>
          <w:tab w:val="clear" w:pos="567"/>
        </w:tabs>
        <w:ind w:left="0" w:firstLine="0"/>
        <w:jc w:val="left"/>
      </w:pPr>
      <w:r w:rsidRPr="00916E0E">
        <w:rPr>
          <w:sz w:val="16"/>
          <w:szCs w:val="16"/>
        </w:rPr>
        <w:footnoteRef/>
      </w:r>
      <w:r w:rsidRPr="00916E0E">
        <w:rPr>
          <w:sz w:val="16"/>
          <w:szCs w:val="16"/>
        </w:rPr>
        <w:t xml:space="preserve"> See also </w:t>
      </w:r>
      <w:hyperlink r:id="rId15" w:history="1">
        <w:r w:rsidRPr="00916E0E">
          <w:rPr>
            <w:sz w:val="16"/>
            <w:szCs w:val="16"/>
          </w:rPr>
          <w:t>https://www.ifrs.org/use-around-the-world/use-of-ifrs-standards-by-jurisdiction/germany/</w:t>
        </w:r>
      </w:hyperlink>
      <w:r w:rsidRPr="00916E0E">
        <w:rPr>
          <w:sz w:val="16"/>
          <w:szCs w:val="16"/>
        </w:rPr>
        <w:t xml:space="preserve"> </w:t>
      </w:r>
    </w:p>
  </w:footnote>
  <w:footnote w:id="19">
    <w:p w14:paraId="1C7981F6" w14:textId="1D7FDE43" w:rsidR="00D00BEA" w:rsidRPr="003130FD" w:rsidRDefault="00D00BEA" w:rsidP="00916E0E">
      <w:pPr>
        <w:pStyle w:val="FootnoteText"/>
        <w:tabs>
          <w:tab w:val="clear" w:pos="567"/>
        </w:tabs>
        <w:ind w:left="0" w:firstLine="0"/>
        <w:jc w:val="left"/>
        <w:rPr>
          <w:sz w:val="16"/>
          <w:szCs w:val="16"/>
        </w:rPr>
      </w:pPr>
      <w:r w:rsidRPr="003130FD">
        <w:rPr>
          <w:rStyle w:val="FootnoteReference"/>
          <w:sz w:val="16"/>
          <w:szCs w:val="16"/>
        </w:rPr>
        <w:footnoteRef/>
      </w:r>
      <w:r w:rsidRPr="003130FD">
        <w:rPr>
          <w:sz w:val="16"/>
          <w:szCs w:val="16"/>
        </w:rPr>
        <w:t xml:space="preserve"> </w:t>
      </w:r>
      <w:r w:rsidRPr="003130FD">
        <w:rPr>
          <w:rFonts w:cs="Arial"/>
          <w:sz w:val="16"/>
          <w:szCs w:val="16"/>
        </w:rPr>
        <w:t xml:space="preserve">Aligning Taxable Profits and Accounting Profits: Accounting standards, legislators and judges" Judith Freedman [2004] eJlTaxR 4; (2004) 2(1) eJournal of Tax Research 71 </w:t>
      </w:r>
      <w:hyperlink r:id="rId16" w:history="1">
        <w:r w:rsidRPr="003130FD">
          <w:rPr>
            <w:rStyle w:val="Hyperlink"/>
            <w:sz w:val="16"/>
            <w:szCs w:val="16"/>
          </w:rPr>
          <w:t>http://www.austlii.edu.au/au/journals/eJlTaxR/2004/4.html</w:t>
        </w:r>
      </w:hyperlink>
      <w:r w:rsidRPr="003130FD">
        <w:rPr>
          <w:rStyle w:val="Hyperlink"/>
          <w:sz w:val="16"/>
          <w:szCs w:val="16"/>
        </w:rPr>
        <w:t xml:space="preserve"> </w:t>
      </w:r>
    </w:p>
  </w:footnote>
  <w:footnote w:id="20">
    <w:p w14:paraId="7C7B7C73" w14:textId="65E31F10" w:rsidR="00D00BEA" w:rsidRPr="003130FD" w:rsidRDefault="00D00BEA" w:rsidP="00916E0E">
      <w:pPr>
        <w:pStyle w:val="FootnoteText"/>
        <w:tabs>
          <w:tab w:val="clear" w:pos="567"/>
        </w:tabs>
        <w:ind w:left="0" w:firstLine="0"/>
        <w:jc w:val="left"/>
        <w:rPr>
          <w:sz w:val="16"/>
          <w:szCs w:val="16"/>
        </w:rPr>
      </w:pPr>
      <w:r w:rsidRPr="003130FD">
        <w:rPr>
          <w:rStyle w:val="FootnoteReference"/>
          <w:sz w:val="16"/>
          <w:szCs w:val="16"/>
        </w:rPr>
        <w:footnoteRef/>
      </w:r>
      <w:r w:rsidRPr="003130FD">
        <w:rPr>
          <w:sz w:val="16"/>
          <w:szCs w:val="16"/>
        </w:rPr>
        <w:t xml:space="preserve"> Does Book-Tax Conformity Deter Opportunistic Book and Tax Reporting?  An International Analysis - </w:t>
      </w:r>
      <w:hyperlink r:id="rId17" w:history="1">
        <w:r w:rsidRPr="003130FD">
          <w:rPr>
            <w:rStyle w:val="Hyperlink"/>
            <w:sz w:val="16"/>
            <w:szCs w:val="16"/>
          </w:rPr>
          <w:t>https://www.uts.edu.au/sites/default/files/ACCconf14TTang.pdf</w:t>
        </w:r>
      </w:hyperlink>
    </w:p>
  </w:footnote>
  <w:footnote w:id="21">
    <w:p w14:paraId="28624FEC" w14:textId="4055925E" w:rsidR="00D00BEA" w:rsidRPr="003130FD" w:rsidRDefault="00D00BEA" w:rsidP="00916E0E">
      <w:pPr>
        <w:pStyle w:val="FootnoteText"/>
        <w:tabs>
          <w:tab w:val="clear" w:pos="567"/>
        </w:tabs>
        <w:ind w:left="0" w:firstLine="0"/>
        <w:jc w:val="left"/>
        <w:rPr>
          <w:sz w:val="16"/>
          <w:szCs w:val="16"/>
        </w:rPr>
      </w:pPr>
      <w:r w:rsidRPr="003130FD">
        <w:rPr>
          <w:rStyle w:val="FootnoteReference"/>
          <w:sz w:val="16"/>
          <w:szCs w:val="16"/>
        </w:rPr>
        <w:footnoteRef/>
      </w:r>
      <w:r w:rsidRPr="003130FD">
        <w:rPr>
          <w:sz w:val="16"/>
          <w:szCs w:val="16"/>
        </w:rPr>
        <w:t xml:space="preserve"> The Association between Book-tax Conformity and Earnings Management - </w:t>
      </w:r>
      <w:hyperlink r:id="rId18" w:history="1">
        <w:r w:rsidRPr="003130FD">
          <w:rPr>
            <w:rStyle w:val="Hyperlink"/>
            <w:sz w:val="16"/>
            <w:szCs w:val="16"/>
          </w:rPr>
          <w:t>https://wpcarey.asu.edu/sites/default/files/uploads/accounting-degrees/Fabio-Gaertner.pdf</w:t>
        </w:r>
      </w:hyperlink>
    </w:p>
  </w:footnote>
  <w:footnote w:id="22">
    <w:p w14:paraId="5EA0EC38" w14:textId="635262CF" w:rsidR="00D00BEA" w:rsidRPr="003130FD" w:rsidRDefault="00D00BEA" w:rsidP="00916E0E">
      <w:pPr>
        <w:pStyle w:val="FootnoteText"/>
        <w:tabs>
          <w:tab w:val="clear" w:pos="567"/>
        </w:tabs>
        <w:ind w:left="0" w:firstLine="0"/>
        <w:jc w:val="left"/>
        <w:rPr>
          <w:sz w:val="16"/>
          <w:szCs w:val="16"/>
        </w:rPr>
      </w:pPr>
      <w:r w:rsidRPr="003130FD">
        <w:rPr>
          <w:rStyle w:val="FootnoteReference"/>
          <w:sz w:val="16"/>
          <w:szCs w:val="16"/>
        </w:rPr>
        <w:footnoteRef/>
      </w:r>
      <w:r w:rsidRPr="003130FD">
        <w:rPr>
          <w:sz w:val="16"/>
          <w:szCs w:val="16"/>
        </w:rPr>
        <w:t xml:space="preserve"> Book-Tax Conformity and the Information Content of Earnings - </w:t>
      </w:r>
      <w:hyperlink r:id="rId19" w:history="1">
        <w:r w:rsidRPr="003130FD">
          <w:rPr>
            <w:rStyle w:val="Hyperlink"/>
            <w:sz w:val="16"/>
            <w:szCs w:val="16"/>
          </w:rPr>
          <w:t>http://www8.gsb.columbia.edu/rtfiles/accounting/HANLON.pdf</w:t>
        </w:r>
      </w:hyperlink>
      <w:r w:rsidRPr="003130FD">
        <w:rPr>
          <w:sz w:val="16"/>
          <w:szCs w:val="16"/>
        </w:rPr>
        <w:t xml:space="preserve"> </w:t>
      </w:r>
    </w:p>
  </w:footnote>
  <w:footnote w:id="23">
    <w:p w14:paraId="5E93183A" w14:textId="65A6FB05" w:rsidR="00D00BEA" w:rsidRDefault="00D00BEA" w:rsidP="00916E0E">
      <w:pPr>
        <w:pStyle w:val="FootnoteText"/>
        <w:tabs>
          <w:tab w:val="clear" w:pos="567"/>
        </w:tabs>
        <w:ind w:left="0" w:firstLine="0"/>
        <w:jc w:val="left"/>
      </w:pPr>
      <w:r w:rsidRPr="003130FD">
        <w:rPr>
          <w:rStyle w:val="FootnoteReference"/>
          <w:sz w:val="16"/>
          <w:szCs w:val="16"/>
        </w:rPr>
        <w:footnoteRef/>
      </w:r>
      <w:r w:rsidRPr="003130FD">
        <w:rPr>
          <w:sz w:val="16"/>
          <w:szCs w:val="16"/>
        </w:rPr>
        <w:t xml:space="preserve"> Book-Tax Conformity: Implications for Multinational Firms - </w:t>
      </w:r>
      <w:hyperlink r:id="rId20" w:history="1">
        <w:r w:rsidRPr="003130FD">
          <w:rPr>
            <w:rStyle w:val="Hyperlink"/>
            <w:sz w:val="16"/>
            <w:szCs w:val="16"/>
          </w:rPr>
          <w:t>https://tippie.uiowa.edu/accounting/mcgladrey/winterpapers/hanlon_maydew.pdf</w:t>
        </w:r>
      </w:hyperlink>
    </w:p>
  </w:footnote>
  <w:footnote w:id="24">
    <w:p w14:paraId="4C155AE3" w14:textId="5772CF9A" w:rsidR="00D00BEA" w:rsidRPr="003130FD" w:rsidRDefault="00D00BEA" w:rsidP="00916E0E">
      <w:pPr>
        <w:autoSpaceDE w:val="0"/>
        <w:autoSpaceDN w:val="0"/>
        <w:adjustRightInd w:val="0"/>
        <w:spacing w:after="0" w:line="240" w:lineRule="auto"/>
        <w:jc w:val="left"/>
        <w:rPr>
          <w:rFonts w:cs="Arial"/>
          <w:bCs/>
          <w:sz w:val="16"/>
          <w:szCs w:val="16"/>
        </w:rPr>
      </w:pPr>
      <w:r w:rsidRPr="003130FD">
        <w:rPr>
          <w:rStyle w:val="FootnoteReference"/>
          <w:sz w:val="16"/>
          <w:szCs w:val="16"/>
        </w:rPr>
        <w:footnoteRef/>
      </w:r>
      <w:r w:rsidRPr="003130FD">
        <w:rPr>
          <w:sz w:val="16"/>
          <w:szCs w:val="16"/>
        </w:rPr>
        <w:t xml:space="preserve"> See “</w:t>
      </w:r>
      <w:r w:rsidRPr="003130FD">
        <w:rPr>
          <w:rFonts w:cs="Arial"/>
          <w:bCs/>
          <w:sz w:val="16"/>
          <w:szCs w:val="16"/>
        </w:rPr>
        <w:t xml:space="preserve">A Tax System for New Zealand’s Future - Report of the Victoria University of Wellington Tax Working Group” </w:t>
      </w:r>
      <w:hyperlink r:id="rId21" w:history="1">
        <w:r w:rsidRPr="003130FD">
          <w:rPr>
            <w:rStyle w:val="Hyperlink"/>
            <w:rFonts w:cs="Arial"/>
            <w:bCs/>
            <w:sz w:val="16"/>
            <w:szCs w:val="16"/>
          </w:rPr>
          <w:t>http://www.victoria.ac.nz/sacl/centres-and-institutes/cagtr/pdf/tax-report-website.pdf</w:t>
        </w:r>
      </w:hyperlink>
      <w:r w:rsidRPr="003130FD">
        <w:rPr>
          <w:rFonts w:cs="Arial"/>
          <w:bCs/>
          <w:sz w:val="16"/>
          <w:szCs w:val="16"/>
        </w:rPr>
        <w:t xml:space="preserve"> </w:t>
      </w:r>
    </w:p>
  </w:footnote>
  <w:footnote w:id="25">
    <w:p w14:paraId="6A4C8CEE" w14:textId="7A40AF81" w:rsidR="00D00BEA" w:rsidRPr="003130FD" w:rsidRDefault="00D00BEA" w:rsidP="00916E0E">
      <w:pPr>
        <w:pStyle w:val="FootnoteText"/>
        <w:tabs>
          <w:tab w:val="clear" w:pos="567"/>
        </w:tabs>
        <w:ind w:left="0" w:firstLine="0"/>
        <w:jc w:val="left"/>
        <w:rPr>
          <w:sz w:val="16"/>
          <w:szCs w:val="16"/>
        </w:rPr>
      </w:pPr>
      <w:r w:rsidRPr="003130FD">
        <w:rPr>
          <w:rStyle w:val="FootnoteReference"/>
          <w:sz w:val="16"/>
          <w:szCs w:val="16"/>
        </w:rPr>
        <w:footnoteRef/>
      </w:r>
      <w:r w:rsidRPr="003130FD">
        <w:rPr>
          <w:sz w:val="16"/>
          <w:szCs w:val="16"/>
        </w:rPr>
        <w:t xml:space="preserve"> </w:t>
      </w:r>
      <w:hyperlink r:id="rId22" w:history="1">
        <w:r w:rsidRPr="009D6D4D">
          <w:rPr>
            <w:rStyle w:val="Hyperlink"/>
            <w:sz w:val="16"/>
            <w:szCs w:val="16"/>
          </w:rPr>
          <w:t>AIM</w:t>
        </w:r>
      </w:hyperlink>
      <w:r>
        <w:rPr>
          <w:sz w:val="16"/>
          <w:szCs w:val="16"/>
        </w:rPr>
        <w:t xml:space="preserve"> - new provisional tax option for small businesses = </w:t>
      </w:r>
      <w:hyperlink r:id="rId23" w:history="1">
        <w:r w:rsidRPr="009D6D4D">
          <w:rPr>
            <w:rStyle w:val="Hyperlink"/>
            <w:sz w:val="16"/>
            <w:szCs w:val="16"/>
          </w:rPr>
          <w:t>http://www.ird.govt.nz/news-updates/accounting-income-method-prov-tax.html</w:t>
        </w:r>
      </w:hyperlink>
      <w:r>
        <w:rPr>
          <w:sz w:val="16"/>
          <w:szCs w:val="16"/>
        </w:rPr>
        <w:t xml:space="preserve"> </w:t>
      </w:r>
    </w:p>
  </w:footnote>
  <w:footnote w:id="26">
    <w:p w14:paraId="15C777D5" w14:textId="732BAE35" w:rsidR="00D00BEA" w:rsidRDefault="00D00BEA" w:rsidP="00916E0E">
      <w:pPr>
        <w:pStyle w:val="FootnoteText"/>
        <w:tabs>
          <w:tab w:val="clear" w:pos="567"/>
        </w:tabs>
        <w:ind w:left="0" w:firstLine="0"/>
        <w:jc w:val="left"/>
      </w:pPr>
      <w:r w:rsidRPr="003130FD">
        <w:rPr>
          <w:rStyle w:val="FootnoteReference"/>
          <w:sz w:val="16"/>
          <w:szCs w:val="16"/>
        </w:rPr>
        <w:footnoteRef/>
      </w:r>
      <w:r w:rsidRPr="003130FD">
        <w:rPr>
          <w:sz w:val="16"/>
          <w:szCs w:val="16"/>
        </w:rPr>
        <w:t xml:space="preserve"> Making Tax Simpler – Better Business Tax – An Official’s Issues Paper - </w:t>
      </w:r>
      <w:hyperlink r:id="rId24" w:history="1">
        <w:r w:rsidRPr="003130FD">
          <w:rPr>
            <w:rStyle w:val="Hyperlink"/>
            <w:sz w:val="16"/>
            <w:szCs w:val="16"/>
          </w:rPr>
          <w:t>http://taxpolicy.ird.govt.nz/sites/default/files/2016-ip-mts-better-business-tax.pdf</w:t>
        </w:r>
      </w:hyperlink>
      <w:r w:rsidRPr="003130FD">
        <w:rPr>
          <w:sz w:val="16"/>
          <w:szCs w:val="16"/>
        </w:rPr>
        <w:t xml:space="preserve"> </w:t>
      </w:r>
    </w:p>
  </w:footnote>
  <w:footnote w:id="27">
    <w:p w14:paraId="204CD30A" w14:textId="1EC29FAE" w:rsidR="00D00BEA" w:rsidRPr="003130FD" w:rsidRDefault="00D00BEA" w:rsidP="00916E0E">
      <w:pPr>
        <w:pStyle w:val="FootnoteText"/>
        <w:tabs>
          <w:tab w:val="clear" w:pos="567"/>
        </w:tabs>
        <w:ind w:left="0" w:firstLine="0"/>
        <w:jc w:val="left"/>
        <w:rPr>
          <w:sz w:val="16"/>
          <w:szCs w:val="16"/>
        </w:rPr>
      </w:pPr>
      <w:r w:rsidRPr="003130FD">
        <w:rPr>
          <w:rStyle w:val="FootnoteReference"/>
          <w:sz w:val="16"/>
          <w:szCs w:val="16"/>
        </w:rPr>
        <w:footnoteRef/>
      </w:r>
      <w:r w:rsidRPr="003130FD">
        <w:rPr>
          <w:sz w:val="16"/>
          <w:szCs w:val="16"/>
        </w:rPr>
        <w:t xml:space="preserve"> </w:t>
      </w:r>
      <w:r w:rsidRPr="003130FD">
        <w:rPr>
          <w:rFonts w:cstheme="minorBidi"/>
          <w:sz w:val="16"/>
          <w:szCs w:val="16"/>
        </w:rPr>
        <w:t xml:space="preserve">Does Book-Tax Conformity Deter Opportunistic Book and Tax Reporting?  An International Analysis - </w:t>
      </w:r>
      <w:hyperlink r:id="rId25" w:history="1">
        <w:r w:rsidRPr="003130FD">
          <w:rPr>
            <w:rStyle w:val="Hyperlink"/>
            <w:rFonts w:cstheme="minorBidi"/>
            <w:sz w:val="16"/>
            <w:szCs w:val="16"/>
          </w:rPr>
          <w:t>https://www.uts.edu.au/sites/default/files/ACCconf14TTang.pdf</w:t>
        </w:r>
      </w:hyperlink>
      <w:r w:rsidRPr="003130FD">
        <w:rPr>
          <w:rFonts w:cstheme="minorBidi"/>
          <w:sz w:val="16"/>
          <w:szCs w:val="16"/>
        </w:rPr>
        <w:t xml:space="preserve"> </w:t>
      </w:r>
    </w:p>
  </w:footnote>
  <w:footnote w:id="28">
    <w:p w14:paraId="3E48E400" w14:textId="43CB7D70" w:rsidR="00D00BEA" w:rsidRPr="003130FD" w:rsidRDefault="00D00BEA" w:rsidP="00916E0E">
      <w:pPr>
        <w:pStyle w:val="FootnoteText"/>
        <w:tabs>
          <w:tab w:val="clear" w:pos="567"/>
        </w:tabs>
        <w:ind w:left="0" w:firstLine="0"/>
        <w:jc w:val="left"/>
        <w:rPr>
          <w:sz w:val="16"/>
          <w:szCs w:val="16"/>
        </w:rPr>
      </w:pPr>
      <w:r w:rsidRPr="003130FD">
        <w:rPr>
          <w:rStyle w:val="FootnoteReference"/>
          <w:sz w:val="16"/>
          <w:szCs w:val="16"/>
        </w:rPr>
        <w:footnoteRef/>
      </w:r>
      <w:r w:rsidRPr="003130FD">
        <w:rPr>
          <w:sz w:val="16"/>
          <w:szCs w:val="16"/>
        </w:rPr>
        <w:t xml:space="preserve"> </w:t>
      </w:r>
      <w:r w:rsidRPr="003130FD">
        <w:rPr>
          <w:rFonts w:cstheme="minorBidi"/>
          <w:sz w:val="16"/>
          <w:szCs w:val="16"/>
        </w:rPr>
        <w:t xml:space="preserve">The Association between Book-tax Conformity and Earnings Management - </w:t>
      </w:r>
      <w:hyperlink r:id="rId26" w:history="1">
        <w:r w:rsidRPr="003130FD">
          <w:rPr>
            <w:rStyle w:val="Hyperlink"/>
            <w:rFonts w:cstheme="minorBidi"/>
            <w:sz w:val="16"/>
            <w:szCs w:val="16"/>
          </w:rPr>
          <w:t>https://wpcarey.asu.edu/sites/default/files/uploads/accounting-degrees/Fabio-Gaertner.pdf</w:t>
        </w:r>
      </w:hyperlink>
      <w:r w:rsidRPr="003130FD">
        <w:rPr>
          <w:rFonts w:cstheme="minorBidi"/>
          <w:sz w:val="16"/>
          <w:szCs w:val="16"/>
        </w:rPr>
        <w:t xml:space="preserve"> </w:t>
      </w:r>
    </w:p>
  </w:footnote>
  <w:footnote w:id="29">
    <w:p w14:paraId="0D5FA4C7" w14:textId="220F9B46" w:rsidR="00D00BEA" w:rsidRPr="003130FD" w:rsidRDefault="00D00BEA" w:rsidP="00916E0E">
      <w:pPr>
        <w:pStyle w:val="FootnoteText"/>
        <w:tabs>
          <w:tab w:val="clear" w:pos="567"/>
        </w:tabs>
        <w:ind w:left="0" w:firstLine="0"/>
        <w:jc w:val="left"/>
        <w:rPr>
          <w:sz w:val="16"/>
          <w:szCs w:val="16"/>
        </w:rPr>
      </w:pPr>
      <w:r w:rsidRPr="003130FD">
        <w:rPr>
          <w:rStyle w:val="FootnoteReference"/>
          <w:sz w:val="16"/>
          <w:szCs w:val="16"/>
        </w:rPr>
        <w:footnoteRef/>
      </w:r>
      <w:r w:rsidRPr="003130FD">
        <w:rPr>
          <w:sz w:val="16"/>
          <w:szCs w:val="16"/>
        </w:rPr>
        <w:t xml:space="preserve"> </w:t>
      </w:r>
      <w:r w:rsidRPr="003130FD">
        <w:rPr>
          <w:rFonts w:cstheme="minorBidi"/>
          <w:sz w:val="16"/>
          <w:szCs w:val="16"/>
        </w:rPr>
        <w:t xml:space="preserve">Book-Tax Conformity and the Information Content of Earnings - </w:t>
      </w:r>
      <w:hyperlink r:id="rId27" w:history="1">
        <w:r w:rsidRPr="003130FD">
          <w:rPr>
            <w:rStyle w:val="Hyperlink"/>
            <w:rFonts w:cstheme="minorBidi"/>
            <w:sz w:val="16"/>
            <w:szCs w:val="16"/>
          </w:rPr>
          <w:t>http://www8.gsb.columbia.edu/rtfiles/accounting/HANLON.pdf</w:t>
        </w:r>
      </w:hyperlink>
      <w:r w:rsidRPr="003130FD">
        <w:rPr>
          <w:rFonts w:cstheme="minorBidi"/>
          <w:sz w:val="16"/>
          <w:szCs w:val="16"/>
        </w:rPr>
        <w:t xml:space="preserve"> </w:t>
      </w:r>
    </w:p>
  </w:footnote>
  <w:footnote w:id="30">
    <w:p w14:paraId="2941126D" w14:textId="4594C30D" w:rsidR="00D00BEA" w:rsidRDefault="00D00BEA" w:rsidP="00916E0E">
      <w:pPr>
        <w:pStyle w:val="FootnoteText"/>
        <w:tabs>
          <w:tab w:val="clear" w:pos="567"/>
        </w:tabs>
        <w:ind w:left="0" w:firstLine="0"/>
        <w:jc w:val="left"/>
      </w:pPr>
      <w:r w:rsidRPr="003130FD">
        <w:rPr>
          <w:rStyle w:val="FootnoteReference"/>
          <w:sz w:val="16"/>
          <w:szCs w:val="16"/>
        </w:rPr>
        <w:footnoteRef/>
      </w:r>
      <w:r w:rsidRPr="003130FD">
        <w:rPr>
          <w:sz w:val="16"/>
          <w:szCs w:val="16"/>
        </w:rPr>
        <w:t xml:space="preserve"> </w:t>
      </w:r>
      <w:r w:rsidRPr="003130FD">
        <w:rPr>
          <w:rFonts w:cstheme="minorBidi"/>
          <w:sz w:val="16"/>
          <w:szCs w:val="16"/>
        </w:rPr>
        <w:t xml:space="preserve">Book-Tax Conformity: Implications for Multinational Firms - </w:t>
      </w:r>
      <w:hyperlink r:id="rId28" w:history="1">
        <w:r w:rsidRPr="003130FD">
          <w:rPr>
            <w:rStyle w:val="Hyperlink"/>
            <w:rFonts w:cstheme="minorBidi"/>
            <w:sz w:val="16"/>
            <w:szCs w:val="16"/>
          </w:rPr>
          <w:t>https://tippie.uiowa.edu/accounting/mcgladrey/winterpapers/hanlon_maydew.pdf</w:t>
        </w:r>
      </w:hyperlink>
      <w:r w:rsidRPr="003130FD">
        <w:rPr>
          <w:rFonts w:cstheme="minorBidi"/>
          <w:sz w:val="16"/>
          <w:szCs w:val="16"/>
        </w:rPr>
        <w:t xml:space="preserve"> </w:t>
      </w:r>
    </w:p>
  </w:footnote>
  <w:footnote w:id="31">
    <w:p w14:paraId="02134747" w14:textId="1E99D99B" w:rsidR="00D00BEA" w:rsidRDefault="00D00BEA" w:rsidP="00916E0E">
      <w:pPr>
        <w:spacing w:after="0" w:line="240" w:lineRule="auto"/>
        <w:jc w:val="left"/>
      </w:pPr>
      <w:r w:rsidRPr="00FC5F38">
        <w:rPr>
          <w:rStyle w:val="FootnoteReference"/>
          <w:sz w:val="16"/>
          <w:szCs w:val="16"/>
        </w:rPr>
        <w:footnoteRef/>
      </w:r>
      <w:r w:rsidRPr="00FC5F38">
        <w:rPr>
          <w:sz w:val="16"/>
          <w:szCs w:val="16"/>
        </w:rPr>
        <w:t xml:space="preserve"> See AASB Regulation Impact Statement – AASB 9 – Financial Instruments - </w:t>
      </w:r>
      <w:hyperlink r:id="rId29" w:history="1">
        <w:r w:rsidRPr="00FC5F38">
          <w:rPr>
            <w:rStyle w:val="Hyperlink"/>
            <w:sz w:val="16"/>
            <w:szCs w:val="16"/>
          </w:rPr>
          <w:t>http://ris.dpmc.gov.au/2015/01/23/revised-accounting-standard-for-financial-instruments-regulation-impact-statement-australian-accounting-standards-board/</w:t>
        </w:r>
      </w:hyperlink>
    </w:p>
  </w:footnote>
  <w:footnote w:id="32">
    <w:p w14:paraId="38A229CD" w14:textId="0F3DDED0" w:rsidR="00D00BEA" w:rsidRPr="00FC5F38" w:rsidRDefault="00D00BEA" w:rsidP="00916E0E">
      <w:pPr>
        <w:spacing w:after="0" w:line="240" w:lineRule="auto"/>
        <w:jc w:val="left"/>
        <w:rPr>
          <w:sz w:val="16"/>
          <w:szCs w:val="16"/>
        </w:rPr>
      </w:pPr>
      <w:r w:rsidRPr="00FC5F38">
        <w:rPr>
          <w:rStyle w:val="FootnoteReference"/>
          <w:sz w:val="16"/>
          <w:szCs w:val="16"/>
        </w:rPr>
        <w:footnoteRef/>
      </w:r>
      <w:r w:rsidRPr="00FC5F38">
        <w:rPr>
          <w:sz w:val="16"/>
          <w:szCs w:val="16"/>
        </w:rPr>
        <w:t xml:space="preserve">See AASB Regulation Impact Statement – AASB 15 – Revenue from Contracts with Customers - </w:t>
      </w:r>
      <w:hyperlink r:id="rId30" w:history="1">
        <w:r w:rsidRPr="00FC5F38">
          <w:rPr>
            <w:rStyle w:val="Hyperlink"/>
            <w:sz w:val="16"/>
            <w:szCs w:val="16"/>
          </w:rPr>
          <w:t>http://ris.dpmc.gov.au/2015/01/23/revised-accounting-standard-for-revenue-from-contracts-with-customers-regulation-impact-statement-australian-accounting-standards-board/</w:t>
        </w:r>
      </w:hyperlink>
      <w:r w:rsidRPr="00FC5F38">
        <w:rPr>
          <w:sz w:val="16"/>
          <w:szCs w:val="16"/>
        </w:rPr>
        <w:t xml:space="preserve"> and Pitcher Partners – Changes to Revenue Recognition - </w:t>
      </w:r>
      <w:hyperlink r:id="rId31" w:history="1">
        <w:r w:rsidRPr="00FC5F38">
          <w:rPr>
            <w:rStyle w:val="Hyperlink"/>
            <w:sz w:val="16"/>
            <w:szCs w:val="16"/>
          </w:rPr>
          <w:t>http://www.pitcher.com.au/news/changes-revenue-recognition</w:t>
        </w:r>
      </w:hyperlink>
    </w:p>
  </w:footnote>
  <w:footnote w:id="33">
    <w:p w14:paraId="402A65BE" w14:textId="53997A53" w:rsidR="00D00BEA" w:rsidRDefault="00D00BEA" w:rsidP="00916E0E">
      <w:pPr>
        <w:pStyle w:val="FootnoteText"/>
        <w:tabs>
          <w:tab w:val="clear" w:pos="567"/>
          <w:tab w:val="left" w:pos="0"/>
        </w:tabs>
        <w:ind w:left="0" w:firstLine="0"/>
        <w:jc w:val="left"/>
      </w:pPr>
      <w:r w:rsidRPr="00FC5F38">
        <w:rPr>
          <w:rStyle w:val="FootnoteReference"/>
          <w:sz w:val="16"/>
          <w:szCs w:val="16"/>
        </w:rPr>
        <w:footnoteRef/>
      </w:r>
      <w:r w:rsidRPr="00FC5F38">
        <w:rPr>
          <w:sz w:val="16"/>
          <w:szCs w:val="16"/>
        </w:rPr>
        <w:t xml:space="preserve">Deloitte – Telecommunications sector – Clearly IFRS – Industry insights for IFRS 15 - </w:t>
      </w:r>
      <w:hyperlink r:id="rId32" w:history="1">
        <w:r w:rsidRPr="00FC5F38">
          <w:rPr>
            <w:rStyle w:val="Hyperlink"/>
            <w:sz w:val="16"/>
            <w:szCs w:val="16"/>
          </w:rPr>
          <w:t>http://www2.deloitte.com/content/dam/Deloitte/ca/Documents/audit/ca-en-audit-ifrs15-telecommunications.pdf</w:t>
        </w:r>
      </w:hyperlink>
      <w:r w:rsidRPr="00FC5F38">
        <w:rPr>
          <w:sz w:val="16"/>
          <w:szCs w:val="16"/>
        </w:rPr>
        <w:t xml:space="preserve"> </w:t>
      </w:r>
    </w:p>
  </w:footnote>
  <w:footnote w:id="34">
    <w:p w14:paraId="25E353B0" w14:textId="36B0B074" w:rsidR="00D00BEA" w:rsidRDefault="00D00BEA" w:rsidP="00916E0E">
      <w:pPr>
        <w:spacing w:after="0" w:line="240" w:lineRule="auto"/>
        <w:jc w:val="left"/>
      </w:pPr>
      <w:r w:rsidRPr="00FC5F38">
        <w:rPr>
          <w:rStyle w:val="FootnoteReference"/>
          <w:sz w:val="16"/>
          <w:szCs w:val="16"/>
        </w:rPr>
        <w:footnoteRef/>
      </w:r>
      <w:r w:rsidRPr="00FC5F38">
        <w:rPr>
          <w:sz w:val="16"/>
          <w:szCs w:val="16"/>
        </w:rPr>
        <w:t xml:space="preserve">See AASB Regulation Impact Statement – AASB 16 - Leases - </w:t>
      </w:r>
      <w:hyperlink r:id="rId33" w:history="1">
        <w:r w:rsidRPr="00FC5F38">
          <w:rPr>
            <w:rStyle w:val="Hyperlink"/>
            <w:sz w:val="16"/>
            <w:szCs w:val="16"/>
          </w:rPr>
          <w:t>http://ris.dpmc.gov.au/2016/04/19/australian-accounting-standard-aasb-16-leases/</w:t>
        </w:r>
      </w:hyperlink>
      <w:r w:rsidRPr="00FC5F38">
        <w:rPr>
          <w:sz w:val="16"/>
          <w:szCs w:val="16"/>
        </w:rPr>
        <w:t xml:space="preserve"> </w:t>
      </w:r>
      <w:r w:rsidRPr="00FC5F38">
        <w:rPr>
          <w:b/>
          <w:bCs/>
          <w:sz w:val="16"/>
          <w:szCs w:val="16"/>
        </w:rPr>
        <w:t xml:space="preserve">; </w:t>
      </w:r>
      <w:r w:rsidRPr="00FC5F38">
        <w:rPr>
          <w:sz w:val="16"/>
          <w:szCs w:val="16"/>
        </w:rPr>
        <w:t>KPMG IFRS 16 Leases – A more transparent balance sheet – 13 January 2016</w:t>
      </w:r>
      <w:r w:rsidRPr="00FC5F38">
        <w:rPr>
          <w:b/>
          <w:bCs/>
          <w:sz w:val="16"/>
          <w:szCs w:val="16"/>
        </w:rPr>
        <w:t xml:space="preserve"> </w:t>
      </w:r>
      <w:r w:rsidRPr="00FC5F38">
        <w:rPr>
          <w:sz w:val="16"/>
          <w:szCs w:val="16"/>
        </w:rPr>
        <w:t xml:space="preserve">Moore Stephens – IFRS 16 Leases – What does it mean for you? - </w:t>
      </w:r>
      <w:hyperlink r:id="rId34" w:history="1">
        <w:r w:rsidRPr="00FC5F38">
          <w:rPr>
            <w:rStyle w:val="Hyperlink"/>
            <w:sz w:val="16"/>
            <w:szCs w:val="16"/>
          </w:rPr>
          <w:t>http://www.moorestephens.com.au/news-and-views/january-2016/ifrs-16-leases-what-does-it-mean-for-you</w:t>
        </w:r>
      </w:hyperlink>
    </w:p>
  </w:footnote>
  <w:footnote w:id="35">
    <w:p w14:paraId="212C57FF" w14:textId="29612127" w:rsidR="00D00BEA" w:rsidRDefault="00D00BEA" w:rsidP="00916E0E">
      <w:pPr>
        <w:pStyle w:val="FootnoteText"/>
        <w:ind w:left="0" w:firstLine="0"/>
        <w:jc w:val="left"/>
      </w:pPr>
      <w:r>
        <w:rPr>
          <w:rStyle w:val="FootnoteReference"/>
        </w:rPr>
        <w:footnoteRef/>
      </w:r>
      <w:r>
        <w:t xml:space="preserve"> AASB 17 Explanatory Statement - </w:t>
      </w:r>
      <w:hyperlink r:id="rId35" w:history="1">
        <w:r w:rsidRPr="00632771">
          <w:rPr>
            <w:rStyle w:val="Hyperlink"/>
          </w:rPr>
          <w:t>https://www.legislation.gov.au/Details/F2017L01184/Explanatory%20Statement/Text</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4EF47" w14:textId="77777777" w:rsidR="00D00BEA" w:rsidRDefault="00D00BEA">
    <w:pPr>
      <w:pStyle w:val="HeaderEven"/>
    </w:pPr>
    <w:r>
      <w:t>Chapter name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ABBB9" w14:textId="77777777" w:rsidR="00D00BEA" w:rsidRDefault="00D00BEA">
    <w:pPr>
      <w:pStyle w:val="HeaderOdd"/>
    </w:pPr>
    <w:r>
      <w:t>Chapter name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7A49F" w14:textId="2F6BB563" w:rsidR="00D00BEA" w:rsidRDefault="00D00BEA" w:rsidP="009B3A06">
    <w:pPr>
      <w:pStyle w:val="HeaderEven"/>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681F5" w14:textId="3D5FBC43" w:rsidR="00D00BEA" w:rsidRDefault="00D00BEA" w:rsidP="00524A6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EEB07" w14:textId="42EF3030" w:rsidR="00D00BEA" w:rsidRPr="00916E0E" w:rsidRDefault="00D00BEA" w:rsidP="00916E0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35014" w14:textId="0F001F96" w:rsidR="00D00BEA" w:rsidRDefault="00E8459F" w:rsidP="00524A64">
    <w:pPr>
      <w:pStyle w:val="Header"/>
    </w:pPr>
    <w:r>
      <w:fldChar w:fldCharType="begin"/>
    </w:r>
    <w:r>
      <w:instrText xml:space="preserve"> STYLEREF  PreChapterHeading  \* MERGEFORMAT </w:instrText>
    </w:r>
    <w:r>
      <w:fldChar w:fldCharType="separate"/>
    </w:r>
    <w:r>
      <w:rPr>
        <w:noProof/>
      </w:rPr>
      <w:t>Contents</w:t>
    </w:r>
    <w:r>
      <w:rPr>
        <w:noProof/>
      </w:rPr>
      <w:fldChar w:fldCharType="end"/>
    </w:r>
    <w:r w:rsidR="00D00BEA" w:rsidDel="002851F4">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A6FDF" w14:textId="77777777" w:rsidR="00D00BEA" w:rsidRDefault="00E8459F" w:rsidP="00524A64">
    <w:pPr>
      <w:pStyle w:val="Header"/>
    </w:pPr>
    <w:r>
      <w:fldChar w:fldCharType="begin"/>
    </w:r>
    <w:r>
      <w:instrText xml:space="preserve"> STYLEREF  PreChapterHeading  \* MERGEFORMAT </w:instrText>
    </w:r>
    <w:r>
      <w:fldChar w:fldCharType="separate"/>
    </w:r>
    <w:r>
      <w:rPr>
        <w:noProof/>
      </w:rPr>
      <w:t>Scope</w:t>
    </w:r>
    <w:r>
      <w:rPr>
        <w:noProof/>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624B2" w14:textId="319989A0" w:rsidR="00D00BEA" w:rsidRDefault="00E8459F" w:rsidP="00524A64">
    <w:pPr>
      <w:pStyle w:val="Header"/>
    </w:pPr>
    <w:r>
      <w:fldChar w:fldCharType="begin"/>
    </w:r>
    <w:r>
      <w:instrText xml:space="preserve"> STYLEREF  "Heading 1"  \* MERGEFORMAT </w:instrText>
    </w:r>
    <w:r>
      <w:fldChar w:fldCharType="separate"/>
    </w:r>
    <w:r>
      <w:rPr>
        <w:noProof/>
      </w:rPr>
      <w:t>Chapter 2: Australian and international experiences of alignment</w:t>
    </w:r>
    <w:r>
      <w:rPr>
        <w:noProof/>
      </w:rPr>
      <w:fldChar w:fldCharType="end"/>
    </w:r>
    <w:r w:rsidR="00D00BEA" w:rsidDel="002851F4">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1DB60" w14:textId="77777777" w:rsidR="00D00BEA" w:rsidRDefault="00E8459F" w:rsidP="00524A64">
    <w:pPr>
      <w:pStyle w:val="Header"/>
    </w:pPr>
    <w:r>
      <w:fldChar w:fldCharType="begin"/>
    </w:r>
    <w:r>
      <w:instrText xml:space="preserve"> STYLEREF  "Heading 1"  \* MERGEFORMAT </w:instrText>
    </w:r>
    <w:r>
      <w:fldChar w:fldCharType="separate"/>
    </w:r>
    <w:r>
      <w:rPr>
        <w:noProof/>
      </w:rPr>
      <w:t>Chapter 2: Australian and international experiences of alignment</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56E94F4"/>
    <w:lvl w:ilvl="0">
      <w:start w:val="1"/>
      <w:numFmt w:val="decimal"/>
      <w:lvlText w:val="%1."/>
      <w:lvlJc w:val="left"/>
      <w:pPr>
        <w:tabs>
          <w:tab w:val="num" w:pos="1492"/>
        </w:tabs>
        <w:ind w:left="1492" w:hanging="360"/>
      </w:pPr>
    </w:lvl>
  </w:abstractNum>
  <w:abstractNum w:abstractNumId="1">
    <w:nsid w:val="FFFFFF7D"/>
    <w:multiLevelType w:val="singleLevel"/>
    <w:tmpl w:val="3364DBF0"/>
    <w:lvl w:ilvl="0">
      <w:start w:val="1"/>
      <w:numFmt w:val="decimal"/>
      <w:lvlText w:val="%1."/>
      <w:lvlJc w:val="left"/>
      <w:pPr>
        <w:tabs>
          <w:tab w:val="num" w:pos="1209"/>
        </w:tabs>
        <w:ind w:left="1209" w:hanging="360"/>
      </w:pPr>
    </w:lvl>
  </w:abstractNum>
  <w:abstractNum w:abstractNumId="2">
    <w:nsid w:val="FFFFFF7E"/>
    <w:multiLevelType w:val="singleLevel"/>
    <w:tmpl w:val="480C596E"/>
    <w:lvl w:ilvl="0">
      <w:start w:val="1"/>
      <w:numFmt w:val="decimal"/>
      <w:lvlText w:val="%1."/>
      <w:lvlJc w:val="left"/>
      <w:pPr>
        <w:tabs>
          <w:tab w:val="num" w:pos="926"/>
        </w:tabs>
        <w:ind w:left="926" w:hanging="360"/>
      </w:pPr>
    </w:lvl>
  </w:abstractNum>
  <w:abstractNum w:abstractNumId="3">
    <w:nsid w:val="FFFFFF7F"/>
    <w:multiLevelType w:val="singleLevel"/>
    <w:tmpl w:val="2C9E0934"/>
    <w:lvl w:ilvl="0">
      <w:start w:val="1"/>
      <w:numFmt w:val="decimal"/>
      <w:lvlText w:val="%1."/>
      <w:lvlJc w:val="left"/>
      <w:pPr>
        <w:tabs>
          <w:tab w:val="num" w:pos="643"/>
        </w:tabs>
        <w:ind w:left="643" w:hanging="360"/>
      </w:pPr>
    </w:lvl>
  </w:abstractNum>
  <w:abstractNum w:abstractNumId="4">
    <w:nsid w:val="FFFFFF80"/>
    <w:multiLevelType w:val="singleLevel"/>
    <w:tmpl w:val="4BF2D12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768590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57658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45C29E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00094B4"/>
    <w:lvl w:ilvl="0">
      <w:start w:val="1"/>
      <w:numFmt w:val="decimal"/>
      <w:lvlText w:val="%1."/>
      <w:lvlJc w:val="left"/>
      <w:pPr>
        <w:tabs>
          <w:tab w:val="num" w:pos="360"/>
        </w:tabs>
        <w:ind w:left="360" w:hanging="360"/>
      </w:pPr>
    </w:lvl>
  </w:abstractNum>
  <w:abstractNum w:abstractNumId="9">
    <w:nsid w:val="FFFFFF89"/>
    <w:multiLevelType w:val="singleLevel"/>
    <w:tmpl w:val="B40CBBB2"/>
    <w:lvl w:ilvl="0">
      <w:start w:val="1"/>
      <w:numFmt w:val="bullet"/>
      <w:lvlText w:val=""/>
      <w:lvlJc w:val="left"/>
      <w:pPr>
        <w:tabs>
          <w:tab w:val="num" w:pos="360"/>
        </w:tabs>
        <w:ind w:left="360" w:hanging="360"/>
      </w:pPr>
      <w:rPr>
        <w:rFonts w:ascii="Symbol" w:hAnsi="Symbol" w:hint="default"/>
      </w:rPr>
    </w:lvl>
  </w:abstractNum>
  <w:abstractNum w:abstractNumId="10">
    <w:nsid w:val="00BA0B92"/>
    <w:multiLevelType w:val="multilevel"/>
    <w:tmpl w:val="F720083A"/>
    <w:lvl w:ilvl="0">
      <w:start w:val="1"/>
      <w:numFmt w:val="decimal"/>
      <w:lvlRestart w:val="0"/>
      <w:suff w:val="nothing"/>
      <w:lvlText w:val="%1"/>
      <w:lvlJc w:val="left"/>
      <w:pPr>
        <w:ind w:left="0" w:firstLine="0"/>
      </w:pPr>
      <w:rPr>
        <w:rFonts w:hint="default"/>
        <w:b w:val="0"/>
        <w:i w:val="0"/>
        <w:color w:val="000000"/>
      </w:rPr>
    </w:lvl>
    <w:lvl w:ilvl="1">
      <w:start w:val="1"/>
      <w:numFmt w:val="decimal"/>
      <w:lvlText w:val="%1.%2"/>
      <w:lvlJc w:val="left"/>
      <w:pPr>
        <w:tabs>
          <w:tab w:val="num" w:pos="567"/>
        </w:tabs>
        <w:ind w:left="567" w:hanging="567"/>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4"/>
        </w:tabs>
        <w:ind w:left="1418" w:hanging="851"/>
      </w:pPr>
      <w:rPr>
        <w:rFonts w:hint="default"/>
        <w:b w:val="0"/>
        <w:i w:val="0"/>
        <w:color w:val="000000"/>
      </w:rPr>
    </w:lvl>
    <w:lvl w:ilvl="3">
      <w:start w:val="1"/>
      <w:numFmt w:val="decimal"/>
      <w:lvlText w:val="%1.%2.%3.%4"/>
      <w:lvlJc w:val="left"/>
      <w:pPr>
        <w:tabs>
          <w:tab w:val="num" w:pos="1701"/>
        </w:tabs>
        <w:ind w:left="1701" w:hanging="283"/>
      </w:pPr>
      <w:rPr>
        <w:rFonts w:hint="default"/>
        <w:b w:val="0"/>
        <w:i w:val="0"/>
        <w:color w:val="000000"/>
      </w:rPr>
    </w:lvl>
    <w:lvl w:ilvl="4">
      <w:start w:val="1"/>
      <w:numFmt w:val="decimal"/>
      <w:lvlText w:val="%5"/>
      <w:lvlJc w:val="left"/>
      <w:pPr>
        <w:tabs>
          <w:tab w:val="num" w:pos="2835"/>
        </w:tabs>
        <w:ind w:left="2835" w:hanging="567"/>
      </w:pPr>
      <w:rPr>
        <w:rFonts w:hint="default"/>
        <w:b w:val="0"/>
        <w:i w:val="0"/>
        <w:color w:val="000000"/>
      </w:rPr>
    </w:lvl>
    <w:lvl w:ilvl="5">
      <w:start w:val="1"/>
      <w:numFmt w:val="decimal"/>
      <w:lvlText w:val="%6"/>
      <w:lvlJc w:val="left"/>
      <w:pPr>
        <w:tabs>
          <w:tab w:val="num" w:pos="3402"/>
        </w:tabs>
        <w:ind w:left="3402" w:hanging="567"/>
      </w:pPr>
      <w:rPr>
        <w:rFonts w:hint="default"/>
        <w:b w:val="0"/>
        <w:i w:val="0"/>
        <w:color w:val="000000"/>
      </w:rPr>
    </w:lvl>
    <w:lvl w:ilvl="6">
      <w:start w:val="1"/>
      <w:numFmt w:val="decimal"/>
      <w:lvlText w:val="%7"/>
      <w:lvlJc w:val="left"/>
      <w:pPr>
        <w:tabs>
          <w:tab w:val="num" w:pos="3969"/>
        </w:tabs>
        <w:ind w:left="3969" w:hanging="567"/>
      </w:pPr>
      <w:rPr>
        <w:rFonts w:hint="default"/>
        <w:b w:val="0"/>
        <w:i w:val="0"/>
        <w:color w:val="000000"/>
      </w:rPr>
    </w:lvl>
    <w:lvl w:ilvl="7">
      <w:start w:val="1"/>
      <w:numFmt w:val="decimal"/>
      <w:lvlText w:val="%8"/>
      <w:lvlJc w:val="left"/>
      <w:pPr>
        <w:tabs>
          <w:tab w:val="num" w:pos="4536"/>
        </w:tabs>
        <w:ind w:left="4536" w:hanging="567"/>
      </w:pPr>
      <w:rPr>
        <w:rFonts w:hint="default"/>
        <w:b w:val="0"/>
        <w:i w:val="0"/>
        <w:color w:val="000000"/>
      </w:rPr>
    </w:lvl>
    <w:lvl w:ilvl="8">
      <w:start w:val="1"/>
      <w:numFmt w:val="decimal"/>
      <w:lvlText w:val="%9"/>
      <w:lvlJc w:val="left"/>
      <w:pPr>
        <w:tabs>
          <w:tab w:val="num" w:pos="5103"/>
        </w:tabs>
        <w:ind w:left="5103" w:hanging="567"/>
      </w:pPr>
      <w:rPr>
        <w:rFonts w:hint="default"/>
        <w:b w:val="0"/>
        <w:i w:val="0"/>
        <w:color w:val="000000"/>
      </w:rPr>
    </w:lvl>
  </w:abstractNum>
  <w:abstractNum w:abstractNumId="11">
    <w:nsid w:val="10C21F48"/>
    <w:multiLevelType w:val="singleLevel"/>
    <w:tmpl w:val="F0B87A5C"/>
    <w:name w:val="Case study bullet List"/>
    <w:lvl w:ilvl="0">
      <w:start w:val="1"/>
      <w:numFmt w:val="bullet"/>
      <w:lvlRestart w:val="0"/>
      <w:lvlText w:val="•"/>
      <w:lvlJc w:val="left"/>
      <w:pPr>
        <w:tabs>
          <w:tab w:val="num" w:pos="283"/>
        </w:tabs>
        <w:ind w:left="283" w:hanging="283"/>
      </w:pPr>
      <w:rPr>
        <w:rFonts w:ascii="Book Antiqua" w:hAnsi="Book Antiqua"/>
        <w:b w:val="0"/>
        <w:i w:val="0"/>
        <w:color w:val="000080"/>
        <w:sz w:val="16"/>
      </w:rPr>
    </w:lvl>
  </w:abstractNum>
  <w:abstractNum w:abstractNumId="12">
    <w:nsid w:val="12E87BD1"/>
    <w:multiLevelType w:val="multilevel"/>
    <w:tmpl w:val="D7346CB8"/>
    <w:lvl w:ilvl="0">
      <w:start w:val="1"/>
      <w:numFmt w:val="decimal"/>
      <w:lvlRestart w:val="0"/>
      <w:lvlText w:val="Chapter %1"/>
      <w:lvlJc w:val="left"/>
      <w:pPr>
        <w:tabs>
          <w:tab w:val="num" w:pos="567"/>
        </w:tabs>
        <w:ind w:left="567" w:hanging="567"/>
      </w:pPr>
      <w:rPr>
        <w:rFonts w:hint="default"/>
        <w:b w:val="0"/>
        <w:i w:val="0"/>
        <w:color w:val="000080"/>
      </w:rPr>
    </w:lvl>
    <w:lvl w:ilvl="1">
      <w:start w:val="1"/>
      <w:numFmt w:val="decimal"/>
      <w:lvlText w:val="%1.%2"/>
      <w:lvlJc w:val="left"/>
      <w:pPr>
        <w:tabs>
          <w:tab w:val="num" w:pos="1134"/>
        </w:tabs>
        <w:ind w:left="1134" w:hanging="567"/>
      </w:pPr>
      <w:rPr>
        <w:rFonts w:hint="default"/>
        <w:b w:val="0"/>
        <w:i w:val="0"/>
        <w:color w:val="000000"/>
      </w:rPr>
    </w:lvl>
    <w:lvl w:ilvl="2">
      <w:start w:val="1"/>
      <w:numFmt w:val="decimal"/>
      <w:lvlText w:val="%3"/>
      <w:lvlJc w:val="left"/>
      <w:pPr>
        <w:tabs>
          <w:tab w:val="num" w:pos="1701"/>
        </w:tabs>
        <w:ind w:left="1701" w:hanging="567"/>
      </w:pPr>
      <w:rPr>
        <w:rFonts w:hint="default"/>
        <w:b w:val="0"/>
        <w:i w:val="0"/>
        <w:color w:val="000000"/>
      </w:rPr>
    </w:lvl>
    <w:lvl w:ilvl="3">
      <w:start w:val="1"/>
      <w:numFmt w:val="decimal"/>
      <w:lvlText w:val="%4"/>
      <w:lvlJc w:val="left"/>
      <w:pPr>
        <w:tabs>
          <w:tab w:val="num" w:pos="2268"/>
        </w:tabs>
        <w:ind w:left="2268" w:hanging="567"/>
      </w:pPr>
      <w:rPr>
        <w:rFonts w:hint="default"/>
        <w:b w:val="0"/>
        <w:i w:val="0"/>
        <w:color w:val="000000"/>
      </w:rPr>
    </w:lvl>
    <w:lvl w:ilvl="4">
      <w:start w:val="1"/>
      <w:numFmt w:val="decimal"/>
      <w:lvlText w:val="%5"/>
      <w:lvlJc w:val="left"/>
      <w:pPr>
        <w:tabs>
          <w:tab w:val="num" w:pos="2835"/>
        </w:tabs>
        <w:ind w:left="2835" w:hanging="567"/>
      </w:pPr>
      <w:rPr>
        <w:rFonts w:hint="default"/>
        <w:b w:val="0"/>
        <w:i w:val="0"/>
        <w:color w:val="000000"/>
      </w:rPr>
    </w:lvl>
    <w:lvl w:ilvl="5">
      <w:start w:val="1"/>
      <w:numFmt w:val="decimal"/>
      <w:lvlText w:val="%6"/>
      <w:lvlJc w:val="left"/>
      <w:pPr>
        <w:tabs>
          <w:tab w:val="num" w:pos="3402"/>
        </w:tabs>
        <w:ind w:left="3402" w:hanging="567"/>
      </w:pPr>
      <w:rPr>
        <w:rFonts w:hint="default"/>
        <w:b w:val="0"/>
        <w:i w:val="0"/>
        <w:color w:val="000000"/>
      </w:rPr>
    </w:lvl>
    <w:lvl w:ilvl="6">
      <w:start w:val="1"/>
      <w:numFmt w:val="decimal"/>
      <w:lvlText w:val="%7"/>
      <w:lvlJc w:val="left"/>
      <w:pPr>
        <w:tabs>
          <w:tab w:val="num" w:pos="3969"/>
        </w:tabs>
        <w:ind w:left="3969" w:hanging="567"/>
      </w:pPr>
      <w:rPr>
        <w:rFonts w:hint="default"/>
        <w:b w:val="0"/>
        <w:i w:val="0"/>
        <w:color w:val="000000"/>
      </w:rPr>
    </w:lvl>
    <w:lvl w:ilvl="7">
      <w:start w:val="1"/>
      <w:numFmt w:val="decimal"/>
      <w:lvlText w:val="%8"/>
      <w:lvlJc w:val="left"/>
      <w:pPr>
        <w:tabs>
          <w:tab w:val="num" w:pos="4536"/>
        </w:tabs>
        <w:ind w:left="4536" w:hanging="567"/>
      </w:pPr>
      <w:rPr>
        <w:rFonts w:hint="default"/>
        <w:b w:val="0"/>
        <w:i w:val="0"/>
        <w:color w:val="000000"/>
      </w:rPr>
    </w:lvl>
    <w:lvl w:ilvl="8">
      <w:start w:val="1"/>
      <w:numFmt w:val="decimal"/>
      <w:lvlText w:val="%9"/>
      <w:lvlJc w:val="left"/>
      <w:pPr>
        <w:tabs>
          <w:tab w:val="num" w:pos="5103"/>
        </w:tabs>
        <w:ind w:left="5103" w:hanging="567"/>
      </w:pPr>
      <w:rPr>
        <w:rFonts w:hint="default"/>
        <w:b w:val="0"/>
        <w:i w:val="0"/>
        <w:color w:val="000000"/>
      </w:rPr>
    </w:lvl>
  </w:abstractNum>
  <w:abstractNum w:abstractNumId="13">
    <w:nsid w:val="164A4E0E"/>
    <w:multiLevelType w:val="multilevel"/>
    <w:tmpl w:val="6B2272A8"/>
    <w:name w:val="BoTStandardBulletedList"/>
    <w:lvl w:ilvl="0">
      <w:start w:val="1"/>
      <w:numFmt w:val="bullet"/>
      <w:lvlRestart w:val="0"/>
      <w:lvlText w:val="•"/>
      <w:lvlJc w:val="left"/>
      <w:pPr>
        <w:tabs>
          <w:tab w:val="num" w:pos="567"/>
        </w:tabs>
        <w:ind w:left="567" w:hanging="567"/>
      </w:pPr>
      <w:rPr>
        <w:rFonts w:ascii="Times New Roman" w:hAnsi="Times New Roman" w:cs="Times New Roman"/>
        <w:b w:val="0"/>
        <w:i w:val="0"/>
      </w:rPr>
    </w:lvl>
    <w:lvl w:ilvl="1">
      <w:start w:val="1"/>
      <w:numFmt w:val="bullet"/>
      <w:lvlText w:val="–"/>
      <w:lvlJc w:val="left"/>
      <w:pPr>
        <w:tabs>
          <w:tab w:val="num" w:pos="1134"/>
        </w:tabs>
        <w:ind w:left="1134" w:hanging="567"/>
      </w:pPr>
      <w:rPr>
        <w:rFonts w:ascii="Times New Roman" w:hAnsi="Times New Roman" w:cs="Times New Roman"/>
        <w:b w:val="0"/>
        <w:i w:val="0"/>
      </w:rPr>
    </w:lvl>
    <w:lvl w:ilvl="2">
      <w:start w:val="1"/>
      <w:numFmt w:val="bullet"/>
      <w:lvlText w:val=":"/>
      <w:lvlJc w:val="left"/>
      <w:pPr>
        <w:tabs>
          <w:tab w:val="num" w:pos="1701"/>
        </w:tabs>
        <w:ind w:left="1701" w:hanging="567"/>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4">
    <w:nsid w:val="16CC39A7"/>
    <w:multiLevelType w:val="multilevel"/>
    <w:tmpl w:val="C7BCEE44"/>
    <w:lvl w:ilvl="0">
      <w:start w:val="1"/>
      <w:numFmt w:val="decimal"/>
      <w:lvlRestart w:val="0"/>
      <w:lvlText w:val=""/>
      <w:lvlJc w:val="left"/>
      <w:pPr>
        <w:tabs>
          <w:tab w:val="num" w:pos="567"/>
        </w:tabs>
        <w:ind w:left="567" w:hanging="567"/>
      </w:pPr>
      <w:rPr>
        <w:b w:val="0"/>
        <w:i w:val="0"/>
        <w:color w:val="000000"/>
      </w:rPr>
    </w:lvl>
    <w:lvl w:ilvl="1">
      <w:start w:val="1"/>
      <w:numFmt w:val="decimal"/>
      <w:lvlText w:val="%1.%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5">
    <w:nsid w:val="19C960FD"/>
    <w:multiLevelType w:val="multilevel"/>
    <w:tmpl w:val="69265B00"/>
    <w:name w:val="OneLevelNumberedParagraphList"/>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16">
    <w:nsid w:val="1AE751AB"/>
    <w:multiLevelType w:val="multilevel"/>
    <w:tmpl w:val="FCA6223C"/>
    <w:lvl w:ilvl="0">
      <w:start w:val="5"/>
      <w:numFmt w:val="decimal"/>
      <w:lvlRestart w:val="0"/>
      <w:suff w:val="nothing"/>
      <w:lvlText w:val="Chapter %1"/>
      <w:lvlJc w:val="left"/>
      <w:pPr>
        <w:ind w:left="0" w:firstLine="0"/>
      </w:pPr>
      <w:rPr>
        <w:rFonts w:ascii="Times New Roman" w:hAnsi="Times New Roman" w:cs="Times New Roman" w:hint="default"/>
        <w:b w:val="0"/>
        <w:i w:val="0"/>
        <w:color w:val="000000"/>
      </w:rPr>
    </w:lvl>
    <w:lvl w:ilvl="1">
      <w:start w:val="1"/>
      <w:numFmt w:val="decimal"/>
      <w:lvlText w:val="%1.%2"/>
      <w:lvlJc w:val="left"/>
      <w:pPr>
        <w:tabs>
          <w:tab w:val="num" w:pos="850"/>
        </w:tabs>
        <w:ind w:left="0" w:firstLine="0"/>
      </w:pPr>
      <w:rPr>
        <w:rFonts w:ascii="Times New Roman" w:hAnsi="Times New Roman" w:cs="Times New Roman" w:hint="default"/>
        <w:b w:val="0"/>
        <w:i w:val="0"/>
        <w:color w:val="000000"/>
      </w:rPr>
    </w:lvl>
    <w:lvl w:ilvl="2">
      <w:start w:val="1"/>
      <w:numFmt w:val="decimal"/>
      <w:lvlText w:val="%3"/>
      <w:lvlJc w:val="left"/>
      <w:pPr>
        <w:tabs>
          <w:tab w:val="num" w:pos="1701"/>
        </w:tabs>
        <w:ind w:left="1701" w:hanging="567"/>
      </w:pPr>
      <w:rPr>
        <w:rFonts w:ascii="Times New Roman" w:hAnsi="Times New Roman" w:cs="Times New Roman" w:hint="default"/>
        <w:b w:val="0"/>
        <w:i w:val="0"/>
        <w:color w:val="000000"/>
      </w:rPr>
    </w:lvl>
    <w:lvl w:ilvl="3">
      <w:start w:val="1"/>
      <w:numFmt w:val="decimal"/>
      <w:lvlText w:val="%4"/>
      <w:lvlJc w:val="left"/>
      <w:pPr>
        <w:tabs>
          <w:tab w:val="num" w:pos="2268"/>
        </w:tabs>
        <w:ind w:left="2268" w:hanging="567"/>
      </w:pPr>
      <w:rPr>
        <w:rFonts w:ascii="Times New Roman" w:hAnsi="Times New Roman" w:cs="Times New Roman" w:hint="default"/>
        <w:b w:val="0"/>
        <w:i w:val="0"/>
        <w:color w:val="000000"/>
      </w:rPr>
    </w:lvl>
    <w:lvl w:ilvl="4">
      <w:start w:val="1"/>
      <w:numFmt w:val="decimal"/>
      <w:lvlText w:val="%5"/>
      <w:lvlJc w:val="left"/>
      <w:pPr>
        <w:tabs>
          <w:tab w:val="num" w:pos="2835"/>
        </w:tabs>
        <w:ind w:left="2835" w:hanging="567"/>
      </w:pPr>
      <w:rPr>
        <w:rFonts w:ascii="Times New Roman" w:hAnsi="Times New Roman" w:cs="Times New Roman" w:hint="default"/>
        <w:b w:val="0"/>
        <w:i w:val="0"/>
        <w:color w:val="000000"/>
      </w:rPr>
    </w:lvl>
    <w:lvl w:ilvl="5">
      <w:start w:val="1"/>
      <w:numFmt w:val="decimal"/>
      <w:lvlText w:val="%6"/>
      <w:lvlJc w:val="left"/>
      <w:pPr>
        <w:tabs>
          <w:tab w:val="num" w:pos="3402"/>
        </w:tabs>
        <w:ind w:left="3402" w:hanging="567"/>
      </w:pPr>
      <w:rPr>
        <w:rFonts w:ascii="Times New Roman" w:hAnsi="Times New Roman" w:cs="Times New Roman" w:hint="default"/>
        <w:b w:val="0"/>
        <w:i w:val="0"/>
        <w:color w:val="000000"/>
      </w:rPr>
    </w:lvl>
    <w:lvl w:ilvl="6">
      <w:start w:val="1"/>
      <w:numFmt w:val="decimal"/>
      <w:lvlText w:val="%7"/>
      <w:lvlJc w:val="left"/>
      <w:pPr>
        <w:tabs>
          <w:tab w:val="num" w:pos="3969"/>
        </w:tabs>
        <w:ind w:left="3969" w:hanging="567"/>
      </w:pPr>
      <w:rPr>
        <w:rFonts w:ascii="Times New Roman" w:hAnsi="Times New Roman" w:cs="Times New Roman" w:hint="default"/>
        <w:b w:val="0"/>
        <w:i w:val="0"/>
        <w:color w:val="000000"/>
      </w:rPr>
    </w:lvl>
    <w:lvl w:ilvl="7">
      <w:start w:val="1"/>
      <w:numFmt w:val="decimal"/>
      <w:lvlText w:val="%8"/>
      <w:lvlJc w:val="left"/>
      <w:pPr>
        <w:tabs>
          <w:tab w:val="num" w:pos="4536"/>
        </w:tabs>
        <w:ind w:left="4536" w:hanging="567"/>
      </w:pPr>
      <w:rPr>
        <w:rFonts w:ascii="Times New Roman" w:hAnsi="Times New Roman" w:cs="Times New Roman" w:hint="default"/>
        <w:b w:val="0"/>
        <w:i w:val="0"/>
        <w:color w:val="000000"/>
      </w:rPr>
    </w:lvl>
    <w:lvl w:ilvl="8">
      <w:start w:val="1"/>
      <w:numFmt w:val="decimal"/>
      <w:lvlText w:val="%9"/>
      <w:lvlJc w:val="left"/>
      <w:pPr>
        <w:tabs>
          <w:tab w:val="num" w:pos="5103"/>
        </w:tabs>
        <w:ind w:left="5103" w:hanging="567"/>
      </w:pPr>
      <w:rPr>
        <w:rFonts w:ascii="Times New Roman" w:hAnsi="Times New Roman" w:cs="Times New Roman" w:hint="default"/>
        <w:b w:val="0"/>
        <w:i w:val="0"/>
        <w:color w:val="000000"/>
      </w:rPr>
    </w:lvl>
  </w:abstractNum>
  <w:abstractNum w:abstractNumId="17">
    <w:nsid w:val="20FF002D"/>
    <w:multiLevelType w:val="multilevel"/>
    <w:tmpl w:val="721AB7AE"/>
    <w:lvl w:ilvl="0">
      <w:start w:val="1"/>
      <w:numFmt w:val="decimal"/>
      <w:suff w:val="nothing"/>
      <w:lvlText w:val="%1"/>
      <w:lvlJc w:val="left"/>
      <w:pPr>
        <w:ind w:left="0" w:firstLine="0"/>
      </w:pPr>
      <w:rPr>
        <w:rFonts w:hint="default"/>
        <w:b w:val="0"/>
        <w:i w:val="0"/>
        <w:vanish/>
        <w:color w:val="000000"/>
        <w:sz w:val="2"/>
      </w:rPr>
    </w:lvl>
    <w:lvl w:ilvl="1">
      <w:start w:val="1"/>
      <w:numFmt w:val="decimal"/>
      <w:lvlText w:val="%1.%2"/>
      <w:lvlJc w:val="left"/>
      <w:pPr>
        <w:tabs>
          <w:tab w:val="num" w:pos="567"/>
        </w:tabs>
        <w:ind w:left="567" w:hanging="567"/>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851"/>
        </w:tabs>
        <w:ind w:left="1418" w:hanging="851"/>
      </w:pPr>
      <w:rPr>
        <w:rFonts w:hint="default"/>
        <w:b w:val="0"/>
        <w:i w:val="0"/>
        <w:color w:val="000000"/>
      </w:rPr>
    </w:lvl>
    <w:lvl w:ilvl="3">
      <w:start w:val="1"/>
      <w:numFmt w:val="decimal"/>
      <w:lvlText w:val="%1.%2.%3.%4"/>
      <w:lvlJc w:val="left"/>
      <w:pPr>
        <w:tabs>
          <w:tab w:val="num" w:pos="1134"/>
        </w:tabs>
        <w:ind w:left="2552" w:hanging="1134"/>
      </w:pPr>
      <w:rPr>
        <w:rFonts w:hint="default"/>
        <w:b w:val="0"/>
        <w:i w:val="0"/>
        <w:color w:val="000000"/>
      </w:rPr>
    </w:lvl>
    <w:lvl w:ilvl="4">
      <w:start w:val="1"/>
      <w:numFmt w:val="decimal"/>
      <w:lvlText w:val="%5"/>
      <w:lvlJc w:val="left"/>
      <w:pPr>
        <w:tabs>
          <w:tab w:val="num" w:pos="2835"/>
        </w:tabs>
        <w:ind w:left="2835" w:hanging="567"/>
      </w:pPr>
      <w:rPr>
        <w:rFonts w:hint="default"/>
        <w:b w:val="0"/>
        <w:i w:val="0"/>
        <w:color w:val="000000"/>
      </w:rPr>
    </w:lvl>
    <w:lvl w:ilvl="5">
      <w:start w:val="1"/>
      <w:numFmt w:val="decimal"/>
      <w:lvlText w:val="%6"/>
      <w:lvlJc w:val="left"/>
      <w:pPr>
        <w:tabs>
          <w:tab w:val="num" w:pos="3402"/>
        </w:tabs>
        <w:ind w:left="3402" w:hanging="567"/>
      </w:pPr>
      <w:rPr>
        <w:rFonts w:hint="default"/>
        <w:b w:val="0"/>
        <w:i w:val="0"/>
        <w:color w:val="000000"/>
      </w:rPr>
    </w:lvl>
    <w:lvl w:ilvl="6">
      <w:start w:val="1"/>
      <w:numFmt w:val="decimal"/>
      <w:lvlText w:val="%7"/>
      <w:lvlJc w:val="left"/>
      <w:pPr>
        <w:tabs>
          <w:tab w:val="num" w:pos="3969"/>
        </w:tabs>
        <w:ind w:left="3969" w:hanging="567"/>
      </w:pPr>
      <w:rPr>
        <w:rFonts w:hint="default"/>
        <w:b w:val="0"/>
        <w:i w:val="0"/>
        <w:color w:val="000000"/>
      </w:rPr>
    </w:lvl>
    <w:lvl w:ilvl="7">
      <w:start w:val="1"/>
      <w:numFmt w:val="decimal"/>
      <w:lvlText w:val="%8"/>
      <w:lvlJc w:val="left"/>
      <w:pPr>
        <w:tabs>
          <w:tab w:val="num" w:pos="4536"/>
        </w:tabs>
        <w:ind w:left="4536" w:hanging="567"/>
      </w:pPr>
      <w:rPr>
        <w:rFonts w:hint="default"/>
        <w:b w:val="0"/>
        <w:i w:val="0"/>
        <w:color w:val="000000"/>
      </w:rPr>
    </w:lvl>
    <w:lvl w:ilvl="8">
      <w:start w:val="1"/>
      <w:numFmt w:val="decimal"/>
      <w:lvlText w:val="%9"/>
      <w:lvlJc w:val="left"/>
      <w:pPr>
        <w:tabs>
          <w:tab w:val="num" w:pos="5103"/>
        </w:tabs>
        <w:ind w:left="5103" w:hanging="567"/>
      </w:pPr>
      <w:rPr>
        <w:rFonts w:hint="default"/>
        <w:b w:val="0"/>
        <w:i w:val="0"/>
        <w:color w:val="000000"/>
      </w:rPr>
    </w:lvl>
  </w:abstractNum>
  <w:abstractNum w:abstractNumId="18">
    <w:nsid w:val="232F003D"/>
    <w:multiLevelType w:val="multilevel"/>
    <w:tmpl w:val="3C3425A2"/>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960" w:hanging="360"/>
      </w:pPr>
    </w:lvl>
    <w:lvl w:ilvl="4">
      <w:start w:val="1"/>
      <w:numFmt w:val="lowerLetter"/>
      <w:lvlText w:val="(%5)"/>
      <w:lvlJc w:val="left"/>
      <w:pPr>
        <w:ind w:left="2320" w:hanging="360"/>
      </w:pPr>
    </w:lvl>
    <w:lvl w:ilvl="5">
      <w:start w:val="1"/>
      <w:numFmt w:val="lowerRoman"/>
      <w:lvlText w:val="(%6)"/>
      <w:lvlJc w:val="left"/>
      <w:pPr>
        <w:ind w:left="2680" w:hanging="360"/>
      </w:pPr>
    </w:lvl>
    <w:lvl w:ilvl="6">
      <w:start w:val="1"/>
      <w:numFmt w:val="decimal"/>
      <w:lvlText w:val="%7."/>
      <w:lvlJc w:val="left"/>
      <w:pPr>
        <w:ind w:left="3040" w:hanging="360"/>
      </w:pPr>
    </w:lvl>
    <w:lvl w:ilvl="7">
      <w:start w:val="1"/>
      <w:numFmt w:val="lowerLetter"/>
      <w:lvlText w:val="%8."/>
      <w:lvlJc w:val="left"/>
      <w:pPr>
        <w:ind w:left="3400" w:hanging="360"/>
      </w:pPr>
    </w:lvl>
    <w:lvl w:ilvl="8">
      <w:start w:val="1"/>
      <w:numFmt w:val="lowerRoman"/>
      <w:lvlText w:val="%9."/>
      <w:lvlJc w:val="left"/>
      <w:pPr>
        <w:ind w:left="3760" w:hanging="360"/>
      </w:pPr>
    </w:lvl>
  </w:abstractNum>
  <w:abstractNum w:abstractNumId="19">
    <w:nsid w:val="236A5BB3"/>
    <w:multiLevelType w:val="multilevel"/>
    <w:tmpl w:val="FA9E4CAC"/>
    <w:lvl w:ilvl="0">
      <w:start w:val="1"/>
      <w:numFmt w:val="decimal"/>
      <w:lvlRestart w:val="0"/>
      <w:lvlText w:val="%1."/>
      <w:lvlJc w:val="left"/>
      <w:pPr>
        <w:tabs>
          <w:tab w:val="num" w:pos="567"/>
        </w:tabs>
        <w:ind w:left="567" w:hanging="567"/>
      </w:pPr>
      <w:rPr>
        <w:b w:val="0"/>
        <w:i w:val="0"/>
      </w:rPr>
    </w:lvl>
    <w:lvl w:ilvl="1">
      <w:start w:val="1"/>
      <w:numFmt w:val="decimal"/>
      <w:lvlText w:val="%1.%2."/>
      <w:lvlJc w:val="left"/>
      <w:pPr>
        <w:tabs>
          <w:tab w:val="num" w:pos="1134"/>
        </w:tabs>
        <w:ind w:left="1134" w:hanging="567"/>
      </w:pPr>
      <w:rPr>
        <w:b w:val="0"/>
        <w:i w:val="0"/>
      </w:rPr>
    </w:lvl>
    <w:lvl w:ilvl="2">
      <w:start w:val="1"/>
      <w:numFmt w:val="decimal"/>
      <w:lvlText w:val="%1.%2.%3."/>
      <w:lvlJc w:val="left"/>
      <w:pPr>
        <w:tabs>
          <w:tab w:val="num" w:pos="1701"/>
        </w:tabs>
        <w:ind w:left="1701" w:hanging="567"/>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20">
    <w:nsid w:val="244237C5"/>
    <w:multiLevelType w:val="multilevel"/>
    <w:tmpl w:val="F0BE3518"/>
    <w:name w:val="StandardNumberedList"/>
    <w:lvl w:ilvl="0">
      <w:start w:val="1"/>
      <w:numFmt w:val="decimal"/>
      <w:lvlRestart w:val="0"/>
      <w:pStyle w:val="OutlineNumbered1"/>
      <w:lvlText w:val="%1."/>
      <w:lvlJc w:val="left"/>
      <w:pPr>
        <w:tabs>
          <w:tab w:val="num" w:pos="567"/>
        </w:tabs>
        <w:ind w:left="567" w:hanging="567"/>
      </w:pPr>
      <w:rPr>
        <w:b w:val="0"/>
        <w:i w:val="0"/>
      </w:rPr>
    </w:lvl>
    <w:lvl w:ilvl="1">
      <w:start w:val="1"/>
      <w:numFmt w:val="decimal"/>
      <w:pStyle w:val="OutlineNumbered2"/>
      <w:lvlText w:val="%1.%2."/>
      <w:lvlJc w:val="left"/>
      <w:pPr>
        <w:tabs>
          <w:tab w:val="num" w:pos="1134"/>
        </w:tabs>
        <w:ind w:left="1134" w:hanging="567"/>
      </w:pPr>
      <w:rPr>
        <w:b w:val="0"/>
        <w:i w:val="0"/>
      </w:rPr>
    </w:lvl>
    <w:lvl w:ilvl="2">
      <w:start w:val="1"/>
      <w:numFmt w:val="decimal"/>
      <w:pStyle w:val="OutlineNumbered3"/>
      <w:lvlText w:val="%1.%2.%3."/>
      <w:lvlJc w:val="left"/>
      <w:pPr>
        <w:tabs>
          <w:tab w:val="num" w:pos="1701"/>
        </w:tabs>
        <w:ind w:left="1701" w:hanging="567"/>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21">
    <w:nsid w:val="24580EF9"/>
    <w:multiLevelType w:val="multilevel"/>
    <w:tmpl w:val="AB569B00"/>
    <w:lvl w:ilvl="0">
      <w:start w:val="1"/>
      <w:numFmt w:val="decimal"/>
      <w:lvlText w:val="%1."/>
      <w:lvlJc w:val="left"/>
      <w:pPr>
        <w:tabs>
          <w:tab w:val="num" w:pos="520"/>
        </w:tabs>
        <w:ind w:left="520" w:hanging="520"/>
      </w:pPr>
    </w:lvl>
    <w:lvl w:ilvl="1">
      <w:start w:val="1"/>
      <w:numFmt w:val="decimal"/>
      <w:lvlText w:val="%1.%2."/>
      <w:lvlJc w:val="left"/>
      <w:pPr>
        <w:tabs>
          <w:tab w:val="num" w:pos="1040"/>
        </w:tabs>
        <w:ind w:left="1040" w:hanging="520"/>
      </w:pPr>
    </w:lvl>
    <w:lvl w:ilvl="2">
      <w:start w:val="1"/>
      <w:numFmt w:val="decimal"/>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7440C8B"/>
    <w:multiLevelType w:val="multilevel"/>
    <w:tmpl w:val="8B282960"/>
    <w:name w:val="StandardBulletedList"/>
    <w:lvl w:ilvl="0">
      <w:start w:val="1"/>
      <w:numFmt w:val="bullet"/>
      <w:lvlText w:val="•"/>
      <w:lvlJc w:val="left"/>
      <w:pPr>
        <w:tabs>
          <w:tab w:val="num" w:pos="520"/>
        </w:tabs>
        <w:ind w:left="520" w:hanging="520"/>
      </w:pPr>
      <w:rPr>
        <w:rFonts w:ascii="Times New Roman" w:hAnsi="Times New Roman" w:cs="Times New Roman"/>
        <w:b w:val="0"/>
        <w:i w:val="0"/>
      </w:rPr>
    </w:lvl>
    <w:lvl w:ilvl="1">
      <w:start w:val="1"/>
      <w:numFmt w:val="bullet"/>
      <w:lvlText w:val="–"/>
      <w:lvlJc w:val="left"/>
      <w:pPr>
        <w:tabs>
          <w:tab w:val="num" w:pos="1040"/>
        </w:tabs>
        <w:ind w:left="1040" w:hanging="520"/>
      </w:pPr>
      <w:rPr>
        <w:rFonts w:ascii="Times New Roman" w:hAnsi="Times New Roman" w:cs="Times New Roman"/>
        <w:b w:val="0"/>
        <w:i w:val="0"/>
      </w:rPr>
    </w:lvl>
    <w:lvl w:ilvl="2">
      <w:start w:val="1"/>
      <w:numFmt w:val="bullet"/>
      <w:lvlText w:val=":"/>
      <w:lvlJc w:val="left"/>
      <w:pPr>
        <w:tabs>
          <w:tab w:val="num" w:pos="1560"/>
        </w:tabs>
        <w:ind w:left="1560" w:hanging="520"/>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23">
    <w:nsid w:val="293042B6"/>
    <w:multiLevelType w:val="hybridMultilevel"/>
    <w:tmpl w:val="AF7E10C8"/>
    <w:lvl w:ilvl="0" w:tplc="4286996C">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2D665DFA"/>
    <w:multiLevelType w:val="singleLevel"/>
    <w:tmpl w:val="C0868FF0"/>
    <w:lvl w:ilvl="0">
      <w:start w:val="1"/>
      <w:numFmt w:val="lowerLetter"/>
      <w:pStyle w:val="AlphaParagraph"/>
      <w:lvlText w:val="(%1)"/>
      <w:lvlJc w:val="left"/>
      <w:pPr>
        <w:ind w:left="360" w:hanging="360"/>
      </w:pPr>
      <w:rPr>
        <w:rFonts w:ascii="Calibri" w:hAnsi="Calibri" w:cs="Times New Roman" w:hint="default"/>
        <w:b w:val="0"/>
        <w:i w:val="0"/>
        <w:color w:val="auto"/>
        <w:sz w:val="22"/>
      </w:rPr>
    </w:lvl>
  </w:abstractNum>
  <w:abstractNum w:abstractNumId="25">
    <w:nsid w:val="2FD2372F"/>
    <w:multiLevelType w:val="multilevel"/>
    <w:tmpl w:val="35103160"/>
    <w:lvl w:ilvl="0">
      <w:start w:val="1"/>
      <w:numFmt w:val="decimal"/>
      <w:lvlRestart w:val="0"/>
      <w:suff w:val="nothing"/>
      <w:lvlText w:val=""/>
      <w:lvlJc w:val="left"/>
      <w:pPr>
        <w:ind w:left="0" w:firstLine="0"/>
      </w:pPr>
      <w:rPr>
        <w:rFonts w:ascii="Times New Roman" w:hAnsi="Times New Roman" w:cs="Times New Roman"/>
        <w:b w:val="0"/>
        <w:i w:val="0"/>
        <w:color w:val="000000"/>
      </w:rPr>
    </w:lvl>
    <w:lvl w:ilvl="1">
      <w:start w:val="1"/>
      <w:numFmt w:val="decimal"/>
      <w:lvlText w:val="%1.%2"/>
      <w:lvlJc w:val="left"/>
      <w:pPr>
        <w:tabs>
          <w:tab w:val="num" w:pos="850"/>
        </w:tabs>
        <w:ind w:left="0" w:firstLine="0"/>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26">
    <w:nsid w:val="3C857931"/>
    <w:multiLevelType w:val="singleLevel"/>
    <w:tmpl w:val="0C09000F"/>
    <w:lvl w:ilvl="0">
      <w:start w:val="1"/>
      <w:numFmt w:val="decimal"/>
      <w:lvlText w:val="%1."/>
      <w:lvlJc w:val="left"/>
      <w:pPr>
        <w:tabs>
          <w:tab w:val="num" w:pos="720"/>
        </w:tabs>
        <w:ind w:left="720" w:hanging="360"/>
      </w:pPr>
    </w:lvl>
  </w:abstractNum>
  <w:abstractNum w:abstractNumId="27">
    <w:nsid w:val="418B22D4"/>
    <w:multiLevelType w:val="singleLevel"/>
    <w:tmpl w:val="0C09000F"/>
    <w:lvl w:ilvl="0">
      <w:start w:val="1"/>
      <w:numFmt w:val="decimal"/>
      <w:lvlText w:val="%1."/>
      <w:lvlJc w:val="left"/>
      <w:pPr>
        <w:tabs>
          <w:tab w:val="num" w:pos="720"/>
        </w:tabs>
        <w:ind w:left="720" w:hanging="360"/>
      </w:pPr>
    </w:lvl>
  </w:abstractNum>
  <w:abstractNum w:abstractNumId="28">
    <w:nsid w:val="423700C6"/>
    <w:multiLevelType w:val="multilevel"/>
    <w:tmpl w:val="0ABE909A"/>
    <w:lvl w:ilvl="0">
      <w:start w:val="1"/>
      <w:numFmt w:val="decimal"/>
      <w:pStyle w:val="Heading1"/>
      <w:suff w:val="nothing"/>
      <w:lvlText w:val="%1."/>
      <w:lvlJc w:val="left"/>
      <w:pPr>
        <w:ind w:left="0" w:firstLine="0"/>
      </w:pPr>
      <w:rPr>
        <w:rFonts w:hint="default"/>
        <w:b w:val="0"/>
        <w:i w:val="0"/>
        <w:vanish/>
        <w:sz w:val="2"/>
      </w:rPr>
    </w:lvl>
    <w:lvl w:ilvl="1">
      <w:start w:val="1"/>
      <w:numFmt w:val="decimal"/>
      <w:pStyle w:val="NewNumberedParagraph"/>
      <w:lvlText w:val="%1.%2"/>
      <w:lvlJc w:val="left"/>
      <w:pPr>
        <w:ind w:left="567" w:hanging="567"/>
      </w:pPr>
      <w:rPr>
        <w:rFonts w:hint="default"/>
        <w:b w:val="0"/>
        <w:i w:val="0"/>
      </w:rPr>
    </w:lvl>
    <w:lvl w:ilvl="2">
      <w:start w:val="1"/>
      <w:numFmt w:val="lowerLetter"/>
      <w:pStyle w:val="NewNumberedParagraph2"/>
      <w:lvlText w:val="(%3)"/>
      <w:lvlJc w:val="left"/>
      <w:pPr>
        <w:ind w:left="1418" w:hanging="851"/>
      </w:pPr>
      <w:rPr>
        <w:rFonts w:hint="default"/>
        <w:b w:val="0"/>
        <w:i w:val="0"/>
      </w:rPr>
    </w:lvl>
    <w:lvl w:ilvl="3">
      <w:start w:val="1"/>
      <w:numFmt w:val="decimal"/>
      <w:pStyle w:val="NewNumberedParagraph3"/>
      <w:lvlText w:val="(%4)"/>
      <w:lvlJc w:val="left"/>
      <w:pPr>
        <w:ind w:left="2552" w:hanging="1134"/>
      </w:pPr>
      <w:rPr>
        <w:rFonts w:hint="default"/>
        <w:b w:val="0"/>
        <w:i w:val="0"/>
      </w:rPr>
    </w:lvl>
    <w:lvl w:ilvl="4">
      <w:start w:val="1"/>
      <w:numFmt w:val="lowerRoman"/>
      <w:pStyle w:val="NewNumberedParagraph4"/>
      <w:lvlText w:val="(%5)"/>
      <w:lvlJc w:val="left"/>
      <w:pPr>
        <w:ind w:left="3686" w:hanging="1701"/>
      </w:pPr>
      <w:rPr>
        <w:rFonts w:hint="default"/>
        <w:b w:val="0"/>
        <w:i w:val="0"/>
      </w:rPr>
    </w:lvl>
    <w:lvl w:ilvl="5">
      <w:start w:val="1"/>
      <w:numFmt w:val="upperLetter"/>
      <w:pStyle w:val="NewNumberedParagraph5"/>
      <w:lvlText w:val="(%6)"/>
      <w:lvlJc w:val="left"/>
      <w:pPr>
        <w:ind w:left="4820" w:hanging="2268"/>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9">
    <w:nsid w:val="470A060D"/>
    <w:multiLevelType w:val="singleLevel"/>
    <w:tmpl w:val="7DD26AF0"/>
    <w:name w:val="RecommendationAlphaList"/>
    <w:lvl w:ilvl="0">
      <w:start w:val="1"/>
      <w:numFmt w:val="lowerLetter"/>
      <w:pStyle w:val="Recommendationalpha"/>
      <w:lvlText w:val="(%1)"/>
      <w:lvlJc w:val="left"/>
      <w:pPr>
        <w:ind w:left="360" w:hanging="360"/>
      </w:pPr>
      <w:rPr>
        <w:rFonts w:ascii="Calibri" w:hAnsi="Calibri" w:cs="Times New Roman" w:hint="default"/>
        <w:b w:val="0"/>
        <w:i w:val="0"/>
        <w:color w:val="auto"/>
      </w:rPr>
    </w:lvl>
  </w:abstractNum>
  <w:abstractNum w:abstractNumId="30">
    <w:nsid w:val="4CE06931"/>
    <w:multiLevelType w:val="singleLevel"/>
    <w:tmpl w:val="1958B15C"/>
    <w:name w:val="ChartTableFootnoteAlpha"/>
    <w:lvl w:ilvl="0">
      <w:start w:val="1"/>
      <w:numFmt w:val="lowerLetter"/>
      <w:pStyle w:val="ChartandTableFootnoteAlpha"/>
      <w:lvlText w:val="(%1)"/>
      <w:lvlJc w:val="left"/>
      <w:pPr>
        <w:ind w:left="360" w:hanging="360"/>
      </w:pPr>
      <w:rPr>
        <w:rFonts w:ascii="Calibri" w:hAnsi="Calibri" w:cs="Arial" w:hint="default"/>
        <w:b w:val="0"/>
        <w:i w:val="0"/>
        <w:sz w:val="18"/>
      </w:rPr>
    </w:lvl>
  </w:abstractNum>
  <w:abstractNum w:abstractNumId="31">
    <w:nsid w:val="4DCF3A8E"/>
    <w:multiLevelType w:val="singleLevel"/>
    <w:tmpl w:val="00087A28"/>
    <w:name w:val="Roman numeral list"/>
    <w:lvl w:ilvl="0">
      <w:start w:val="1"/>
      <w:numFmt w:val="lowerRoman"/>
      <w:lvlRestart w:val="0"/>
      <w:pStyle w:val="Romannumeral"/>
      <w:lvlText w:val="(%1)"/>
      <w:lvlJc w:val="left"/>
      <w:pPr>
        <w:tabs>
          <w:tab w:val="num" w:pos="1134"/>
        </w:tabs>
        <w:ind w:left="1134" w:hanging="567"/>
      </w:pPr>
      <w:rPr>
        <w:b w:val="0"/>
        <w:i w:val="0"/>
        <w:color w:val="000000"/>
      </w:rPr>
    </w:lvl>
  </w:abstractNum>
  <w:abstractNum w:abstractNumId="32">
    <w:nsid w:val="51C00A89"/>
    <w:multiLevelType w:val="multilevel"/>
    <w:tmpl w:val="85DCC9D2"/>
    <w:lvl w:ilvl="0">
      <w:start w:val="5"/>
      <w:numFmt w:val="decimal"/>
      <w:lvlRestart w:val="0"/>
      <w:suff w:val="nothing"/>
      <w:lvlText w:val="Chapter %1"/>
      <w:lvlJc w:val="left"/>
      <w:pPr>
        <w:ind w:left="0" w:firstLine="0"/>
      </w:pPr>
      <w:rPr>
        <w:rFonts w:ascii="Times New Roman" w:hAnsi="Times New Roman" w:cs="Times New Roman" w:hint="default"/>
        <w:b w:val="0"/>
        <w:i w:val="0"/>
        <w:color w:val="000000"/>
      </w:rPr>
    </w:lvl>
    <w:lvl w:ilvl="1">
      <w:start w:val="1"/>
      <w:numFmt w:val="decimal"/>
      <w:lvlText w:val="%1.%2"/>
      <w:lvlJc w:val="left"/>
      <w:pPr>
        <w:tabs>
          <w:tab w:val="num" w:pos="850"/>
        </w:tabs>
        <w:ind w:left="0" w:firstLine="0"/>
      </w:pPr>
      <w:rPr>
        <w:rFonts w:ascii="Times New Roman" w:hAnsi="Times New Roman" w:cs="Times New Roman" w:hint="default"/>
        <w:b w:val="0"/>
        <w:i w:val="0"/>
        <w:color w:val="000000"/>
      </w:rPr>
    </w:lvl>
    <w:lvl w:ilvl="2">
      <w:start w:val="1"/>
      <w:numFmt w:val="decimal"/>
      <w:lvlText w:val="%3"/>
      <w:lvlJc w:val="left"/>
      <w:pPr>
        <w:tabs>
          <w:tab w:val="num" w:pos="1701"/>
        </w:tabs>
        <w:ind w:left="1701" w:hanging="567"/>
      </w:pPr>
      <w:rPr>
        <w:rFonts w:ascii="Times New Roman" w:hAnsi="Times New Roman" w:cs="Times New Roman" w:hint="default"/>
        <w:b w:val="0"/>
        <w:i w:val="0"/>
        <w:color w:val="000000"/>
      </w:rPr>
    </w:lvl>
    <w:lvl w:ilvl="3">
      <w:start w:val="1"/>
      <w:numFmt w:val="decimal"/>
      <w:lvlText w:val="%4"/>
      <w:lvlJc w:val="left"/>
      <w:pPr>
        <w:tabs>
          <w:tab w:val="num" w:pos="2268"/>
        </w:tabs>
        <w:ind w:left="2268" w:hanging="567"/>
      </w:pPr>
      <w:rPr>
        <w:rFonts w:ascii="Times New Roman" w:hAnsi="Times New Roman" w:cs="Times New Roman" w:hint="default"/>
        <w:b w:val="0"/>
        <w:i w:val="0"/>
        <w:color w:val="000000"/>
      </w:rPr>
    </w:lvl>
    <w:lvl w:ilvl="4">
      <w:start w:val="1"/>
      <w:numFmt w:val="decimal"/>
      <w:lvlText w:val="%5"/>
      <w:lvlJc w:val="left"/>
      <w:pPr>
        <w:tabs>
          <w:tab w:val="num" w:pos="2835"/>
        </w:tabs>
        <w:ind w:left="2835" w:hanging="567"/>
      </w:pPr>
      <w:rPr>
        <w:rFonts w:ascii="Times New Roman" w:hAnsi="Times New Roman" w:cs="Times New Roman" w:hint="default"/>
        <w:b w:val="0"/>
        <w:i w:val="0"/>
        <w:color w:val="000000"/>
      </w:rPr>
    </w:lvl>
    <w:lvl w:ilvl="5">
      <w:start w:val="1"/>
      <w:numFmt w:val="decimal"/>
      <w:lvlText w:val="%6"/>
      <w:lvlJc w:val="left"/>
      <w:pPr>
        <w:tabs>
          <w:tab w:val="num" w:pos="3402"/>
        </w:tabs>
        <w:ind w:left="3402" w:hanging="567"/>
      </w:pPr>
      <w:rPr>
        <w:rFonts w:ascii="Times New Roman" w:hAnsi="Times New Roman" w:cs="Times New Roman" w:hint="default"/>
        <w:b w:val="0"/>
        <w:i w:val="0"/>
        <w:color w:val="000000"/>
      </w:rPr>
    </w:lvl>
    <w:lvl w:ilvl="6">
      <w:start w:val="1"/>
      <w:numFmt w:val="decimal"/>
      <w:lvlText w:val="%7"/>
      <w:lvlJc w:val="left"/>
      <w:pPr>
        <w:tabs>
          <w:tab w:val="num" w:pos="3969"/>
        </w:tabs>
        <w:ind w:left="3969" w:hanging="567"/>
      </w:pPr>
      <w:rPr>
        <w:rFonts w:ascii="Times New Roman" w:hAnsi="Times New Roman" w:cs="Times New Roman" w:hint="default"/>
        <w:b w:val="0"/>
        <w:i w:val="0"/>
        <w:color w:val="000000"/>
      </w:rPr>
    </w:lvl>
    <w:lvl w:ilvl="7">
      <w:start w:val="1"/>
      <w:numFmt w:val="decimal"/>
      <w:lvlText w:val="%8"/>
      <w:lvlJc w:val="left"/>
      <w:pPr>
        <w:tabs>
          <w:tab w:val="num" w:pos="4536"/>
        </w:tabs>
        <w:ind w:left="4536" w:hanging="567"/>
      </w:pPr>
      <w:rPr>
        <w:rFonts w:ascii="Times New Roman" w:hAnsi="Times New Roman" w:cs="Times New Roman" w:hint="default"/>
        <w:b w:val="0"/>
        <w:i w:val="0"/>
        <w:color w:val="000000"/>
      </w:rPr>
    </w:lvl>
    <w:lvl w:ilvl="8">
      <w:start w:val="1"/>
      <w:numFmt w:val="decimal"/>
      <w:lvlText w:val="%9"/>
      <w:lvlJc w:val="left"/>
      <w:pPr>
        <w:tabs>
          <w:tab w:val="num" w:pos="5103"/>
        </w:tabs>
        <w:ind w:left="5103" w:hanging="567"/>
      </w:pPr>
      <w:rPr>
        <w:rFonts w:ascii="Times New Roman" w:hAnsi="Times New Roman" w:cs="Times New Roman" w:hint="default"/>
        <w:b w:val="0"/>
        <w:i w:val="0"/>
        <w:color w:val="000000"/>
      </w:rPr>
    </w:lvl>
  </w:abstractNum>
  <w:abstractNum w:abstractNumId="33">
    <w:nsid w:val="535357C1"/>
    <w:multiLevelType w:val="singleLevel"/>
    <w:tmpl w:val="0C09000F"/>
    <w:lvl w:ilvl="0">
      <w:start w:val="1"/>
      <w:numFmt w:val="decimal"/>
      <w:lvlText w:val="%1."/>
      <w:lvlJc w:val="left"/>
      <w:pPr>
        <w:tabs>
          <w:tab w:val="num" w:pos="720"/>
        </w:tabs>
        <w:ind w:left="720" w:hanging="360"/>
      </w:pPr>
    </w:lvl>
  </w:abstractNum>
  <w:abstractNum w:abstractNumId="34">
    <w:nsid w:val="540D4B0B"/>
    <w:multiLevelType w:val="hybridMultilevel"/>
    <w:tmpl w:val="C47C82C6"/>
    <w:lvl w:ilvl="0" w:tplc="64348868">
      <w:start w:val="1"/>
      <w:numFmt w:val="bullet"/>
      <w:pStyle w:val="Dash"/>
      <w:lvlText w:val="-"/>
      <w:lvlJc w:val="left"/>
      <w:pPr>
        <w:ind w:left="720" w:hanging="360"/>
      </w:pPr>
      <w:rPr>
        <w:rFonts w:ascii="Calibri" w:hAnsi="Calibr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8101827"/>
    <w:multiLevelType w:val="multilevel"/>
    <w:tmpl w:val="FA067A32"/>
    <w:name w:val="BoxBulletedList"/>
    <w:lvl w:ilvl="0">
      <w:start w:val="1"/>
      <w:numFmt w:val="bullet"/>
      <w:lvlRestart w:val="0"/>
      <w:pStyle w:val="BoxBullet"/>
      <w:lvlText w:val="•"/>
      <w:lvlJc w:val="left"/>
      <w:pPr>
        <w:tabs>
          <w:tab w:val="num" w:pos="283"/>
        </w:tabs>
        <w:ind w:left="283" w:hanging="283"/>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36">
    <w:nsid w:val="5E0A6F8D"/>
    <w:multiLevelType w:val="multilevel"/>
    <w:tmpl w:val="51941ED6"/>
    <w:lvl w:ilvl="0">
      <w:start w:val="1"/>
      <w:numFmt w:val="bullet"/>
      <w:lvlRestart w:val="0"/>
      <w:pStyle w:val="RecommendationBullet"/>
      <w:lvlText w:val="•"/>
      <w:lvlJc w:val="left"/>
      <w:pPr>
        <w:tabs>
          <w:tab w:val="num" w:pos="283"/>
        </w:tabs>
        <w:ind w:left="283" w:hanging="283"/>
      </w:pPr>
      <w:rPr>
        <w:b w:val="0"/>
        <w:i w:val="0"/>
      </w:rPr>
    </w:lvl>
    <w:lvl w:ilvl="1">
      <w:start w:val="1"/>
      <w:numFmt w:val="bullet"/>
      <w:pStyle w:val="RecommendationDash"/>
      <w:lvlText w:val="–"/>
      <w:lvlJc w:val="left"/>
      <w:pPr>
        <w:tabs>
          <w:tab w:val="num" w:pos="567"/>
        </w:tabs>
        <w:ind w:left="567" w:hanging="284"/>
      </w:pPr>
      <w:rPr>
        <w:b w:val="0"/>
        <w:i w:val="0"/>
      </w:rPr>
    </w:lvl>
    <w:lvl w:ilvl="2">
      <w:start w:val="1"/>
      <w:numFmt w:val="bullet"/>
      <w:pStyle w:val="Recommendation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37">
    <w:nsid w:val="5EC74761"/>
    <w:multiLevelType w:val="multilevel"/>
    <w:tmpl w:val="1362D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FB0D17"/>
    <w:multiLevelType w:val="singleLevel"/>
    <w:tmpl w:val="0C09000F"/>
    <w:lvl w:ilvl="0">
      <w:start w:val="1"/>
      <w:numFmt w:val="decimal"/>
      <w:lvlText w:val="%1."/>
      <w:lvlJc w:val="left"/>
      <w:pPr>
        <w:tabs>
          <w:tab w:val="num" w:pos="720"/>
        </w:tabs>
        <w:ind w:left="720" w:hanging="360"/>
      </w:pPr>
    </w:lvl>
  </w:abstractNum>
  <w:abstractNum w:abstractNumId="39">
    <w:nsid w:val="662442AE"/>
    <w:multiLevelType w:val="singleLevel"/>
    <w:tmpl w:val="A87ABB18"/>
    <w:lvl w:ilvl="0">
      <w:start w:val="1"/>
      <w:numFmt w:val="lowerRoman"/>
      <w:lvlRestart w:val="0"/>
      <w:pStyle w:val="Recommendationromannumeral"/>
      <w:lvlText w:val="(%1)"/>
      <w:lvlJc w:val="left"/>
      <w:pPr>
        <w:tabs>
          <w:tab w:val="num" w:pos="567"/>
        </w:tabs>
        <w:ind w:left="0" w:firstLine="0"/>
      </w:pPr>
      <w:rPr>
        <w:rFonts w:ascii="Times New Roman" w:hAnsi="Times New Roman" w:cs="Times New Roman"/>
        <w:b w:val="0"/>
        <w:i w:val="0"/>
        <w:color w:val="000000"/>
      </w:rPr>
    </w:lvl>
  </w:abstractNum>
  <w:abstractNum w:abstractNumId="40">
    <w:nsid w:val="6E9A4EBB"/>
    <w:multiLevelType w:val="hybridMultilevel"/>
    <w:tmpl w:val="4608FB46"/>
    <w:lvl w:ilvl="0" w:tplc="CEB6C302">
      <w:start w:val="1"/>
      <w:numFmt w:val="bullet"/>
      <w:pStyle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66C687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775A12A2"/>
    <w:multiLevelType w:val="hybridMultilevel"/>
    <w:tmpl w:val="33E0A5BA"/>
    <w:lvl w:ilvl="0" w:tplc="4AF02EDA">
      <w:start w:val="1"/>
      <w:numFmt w:val="bullet"/>
      <w:pStyle w:val="DoubleDot"/>
      <w:lvlText w:val=":"/>
      <w:lvlJc w:val="left"/>
      <w:pPr>
        <w:ind w:left="720" w:hanging="360"/>
      </w:pPr>
      <w:rPr>
        <w:rFonts w:ascii="Calibri" w:hAnsi="Calibr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8663746"/>
    <w:multiLevelType w:val="multilevel"/>
    <w:tmpl w:val="2DB61A66"/>
    <w:lvl w:ilvl="0">
      <w:start w:val="1"/>
      <w:numFmt w:val="bullet"/>
      <w:lvlText w:val="•"/>
      <w:lvlJc w:val="left"/>
      <w:pPr>
        <w:tabs>
          <w:tab w:val="num" w:pos="472"/>
        </w:tabs>
        <w:ind w:left="472" w:hanging="472"/>
      </w:pPr>
      <w:rPr>
        <w:rFonts w:ascii="Times New Roman" w:hAnsi="Times New Roman" w:cs="Times New Roman"/>
      </w:rPr>
    </w:lvl>
    <w:lvl w:ilvl="1">
      <w:start w:val="1"/>
      <w:numFmt w:val="bullet"/>
      <w:lvlText w:val="–"/>
      <w:lvlJc w:val="left"/>
      <w:pPr>
        <w:tabs>
          <w:tab w:val="num" w:pos="944"/>
        </w:tabs>
        <w:ind w:left="944" w:hanging="472"/>
      </w:pPr>
      <w:rPr>
        <w:rFonts w:ascii="Times New Roman" w:hAnsi="Times New Roman" w:cs="Times New Roman"/>
      </w:rPr>
    </w:lvl>
    <w:lvl w:ilvl="2">
      <w:start w:val="1"/>
      <w:numFmt w:val="bullet"/>
      <w:lvlText w:val=":"/>
      <w:lvlJc w:val="left"/>
      <w:pPr>
        <w:tabs>
          <w:tab w:val="num" w:pos="1416"/>
        </w:tabs>
        <w:ind w:left="1416" w:hanging="472"/>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2"/>
  </w:num>
  <w:num w:numId="2">
    <w:abstractNumId w:val="20"/>
  </w:num>
  <w:num w:numId="3">
    <w:abstractNumId w:val="24"/>
  </w:num>
  <w:num w:numId="4">
    <w:abstractNumId w:val="30"/>
  </w:num>
  <w:num w:numId="5">
    <w:abstractNumId w:val="19"/>
  </w:num>
  <w:num w:numId="6">
    <w:abstractNumId w:val="19"/>
  </w:num>
  <w:num w:numId="7">
    <w:abstractNumId w:val="19"/>
  </w:num>
  <w:num w:numId="8">
    <w:abstractNumId w:val="43"/>
  </w:num>
  <w:num w:numId="9">
    <w:abstractNumId w:val="35"/>
  </w:num>
  <w:num w:numId="10">
    <w:abstractNumId w:val="15"/>
  </w:num>
  <w:num w:numId="11">
    <w:abstractNumId w:val="36"/>
  </w:num>
  <w:num w:numId="12">
    <w:abstractNumId w:val="16"/>
  </w:num>
  <w:num w:numId="13">
    <w:abstractNumId w:val="29"/>
  </w:num>
  <w:num w:numId="14">
    <w:abstractNumId w:val="39"/>
  </w:num>
  <w:num w:numId="15">
    <w:abstractNumId w:val="16"/>
  </w:num>
  <w:num w:numId="16">
    <w:abstractNumId w:val="39"/>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1"/>
  </w:num>
  <w:num w:numId="28">
    <w:abstractNumId w:val="25"/>
  </w:num>
  <w:num w:numId="29">
    <w:abstractNumId w:val="32"/>
  </w:num>
  <w:num w:numId="30">
    <w:abstractNumId w:val="41"/>
  </w:num>
  <w:num w:numId="31">
    <w:abstractNumId w:val="12"/>
  </w:num>
  <w:num w:numId="32">
    <w:abstractNumId w:val="14"/>
  </w:num>
  <w:num w:numId="33">
    <w:abstractNumId w:val="12"/>
  </w:num>
  <w:num w:numId="34">
    <w:abstractNumId w:val="10"/>
  </w:num>
  <w:num w:numId="35">
    <w:abstractNumId w:val="31"/>
  </w:num>
  <w:num w:numId="36">
    <w:abstractNumId w:val="10"/>
  </w:num>
  <w:num w:numId="37">
    <w:abstractNumId w:val="36"/>
  </w:num>
  <w:num w:numId="38">
    <w:abstractNumId w:val="18"/>
  </w:num>
  <w:num w:numId="39">
    <w:abstractNumId w:val="22"/>
  </w:num>
  <w:num w:numId="40">
    <w:abstractNumId w:val="22"/>
  </w:num>
  <w:num w:numId="41">
    <w:abstractNumId w:val="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 w:numId="43">
    <w:abstractNumId w:val="21"/>
  </w:num>
  <w:num w:numId="44">
    <w:abstractNumId w:val="37"/>
  </w:num>
  <w:num w:numId="45">
    <w:abstractNumId w:val="17"/>
  </w:num>
  <w:num w:numId="46">
    <w:abstractNumId w:val="40"/>
  </w:num>
  <w:num w:numId="47">
    <w:abstractNumId w:val="34"/>
  </w:num>
  <w:num w:numId="48">
    <w:abstractNumId w:val="42"/>
  </w:num>
  <w:num w:numId="49">
    <w:abstractNumId w:val="23"/>
  </w:num>
  <w:num w:numId="50">
    <w:abstractNumId w:val="28"/>
  </w:num>
  <w:num w:numId="51">
    <w:abstractNumId w:val="35"/>
  </w:num>
  <w:num w:numId="52">
    <w:abstractNumId w:val="20"/>
  </w:num>
  <w:num w:numId="53">
    <w:abstractNumId w:val="40"/>
  </w:num>
  <w:num w:numId="54">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attachedTemplate r:id="rId1"/>
  <w:linkStyles/>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noTabHangInd/>
    <w:noColumnBalance/>
    <w:suppressBottomSpacing/>
    <w:suppressTopSpacing/>
    <w:suppressSpBfAfterPgBrk/>
    <w:noSpaceRaiseLower/>
    <w:doNotUseHTMLParagraphAutoSpacing/>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OIClassificationInHeader" w:val="False"/>
    <w:docVar w:name="SecurityClassificationInHeader" w:val="False"/>
    <w:docVar w:name="SecurityDLMInHeader" w:val="False"/>
  </w:docVars>
  <w:rsids>
    <w:rsidRoot w:val="00FF73A5"/>
    <w:rsid w:val="00013E2D"/>
    <w:rsid w:val="00031E96"/>
    <w:rsid w:val="000446C8"/>
    <w:rsid w:val="00053244"/>
    <w:rsid w:val="00056211"/>
    <w:rsid w:val="00074C39"/>
    <w:rsid w:val="000B355C"/>
    <w:rsid w:val="0013349F"/>
    <w:rsid w:val="001533C8"/>
    <w:rsid w:val="001C0CBB"/>
    <w:rsid w:val="001C59AB"/>
    <w:rsid w:val="001D4365"/>
    <w:rsid w:val="001E2AB6"/>
    <w:rsid w:val="001E3E0B"/>
    <w:rsid w:val="001F3FF4"/>
    <w:rsid w:val="00226162"/>
    <w:rsid w:val="0024585E"/>
    <w:rsid w:val="00281A1F"/>
    <w:rsid w:val="00284F92"/>
    <w:rsid w:val="00285128"/>
    <w:rsid w:val="002851F4"/>
    <w:rsid w:val="002F3238"/>
    <w:rsid w:val="003130FD"/>
    <w:rsid w:val="00355C76"/>
    <w:rsid w:val="00374D4E"/>
    <w:rsid w:val="0039392E"/>
    <w:rsid w:val="003A670C"/>
    <w:rsid w:val="003A761F"/>
    <w:rsid w:val="003D209B"/>
    <w:rsid w:val="00405DBB"/>
    <w:rsid w:val="00450AD2"/>
    <w:rsid w:val="00465DB9"/>
    <w:rsid w:val="00495915"/>
    <w:rsid w:val="004A72CA"/>
    <w:rsid w:val="004C36DA"/>
    <w:rsid w:val="00524A64"/>
    <w:rsid w:val="005862D4"/>
    <w:rsid w:val="005A7AED"/>
    <w:rsid w:val="005B2E39"/>
    <w:rsid w:val="005C2127"/>
    <w:rsid w:val="005C2823"/>
    <w:rsid w:val="005E1D16"/>
    <w:rsid w:val="005F0948"/>
    <w:rsid w:val="005F7ADD"/>
    <w:rsid w:val="00621A8F"/>
    <w:rsid w:val="006268D0"/>
    <w:rsid w:val="00631230"/>
    <w:rsid w:val="006604B4"/>
    <w:rsid w:val="006E5992"/>
    <w:rsid w:val="00711DBA"/>
    <w:rsid w:val="007172B7"/>
    <w:rsid w:val="00752358"/>
    <w:rsid w:val="007724D9"/>
    <w:rsid w:val="007732FB"/>
    <w:rsid w:val="0077384C"/>
    <w:rsid w:val="00777403"/>
    <w:rsid w:val="0078076B"/>
    <w:rsid w:val="007B10DE"/>
    <w:rsid w:val="007E2130"/>
    <w:rsid w:val="007E7E47"/>
    <w:rsid w:val="00841199"/>
    <w:rsid w:val="008412FB"/>
    <w:rsid w:val="008506BA"/>
    <w:rsid w:val="00880DEA"/>
    <w:rsid w:val="0089389C"/>
    <w:rsid w:val="00894823"/>
    <w:rsid w:val="008970A6"/>
    <w:rsid w:val="00897D5E"/>
    <w:rsid w:val="008B26AD"/>
    <w:rsid w:val="00916E0E"/>
    <w:rsid w:val="009711C5"/>
    <w:rsid w:val="00972F83"/>
    <w:rsid w:val="00981D46"/>
    <w:rsid w:val="009A7C40"/>
    <w:rsid w:val="009B3A06"/>
    <w:rsid w:val="009D0350"/>
    <w:rsid w:val="00A115F8"/>
    <w:rsid w:val="00A117C6"/>
    <w:rsid w:val="00A51AE6"/>
    <w:rsid w:val="00A92B6B"/>
    <w:rsid w:val="00AA0D71"/>
    <w:rsid w:val="00AB1F33"/>
    <w:rsid w:val="00AE5B3C"/>
    <w:rsid w:val="00B54641"/>
    <w:rsid w:val="00B656AC"/>
    <w:rsid w:val="00B978D5"/>
    <w:rsid w:val="00C13DC8"/>
    <w:rsid w:val="00C17A76"/>
    <w:rsid w:val="00C220E5"/>
    <w:rsid w:val="00C47B87"/>
    <w:rsid w:val="00C516F7"/>
    <w:rsid w:val="00C962C4"/>
    <w:rsid w:val="00CC576E"/>
    <w:rsid w:val="00CF1130"/>
    <w:rsid w:val="00CF1708"/>
    <w:rsid w:val="00D00BEA"/>
    <w:rsid w:val="00D1241A"/>
    <w:rsid w:val="00D2775F"/>
    <w:rsid w:val="00D333E7"/>
    <w:rsid w:val="00D3340C"/>
    <w:rsid w:val="00D33D9A"/>
    <w:rsid w:val="00D45AFD"/>
    <w:rsid w:val="00D62556"/>
    <w:rsid w:val="00D67F36"/>
    <w:rsid w:val="00DB090C"/>
    <w:rsid w:val="00DD18CB"/>
    <w:rsid w:val="00DD6CA2"/>
    <w:rsid w:val="00DF1CCA"/>
    <w:rsid w:val="00DF5423"/>
    <w:rsid w:val="00E026E9"/>
    <w:rsid w:val="00E073CE"/>
    <w:rsid w:val="00E15270"/>
    <w:rsid w:val="00E6383B"/>
    <w:rsid w:val="00E6703B"/>
    <w:rsid w:val="00E7271D"/>
    <w:rsid w:val="00E806E0"/>
    <w:rsid w:val="00E8459F"/>
    <w:rsid w:val="00EF61B8"/>
    <w:rsid w:val="00F01E70"/>
    <w:rsid w:val="00F0263C"/>
    <w:rsid w:val="00F30B9E"/>
    <w:rsid w:val="00F30CA2"/>
    <w:rsid w:val="00F33EA1"/>
    <w:rsid w:val="00F60230"/>
    <w:rsid w:val="00FC5F38"/>
    <w:rsid w:val="00FD6C3C"/>
    <w:rsid w:val="00FF73A5"/>
    <w:rsid w:val="00FF7F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6BCF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59F"/>
    <w:pPr>
      <w:spacing w:after="240" w:line="300" w:lineRule="exact"/>
      <w:jc w:val="both"/>
    </w:pPr>
    <w:rPr>
      <w:rFonts w:ascii="Calibri" w:hAnsi="Calibri"/>
      <w:sz w:val="22"/>
      <w:szCs w:val="22"/>
    </w:rPr>
  </w:style>
  <w:style w:type="paragraph" w:styleId="Heading1">
    <w:name w:val="heading 1"/>
    <w:basedOn w:val="HeadingBase"/>
    <w:next w:val="Normal"/>
    <w:qFormat/>
    <w:rsid w:val="00E8459F"/>
    <w:pPr>
      <w:keepNext/>
      <w:pageBreakBefore/>
      <w:numPr>
        <w:numId w:val="50"/>
      </w:numPr>
      <w:pBdr>
        <w:bottom w:val="single" w:sz="2" w:space="1" w:color="000080"/>
      </w:pBdr>
      <w:spacing w:before="360" w:after="360"/>
      <w:outlineLvl w:val="0"/>
    </w:pPr>
    <w:rPr>
      <w:rFonts w:cs="Arial"/>
      <w:bCs/>
      <w:smallCaps/>
      <w:kern w:val="32"/>
      <w:sz w:val="56"/>
      <w:szCs w:val="38"/>
    </w:rPr>
  </w:style>
  <w:style w:type="paragraph" w:styleId="Heading2">
    <w:name w:val="heading 2"/>
    <w:basedOn w:val="HeadingBase"/>
    <w:next w:val="Normal"/>
    <w:qFormat/>
    <w:rsid w:val="00E8459F"/>
    <w:pPr>
      <w:keepNext/>
      <w:spacing w:before="360" w:after="240"/>
      <w:outlineLvl w:val="1"/>
    </w:pPr>
    <w:rPr>
      <w:rFonts w:asciiTheme="minorHAnsi" w:hAnsiTheme="minorHAnsi" w:cs="Arial"/>
      <w:b/>
      <w:bCs/>
      <w:iCs/>
      <w:color w:val="C00000"/>
      <w:sz w:val="40"/>
      <w:szCs w:val="30"/>
    </w:rPr>
  </w:style>
  <w:style w:type="paragraph" w:styleId="Heading3">
    <w:name w:val="heading 3"/>
    <w:basedOn w:val="HeadingBase"/>
    <w:next w:val="Normal"/>
    <w:qFormat/>
    <w:rsid w:val="00E8459F"/>
    <w:pPr>
      <w:keepNext/>
      <w:spacing w:before="180" w:after="120"/>
      <w:outlineLvl w:val="2"/>
    </w:pPr>
    <w:rPr>
      <w:rFonts w:cs="Arial"/>
      <w:b/>
      <w:bCs/>
      <w:i/>
      <w:sz w:val="32"/>
      <w:szCs w:val="26"/>
    </w:rPr>
  </w:style>
  <w:style w:type="paragraph" w:styleId="Heading4">
    <w:name w:val="heading 4"/>
    <w:basedOn w:val="HeadingBase"/>
    <w:next w:val="Normal"/>
    <w:qFormat/>
    <w:rsid w:val="00E8459F"/>
    <w:pPr>
      <w:keepNext/>
      <w:spacing w:before="120" w:after="120"/>
      <w:outlineLvl w:val="3"/>
    </w:pPr>
    <w:rPr>
      <w:bCs/>
      <w:i/>
      <w:color w:val="C00000"/>
      <w:sz w:val="28"/>
      <w:szCs w:val="23"/>
    </w:rPr>
  </w:style>
  <w:style w:type="paragraph" w:styleId="Heading5">
    <w:name w:val="heading 5"/>
    <w:basedOn w:val="HeadingBase"/>
    <w:next w:val="Normal"/>
    <w:qFormat/>
    <w:rsid w:val="00E8459F"/>
    <w:pPr>
      <w:spacing w:before="160" w:after="80"/>
      <w:outlineLvl w:val="4"/>
    </w:pPr>
    <w:rPr>
      <w:b/>
      <w:bCs/>
      <w:iCs/>
      <w:sz w:val="24"/>
    </w:rPr>
  </w:style>
  <w:style w:type="paragraph" w:styleId="Heading6">
    <w:name w:val="heading 6"/>
    <w:basedOn w:val="HeadingBase"/>
    <w:next w:val="Normal"/>
    <w:qFormat/>
    <w:rsid w:val="00E8459F"/>
    <w:pPr>
      <w:spacing w:after="120"/>
      <w:outlineLvl w:val="5"/>
    </w:pPr>
    <w:rPr>
      <w:bCs/>
      <w:i/>
      <w:sz w:val="24"/>
    </w:rPr>
  </w:style>
  <w:style w:type="paragraph" w:styleId="Heading7">
    <w:name w:val="heading 7"/>
    <w:basedOn w:val="HeadingBase"/>
    <w:next w:val="Normal"/>
    <w:qFormat/>
    <w:rsid w:val="00E8459F"/>
    <w:pPr>
      <w:spacing w:after="120"/>
      <w:outlineLvl w:val="6"/>
    </w:pPr>
    <w:rPr>
      <w:szCs w:val="24"/>
    </w:rPr>
  </w:style>
  <w:style w:type="paragraph" w:styleId="Heading8">
    <w:name w:val="heading 8"/>
    <w:basedOn w:val="HeadingBase"/>
    <w:next w:val="Normal"/>
    <w:qFormat/>
    <w:rsid w:val="00E8459F"/>
    <w:pPr>
      <w:spacing w:after="120"/>
      <w:outlineLvl w:val="7"/>
    </w:pPr>
    <w:rPr>
      <w:iCs/>
      <w:szCs w:val="24"/>
    </w:rPr>
  </w:style>
  <w:style w:type="paragraph" w:styleId="Heading9">
    <w:name w:val="heading 9"/>
    <w:basedOn w:val="HeadingBase"/>
    <w:next w:val="Normal"/>
    <w:qFormat/>
    <w:rsid w:val="00E8459F"/>
    <w:pPr>
      <w:spacing w:after="120"/>
      <w:outlineLvl w:val="8"/>
    </w:pPr>
    <w:rPr>
      <w:rFonts w:cs="Arial"/>
    </w:rPr>
  </w:style>
  <w:style w:type="character" w:default="1" w:styleId="DefaultParagraphFont">
    <w:name w:val="Default Paragraph Font"/>
    <w:uiPriority w:val="1"/>
    <w:semiHidden/>
    <w:unhideWhenUsed/>
    <w:rsid w:val="00E8459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8459F"/>
  </w:style>
  <w:style w:type="paragraph" w:customStyle="1" w:styleId="HeadingBase">
    <w:name w:val="Heading Base"/>
    <w:next w:val="Normal"/>
    <w:link w:val="HeadingBaseChar"/>
    <w:rsid w:val="00E8459F"/>
    <w:rPr>
      <w:rFonts w:ascii="Calibri" w:hAnsi="Calibri"/>
      <w:color w:val="000080"/>
      <w:sz w:val="22"/>
      <w:szCs w:val="22"/>
    </w:rPr>
  </w:style>
  <w:style w:type="paragraph" w:customStyle="1" w:styleId="NumberedParagraph">
    <w:name w:val="Numbered Paragraph"/>
    <w:basedOn w:val="Normal"/>
    <w:rsid w:val="00284F92"/>
    <w:pPr>
      <w:numPr>
        <w:ilvl w:val="1"/>
        <w:numId w:val="36"/>
      </w:numPr>
    </w:pPr>
  </w:style>
  <w:style w:type="paragraph" w:customStyle="1" w:styleId="SingleParagraph">
    <w:name w:val="Single Paragraph"/>
    <w:basedOn w:val="Normal"/>
    <w:rsid w:val="00E8459F"/>
    <w:pPr>
      <w:spacing w:after="0"/>
    </w:pPr>
  </w:style>
  <w:style w:type="character" w:styleId="Hyperlink">
    <w:name w:val="Hyperlink"/>
    <w:basedOn w:val="DefaultParagraphFont"/>
    <w:rsid w:val="00E8459F"/>
    <w:rPr>
      <w:color w:val="0000FF"/>
      <w:u w:val="single"/>
    </w:rPr>
  </w:style>
  <w:style w:type="paragraph" w:customStyle="1" w:styleId="ChapterHeading">
    <w:name w:val="ChapterHeading"/>
    <w:basedOn w:val="HeadingBase"/>
    <w:next w:val="NumberedParagraph"/>
    <w:rsid w:val="00284F92"/>
    <w:pPr>
      <w:numPr>
        <w:numId w:val="36"/>
      </w:numPr>
      <w:pBdr>
        <w:bottom w:val="single" w:sz="2" w:space="1" w:color="000080"/>
      </w:pBdr>
      <w:spacing w:before="720" w:after="800"/>
    </w:pPr>
    <w:rPr>
      <w:smallCaps/>
      <w:sz w:val="38"/>
      <w:szCs w:val="38"/>
    </w:rPr>
  </w:style>
  <w:style w:type="character" w:styleId="PageNumber">
    <w:name w:val="page number"/>
    <w:basedOn w:val="DefaultParagraphFont"/>
    <w:rsid w:val="00E8459F"/>
    <w:rPr>
      <w:rFonts w:ascii="Arial" w:hAnsi="Arial"/>
      <w:sz w:val="18"/>
    </w:rPr>
  </w:style>
  <w:style w:type="paragraph" w:customStyle="1" w:styleId="CaseStudyHeading">
    <w:name w:val="Case Study Heading"/>
    <w:basedOn w:val="HeadingBase"/>
    <w:next w:val="Normal"/>
    <w:rsid w:val="00E8459F"/>
    <w:pPr>
      <w:spacing w:before="120" w:after="240"/>
    </w:pPr>
    <w:rPr>
      <w:b/>
    </w:rPr>
  </w:style>
  <w:style w:type="paragraph" w:customStyle="1" w:styleId="Casestudytext">
    <w:name w:val="Case study text"/>
    <w:basedOn w:val="Normal"/>
    <w:rsid w:val="00894823"/>
    <w:pPr>
      <w:spacing w:line="240" w:lineRule="auto"/>
    </w:pPr>
    <w:rPr>
      <w:color w:val="000080"/>
    </w:rPr>
  </w:style>
  <w:style w:type="paragraph" w:customStyle="1" w:styleId="Bullet">
    <w:name w:val="Bullet"/>
    <w:basedOn w:val="Normal"/>
    <w:link w:val="BulletChar"/>
    <w:rsid w:val="00E8459F"/>
    <w:pPr>
      <w:numPr>
        <w:numId w:val="46"/>
      </w:numPr>
      <w:tabs>
        <w:tab w:val="left" w:pos="567"/>
      </w:tabs>
      <w:ind w:left="567" w:hanging="567"/>
    </w:pPr>
  </w:style>
  <w:style w:type="paragraph" w:customStyle="1" w:styleId="Dash">
    <w:name w:val="Dash"/>
    <w:basedOn w:val="Normal"/>
    <w:link w:val="DashChar"/>
    <w:rsid w:val="00E8459F"/>
    <w:pPr>
      <w:numPr>
        <w:numId w:val="47"/>
      </w:numPr>
      <w:tabs>
        <w:tab w:val="left" w:pos="1134"/>
      </w:tabs>
      <w:ind w:left="1134" w:hanging="567"/>
    </w:pPr>
  </w:style>
  <w:style w:type="paragraph" w:customStyle="1" w:styleId="DoubleDot">
    <w:name w:val="Double Dot"/>
    <w:basedOn w:val="Normal"/>
    <w:rsid w:val="00E8459F"/>
    <w:pPr>
      <w:numPr>
        <w:numId w:val="48"/>
      </w:numPr>
      <w:tabs>
        <w:tab w:val="left" w:pos="1701"/>
      </w:tabs>
      <w:ind w:left="1701" w:hanging="567"/>
    </w:pPr>
  </w:style>
  <w:style w:type="paragraph" w:customStyle="1" w:styleId="OutlineNumbered1">
    <w:name w:val="Outline Numbered 1"/>
    <w:basedOn w:val="Normal"/>
    <w:link w:val="OutlineNumbered1Char"/>
    <w:rsid w:val="00E8459F"/>
    <w:pPr>
      <w:numPr>
        <w:numId w:val="2"/>
      </w:numPr>
    </w:pPr>
  </w:style>
  <w:style w:type="paragraph" w:customStyle="1" w:styleId="OutlineNumbered2">
    <w:name w:val="Outline Numbered 2"/>
    <w:basedOn w:val="Normal"/>
    <w:rsid w:val="00E8459F"/>
    <w:pPr>
      <w:numPr>
        <w:ilvl w:val="1"/>
        <w:numId w:val="2"/>
      </w:numPr>
    </w:pPr>
  </w:style>
  <w:style w:type="paragraph" w:customStyle="1" w:styleId="OutlineNumbered3">
    <w:name w:val="Outline Numbered 3"/>
    <w:basedOn w:val="Normal"/>
    <w:rsid w:val="00E8459F"/>
    <w:pPr>
      <w:numPr>
        <w:ilvl w:val="2"/>
        <w:numId w:val="2"/>
      </w:numPr>
    </w:pPr>
  </w:style>
  <w:style w:type="paragraph" w:customStyle="1" w:styleId="AlphaParagraph">
    <w:name w:val="Alpha Paragraph"/>
    <w:basedOn w:val="Normal"/>
    <w:rsid w:val="00E8459F"/>
    <w:pPr>
      <w:numPr>
        <w:numId w:val="3"/>
      </w:numPr>
    </w:pPr>
  </w:style>
  <w:style w:type="paragraph" w:customStyle="1" w:styleId="AppendixHeading">
    <w:name w:val="Appendix Heading"/>
    <w:basedOn w:val="HeadingBase"/>
    <w:next w:val="Normal"/>
    <w:rsid w:val="00E8459F"/>
    <w:pPr>
      <w:pBdr>
        <w:bottom w:val="single" w:sz="2" w:space="1" w:color="000080"/>
      </w:pBdr>
      <w:spacing w:after="240"/>
    </w:pPr>
    <w:rPr>
      <w:smallCaps/>
      <w:sz w:val="38"/>
      <w:szCs w:val="38"/>
    </w:rPr>
  </w:style>
  <w:style w:type="character" w:customStyle="1" w:styleId="Bold">
    <w:name w:val="Bold"/>
    <w:basedOn w:val="DefaultParagraphFont"/>
    <w:rsid w:val="00E8459F"/>
    <w:rPr>
      <w:b/>
    </w:rPr>
  </w:style>
  <w:style w:type="paragraph" w:customStyle="1" w:styleId="BoxHeading">
    <w:name w:val="Box Heading"/>
    <w:basedOn w:val="HeadingBase"/>
    <w:next w:val="BoxText"/>
    <w:rsid w:val="00E8459F"/>
    <w:pPr>
      <w:spacing w:before="120" w:after="80"/>
    </w:pPr>
    <w:rPr>
      <w:rFonts w:asciiTheme="minorHAnsi" w:hAnsiTheme="minorHAnsi"/>
      <w:b/>
      <w:caps/>
      <w:color w:val="FFFFFF" w:themeColor="background1"/>
      <w:sz w:val="28"/>
    </w:rPr>
  </w:style>
  <w:style w:type="paragraph" w:customStyle="1" w:styleId="BoxText">
    <w:name w:val="Box Text"/>
    <w:basedOn w:val="BoxTextBase"/>
    <w:rsid w:val="00E8459F"/>
  </w:style>
  <w:style w:type="paragraph" w:customStyle="1" w:styleId="BoxTextBase">
    <w:name w:val="Box Text Base"/>
    <w:basedOn w:val="Normal"/>
    <w:rsid w:val="00E8459F"/>
    <w:pPr>
      <w:spacing w:before="120" w:after="120" w:line="240" w:lineRule="auto"/>
    </w:pPr>
  </w:style>
  <w:style w:type="paragraph" w:customStyle="1" w:styleId="ChartandTableFootnoteAlpha">
    <w:name w:val="Chart and Table Footnote Alpha"/>
    <w:rsid w:val="00E8459F"/>
    <w:pPr>
      <w:numPr>
        <w:numId w:val="4"/>
      </w:numPr>
      <w:jc w:val="both"/>
    </w:pPr>
    <w:rPr>
      <w:rFonts w:asciiTheme="minorHAnsi" w:hAnsiTheme="minorHAnsi"/>
      <w:color w:val="000000"/>
      <w:sz w:val="18"/>
      <w:szCs w:val="16"/>
    </w:rPr>
  </w:style>
  <w:style w:type="paragraph" w:customStyle="1" w:styleId="ChartGraphic">
    <w:name w:val="Chart Graphic"/>
    <w:basedOn w:val="HeadingBase"/>
    <w:next w:val="Normal"/>
    <w:rsid w:val="00E8459F"/>
    <w:pPr>
      <w:spacing w:after="20"/>
      <w:jc w:val="center"/>
    </w:pPr>
  </w:style>
  <w:style w:type="paragraph" w:customStyle="1" w:styleId="ChartMainHeading">
    <w:name w:val="Chart Main Heading"/>
    <w:basedOn w:val="HeadingBase"/>
    <w:next w:val="ChartGraphic"/>
    <w:rsid w:val="00E8459F"/>
    <w:pPr>
      <w:keepNext/>
      <w:spacing w:after="20"/>
      <w:jc w:val="center"/>
    </w:pPr>
    <w:rPr>
      <w:b/>
    </w:rPr>
  </w:style>
  <w:style w:type="paragraph" w:customStyle="1" w:styleId="ChartorTableNote">
    <w:name w:val="Chart or Table Note"/>
    <w:next w:val="Normal"/>
    <w:rsid w:val="00E8459F"/>
    <w:pPr>
      <w:jc w:val="both"/>
    </w:pPr>
    <w:rPr>
      <w:rFonts w:ascii="Arial" w:hAnsi="Arial"/>
      <w:color w:val="000000"/>
      <w:sz w:val="16"/>
      <w:szCs w:val="22"/>
    </w:rPr>
  </w:style>
  <w:style w:type="paragraph" w:customStyle="1" w:styleId="ChartSecondHeading">
    <w:name w:val="Chart Second Heading"/>
    <w:basedOn w:val="HeadingBase"/>
    <w:next w:val="ChartGraphic"/>
    <w:rsid w:val="00E8459F"/>
    <w:pPr>
      <w:keepNext/>
      <w:spacing w:after="20"/>
      <w:jc w:val="center"/>
    </w:pPr>
  </w:style>
  <w:style w:type="paragraph" w:customStyle="1" w:styleId="Classification">
    <w:name w:val="Classification"/>
    <w:basedOn w:val="HeadingBase"/>
    <w:next w:val="Footer"/>
    <w:rsid w:val="00E8459F"/>
    <w:pPr>
      <w:spacing w:after="120"/>
      <w:jc w:val="center"/>
    </w:pPr>
    <w:rPr>
      <w:b/>
      <w:smallCaps/>
    </w:rPr>
  </w:style>
  <w:style w:type="paragraph" w:styleId="Footer">
    <w:name w:val="footer"/>
    <w:basedOn w:val="HeadingBase"/>
    <w:link w:val="FooterChar"/>
    <w:rsid w:val="00E8459F"/>
    <w:rPr>
      <w:sz w:val="18"/>
    </w:rPr>
  </w:style>
  <w:style w:type="paragraph" w:customStyle="1" w:styleId="ContentsHeading">
    <w:name w:val="Contents Heading"/>
    <w:basedOn w:val="HeadingBase"/>
    <w:next w:val="Normal"/>
    <w:rsid w:val="00E8459F"/>
    <w:pPr>
      <w:pBdr>
        <w:bottom w:val="single" w:sz="2" w:space="1" w:color="000080"/>
      </w:pBdr>
      <w:spacing w:before="720" w:after="800"/>
    </w:pPr>
    <w:rPr>
      <w:smallCaps/>
      <w:sz w:val="56"/>
      <w:szCs w:val="38"/>
    </w:rPr>
  </w:style>
  <w:style w:type="paragraph" w:customStyle="1" w:styleId="CoverTitleMain">
    <w:name w:val="Cover Title Main"/>
    <w:basedOn w:val="HeadingBase"/>
    <w:next w:val="Normal"/>
    <w:rsid w:val="00E8459F"/>
    <w:pPr>
      <w:spacing w:after="240"/>
      <w:jc w:val="center"/>
    </w:pPr>
    <w:rPr>
      <w:b/>
      <w:spacing w:val="20"/>
      <w:sz w:val="52"/>
      <w:szCs w:val="52"/>
    </w:rPr>
  </w:style>
  <w:style w:type="paragraph" w:customStyle="1" w:styleId="CoverTitleSub">
    <w:name w:val="Cover Title Sub"/>
    <w:basedOn w:val="HeadingBase"/>
    <w:rsid w:val="00E8459F"/>
    <w:pPr>
      <w:spacing w:after="120" w:line="420" w:lineRule="exact"/>
      <w:jc w:val="center"/>
    </w:pPr>
    <w:rPr>
      <w:sz w:val="36"/>
      <w:szCs w:val="36"/>
    </w:rPr>
  </w:style>
  <w:style w:type="paragraph" w:customStyle="1" w:styleId="FooterCentered">
    <w:name w:val="Footer Centered"/>
    <w:basedOn w:val="Footer"/>
    <w:rsid w:val="00E8459F"/>
    <w:pPr>
      <w:jc w:val="center"/>
    </w:pPr>
  </w:style>
  <w:style w:type="paragraph" w:customStyle="1" w:styleId="FooterEven">
    <w:name w:val="Footer Even"/>
    <w:basedOn w:val="Footer"/>
    <w:rsid w:val="00E8459F"/>
  </w:style>
  <w:style w:type="paragraph" w:customStyle="1" w:styleId="FooterOdd">
    <w:name w:val="Footer Odd"/>
    <w:basedOn w:val="Footer"/>
    <w:rsid w:val="00E8459F"/>
    <w:pPr>
      <w:jc w:val="right"/>
    </w:pPr>
  </w:style>
  <w:style w:type="character" w:customStyle="1" w:styleId="FramedFooter">
    <w:name w:val="Framed Footer"/>
    <w:rsid w:val="00E8459F"/>
    <w:rPr>
      <w:rFonts w:ascii="Arial" w:hAnsi="Arial"/>
      <w:color w:val="000080"/>
      <w:sz w:val="18"/>
      <w:szCs w:val="18"/>
    </w:rPr>
  </w:style>
  <w:style w:type="character" w:customStyle="1" w:styleId="FramedHeader">
    <w:name w:val="Framed Header"/>
    <w:basedOn w:val="DefaultParagraphFont"/>
    <w:rsid w:val="00E8459F"/>
    <w:rPr>
      <w:rFonts w:ascii="Arial" w:hAnsi="Arial"/>
      <w:dstrike w:val="0"/>
      <w:color w:val="000080"/>
      <w:sz w:val="18"/>
      <w:szCs w:val="18"/>
      <w:vertAlign w:val="baseline"/>
    </w:rPr>
  </w:style>
  <w:style w:type="paragraph" w:styleId="Header">
    <w:name w:val="header"/>
    <w:basedOn w:val="HeadingBase"/>
    <w:link w:val="HeaderChar"/>
    <w:rsid w:val="00E8459F"/>
    <w:pPr>
      <w:jc w:val="right"/>
    </w:pPr>
    <w:rPr>
      <w:sz w:val="18"/>
    </w:rPr>
  </w:style>
  <w:style w:type="paragraph" w:customStyle="1" w:styleId="HeaderEven">
    <w:name w:val="Header Even"/>
    <w:basedOn w:val="Header"/>
    <w:rsid w:val="00E8459F"/>
  </w:style>
  <w:style w:type="paragraph" w:customStyle="1" w:styleId="HeaderOdd">
    <w:name w:val="Header Odd"/>
    <w:basedOn w:val="Header"/>
    <w:rsid w:val="00E8459F"/>
  </w:style>
  <w:style w:type="paragraph" w:styleId="NormalIndent">
    <w:name w:val="Normal Indent"/>
    <w:basedOn w:val="Normal"/>
    <w:rsid w:val="00E8459F"/>
    <w:pPr>
      <w:ind w:left="567"/>
    </w:pPr>
    <w:rPr>
      <w:sz w:val="20"/>
    </w:rPr>
  </w:style>
  <w:style w:type="paragraph" w:customStyle="1" w:styleId="RecommendationHeading">
    <w:name w:val="Recommendation Heading"/>
    <w:basedOn w:val="HeadingBase"/>
    <w:next w:val="RecommendationText"/>
    <w:rsid w:val="00E8459F"/>
    <w:pPr>
      <w:spacing w:before="120" w:after="240"/>
    </w:pPr>
    <w:rPr>
      <w:b/>
    </w:rPr>
  </w:style>
  <w:style w:type="paragraph" w:customStyle="1" w:styleId="RecommendationText">
    <w:name w:val="Recommendation Text"/>
    <w:basedOn w:val="RecommendationTextBase"/>
    <w:rsid w:val="00E8459F"/>
    <w:pPr>
      <w:spacing w:before="120" w:after="120"/>
    </w:pPr>
  </w:style>
  <w:style w:type="paragraph" w:customStyle="1" w:styleId="RecommendationTextBase">
    <w:name w:val="Recommendation Text Base"/>
    <w:basedOn w:val="Normal"/>
    <w:rsid w:val="00E8459F"/>
  </w:style>
  <w:style w:type="paragraph" w:customStyle="1" w:styleId="TableTextBase">
    <w:name w:val="Table Text Base"/>
    <w:rsid w:val="00E8459F"/>
    <w:pPr>
      <w:spacing w:after="120"/>
    </w:pPr>
    <w:rPr>
      <w:rFonts w:asciiTheme="minorHAnsi" w:hAnsiTheme="minorHAnsi"/>
      <w:color w:val="000000"/>
      <w:sz w:val="22"/>
      <w:szCs w:val="18"/>
    </w:rPr>
  </w:style>
  <w:style w:type="paragraph" w:customStyle="1" w:styleId="TableColumnHeadingCentred">
    <w:name w:val="Table Column Heading Centred"/>
    <w:basedOn w:val="TableTextBase"/>
    <w:rsid w:val="00E8459F"/>
    <w:pPr>
      <w:spacing w:before="60" w:after="60"/>
      <w:jc w:val="center"/>
    </w:pPr>
    <w:rPr>
      <w:color w:val="FFFFFF" w:themeColor="background1"/>
      <w:sz w:val="24"/>
    </w:rPr>
  </w:style>
  <w:style w:type="paragraph" w:customStyle="1" w:styleId="TableColumnHeadingLeft">
    <w:name w:val="Table Column Heading Left"/>
    <w:basedOn w:val="TableTextBase"/>
    <w:rsid w:val="00E8459F"/>
    <w:pPr>
      <w:spacing w:before="60" w:after="60"/>
    </w:pPr>
    <w:rPr>
      <w:color w:val="FFFFFF" w:themeColor="background1"/>
      <w:sz w:val="24"/>
    </w:rPr>
  </w:style>
  <w:style w:type="paragraph" w:customStyle="1" w:styleId="TableColumnHeadingRight">
    <w:name w:val="Table Column Heading Right"/>
    <w:basedOn w:val="TableTextBase"/>
    <w:rsid w:val="00E8459F"/>
    <w:pPr>
      <w:spacing w:before="60" w:after="60"/>
      <w:jc w:val="right"/>
    </w:pPr>
    <w:rPr>
      <w:rFonts w:ascii="Calibri" w:hAnsi="Calibri"/>
      <w:color w:val="FFFFFF" w:themeColor="background1"/>
      <w:sz w:val="24"/>
    </w:rPr>
  </w:style>
  <w:style w:type="paragraph" w:customStyle="1" w:styleId="TableGraphic">
    <w:name w:val="Table Graphic"/>
    <w:basedOn w:val="HeadingBase"/>
    <w:next w:val="Normal"/>
    <w:rsid w:val="00E8459F"/>
    <w:pPr>
      <w:spacing w:after="40"/>
      <w:ind w:right="-113"/>
    </w:pPr>
  </w:style>
  <w:style w:type="paragraph" w:customStyle="1" w:styleId="TableMainHeading">
    <w:name w:val="Table Main Heading"/>
    <w:basedOn w:val="HeadingBase"/>
    <w:next w:val="TableGraphic"/>
    <w:rsid w:val="00E8459F"/>
    <w:pPr>
      <w:keepNext/>
      <w:spacing w:after="20"/>
    </w:pPr>
    <w:rPr>
      <w:b/>
      <w:sz w:val="24"/>
    </w:rPr>
  </w:style>
  <w:style w:type="paragraph" w:customStyle="1" w:styleId="TableMainHeadingContd">
    <w:name w:val="Table Main Heading Contd"/>
    <w:basedOn w:val="HeadingBase"/>
    <w:next w:val="TableGraphic"/>
    <w:rsid w:val="00E8459F"/>
    <w:pPr>
      <w:keepNext/>
      <w:spacing w:after="20"/>
    </w:pPr>
    <w:rPr>
      <w:b/>
    </w:rPr>
  </w:style>
  <w:style w:type="paragraph" w:customStyle="1" w:styleId="TableSecondHeading">
    <w:name w:val="Table Second Heading"/>
    <w:basedOn w:val="HeadingBase"/>
    <w:next w:val="TableGraphic"/>
    <w:rsid w:val="00E8459F"/>
    <w:pPr>
      <w:keepNext/>
      <w:spacing w:after="20"/>
    </w:pPr>
  </w:style>
  <w:style w:type="paragraph" w:customStyle="1" w:styleId="TableTextCentered">
    <w:name w:val="Table Text Centered"/>
    <w:basedOn w:val="TableTextBase"/>
    <w:rsid w:val="00E8459F"/>
    <w:pPr>
      <w:jc w:val="center"/>
    </w:pPr>
  </w:style>
  <w:style w:type="paragraph" w:customStyle="1" w:styleId="TableTextIndented">
    <w:name w:val="Table Text Indented"/>
    <w:basedOn w:val="TableTextBase"/>
    <w:rsid w:val="00E8459F"/>
    <w:pPr>
      <w:ind w:left="284"/>
    </w:pPr>
  </w:style>
  <w:style w:type="paragraph" w:customStyle="1" w:styleId="TableTextLeft">
    <w:name w:val="Table Text Left"/>
    <w:basedOn w:val="TableTextBase"/>
    <w:rsid w:val="00E8459F"/>
    <w:pPr>
      <w:spacing w:before="30" w:after="80"/>
    </w:pPr>
  </w:style>
  <w:style w:type="paragraph" w:customStyle="1" w:styleId="TableTextRight">
    <w:name w:val="Table Text Right"/>
    <w:basedOn w:val="TableTextBase"/>
    <w:rsid w:val="00E8459F"/>
    <w:pPr>
      <w:jc w:val="right"/>
    </w:pPr>
  </w:style>
  <w:style w:type="paragraph" w:styleId="TOC1">
    <w:name w:val="toc 1"/>
    <w:basedOn w:val="HeadingBase"/>
    <w:next w:val="Normal"/>
    <w:uiPriority w:val="39"/>
    <w:rsid w:val="00E8459F"/>
    <w:pPr>
      <w:tabs>
        <w:tab w:val="right" w:leader="dot" w:pos="8505"/>
      </w:tabs>
      <w:spacing w:before="120"/>
      <w:ind w:right="1134"/>
    </w:pPr>
    <w:rPr>
      <w:rFonts w:ascii="Arial Bold" w:hAnsi="Arial Bold"/>
      <w:b/>
      <w:smallCaps/>
    </w:rPr>
  </w:style>
  <w:style w:type="paragraph" w:styleId="TOC2">
    <w:name w:val="toc 2"/>
    <w:basedOn w:val="Normal"/>
    <w:next w:val="Normal"/>
    <w:uiPriority w:val="39"/>
    <w:rsid w:val="00E8459F"/>
    <w:pPr>
      <w:tabs>
        <w:tab w:val="right" w:leader="dot" w:pos="8505"/>
      </w:tabs>
      <w:spacing w:before="60" w:after="60" w:line="240" w:lineRule="auto"/>
      <w:ind w:right="1134"/>
    </w:pPr>
    <w:rPr>
      <w:rFonts w:ascii="Arial" w:hAnsi="Arial"/>
      <w:color w:val="000080"/>
      <w:sz w:val="20"/>
      <w:szCs w:val="20"/>
    </w:rPr>
  </w:style>
  <w:style w:type="paragraph" w:styleId="TOC3">
    <w:name w:val="toc 3"/>
    <w:basedOn w:val="Normal"/>
    <w:next w:val="Normal"/>
    <w:rsid w:val="00E8459F"/>
    <w:pPr>
      <w:tabs>
        <w:tab w:val="right" w:pos="7700"/>
      </w:tabs>
      <w:spacing w:before="20" w:after="0" w:line="240" w:lineRule="auto"/>
      <w:ind w:left="284" w:right="851"/>
    </w:pPr>
  </w:style>
  <w:style w:type="paragraph" w:styleId="TOC4">
    <w:name w:val="toc 4"/>
    <w:basedOn w:val="Normal"/>
    <w:next w:val="Normal"/>
    <w:rsid w:val="00E8459F"/>
    <w:pPr>
      <w:tabs>
        <w:tab w:val="right" w:pos="7700"/>
      </w:tabs>
      <w:spacing w:after="0" w:line="240" w:lineRule="auto"/>
      <w:ind w:left="284" w:right="851"/>
    </w:pPr>
  </w:style>
  <w:style w:type="character" w:customStyle="1" w:styleId="italic">
    <w:name w:val="italic"/>
    <w:basedOn w:val="DefaultParagraphFont"/>
    <w:rsid w:val="00E8459F"/>
    <w:rPr>
      <w:i/>
    </w:rPr>
  </w:style>
  <w:style w:type="paragraph" w:customStyle="1" w:styleId="OneLevelNumberedParagraph">
    <w:name w:val="One Level Numbered Paragraph"/>
    <w:basedOn w:val="Normal"/>
    <w:rsid w:val="00E8459F"/>
    <w:pPr>
      <w:numPr>
        <w:numId w:val="10"/>
      </w:numPr>
    </w:pPr>
  </w:style>
  <w:style w:type="paragraph" w:customStyle="1" w:styleId="BoxBullet">
    <w:name w:val="Box Bullet"/>
    <w:basedOn w:val="BoxTextBase"/>
    <w:rsid w:val="00E8459F"/>
    <w:pPr>
      <w:numPr>
        <w:numId w:val="9"/>
      </w:numPr>
      <w:tabs>
        <w:tab w:val="clear" w:pos="283"/>
        <w:tab w:val="num" w:pos="567"/>
      </w:tabs>
      <w:ind w:left="567" w:hanging="567"/>
    </w:pPr>
  </w:style>
  <w:style w:type="paragraph" w:customStyle="1" w:styleId="BoxDash">
    <w:name w:val="Box Dash"/>
    <w:basedOn w:val="Normal"/>
    <w:rsid w:val="00E8459F"/>
    <w:pPr>
      <w:numPr>
        <w:ilvl w:val="1"/>
        <w:numId w:val="9"/>
      </w:numPr>
      <w:tabs>
        <w:tab w:val="clear" w:pos="567"/>
        <w:tab w:val="left" w:pos="1134"/>
      </w:tabs>
      <w:ind w:left="1134" w:hanging="567"/>
    </w:pPr>
  </w:style>
  <w:style w:type="paragraph" w:customStyle="1" w:styleId="BoxDoubleDot">
    <w:name w:val="Box Double Dot"/>
    <w:basedOn w:val="BoxTextBase"/>
    <w:rsid w:val="00E8459F"/>
    <w:pPr>
      <w:numPr>
        <w:ilvl w:val="2"/>
        <w:numId w:val="9"/>
      </w:numPr>
      <w:tabs>
        <w:tab w:val="clear" w:pos="850"/>
        <w:tab w:val="left" w:pos="1134"/>
      </w:tabs>
      <w:ind w:left="1701" w:hanging="567"/>
    </w:pPr>
  </w:style>
  <w:style w:type="paragraph" w:customStyle="1" w:styleId="RecommendationBullet">
    <w:name w:val="Recommendation Bullet"/>
    <w:basedOn w:val="RecommendationTextBase"/>
    <w:rsid w:val="00E8459F"/>
    <w:pPr>
      <w:numPr>
        <w:numId w:val="11"/>
      </w:numPr>
      <w:tabs>
        <w:tab w:val="clear" w:pos="283"/>
        <w:tab w:val="num" w:pos="567"/>
      </w:tabs>
      <w:ind w:left="567" w:hanging="567"/>
    </w:pPr>
  </w:style>
  <w:style w:type="paragraph" w:customStyle="1" w:styleId="RecommendationDash">
    <w:name w:val="Recommendation Dash"/>
    <w:basedOn w:val="RecommendationTextBase"/>
    <w:rsid w:val="00E8459F"/>
    <w:pPr>
      <w:numPr>
        <w:ilvl w:val="1"/>
        <w:numId w:val="11"/>
      </w:numPr>
      <w:tabs>
        <w:tab w:val="clear" w:pos="567"/>
        <w:tab w:val="left" w:pos="1134"/>
      </w:tabs>
      <w:ind w:left="1134" w:hanging="567"/>
    </w:pPr>
  </w:style>
  <w:style w:type="paragraph" w:customStyle="1" w:styleId="RecommendationDoubleDot">
    <w:name w:val="Recommendation Double Dot"/>
    <w:basedOn w:val="RecommendationTextBase"/>
    <w:rsid w:val="00E8459F"/>
    <w:pPr>
      <w:numPr>
        <w:ilvl w:val="2"/>
        <w:numId w:val="11"/>
      </w:numPr>
      <w:tabs>
        <w:tab w:val="clear" w:pos="850"/>
        <w:tab w:val="left" w:pos="1134"/>
      </w:tabs>
      <w:ind w:left="1701" w:hanging="567"/>
    </w:pPr>
  </w:style>
  <w:style w:type="paragraph" w:customStyle="1" w:styleId="Casestudysourcenote">
    <w:name w:val="Case study source note"/>
    <w:basedOn w:val="HeadingBase"/>
    <w:rsid w:val="00E8459F"/>
    <w:pPr>
      <w:jc w:val="both"/>
    </w:pPr>
    <w:rPr>
      <w:sz w:val="16"/>
      <w:szCs w:val="16"/>
    </w:rPr>
  </w:style>
  <w:style w:type="paragraph" w:customStyle="1" w:styleId="Recommendationalpha">
    <w:name w:val="Recommendation alpha"/>
    <w:basedOn w:val="RecommendationTextBase"/>
    <w:rsid w:val="00E8459F"/>
    <w:pPr>
      <w:numPr>
        <w:numId w:val="13"/>
      </w:numPr>
      <w:tabs>
        <w:tab w:val="left" w:pos="567"/>
      </w:tabs>
      <w:ind w:left="567" w:hanging="567"/>
    </w:pPr>
  </w:style>
  <w:style w:type="paragraph" w:customStyle="1" w:styleId="Recommendationindent">
    <w:name w:val="Recommendation indent"/>
    <w:basedOn w:val="RecommendationTextBase"/>
    <w:rsid w:val="00E8459F"/>
    <w:pPr>
      <w:ind w:left="567"/>
    </w:pPr>
  </w:style>
  <w:style w:type="paragraph" w:customStyle="1" w:styleId="Recommendationromannumeral">
    <w:name w:val="Recommendation roman numeral"/>
    <w:basedOn w:val="RecommendationTextBase"/>
    <w:rsid w:val="00E8459F"/>
    <w:pPr>
      <w:numPr>
        <w:numId w:val="14"/>
      </w:numPr>
    </w:pPr>
  </w:style>
  <w:style w:type="paragraph" w:customStyle="1" w:styleId="CoverTitleSub2">
    <w:name w:val="Cover Title Sub 2"/>
    <w:basedOn w:val="HeadingBase"/>
    <w:rsid w:val="00E8459F"/>
    <w:pPr>
      <w:spacing w:after="120" w:line="420" w:lineRule="exact"/>
      <w:jc w:val="center"/>
    </w:pPr>
    <w:rPr>
      <w:sz w:val="28"/>
      <w:szCs w:val="28"/>
    </w:rPr>
  </w:style>
  <w:style w:type="character" w:styleId="FootnoteReference">
    <w:name w:val="footnote reference"/>
    <w:basedOn w:val="DefaultParagraphFont"/>
    <w:rsid w:val="00E8459F"/>
    <w:rPr>
      <w:sz w:val="20"/>
      <w:szCs w:val="20"/>
      <w:vertAlign w:val="superscript"/>
    </w:rPr>
  </w:style>
  <w:style w:type="paragraph" w:styleId="FootnoteText">
    <w:name w:val="footnote text"/>
    <w:basedOn w:val="Normal"/>
    <w:link w:val="FootnoteTextChar"/>
    <w:rsid w:val="00E8459F"/>
    <w:pPr>
      <w:tabs>
        <w:tab w:val="left" w:pos="567"/>
      </w:tabs>
      <w:spacing w:after="0" w:line="240" w:lineRule="auto"/>
      <w:ind w:left="567" w:hanging="567"/>
    </w:pPr>
    <w:rPr>
      <w:sz w:val="18"/>
      <w:szCs w:val="18"/>
    </w:rPr>
  </w:style>
  <w:style w:type="table" w:styleId="TableContemporary">
    <w:name w:val="Table Contemporary"/>
    <w:basedOn w:val="TableNormal"/>
    <w:rsid w:val="00E8459F"/>
    <w:pPr>
      <w:spacing w:after="240" w:line="300" w:lineRule="exact"/>
      <w:jc w:val="both"/>
    </w:pPr>
    <w:rPr>
      <w:rFonts w:ascii="Calibri" w:hAnsi="Calibri"/>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Bolditalic">
    <w:name w:val="Bold italic"/>
    <w:basedOn w:val="DefaultParagraphFont"/>
    <w:rsid w:val="00E8459F"/>
    <w:rPr>
      <w:b/>
      <w:i/>
    </w:rPr>
  </w:style>
  <w:style w:type="paragraph" w:customStyle="1" w:styleId="Graphic">
    <w:name w:val="Graphic"/>
    <w:basedOn w:val="Normal"/>
    <w:rsid w:val="00E8459F"/>
    <w:pPr>
      <w:spacing w:after="0" w:line="240" w:lineRule="auto"/>
      <w:jc w:val="center"/>
    </w:pPr>
  </w:style>
  <w:style w:type="paragraph" w:customStyle="1" w:styleId="Casestudybullet">
    <w:name w:val="Case study bullet"/>
    <w:basedOn w:val="Casestudytext"/>
    <w:rsid w:val="00894823"/>
    <w:pPr>
      <w:numPr>
        <w:numId w:val="27"/>
      </w:numPr>
    </w:pPr>
  </w:style>
  <w:style w:type="paragraph" w:customStyle="1" w:styleId="Casestudyheading2">
    <w:name w:val="Case study heading 2"/>
    <w:basedOn w:val="HeadingBase"/>
    <w:rsid w:val="00E8459F"/>
    <w:pPr>
      <w:spacing w:after="120"/>
    </w:pPr>
    <w:rPr>
      <w:i/>
    </w:rPr>
  </w:style>
  <w:style w:type="paragraph" w:customStyle="1" w:styleId="Normalindentitalics">
    <w:name w:val="Normal indent italics"/>
    <w:basedOn w:val="NormalIndent"/>
    <w:rsid w:val="00E8459F"/>
    <w:pPr>
      <w:tabs>
        <w:tab w:val="left" w:pos="1134"/>
      </w:tabs>
    </w:pPr>
    <w:rPr>
      <w:i/>
      <w:szCs w:val="20"/>
    </w:rPr>
  </w:style>
  <w:style w:type="paragraph" w:customStyle="1" w:styleId="NormalIndentbold">
    <w:name w:val="Normal Indent bold"/>
    <w:basedOn w:val="Normal"/>
    <w:rsid w:val="00E8459F"/>
    <w:pPr>
      <w:tabs>
        <w:tab w:val="left" w:pos="1134"/>
      </w:tabs>
      <w:spacing w:after="0"/>
      <w:ind w:left="567"/>
    </w:pPr>
    <w:rPr>
      <w:b/>
      <w:sz w:val="20"/>
      <w:szCs w:val="20"/>
    </w:rPr>
  </w:style>
  <w:style w:type="character" w:customStyle="1" w:styleId="Italics">
    <w:name w:val="Italics"/>
    <w:basedOn w:val="DefaultParagraphFont"/>
    <w:rsid w:val="00E8459F"/>
    <w:rPr>
      <w:i/>
    </w:rPr>
  </w:style>
  <w:style w:type="paragraph" w:customStyle="1" w:styleId="Romannumeral">
    <w:name w:val="Roman numeral"/>
    <w:basedOn w:val="Normal"/>
    <w:rsid w:val="00E8459F"/>
    <w:pPr>
      <w:numPr>
        <w:numId w:val="35"/>
      </w:numPr>
    </w:pPr>
  </w:style>
  <w:style w:type="paragraph" w:styleId="Title">
    <w:name w:val="Title"/>
    <w:basedOn w:val="Normal"/>
    <w:next w:val="Normal"/>
    <w:link w:val="TitleChar"/>
    <w:qFormat/>
    <w:rsid w:val="00E8459F"/>
    <w:pPr>
      <w:spacing w:line="240" w:lineRule="auto"/>
      <w:jc w:val="center"/>
    </w:pPr>
    <w:rPr>
      <w:b/>
      <w:caps/>
      <w:color w:val="3F6294"/>
      <w:sz w:val="56"/>
    </w:rPr>
  </w:style>
  <w:style w:type="character" w:customStyle="1" w:styleId="TitleChar">
    <w:name w:val="Title Char"/>
    <w:basedOn w:val="DefaultParagraphFont"/>
    <w:link w:val="Title"/>
    <w:rsid w:val="00E8459F"/>
    <w:rPr>
      <w:rFonts w:ascii="Calibri" w:hAnsi="Calibri"/>
      <w:b/>
      <w:caps/>
      <w:color w:val="3F6294"/>
      <w:sz w:val="56"/>
      <w:szCs w:val="22"/>
    </w:rPr>
  </w:style>
  <w:style w:type="character" w:customStyle="1" w:styleId="BulletChar">
    <w:name w:val="Bullet Char"/>
    <w:basedOn w:val="DefaultParagraphFont"/>
    <w:link w:val="Bullet"/>
    <w:locked/>
    <w:rsid w:val="002F3238"/>
    <w:rPr>
      <w:rFonts w:ascii="Calibri" w:hAnsi="Calibri"/>
      <w:sz w:val="22"/>
      <w:szCs w:val="22"/>
    </w:rPr>
  </w:style>
  <w:style w:type="character" w:customStyle="1" w:styleId="DashChar">
    <w:name w:val="Dash Char"/>
    <w:basedOn w:val="DefaultParagraphFont"/>
    <w:link w:val="Dash"/>
    <w:rsid w:val="002F3238"/>
    <w:rPr>
      <w:rFonts w:ascii="Calibri" w:hAnsi="Calibri"/>
      <w:sz w:val="22"/>
      <w:szCs w:val="22"/>
    </w:rPr>
  </w:style>
  <w:style w:type="character" w:styleId="CommentReference">
    <w:name w:val="annotation reference"/>
    <w:basedOn w:val="DefaultParagraphFont"/>
    <w:rsid w:val="00D62556"/>
    <w:rPr>
      <w:sz w:val="16"/>
      <w:szCs w:val="16"/>
    </w:rPr>
  </w:style>
  <w:style w:type="paragraph" w:styleId="CommentText">
    <w:name w:val="annotation text"/>
    <w:basedOn w:val="Normal"/>
    <w:link w:val="CommentTextChar"/>
    <w:rsid w:val="00D62556"/>
    <w:pPr>
      <w:spacing w:line="240" w:lineRule="auto"/>
    </w:pPr>
    <w:rPr>
      <w:sz w:val="20"/>
      <w:szCs w:val="20"/>
    </w:rPr>
  </w:style>
  <w:style w:type="character" w:customStyle="1" w:styleId="CommentTextChar">
    <w:name w:val="Comment Text Char"/>
    <w:basedOn w:val="DefaultParagraphFont"/>
    <w:link w:val="CommentText"/>
    <w:rsid w:val="00D62556"/>
    <w:rPr>
      <w:rFonts w:ascii="Book Antiqua" w:hAnsi="Book Antiqua"/>
      <w:color w:val="000000"/>
    </w:rPr>
  </w:style>
  <w:style w:type="paragraph" w:styleId="CommentSubject">
    <w:name w:val="annotation subject"/>
    <w:basedOn w:val="CommentText"/>
    <w:next w:val="CommentText"/>
    <w:link w:val="CommentSubjectChar"/>
    <w:rsid w:val="00D62556"/>
    <w:rPr>
      <w:b/>
      <w:bCs/>
    </w:rPr>
  </w:style>
  <w:style w:type="character" w:customStyle="1" w:styleId="CommentSubjectChar">
    <w:name w:val="Comment Subject Char"/>
    <w:basedOn w:val="CommentTextChar"/>
    <w:link w:val="CommentSubject"/>
    <w:rsid w:val="00D62556"/>
    <w:rPr>
      <w:rFonts w:ascii="Book Antiqua" w:hAnsi="Book Antiqua"/>
      <w:b/>
      <w:bCs/>
      <w:color w:val="000000"/>
    </w:rPr>
  </w:style>
  <w:style w:type="paragraph" w:styleId="BalloonText">
    <w:name w:val="Balloon Text"/>
    <w:basedOn w:val="Normal"/>
    <w:link w:val="BalloonTextChar"/>
    <w:rsid w:val="00E845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8459F"/>
    <w:rPr>
      <w:rFonts w:ascii="Tahoma" w:hAnsi="Tahoma" w:cs="Tahoma"/>
      <w:sz w:val="16"/>
      <w:szCs w:val="16"/>
    </w:rPr>
  </w:style>
  <w:style w:type="character" w:customStyle="1" w:styleId="FootnoteTextChar">
    <w:name w:val="Footnote Text Char"/>
    <w:basedOn w:val="DefaultParagraphFont"/>
    <w:link w:val="FootnoteText"/>
    <w:rsid w:val="00D62556"/>
    <w:rPr>
      <w:rFonts w:ascii="Calibri" w:hAnsi="Calibri"/>
      <w:sz w:val="18"/>
      <w:szCs w:val="18"/>
    </w:rPr>
  </w:style>
  <w:style w:type="paragraph" w:styleId="Subtitle">
    <w:name w:val="Subtitle"/>
    <w:basedOn w:val="Normal"/>
    <w:next w:val="Normal"/>
    <w:link w:val="SubtitleChar"/>
    <w:qFormat/>
    <w:rsid w:val="003130F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3130FD"/>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qFormat/>
    <w:rsid w:val="003130FD"/>
    <w:rPr>
      <w:b/>
      <w:bCs/>
    </w:rPr>
  </w:style>
  <w:style w:type="paragraph" w:styleId="TOCHeading">
    <w:name w:val="TOC Heading"/>
    <w:basedOn w:val="Heading1"/>
    <w:next w:val="Normal"/>
    <w:uiPriority w:val="39"/>
    <w:semiHidden/>
    <w:unhideWhenUsed/>
    <w:qFormat/>
    <w:rsid w:val="00711DBA"/>
    <w:pPr>
      <w:keepLines/>
      <w:pBdr>
        <w:bottom w:val="none" w:sz="0" w:space="0" w:color="auto"/>
      </w:pBdr>
      <w:spacing w:before="480" w:after="0" w:line="276" w:lineRule="auto"/>
      <w:outlineLvl w:val="9"/>
    </w:pPr>
    <w:rPr>
      <w:rFonts w:asciiTheme="majorHAnsi" w:eastAsiaTheme="majorEastAsia" w:hAnsiTheme="majorHAnsi" w:cstheme="majorBidi"/>
      <w:b/>
      <w:smallCaps w:val="0"/>
      <w:color w:val="365F91" w:themeColor="accent1" w:themeShade="BF"/>
      <w:kern w:val="0"/>
      <w:sz w:val="28"/>
      <w:szCs w:val="28"/>
      <w:lang w:val="en-US" w:eastAsia="ja-JP"/>
    </w:rPr>
  </w:style>
  <w:style w:type="paragraph" w:customStyle="1" w:styleId="SecurityClassificationHeader">
    <w:name w:val="Security Classification Header"/>
    <w:link w:val="SecurityClassificationHeaderChar"/>
    <w:rsid w:val="00013E2D"/>
    <w:pPr>
      <w:spacing w:before="240" w:after="60"/>
      <w:jc w:val="center"/>
    </w:pPr>
    <w:rPr>
      <w:rFonts w:ascii="Calibri" w:hAnsi="Calibri"/>
      <w:b/>
      <w:caps/>
      <w:color w:val="000080"/>
      <w:sz w:val="24"/>
      <w:szCs w:val="22"/>
    </w:rPr>
  </w:style>
  <w:style w:type="character" w:customStyle="1" w:styleId="HeadingBaseChar">
    <w:name w:val="Heading Base Char"/>
    <w:basedOn w:val="DefaultParagraphFont"/>
    <w:link w:val="HeadingBase"/>
    <w:rsid w:val="00013E2D"/>
    <w:rPr>
      <w:rFonts w:ascii="Calibri" w:hAnsi="Calibri"/>
      <w:color w:val="000080"/>
      <w:sz w:val="22"/>
      <w:szCs w:val="22"/>
    </w:rPr>
  </w:style>
  <w:style w:type="character" w:customStyle="1" w:styleId="HeaderChar">
    <w:name w:val="Header Char"/>
    <w:basedOn w:val="HeadingBaseChar"/>
    <w:link w:val="Header"/>
    <w:rsid w:val="00013E2D"/>
    <w:rPr>
      <w:rFonts w:ascii="Calibri" w:hAnsi="Calibri"/>
      <w:color w:val="000080"/>
      <w:sz w:val="18"/>
      <w:szCs w:val="22"/>
    </w:rPr>
  </w:style>
  <w:style w:type="character" w:customStyle="1" w:styleId="SecurityClassificationHeaderChar">
    <w:name w:val="Security Classification Header Char"/>
    <w:basedOn w:val="HeaderChar"/>
    <w:link w:val="SecurityClassificationHeader"/>
    <w:rsid w:val="00013E2D"/>
    <w:rPr>
      <w:rFonts w:ascii="Calibri" w:hAnsi="Calibri"/>
      <w:b/>
      <w:caps/>
      <w:color w:val="000080"/>
      <w:sz w:val="24"/>
      <w:szCs w:val="22"/>
    </w:rPr>
  </w:style>
  <w:style w:type="paragraph" w:customStyle="1" w:styleId="SecurityClassificationFooter">
    <w:name w:val="Security Classification Footer"/>
    <w:link w:val="SecurityClassificationFooterChar"/>
    <w:rsid w:val="00013E2D"/>
    <w:pPr>
      <w:spacing w:before="60" w:after="240"/>
      <w:jc w:val="center"/>
    </w:pPr>
    <w:rPr>
      <w:rFonts w:ascii="Calibri" w:hAnsi="Calibri"/>
      <w:b/>
      <w:caps/>
      <w:color w:val="000080"/>
      <w:sz w:val="24"/>
      <w:szCs w:val="22"/>
    </w:rPr>
  </w:style>
  <w:style w:type="character" w:customStyle="1" w:styleId="SecurityClassificationFooterChar">
    <w:name w:val="Security Classification Footer Char"/>
    <w:basedOn w:val="HeaderChar"/>
    <w:link w:val="SecurityClassificationFooter"/>
    <w:rsid w:val="00013E2D"/>
    <w:rPr>
      <w:rFonts w:ascii="Calibri" w:hAnsi="Calibri"/>
      <w:b/>
      <w:caps/>
      <w:color w:val="000080"/>
      <w:sz w:val="24"/>
      <w:szCs w:val="22"/>
    </w:rPr>
  </w:style>
  <w:style w:type="paragraph" w:customStyle="1" w:styleId="DLMSecurityHeader">
    <w:name w:val="DLM Security Header"/>
    <w:link w:val="DLMSecurityHeaderChar"/>
    <w:rsid w:val="00013E2D"/>
    <w:pPr>
      <w:spacing w:before="60" w:after="240"/>
      <w:jc w:val="center"/>
    </w:pPr>
    <w:rPr>
      <w:rFonts w:ascii="Calibri" w:hAnsi="Calibri"/>
      <w:b/>
      <w:caps/>
      <w:color w:val="000080"/>
      <w:sz w:val="24"/>
      <w:szCs w:val="22"/>
    </w:rPr>
  </w:style>
  <w:style w:type="character" w:customStyle="1" w:styleId="DLMSecurityHeaderChar">
    <w:name w:val="DLM Security Header Char"/>
    <w:basedOn w:val="HeaderChar"/>
    <w:link w:val="DLMSecurityHeader"/>
    <w:rsid w:val="00013E2D"/>
    <w:rPr>
      <w:rFonts w:ascii="Calibri" w:hAnsi="Calibri"/>
      <w:b/>
      <w:caps/>
      <w:color w:val="000080"/>
      <w:sz w:val="24"/>
      <w:szCs w:val="22"/>
    </w:rPr>
  </w:style>
  <w:style w:type="paragraph" w:customStyle="1" w:styleId="DLMSecurityFooter">
    <w:name w:val="DLM Security Footer"/>
    <w:link w:val="DLMSecurityFooterChar"/>
    <w:rsid w:val="00013E2D"/>
    <w:pPr>
      <w:spacing w:before="240" w:after="60"/>
      <w:jc w:val="center"/>
    </w:pPr>
    <w:rPr>
      <w:rFonts w:ascii="Calibri" w:hAnsi="Calibri"/>
      <w:b/>
      <w:caps/>
      <w:color w:val="000080"/>
      <w:sz w:val="24"/>
      <w:szCs w:val="22"/>
    </w:rPr>
  </w:style>
  <w:style w:type="character" w:customStyle="1" w:styleId="DLMSecurityFooterChar">
    <w:name w:val="DLM Security Footer Char"/>
    <w:basedOn w:val="HeaderChar"/>
    <w:link w:val="DLMSecurityFooter"/>
    <w:rsid w:val="00013E2D"/>
    <w:rPr>
      <w:rFonts w:ascii="Calibri" w:hAnsi="Calibri"/>
      <w:b/>
      <w:caps/>
      <w:color w:val="000080"/>
      <w:sz w:val="24"/>
      <w:szCs w:val="22"/>
    </w:rPr>
  </w:style>
  <w:style w:type="character" w:customStyle="1" w:styleId="OutlineNumbered1Char">
    <w:name w:val="Outline Numbered 1 Char"/>
    <w:basedOn w:val="BulletChar"/>
    <w:link w:val="OutlineNumbered1"/>
    <w:rsid w:val="00E026E9"/>
    <w:rPr>
      <w:rFonts w:ascii="Calibri" w:hAnsi="Calibri"/>
      <w:sz w:val="22"/>
      <w:szCs w:val="22"/>
    </w:rPr>
  </w:style>
  <w:style w:type="table" w:styleId="TableGrid">
    <w:name w:val="Table Grid"/>
    <w:basedOn w:val="TableNormal"/>
    <w:rsid w:val="00E8459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026E9"/>
    <w:rPr>
      <w:rFonts w:ascii="Book Antiqua" w:hAnsi="Book Antiqua"/>
      <w:color w:val="000000"/>
      <w:sz w:val="22"/>
      <w:szCs w:val="22"/>
    </w:rPr>
  </w:style>
  <w:style w:type="paragraph" w:customStyle="1" w:styleId="PreChapterHeading">
    <w:name w:val="PreChapterHeading"/>
    <w:basedOn w:val="HeadingBase"/>
    <w:next w:val="Normal"/>
    <w:rsid w:val="005C2127"/>
    <w:pPr>
      <w:pageBreakBefore/>
      <w:pBdr>
        <w:bottom w:val="single" w:sz="2" w:space="1" w:color="000080"/>
      </w:pBdr>
      <w:spacing w:before="720" w:after="800"/>
    </w:pPr>
    <w:rPr>
      <w:smallCaps/>
      <w:sz w:val="56"/>
      <w:szCs w:val="38"/>
    </w:rPr>
  </w:style>
  <w:style w:type="paragraph" w:customStyle="1" w:styleId="KeyPointsHeading">
    <w:name w:val="Key Points Heading"/>
    <w:basedOn w:val="BoxHeading"/>
    <w:qFormat/>
    <w:rsid w:val="00E8459F"/>
    <w:rPr>
      <w:color w:val="404040"/>
    </w:rPr>
  </w:style>
  <w:style w:type="paragraph" w:customStyle="1" w:styleId="NewNumberedParagraph">
    <w:name w:val="New Numbered Paragraph"/>
    <w:basedOn w:val="Bullet"/>
    <w:qFormat/>
    <w:rsid w:val="00E8459F"/>
    <w:pPr>
      <w:numPr>
        <w:ilvl w:val="1"/>
        <w:numId w:val="50"/>
      </w:numPr>
      <w:outlineLvl w:val="1"/>
    </w:pPr>
  </w:style>
  <w:style w:type="paragraph" w:customStyle="1" w:styleId="NewNumberedParagraph2">
    <w:name w:val="New Numbered Paragraph 2"/>
    <w:basedOn w:val="Dash"/>
    <w:qFormat/>
    <w:rsid w:val="00E8459F"/>
    <w:pPr>
      <w:numPr>
        <w:ilvl w:val="2"/>
        <w:numId w:val="50"/>
      </w:numPr>
      <w:ind w:left="1134" w:hanging="567"/>
    </w:pPr>
  </w:style>
  <w:style w:type="paragraph" w:customStyle="1" w:styleId="NewNumberedParagraph3">
    <w:name w:val="New Numbered Paragraph 3"/>
    <w:basedOn w:val="DoubleDot"/>
    <w:qFormat/>
    <w:rsid w:val="00E8459F"/>
    <w:pPr>
      <w:numPr>
        <w:ilvl w:val="3"/>
        <w:numId w:val="50"/>
      </w:numPr>
      <w:ind w:left="1701" w:hanging="567"/>
    </w:pPr>
  </w:style>
  <w:style w:type="paragraph" w:customStyle="1" w:styleId="NewNumberedParagraph4">
    <w:name w:val="New Numbered Paragraph 4"/>
    <w:basedOn w:val="Normal"/>
    <w:qFormat/>
    <w:rsid w:val="00E8459F"/>
    <w:pPr>
      <w:numPr>
        <w:ilvl w:val="4"/>
        <w:numId w:val="50"/>
      </w:numPr>
      <w:tabs>
        <w:tab w:val="left" w:pos="2268"/>
      </w:tabs>
      <w:ind w:left="2268" w:hanging="567"/>
    </w:pPr>
  </w:style>
  <w:style w:type="paragraph" w:customStyle="1" w:styleId="NewNumberedParagraph5">
    <w:name w:val="New Numbered Paragraph 5"/>
    <w:basedOn w:val="Normal"/>
    <w:qFormat/>
    <w:rsid w:val="00E8459F"/>
    <w:pPr>
      <w:numPr>
        <w:ilvl w:val="5"/>
        <w:numId w:val="50"/>
      </w:numPr>
      <w:tabs>
        <w:tab w:val="left" w:pos="2835"/>
      </w:tabs>
      <w:ind w:left="2835" w:hanging="567"/>
    </w:pPr>
  </w:style>
  <w:style w:type="table" w:customStyle="1" w:styleId="Headingsonfirstcolumnandrow">
    <w:name w:val="Headings on first column and row"/>
    <w:basedOn w:val="TableNormal"/>
    <w:uiPriority w:val="99"/>
    <w:rsid w:val="00E8459F"/>
    <w:rPr>
      <w:rFonts w:asciiTheme="minorHAnsi" w:hAnsiTheme="minorHAnsi"/>
      <w:sz w:val="22"/>
      <w:szCs w:val="22"/>
    </w:rPr>
    <w:tblPr>
      <w:tblStyleRowBandSize w:val="1"/>
      <w:tblBorders>
        <w:top w:val="single" w:sz="4" w:space="0" w:color="3F6294"/>
        <w:left w:val="single" w:sz="4" w:space="0" w:color="3F6294"/>
        <w:bottom w:val="single" w:sz="4" w:space="0" w:color="3F6294"/>
        <w:right w:val="single" w:sz="4" w:space="0" w:color="3F6294"/>
      </w:tblBorders>
    </w:tblPr>
    <w:trPr>
      <w:cantSplit/>
    </w:trPr>
    <w:tcPr>
      <w:shd w:val="clear" w:color="auto" w:fill="C2DAEB"/>
    </w:tcPr>
    <w:tblStylePr w:type="firstRow">
      <w:rPr>
        <w:rFonts w:ascii="Arial" w:hAnsi="Arial"/>
        <w:color w:val="FFFFFF" w:themeColor="background1"/>
        <w:sz w:val="22"/>
      </w:rPr>
      <w:tblPr/>
      <w:trPr>
        <w:tblHeader/>
      </w:trPr>
      <w:tcPr>
        <w:shd w:val="clear" w:color="auto" w:fill="3F6294"/>
      </w:tcPr>
    </w:tblStylePr>
    <w:tblStylePr w:type="firstCol">
      <w:rPr>
        <w:rFonts w:ascii="Arial" w:hAnsi="Arial"/>
        <w:color w:val="FFFFFF" w:themeColor="background1"/>
        <w:sz w:val="22"/>
      </w:rPr>
      <w:tblPr/>
      <w:tcPr>
        <w:shd w:val="clear" w:color="auto" w:fill="3F6294"/>
      </w:tcPr>
    </w:tblStylePr>
    <w:tblStylePr w:type="band1Horz">
      <w:tblPr/>
      <w:tcPr>
        <w:shd w:val="clear" w:color="auto" w:fill="FFFFFF" w:themeFill="background1"/>
      </w:tcPr>
    </w:tblStylePr>
    <w:tblStylePr w:type="band2Horz">
      <w:tblPr/>
      <w:tcPr>
        <w:shd w:val="clear" w:color="auto" w:fill="DBE5F1" w:themeFill="accent1" w:themeFillTint="33"/>
      </w:tcPr>
    </w:tblStylePr>
  </w:style>
  <w:style w:type="table" w:customStyle="1" w:styleId="HeadingsAboveOnly">
    <w:name w:val="Headings Above Only"/>
    <w:basedOn w:val="TableNormal"/>
    <w:uiPriority w:val="99"/>
    <w:rsid w:val="00E8459F"/>
    <w:rPr>
      <w:rFonts w:asciiTheme="minorHAnsi" w:hAnsiTheme="minorHAnsi"/>
      <w:sz w:val="22"/>
      <w:szCs w:val="22"/>
    </w:rPr>
    <w:tblPr>
      <w:tblStyleRowBandSize w:val="1"/>
      <w:tblBorders>
        <w:top w:val="single" w:sz="4" w:space="0" w:color="3F6294"/>
        <w:left w:val="single" w:sz="4" w:space="0" w:color="3F6294"/>
        <w:bottom w:val="single" w:sz="4" w:space="0" w:color="3F6294"/>
        <w:right w:val="single" w:sz="4" w:space="0" w:color="3F6294"/>
      </w:tblBorders>
    </w:tblPr>
    <w:trPr>
      <w:cantSplit/>
    </w:trPr>
    <w:tcPr>
      <w:shd w:val="clear" w:color="auto" w:fill="C2DAEB"/>
    </w:tcPr>
    <w:tblStylePr w:type="firstRow">
      <w:rPr>
        <w:rFonts w:ascii="Arial" w:hAnsi="Arial"/>
        <w:color w:val="FFFFFF" w:themeColor="background1"/>
        <w:sz w:val="22"/>
      </w:rPr>
      <w:tblPr/>
      <w:trPr>
        <w:tblHeader/>
      </w:trPr>
      <w:tcPr>
        <w:shd w:val="clear" w:color="auto" w:fill="3F6294"/>
      </w:tcPr>
    </w:tblStylePr>
    <w:tblStylePr w:type="band1Horz">
      <w:tblPr/>
      <w:tcPr>
        <w:shd w:val="clear" w:color="auto" w:fill="FFFFFF" w:themeFill="background1"/>
      </w:tcPr>
    </w:tblStylePr>
    <w:tblStylePr w:type="band2Horz">
      <w:tblPr/>
      <w:tcPr>
        <w:shd w:val="clear" w:color="auto" w:fill="DBE5F1" w:themeFill="accent1" w:themeFillTint="33"/>
      </w:tcPr>
    </w:tblStylePr>
  </w:style>
  <w:style w:type="paragraph" w:styleId="ListParagraph">
    <w:name w:val="List Paragraph"/>
    <w:basedOn w:val="Normal"/>
    <w:uiPriority w:val="34"/>
    <w:qFormat/>
    <w:rsid w:val="00E8459F"/>
    <w:pPr>
      <w:ind w:left="720"/>
      <w:contextualSpacing/>
    </w:pPr>
  </w:style>
  <w:style w:type="character" w:customStyle="1" w:styleId="FooterChar">
    <w:name w:val="Footer Char"/>
    <w:basedOn w:val="DefaultParagraphFont"/>
    <w:link w:val="Footer"/>
    <w:rsid w:val="00524A64"/>
    <w:rPr>
      <w:rFonts w:ascii="Calibri" w:hAnsi="Calibri"/>
      <w:color w:val="000080"/>
      <w:sz w:val="18"/>
      <w:szCs w:val="22"/>
    </w:rPr>
  </w:style>
  <w:style w:type="character" w:styleId="FollowedHyperlink">
    <w:name w:val="FollowedHyperlink"/>
    <w:basedOn w:val="DefaultParagraphFont"/>
    <w:rsid w:val="0089389C"/>
    <w:rPr>
      <w:color w:val="800080" w:themeColor="followedHyperlink"/>
      <w:u w:val="single"/>
    </w:rPr>
  </w:style>
  <w:style w:type="paragraph" w:customStyle="1" w:styleId="Non-ChapterHeading">
    <w:name w:val="Non-Chapter Heading"/>
    <w:basedOn w:val="HeadingBase"/>
    <w:next w:val="Normal"/>
    <w:rsid w:val="00E8459F"/>
    <w:pPr>
      <w:pageBreakBefore/>
      <w:pBdr>
        <w:bottom w:val="single" w:sz="2" w:space="1" w:color="000080"/>
      </w:pBdr>
      <w:spacing w:before="360" w:after="360"/>
    </w:pPr>
    <w:rPr>
      <w:smallCaps/>
      <w:sz w:val="56"/>
      <w:szCs w:val="38"/>
    </w:rPr>
  </w:style>
  <w:style w:type="paragraph" w:styleId="Quote">
    <w:name w:val="Quote"/>
    <w:basedOn w:val="Normal"/>
    <w:next w:val="Normal"/>
    <w:link w:val="QuoteChar"/>
    <w:uiPriority w:val="29"/>
    <w:qFormat/>
    <w:rsid w:val="00E8459F"/>
    <w:rPr>
      <w:i/>
      <w:iCs/>
      <w:color w:val="000000" w:themeColor="text1"/>
    </w:rPr>
  </w:style>
  <w:style w:type="character" w:customStyle="1" w:styleId="QuoteChar">
    <w:name w:val="Quote Char"/>
    <w:basedOn w:val="DefaultParagraphFont"/>
    <w:link w:val="Quote"/>
    <w:uiPriority w:val="29"/>
    <w:rsid w:val="00E8459F"/>
    <w:rPr>
      <w:rFonts w:ascii="Calibri" w:hAnsi="Calibri"/>
      <w:i/>
      <w:iCs/>
      <w:color w:val="000000" w:themeColor="text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59F"/>
    <w:pPr>
      <w:spacing w:after="240" w:line="300" w:lineRule="exact"/>
      <w:jc w:val="both"/>
    </w:pPr>
    <w:rPr>
      <w:rFonts w:ascii="Calibri" w:hAnsi="Calibri"/>
      <w:sz w:val="22"/>
      <w:szCs w:val="22"/>
    </w:rPr>
  </w:style>
  <w:style w:type="paragraph" w:styleId="Heading1">
    <w:name w:val="heading 1"/>
    <w:basedOn w:val="HeadingBase"/>
    <w:next w:val="Normal"/>
    <w:qFormat/>
    <w:rsid w:val="00E8459F"/>
    <w:pPr>
      <w:keepNext/>
      <w:pageBreakBefore/>
      <w:numPr>
        <w:numId w:val="50"/>
      </w:numPr>
      <w:pBdr>
        <w:bottom w:val="single" w:sz="2" w:space="1" w:color="000080"/>
      </w:pBdr>
      <w:spacing w:before="360" w:after="360"/>
      <w:outlineLvl w:val="0"/>
    </w:pPr>
    <w:rPr>
      <w:rFonts w:cs="Arial"/>
      <w:bCs/>
      <w:smallCaps/>
      <w:kern w:val="32"/>
      <w:sz w:val="56"/>
      <w:szCs w:val="38"/>
    </w:rPr>
  </w:style>
  <w:style w:type="paragraph" w:styleId="Heading2">
    <w:name w:val="heading 2"/>
    <w:basedOn w:val="HeadingBase"/>
    <w:next w:val="Normal"/>
    <w:qFormat/>
    <w:rsid w:val="00E8459F"/>
    <w:pPr>
      <w:keepNext/>
      <w:spacing w:before="360" w:after="240"/>
      <w:outlineLvl w:val="1"/>
    </w:pPr>
    <w:rPr>
      <w:rFonts w:asciiTheme="minorHAnsi" w:hAnsiTheme="minorHAnsi" w:cs="Arial"/>
      <w:b/>
      <w:bCs/>
      <w:iCs/>
      <w:color w:val="C00000"/>
      <w:sz w:val="40"/>
      <w:szCs w:val="30"/>
    </w:rPr>
  </w:style>
  <w:style w:type="paragraph" w:styleId="Heading3">
    <w:name w:val="heading 3"/>
    <w:basedOn w:val="HeadingBase"/>
    <w:next w:val="Normal"/>
    <w:qFormat/>
    <w:rsid w:val="00E8459F"/>
    <w:pPr>
      <w:keepNext/>
      <w:spacing w:before="180" w:after="120"/>
      <w:outlineLvl w:val="2"/>
    </w:pPr>
    <w:rPr>
      <w:rFonts w:cs="Arial"/>
      <w:b/>
      <w:bCs/>
      <w:i/>
      <w:sz w:val="32"/>
      <w:szCs w:val="26"/>
    </w:rPr>
  </w:style>
  <w:style w:type="paragraph" w:styleId="Heading4">
    <w:name w:val="heading 4"/>
    <w:basedOn w:val="HeadingBase"/>
    <w:next w:val="Normal"/>
    <w:qFormat/>
    <w:rsid w:val="00E8459F"/>
    <w:pPr>
      <w:keepNext/>
      <w:spacing w:before="120" w:after="120"/>
      <w:outlineLvl w:val="3"/>
    </w:pPr>
    <w:rPr>
      <w:bCs/>
      <w:i/>
      <w:color w:val="C00000"/>
      <w:sz w:val="28"/>
      <w:szCs w:val="23"/>
    </w:rPr>
  </w:style>
  <w:style w:type="paragraph" w:styleId="Heading5">
    <w:name w:val="heading 5"/>
    <w:basedOn w:val="HeadingBase"/>
    <w:next w:val="Normal"/>
    <w:qFormat/>
    <w:rsid w:val="00E8459F"/>
    <w:pPr>
      <w:spacing w:before="160" w:after="80"/>
      <w:outlineLvl w:val="4"/>
    </w:pPr>
    <w:rPr>
      <w:b/>
      <w:bCs/>
      <w:iCs/>
      <w:sz w:val="24"/>
    </w:rPr>
  </w:style>
  <w:style w:type="paragraph" w:styleId="Heading6">
    <w:name w:val="heading 6"/>
    <w:basedOn w:val="HeadingBase"/>
    <w:next w:val="Normal"/>
    <w:qFormat/>
    <w:rsid w:val="00E8459F"/>
    <w:pPr>
      <w:spacing w:after="120"/>
      <w:outlineLvl w:val="5"/>
    </w:pPr>
    <w:rPr>
      <w:bCs/>
      <w:i/>
      <w:sz w:val="24"/>
    </w:rPr>
  </w:style>
  <w:style w:type="paragraph" w:styleId="Heading7">
    <w:name w:val="heading 7"/>
    <w:basedOn w:val="HeadingBase"/>
    <w:next w:val="Normal"/>
    <w:qFormat/>
    <w:rsid w:val="00E8459F"/>
    <w:pPr>
      <w:spacing w:after="120"/>
      <w:outlineLvl w:val="6"/>
    </w:pPr>
    <w:rPr>
      <w:szCs w:val="24"/>
    </w:rPr>
  </w:style>
  <w:style w:type="paragraph" w:styleId="Heading8">
    <w:name w:val="heading 8"/>
    <w:basedOn w:val="HeadingBase"/>
    <w:next w:val="Normal"/>
    <w:qFormat/>
    <w:rsid w:val="00E8459F"/>
    <w:pPr>
      <w:spacing w:after="120"/>
      <w:outlineLvl w:val="7"/>
    </w:pPr>
    <w:rPr>
      <w:iCs/>
      <w:szCs w:val="24"/>
    </w:rPr>
  </w:style>
  <w:style w:type="paragraph" w:styleId="Heading9">
    <w:name w:val="heading 9"/>
    <w:basedOn w:val="HeadingBase"/>
    <w:next w:val="Normal"/>
    <w:qFormat/>
    <w:rsid w:val="00E8459F"/>
    <w:pPr>
      <w:spacing w:after="120"/>
      <w:outlineLvl w:val="8"/>
    </w:pPr>
    <w:rPr>
      <w:rFonts w:cs="Arial"/>
    </w:rPr>
  </w:style>
  <w:style w:type="character" w:default="1" w:styleId="DefaultParagraphFont">
    <w:name w:val="Default Paragraph Font"/>
    <w:uiPriority w:val="1"/>
    <w:semiHidden/>
    <w:unhideWhenUsed/>
    <w:rsid w:val="00E8459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8459F"/>
  </w:style>
  <w:style w:type="paragraph" w:customStyle="1" w:styleId="HeadingBase">
    <w:name w:val="Heading Base"/>
    <w:next w:val="Normal"/>
    <w:link w:val="HeadingBaseChar"/>
    <w:rsid w:val="00E8459F"/>
    <w:rPr>
      <w:rFonts w:ascii="Calibri" w:hAnsi="Calibri"/>
      <w:color w:val="000080"/>
      <w:sz w:val="22"/>
      <w:szCs w:val="22"/>
    </w:rPr>
  </w:style>
  <w:style w:type="paragraph" w:customStyle="1" w:styleId="NumberedParagraph">
    <w:name w:val="Numbered Paragraph"/>
    <w:basedOn w:val="Normal"/>
    <w:rsid w:val="00284F92"/>
    <w:pPr>
      <w:numPr>
        <w:ilvl w:val="1"/>
        <w:numId w:val="36"/>
      </w:numPr>
    </w:pPr>
  </w:style>
  <w:style w:type="paragraph" w:customStyle="1" w:styleId="SingleParagraph">
    <w:name w:val="Single Paragraph"/>
    <w:basedOn w:val="Normal"/>
    <w:rsid w:val="00E8459F"/>
    <w:pPr>
      <w:spacing w:after="0"/>
    </w:pPr>
  </w:style>
  <w:style w:type="character" w:styleId="Hyperlink">
    <w:name w:val="Hyperlink"/>
    <w:basedOn w:val="DefaultParagraphFont"/>
    <w:rsid w:val="00E8459F"/>
    <w:rPr>
      <w:color w:val="0000FF"/>
      <w:u w:val="single"/>
    </w:rPr>
  </w:style>
  <w:style w:type="paragraph" w:customStyle="1" w:styleId="ChapterHeading">
    <w:name w:val="ChapterHeading"/>
    <w:basedOn w:val="HeadingBase"/>
    <w:next w:val="NumberedParagraph"/>
    <w:rsid w:val="00284F92"/>
    <w:pPr>
      <w:numPr>
        <w:numId w:val="36"/>
      </w:numPr>
      <w:pBdr>
        <w:bottom w:val="single" w:sz="2" w:space="1" w:color="000080"/>
      </w:pBdr>
      <w:spacing w:before="720" w:after="800"/>
    </w:pPr>
    <w:rPr>
      <w:smallCaps/>
      <w:sz w:val="38"/>
      <w:szCs w:val="38"/>
    </w:rPr>
  </w:style>
  <w:style w:type="character" w:styleId="PageNumber">
    <w:name w:val="page number"/>
    <w:basedOn w:val="DefaultParagraphFont"/>
    <w:rsid w:val="00E8459F"/>
    <w:rPr>
      <w:rFonts w:ascii="Arial" w:hAnsi="Arial"/>
      <w:sz w:val="18"/>
    </w:rPr>
  </w:style>
  <w:style w:type="paragraph" w:customStyle="1" w:styleId="CaseStudyHeading">
    <w:name w:val="Case Study Heading"/>
    <w:basedOn w:val="HeadingBase"/>
    <w:next w:val="Normal"/>
    <w:rsid w:val="00E8459F"/>
    <w:pPr>
      <w:spacing w:before="120" w:after="240"/>
    </w:pPr>
    <w:rPr>
      <w:b/>
    </w:rPr>
  </w:style>
  <w:style w:type="paragraph" w:customStyle="1" w:styleId="Casestudytext">
    <w:name w:val="Case study text"/>
    <w:basedOn w:val="Normal"/>
    <w:rsid w:val="00894823"/>
    <w:pPr>
      <w:spacing w:line="240" w:lineRule="auto"/>
    </w:pPr>
    <w:rPr>
      <w:color w:val="000080"/>
    </w:rPr>
  </w:style>
  <w:style w:type="paragraph" w:customStyle="1" w:styleId="Bullet">
    <w:name w:val="Bullet"/>
    <w:basedOn w:val="Normal"/>
    <w:link w:val="BulletChar"/>
    <w:rsid w:val="00E8459F"/>
    <w:pPr>
      <w:numPr>
        <w:numId w:val="46"/>
      </w:numPr>
      <w:tabs>
        <w:tab w:val="left" w:pos="567"/>
      </w:tabs>
      <w:ind w:left="567" w:hanging="567"/>
    </w:pPr>
  </w:style>
  <w:style w:type="paragraph" w:customStyle="1" w:styleId="Dash">
    <w:name w:val="Dash"/>
    <w:basedOn w:val="Normal"/>
    <w:link w:val="DashChar"/>
    <w:rsid w:val="00E8459F"/>
    <w:pPr>
      <w:numPr>
        <w:numId w:val="47"/>
      </w:numPr>
      <w:tabs>
        <w:tab w:val="left" w:pos="1134"/>
      </w:tabs>
      <w:ind w:left="1134" w:hanging="567"/>
    </w:pPr>
  </w:style>
  <w:style w:type="paragraph" w:customStyle="1" w:styleId="DoubleDot">
    <w:name w:val="Double Dot"/>
    <w:basedOn w:val="Normal"/>
    <w:rsid w:val="00E8459F"/>
    <w:pPr>
      <w:numPr>
        <w:numId w:val="48"/>
      </w:numPr>
      <w:tabs>
        <w:tab w:val="left" w:pos="1701"/>
      </w:tabs>
      <w:ind w:left="1701" w:hanging="567"/>
    </w:pPr>
  </w:style>
  <w:style w:type="paragraph" w:customStyle="1" w:styleId="OutlineNumbered1">
    <w:name w:val="Outline Numbered 1"/>
    <w:basedOn w:val="Normal"/>
    <w:link w:val="OutlineNumbered1Char"/>
    <w:rsid w:val="00E8459F"/>
    <w:pPr>
      <w:numPr>
        <w:numId w:val="2"/>
      </w:numPr>
    </w:pPr>
  </w:style>
  <w:style w:type="paragraph" w:customStyle="1" w:styleId="OutlineNumbered2">
    <w:name w:val="Outline Numbered 2"/>
    <w:basedOn w:val="Normal"/>
    <w:rsid w:val="00E8459F"/>
    <w:pPr>
      <w:numPr>
        <w:ilvl w:val="1"/>
        <w:numId w:val="2"/>
      </w:numPr>
    </w:pPr>
  </w:style>
  <w:style w:type="paragraph" w:customStyle="1" w:styleId="OutlineNumbered3">
    <w:name w:val="Outline Numbered 3"/>
    <w:basedOn w:val="Normal"/>
    <w:rsid w:val="00E8459F"/>
    <w:pPr>
      <w:numPr>
        <w:ilvl w:val="2"/>
        <w:numId w:val="2"/>
      </w:numPr>
    </w:pPr>
  </w:style>
  <w:style w:type="paragraph" w:customStyle="1" w:styleId="AlphaParagraph">
    <w:name w:val="Alpha Paragraph"/>
    <w:basedOn w:val="Normal"/>
    <w:rsid w:val="00E8459F"/>
    <w:pPr>
      <w:numPr>
        <w:numId w:val="3"/>
      </w:numPr>
    </w:pPr>
  </w:style>
  <w:style w:type="paragraph" w:customStyle="1" w:styleId="AppendixHeading">
    <w:name w:val="Appendix Heading"/>
    <w:basedOn w:val="HeadingBase"/>
    <w:next w:val="Normal"/>
    <w:rsid w:val="00E8459F"/>
    <w:pPr>
      <w:pBdr>
        <w:bottom w:val="single" w:sz="2" w:space="1" w:color="000080"/>
      </w:pBdr>
      <w:spacing w:after="240"/>
    </w:pPr>
    <w:rPr>
      <w:smallCaps/>
      <w:sz w:val="38"/>
      <w:szCs w:val="38"/>
    </w:rPr>
  </w:style>
  <w:style w:type="character" w:customStyle="1" w:styleId="Bold">
    <w:name w:val="Bold"/>
    <w:basedOn w:val="DefaultParagraphFont"/>
    <w:rsid w:val="00E8459F"/>
    <w:rPr>
      <w:b/>
    </w:rPr>
  </w:style>
  <w:style w:type="paragraph" w:customStyle="1" w:styleId="BoxHeading">
    <w:name w:val="Box Heading"/>
    <w:basedOn w:val="HeadingBase"/>
    <w:next w:val="BoxText"/>
    <w:rsid w:val="00E8459F"/>
    <w:pPr>
      <w:spacing w:before="120" w:after="80"/>
    </w:pPr>
    <w:rPr>
      <w:rFonts w:asciiTheme="minorHAnsi" w:hAnsiTheme="minorHAnsi"/>
      <w:b/>
      <w:caps/>
      <w:color w:val="FFFFFF" w:themeColor="background1"/>
      <w:sz w:val="28"/>
    </w:rPr>
  </w:style>
  <w:style w:type="paragraph" w:customStyle="1" w:styleId="BoxText">
    <w:name w:val="Box Text"/>
    <w:basedOn w:val="BoxTextBase"/>
    <w:rsid w:val="00E8459F"/>
  </w:style>
  <w:style w:type="paragraph" w:customStyle="1" w:styleId="BoxTextBase">
    <w:name w:val="Box Text Base"/>
    <w:basedOn w:val="Normal"/>
    <w:rsid w:val="00E8459F"/>
    <w:pPr>
      <w:spacing w:before="120" w:after="120" w:line="240" w:lineRule="auto"/>
    </w:pPr>
  </w:style>
  <w:style w:type="paragraph" w:customStyle="1" w:styleId="ChartandTableFootnoteAlpha">
    <w:name w:val="Chart and Table Footnote Alpha"/>
    <w:rsid w:val="00E8459F"/>
    <w:pPr>
      <w:numPr>
        <w:numId w:val="4"/>
      </w:numPr>
      <w:jc w:val="both"/>
    </w:pPr>
    <w:rPr>
      <w:rFonts w:asciiTheme="minorHAnsi" w:hAnsiTheme="minorHAnsi"/>
      <w:color w:val="000000"/>
      <w:sz w:val="18"/>
      <w:szCs w:val="16"/>
    </w:rPr>
  </w:style>
  <w:style w:type="paragraph" w:customStyle="1" w:styleId="ChartGraphic">
    <w:name w:val="Chart Graphic"/>
    <w:basedOn w:val="HeadingBase"/>
    <w:next w:val="Normal"/>
    <w:rsid w:val="00E8459F"/>
    <w:pPr>
      <w:spacing w:after="20"/>
      <w:jc w:val="center"/>
    </w:pPr>
  </w:style>
  <w:style w:type="paragraph" w:customStyle="1" w:styleId="ChartMainHeading">
    <w:name w:val="Chart Main Heading"/>
    <w:basedOn w:val="HeadingBase"/>
    <w:next w:val="ChartGraphic"/>
    <w:rsid w:val="00E8459F"/>
    <w:pPr>
      <w:keepNext/>
      <w:spacing w:after="20"/>
      <w:jc w:val="center"/>
    </w:pPr>
    <w:rPr>
      <w:b/>
    </w:rPr>
  </w:style>
  <w:style w:type="paragraph" w:customStyle="1" w:styleId="ChartorTableNote">
    <w:name w:val="Chart or Table Note"/>
    <w:next w:val="Normal"/>
    <w:rsid w:val="00E8459F"/>
    <w:pPr>
      <w:jc w:val="both"/>
    </w:pPr>
    <w:rPr>
      <w:rFonts w:ascii="Arial" w:hAnsi="Arial"/>
      <w:color w:val="000000"/>
      <w:sz w:val="16"/>
      <w:szCs w:val="22"/>
    </w:rPr>
  </w:style>
  <w:style w:type="paragraph" w:customStyle="1" w:styleId="ChartSecondHeading">
    <w:name w:val="Chart Second Heading"/>
    <w:basedOn w:val="HeadingBase"/>
    <w:next w:val="ChartGraphic"/>
    <w:rsid w:val="00E8459F"/>
    <w:pPr>
      <w:keepNext/>
      <w:spacing w:after="20"/>
      <w:jc w:val="center"/>
    </w:pPr>
  </w:style>
  <w:style w:type="paragraph" w:customStyle="1" w:styleId="Classification">
    <w:name w:val="Classification"/>
    <w:basedOn w:val="HeadingBase"/>
    <w:next w:val="Footer"/>
    <w:rsid w:val="00E8459F"/>
    <w:pPr>
      <w:spacing w:after="120"/>
      <w:jc w:val="center"/>
    </w:pPr>
    <w:rPr>
      <w:b/>
      <w:smallCaps/>
    </w:rPr>
  </w:style>
  <w:style w:type="paragraph" w:styleId="Footer">
    <w:name w:val="footer"/>
    <w:basedOn w:val="HeadingBase"/>
    <w:link w:val="FooterChar"/>
    <w:rsid w:val="00E8459F"/>
    <w:rPr>
      <w:sz w:val="18"/>
    </w:rPr>
  </w:style>
  <w:style w:type="paragraph" w:customStyle="1" w:styleId="ContentsHeading">
    <w:name w:val="Contents Heading"/>
    <w:basedOn w:val="HeadingBase"/>
    <w:next w:val="Normal"/>
    <w:rsid w:val="00E8459F"/>
    <w:pPr>
      <w:pBdr>
        <w:bottom w:val="single" w:sz="2" w:space="1" w:color="000080"/>
      </w:pBdr>
      <w:spacing w:before="720" w:after="800"/>
    </w:pPr>
    <w:rPr>
      <w:smallCaps/>
      <w:sz w:val="56"/>
      <w:szCs w:val="38"/>
    </w:rPr>
  </w:style>
  <w:style w:type="paragraph" w:customStyle="1" w:styleId="CoverTitleMain">
    <w:name w:val="Cover Title Main"/>
    <w:basedOn w:val="HeadingBase"/>
    <w:next w:val="Normal"/>
    <w:rsid w:val="00E8459F"/>
    <w:pPr>
      <w:spacing w:after="240"/>
      <w:jc w:val="center"/>
    </w:pPr>
    <w:rPr>
      <w:b/>
      <w:spacing w:val="20"/>
      <w:sz w:val="52"/>
      <w:szCs w:val="52"/>
    </w:rPr>
  </w:style>
  <w:style w:type="paragraph" w:customStyle="1" w:styleId="CoverTitleSub">
    <w:name w:val="Cover Title Sub"/>
    <w:basedOn w:val="HeadingBase"/>
    <w:rsid w:val="00E8459F"/>
    <w:pPr>
      <w:spacing w:after="120" w:line="420" w:lineRule="exact"/>
      <w:jc w:val="center"/>
    </w:pPr>
    <w:rPr>
      <w:sz w:val="36"/>
      <w:szCs w:val="36"/>
    </w:rPr>
  </w:style>
  <w:style w:type="paragraph" w:customStyle="1" w:styleId="FooterCentered">
    <w:name w:val="Footer Centered"/>
    <w:basedOn w:val="Footer"/>
    <w:rsid w:val="00E8459F"/>
    <w:pPr>
      <w:jc w:val="center"/>
    </w:pPr>
  </w:style>
  <w:style w:type="paragraph" w:customStyle="1" w:styleId="FooterEven">
    <w:name w:val="Footer Even"/>
    <w:basedOn w:val="Footer"/>
    <w:rsid w:val="00E8459F"/>
  </w:style>
  <w:style w:type="paragraph" w:customStyle="1" w:styleId="FooterOdd">
    <w:name w:val="Footer Odd"/>
    <w:basedOn w:val="Footer"/>
    <w:rsid w:val="00E8459F"/>
    <w:pPr>
      <w:jc w:val="right"/>
    </w:pPr>
  </w:style>
  <w:style w:type="character" w:customStyle="1" w:styleId="FramedFooter">
    <w:name w:val="Framed Footer"/>
    <w:rsid w:val="00E8459F"/>
    <w:rPr>
      <w:rFonts w:ascii="Arial" w:hAnsi="Arial"/>
      <w:color w:val="000080"/>
      <w:sz w:val="18"/>
      <w:szCs w:val="18"/>
    </w:rPr>
  </w:style>
  <w:style w:type="character" w:customStyle="1" w:styleId="FramedHeader">
    <w:name w:val="Framed Header"/>
    <w:basedOn w:val="DefaultParagraphFont"/>
    <w:rsid w:val="00E8459F"/>
    <w:rPr>
      <w:rFonts w:ascii="Arial" w:hAnsi="Arial"/>
      <w:dstrike w:val="0"/>
      <w:color w:val="000080"/>
      <w:sz w:val="18"/>
      <w:szCs w:val="18"/>
      <w:vertAlign w:val="baseline"/>
    </w:rPr>
  </w:style>
  <w:style w:type="paragraph" w:styleId="Header">
    <w:name w:val="header"/>
    <w:basedOn w:val="HeadingBase"/>
    <w:link w:val="HeaderChar"/>
    <w:rsid w:val="00E8459F"/>
    <w:pPr>
      <w:jc w:val="right"/>
    </w:pPr>
    <w:rPr>
      <w:sz w:val="18"/>
    </w:rPr>
  </w:style>
  <w:style w:type="paragraph" w:customStyle="1" w:styleId="HeaderEven">
    <w:name w:val="Header Even"/>
    <w:basedOn w:val="Header"/>
    <w:rsid w:val="00E8459F"/>
  </w:style>
  <w:style w:type="paragraph" w:customStyle="1" w:styleId="HeaderOdd">
    <w:name w:val="Header Odd"/>
    <w:basedOn w:val="Header"/>
    <w:rsid w:val="00E8459F"/>
  </w:style>
  <w:style w:type="paragraph" w:styleId="NormalIndent">
    <w:name w:val="Normal Indent"/>
    <w:basedOn w:val="Normal"/>
    <w:rsid w:val="00E8459F"/>
    <w:pPr>
      <w:ind w:left="567"/>
    </w:pPr>
    <w:rPr>
      <w:sz w:val="20"/>
    </w:rPr>
  </w:style>
  <w:style w:type="paragraph" w:customStyle="1" w:styleId="RecommendationHeading">
    <w:name w:val="Recommendation Heading"/>
    <w:basedOn w:val="HeadingBase"/>
    <w:next w:val="RecommendationText"/>
    <w:rsid w:val="00E8459F"/>
    <w:pPr>
      <w:spacing w:before="120" w:after="240"/>
    </w:pPr>
    <w:rPr>
      <w:b/>
    </w:rPr>
  </w:style>
  <w:style w:type="paragraph" w:customStyle="1" w:styleId="RecommendationText">
    <w:name w:val="Recommendation Text"/>
    <w:basedOn w:val="RecommendationTextBase"/>
    <w:rsid w:val="00E8459F"/>
    <w:pPr>
      <w:spacing w:before="120" w:after="120"/>
    </w:pPr>
  </w:style>
  <w:style w:type="paragraph" w:customStyle="1" w:styleId="RecommendationTextBase">
    <w:name w:val="Recommendation Text Base"/>
    <w:basedOn w:val="Normal"/>
    <w:rsid w:val="00E8459F"/>
  </w:style>
  <w:style w:type="paragraph" w:customStyle="1" w:styleId="TableTextBase">
    <w:name w:val="Table Text Base"/>
    <w:rsid w:val="00E8459F"/>
    <w:pPr>
      <w:spacing w:after="120"/>
    </w:pPr>
    <w:rPr>
      <w:rFonts w:asciiTheme="minorHAnsi" w:hAnsiTheme="minorHAnsi"/>
      <w:color w:val="000000"/>
      <w:sz w:val="22"/>
      <w:szCs w:val="18"/>
    </w:rPr>
  </w:style>
  <w:style w:type="paragraph" w:customStyle="1" w:styleId="TableColumnHeadingCentred">
    <w:name w:val="Table Column Heading Centred"/>
    <w:basedOn w:val="TableTextBase"/>
    <w:rsid w:val="00E8459F"/>
    <w:pPr>
      <w:spacing w:before="60" w:after="60"/>
      <w:jc w:val="center"/>
    </w:pPr>
    <w:rPr>
      <w:color w:val="FFFFFF" w:themeColor="background1"/>
      <w:sz w:val="24"/>
    </w:rPr>
  </w:style>
  <w:style w:type="paragraph" w:customStyle="1" w:styleId="TableColumnHeadingLeft">
    <w:name w:val="Table Column Heading Left"/>
    <w:basedOn w:val="TableTextBase"/>
    <w:rsid w:val="00E8459F"/>
    <w:pPr>
      <w:spacing w:before="60" w:after="60"/>
    </w:pPr>
    <w:rPr>
      <w:color w:val="FFFFFF" w:themeColor="background1"/>
      <w:sz w:val="24"/>
    </w:rPr>
  </w:style>
  <w:style w:type="paragraph" w:customStyle="1" w:styleId="TableColumnHeadingRight">
    <w:name w:val="Table Column Heading Right"/>
    <w:basedOn w:val="TableTextBase"/>
    <w:rsid w:val="00E8459F"/>
    <w:pPr>
      <w:spacing w:before="60" w:after="60"/>
      <w:jc w:val="right"/>
    </w:pPr>
    <w:rPr>
      <w:rFonts w:ascii="Calibri" w:hAnsi="Calibri"/>
      <w:color w:val="FFFFFF" w:themeColor="background1"/>
      <w:sz w:val="24"/>
    </w:rPr>
  </w:style>
  <w:style w:type="paragraph" w:customStyle="1" w:styleId="TableGraphic">
    <w:name w:val="Table Graphic"/>
    <w:basedOn w:val="HeadingBase"/>
    <w:next w:val="Normal"/>
    <w:rsid w:val="00E8459F"/>
    <w:pPr>
      <w:spacing w:after="40"/>
      <w:ind w:right="-113"/>
    </w:pPr>
  </w:style>
  <w:style w:type="paragraph" w:customStyle="1" w:styleId="TableMainHeading">
    <w:name w:val="Table Main Heading"/>
    <w:basedOn w:val="HeadingBase"/>
    <w:next w:val="TableGraphic"/>
    <w:rsid w:val="00E8459F"/>
    <w:pPr>
      <w:keepNext/>
      <w:spacing w:after="20"/>
    </w:pPr>
    <w:rPr>
      <w:b/>
      <w:sz w:val="24"/>
    </w:rPr>
  </w:style>
  <w:style w:type="paragraph" w:customStyle="1" w:styleId="TableMainHeadingContd">
    <w:name w:val="Table Main Heading Contd"/>
    <w:basedOn w:val="HeadingBase"/>
    <w:next w:val="TableGraphic"/>
    <w:rsid w:val="00E8459F"/>
    <w:pPr>
      <w:keepNext/>
      <w:spacing w:after="20"/>
    </w:pPr>
    <w:rPr>
      <w:b/>
    </w:rPr>
  </w:style>
  <w:style w:type="paragraph" w:customStyle="1" w:styleId="TableSecondHeading">
    <w:name w:val="Table Second Heading"/>
    <w:basedOn w:val="HeadingBase"/>
    <w:next w:val="TableGraphic"/>
    <w:rsid w:val="00E8459F"/>
    <w:pPr>
      <w:keepNext/>
      <w:spacing w:after="20"/>
    </w:pPr>
  </w:style>
  <w:style w:type="paragraph" w:customStyle="1" w:styleId="TableTextCentered">
    <w:name w:val="Table Text Centered"/>
    <w:basedOn w:val="TableTextBase"/>
    <w:rsid w:val="00E8459F"/>
    <w:pPr>
      <w:jc w:val="center"/>
    </w:pPr>
  </w:style>
  <w:style w:type="paragraph" w:customStyle="1" w:styleId="TableTextIndented">
    <w:name w:val="Table Text Indented"/>
    <w:basedOn w:val="TableTextBase"/>
    <w:rsid w:val="00E8459F"/>
    <w:pPr>
      <w:ind w:left="284"/>
    </w:pPr>
  </w:style>
  <w:style w:type="paragraph" w:customStyle="1" w:styleId="TableTextLeft">
    <w:name w:val="Table Text Left"/>
    <w:basedOn w:val="TableTextBase"/>
    <w:rsid w:val="00E8459F"/>
    <w:pPr>
      <w:spacing w:before="30" w:after="80"/>
    </w:pPr>
  </w:style>
  <w:style w:type="paragraph" w:customStyle="1" w:styleId="TableTextRight">
    <w:name w:val="Table Text Right"/>
    <w:basedOn w:val="TableTextBase"/>
    <w:rsid w:val="00E8459F"/>
    <w:pPr>
      <w:jc w:val="right"/>
    </w:pPr>
  </w:style>
  <w:style w:type="paragraph" w:styleId="TOC1">
    <w:name w:val="toc 1"/>
    <w:basedOn w:val="HeadingBase"/>
    <w:next w:val="Normal"/>
    <w:uiPriority w:val="39"/>
    <w:rsid w:val="00E8459F"/>
    <w:pPr>
      <w:tabs>
        <w:tab w:val="right" w:leader="dot" w:pos="8505"/>
      </w:tabs>
      <w:spacing w:before="120"/>
      <w:ind w:right="1134"/>
    </w:pPr>
    <w:rPr>
      <w:rFonts w:ascii="Arial Bold" w:hAnsi="Arial Bold"/>
      <w:b/>
      <w:smallCaps/>
    </w:rPr>
  </w:style>
  <w:style w:type="paragraph" w:styleId="TOC2">
    <w:name w:val="toc 2"/>
    <w:basedOn w:val="Normal"/>
    <w:next w:val="Normal"/>
    <w:uiPriority w:val="39"/>
    <w:rsid w:val="00E8459F"/>
    <w:pPr>
      <w:tabs>
        <w:tab w:val="right" w:leader="dot" w:pos="8505"/>
      </w:tabs>
      <w:spacing w:before="60" w:after="60" w:line="240" w:lineRule="auto"/>
      <w:ind w:right="1134"/>
    </w:pPr>
    <w:rPr>
      <w:rFonts w:ascii="Arial" w:hAnsi="Arial"/>
      <w:color w:val="000080"/>
      <w:sz w:val="20"/>
      <w:szCs w:val="20"/>
    </w:rPr>
  </w:style>
  <w:style w:type="paragraph" w:styleId="TOC3">
    <w:name w:val="toc 3"/>
    <w:basedOn w:val="Normal"/>
    <w:next w:val="Normal"/>
    <w:rsid w:val="00E8459F"/>
    <w:pPr>
      <w:tabs>
        <w:tab w:val="right" w:pos="7700"/>
      </w:tabs>
      <w:spacing w:before="20" w:after="0" w:line="240" w:lineRule="auto"/>
      <w:ind w:left="284" w:right="851"/>
    </w:pPr>
  </w:style>
  <w:style w:type="paragraph" w:styleId="TOC4">
    <w:name w:val="toc 4"/>
    <w:basedOn w:val="Normal"/>
    <w:next w:val="Normal"/>
    <w:rsid w:val="00E8459F"/>
    <w:pPr>
      <w:tabs>
        <w:tab w:val="right" w:pos="7700"/>
      </w:tabs>
      <w:spacing w:after="0" w:line="240" w:lineRule="auto"/>
      <w:ind w:left="284" w:right="851"/>
    </w:pPr>
  </w:style>
  <w:style w:type="character" w:customStyle="1" w:styleId="italic">
    <w:name w:val="italic"/>
    <w:basedOn w:val="DefaultParagraphFont"/>
    <w:rsid w:val="00E8459F"/>
    <w:rPr>
      <w:i/>
    </w:rPr>
  </w:style>
  <w:style w:type="paragraph" w:customStyle="1" w:styleId="OneLevelNumberedParagraph">
    <w:name w:val="One Level Numbered Paragraph"/>
    <w:basedOn w:val="Normal"/>
    <w:rsid w:val="00E8459F"/>
    <w:pPr>
      <w:numPr>
        <w:numId w:val="10"/>
      </w:numPr>
    </w:pPr>
  </w:style>
  <w:style w:type="paragraph" w:customStyle="1" w:styleId="BoxBullet">
    <w:name w:val="Box Bullet"/>
    <w:basedOn w:val="BoxTextBase"/>
    <w:rsid w:val="00E8459F"/>
    <w:pPr>
      <w:numPr>
        <w:numId w:val="9"/>
      </w:numPr>
      <w:tabs>
        <w:tab w:val="clear" w:pos="283"/>
        <w:tab w:val="num" w:pos="567"/>
      </w:tabs>
      <w:ind w:left="567" w:hanging="567"/>
    </w:pPr>
  </w:style>
  <w:style w:type="paragraph" w:customStyle="1" w:styleId="BoxDash">
    <w:name w:val="Box Dash"/>
    <w:basedOn w:val="Normal"/>
    <w:rsid w:val="00E8459F"/>
    <w:pPr>
      <w:numPr>
        <w:ilvl w:val="1"/>
        <w:numId w:val="9"/>
      </w:numPr>
      <w:tabs>
        <w:tab w:val="clear" w:pos="567"/>
        <w:tab w:val="left" w:pos="1134"/>
      </w:tabs>
      <w:ind w:left="1134" w:hanging="567"/>
    </w:pPr>
  </w:style>
  <w:style w:type="paragraph" w:customStyle="1" w:styleId="BoxDoubleDot">
    <w:name w:val="Box Double Dot"/>
    <w:basedOn w:val="BoxTextBase"/>
    <w:rsid w:val="00E8459F"/>
    <w:pPr>
      <w:numPr>
        <w:ilvl w:val="2"/>
        <w:numId w:val="9"/>
      </w:numPr>
      <w:tabs>
        <w:tab w:val="clear" w:pos="850"/>
        <w:tab w:val="left" w:pos="1134"/>
      </w:tabs>
      <w:ind w:left="1701" w:hanging="567"/>
    </w:pPr>
  </w:style>
  <w:style w:type="paragraph" w:customStyle="1" w:styleId="RecommendationBullet">
    <w:name w:val="Recommendation Bullet"/>
    <w:basedOn w:val="RecommendationTextBase"/>
    <w:rsid w:val="00E8459F"/>
    <w:pPr>
      <w:numPr>
        <w:numId w:val="11"/>
      </w:numPr>
      <w:tabs>
        <w:tab w:val="clear" w:pos="283"/>
        <w:tab w:val="num" w:pos="567"/>
      </w:tabs>
      <w:ind w:left="567" w:hanging="567"/>
    </w:pPr>
  </w:style>
  <w:style w:type="paragraph" w:customStyle="1" w:styleId="RecommendationDash">
    <w:name w:val="Recommendation Dash"/>
    <w:basedOn w:val="RecommendationTextBase"/>
    <w:rsid w:val="00E8459F"/>
    <w:pPr>
      <w:numPr>
        <w:ilvl w:val="1"/>
        <w:numId w:val="11"/>
      </w:numPr>
      <w:tabs>
        <w:tab w:val="clear" w:pos="567"/>
        <w:tab w:val="left" w:pos="1134"/>
      </w:tabs>
      <w:ind w:left="1134" w:hanging="567"/>
    </w:pPr>
  </w:style>
  <w:style w:type="paragraph" w:customStyle="1" w:styleId="RecommendationDoubleDot">
    <w:name w:val="Recommendation Double Dot"/>
    <w:basedOn w:val="RecommendationTextBase"/>
    <w:rsid w:val="00E8459F"/>
    <w:pPr>
      <w:numPr>
        <w:ilvl w:val="2"/>
        <w:numId w:val="11"/>
      </w:numPr>
      <w:tabs>
        <w:tab w:val="clear" w:pos="850"/>
        <w:tab w:val="left" w:pos="1134"/>
      </w:tabs>
      <w:ind w:left="1701" w:hanging="567"/>
    </w:pPr>
  </w:style>
  <w:style w:type="paragraph" w:customStyle="1" w:styleId="Casestudysourcenote">
    <w:name w:val="Case study source note"/>
    <w:basedOn w:val="HeadingBase"/>
    <w:rsid w:val="00E8459F"/>
    <w:pPr>
      <w:jc w:val="both"/>
    </w:pPr>
    <w:rPr>
      <w:sz w:val="16"/>
      <w:szCs w:val="16"/>
    </w:rPr>
  </w:style>
  <w:style w:type="paragraph" w:customStyle="1" w:styleId="Recommendationalpha">
    <w:name w:val="Recommendation alpha"/>
    <w:basedOn w:val="RecommendationTextBase"/>
    <w:rsid w:val="00E8459F"/>
    <w:pPr>
      <w:numPr>
        <w:numId w:val="13"/>
      </w:numPr>
      <w:tabs>
        <w:tab w:val="left" w:pos="567"/>
      </w:tabs>
      <w:ind w:left="567" w:hanging="567"/>
    </w:pPr>
  </w:style>
  <w:style w:type="paragraph" w:customStyle="1" w:styleId="Recommendationindent">
    <w:name w:val="Recommendation indent"/>
    <w:basedOn w:val="RecommendationTextBase"/>
    <w:rsid w:val="00E8459F"/>
    <w:pPr>
      <w:ind w:left="567"/>
    </w:pPr>
  </w:style>
  <w:style w:type="paragraph" w:customStyle="1" w:styleId="Recommendationromannumeral">
    <w:name w:val="Recommendation roman numeral"/>
    <w:basedOn w:val="RecommendationTextBase"/>
    <w:rsid w:val="00E8459F"/>
    <w:pPr>
      <w:numPr>
        <w:numId w:val="14"/>
      </w:numPr>
    </w:pPr>
  </w:style>
  <w:style w:type="paragraph" w:customStyle="1" w:styleId="CoverTitleSub2">
    <w:name w:val="Cover Title Sub 2"/>
    <w:basedOn w:val="HeadingBase"/>
    <w:rsid w:val="00E8459F"/>
    <w:pPr>
      <w:spacing w:after="120" w:line="420" w:lineRule="exact"/>
      <w:jc w:val="center"/>
    </w:pPr>
    <w:rPr>
      <w:sz w:val="28"/>
      <w:szCs w:val="28"/>
    </w:rPr>
  </w:style>
  <w:style w:type="character" w:styleId="FootnoteReference">
    <w:name w:val="footnote reference"/>
    <w:basedOn w:val="DefaultParagraphFont"/>
    <w:rsid w:val="00E8459F"/>
    <w:rPr>
      <w:sz w:val="20"/>
      <w:szCs w:val="20"/>
      <w:vertAlign w:val="superscript"/>
    </w:rPr>
  </w:style>
  <w:style w:type="paragraph" w:styleId="FootnoteText">
    <w:name w:val="footnote text"/>
    <w:basedOn w:val="Normal"/>
    <w:link w:val="FootnoteTextChar"/>
    <w:rsid w:val="00E8459F"/>
    <w:pPr>
      <w:tabs>
        <w:tab w:val="left" w:pos="567"/>
      </w:tabs>
      <w:spacing w:after="0" w:line="240" w:lineRule="auto"/>
      <w:ind w:left="567" w:hanging="567"/>
    </w:pPr>
    <w:rPr>
      <w:sz w:val="18"/>
      <w:szCs w:val="18"/>
    </w:rPr>
  </w:style>
  <w:style w:type="table" w:styleId="TableContemporary">
    <w:name w:val="Table Contemporary"/>
    <w:basedOn w:val="TableNormal"/>
    <w:rsid w:val="00E8459F"/>
    <w:pPr>
      <w:spacing w:after="240" w:line="300" w:lineRule="exact"/>
      <w:jc w:val="both"/>
    </w:pPr>
    <w:rPr>
      <w:rFonts w:ascii="Calibri" w:hAnsi="Calibri"/>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Bolditalic">
    <w:name w:val="Bold italic"/>
    <w:basedOn w:val="DefaultParagraphFont"/>
    <w:rsid w:val="00E8459F"/>
    <w:rPr>
      <w:b/>
      <w:i/>
    </w:rPr>
  </w:style>
  <w:style w:type="paragraph" w:customStyle="1" w:styleId="Graphic">
    <w:name w:val="Graphic"/>
    <w:basedOn w:val="Normal"/>
    <w:rsid w:val="00E8459F"/>
    <w:pPr>
      <w:spacing w:after="0" w:line="240" w:lineRule="auto"/>
      <w:jc w:val="center"/>
    </w:pPr>
  </w:style>
  <w:style w:type="paragraph" w:customStyle="1" w:styleId="Casestudybullet">
    <w:name w:val="Case study bullet"/>
    <w:basedOn w:val="Casestudytext"/>
    <w:rsid w:val="00894823"/>
    <w:pPr>
      <w:numPr>
        <w:numId w:val="27"/>
      </w:numPr>
    </w:pPr>
  </w:style>
  <w:style w:type="paragraph" w:customStyle="1" w:styleId="Casestudyheading2">
    <w:name w:val="Case study heading 2"/>
    <w:basedOn w:val="HeadingBase"/>
    <w:rsid w:val="00E8459F"/>
    <w:pPr>
      <w:spacing w:after="120"/>
    </w:pPr>
    <w:rPr>
      <w:i/>
    </w:rPr>
  </w:style>
  <w:style w:type="paragraph" w:customStyle="1" w:styleId="Normalindentitalics">
    <w:name w:val="Normal indent italics"/>
    <w:basedOn w:val="NormalIndent"/>
    <w:rsid w:val="00E8459F"/>
    <w:pPr>
      <w:tabs>
        <w:tab w:val="left" w:pos="1134"/>
      </w:tabs>
    </w:pPr>
    <w:rPr>
      <w:i/>
      <w:szCs w:val="20"/>
    </w:rPr>
  </w:style>
  <w:style w:type="paragraph" w:customStyle="1" w:styleId="NormalIndentbold">
    <w:name w:val="Normal Indent bold"/>
    <w:basedOn w:val="Normal"/>
    <w:rsid w:val="00E8459F"/>
    <w:pPr>
      <w:tabs>
        <w:tab w:val="left" w:pos="1134"/>
      </w:tabs>
      <w:spacing w:after="0"/>
      <w:ind w:left="567"/>
    </w:pPr>
    <w:rPr>
      <w:b/>
      <w:sz w:val="20"/>
      <w:szCs w:val="20"/>
    </w:rPr>
  </w:style>
  <w:style w:type="character" w:customStyle="1" w:styleId="Italics">
    <w:name w:val="Italics"/>
    <w:basedOn w:val="DefaultParagraphFont"/>
    <w:rsid w:val="00E8459F"/>
    <w:rPr>
      <w:i/>
    </w:rPr>
  </w:style>
  <w:style w:type="paragraph" w:customStyle="1" w:styleId="Romannumeral">
    <w:name w:val="Roman numeral"/>
    <w:basedOn w:val="Normal"/>
    <w:rsid w:val="00E8459F"/>
    <w:pPr>
      <w:numPr>
        <w:numId w:val="35"/>
      </w:numPr>
    </w:pPr>
  </w:style>
  <w:style w:type="paragraph" w:styleId="Title">
    <w:name w:val="Title"/>
    <w:basedOn w:val="Normal"/>
    <w:next w:val="Normal"/>
    <w:link w:val="TitleChar"/>
    <w:qFormat/>
    <w:rsid w:val="00E8459F"/>
    <w:pPr>
      <w:spacing w:line="240" w:lineRule="auto"/>
      <w:jc w:val="center"/>
    </w:pPr>
    <w:rPr>
      <w:b/>
      <w:caps/>
      <w:color w:val="3F6294"/>
      <w:sz w:val="56"/>
    </w:rPr>
  </w:style>
  <w:style w:type="character" w:customStyle="1" w:styleId="TitleChar">
    <w:name w:val="Title Char"/>
    <w:basedOn w:val="DefaultParagraphFont"/>
    <w:link w:val="Title"/>
    <w:rsid w:val="00E8459F"/>
    <w:rPr>
      <w:rFonts w:ascii="Calibri" w:hAnsi="Calibri"/>
      <w:b/>
      <w:caps/>
      <w:color w:val="3F6294"/>
      <w:sz w:val="56"/>
      <w:szCs w:val="22"/>
    </w:rPr>
  </w:style>
  <w:style w:type="character" w:customStyle="1" w:styleId="BulletChar">
    <w:name w:val="Bullet Char"/>
    <w:basedOn w:val="DefaultParagraphFont"/>
    <w:link w:val="Bullet"/>
    <w:locked/>
    <w:rsid w:val="002F3238"/>
    <w:rPr>
      <w:rFonts w:ascii="Calibri" w:hAnsi="Calibri"/>
      <w:sz w:val="22"/>
      <w:szCs w:val="22"/>
    </w:rPr>
  </w:style>
  <w:style w:type="character" w:customStyle="1" w:styleId="DashChar">
    <w:name w:val="Dash Char"/>
    <w:basedOn w:val="DefaultParagraphFont"/>
    <w:link w:val="Dash"/>
    <w:rsid w:val="002F3238"/>
    <w:rPr>
      <w:rFonts w:ascii="Calibri" w:hAnsi="Calibri"/>
      <w:sz w:val="22"/>
      <w:szCs w:val="22"/>
    </w:rPr>
  </w:style>
  <w:style w:type="character" w:styleId="CommentReference">
    <w:name w:val="annotation reference"/>
    <w:basedOn w:val="DefaultParagraphFont"/>
    <w:rsid w:val="00D62556"/>
    <w:rPr>
      <w:sz w:val="16"/>
      <w:szCs w:val="16"/>
    </w:rPr>
  </w:style>
  <w:style w:type="paragraph" w:styleId="CommentText">
    <w:name w:val="annotation text"/>
    <w:basedOn w:val="Normal"/>
    <w:link w:val="CommentTextChar"/>
    <w:rsid w:val="00D62556"/>
    <w:pPr>
      <w:spacing w:line="240" w:lineRule="auto"/>
    </w:pPr>
    <w:rPr>
      <w:sz w:val="20"/>
      <w:szCs w:val="20"/>
    </w:rPr>
  </w:style>
  <w:style w:type="character" w:customStyle="1" w:styleId="CommentTextChar">
    <w:name w:val="Comment Text Char"/>
    <w:basedOn w:val="DefaultParagraphFont"/>
    <w:link w:val="CommentText"/>
    <w:rsid w:val="00D62556"/>
    <w:rPr>
      <w:rFonts w:ascii="Book Antiqua" w:hAnsi="Book Antiqua"/>
      <w:color w:val="000000"/>
    </w:rPr>
  </w:style>
  <w:style w:type="paragraph" w:styleId="CommentSubject">
    <w:name w:val="annotation subject"/>
    <w:basedOn w:val="CommentText"/>
    <w:next w:val="CommentText"/>
    <w:link w:val="CommentSubjectChar"/>
    <w:rsid w:val="00D62556"/>
    <w:rPr>
      <w:b/>
      <w:bCs/>
    </w:rPr>
  </w:style>
  <w:style w:type="character" w:customStyle="1" w:styleId="CommentSubjectChar">
    <w:name w:val="Comment Subject Char"/>
    <w:basedOn w:val="CommentTextChar"/>
    <w:link w:val="CommentSubject"/>
    <w:rsid w:val="00D62556"/>
    <w:rPr>
      <w:rFonts w:ascii="Book Antiqua" w:hAnsi="Book Antiqua"/>
      <w:b/>
      <w:bCs/>
      <w:color w:val="000000"/>
    </w:rPr>
  </w:style>
  <w:style w:type="paragraph" w:styleId="BalloonText">
    <w:name w:val="Balloon Text"/>
    <w:basedOn w:val="Normal"/>
    <w:link w:val="BalloonTextChar"/>
    <w:rsid w:val="00E845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8459F"/>
    <w:rPr>
      <w:rFonts w:ascii="Tahoma" w:hAnsi="Tahoma" w:cs="Tahoma"/>
      <w:sz w:val="16"/>
      <w:szCs w:val="16"/>
    </w:rPr>
  </w:style>
  <w:style w:type="character" w:customStyle="1" w:styleId="FootnoteTextChar">
    <w:name w:val="Footnote Text Char"/>
    <w:basedOn w:val="DefaultParagraphFont"/>
    <w:link w:val="FootnoteText"/>
    <w:rsid w:val="00D62556"/>
    <w:rPr>
      <w:rFonts w:ascii="Calibri" w:hAnsi="Calibri"/>
      <w:sz w:val="18"/>
      <w:szCs w:val="18"/>
    </w:rPr>
  </w:style>
  <w:style w:type="paragraph" w:styleId="Subtitle">
    <w:name w:val="Subtitle"/>
    <w:basedOn w:val="Normal"/>
    <w:next w:val="Normal"/>
    <w:link w:val="SubtitleChar"/>
    <w:qFormat/>
    <w:rsid w:val="003130F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3130FD"/>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qFormat/>
    <w:rsid w:val="003130FD"/>
    <w:rPr>
      <w:b/>
      <w:bCs/>
    </w:rPr>
  </w:style>
  <w:style w:type="paragraph" w:styleId="TOCHeading">
    <w:name w:val="TOC Heading"/>
    <w:basedOn w:val="Heading1"/>
    <w:next w:val="Normal"/>
    <w:uiPriority w:val="39"/>
    <w:semiHidden/>
    <w:unhideWhenUsed/>
    <w:qFormat/>
    <w:rsid w:val="00711DBA"/>
    <w:pPr>
      <w:keepLines/>
      <w:pBdr>
        <w:bottom w:val="none" w:sz="0" w:space="0" w:color="auto"/>
      </w:pBdr>
      <w:spacing w:before="480" w:after="0" w:line="276" w:lineRule="auto"/>
      <w:outlineLvl w:val="9"/>
    </w:pPr>
    <w:rPr>
      <w:rFonts w:asciiTheme="majorHAnsi" w:eastAsiaTheme="majorEastAsia" w:hAnsiTheme="majorHAnsi" w:cstheme="majorBidi"/>
      <w:b/>
      <w:smallCaps w:val="0"/>
      <w:color w:val="365F91" w:themeColor="accent1" w:themeShade="BF"/>
      <w:kern w:val="0"/>
      <w:sz w:val="28"/>
      <w:szCs w:val="28"/>
      <w:lang w:val="en-US" w:eastAsia="ja-JP"/>
    </w:rPr>
  </w:style>
  <w:style w:type="paragraph" w:customStyle="1" w:styleId="SecurityClassificationHeader">
    <w:name w:val="Security Classification Header"/>
    <w:link w:val="SecurityClassificationHeaderChar"/>
    <w:rsid w:val="00013E2D"/>
    <w:pPr>
      <w:spacing w:before="240" w:after="60"/>
      <w:jc w:val="center"/>
    </w:pPr>
    <w:rPr>
      <w:rFonts w:ascii="Calibri" w:hAnsi="Calibri"/>
      <w:b/>
      <w:caps/>
      <w:color w:val="000080"/>
      <w:sz w:val="24"/>
      <w:szCs w:val="22"/>
    </w:rPr>
  </w:style>
  <w:style w:type="character" w:customStyle="1" w:styleId="HeadingBaseChar">
    <w:name w:val="Heading Base Char"/>
    <w:basedOn w:val="DefaultParagraphFont"/>
    <w:link w:val="HeadingBase"/>
    <w:rsid w:val="00013E2D"/>
    <w:rPr>
      <w:rFonts w:ascii="Calibri" w:hAnsi="Calibri"/>
      <w:color w:val="000080"/>
      <w:sz w:val="22"/>
      <w:szCs w:val="22"/>
    </w:rPr>
  </w:style>
  <w:style w:type="character" w:customStyle="1" w:styleId="HeaderChar">
    <w:name w:val="Header Char"/>
    <w:basedOn w:val="HeadingBaseChar"/>
    <w:link w:val="Header"/>
    <w:rsid w:val="00013E2D"/>
    <w:rPr>
      <w:rFonts w:ascii="Calibri" w:hAnsi="Calibri"/>
      <w:color w:val="000080"/>
      <w:sz w:val="18"/>
      <w:szCs w:val="22"/>
    </w:rPr>
  </w:style>
  <w:style w:type="character" w:customStyle="1" w:styleId="SecurityClassificationHeaderChar">
    <w:name w:val="Security Classification Header Char"/>
    <w:basedOn w:val="HeaderChar"/>
    <w:link w:val="SecurityClassificationHeader"/>
    <w:rsid w:val="00013E2D"/>
    <w:rPr>
      <w:rFonts w:ascii="Calibri" w:hAnsi="Calibri"/>
      <w:b/>
      <w:caps/>
      <w:color w:val="000080"/>
      <w:sz w:val="24"/>
      <w:szCs w:val="22"/>
    </w:rPr>
  </w:style>
  <w:style w:type="paragraph" w:customStyle="1" w:styleId="SecurityClassificationFooter">
    <w:name w:val="Security Classification Footer"/>
    <w:link w:val="SecurityClassificationFooterChar"/>
    <w:rsid w:val="00013E2D"/>
    <w:pPr>
      <w:spacing w:before="60" w:after="240"/>
      <w:jc w:val="center"/>
    </w:pPr>
    <w:rPr>
      <w:rFonts w:ascii="Calibri" w:hAnsi="Calibri"/>
      <w:b/>
      <w:caps/>
      <w:color w:val="000080"/>
      <w:sz w:val="24"/>
      <w:szCs w:val="22"/>
    </w:rPr>
  </w:style>
  <w:style w:type="character" w:customStyle="1" w:styleId="SecurityClassificationFooterChar">
    <w:name w:val="Security Classification Footer Char"/>
    <w:basedOn w:val="HeaderChar"/>
    <w:link w:val="SecurityClassificationFooter"/>
    <w:rsid w:val="00013E2D"/>
    <w:rPr>
      <w:rFonts w:ascii="Calibri" w:hAnsi="Calibri"/>
      <w:b/>
      <w:caps/>
      <w:color w:val="000080"/>
      <w:sz w:val="24"/>
      <w:szCs w:val="22"/>
    </w:rPr>
  </w:style>
  <w:style w:type="paragraph" w:customStyle="1" w:styleId="DLMSecurityHeader">
    <w:name w:val="DLM Security Header"/>
    <w:link w:val="DLMSecurityHeaderChar"/>
    <w:rsid w:val="00013E2D"/>
    <w:pPr>
      <w:spacing w:before="60" w:after="240"/>
      <w:jc w:val="center"/>
    </w:pPr>
    <w:rPr>
      <w:rFonts w:ascii="Calibri" w:hAnsi="Calibri"/>
      <w:b/>
      <w:caps/>
      <w:color w:val="000080"/>
      <w:sz w:val="24"/>
      <w:szCs w:val="22"/>
    </w:rPr>
  </w:style>
  <w:style w:type="character" w:customStyle="1" w:styleId="DLMSecurityHeaderChar">
    <w:name w:val="DLM Security Header Char"/>
    <w:basedOn w:val="HeaderChar"/>
    <w:link w:val="DLMSecurityHeader"/>
    <w:rsid w:val="00013E2D"/>
    <w:rPr>
      <w:rFonts w:ascii="Calibri" w:hAnsi="Calibri"/>
      <w:b/>
      <w:caps/>
      <w:color w:val="000080"/>
      <w:sz w:val="24"/>
      <w:szCs w:val="22"/>
    </w:rPr>
  </w:style>
  <w:style w:type="paragraph" w:customStyle="1" w:styleId="DLMSecurityFooter">
    <w:name w:val="DLM Security Footer"/>
    <w:link w:val="DLMSecurityFooterChar"/>
    <w:rsid w:val="00013E2D"/>
    <w:pPr>
      <w:spacing w:before="240" w:after="60"/>
      <w:jc w:val="center"/>
    </w:pPr>
    <w:rPr>
      <w:rFonts w:ascii="Calibri" w:hAnsi="Calibri"/>
      <w:b/>
      <w:caps/>
      <w:color w:val="000080"/>
      <w:sz w:val="24"/>
      <w:szCs w:val="22"/>
    </w:rPr>
  </w:style>
  <w:style w:type="character" w:customStyle="1" w:styleId="DLMSecurityFooterChar">
    <w:name w:val="DLM Security Footer Char"/>
    <w:basedOn w:val="HeaderChar"/>
    <w:link w:val="DLMSecurityFooter"/>
    <w:rsid w:val="00013E2D"/>
    <w:rPr>
      <w:rFonts w:ascii="Calibri" w:hAnsi="Calibri"/>
      <w:b/>
      <w:caps/>
      <w:color w:val="000080"/>
      <w:sz w:val="24"/>
      <w:szCs w:val="22"/>
    </w:rPr>
  </w:style>
  <w:style w:type="character" w:customStyle="1" w:styleId="OutlineNumbered1Char">
    <w:name w:val="Outline Numbered 1 Char"/>
    <w:basedOn w:val="BulletChar"/>
    <w:link w:val="OutlineNumbered1"/>
    <w:rsid w:val="00E026E9"/>
    <w:rPr>
      <w:rFonts w:ascii="Calibri" w:hAnsi="Calibri"/>
      <w:sz w:val="22"/>
      <w:szCs w:val="22"/>
    </w:rPr>
  </w:style>
  <w:style w:type="table" w:styleId="TableGrid">
    <w:name w:val="Table Grid"/>
    <w:basedOn w:val="TableNormal"/>
    <w:rsid w:val="00E8459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026E9"/>
    <w:rPr>
      <w:rFonts w:ascii="Book Antiqua" w:hAnsi="Book Antiqua"/>
      <w:color w:val="000000"/>
      <w:sz w:val="22"/>
      <w:szCs w:val="22"/>
    </w:rPr>
  </w:style>
  <w:style w:type="paragraph" w:customStyle="1" w:styleId="PreChapterHeading">
    <w:name w:val="PreChapterHeading"/>
    <w:basedOn w:val="HeadingBase"/>
    <w:next w:val="Normal"/>
    <w:rsid w:val="005C2127"/>
    <w:pPr>
      <w:pageBreakBefore/>
      <w:pBdr>
        <w:bottom w:val="single" w:sz="2" w:space="1" w:color="000080"/>
      </w:pBdr>
      <w:spacing w:before="720" w:after="800"/>
    </w:pPr>
    <w:rPr>
      <w:smallCaps/>
      <w:sz w:val="56"/>
      <w:szCs w:val="38"/>
    </w:rPr>
  </w:style>
  <w:style w:type="paragraph" w:customStyle="1" w:styleId="KeyPointsHeading">
    <w:name w:val="Key Points Heading"/>
    <w:basedOn w:val="BoxHeading"/>
    <w:qFormat/>
    <w:rsid w:val="00E8459F"/>
    <w:rPr>
      <w:color w:val="404040"/>
    </w:rPr>
  </w:style>
  <w:style w:type="paragraph" w:customStyle="1" w:styleId="NewNumberedParagraph">
    <w:name w:val="New Numbered Paragraph"/>
    <w:basedOn w:val="Bullet"/>
    <w:qFormat/>
    <w:rsid w:val="00E8459F"/>
    <w:pPr>
      <w:numPr>
        <w:ilvl w:val="1"/>
        <w:numId w:val="50"/>
      </w:numPr>
      <w:outlineLvl w:val="1"/>
    </w:pPr>
  </w:style>
  <w:style w:type="paragraph" w:customStyle="1" w:styleId="NewNumberedParagraph2">
    <w:name w:val="New Numbered Paragraph 2"/>
    <w:basedOn w:val="Dash"/>
    <w:qFormat/>
    <w:rsid w:val="00E8459F"/>
    <w:pPr>
      <w:numPr>
        <w:ilvl w:val="2"/>
        <w:numId w:val="50"/>
      </w:numPr>
      <w:ind w:left="1134" w:hanging="567"/>
    </w:pPr>
  </w:style>
  <w:style w:type="paragraph" w:customStyle="1" w:styleId="NewNumberedParagraph3">
    <w:name w:val="New Numbered Paragraph 3"/>
    <w:basedOn w:val="DoubleDot"/>
    <w:qFormat/>
    <w:rsid w:val="00E8459F"/>
    <w:pPr>
      <w:numPr>
        <w:ilvl w:val="3"/>
        <w:numId w:val="50"/>
      </w:numPr>
      <w:ind w:left="1701" w:hanging="567"/>
    </w:pPr>
  </w:style>
  <w:style w:type="paragraph" w:customStyle="1" w:styleId="NewNumberedParagraph4">
    <w:name w:val="New Numbered Paragraph 4"/>
    <w:basedOn w:val="Normal"/>
    <w:qFormat/>
    <w:rsid w:val="00E8459F"/>
    <w:pPr>
      <w:numPr>
        <w:ilvl w:val="4"/>
        <w:numId w:val="50"/>
      </w:numPr>
      <w:tabs>
        <w:tab w:val="left" w:pos="2268"/>
      </w:tabs>
      <w:ind w:left="2268" w:hanging="567"/>
    </w:pPr>
  </w:style>
  <w:style w:type="paragraph" w:customStyle="1" w:styleId="NewNumberedParagraph5">
    <w:name w:val="New Numbered Paragraph 5"/>
    <w:basedOn w:val="Normal"/>
    <w:qFormat/>
    <w:rsid w:val="00E8459F"/>
    <w:pPr>
      <w:numPr>
        <w:ilvl w:val="5"/>
        <w:numId w:val="50"/>
      </w:numPr>
      <w:tabs>
        <w:tab w:val="left" w:pos="2835"/>
      </w:tabs>
      <w:ind w:left="2835" w:hanging="567"/>
    </w:pPr>
  </w:style>
  <w:style w:type="table" w:customStyle="1" w:styleId="Headingsonfirstcolumnandrow">
    <w:name w:val="Headings on first column and row"/>
    <w:basedOn w:val="TableNormal"/>
    <w:uiPriority w:val="99"/>
    <w:rsid w:val="00E8459F"/>
    <w:rPr>
      <w:rFonts w:asciiTheme="minorHAnsi" w:hAnsiTheme="minorHAnsi"/>
      <w:sz w:val="22"/>
      <w:szCs w:val="22"/>
    </w:rPr>
    <w:tblPr>
      <w:tblStyleRowBandSize w:val="1"/>
      <w:tblBorders>
        <w:top w:val="single" w:sz="4" w:space="0" w:color="3F6294"/>
        <w:left w:val="single" w:sz="4" w:space="0" w:color="3F6294"/>
        <w:bottom w:val="single" w:sz="4" w:space="0" w:color="3F6294"/>
        <w:right w:val="single" w:sz="4" w:space="0" w:color="3F6294"/>
      </w:tblBorders>
    </w:tblPr>
    <w:trPr>
      <w:cantSplit/>
    </w:trPr>
    <w:tcPr>
      <w:shd w:val="clear" w:color="auto" w:fill="C2DAEB"/>
    </w:tcPr>
    <w:tblStylePr w:type="firstRow">
      <w:rPr>
        <w:rFonts w:ascii="Arial" w:hAnsi="Arial"/>
        <w:color w:val="FFFFFF" w:themeColor="background1"/>
        <w:sz w:val="22"/>
      </w:rPr>
      <w:tblPr/>
      <w:trPr>
        <w:tblHeader/>
      </w:trPr>
      <w:tcPr>
        <w:shd w:val="clear" w:color="auto" w:fill="3F6294"/>
      </w:tcPr>
    </w:tblStylePr>
    <w:tblStylePr w:type="firstCol">
      <w:rPr>
        <w:rFonts w:ascii="Arial" w:hAnsi="Arial"/>
        <w:color w:val="FFFFFF" w:themeColor="background1"/>
        <w:sz w:val="22"/>
      </w:rPr>
      <w:tblPr/>
      <w:tcPr>
        <w:shd w:val="clear" w:color="auto" w:fill="3F6294"/>
      </w:tcPr>
    </w:tblStylePr>
    <w:tblStylePr w:type="band1Horz">
      <w:tblPr/>
      <w:tcPr>
        <w:shd w:val="clear" w:color="auto" w:fill="FFFFFF" w:themeFill="background1"/>
      </w:tcPr>
    </w:tblStylePr>
    <w:tblStylePr w:type="band2Horz">
      <w:tblPr/>
      <w:tcPr>
        <w:shd w:val="clear" w:color="auto" w:fill="DBE5F1" w:themeFill="accent1" w:themeFillTint="33"/>
      </w:tcPr>
    </w:tblStylePr>
  </w:style>
  <w:style w:type="table" w:customStyle="1" w:styleId="HeadingsAboveOnly">
    <w:name w:val="Headings Above Only"/>
    <w:basedOn w:val="TableNormal"/>
    <w:uiPriority w:val="99"/>
    <w:rsid w:val="00E8459F"/>
    <w:rPr>
      <w:rFonts w:asciiTheme="minorHAnsi" w:hAnsiTheme="minorHAnsi"/>
      <w:sz w:val="22"/>
      <w:szCs w:val="22"/>
    </w:rPr>
    <w:tblPr>
      <w:tblStyleRowBandSize w:val="1"/>
      <w:tblBorders>
        <w:top w:val="single" w:sz="4" w:space="0" w:color="3F6294"/>
        <w:left w:val="single" w:sz="4" w:space="0" w:color="3F6294"/>
        <w:bottom w:val="single" w:sz="4" w:space="0" w:color="3F6294"/>
        <w:right w:val="single" w:sz="4" w:space="0" w:color="3F6294"/>
      </w:tblBorders>
    </w:tblPr>
    <w:trPr>
      <w:cantSplit/>
    </w:trPr>
    <w:tcPr>
      <w:shd w:val="clear" w:color="auto" w:fill="C2DAEB"/>
    </w:tcPr>
    <w:tblStylePr w:type="firstRow">
      <w:rPr>
        <w:rFonts w:ascii="Arial" w:hAnsi="Arial"/>
        <w:color w:val="FFFFFF" w:themeColor="background1"/>
        <w:sz w:val="22"/>
      </w:rPr>
      <w:tblPr/>
      <w:trPr>
        <w:tblHeader/>
      </w:trPr>
      <w:tcPr>
        <w:shd w:val="clear" w:color="auto" w:fill="3F6294"/>
      </w:tcPr>
    </w:tblStylePr>
    <w:tblStylePr w:type="band1Horz">
      <w:tblPr/>
      <w:tcPr>
        <w:shd w:val="clear" w:color="auto" w:fill="FFFFFF" w:themeFill="background1"/>
      </w:tcPr>
    </w:tblStylePr>
    <w:tblStylePr w:type="band2Horz">
      <w:tblPr/>
      <w:tcPr>
        <w:shd w:val="clear" w:color="auto" w:fill="DBE5F1" w:themeFill="accent1" w:themeFillTint="33"/>
      </w:tcPr>
    </w:tblStylePr>
  </w:style>
  <w:style w:type="paragraph" w:styleId="ListParagraph">
    <w:name w:val="List Paragraph"/>
    <w:basedOn w:val="Normal"/>
    <w:uiPriority w:val="34"/>
    <w:qFormat/>
    <w:rsid w:val="00E8459F"/>
    <w:pPr>
      <w:ind w:left="720"/>
      <w:contextualSpacing/>
    </w:pPr>
  </w:style>
  <w:style w:type="character" w:customStyle="1" w:styleId="FooterChar">
    <w:name w:val="Footer Char"/>
    <w:basedOn w:val="DefaultParagraphFont"/>
    <w:link w:val="Footer"/>
    <w:rsid w:val="00524A64"/>
    <w:rPr>
      <w:rFonts w:ascii="Calibri" w:hAnsi="Calibri"/>
      <w:color w:val="000080"/>
      <w:sz w:val="18"/>
      <w:szCs w:val="22"/>
    </w:rPr>
  </w:style>
  <w:style w:type="character" w:styleId="FollowedHyperlink">
    <w:name w:val="FollowedHyperlink"/>
    <w:basedOn w:val="DefaultParagraphFont"/>
    <w:rsid w:val="0089389C"/>
    <w:rPr>
      <w:color w:val="800080" w:themeColor="followedHyperlink"/>
      <w:u w:val="single"/>
    </w:rPr>
  </w:style>
  <w:style w:type="paragraph" w:customStyle="1" w:styleId="Non-ChapterHeading">
    <w:name w:val="Non-Chapter Heading"/>
    <w:basedOn w:val="HeadingBase"/>
    <w:next w:val="Normal"/>
    <w:rsid w:val="00E8459F"/>
    <w:pPr>
      <w:pageBreakBefore/>
      <w:pBdr>
        <w:bottom w:val="single" w:sz="2" w:space="1" w:color="000080"/>
      </w:pBdr>
      <w:spacing w:before="360" w:after="360"/>
    </w:pPr>
    <w:rPr>
      <w:smallCaps/>
      <w:sz w:val="56"/>
      <w:szCs w:val="38"/>
    </w:rPr>
  </w:style>
  <w:style w:type="paragraph" w:styleId="Quote">
    <w:name w:val="Quote"/>
    <w:basedOn w:val="Normal"/>
    <w:next w:val="Normal"/>
    <w:link w:val="QuoteChar"/>
    <w:uiPriority w:val="29"/>
    <w:qFormat/>
    <w:rsid w:val="00E8459F"/>
    <w:rPr>
      <w:i/>
      <w:iCs/>
      <w:color w:val="000000" w:themeColor="text1"/>
    </w:rPr>
  </w:style>
  <w:style w:type="character" w:customStyle="1" w:styleId="QuoteChar">
    <w:name w:val="Quote Char"/>
    <w:basedOn w:val="DefaultParagraphFont"/>
    <w:link w:val="Quote"/>
    <w:uiPriority w:val="29"/>
    <w:rsid w:val="00E8459F"/>
    <w:rPr>
      <w:rFonts w:ascii="Calibri" w:hAnsi="Calibri"/>
      <w:i/>
      <w:iCs/>
      <w:color w:val="000000" w:themeColor="tex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64819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creativecommons.org/licenses/by/3.0/au/legalcode" TargetMode="External"/><Relationship Id="rId34" Type="http://schemas.openxmlformats.org/officeDocument/2006/relationships/header" Target="header7.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eader" Target="header3.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creativecommons.org/licenses/by/3.0/au/deed.en"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pmc.gov.au/government/commonwealth-coat-arms" TargetMode="External"/><Relationship Id="rId32" Type="http://schemas.openxmlformats.org/officeDocument/2006/relationships/header" Target="header6.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creativecommons.org/licenses/by/3.0/au/deed.en" TargetMode="External"/><Relationship Id="rId28" Type="http://schemas.openxmlformats.org/officeDocument/2006/relationships/footer" Target="footer5.xml"/><Relationship Id="rId36" Type="http://schemas.openxmlformats.org/officeDocument/2006/relationships/header" Target="header9.xml"/><Relationship Id="rId10" Type="http://schemas.openxmlformats.org/officeDocument/2006/relationships/settings" Target="settings.xml"/><Relationship Id="rId19" Type="http://schemas.openxmlformats.org/officeDocument/2006/relationships/footer" Target="footer3.xml"/><Relationship Id="rId31" Type="http://schemas.openxmlformats.org/officeDocument/2006/relationships/hyperlink" Target="mailto:medialiaison@treasury.gov.au"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g"/><Relationship Id="rId22" Type="http://schemas.openxmlformats.org/officeDocument/2006/relationships/image" Target="media/image2.wmf"/><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header" Target="header8.xml"/></Relationships>
</file>

<file path=word/_rels/footnotes.xml.rels><?xml version="1.0" encoding="UTF-8" standalone="yes"?>
<Relationships xmlns="http://schemas.openxmlformats.org/package/2006/relationships"><Relationship Id="rId8" Type="http://schemas.openxmlformats.org/officeDocument/2006/relationships/hyperlink" Target="https://www.treasurers.org/ACTmedia/sep04TT28-30Amin.pdf" TargetMode="External"/><Relationship Id="rId13" Type="http://schemas.openxmlformats.org/officeDocument/2006/relationships/hyperlink" Target="https://www.pwc.com/gx/en/ifrs-reporting/pdf/ifrs-vs-german-gaap-similarities-and-differences_final2.pdf" TargetMode="External"/><Relationship Id="rId18" Type="http://schemas.openxmlformats.org/officeDocument/2006/relationships/hyperlink" Target="https://wpcarey.asu.edu/sites/default/files/uploads/accounting-degrees/Fabio-Gaertner.pdf" TargetMode="External"/><Relationship Id="rId26" Type="http://schemas.openxmlformats.org/officeDocument/2006/relationships/hyperlink" Target="https://wpcarey.asu.edu/sites/default/files/uploads/accounting-degrees/Fabio-Gaertner.pdf" TargetMode="External"/><Relationship Id="rId3" Type="http://schemas.openxmlformats.org/officeDocument/2006/relationships/hyperlink" Target="http://archive.treasury.gov.au/documents/403/PDF/Clerp9.pdf" TargetMode="External"/><Relationship Id="rId21" Type="http://schemas.openxmlformats.org/officeDocument/2006/relationships/hyperlink" Target="http://www.victoria.ac.nz/sacl/centres-and-institutes/cagtr/pdf/tax-report-website.pdf" TargetMode="External"/><Relationship Id="rId34" Type="http://schemas.openxmlformats.org/officeDocument/2006/relationships/hyperlink" Target="http://www.moorestephens.com.au/news-and-views/january-2016/ifrs-16-leases-what-does-it-mean-for-you" TargetMode="External"/><Relationship Id="rId7" Type="http://schemas.openxmlformats.org/officeDocument/2006/relationships/hyperlink" Target="http://www.legislation.gov.uk/ukpga/2004/12/contents" TargetMode="External"/><Relationship Id="rId12" Type="http://schemas.openxmlformats.org/officeDocument/2006/relationships/hyperlink" Target="http://www.iasplus.com/en/publications/netherlands/ifrs-vs-nl-gaap" TargetMode="External"/><Relationship Id="rId17" Type="http://schemas.openxmlformats.org/officeDocument/2006/relationships/hyperlink" Target="https://www.uts.edu.au/sites/default/files/ACCconf14TTang.pdf" TargetMode="External"/><Relationship Id="rId25" Type="http://schemas.openxmlformats.org/officeDocument/2006/relationships/hyperlink" Target="https://www.uts.edu.au/sites/default/files/ACCconf14TTang.pdf" TargetMode="External"/><Relationship Id="rId33" Type="http://schemas.openxmlformats.org/officeDocument/2006/relationships/hyperlink" Target="http://ris.dpmc.gov.au/2016/04/19/australian-accounting-standard-aasb-16-leases/" TargetMode="External"/><Relationship Id="rId2" Type="http://schemas.openxmlformats.org/officeDocument/2006/relationships/hyperlink" Target="http://archive.treasury.gov.au/contentitem.asp?ContentID=281" TargetMode="External"/><Relationship Id="rId16" Type="http://schemas.openxmlformats.org/officeDocument/2006/relationships/hyperlink" Target="http://www.austlii.edu.au/au/journals/eJlTaxR/2004/4.html" TargetMode="External"/><Relationship Id="rId20" Type="http://schemas.openxmlformats.org/officeDocument/2006/relationships/hyperlink" Target="https://tippie.uiowa.edu/accounting/mcgladrey/winterpapers/hanlon_maydew.pdf" TargetMode="External"/><Relationship Id="rId29" Type="http://schemas.openxmlformats.org/officeDocument/2006/relationships/hyperlink" Target="http://ris.dpmc.gov.au/2015/01/23/revised-accounting-standard-for-financial-instruments-regulation-impact-statement-australian-accounting-standards-board/" TargetMode="External"/><Relationship Id="rId1" Type="http://schemas.openxmlformats.org/officeDocument/2006/relationships/hyperlink" Target="http://www.ifrs.org/Use-around-the-world/Pages/Jurisdiction-profiles.aspx" TargetMode="External"/><Relationship Id="rId6" Type="http://schemas.openxmlformats.org/officeDocument/2006/relationships/hyperlink" Target="https://www.gov.uk/government/publications/accounting-standards-the-uk-tax-implications-of-new-uk-gaap" TargetMode="External"/><Relationship Id="rId11" Type="http://schemas.openxmlformats.org/officeDocument/2006/relationships/hyperlink" Target="https://www.gov.uk/government/publications/income-tax-and-corporation-tax-response-to-accounting-changes-for-leasing/income-tax-and-corporation-tax-response-to-accounting-changes-for-leasing" TargetMode="External"/><Relationship Id="rId24" Type="http://schemas.openxmlformats.org/officeDocument/2006/relationships/hyperlink" Target="http://taxpolicy.ird.govt.nz/sites/default/files/2016-ip-mts-better-business-tax.pdf" TargetMode="External"/><Relationship Id="rId32" Type="http://schemas.openxmlformats.org/officeDocument/2006/relationships/hyperlink" Target="http://www2.deloitte.com/content/dam/Deloitte/ca/Documents/audit/ca-en-audit-ifrs15-telecommunications.pdf" TargetMode="External"/><Relationship Id="rId5" Type="http://schemas.openxmlformats.org/officeDocument/2006/relationships/hyperlink" Target="https://business-school.exeter.ac.uk/documents/papers/management/2002/0209.pdf" TargetMode="External"/><Relationship Id="rId15" Type="http://schemas.openxmlformats.org/officeDocument/2006/relationships/hyperlink" Target="https://www.ifrs.org/use-around-the-world/use-of-ifrs-standards-by-jurisdiction/germany/" TargetMode="External"/><Relationship Id="rId23" Type="http://schemas.openxmlformats.org/officeDocument/2006/relationships/hyperlink" Target="http://www.ird.govt.nz/news-updates/accounting-income-method-prov-tax.html" TargetMode="External"/><Relationship Id="rId28" Type="http://schemas.openxmlformats.org/officeDocument/2006/relationships/hyperlink" Target="https://tippie.uiowa.edu/accounting/mcgladrey/winterpapers/hanlon_maydew.pdf" TargetMode="External"/><Relationship Id="rId10" Type="http://schemas.openxmlformats.org/officeDocument/2006/relationships/hyperlink" Target="http://www.lexology.com/library/detail.aspx?g=c82ccd6a-3caa-401f-babe-7a7b9078e102" TargetMode="External"/><Relationship Id="rId19" Type="http://schemas.openxmlformats.org/officeDocument/2006/relationships/hyperlink" Target="http://www8.gsb.columbia.edu/rtfiles/accounting/HANLON.pdf" TargetMode="External"/><Relationship Id="rId31" Type="http://schemas.openxmlformats.org/officeDocument/2006/relationships/hyperlink" Target="http://www.pitcher.com.au/news/changes-revenue-recognition" TargetMode="External"/><Relationship Id="rId4" Type="http://schemas.openxmlformats.org/officeDocument/2006/relationships/hyperlink" Target="http://siteresources.worldbank.org/EXTCENFINREPREF/Resources/Taxation_Conundrum.pdf" TargetMode="External"/><Relationship Id="rId9" Type="http://schemas.openxmlformats.org/officeDocument/2006/relationships/hyperlink" Target="http://www.grant-thornton.co.uk/Global/Publication_pdf/FRS102-briefing-paper.pdf" TargetMode="External"/><Relationship Id="rId14" Type="http://schemas.openxmlformats.org/officeDocument/2006/relationships/hyperlink" Target="http://siteresources.worldbank.org/EXTCENFINREPREF/Resources/Taxation_Conundrum.pdf" TargetMode="External"/><Relationship Id="rId22" Type="http://schemas.openxmlformats.org/officeDocument/2006/relationships/hyperlink" Target="AIM" TargetMode="External"/><Relationship Id="rId27" Type="http://schemas.openxmlformats.org/officeDocument/2006/relationships/hyperlink" Target="http://www8.gsb.columbia.edu/rtfiles/accounting/HANLON.pdf" TargetMode="External"/><Relationship Id="rId30" Type="http://schemas.openxmlformats.org/officeDocument/2006/relationships/hyperlink" Target="http://ris.dpmc.gov.au/2015/01/23/revised-accounting-standard-for-revenue-from-contracts-with-customers-regulation-impact-statement-australian-accounting-standards-board/" TargetMode="External"/><Relationship Id="rId35" Type="http://schemas.openxmlformats.org/officeDocument/2006/relationships/hyperlink" Target="https://www.legislation.gov.au/Details/F2017L01184/Explanatory%20Statement/Tex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Tax%20Board\Board%20of%20Taxation%20Repor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7F2E04CA2AAA104DB2D93AC73B6CBA42" ma:contentTypeVersion="14865" ma:contentTypeDescription="" ma:contentTypeScope="" ma:versionID="47b7b1a5ff459396844f5c0326deb2a1">
  <xsd:schema xmlns:xsd="http://www.w3.org/2001/XMLSchema" xmlns:xs="http://www.w3.org/2001/XMLSchema" xmlns:p="http://schemas.microsoft.com/office/2006/metadata/properties" xmlns:ns1="http://schemas.microsoft.com/sharepoint/v3" xmlns:ns2="0f563589-9cf9-4143-b1eb-fb0534803d38" xmlns:ns3="9f7bc583-7cbe-45b9-a2bd-8bbb6543b37e" xmlns:ns5="http://schemas.microsoft.com/sharepoint/v4" targetNamespace="http://schemas.microsoft.com/office/2006/metadata/properties" ma:root="true" ma:fieldsID="e929a2910a307a6ca8346e0528784012" ns1:_="" ns2:_="" ns3:_="" ns5:_="">
    <xsd:import namespace="http://schemas.microsoft.com/sharepoint/v3"/>
    <xsd:import namespace="0f563589-9cf9-4143-b1eb-fb0534803d38"/>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18;#GRA26-21135 - Retain as national archives|f1e1d764-3604-4ca6-bc54-6b106e291d6f"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GRA26-21135 - Retain as national archives</TermName>
          <TermId xmlns="http://schemas.microsoft.com/office/infopath/2007/PartnerControls">f1e1d764-3604-4ca6-bc54-6b106e291d6f</TermId>
        </TermInfo>
      </Terms>
    </lb508a4dc5e84436a0fe496b536466aa>
    <IconOverlay xmlns="http://schemas.microsoft.com/sharepoint/v4" xsi:nil="true"/>
    <TaxCatchAll xmlns="0f563589-9cf9-4143-b1eb-fb0534803d38">
      <Value>18</Value>
    </TaxCatchAll>
    <_dlc_DocId xmlns="0f563589-9cf9-4143-b1eb-fb0534803d38">2018RG-355-5036</_dlc_DocId>
    <_dlc_DocIdUrl xmlns="0f563589-9cf9-4143-b1eb-fb0534803d38">
      <Url>http://tweb/sites/rg/bots/projects/_layouts/15/DocIdRedir.aspx?ID=2018RG-355-5036</Url>
      <Description>2018RG-355-5036</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C80B0-F2B0-446F-A540-E79F05C40FAD}"/>
</file>

<file path=customXml/itemProps2.xml><?xml version="1.0" encoding="utf-8"?>
<ds:datastoreItem xmlns:ds="http://schemas.openxmlformats.org/officeDocument/2006/customXml" ds:itemID="{0F439800-2EC8-47FE-A2B6-A0FD43ED0C43}">
  <ds:schemaRefs>
    <ds:schemaRef ds:uri="http://schemas.microsoft.com/sharepoint/events"/>
  </ds:schemaRefs>
</ds:datastoreItem>
</file>

<file path=customXml/itemProps3.xml><?xml version="1.0" encoding="utf-8"?>
<ds:datastoreItem xmlns:ds="http://schemas.openxmlformats.org/officeDocument/2006/customXml" ds:itemID="{C20358B0-606E-4AF4-AA83-FE3D38748F1F}">
  <ds:schemaRefs>
    <ds:schemaRef ds:uri="office.server.policy"/>
  </ds:schemaRefs>
</ds:datastoreItem>
</file>

<file path=customXml/itemProps4.xml><?xml version="1.0" encoding="utf-8"?>
<ds:datastoreItem xmlns:ds="http://schemas.openxmlformats.org/officeDocument/2006/customXml" ds:itemID="{B6F127E6-16ED-4A1B-8A61-036F5130DAED}">
  <ds:schemaRefs>
    <ds:schemaRef ds:uri="http://schemas.microsoft.com/sharepoint/v3/contenttype/forms"/>
  </ds:schemaRefs>
</ds:datastoreItem>
</file>

<file path=customXml/itemProps5.xml><?xml version="1.0" encoding="utf-8"?>
<ds:datastoreItem xmlns:ds="http://schemas.openxmlformats.org/officeDocument/2006/customXml" ds:itemID="{BE286FC2-5299-48F8-9ED4-9517D3F558C1}">
  <ds:schemaRefs>
    <ds:schemaRef ds:uri="http://schemas.microsoft.com/office/infopath/2007/PartnerControls"/>
    <ds:schemaRef ds:uri="http://schemas.microsoft.com/sharepoint/v4"/>
    <ds:schemaRef ds:uri="http://schemas.microsoft.com/office/2006/documentManagement/types"/>
    <ds:schemaRef ds:uri="http://purl.org/dc/terms/"/>
    <ds:schemaRef ds:uri="http://purl.org/dc/dcmitype/"/>
    <ds:schemaRef ds:uri="http://schemas.microsoft.com/office/2006/metadata/properties"/>
    <ds:schemaRef ds:uri="http://purl.org/dc/elements/1.1/"/>
    <ds:schemaRef ds:uri="http://schemas.microsoft.com/sharepoint/v3"/>
    <ds:schemaRef ds:uri="http://schemas.openxmlformats.org/package/2006/metadata/core-properties"/>
    <ds:schemaRef ds:uri="9f7bc583-7cbe-45b9-a2bd-8bbb6543b37e"/>
    <ds:schemaRef ds:uri="http://www.w3.org/XML/1998/namespace"/>
  </ds:schemaRefs>
</ds:datastoreItem>
</file>

<file path=customXml/itemProps6.xml><?xml version="1.0" encoding="utf-8"?>
<ds:datastoreItem xmlns:ds="http://schemas.openxmlformats.org/officeDocument/2006/customXml" ds:itemID="{C5DD91D7-835E-4BEC-AABA-CA10D011B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Board of Taxation Reports.dotm</Template>
  <TotalTime>18</TotalTime>
  <Pages>24</Pages>
  <Words>5511</Words>
  <Characters>31657</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The Treasury</Company>
  <LinksUpToDate>false</LinksUpToDate>
  <CharactersWithSpaces>37094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Atkinson, Paul</dc:creator>
  <cp:lastModifiedBy>Atfield, Michael</cp:lastModifiedBy>
  <cp:revision>4</cp:revision>
  <cp:lastPrinted>2004-03-05T01:57:00Z</cp:lastPrinted>
  <dcterms:created xsi:type="dcterms:W3CDTF">2018-07-26T04:07:00Z</dcterms:created>
  <dcterms:modified xsi:type="dcterms:W3CDTF">2018-07-26T05:47:00Z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0x01010036BB8DE7EC542E42A8B2E98CC20CB697007F2E04CA2AAA104DB2D93AC73B6CBA42</vt:lpwstr>
  </property>
  <property fmtid="{D5CDD505-2E9C-101B-9397-08002B2CF9AE}" pid="3" name="TSYRecordClass">
    <vt:lpwstr>18;#GRA26-21135 - Retain as national archives|f1e1d764-3604-4ca6-bc54-6b106e291d6f</vt:lpwstr>
  </property>
  <property fmtid="{D5CDD505-2E9C-101B-9397-08002B2CF9AE}" pid="4" name="_dlc_DocIdItemGuid">
    <vt:lpwstr>1677a944-6d2b-42b2-845e-bd92c7fe64a7</vt:lpwstr>
  </property>
  <property fmtid="{D5CDD505-2E9C-101B-9397-08002B2CF9AE}" pid="5" name="WorkingDocStatus">
    <vt:lpwstr/>
  </property>
  <property fmtid="{D5CDD505-2E9C-101B-9397-08002B2CF9AE}" pid="6" name="_AdHocReviewCycleID">
    <vt:i4>995500043</vt:i4>
  </property>
  <property fmtid="{D5CDD505-2E9C-101B-9397-08002B2CF9AE}" pid="7" name="_NewReviewCycle">
    <vt:lpwstr/>
  </property>
  <property fmtid="{D5CDD505-2E9C-101B-9397-08002B2CF9AE}" pid="8" name="_EmailSubject">
    <vt:lpwstr>Request for new web page - Exploring the potential to align accounting and tax systems in Australia #335685 [SEC=UNCLASSIFIED]</vt:lpwstr>
  </property>
  <property fmtid="{D5CDD505-2E9C-101B-9397-08002B2CF9AE}" pid="9" name="_AuthorEmail">
    <vt:lpwstr>Paul.Atkinson@TREASURY.GOV.AU</vt:lpwstr>
  </property>
  <property fmtid="{D5CDD505-2E9C-101B-9397-08002B2CF9AE}" pid="10" name="_AuthorEmailDisplayName">
    <vt:lpwstr>Atkinson, Paul</vt:lpwstr>
  </property>
</Properties>
</file>