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98096" w14:textId="77777777" w:rsidR="000E0B74" w:rsidRPr="006D0240" w:rsidRDefault="000E0B74" w:rsidP="008E6292"/>
    <w:p w14:paraId="5ED6CDF6" w14:textId="77777777" w:rsidR="00254D20" w:rsidRDefault="00254D20" w:rsidP="00E712D3"/>
    <w:p w14:paraId="71A83D8A" w14:textId="77777777" w:rsidR="00254D20" w:rsidRDefault="00254D20" w:rsidP="00E712D3"/>
    <w:p w14:paraId="5E4DDBE7" w14:textId="77777777" w:rsidR="00254D20" w:rsidRDefault="00254D20" w:rsidP="00E712D3"/>
    <w:p w14:paraId="6BFA2806" w14:textId="77777777" w:rsidR="00254D20" w:rsidRDefault="009C6248" w:rsidP="009C6248">
      <w:pPr>
        <w:tabs>
          <w:tab w:val="right" w:pos="9070"/>
        </w:tabs>
      </w:pPr>
      <w:r>
        <w:tab/>
      </w:r>
    </w:p>
    <w:p w14:paraId="76DE58BA" w14:textId="77777777" w:rsidR="00254D20" w:rsidRDefault="00254D20" w:rsidP="00E712D3"/>
    <w:p w14:paraId="4AFEBCA6" w14:textId="77777777" w:rsidR="00254D20" w:rsidRDefault="00254D20" w:rsidP="00E712D3"/>
    <w:p w14:paraId="2998077E" w14:textId="77777777" w:rsidR="00254D20" w:rsidRDefault="00254D20" w:rsidP="00E712D3"/>
    <w:p w14:paraId="486448C9" w14:textId="77777777" w:rsidR="00254D20" w:rsidRDefault="00254D20" w:rsidP="00E712D3"/>
    <w:p w14:paraId="4A4922F5" w14:textId="77777777" w:rsidR="00254D20" w:rsidRPr="00E712D3" w:rsidRDefault="00254D20" w:rsidP="00E712D3"/>
    <w:p w14:paraId="72CEE5F8" w14:textId="77777777" w:rsidR="000E0B74" w:rsidRPr="008D3BC2" w:rsidRDefault="00515D96" w:rsidP="00E712D3">
      <w:pPr>
        <w:pStyle w:val="Title"/>
        <w:rPr>
          <w:sz w:val="52"/>
          <w:szCs w:val="56"/>
        </w:rPr>
      </w:pPr>
      <w:r w:rsidRPr="008D3BC2">
        <w:rPr>
          <w:sz w:val="52"/>
        </w:rPr>
        <w:t xml:space="preserve">Review of the Income Tax </w:t>
      </w:r>
      <w:r w:rsidR="00D84B47" w:rsidRPr="008D3BC2">
        <w:rPr>
          <w:sz w:val="52"/>
        </w:rPr>
        <w:br/>
      </w:r>
      <w:r w:rsidRPr="008D3BC2">
        <w:rPr>
          <w:sz w:val="52"/>
        </w:rPr>
        <w:t>Residency Rules</w:t>
      </w:r>
      <w:r w:rsidR="00D84B47" w:rsidRPr="008D3BC2">
        <w:rPr>
          <w:sz w:val="52"/>
        </w:rPr>
        <w:t xml:space="preserve"> for individuals</w:t>
      </w:r>
    </w:p>
    <w:p w14:paraId="06595A8D" w14:textId="77777777" w:rsidR="000E0B74" w:rsidRPr="008D3BC2" w:rsidRDefault="003857B7" w:rsidP="003857B7">
      <w:pPr>
        <w:pStyle w:val="Subtitle"/>
        <w:spacing w:after="3000"/>
      </w:pPr>
      <w:r w:rsidRPr="008D3BC2">
        <w:t>Consultation Guide</w:t>
      </w:r>
    </w:p>
    <w:p w14:paraId="2CF385A7" w14:textId="50307799" w:rsidR="00056880" w:rsidRPr="008D3BC2" w:rsidRDefault="00440A56" w:rsidP="000E0B74">
      <w:pPr>
        <w:pStyle w:val="ReportDate"/>
        <w:ind w:right="0"/>
        <w:rPr>
          <w:rFonts w:ascii="Rockwell" w:hAnsi="Rockwell"/>
          <w:sz w:val="24"/>
        </w:rPr>
      </w:pPr>
      <w:r>
        <w:rPr>
          <w:rStyle w:val="ReportDateChar"/>
        </w:rPr>
        <w:t>September</w:t>
      </w:r>
      <w:r w:rsidR="008875CD" w:rsidRPr="008D3BC2">
        <w:rPr>
          <w:rStyle w:val="ReportDateChar"/>
        </w:rPr>
        <w:t xml:space="preserve"> </w:t>
      </w:r>
      <w:r w:rsidR="003857B7" w:rsidRPr="008D3BC2">
        <w:rPr>
          <w:rStyle w:val="ReportDateChar"/>
        </w:rPr>
        <w:t>2018</w:t>
      </w:r>
    </w:p>
    <w:p w14:paraId="155B1483" w14:textId="77777777" w:rsidR="002F617F" w:rsidRPr="008D3BC2" w:rsidRDefault="00E27F7C" w:rsidP="002F617F">
      <w:pPr>
        <w:pStyle w:val="Divider"/>
      </w:pPr>
      <w:r w:rsidRPr="008D3BC2">
        <w:rPr>
          <w:noProof/>
        </w:rPr>
        <w:drawing>
          <wp:anchor distT="0" distB="0" distL="114300" distR="114300" simplePos="0" relativeHeight="251658240" behindDoc="1" locked="0" layoutInCell="1" allowOverlap="1" wp14:anchorId="140E5976" wp14:editId="058AB254">
            <wp:simplePos x="904875" y="1466850"/>
            <wp:positionH relativeFrom="page">
              <wp:align>center</wp:align>
            </wp:positionH>
            <wp:positionV relativeFrom="page">
              <wp:align>center</wp:align>
            </wp:positionV>
            <wp:extent cx="7560360" cy="106945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Consultation guid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360" cy="10694520"/>
                    </a:xfrm>
                    <a:prstGeom prst="rect">
                      <a:avLst/>
                    </a:prstGeom>
                  </pic:spPr>
                </pic:pic>
              </a:graphicData>
            </a:graphic>
            <wp14:sizeRelH relativeFrom="margin">
              <wp14:pctWidth>0</wp14:pctWidth>
            </wp14:sizeRelH>
            <wp14:sizeRelV relativeFrom="margin">
              <wp14:pctHeight>0</wp14:pctHeight>
            </wp14:sizeRelV>
          </wp:anchor>
        </w:drawing>
      </w:r>
    </w:p>
    <w:p w14:paraId="622EABF2" w14:textId="77777777" w:rsidR="002F617F" w:rsidRPr="008D3BC2" w:rsidRDefault="002F617F"/>
    <w:p w14:paraId="33875242" w14:textId="77777777" w:rsidR="000E0B74" w:rsidRPr="008D3BC2" w:rsidRDefault="000E0B74" w:rsidP="000E0B74">
      <w:pPr>
        <w:rPr>
          <w:rFonts w:cs="Calibri"/>
          <w:sz w:val="20"/>
        </w:rPr>
      </w:pPr>
    </w:p>
    <w:p w14:paraId="696B84AB" w14:textId="77777777" w:rsidR="000E0B74" w:rsidRPr="008D3BC2" w:rsidRDefault="000E0B74" w:rsidP="000E0B74">
      <w:pPr>
        <w:sectPr w:rsidR="000E0B74" w:rsidRPr="008D3BC2" w:rsidSect="00C01DCC">
          <w:headerReference w:type="default" r:id="rId15"/>
          <w:footerReference w:type="even" r:id="rId16"/>
          <w:pgSz w:w="11906" w:h="16838"/>
          <w:pgMar w:top="1418" w:right="1418" w:bottom="1418" w:left="1418" w:header="709" w:footer="709" w:gutter="0"/>
          <w:cols w:space="720"/>
        </w:sectPr>
      </w:pPr>
    </w:p>
    <w:p w14:paraId="5CCD7407" w14:textId="77777777" w:rsidR="000E0B74" w:rsidRPr="008D3BC2" w:rsidRDefault="000E0B74" w:rsidP="00ED53E0">
      <w:pPr>
        <w:pStyle w:val="Heading1"/>
        <w:spacing w:before="0"/>
      </w:pPr>
      <w:bookmarkStart w:id="0" w:name="_Toc504653882"/>
      <w:bookmarkStart w:id="1" w:name="_Toc516652249"/>
      <w:bookmarkStart w:id="2" w:name="_Toc525312270"/>
      <w:r w:rsidRPr="008D3BC2">
        <w:lastRenderedPageBreak/>
        <w:t>Contents</w:t>
      </w:r>
      <w:bookmarkEnd w:id="0"/>
      <w:bookmarkEnd w:id="1"/>
      <w:bookmarkEnd w:id="2"/>
    </w:p>
    <w:bookmarkStart w:id="3" w:name="_Toc432067103"/>
    <w:bookmarkStart w:id="4" w:name="_Toc452635030"/>
    <w:p w14:paraId="5000DE2B" w14:textId="77777777" w:rsidR="00440A56" w:rsidRDefault="005A04C7">
      <w:pPr>
        <w:pStyle w:val="TOC1"/>
        <w:rPr>
          <w:rFonts w:asciiTheme="minorHAnsi" w:eastAsiaTheme="minorEastAsia" w:hAnsiTheme="minorHAnsi" w:cstheme="minorBidi"/>
          <w:b w:val="0"/>
          <w:color w:val="auto"/>
        </w:rPr>
      </w:pPr>
      <w:r w:rsidRPr="008D3BC2">
        <w:fldChar w:fldCharType="begin"/>
      </w:r>
      <w:r w:rsidRPr="008D3BC2">
        <w:instrText xml:space="preserve"> TOC \o "1-1" \h \z </w:instrText>
      </w:r>
      <w:r w:rsidRPr="008D3BC2">
        <w:fldChar w:fldCharType="separate"/>
      </w:r>
      <w:hyperlink w:anchor="_Toc525312270" w:history="1">
        <w:r w:rsidR="00440A56" w:rsidRPr="00E64C81">
          <w:rPr>
            <w:rStyle w:val="Hyperlink"/>
          </w:rPr>
          <w:t>Contents</w:t>
        </w:r>
        <w:r w:rsidR="00440A56">
          <w:rPr>
            <w:webHidden/>
          </w:rPr>
          <w:tab/>
        </w:r>
        <w:r w:rsidR="00440A56">
          <w:rPr>
            <w:webHidden/>
          </w:rPr>
          <w:fldChar w:fldCharType="begin"/>
        </w:r>
        <w:r w:rsidR="00440A56">
          <w:rPr>
            <w:webHidden/>
          </w:rPr>
          <w:instrText xml:space="preserve"> PAGEREF _Toc525312270 \h </w:instrText>
        </w:r>
        <w:r w:rsidR="00440A56">
          <w:rPr>
            <w:webHidden/>
          </w:rPr>
        </w:r>
        <w:r w:rsidR="00440A56">
          <w:rPr>
            <w:webHidden/>
          </w:rPr>
          <w:fldChar w:fldCharType="separate"/>
        </w:r>
        <w:r w:rsidR="007D48CA">
          <w:rPr>
            <w:webHidden/>
          </w:rPr>
          <w:t>2</w:t>
        </w:r>
        <w:r w:rsidR="00440A56">
          <w:rPr>
            <w:webHidden/>
          </w:rPr>
          <w:fldChar w:fldCharType="end"/>
        </w:r>
      </w:hyperlink>
    </w:p>
    <w:p w14:paraId="4C57ED87" w14:textId="77777777" w:rsidR="00440A56" w:rsidRDefault="007D48CA">
      <w:pPr>
        <w:pStyle w:val="TOC1"/>
        <w:rPr>
          <w:rFonts w:asciiTheme="minorHAnsi" w:eastAsiaTheme="minorEastAsia" w:hAnsiTheme="minorHAnsi" w:cstheme="minorBidi"/>
          <w:b w:val="0"/>
          <w:color w:val="auto"/>
        </w:rPr>
      </w:pPr>
      <w:hyperlink w:anchor="_Toc525312271" w:history="1">
        <w:r w:rsidR="00440A56" w:rsidRPr="00E64C81">
          <w:rPr>
            <w:rStyle w:val="Hyperlink"/>
          </w:rPr>
          <w:t>The Board’s Review</w:t>
        </w:r>
        <w:r w:rsidR="00440A56">
          <w:rPr>
            <w:webHidden/>
          </w:rPr>
          <w:tab/>
        </w:r>
        <w:r w:rsidR="00440A56">
          <w:rPr>
            <w:webHidden/>
          </w:rPr>
          <w:fldChar w:fldCharType="begin"/>
        </w:r>
        <w:r w:rsidR="00440A56">
          <w:rPr>
            <w:webHidden/>
          </w:rPr>
          <w:instrText xml:space="preserve"> PAGEREF _Toc525312271 \h </w:instrText>
        </w:r>
        <w:r w:rsidR="00440A56">
          <w:rPr>
            <w:webHidden/>
          </w:rPr>
        </w:r>
        <w:r w:rsidR="00440A56">
          <w:rPr>
            <w:webHidden/>
          </w:rPr>
          <w:fldChar w:fldCharType="separate"/>
        </w:r>
        <w:r>
          <w:rPr>
            <w:webHidden/>
          </w:rPr>
          <w:t>3</w:t>
        </w:r>
        <w:r w:rsidR="00440A56">
          <w:rPr>
            <w:webHidden/>
          </w:rPr>
          <w:fldChar w:fldCharType="end"/>
        </w:r>
      </w:hyperlink>
    </w:p>
    <w:p w14:paraId="6440245D" w14:textId="77777777" w:rsidR="00440A56" w:rsidRDefault="007D48CA">
      <w:pPr>
        <w:pStyle w:val="TOC1"/>
        <w:rPr>
          <w:rFonts w:asciiTheme="minorHAnsi" w:eastAsiaTheme="minorEastAsia" w:hAnsiTheme="minorHAnsi" w:cstheme="minorBidi"/>
          <w:b w:val="0"/>
          <w:color w:val="auto"/>
        </w:rPr>
      </w:pPr>
      <w:hyperlink w:anchor="_Toc525312272" w:history="1">
        <w:r w:rsidR="00440A56" w:rsidRPr="00E64C81">
          <w:rPr>
            <w:rStyle w:val="Hyperlink"/>
          </w:rPr>
          <w:t>Current Individual Income Tax Residency Rules</w:t>
        </w:r>
        <w:r w:rsidR="00440A56">
          <w:rPr>
            <w:webHidden/>
          </w:rPr>
          <w:tab/>
        </w:r>
        <w:r w:rsidR="00440A56">
          <w:rPr>
            <w:webHidden/>
          </w:rPr>
          <w:fldChar w:fldCharType="begin"/>
        </w:r>
        <w:r w:rsidR="00440A56">
          <w:rPr>
            <w:webHidden/>
          </w:rPr>
          <w:instrText xml:space="preserve"> PAGEREF _Toc525312272 \h </w:instrText>
        </w:r>
        <w:r w:rsidR="00440A56">
          <w:rPr>
            <w:webHidden/>
          </w:rPr>
        </w:r>
        <w:r w:rsidR="00440A56">
          <w:rPr>
            <w:webHidden/>
          </w:rPr>
          <w:fldChar w:fldCharType="separate"/>
        </w:r>
        <w:r>
          <w:rPr>
            <w:webHidden/>
          </w:rPr>
          <w:t>4</w:t>
        </w:r>
        <w:r w:rsidR="00440A56">
          <w:rPr>
            <w:webHidden/>
          </w:rPr>
          <w:fldChar w:fldCharType="end"/>
        </w:r>
      </w:hyperlink>
    </w:p>
    <w:p w14:paraId="0BBFF934" w14:textId="77777777" w:rsidR="00440A56" w:rsidRDefault="007D48CA">
      <w:pPr>
        <w:pStyle w:val="TOC1"/>
        <w:rPr>
          <w:rFonts w:asciiTheme="minorHAnsi" w:eastAsiaTheme="minorEastAsia" w:hAnsiTheme="minorHAnsi" w:cstheme="minorBidi"/>
          <w:b w:val="0"/>
          <w:color w:val="auto"/>
        </w:rPr>
      </w:pPr>
      <w:hyperlink w:anchor="_Toc525312273" w:history="1">
        <w:r w:rsidR="00440A56" w:rsidRPr="00E64C81">
          <w:rPr>
            <w:rStyle w:val="Hyperlink"/>
          </w:rPr>
          <w:t>Proposal for new residency rules</w:t>
        </w:r>
        <w:r w:rsidR="00440A56">
          <w:rPr>
            <w:webHidden/>
          </w:rPr>
          <w:tab/>
        </w:r>
        <w:r w:rsidR="00440A56">
          <w:rPr>
            <w:webHidden/>
          </w:rPr>
          <w:fldChar w:fldCharType="begin"/>
        </w:r>
        <w:r w:rsidR="00440A56">
          <w:rPr>
            <w:webHidden/>
          </w:rPr>
          <w:instrText xml:space="preserve"> PAGEREF _Toc525312273 \h </w:instrText>
        </w:r>
        <w:r w:rsidR="00440A56">
          <w:rPr>
            <w:webHidden/>
          </w:rPr>
        </w:r>
        <w:r w:rsidR="00440A56">
          <w:rPr>
            <w:webHidden/>
          </w:rPr>
          <w:fldChar w:fldCharType="separate"/>
        </w:r>
        <w:r>
          <w:rPr>
            <w:webHidden/>
          </w:rPr>
          <w:t>5</w:t>
        </w:r>
        <w:r w:rsidR="00440A56">
          <w:rPr>
            <w:webHidden/>
          </w:rPr>
          <w:fldChar w:fldCharType="end"/>
        </w:r>
      </w:hyperlink>
    </w:p>
    <w:p w14:paraId="5EC7E534" w14:textId="77777777" w:rsidR="00440A56" w:rsidRDefault="007D48CA">
      <w:pPr>
        <w:pStyle w:val="TOC1"/>
        <w:rPr>
          <w:rFonts w:asciiTheme="minorHAnsi" w:eastAsiaTheme="minorEastAsia" w:hAnsiTheme="minorHAnsi" w:cstheme="minorBidi"/>
          <w:b w:val="0"/>
          <w:color w:val="auto"/>
        </w:rPr>
      </w:pPr>
      <w:hyperlink w:anchor="_Toc525312274" w:history="1">
        <w:r w:rsidR="00440A56" w:rsidRPr="00E64C81">
          <w:rPr>
            <w:rStyle w:val="Hyperlink"/>
          </w:rPr>
          <w:t>Core design features</w:t>
        </w:r>
        <w:r w:rsidR="00440A56">
          <w:rPr>
            <w:webHidden/>
          </w:rPr>
          <w:tab/>
        </w:r>
        <w:r w:rsidR="00440A56">
          <w:rPr>
            <w:webHidden/>
          </w:rPr>
          <w:fldChar w:fldCharType="begin"/>
        </w:r>
        <w:r w:rsidR="00440A56">
          <w:rPr>
            <w:webHidden/>
          </w:rPr>
          <w:instrText xml:space="preserve"> PAGEREF _Toc525312274 \h </w:instrText>
        </w:r>
        <w:r w:rsidR="00440A56">
          <w:rPr>
            <w:webHidden/>
          </w:rPr>
        </w:r>
        <w:r w:rsidR="00440A56">
          <w:rPr>
            <w:webHidden/>
          </w:rPr>
          <w:fldChar w:fldCharType="separate"/>
        </w:r>
        <w:r>
          <w:rPr>
            <w:webHidden/>
          </w:rPr>
          <w:t>7</w:t>
        </w:r>
        <w:r w:rsidR="00440A56">
          <w:rPr>
            <w:webHidden/>
          </w:rPr>
          <w:fldChar w:fldCharType="end"/>
        </w:r>
      </w:hyperlink>
    </w:p>
    <w:p w14:paraId="35B0E744" w14:textId="77777777" w:rsidR="00440A56" w:rsidRDefault="007D48CA">
      <w:pPr>
        <w:pStyle w:val="TOC1"/>
        <w:rPr>
          <w:rFonts w:asciiTheme="minorHAnsi" w:eastAsiaTheme="minorEastAsia" w:hAnsiTheme="minorHAnsi" w:cstheme="minorBidi"/>
          <w:b w:val="0"/>
          <w:color w:val="auto"/>
        </w:rPr>
      </w:pPr>
      <w:hyperlink w:anchor="_Toc525312275" w:history="1">
        <w:r w:rsidR="00440A56" w:rsidRPr="00E64C81">
          <w:rPr>
            <w:rStyle w:val="Hyperlink"/>
          </w:rPr>
          <w:t>Further design features</w:t>
        </w:r>
        <w:r w:rsidR="00440A56">
          <w:rPr>
            <w:webHidden/>
          </w:rPr>
          <w:tab/>
        </w:r>
        <w:r w:rsidR="00440A56">
          <w:rPr>
            <w:webHidden/>
          </w:rPr>
          <w:fldChar w:fldCharType="begin"/>
        </w:r>
        <w:r w:rsidR="00440A56">
          <w:rPr>
            <w:webHidden/>
          </w:rPr>
          <w:instrText xml:space="preserve"> PAGEREF _Toc525312275 \h </w:instrText>
        </w:r>
        <w:r w:rsidR="00440A56">
          <w:rPr>
            <w:webHidden/>
          </w:rPr>
        </w:r>
        <w:r w:rsidR="00440A56">
          <w:rPr>
            <w:webHidden/>
          </w:rPr>
          <w:fldChar w:fldCharType="separate"/>
        </w:r>
        <w:r>
          <w:rPr>
            <w:webHidden/>
          </w:rPr>
          <w:t>17</w:t>
        </w:r>
        <w:r w:rsidR="00440A56">
          <w:rPr>
            <w:webHidden/>
          </w:rPr>
          <w:fldChar w:fldCharType="end"/>
        </w:r>
      </w:hyperlink>
    </w:p>
    <w:p w14:paraId="5EA4DA57" w14:textId="77777777" w:rsidR="00440A56" w:rsidRDefault="007D48CA">
      <w:pPr>
        <w:pStyle w:val="TOC1"/>
        <w:rPr>
          <w:rFonts w:asciiTheme="minorHAnsi" w:eastAsiaTheme="minorEastAsia" w:hAnsiTheme="minorHAnsi" w:cstheme="minorBidi"/>
          <w:b w:val="0"/>
          <w:color w:val="auto"/>
        </w:rPr>
      </w:pPr>
      <w:hyperlink w:anchor="_Toc525312276" w:history="1">
        <w:r w:rsidR="00440A56" w:rsidRPr="00E64C81">
          <w:rPr>
            <w:rStyle w:val="Hyperlink"/>
          </w:rPr>
          <w:t>Expected impacts of the proposed change</w:t>
        </w:r>
        <w:r w:rsidR="00440A56">
          <w:rPr>
            <w:webHidden/>
          </w:rPr>
          <w:tab/>
        </w:r>
        <w:r w:rsidR="00440A56">
          <w:rPr>
            <w:webHidden/>
          </w:rPr>
          <w:fldChar w:fldCharType="begin"/>
        </w:r>
        <w:r w:rsidR="00440A56">
          <w:rPr>
            <w:webHidden/>
          </w:rPr>
          <w:instrText xml:space="preserve"> PAGEREF _Toc525312276 \h </w:instrText>
        </w:r>
        <w:r w:rsidR="00440A56">
          <w:rPr>
            <w:webHidden/>
          </w:rPr>
        </w:r>
        <w:r w:rsidR="00440A56">
          <w:rPr>
            <w:webHidden/>
          </w:rPr>
          <w:fldChar w:fldCharType="separate"/>
        </w:r>
        <w:r>
          <w:rPr>
            <w:webHidden/>
          </w:rPr>
          <w:t>26</w:t>
        </w:r>
        <w:r w:rsidR="00440A56">
          <w:rPr>
            <w:webHidden/>
          </w:rPr>
          <w:fldChar w:fldCharType="end"/>
        </w:r>
      </w:hyperlink>
    </w:p>
    <w:p w14:paraId="7559361C" w14:textId="77777777" w:rsidR="00440A56" w:rsidRDefault="007D48CA">
      <w:pPr>
        <w:pStyle w:val="TOC1"/>
        <w:rPr>
          <w:rFonts w:asciiTheme="minorHAnsi" w:eastAsiaTheme="minorEastAsia" w:hAnsiTheme="minorHAnsi" w:cstheme="minorBidi"/>
          <w:b w:val="0"/>
          <w:color w:val="auto"/>
        </w:rPr>
      </w:pPr>
      <w:hyperlink w:anchor="_Toc525312277" w:history="1">
        <w:r w:rsidR="00440A56" w:rsidRPr="00E64C81">
          <w:rPr>
            <w:rStyle w:val="Hyperlink"/>
          </w:rPr>
          <w:t>Consultation process</w:t>
        </w:r>
        <w:r w:rsidR="00440A56">
          <w:rPr>
            <w:webHidden/>
          </w:rPr>
          <w:tab/>
        </w:r>
        <w:r w:rsidR="00440A56">
          <w:rPr>
            <w:webHidden/>
          </w:rPr>
          <w:fldChar w:fldCharType="begin"/>
        </w:r>
        <w:r w:rsidR="00440A56">
          <w:rPr>
            <w:webHidden/>
          </w:rPr>
          <w:instrText xml:space="preserve"> PAGEREF _Toc525312277 \h </w:instrText>
        </w:r>
        <w:r w:rsidR="00440A56">
          <w:rPr>
            <w:webHidden/>
          </w:rPr>
        </w:r>
        <w:r w:rsidR="00440A56">
          <w:rPr>
            <w:webHidden/>
          </w:rPr>
          <w:fldChar w:fldCharType="separate"/>
        </w:r>
        <w:r>
          <w:rPr>
            <w:webHidden/>
          </w:rPr>
          <w:t>27</w:t>
        </w:r>
        <w:r w:rsidR="00440A56">
          <w:rPr>
            <w:webHidden/>
          </w:rPr>
          <w:fldChar w:fldCharType="end"/>
        </w:r>
      </w:hyperlink>
    </w:p>
    <w:p w14:paraId="7A7DCFB2" w14:textId="77777777" w:rsidR="00440A56" w:rsidRDefault="007D48CA">
      <w:pPr>
        <w:pStyle w:val="TOC1"/>
        <w:rPr>
          <w:rFonts w:asciiTheme="minorHAnsi" w:eastAsiaTheme="minorEastAsia" w:hAnsiTheme="minorHAnsi" w:cstheme="minorBidi"/>
          <w:b w:val="0"/>
          <w:color w:val="auto"/>
        </w:rPr>
      </w:pPr>
      <w:hyperlink w:anchor="_Toc525312278" w:history="1">
        <w:r w:rsidR="00440A56" w:rsidRPr="00E64C81">
          <w:rPr>
            <w:rStyle w:val="Hyperlink"/>
          </w:rPr>
          <w:t>Annexure A: Summary of questions</w:t>
        </w:r>
        <w:r w:rsidR="00440A56">
          <w:rPr>
            <w:webHidden/>
          </w:rPr>
          <w:tab/>
        </w:r>
        <w:r w:rsidR="00440A56">
          <w:rPr>
            <w:webHidden/>
          </w:rPr>
          <w:fldChar w:fldCharType="begin"/>
        </w:r>
        <w:r w:rsidR="00440A56">
          <w:rPr>
            <w:webHidden/>
          </w:rPr>
          <w:instrText xml:space="preserve"> PAGEREF _Toc525312278 \h </w:instrText>
        </w:r>
        <w:r w:rsidR="00440A56">
          <w:rPr>
            <w:webHidden/>
          </w:rPr>
        </w:r>
        <w:r w:rsidR="00440A56">
          <w:rPr>
            <w:webHidden/>
          </w:rPr>
          <w:fldChar w:fldCharType="separate"/>
        </w:r>
        <w:r>
          <w:rPr>
            <w:webHidden/>
          </w:rPr>
          <w:t>29</w:t>
        </w:r>
        <w:r w:rsidR="00440A56">
          <w:rPr>
            <w:webHidden/>
          </w:rPr>
          <w:fldChar w:fldCharType="end"/>
        </w:r>
      </w:hyperlink>
    </w:p>
    <w:p w14:paraId="4795E5B6" w14:textId="77777777" w:rsidR="00440A56" w:rsidRDefault="007D48CA">
      <w:pPr>
        <w:pStyle w:val="TOC1"/>
        <w:rPr>
          <w:rFonts w:asciiTheme="minorHAnsi" w:eastAsiaTheme="minorEastAsia" w:hAnsiTheme="minorHAnsi" w:cstheme="minorBidi"/>
          <w:b w:val="0"/>
          <w:color w:val="auto"/>
        </w:rPr>
      </w:pPr>
      <w:hyperlink w:anchor="_Toc525312279" w:history="1">
        <w:r w:rsidR="00440A56" w:rsidRPr="00E64C81">
          <w:rPr>
            <w:rStyle w:val="Hyperlink"/>
          </w:rPr>
          <w:t>Annexure B: flow chart of existing rules</w:t>
        </w:r>
        <w:r w:rsidR="00440A56">
          <w:rPr>
            <w:webHidden/>
          </w:rPr>
          <w:tab/>
        </w:r>
        <w:r w:rsidR="00440A56">
          <w:rPr>
            <w:webHidden/>
          </w:rPr>
          <w:fldChar w:fldCharType="begin"/>
        </w:r>
        <w:r w:rsidR="00440A56">
          <w:rPr>
            <w:webHidden/>
          </w:rPr>
          <w:instrText xml:space="preserve"> PAGEREF _Toc525312279 \h </w:instrText>
        </w:r>
        <w:r w:rsidR="00440A56">
          <w:rPr>
            <w:webHidden/>
          </w:rPr>
        </w:r>
        <w:r w:rsidR="00440A56">
          <w:rPr>
            <w:webHidden/>
          </w:rPr>
          <w:fldChar w:fldCharType="separate"/>
        </w:r>
        <w:r>
          <w:rPr>
            <w:webHidden/>
          </w:rPr>
          <w:t>32</w:t>
        </w:r>
        <w:r w:rsidR="00440A56">
          <w:rPr>
            <w:webHidden/>
          </w:rPr>
          <w:fldChar w:fldCharType="end"/>
        </w:r>
      </w:hyperlink>
    </w:p>
    <w:p w14:paraId="5C9A4F4E" w14:textId="77777777" w:rsidR="00440A56" w:rsidRDefault="007D48CA">
      <w:pPr>
        <w:pStyle w:val="TOC1"/>
        <w:rPr>
          <w:rFonts w:asciiTheme="minorHAnsi" w:eastAsiaTheme="minorEastAsia" w:hAnsiTheme="minorHAnsi" w:cstheme="minorBidi"/>
          <w:b w:val="0"/>
          <w:color w:val="auto"/>
        </w:rPr>
      </w:pPr>
      <w:hyperlink w:anchor="_Toc525312280" w:history="1">
        <w:r w:rsidR="00440A56" w:rsidRPr="00E64C81">
          <w:rPr>
            <w:rStyle w:val="Hyperlink"/>
          </w:rPr>
          <w:t>Annexure C: international approaches to Government employees working offshore</w:t>
        </w:r>
        <w:r w:rsidR="00440A56">
          <w:rPr>
            <w:webHidden/>
          </w:rPr>
          <w:tab/>
        </w:r>
        <w:r w:rsidR="00440A56">
          <w:rPr>
            <w:webHidden/>
          </w:rPr>
          <w:fldChar w:fldCharType="begin"/>
        </w:r>
        <w:r w:rsidR="00440A56">
          <w:rPr>
            <w:webHidden/>
          </w:rPr>
          <w:instrText xml:space="preserve"> PAGEREF _Toc525312280 \h </w:instrText>
        </w:r>
        <w:r w:rsidR="00440A56">
          <w:rPr>
            <w:webHidden/>
          </w:rPr>
        </w:r>
        <w:r w:rsidR="00440A56">
          <w:rPr>
            <w:webHidden/>
          </w:rPr>
          <w:fldChar w:fldCharType="separate"/>
        </w:r>
        <w:r>
          <w:rPr>
            <w:webHidden/>
          </w:rPr>
          <w:t>33</w:t>
        </w:r>
        <w:r w:rsidR="00440A56">
          <w:rPr>
            <w:webHidden/>
          </w:rPr>
          <w:fldChar w:fldCharType="end"/>
        </w:r>
      </w:hyperlink>
    </w:p>
    <w:p w14:paraId="26E15B86" w14:textId="77777777" w:rsidR="00440A56" w:rsidRDefault="007D48CA">
      <w:pPr>
        <w:pStyle w:val="TOC1"/>
        <w:rPr>
          <w:rFonts w:asciiTheme="minorHAnsi" w:eastAsiaTheme="minorEastAsia" w:hAnsiTheme="minorHAnsi" w:cstheme="minorBidi"/>
          <w:b w:val="0"/>
          <w:color w:val="auto"/>
        </w:rPr>
      </w:pPr>
      <w:hyperlink w:anchor="_Toc525312281" w:history="1">
        <w:r w:rsidR="00440A56" w:rsidRPr="00E64C81">
          <w:rPr>
            <w:rStyle w:val="Hyperlink"/>
          </w:rPr>
          <w:t>Annexure D: About the Board of Taxation</w:t>
        </w:r>
        <w:r w:rsidR="00440A56">
          <w:rPr>
            <w:webHidden/>
          </w:rPr>
          <w:tab/>
        </w:r>
        <w:r w:rsidR="00440A56">
          <w:rPr>
            <w:webHidden/>
          </w:rPr>
          <w:fldChar w:fldCharType="begin"/>
        </w:r>
        <w:r w:rsidR="00440A56">
          <w:rPr>
            <w:webHidden/>
          </w:rPr>
          <w:instrText xml:space="preserve"> PAGEREF _Toc525312281 \h </w:instrText>
        </w:r>
        <w:r w:rsidR="00440A56">
          <w:rPr>
            <w:webHidden/>
          </w:rPr>
        </w:r>
        <w:r w:rsidR="00440A56">
          <w:rPr>
            <w:webHidden/>
          </w:rPr>
          <w:fldChar w:fldCharType="separate"/>
        </w:r>
        <w:r>
          <w:rPr>
            <w:webHidden/>
          </w:rPr>
          <w:t>37</w:t>
        </w:r>
        <w:r w:rsidR="00440A56">
          <w:rPr>
            <w:webHidden/>
          </w:rPr>
          <w:fldChar w:fldCharType="end"/>
        </w:r>
      </w:hyperlink>
    </w:p>
    <w:p w14:paraId="63494166" w14:textId="77777777" w:rsidR="00254D20" w:rsidRPr="008D3BC2" w:rsidRDefault="005A04C7" w:rsidP="00296283">
      <w:pPr>
        <w:tabs>
          <w:tab w:val="left" w:pos="7686"/>
        </w:tabs>
      </w:pPr>
      <w:r w:rsidRPr="008D3BC2">
        <w:fldChar w:fldCharType="end"/>
      </w:r>
    </w:p>
    <w:p w14:paraId="0C5EDB2C" w14:textId="77777777" w:rsidR="00B37C6C" w:rsidRPr="008D3BC2" w:rsidRDefault="00B37C6C" w:rsidP="00E712D3">
      <w:pPr>
        <w:sectPr w:rsidR="00B37C6C" w:rsidRPr="008D3BC2" w:rsidSect="009F0CB6">
          <w:headerReference w:type="even" r:id="rId17"/>
          <w:headerReference w:type="default" r:id="rId18"/>
          <w:footerReference w:type="even" r:id="rId19"/>
          <w:footerReference w:type="default" r:id="rId20"/>
          <w:headerReference w:type="first" r:id="rId21"/>
          <w:footerReference w:type="first" r:id="rId22"/>
          <w:pgSz w:w="11906" w:h="16838" w:code="9"/>
          <w:pgMar w:top="2835" w:right="1134" w:bottom="1985" w:left="1134" w:header="709" w:footer="1134" w:gutter="0"/>
          <w:cols w:space="708"/>
          <w:docGrid w:linePitch="360"/>
        </w:sectPr>
      </w:pPr>
    </w:p>
    <w:p w14:paraId="2E0AD6CA" w14:textId="77777777" w:rsidR="00475085" w:rsidRPr="008D3BC2" w:rsidRDefault="00AC3343" w:rsidP="00ED53E0">
      <w:pPr>
        <w:pStyle w:val="Heading1"/>
        <w:spacing w:before="0"/>
      </w:pPr>
      <w:bookmarkStart w:id="5" w:name="_Toc525312271"/>
      <w:bookmarkEnd w:id="3"/>
      <w:bookmarkEnd w:id="4"/>
      <w:r w:rsidRPr="008D3BC2">
        <w:t>The Board’s Review</w:t>
      </w:r>
      <w:bookmarkEnd w:id="5"/>
    </w:p>
    <w:p w14:paraId="70DED8E0" w14:textId="77777777" w:rsidR="00894F1A" w:rsidRPr="008D3BC2" w:rsidRDefault="00167D37" w:rsidP="005A04C7">
      <w:pPr>
        <w:pStyle w:val="Introductionparagraph"/>
      </w:pPr>
      <w:r w:rsidRPr="008D3BC2">
        <w:t>T</w:t>
      </w:r>
      <w:r w:rsidR="00AB3A72" w:rsidRPr="008D3BC2">
        <w:t>he Board of Taxation</w:t>
      </w:r>
      <w:r w:rsidR="00865FDB" w:rsidRPr="008D3BC2">
        <w:t xml:space="preserve"> (the Board)</w:t>
      </w:r>
      <w:r w:rsidR="00AB3A72" w:rsidRPr="008D3BC2">
        <w:t xml:space="preserve"> </w:t>
      </w:r>
      <w:r w:rsidR="006F5C93" w:rsidRPr="008D3BC2">
        <w:t>recently</w:t>
      </w:r>
      <w:r w:rsidR="00C51594" w:rsidRPr="008D3BC2">
        <w:t xml:space="preserve"> </w:t>
      </w:r>
      <w:r w:rsidR="001E7049" w:rsidRPr="008D3BC2">
        <w:t xml:space="preserve">completed </w:t>
      </w:r>
      <w:r w:rsidR="00C51594" w:rsidRPr="008D3BC2">
        <w:t xml:space="preserve">an </w:t>
      </w:r>
      <w:r w:rsidRPr="008D3BC2">
        <w:t xml:space="preserve">independent, self-initiated </w:t>
      </w:r>
      <w:r w:rsidR="00AB3A72" w:rsidRPr="008D3BC2">
        <w:t xml:space="preserve">review </w:t>
      </w:r>
      <w:r w:rsidR="00D16EA8" w:rsidRPr="008D3BC2">
        <w:t>of</w:t>
      </w:r>
      <w:r w:rsidR="00731532" w:rsidRPr="008D3BC2">
        <w:t xml:space="preserve"> Australia’s</w:t>
      </w:r>
      <w:r w:rsidR="00EB5B49" w:rsidRPr="008D3BC2">
        <w:t xml:space="preserve"> </w:t>
      </w:r>
      <w:r w:rsidR="00894F1A" w:rsidRPr="008D3BC2">
        <w:t>individual income tax residency rules</w:t>
      </w:r>
      <w:r w:rsidR="00AB3A72" w:rsidRPr="008D3BC2">
        <w:t xml:space="preserve">. </w:t>
      </w:r>
    </w:p>
    <w:p w14:paraId="3032ECE2" w14:textId="502C7CC6" w:rsidR="001974B6" w:rsidRPr="008D3BC2" w:rsidRDefault="00C51594" w:rsidP="001974B6">
      <w:r w:rsidRPr="008D3BC2">
        <w:t xml:space="preserve">As a result of this review, the Board prepared </w:t>
      </w:r>
      <w:r w:rsidR="006F5C93" w:rsidRPr="008D3BC2">
        <w:t xml:space="preserve">a </w:t>
      </w:r>
      <w:r w:rsidRPr="008D3BC2">
        <w:t xml:space="preserve">report </w:t>
      </w:r>
      <w:r w:rsidR="006F5C93" w:rsidRPr="008D3BC2">
        <w:t>‘</w:t>
      </w:r>
      <w:r w:rsidRPr="008D3BC2">
        <w:rPr>
          <w:i/>
        </w:rPr>
        <w:t>Review of the Income Tax Residency Rules</w:t>
      </w:r>
      <w:r w:rsidR="00440A56">
        <w:rPr>
          <w:i/>
        </w:rPr>
        <w:t xml:space="preserve"> for Individuals</w:t>
      </w:r>
      <w:r w:rsidR="006F5C93" w:rsidRPr="008D3BC2">
        <w:t>’</w:t>
      </w:r>
      <w:r w:rsidRPr="008D3BC2">
        <w:t xml:space="preserve">. </w:t>
      </w:r>
    </w:p>
    <w:p w14:paraId="2CB655F9" w14:textId="77777777" w:rsidR="00C51594" w:rsidRPr="008D3BC2" w:rsidRDefault="00C51594" w:rsidP="001974B6">
      <w:r w:rsidRPr="008D3BC2">
        <w:t xml:space="preserve">This report is available on the </w:t>
      </w:r>
      <w:hyperlink r:id="rId23" w:history="1">
        <w:r w:rsidRPr="008D3BC2">
          <w:rPr>
            <w:rStyle w:val="Hyperlink"/>
          </w:rPr>
          <w:t>Board’s website</w:t>
        </w:r>
      </w:hyperlink>
      <w:r w:rsidRPr="008D3BC2">
        <w:t>.</w:t>
      </w:r>
    </w:p>
    <w:p w14:paraId="6A0CE9F3" w14:textId="77777777" w:rsidR="003E6672" w:rsidRPr="008D3BC2" w:rsidRDefault="00C51594" w:rsidP="001974B6">
      <w:r w:rsidRPr="008D3BC2">
        <w:t>In the Board’s view, there is a strong case for reforming the individual tax residency rules for modernisation</w:t>
      </w:r>
      <w:r w:rsidR="00C57642" w:rsidRPr="008D3BC2">
        <w:t xml:space="preserve"> – they are uncertain, impose </w:t>
      </w:r>
      <w:r w:rsidR="006F5C93" w:rsidRPr="008D3BC2">
        <w:t>an inappropriately high compliance</w:t>
      </w:r>
      <w:r w:rsidR="00C57642" w:rsidRPr="008D3BC2">
        <w:t xml:space="preserve"> </w:t>
      </w:r>
      <w:r w:rsidR="006F5C93" w:rsidRPr="008D3BC2">
        <w:t xml:space="preserve">burden </w:t>
      </w:r>
      <w:r w:rsidR="00C57642" w:rsidRPr="008D3BC2">
        <w:t xml:space="preserve">and </w:t>
      </w:r>
      <w:r w:rsidR="006F5C93" w:rsidRPr="008D3BC2">
        <w:t xml:space="preserve">are </w:t>
      </w:r>
      <w:r w:rsidR="00C57642" w:rsidRPr="008D3BC2">
        <w:t>perceived to be subjective</w:t>
      </w:r>
      <w:r w:rsidR="006F5C93" w:rsidRPr="008D3BC2">
        <w:t>.</w:t>
      </w:r>
    </w:p>
    <w:p w14:paraId="0C780DD6" w14:textId="77777777" w:rsidR="00E657F6" w:rsidRPr="008D3BC2" w:rsidRDefault="00E657F6" w:rsidP="00E657F6">
      <w:r w:rsidRPr="008D3BC2">
        <w:t>While the Government has not taken a position on the Board’s recommendations, it supports the Board undertaking this further consultation to ensure that any proposed residency rules can be appropriately designed and targeted, with a focus on the integrity of the existing and proposed residency rules.</w:t>
      </w:r>
    </w:p>
    <w:p w14:paraId="74B77633" w14:textId="55B834C2" w:rsidR="00E657F6" w:rsidRPr="008D3BC2" w:rsidRDefault="00E657F6" w:rsidP="00E657F6">
      <w:r w:rsidRPr="008D3BC2">
        <w:t xml:space="preserve">In particular, the </w:t>
      </w:r>
      <w:r w:rsidR="008C35F9">
        <w:t>Government</w:t>
      </w:r>
      <w:r w:rsidRPr="008D3BC2">
        <w:t xml:space="preserve"> has asked the Board to consult further on its key recommendations, including how Australia could draw on residency tests in other countries.</w:t>
      </w:r>
    </w:p>
    <w:p w14:paraId="3D3E69DB" w14:textId="77777777" w:rsidR="004243CC" w:rsidRPr="008D3BC2" w:rsidRDefault="006F5C93" w:rsidP="001974B6">
      <w:r w:rsidRPr="008D3BC2">
        <w:t>The Board is now undertaking</w:t>
      </w:r>
      <w:r w:rsidR="00C51594" w:rsidRPr="008D3BC2">
        <w:t xml:space="preserve"> consultation on th</w:t>
      </w:r>
      <w:r w:rsidR="00F007D4" w:rsidRPr="008D3BC2">
        <w:t xml:space="preserve">e design of new residency rules (recommendations 1 – 8 of the Board’s report). </w:t>
      </w:r>
    </w:p>
    <w:p w14:paraId="1E6FBC9E" w14:textId="1FFBEB75" w:rsidR="00C51594" w:rsidRPr="008D3BC2" w:rsidRDefault="00F007D4" w:rsidP="001974B6">
      <w:r w:rsidRPr="008D3BC2">
        <w:t xml:space="preserve">The Board intends to focus consultation on modernising the residency definition </w:t>
      </w:r>
      <w:r w:rsidR="004243CC" w:rsidRPr="008D3BC2">
        <w:t xml:space="preserve">at this time. The Board </w:t>
      </w:r>
      <w:r w:rsidRPr="008D3BC2">
        <w:t xml:space="preserve">will not be </w:t>
      </w:r>
      <w:r w:rsidR="004243CC" w:rsidRPr="008D3BC2">
        <w:t xml:space="preserve">consulting on matters regarding recommendation 11, or matters it raised in </w:t>
      </w:r>
      <w:r w:rsidR="001E7049" w:rsidRPr="008D3BC2">
        <w:t>Annexure B</w:t>
      </w:r>
      <w:r w:rsidR="004243CC" w:rsidRPr="008D3BC2">
        <w:t>, during this consultation process</w:t>
      </w:r>
      <w:r w:rsidRPr="008D3BC2">
        <w:t>.</w:t>
      </w:r>
      <w:r w:rsidR="004243CC" w:rsidRPr="008D3BC2">
        <w:t xml:space="preserve"> </w:t>
      </w:r>
      <w:r w:rsidR="00643D00" w:rsidRPr="008D3BC2">
        <w:t xml:space="preserve">In particular, this consultation does not include matters involving the policy settings underpinning section 23AG of the </w:t>
      </w:r>
      <w:r w:rsidR="00643D00" w:rsidRPr="008D3BC2">
        <w:rPr>
          <w:i/>
        </w:rPr>
        <w:t>Income Tax Assessment Act 1936</w:t>
      </w:r>
      <w:r w:rsidR="00643D00" w:rsidRPr="008D3BC2">
        <w:t>.</w:t>
      </w:r>
    </w:p>
    <w:p w14:paraId="3FA3CCDE" w14:textId="77777777" w:rsidR="00475085" w:rsidRPr="008D3BC2" w:rsidRDefault="00C51594" w:rsidP="001974B6">
      <w:r w:rsidRPr="008D3BC2">
        <w:t>With t</w:t>
      </w:r>
      <w:r w:rsidR="00305FBC" w:rsidRPr="008D3BC2">
        <w:t>his Consultation Guide</w:t>
      </w:r>
      <w:r w:rsidRPr="008D3BC2">
        <w:t>, the Board is seeking views on options for reforming the individual income tax residency rules</w:t>
      </w:r>
      <w:r w:rsidR="00AB3A72" w:rsidRPr="008D3BC2">
        <w:t>.</w:t>
      </w:r>
    </w:p>
    <w:p w14:paraId="09F747D4" w14:textId="77777777" w:rsidR="005A04C7" w:rsidRPr="008D3BC2" w:rsidRDefault="005A04C7">
      <w:pPr>
        <w:spacing w:before="0" w:after="160" w:line="259" w:lineRule="auto"/>
      </w:pPr>
      <w:bookmarkStart w:id="6" w:name="_Toc516652251"/>
      <w:r w:rsidRPr="008D3BC2">
        <w:br w:type="page"/>
      </w:r>
    </w:p>
    <w:p w14:paraId="6E8B480F" w14:textId="77777777" w:rsidR="005A04C7" w:rsidRPr="008D3BC2" w:rsidRDefault="00CF7ACD" w:rsidP="00AC3343">
      <w:pPr>
        <w:pStyle w:val="Heading1"/>
        <w:spacing w:before="0"/>
      </w:pPr>
      <w:bookmarkStart w:id="7" w:name="_Toc525312272"/>
      <w:r w:rsidRPr="008D3BC2">
        <w:t>Current I</w:t>
      </w:r>
      <w:r w:rsidR="005A04C7" w:rsidRPr="008D3BC2">
        <w:t xml:space="preserve">ndividual </w:t>
      </w:r>
      <w:r w:rsidRPr="008D3BC2">
        <w:t>I</w:t>
      </w:r>
      <w:r w:rsidR="005A04C7" w:rsidRPr="008D3BC2">
        <w:t xml:space="preserve">ncome </w:t>
      </w:r>
      <w:r w:rsidRPr="008D3BC2">
        <w:t>T</w:t>
      </w:r>
      <w:r w:rsidR="005A04C7" w:rsidRPr="008D3BC2">
        <w:t xml:space="preserve">ax </w:t>
      </w:r>
      <w:r w:rsidRPr="008D3BC2">
        <w:t>R</w:t>
      </w:r>
      <w:r w:rsidR="005A04C7" w:rsidRPr="008D3BC2">
        <w:t>esidency</w:t>
      </w:r>
      <w:r w:rsidR="006F5C93" w:rsidRPr="008D3BC2">
        <w:t xml:space="preserve"> </w:t>
      </w:r>
      <w:r w:rsidRPr="008D3BC2">
        <w:t>R</w:t>
      </w:r>
      <w:r w:rsidR="006F5C93" w:rsidRPr="008D3BC2">
        <w:t>ules</w:t>
      </w:r>
      <w:bookmarkEnd w:id="7"/>
    </w:p>
    <w:p w14:paraId="7058628E" w14:textId="77777777" w:rsidR="000F676A" w:rsidRPr="008D3BC2" w:rsidRDefault="00CF7ACD" w:rsidP="003E0391">
      <w:pPr>
        <w:pStyle w:val="Heading3"/>
        <w:tabs>
          <w:tab w:val="left" w:pos="8364"/>
        </w:tabs>
      </w:pPr>
      <w:bookmarkStart w:id="8" w:name="_Toc516652264"/>
      <w:bookmarkEnd w:id="6"/>
      <w:r w:rsidRPr="008D3BC2">
        <w:t>Four tests make up Australia’s individual income tax residency rules.</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0F676A" w:rsidRPr="008D3BC2" w14:paraId="698AB5D5" w14:textId="77777777" w:rsidTr="00655FAD">
        <w:tc>
          <w:tcPr>
            <w:tcW w:w="2660" w:type="dxa"/>
            <w:tcBorders>
              <w:bottom w:val="single" w:sz="6" w:space="0" w:color="C00000"/>
            </w:tcBorders>
            <w:shd w:val="clear" w:color="auto" w:fill="F2F2F2" w:themeFill="background1" w:themeFillShade="F2"/>
          </w:tcPr>
          <w:p w14:paraId="09C9CC36" w14:textId="77777777" w:rsidR="000F676A" w:rsidRPr="008D3BC2" w:rsidRDefault="000F676A" w:rsidP="00655FAD">
            <w:pPr>
              <w:pStyle w:val="TableColumnHeadingCentred"/>
              <w:rPr>
                <w:bCs/>
                <w:color w:val="44546A" w:themeColor="text2"/>
                <w:sz w:val="22"/>
              </w:rPr>
            </w:pPr>
            <w:r w:rsidRPr="008D3BC2">
              <w:t>Test</w:t>
            </w:r>
          </w:p>
        </w:tc>
        <w:tc>
          <w:tcPr>
            <w:tcW w:w="7194" w:type="dxa"/>
            <w:tcBorders>
              <w:bottom w:val="single" w:sz="6" w:space="0" w:color="C00000"/>
            </w:tcBorders>
            <w:shd w:val="clear" w:color="auto" w:fill="F2F2F2" w:themeFill="background1" w:themeFillShade="F2"/>
          </w:tcPr>
          <w:p w14:paraId="1DABF961" w14:textId="77777777" w:rsidR="000F676A" w:rsidRPr="008D3BC2" w:rsidRDefault="000F676A" w:rsidP="00655FAD">
            <w:pPr>
              <w:pStyle w:val="TableColumnHeadingCentred"/>
              <w:rPr>
                <w:sz w:val="22"/>
              </w:rPr>
            </w:pPr>
            <w:r w:rsidRPr="008D3BC2">
              <w:t>Description</w:t>
            </w:r>
          </w:p>
        </w:tc>
      </w:tr>
      <w:tr w:rsidR="000F676A" w:rsidRPr="008D3BC2" w14:paraId="1D52B165" w14:textId="77777777" w:rsidTr="00655FAD">
        <w:tc>
          <w:tcPr>
            <w:tcW w:w="2660" w:type="dxa"/>
            <w:tcBorders>
              <w:top w:val="single" w:sz="6" w:space="0" w:color="C00000"/>
              <w:bottom w:val="single" w:sz="6" w:space="0" w:color="C00000"/>
            </w:tcBorders>
            <w:shd w:val="clear" w:color="auto" w:fill="FFFFFF" w:themeFill="background1"/>
          </w:tcPr>
          <w:p w14:paraId="096EA40B" w14:textId="77777777" w:rsidR="000F676A" w:rsidRPr="008D3BC2" w:rsidRDefault="000F676A" w:rsidP="00655FAD">
            <w:pPr>
              <w:pStyle w:val="TableColumnHeadingLeft"/>
              <w:rPr>
                <w:sz w:val="22"/>
              </w:rPr>
            </w:pPr>
            <w:r w:rsidRPr="008D3BC2">
              <w:t>Resides test</w:t>
            </w:r>
          </w:p>
        </w:tc>
        <w:tc>
          <w:tcPr>
            <w:tcW w:w="7194" w:type="dxa"/>
            <w:tcBorders>
              <w:top w:val="single" w:sz="6" w:space="0" w:color="C00000"/>
              <w:bottom w:val="single" w:sz="6" w:space="0" w:color="C00000"/>
            </w:tcBorders>
            <w:shd w:val="clear" w:color="auto" w:fill="FFFFFF" w:themeFill="background1"/>
          </w:tcPr>
          <w:p w14:paraId="7497F08A" w14:textId="77777777" w:rsidR="000F676A" w:rsidRPr="008D3BC2" w:rsidRDefault="000F676A" w:rsidP="000F676A">
            <w:pPr>
              <w:pStyle w:val="Bullet"/>
              <w:numPr>
                <w:ilvl w:val="0"/>
                <w:numId w:val="0"/>
              </w:numPr>
            </w:pPr>
            <w:r w:rsidRPr="008D3BC2">
              <w:t>A holistic review of a taxpayer’s circumstances to determine whether the common law test of ‘residency’ is satisfied. Commonly perceived as a subjective test, balancing various factors including:</w:t>
            </w:r>
          </w:p>
          <w:p w14:paraId="03F3E755" w14:textId="77777777" w:rsidR="000F676A" w:rsidRPr="008D3BC2" w:rsidRDefault="000F676A" w:rsidP="000F676A">
            <w:pPr>
              <w:pStyle w:val="Bullet"/>
              <w:ind w:left="601"/>
            </w:pPr>
            <w:r w:rsidRPr="008D3BC2">
              <w:t>the intention or purpose of their presence in Australia;</w:t>
            </w:r>
          </w:p>
          <w:p w14:paraId="3EFE4B78" w14:textId="77777777" w:rsidR="000F676A" w:rsidRPr="008D3BC2" w:rsidRDefault="000F676A" w:rsidP="000F676A">
            <w:pPr>
              <w:pStyle w:val="Bullet"/>
              <w:ind w:left="601"/>
            </w:pPr>
            <w:r w:rsidRPr="008D3BC2">
              <w:t>the family and business/employment ties;</w:t>
            </w:r>
          </w:p>
          <w:p w14:paraId="3CA21F26" w14:textId="77777777" w:rsidR="000F676A" w:rsidRPr="008D3BC2" w:rsidRDefault="000F676A" w:rsidP="000F676A">
            <w:pPr>
              <w:pStyle w:val="Bullet"/>
              <w:ind w:left="601"/>
            </w:pPr>
            <w:r w:rsidRPr="008D3BC2">
              <w:t>the maintenance and location of assets; and</w:t>
            </w:r>
          </w:p>
          <w:p w14:paraId="3291C581" w14:textId="77777777" w:rsidR="000F676A" w:rsidRPr="008D3BC2" w:rsidRDefault="000F676A" w:rsidP="000F676A">
            <w:pPr>
              <w:pStyle w:val="Bullet"/>
              <w:ind w:left="601"/>
            </w:pPr>
            <w:proofErr w:type="gramStart"/>
            <w:r w:rsidRPr="008D3BC2">
              <w:t>the</w:t>
            </w:r>
            <w:proofErr w:type="gramEnd"/>
            <w:r w:rsidRPr="008D3BC2">
              <w:t xml:space="preserve"> social and living arrangements.</w:t>
            </w:r>
          </w:p>
        </w:tc>
      </w:tr>
      <w:tr w:rsidR="000F676A" w:rsidRPr="008D3BC2" w14:paraId="09FBC364" w14:textId="77777777" w:rsidTr="00655FAD">
        <w:tc>
          <w:tcPr>
            <w:tcW w:w="2660" w:type="dxa"/>
            <w:tcBorders>
              <w:top w:val="single" w:sz="6" w:space="0" w:color="C00000"/>
              <w:bottom w:val="single" w:sz="6" w:space="0" w:color="C00000"/>
            </w:tcBorders>
            <w:shd w:val="clear" w:color="auto" w:fill="FFFFFF" w:themeFill="background1"/>
          </w:tcPr>
          <w:p w14:paraId="086C26C4" w14:textId="77777777" w:rsidR="000F676A" w:rsidRPr="008D3BC2" w:rsidRDefault="000F676A" w:rsidP="00655FAD">
            <w:pPr>
              <w:pStyle w:val="TableColumnHeadingLeft"/>
            </w:pPr>
            <w:r w:rsidRPr="008D3BC2">
              <w:t>Domicile test</w:t>
            </w:r>
          </w:p>
        </w:tc>
        <w:tc>
          <w:tcPr>
            <w:tcW w:w="7194" w:type="dxa"/>
            <w:tcBorders>
              <w:top w:val="single" w:sz="6" w:space="0" w:color="C00000"/>
              <w:bottom w:val="single" w:sz="6" w:space="0" w:color="C00000"/>
            </w:tcBorders>
            <w:shd w:val="clear" w:color="auto" w:fill="FFFFFF" w:themeFill="background1"/>
          </w:tcPr>
          <w:p w14:paraId="3817F416" w14:textId="77777777" w:rsidR="000F676A" w:rsidRPr="008D3BC2" w:rsidRDefault="000F676A" w:rsidP="003E0391">
            <w:pPr>
              <w:pStyle w:val="TableTextLeft"/>
            </w:pPr>
            <w:r w:rsidRPr="008D3BC2">
              <w:rPr>
                <w:sz w:val="20"/>
              </w:rPr>
              <w:t xml:space="preserve">A taxpayer is a resident of Australia </w:t>
            </w:r>
            <w:r w:rsidR="003E0391" w:rsidRPr="008D3BC2">
              <w:rPr>
                <w:sz w:val="20"/>
              </w:rPr>
              <w:t xml:space="preserve">even if </w:t>
            </w:r>
            <w:r w:rsidRPr="008D3BC2">
              <w:rPr>
                <w:sz w:val="20"/>
              </w:rPr>
              <w:t xml:space="preserve">they do not </w:t>
            </w:r>
            <w:r w:rsidR="003E0391" w:rsidRPr="008D3BC2">
              <w:rPr>
                <w:sz w:val="20"/>
              </w:rPr>
              <w:t>‘</w:t>
            </w:r>
            <w:r w:rsidRPr="008D3BC2">
              <w:rPr>
                <w:sz w:val="20"/>
              </w:rPr>
              <w:t>reside</w:t>
            </w:r>
            <w:r w:rsidR="003E0391" w:rsidRPr="008D3BC2">
              <w:rPr>
                <w:sz w:val="20"/>
              </w:rPr>
              <w:t>’</w:t>
            </w:r>
            <w:r w:rsidRPr="008D3BC2">
              <w:rPr>
                <w:sz w:val="20"/>
              </w:rPr>
              <w:t xml:space="preserve"> in Australia</w:t>
            </w:r>
            <w:r w:rsidR="003E0391" w:rsidRPr="008D3BC2">
              <w:rPr>
                <w:sz w:val="20"/>
              </w:rPr>
              <w:t xml:space="preserve"> under the first test</w:t>
            </w:r>
            <w:r w:rsidRPr="008D3BC2">
              <w:rPr>
                <w:sz w:val="20"/>
              </w:rPr>
              <w:t xml:space="preserve"> (even without any intention to do so) but are nonetheless </w:t>
            </w:r>
            <w:r w:rsidR="003E0391" w:rsidRPr="008D3BC2">
              <w:rPr>
                <w:sz w:val="20"/>
              </w:rPr>
              <w:t>‘</w:t>
            </w:r>
            <w:r w:rsidRPr="008D3BC2">
              <w:rPr>
                <w:sz w:val="20"/>
              </w:rPr>
              <w:t>domiciled</w:t>
            </w:r>
            <w:r w:rsidR="003E0391" w:rsidRPr="008D3BC2">
              <w:rPr>
                <w:sz w:val="20"/>
              </w:rPr>
              <w:t>’</w:t>
            </w:r>
            <w:r w:rsidRPr="008D3BC2">
              <w:rPr>
                <w:sz w:val="20"/>
              </w:rPr>
              <w:t xml:space="preserve"> in Australia, unless the individual’s </w:t>
            </w:r>
            <w:r w:rsidR="003E0391" w:rsidRPr="008D3BC2">
              <w:rPr>
                <w:sz w:val="20"/>
              </w:rPr>
              <w:t>‘</w:t>
            </w:r>
            <w:r w:rsidRPr="008D3BC2">
              <w:rPr>
                <w:sz w:val="20"/>
              </w:rPr>
              <w:t>permanent place of abode</w:t>
            </w:r>
            <w:r w:rsidR="003E0391" w:rsidRPr="008D3BC2">
              <w:rPr>
                <w:sz w:val="20"/>
              </w:rPr>
              <w:t>’</w:t>
            </w:r>
            <w:r w:rsidRPr="008D3BC2">
              <w:rPr>
                <w:sz w:val="20"/>
              </w:rPr>
              <w:t xml:space="preserve"> is outside Australia.</w:t>
            </w:r>
          </w:p>
        </w:tc>
      </w:tr>
      <w:tr w:rsidR="000F676A" w:rsidRPr="008D3BC2" w14:paraId="78B2A352" w14:textId="77777777" w:rsidTr="00655FAD">
        <w:tc>
          <w:tcPr>
            <w:tcW w:w="2660" w:type="dxa"/>
            <w:tcBorders>
              <w:top w:val="single" w:sz="6" w:space="0" w:color="C00000"/>
              <w:bottom w:val="single" w:sz="6" w:space="0" w:color="C00000"/>
            </w:tcBorders>
            <w:shd w:val="clear" w:color="auto" w:fill="FFFFFF" w:themeFill="background1"/>
          </w:tcPr>
          <w:p w14:paraId="1A838D2D" w14:textId="77777777" w:rsidR="000F676A" w:rsidRPr="008D3BC2" w:rsidRDefault="000F676A" w:rsidP="00655FAD">
            <w:pPr>
              <w:pStyle w:val="TableColumnHeadingLeft"/>
            </w:pPr>
            <w:r w:rsidRPr="008D3BC2">
              <w:t>183 day test</w:t>
            </w:r>
          </w:p>
        </w:tc>
        <w:tc>
          <w:tcPr>
            <w:tcW w:w="7194" w:type="dxa"/>
            <w:tcBorders>
              <w:top w:val="single" w:sz="6" w:space="0" w:color="C00000"/>
              <w:bottom w:val="single" w:sz="6" w:space="0" w:color="C00000"/>
            </w:tcBorders>
            <w:shd w:val="clear" w:color="auto" w:fill="FFFFFF" w:themeFill="background1"/>
          </w:tcPr>
          <w:p w14:paraId="43CBB384" w14:textId="77777777" w:rsidR="000F676A" w:rsidRPr="008D3BC2" w:rsidRDefault="000F676A" w:rsidP="00655FAD">
            <w:pPr>
              <w:pStyle w:val="TableTextLeft"/>
            </w:pPr>
            <w:r w:rsidRPr="008D3BC2">
              <w:rPr>
                <w:sz w:val="20"/>
              </w:rPr>
              <w:t>A taxpayer is assumed to be a resident if they are in Australia for 183 days or more, unless the Commissioner is satisfied that the individual’s ‘usual place of abode is outside Australia’ and, if so, the individual ‘does not intend to take up residence in Australia’.</w:t>
            </w:r>
          </w:p>
        </w:tc>
      </w:tr>
      <w:tr w:rsidR="000F676A" w:rsidRPr="008D3BC2" w14:paraId="781A20B5" w14:textId="77777777" w:rsidTr="00655FAD">
        <w:tc>
          <w:tcPr>
            <w:tcW w:w="2660" w:type="dxa"/>
            <w:tcBorders>
              <w:top w:val="single" w:sz="6" w:space="0" w:color="C00000"/>
              <w:bottom w:val="single" w:sz="6" w:space="0" w:color="C00000"/>
            </w:tcBorders>
            <w:shd w:val="clear" w:color="auto" w:fill="FFFFFF" w:themeFill="background1"/>
          </w:tcPr>
          <w:p w14:paraId="78306EDB" w14:textId="77777777" w:rsidR="000F676A" w:rsidRPr="008D3BC2" w:rsidRDefault="000F676A" w:rsidP="00655FAD">
            <w:pPr>
              <w:pStyle w:val="TableColumnHeadingLeft"/>
            </w:pPr>
            <w:r w:rsidRPr="008D3BC2">
              <w:t>Superannuation test</w:t>
            </w:r>
          </w:p>
        </w:tc>
        <w:tc>
          <w:tcPr>
            <w:tcW w:w="7194" w:type="dxa"/>
            <w:tcBorders>
              <w:top w:val="single" w:sz="6" w:space="0" w:color="C00000"/>
              <w:bottom w:val="single" w:sz="6" w:space="0" w:color="C00000"/>
            </w:tcBorders>
            <w:shd w:val="clear" w:color="auto" w:fill="FFFFFF" w:themeFill="background1"/>
          </w:tcPr>
          <w:p w14:paraId="7519C150" w14:textId="77777777" w:rsidR="000F676A" w:rsidRPr="008D3BC2" w:rsidRDefault="000F676A" w:rsidP="00655FAD">
            <w:pPr>
              <w:pStyle w:val="TableTextLeft"/>
            </w:pPr>
            <w:r w:rsidRPr="008D3BC2">
              <w:rPr>
                <w:sz w:val="20"/>
              </w:rPr>
              <w:t xml:space="preserve">A taxpayer is a resident if they are a member of certain Government superannuation funds, established under the </w:t>
            </w:r>
            <w:r w:rsidRPr="008D3BC2">
              <w:rPr>
                <w:i/>
                <w:sz w:val="20"/>
              </w:rPr>
              <w:t>Superannuation Act 1990</w:t>
            </w:r>
            <w:r w:rsidRPr="008D3BC2">
              <w:rPr>
                <w:sz w:val="20"/>
              </w:rPr>
              <w:t xml:space="preserve"> or the </w:t>
            </w:r>
            <w:r w:rsidRPr="008D3BC2">
              <w:rPr>
                <w:i/>
                <w:sz w:val="20"/>
              </w:rPr>
              <w:t>Superannuation Act 1976</w:t>
            </w:r>
            <w:r w:rsidRPr="008D3BC2">
              <w:rPr>
                <w:sz w:val="20"/>
              </w:rPr>
              <w:t>. It also treats the spouse, or child under 16, of such a member as a resident.</w:t>
            </w:r>
          </w:p>
        </w:tc>
      </w:tr>
    </w:tbl>
    <w:p w14:paraId="1D65A955" w14:textId="28B8DB0B" w:rsidR="000F676A" w:rsidRPr="008D3BC2" w:rsidRDefault="007D4276" w:rsidP="000F676A">
      <w:bookmarkStart w:id="9" w:name="_Toc516652262"/>
      <w:bookmarkEnd w:id="9"/>
      <w:r w:rsidRPr="008D3BC2">
        <w:t>As can be seen, residency is not dependently solely on any one factor (</w:t>
      </w:r>
      <w:proofErr w:type="spellStart"/>
      <w:r w:rsidRPr="008D3BC2">
        <w:t>eg</w:t>
      </w:r>
      <w:proofErr w:type="spellEnd"/>
      <w:r w:rsidRPr="008D3BC2">
        <w:t>, time). The nature and substance of an individual’s connections are significant, as is the intention to reside. The Board’s report, as well as the ATO’s website and ruling guidance, provides more information on the existing residency rules.</w:t>
      </w:r>
      <w:r w:rsidR="00D231DC" w:rsidRPr="008D3BC2">
        <w:t xml:space="preserve"> A simplified flowchart is attached (see Annexure </w:t>
      </w:r>
      <w:r w:rsidR="00C2588F">
        <w:t>B</w:t>
      </w:r>
      <w:r w:rsidR="00D231DC" w:rsidRPr="008D3BC2">
        <w:t>).</w:t>
      </w:r>
    </w:p>
    <w:p w14:paraId="601DD2CE" w14:textId="77777777" w:rsidR="00BF26C9" w:rsidRPr="008D3BC2" w:rsidRDefault="00BF26C9" w:rsidP="00BF26C9">
      <w:pPr>
        <w:pStyle w:val="Heading2"/>
      </w:pPr>
      <w:r w:rsidRPr="008D3BC2">
        <w:t xml:space="preserve">How </w:t>
      </w:r>
      <w:r w:rsidR="003E0391" w:rsidRPr="008D3BC2">
        <w:t xml:space="preserve">the current rules </w:t>
      </w:r>
      <w:r w:rsidRPr="008D3BC2">
        <w:t>create uncertainty</w:t>
      </w:r>
    </w:p>
    <w:p w14:paraId="732D1A20" w14:textId="77777777" w:rsidR="007D4276" w:rsidRPr="008D3BC2" w:rsidRDefault="007D4276" w:rsidP="000F676A">
      <w:r w:rsidRPr="008D3BC2">
        <w:t xml:space="preserve">The different residency tests have evolved into a complex area of law. While </w:t>
      </w:r>
      <w:r w:rsidR="003E0391" w:rsidRPr="008D3BC2">
        <w:t xml:space="preserve">it is clear for </w:t>
      </w:r>
      <w:r w:rsidRPr="008D3BC2">
        <w:t xml:space="preserve">the majority of individuals </w:t>
      </w:r>
      <w:r w:rsidR="003E0391" w:rsidRPr="008D3BC2">
        <w:t xml:space="preserve">whether </w:t>
      </w:r>
      <w:r w:rsidRPr="008D3BC2">
        <w:t xml:space="preserve">they are residents, inbound and outbound individuals must evaluate a number of complex thresholds that are subject to significant judicial uncertainty. </w:t>
      </w:r>
    </w:p>
    <w:p w14:paraId="2450300B" w14:textId="77777777" w:rsidR="007D4276" w:rsidRPr="008D3BC2" w:rsidRDefault="007D4276" w:rsidP="000F676A">
      <w:r w:rsidRPr="008D3BC2">
        <w:rPr>
          <w:rFonts w:eastAsia="Calibri"/>
        </w:rPr>
        <w:t>The Board considers that this outcome is unsatisfactory. As the residency rules are a fundamental part of the income tax system</w:t>
      </w:r>
      <w:r w:rsidR="00266E8F" w:rsidRPr="008D3BC2">
        <w:rPr>
          <w:rFonts w:eastAsia="Calibri"/>
        </w:rPr>
        <w:t>, determining both an individual’s tax base and rate</w:t>
      </w:r>
      <w:r w:rsidRPr="008D3BC2">
        <w:rPr>
          <w:rFonts w:eastAsia="Calibri"/>
        </w:rPr>
        <w:t>, it is not appropriate that these tests, applicable to every individual, should be so complex</w:t>
      </w:r>
      <w:r w:rsidR="003E0391" w:rsidRPr="008D3BC2">
        <w:rPr>
          <w:rFonts w:eastAsia="Calibri"/>
        </w:rPr>
        <w:t>.</w:t>
      </w:r>
      <w:r w:rsidRPr="008D3BC2">
        <w:rPr>
          <w:rFonts w:eastAsia="Calibri"/>
        </w:rPr>
        <w:t xml:space="preserve"> </w:t>
      </w:r>
      <w:r w:rsidR="003E0391" w:rsidRPr="008D3BC2">
        <w:rPr>
          <w:rFonts w:eastAsia="Calibri"/>
        </w:rPr>
        <w:t>S</w:t>
      </w:r>
      <w:r w:rsidRPr="008D3BC2">
        <w:rPr>
          <w:rFonts w:eastAsia="Calibri"/>
        </w:rPr>
        <w:t>implification</w:t>
      </w:r>
      <w:r w:rsidR="00CF7ACD" w:rsidRPr="008D3BC2">
        <w:rPr>
          <w:rFonts w:eastAsia="Calibri"/>
        </w:rPr>
        <w:t xml:space="preserve"> </w:t>
      </w:r>
      <w:r w:rsidR="003E0391" w:rsidRPr="008D3BC2">
        <w:rPr>
          <w:rFonts w:eastAsia="Calibri"/>
        </w:rPr>
        <w:t xml:space="preserve">will improve certainty, reduce compliance costs and remove a potential barrier from Australia’s </w:t>
      </w:r>
      <w:r w:rsidR="00CF7ACD" w:rsidRPr="008D3BC2">
        <w:rPr>
          <w:rFonts w:eastAsia="Calibri"/>
        </w:rPr>
        <w:t>attractiveness as an investment location.</w:t>
      </w:r>
    </w:p>
    <w:p w14:paraId="334FD78F" w14:textId="77777777" w:rsidR="00515D96" w:rsidRPr="008D3BC2" w:rsidRDefault="00BF26C9" w:rsidP="00CF7ACD">
      <w:bookmarkStart w:id="10" w:name="_Toc516652263"/>
      <w:r w:rsidRPr="008D3BC2">
        <w:t xml:space="preserve">The Board also identified </w:t>
      </w:r>
      <w:r w:rsidR="007D4276" w:rsidRPr="008D3BC2">
        <w:t xml:space="preserve">some </w:t>
      </w:r>
      <w:r w:rsidRPr="008D3BC2">
        <w:t>associated concerns. For example, the Board is aware of an integrity risk where high wealth individuals manipulate the residency rules to become ‘residents of nowhere’, resulting in the avoidance of tax in Australia. The Board also considers that the ‘superannuation test’ no longer achieves its policy objective.</w:t>
      </w:r>
      <w:bookmarkEnd w:id="8"/>
      <w:bookmarkEnd w:id="10"/>
      <w:r w:rsidR="00515D96" w:rsidRPr="008D3BC2">
        <w:br w:type="page"/>
      </w:r>
    </w:p>
    <w:p w14:paraId="190D6051" w14:textId="77777777" w:rsidR="00D62752" w:rsidRPr="008D3BC2" w:rsidRDefault="00BF26C9" w:rsidP="00D62752">
      <w:pPr>
        <w:pStyle w:val="Heading1"/>
      </w:pPr>
      <w:bookmarkStart w:id="11" w:name="_Toc525312273"/>
      <w:r w:rsidRPr="008D3BC2">
        <w:t>Proposal for new residency rules</w:t>
      </w:r>
      <w:bookmarkEnd w:id="11"/>
    </w:p>
    <w:p w14:paraId="3134D553" w14:textId="77777777" w:rsidR="00496C51" w:rsidRPr="008D3BC2" w:rsidRDefault="002D547C" w:rsidP="002651E8">
      <w:pPr>
        <w:pStyle w:val="Introductionparagraph"/>
        <w:spacing w:after="480"/>
      </w:pPr>
      <w:r w:rsidRPr="008D3BC2">
        <w:t xml:space="preserve">In the Board’s </w:t>
      </w:r>
      <w:r w:rsidRPr="008D3BC2">
        <w:rPr>
          <w:i/>
        </w:rPr>
        <w:t>Review of the Income Tax Residency Rules for Individuals</w:t>
      </w:r>
      <w:r w:rsidRPr="008D3BC2">
        <w:t>, the Board outlined its preferred design for a new residency definition</w:t>
      </w:r>
      <w:r w:rsidR="00140822" w:rsidRPr="008D3BC2">
        <w:t>.</w:t>
      </w:r>
    </w:p>
    <w:p w14:paraId="52E89915" w14:textId="77777777" w:rsidR="00BF26C9" w:rsidRPr="008D3BC2" w:rsidRDefault="00147049" w:rsidP="002D547C">
      <w:pPr>
        <w:pStyle w:val="Heading2"/>
      </w:pPr>
      <w:r w:rsidRPr="008D3BC2">
        <w:t>O</w:t>
      </w:r>
      <w:r w:rsidR="002D547C" w:rsidRPr="008D3BC2">
        <w:t>bjective</w:t>
      </w:r>
    </w:p>
    <w:p w14:paraId="4045A2DB" w14:textId="77777777" w:rsidR="002D547C" w:rsidRPr="008D3BC2" w:rsidRDefault="002D547C" w:rsidP="00BF26C9">
      <w:r w:rsidRPr="008D3BC2">
        <w:t>The current rules are fundamental to determining an individual’s income tax base and rate, including whether foreign sourced income and capital gains are taxable in Australia.</w:t>
      </w:r>
      <w:r w:rsidR="00085BA0" w:rsidRPr="008D3BC2">
        <w:t xml:space="preserve"> The Board proposes to adopt new rules using a principles based approach focusing on certainty, simplicity and integrity</w:t>
      </w:r>
      <w:r w:rsidRPr="008D3BC2">
        <w:t xml:space="preserve">. </w:t>
      </w:r>
    </w:p>
    <w:p w14:paraId="4A85786F" w14:textId="77777777" w:rsidR="00C97D50" w:rsidRPr="008D3BC2" w:rsidRDefault="00C97D50" w:rsidP="00BF26C9">
      <w:r w:rsidRPr="008D3BC2">
        <w:t>Modernising the rules will provide certainty for individuals.</w:t>
      </w:r>
    </w:p>
    <w:p w14:paraId="7D6A2219" w14:textId="77777777" w:rsidR="00C97D50" w:rsidRPr="008D3BC2" w:rsidRDefault="00147049" w:rsidP="00C97D50">
      <w:pPr>
        <w:pStyle w:val="Heading2"/>
      </w:pPr>
      <w:r w:rsidRPr="008D3BC2">
        <w:t>Policy proposal</w:t>
      </w:r>
    </w:p>
    <w:p w14:paraId="6BAB08DF" w14:textId="0A8EE348" w:rsidR="00667AB1" w:rsidRPr="008D3BC2" w:rsidRDefault="00C97D50" w:rsidP="00667AB1">
      <w:r w:rsidRPr="008D3BC2">
        <w:t>The current rules will be replaced by</w:t>
      </w:r>
      <w:r w:rsidR="00BF26C9" w:rsidRPr="008D3BC2">
        <w:t xml:space="preserve"> an improved and simplified residency test.  </w:t>
      </w:r>
      <w:r w:rsidR="00462306" w:rsidRPr="008D3BC2">
        <w:t>Currently</w:t>
      </w:r>
      <w:r w:rsidR="00C2020B" w:rsidRPr="008D3BC2">
        <w:t>, t</w:t>
      </w:r>
      <w:r w:rsidR="00BF26C9" w:rsidRPr="008D3BC2">
        <w:t xml:space="preserve">he Board’s preferred approach </w:t>
      </w:r>
      <w:r w:rsidR="00F007D4" w:rsidRPr="008D3BC2">
        <w:t xml:space="preserve">includes a series of design features </w:t>
      </w:r>
      <w:r w:rsidR="00462306" w:rsidRPr="008D3BC2">
        <w:t xml:space="preserve">for a </w:t>
      </w:r>
      <w:r w:rsidR="004E1EFB" w:rsidRPr="008D3BC2">
        <w:t xml:space="preserve">new </w:t>
      </w:r>
      <w:r w:rsidR="00F007D4" w:rsidRPr="008D3BC2">
        <w:t xml:space="preserve">residency </w:t>
      </w:r>
      <w:r w:rsidR="00BF26C9" w:rsidRPr="008D3BC2">
        <w:t>model</w:t>
      </w:r>
      <w:r w:rsidR="00667AB1" w:rsidRPr="008D3BC2">
        <w:t xml:space="preserve">. The </w:t>
      </w:r>
      <w:r w:rsidR="00236AD3" w:rsidRPr="008D3BC2">
        <w:t xml:space="preserve">framework outlined in the Board’s report follows. </w:t>
      </w:r>
    </w:p>
    <w:p w14:paraId="1B805384" w14:textId="77777777" w:rsidR="00667AB1" w:rsidRPr="008D3BC2" w:rsidRDefault="0048012D" w:rsidP="004C1D28">
      <w:pPr>
        <w:pStyle w:val="ListParagraph"/>
        <w:numPr>
          <w:ilvl w:val="0"/>
          <w:numId w:val="15"/>
        </w:numPr>
      </w:pPr>
      <w:r w:rsidRPr="008D3BC2">
        <w:rPr>
          <w:b/>
          <w:u w:val="single"/>
        </w:rPr>
        <w:t>Policy statement</w:t>
      </w:r>
      <w:r w:rsidR="00667AB1" w:rsidRPr="008D3BC2">
        <w:t xml:space="preserve"> </w:t>
      </w:r>
      <w:r w:rsidRPr="008D3BC2">
        <w:br/>
      </w:r>
      <w:proofErr w:type="gramStart"/>
      <w:r w:rsidR="00C716EA" w:rsidRPr="008D3BC2">
        <w:t>A</w:t>
      </w:r>
      <w:proofErr w:type="gramEnd"/>
      <w:r w:rsidR="00667AB1" w:rsidRPr="008D3BC2">
        <w:t xml:space="preserve"> policy statement that provides legislative guidance on the para</w:t>
      </w:r>
      <w:r w:rsidRPr="008D3BC2">
        <w:t>meters of individual residency</w:t>
      </w:r>
      <w:r w:rsidR="00C716EA" w:rsidRPr="008D3BC2">
        <w:t>.</w:t>
      </w:r>
      <w:r w:rsidR="004E1EFB" w:rsidRPr="008D3BC2">
        <w:br/>
      </w:r>
      <w:r w:rsidR="004E1EFB" w:rsidRPr="008D3BC2">
        <w:rPr>
          <w:i/>
        </w:rPr>
        <w:t>Recommendation 3 of the Report</w:t>
      </w:r>
      <w:r w:rsidR="00F007D4" w:rsidRPr="008D3BC2">
        <w:br/>
      </w:r>
    </w:p>
    <w:p w14:paraId="2510B636" w14:textId="5FB3B695" w:rsidR="00667AB1" w:rsidRPr="008D3BC2" w:rsidRDefault="00667AB1" w:rsidP="004C1D28">
      <w:pPr>
        <w:pStyle w:val="ListParagraph"/>
        <w:numPr>
          <w:ilvl w:val="0"/>
          <w:numId w:val="15"/>
        </w:numPr>
      </w:pPr>
      <w:r w:rsidRPr="008D3BC2">
        <w:rPr>
          <w:b/>
          <w:u w:val="single"/>
        </w:rPr>
        <w:t xml:space="preserve">Primary test </w:t>
      </w:r>
      <w:r w:rsidR="0048012D" w:rsidRPr="008D3BC2">
        <w:rPr>
          <w:b/>
          <w:u w:val="single"/>
        </w:rPr>
        <w:br/>
      </w:r>
      <w:r w:rsidRPr="008D3BC2">
        <w:t>A primary bright</w:t>
      </w:r>
      <w:r w:rsidR="00547401" w:rsidRPr="008D3BC2">
        <w:noBreakHyphen/>
      </w:r>
      <w:r w:rsidRPr="008D3BC2">
        <w:t>line test</w:t>
      </w:r>
      <w:r w:rsidR="00F007D4" w:rsidRPr="008D3BC2">
        <w:t xml:space="preserve"> based on time spent </w:t>
      </w:r>
      <w:r w:rsidR="00152363" w:rsidRPr="008D3BC2">
        <w:t>(</w:t>
      </w:r>
      <w:proofErr w:type="spellStart"/>
      <w:r w:rsidR="00152363" w:rsidRPr="008D3BC2">
        <w:t>ie</w:t>
      </w:r>
      <w:proofErr w:type="spellEnd"/>
      <w:r w:rsidR="00152363" w:rsidRPr="008D3BC2">
        <w:t>, a</w:t>
      </w:r>
      <w:r w:rsidR="00F007D4" w:rsidRPr="008D3BC2">
        <w:t xml:space="preserve"> ‘day count’</w:t>
      </w:r>
      <w:r w:rsidR="00152363" w:rsidRPr="008D3BC2">
        <w:t>)</w:t>
      </w:r>
      <w:r w:rsidR="00F007D4" w:rsidRPr="008D3BC2">
        <w:t xml:space="preserve"> to automatically determine the residency status of the majority of individuals</w:t>
      </w:r>
      <w:r w:rsidRPr="008D3BC2">
        <w:t xml:space="preserve">. </w:t>
      </w:r>
      <w:r w:rsidR="00F007D4" w:rsidRPr="008D3BC2">
        <w:t>These tests will provide separate standards for inbound and outbound individuals</w:t>
      </w:r>
      <w:r w:rsidR="00C716EA" w:rsidRPr="008D3BC2">
        <w:t>.</w:t>
      </w:r>
      <w:r w:rsidR="00F007D4" w:rsidRPr="008D3BC2">
        <w:br/>
      </w:r>
      <w:r w:rsidR="00F007D4" w:rsidRPr="008D3BC2">
        <w:br/>
      </w:r>
      <w:r w:rsidRPr="008D3BC2">
        <w:t>Further consultation on the</w:t>
      </w:r>
      <w:r w:rsidR="003E0391" w:rsidRPr="008D3BC2">
        <w:t xml:space="preserve"> design of</w:t>
      </w:r>
      <w:r w:rsidRPr="008D3BC2">
        <w:t xml:space="preserve"> bright</w:t>
      </w:r>
      <w:r w:rsidR="00547401" w:rsidRPr="008D3BC2">
        <w:noBreakHyphen/>
      </w:r>
      <w:r w:rsidRPr="008D3BC2">
        <w:t xml:space="preserve">line tests </w:t>
      </w:r>
      <w:r w:rsidR="003E0391" w:rsidRPr="008D3BC2">
        <w:t xml:space="preserve">will </w:t>
      </w:r>
      <w:r w:rsidR="00462306" w:rsidRPr="008D3BC2">
        <w:t>include whether a bright</w:t>
      </w:r>
      <w:r w:rsidR="00547401" w:rsidRPr="008D3BC2">
        <w:t>-</w:t>
      </w:r>
      <w:r w:rsidR="00462306" w:rsidRPr="008D3BC2">
        <w:t xml:space="preserve">line test based on time alone is achievable in the Australian context and </w:t>
      </w:r>
      <w:r w:rsidR="003E0391" w:rsidRPr="008D3BC2">
        <w:t xml:space="preserve">lessons from </w:t>
      </w:r>
      <w:r w:rsidRPr="008D3BC2">
        <w:t xml:space="preserve">the New Zealand and </w:t>
      </w:r>
      <w:r w:rsidR="0048012D" w:rsidRPr="008D3BC2">
        <w:t xml:space="preserve">United Kingdom </w:t>
      </w:r>
      <w:r w:rsidR="003E0391" w:rsidRPr="008D3BC2">
        <w:t>experiences</w:t>
      </w:r>
      <w:r w:rsidR="00C716EA" w:rsidRPr="008D3BC2">
        <w:t>.</w:t>
      </w:r>
      <w:r w:rsidR="00462306" w:rsidRPr="008D3BC2">
        <w:br/>
      </w:r>
      <w:r w:rsidR="004E1EFB" w:rsidRPr="008D3BC2">
        <w:rPr>
          <w:i/>
        </w:rPr>
        <w:t>Recommendations 4 and 5 of the Report</w:t>
      </w:r>
      <w:r w:rsidR="00F007D4" w:rsidRPr="008D3BC2">
        <w:br/>
      </w:r>
    </w:p>
    <w:p w14:paraId="0D2B057F" w14:textId="77777777" w:rsidR="00F007D4" w:rsidRPr="008D3BC2" w:rsidRDefault="00667AB1" w:rsidP="004C1D28">
      <w:pPr>
        <w:pStyle w:val="ListParagraph"/>
        <w:numPr>
          <w:ilvl w:val="0"/>
          <w:numId w:val="15"/>
        </w:numPr>
      </w:pPr>
      <w:r w:rsidRPr="008D3BC2">
        <w:rPr>
          <w:b/>
          <w:u w:val="single"/>
        </w:rPr>
        <w:t>Secondary test</w:t>
      </w:r>
      <w:r w:rsidRPr="008D3BC2">
        <w:t xml:space="preserve"> </w:t>
      </w:r>
      <w:r w:rsidR="0048012D" w:rsidRPr="008D3BC2">
        <w:br/>
      </w:r>
      <w:proofErr w:type="gramStart"/>
      <w:r w:rsidR="0048012D" w:rsidRPr="008D3BC2">
        <w:t>A</w:t>
      </w:r>
      <w:proofErr w:type="gramEnd"/>
      <w:r w:rsidR="00F007D4" w:rsidRPr="008D3BC2">
        <w:t xml:space="preserve"> secondary test taking into account individual circumstances, which </w:t>
      </w:r>
      <w:r w:rsidR="00C716EA" w:rsidRPr="008D3BC2">
        <w:t>may leverage</w:t>
      </w:r>
      <w:r w:rsidR="00F007D4" w:rsidRPr="008D3BC2">
        <w:t xml:space="preserve"> some existing case law as well as international practices. This test may also apply differently for i</w:t>
      </w:r>
      <w:r w:rsidR="0048012D" w:rsidRPr="008D3BC2">
        <w:t>nbound and outbound individuals</w:t>
      </w:r>
      <w:r w:rsidR="00C716EA" w:rsidRPr="008D3BC2">
        <w:t>.</w:t>
      </w:r>
      <w:r w:rsidR="004E1EFB" w:rsidRPr="008D3BC2">
        <w:br/>
      </w:r>
    </w:p>
    <w:p w14:paraId="467E7E60" w14:textId="77777777" w:rsidR="00667AB1" w:rsidRPr="008D3BC2" w:rsidRDefault="0048012D" w:rsidP="0048012D">
      <w:pPr>
        <w:pStyle w:val="ListParagraph"/>
      </w:pPr>
      <w:r w:rsidRPr="008D3BC2">
        <w:t xml:space="preserve">The potential for </w:t>
      </w:r>
      <w:r w:rsidR="00667AB1" w:rsidRPr="008D3BC2">
        <w:t xml:space="preserve">a </w:t>
      </w:r>
      <w:r w:rsidRPr="008D3BC2">
        <w:t xml:space="preserve">legislated </w:t>
      </w:r>
      <w:r w:rsidR="00667AB1" w:rsidRPr="008D3BC2">
        <w:t xml:space="preserve">weighting </w:t>
      </w:r>
      <w:r w:rsidRPr="008D3BC2">
        <w:t xml:space="preserve">mechanism </w:t>
      </w:r>
      <w:r w:rsidR="00667AB1" w:rsidRPr="008D3BC2">
        <w:t>for the relevant factors to provide greater certainty and simplicity in determining the outcome of the relevant test</w:t>
      </w:r>
      <w:r w:rsidRPr="008D3BC2">
        <w:t xml:space="preserve"> will be considered.</w:t>
      </w:r>
      <w:r w:rsidR="00667AB1" w:rsidRPr="008D3BC2">
        <w:t xml:space="preserve"> </w:t>
      </w:r>
      <w:r w:rsidRPr="008D3BC2">
        <w:t xml:space="preserve">This must have </w:t>
      </w:r>
      <w:r w:rsidR="00667AB1" w:rsidRPr="008D3BC2">
        <w:t xml:space="preserve">regard </w:t>
      </w:r>
      <w:r w:rsidRPr="008D3BC2">
        <w:t>for</w:t>
      </w:r>
      <w:r w:rsidR="00667AB1" w:rsidRPr="008D3BC2">
        <w:t xml:space="preserve"> the appropriate b</w:t>
      </w:r>
      <w:r w:rsidRPr="008D3BC2">
        <w:t xml:space="preserve">alance of certainty of outcomes, </w:t>
      </w:r>
      <w:r w:rsidR="00667AB1" w:rsidRPr="008D3BC2">
        <w:t>potential manipulation of outcomes and in</w:t>
      </w:r>
      <w:r w:rsidRPr="008D3BC2">
        <w:t>creasingly complex legislation</w:t>
      </w:r>
      <w:r w:rsidR="00C716EA" w:rsidRPr="008D3BC2">
        <w:t>.</w:t>
      </w:r>
      <w:r w:rsidR="004E1EFB" w:rsidRPr="008D3BC2">
        <w:br/>
      </w:r>
      <w:r w:rsidRPr="008D3BC2">
        <w:rPr>
          <w:i/>
        </w:rPr>
        <w:t xml:space="preserve">Recommendation 6 and </w:t>
      </w:r>
      <w:r w:rsidR="004E1EFB" w:rsidRPr="008D3BC2">
        <w:rPr>
          <w:i/>
        </w:rPr>
        <w:t>Observation 3 of the Report</w:t>
      </w:r>
      <w:r w:rsidR="00F007D4" w:rsidRPr="008D3BC2">
        <w:br/>
      </w:r>
    </w:p>
    <w:p w14:paraId="7DC30D47" w14:textId="77777777" w:rsidR="00667AB1" w:rsidRPr="008D3BC2" w:rsidRDefault="00667AB1" w:rsidP="004C1D28">
      <w:pPr>
        <w:pStyle w:val="ListParagraph"/>
        <w:numPr>
          <w:ilvl w:val="0"/>
          <w:numId w:val="16"/>
        </w:numPr>
      </w:pPr>
      <w:r w:rsidRPr="008D3BC2">
        <w:rPr>
          <w:b/>
          <w:u w:val="single"/>
        </w:rPr>
        <w:t>Integrity measures</w:t>
      </w:r>
      <w:r w:rsidR="0048012D" w:rsidRPr="008D3BC2">
        <w:rPr>
          <w:u w:val="single"/>
        </w:rPr>
        <w:br/>
      </w:r>
      <w:r w:rsidR="0048012D" w:rsidRPr="008D3BC2">
        <w:t>C</w:t>
      </w:r>
      <w:r w:rsidR="00F007D4" w:rsidRPr="008D3BC2">
        <w:t>onsider design options that ensure residents remain resident unless and until tax residency is established in another jurisdict</w:t>
      </w:r>
      <w:r w:rsidR="0048012D" w:rsidRPr="008D3BC2">
        <w:t>ion</w:t>
      </w:r>
      <w:r w:rsidR="00C716EA" w:rsidRPr="008D3BC2">
        <w:t>.</w:t>
      </w:r>
      <w:r w:rsidR="004E1EFB" w:rsidRPr="008D3BC2">
        <w:br/>
      </w:r>
      <w:r w:rsidR="004E1EFB" w:rsidRPr="008D3BC2">
        <w:rPr>
          <w:i/>
        </w:rPr>
        <w:t>Recommendation 7 of the Report</w:t>
      </w:r>
      <w:r w:rsidR="00F007D4" w:rsidRPr="008D3BC2">
        <w:br/>
      </w:r>
    </w:p>
    <w:p w14:paraId="3EE145EB" w14:textId="77777777" w:rsidR="00667AB1" w:rsidRPr="008D3BC2" w:rsidRDefault="00667AB1" w:rsidP="004C1D28">
      <w:pPr>
        <w:pStyle w:val="ListParagraph"/>
        <w:numPr>
          <w:ilvl w:val="0"/>
          <w:numId w:val="16"/>
        </w:numPr>
        <w:rPr>
          <w:b/>
          <w:sz w:val="24"/>
          <w:szCs w:val="24"/>
        </w:rPr>
      </w:pPr>
      <w:r w:rsidRPr="008D3BC2">
        <w:rPr>
          <w:b/>
          <w:u w:val="single"/>
        </w:rPr>
        <w:t xml:space="preserve">Government </w:t>
      </w:r>
      <w:r w:rsidR="0048012D" w:rsidRPr="008D3BC2">
        <w:rPr>
          <w:b/>
          <w:u w:val="single"/>
        </w:rPr>
        <w:t>officials posted overseas</w:t>
      </w:r>
      <w:r w:rsidR="0048012D" w:rsidRPr="008D3BC2">
        <w:rPr>
          <w:u w:val="single"/>
        </w:rPr>
        <w:br/>
      </w:r>
      <w:r w:rsidR="00C716EA" w:rsidRPr="008D3BC2">
        <w:t>Identify</w:t>
      </w:r>
      <w:r w:rsidRPr="008D3BC2">
        <w:t xml:space="preserve"> options to update the superannuation test</w:t>
      </w:r>
      <w:r w:rsidR="00C716EA" w:rsidRPr="008D3BC2">
        <w:t>.</w:t>
      </w:r>
      <w:r w:rsidR="004E1EFB" w:rsidRPr="008D3BC2">
        <w:br/>
      </w:r>
      <w:r w:rsidR="004E1EFB" w:rsidRPr="008D3BC2">
        <w:rPr>
          <w:i/>
        </w:rPr>
        <w:t>Recommendation 8 of the Report</w:t>
      </w:r>
    </w:p>
    <w:p w14:paraId="63441C37" w14:textId="77777777" w:rsidR="0048012D" w:rsidRPr="008D3BC2" w:rsidRDefault="0048012D" w:rsidP="0048012D">
      <w:pPr>
        <w:pStyle w:val="ListParagraph"/>
        <w:rPr>
          <w:b/>
          <w:sz w:val="24"/>
          <w:szCs w:val="24"/>
        </w:rPr>
      </w:pPr>
    </w:p>
    <w:p w14:paraId="46FB4DA3" w14:textId="77777777" w:rsidR="00C716EA" w:rsidRPr="008D3BC2" w:rsidRDefault="00C716EA" w:rsidP="00C716EA">
      <w:pPr>
        <w:pStyle w:val="ListParagraph"/>
        <w:numPr>
          <w:ilvl w:val="0"/>
          <w:numId w:val="16"/>
        </w:numPr>
      </w:pPr>
      <w:r w:rsidRPr="008D3BC2">
        <w:rPr>
          <w:b/>
          <w:u w:val="single"/>
        </w:rPr>
        <w:t>Part</w:t>
      </w:r>
      <w:r w:rsidRPr="008D3BC2">
        <w:rPr>
          <w:b/>
          <w:u w:val="single"/>
        </w:rPr>
        <w:noBreakHyphen/>
        <w:t>year residency</w:t>
      </w:r>
      <w:r w:rsidRPr="008D3BC2">
        <w:br/>
        <w:t>Consider whether part</w:t>
      </w:r>
      <w:r w:rsidRPr="008D3BC2">
        <w:noBreakHyphen/>
        <w:t>year rules will be necessary.</w:t>
      </w:r>
    </w:p>
    <w:p w14:paraId="31DE3005" w14:textId="77777777" w:rsidR="00C716EA" w:rsidRPr="008D3BC2" w:rsidRDefault="00C716EA" w:rsidP="00C716EA">
      <w:pPr>
        <w:pStyle w:val="ListParagraph"/>
      </w:pPr>
    </w:p>
    <w:p w14:paraId="33E5066F" w14:textId="77777777" w:rsidR="0048012D" w:rsidRPr="008D3BC2" w:rsidRDefault="0048012D" w:rsidP="00C716EA">
      <w:pPr>
        <w:pStyle w:val="ListParagraph"/>
        <w:numPr>
          <w:ilvl w:val="0"/>
          <w:numId w:val="16"/>
        </w:numPr>
      </w:pPr>
      <w:r w:rsidRPr="008D3BC2">
        <w:rPr>
          <w:b/>
          <w:u w:val="single"/>
        </w:rPr>
        <w:t>Transitional and other issues</w:t>
      </w:r>
      <w:r w:rsidRPr="008D3BC2">
        <w:rPr>
          <w:b/>
          <w:u w:val="single"/>
        </w:rPr>
        <w:br/>
      </w:r>
      <w:proofErr w:type="gramStart"/>
      <w:r w:rsidR="00C716EA" w:rsidRPr="008D3BC2">
        <w:t>Consider</w:t>
      </w:r>
      <w:proofErr w:type="gramEnd"/>
      <w:r w:rsidRPr="008D3BC2">
        <w:t xml:space="preserve"> </w:t>
      </w:r>
      <w:r w:rsidR="00C716EA" w:rsidRPr="008D3BC2">
        <w:t>any transitional consequences.</w:t>
      </w:r>
    </w:p>
    <w:p w14:paraId="7434A943" w14:textId="77777777" w:rsidR="00147049" w:rsidRPr="008D3BC2" w:rsidRDefault="00147049" w:rsidP="00147049">
      <w:pPr>
        <w:pStyle w:val="Heading2"/>
      </w:pPr>
      <w:r w:rsidRPr="008D3BC2">
        <w:t>Other options considered</w:t>
      </w:r>
    </w:p>
    <w:p w14:paraId="234E607C" w14:textId="77777777" w:rsidR="00147049" w:rsidRPr="008D3BC2" w:rsidRDefault="00147049" w:rsidP="00147049">
      <w:r w:rsidRPr="008D3BC2">
        <w:t xml:space="preserve">In the Board’s review, a number of other ways of designing the test were considered. However, the Board </w:t>
      </w:r>
      <w:r w:rsidR="003E0391" w:rsidRPr="008D3BC2">
        <w:t xml:space="preserve">prefers </w:t>
      </w:r>
      <w:r w:rsidRPr="008D3BC2">
        <w:t xml:space="preserve">the proposed policy change to balance certainty and integrity </w:t>
      </w:r>
      <w:r w:rsidR="0048012D" w:rsidRPr="008D3BC2">
        <w:t xml:space="preserve">when considering </w:t>
      </w:r>
      <w:r w:rsidRPr="008D3BC2">
        <w:t xml:space="preserve">the connection with Australia required to be </w:t>
      </w:r>
      <w:r w:rsidR="00D231DC" w:rsidRPr="008D3BC2">
        <w:t xml:space="preserve">considered </w:t>
      </w:r>
      <w:r w:rsidRPr="008D3BC2">
        <w:t>a resident</w:t>
      </w:r>
      <w:r w:rsidR="0048012D" w:rsidRPr="008D3BC2">
        <w:t xml:space="preserve"> for tax purposes</w:t>
      </w:r>
      <w:r w:rsidRPr="008D3BC2">
        <w:t>.</w:t>
      </w:r>
      <w:r w:rsidR="003E0391" w:rsidRPr="008D3BC2">
        <w:t xml:space="preserve"> However, the Board welcomes submissions on other mechanisms.</w:t>
      </w:r>
    </w:p>
    <w:p w14:paraId="10D8332A" w14:textId="77777777" w:rsidR="00AC3343" w:rsidRPr="008D3BC2" w:rsidRDefault="00AC3343">
      <w:pPr>
        <w:spacing w:before="0" w:after="160" w:line="259" w:lineRule="auto"/>
      </w:pPr>
      <w:r w:rsidRPr="008D3BC2">
        <w:br w:type="page"/>
      </w:r>
    </w:p>
    <w:p w14:paraId="512F9BFD" w14:textId="77777777" w:rsidR="00AC3343" w:rsidRPr="008D3BC2" w:rsidRDefault="00A86620" w:rsidP="00AC3343">
      <w:pPr>
        <w:pStyle w:val="Heading1"/>
      </w:pPr>
      <w:bookmarkStart w:id="12" w:name="_Toc525312274"/>
      <w:r w:rsidRPr="008D3BC2">
        <w:t>Core</w:t>
      </w:r>
      <w:r w:rsidR="00AC3343" w:rsidRPr="008D3BC2">
        <w:t xml:space="preserve"> design feature</w:t>
      </w:r>
      <w:r w:rsidR="00B82D02" w:rsidRPr="008D3BC2">
        <w:t>s</w:t>
      </w:r>
      <w:bookmarkEnd w:id="12"/>
    </w:p>
    <w:p w14:paraId="2A800890" w14:textId="77777777" w:rsidR="00E16F9C" w:rsidRPr="008D3BC2" w:rsidRDefault="00667AB1" w:rsidP="00E16F9C">
      <w:pPr>
        <w:pStyle w:val="Introductionparagraph"/>
        <w:spacing w:after="480"/>
      </w:pPr>
      <w:r w:rsidRPr="008D3BC2">
        <w:t>The Board prefers</w:t>
      </w:r>
      <w:r w:rsidR="00E16F9C" w:rsidRPr="008D3BC2">
        <w:t xml:space="preserve"> a new </w:t>
      </w:r>
      <w:r w:rsidRPr="008D3BC2">
        <w:t xml:space="preserve">modernised </w:t>
      </w:r>
      <w:r w:rsidR="00E16F9C" w:rsidRPr="008D3BC2">
        <w:t>residency definition</w:t>
      </w:r>
      <w:r w:rsidR="00A86620" w:rsidRPr="008D3BC2">
        <w:t xml:space="preserve"> that removes uncertainty, streamlining the rules while maintaining integrity</w:t>
      </w:r>
      <w:r w:rsidR="00E16F9C" w:rsidRPr="008D3BC2">
        <w:t xml:space="preserve">. The Board seeks to consult on the following </w:t>
      </w:r>
      <w:r w:rsidR="00A86620" w:rsidRPr="008D3BC2">
        <w:t xml:space="preserve">core </w:t>
      </w:r>
      <w:r w:rsidR="00E16F9C" w:rsidRPr="008D3BC2">
        <w:t>design features identified in the Board’s report.</w:t>
      </w:r>
    </w:p>
    <w:p w14:paraId="0CD53303" w14:textId="77777777" w:rsidR="00667AB1" w:rsidRPr="008D3BC2" w:rsidRDefault="00667AB1" w:rsidP="002C251F">
      <w:pPr>
        <w:pStyle w:val="ListParagraph"/>
        <w:numPr>
          <w:ilvl w:val="0"/>
          <w:numId w:val="11"/>
        </w:numPr>
        <w:spacing w:after="240"/>
        <w:ind w:left="426" w:hanging="284"/>
        <w:rPr>
          <w:b/>
          <w:sz w:val="32"/>
          <w:szCs w:val="24"/>
        </w:rPr>
      </w:pPr>
      <w:r w:rsidRPr="008D3BC2">
        <w:rPr>
          <w:b/>
          <w:color w:val="002060"/>
          <w:sz w:val="36"/>
        </w:rPr>
        <w:t>Guiding principles</w:t>
      </w:r>
    </w:p>
    <w:p w14:paraId="6A12C47E" w14:textId="77777777" w:rsidR="00667AB1" w:rsidRPr="008D3BC2" w:rsidRDefault="00667AB1" w:rsidP="00A458D1">
      <w:pPr>
        <w:pStyle w:val="ListParagraph"/>
        <w:spacing w:after="240"/>
        <w:ind w:left="0"/>
        <w:rPr>
          <w:sz w:val="24"/>
          <w:szCs w:val="24"/>
        </w:rPr>
      </w:pPr>
      <w:r w:rsidRPr="008D3BC2">
        <w:rPr>
          <w:sz w:val="24"/>
          <w:szCs w:val="24"/>
        </w:rPr>
        <w:t xml:space="preserve">The Board has identified a number of guiding policy principles for designing new residency rules. </w:t>
      </w:r>
      <w:r w:rsidR="00236AD3" w:rsidRPr="008D3BC2">
        <w:rPr>
          <w:sz w:val="24"/>
          <w:szCs w:val="24"/>
        </w:rPr>
        <w:t>These principles are:</w:t>
      </w:r>
    </w:p>
    <w:p w14:paraId="6D08FDC5" w14:textId="77777777" w:rsidR="00DC5C64" w:rsidRPr="008D3BC2" w:rsidRDefault="00DC5C64" w:rsidP="00DC5C64">
      <w:pPr>
        <w:pStyle w:val="ListParagraph"/>
        <w:numPr>
          <w:ilvl w:val="0"/>
          <w:numId w:val="17"/>
        </w:numPr>
        <w:spacing w:after="240"/>
        <w:ind w:left="720"/>
        <w:rPr>
          <w:sz w:val="24"/>
          <w:szCs w:val="24"/>
        </w:rPr>
      </w:pPr>
      <w:r w:rsidRPr="008D3BC2">
        <w:rPr>
          <w:b/>
          <w:sz w:val="24"/>
          <w:szCs w:val="24"/>
        </w:rPr>
        <w:t xml:space="preserve">Adhesive residency: </w:t>
      </w:r>
      <w:r w:rsidRPr="008D3BC2">
        <w:rPr>
          <w:sz w:val="24"/>
          <w:szCs w:val="24"/>
        </w:rPr>
        <w:t>it should be harder to cease residency than it is to establish it. Generally, once sufficient time is spent in Australia, and their connections are sufficiently embedded, then it is appropriate that this level of engagement with and benefit from Australian society must be scaled back to a large extent before residency ceases. This is a feature that will be maintained from the existing rules, and reflects international practice.</w:t>
      </w:r>
    </w:p>
    <w:p w14:paraId="0CFC7345" w14:textId="77777777" w:rsidR="00236AD3" w:rsidRPr="008D3BC2" w:rsidRDefault="00B5683A" w:rsidP="004C1D28">
      <w:pPr>
        <w:pStyle w:val="ListParagraph"/>
        <w:numPr>
          <w:ilvl w:val="0"/>
          <w:numId w:val="17"/>
        </w:numPr>
        <w:spacing w:after="240"/>
        <w:ind w:left="720"/>
        <w:rPr>
          <w:sz w:val="24"/>
          <w:szCs w:val="24"/>
        </w:rPr>
      </w:pPr>
      <w:r w:rsidRPr="008D3BC2">
        <w:rPr>
          <w:b/>
          <w:sz w:val="24"/>
          <w:szCs w:val="24"/>
        </w:rPr>
        <w:t>Certainty</w:t>
      </w:r>
      <w:r w:rsidR="00236AD3" w:rsidRPr="008D3BC2">
        <w:rPr>
          <w:b/>
          <w:sz w:val="24"/>
          <w:szCs w:val="24"/>
        </w:rPr>
        <w:t>:</w:t>
      </w:r>
      <w:r w:rsidR="00236AD3" w:rsidRPr="008D3BC2">
        <w:rPr>
          <w:sz w:val="24"/>
          <w:szCs w:val="24"/>
        </w:rPr>
        <w:t xml:space="preserve"> the new rules should be designed to be straightforward and provide </w:t>
      </w:r>
      <w:r w:rsidR="00D8769C" w:rsidRPr="008D3BC2">
        <w:rPr>
          <w:sz w:val="24"/>
          <w:szCs w:val="24"/>
        </w:rPr>
        <w:t xml:space="preserve">clear </w:t>
      </w:r>
      <w:r w:rsidR="00236AD3" w:rsidRPr="008D3BC2">
        <w:rPr>
          <w:sz w:val="24"/>
          <w:szCs w:val="24"/>
        </w:rPr>
        <w:t xml:space="preserve">outcomes for </w:t>
      </w:r>
      <w:r w:rsidR="00D8769C" w:rsidRPr="008D3BC2">
        <w:rPr>
          <w:sz w:val="24"/>
          <w:szCs w:val="24"/>
        </w:rPr>
        <w:t xml:space="preserve">the majority </w:t>
      </w:r>
      <w:r w:rsidR="00236AD3" w:rsidRPr="008D3BC2">
        <w:rPr>
          <w:sz w:val="24"/>
          <w:szCs w:val="24"/>
        </w:rPr>
        <w:t xml:space="preserve">– there should be virtually no impact from this change in the majority of cases. However, </w:t>
      </w:r>
      <w:r w:rsidR="002E72A6" w:rsidRPr="008D3BC2">
        <w:rPr>
          <w:sz w:val="24"/>
          <w:szCs w:val="24"/>
        </w:rPr>
        <w:t xml:space="preserve">unlike the current rules there </w:t>
      </w:r>
      <w:r w:rsidR="00236AD3" w:rsidRPr="008D3BC2">
        <w:rPr>
          <w:sz w:val="24"/>
          <w:szCs w:val="24"/>
        </w:rPr>
        <w:t xml:space="preserve">will be clear </w:t>
      </w:r>
      <w:r w:rsidR="00085BA0" w:rsidRPr="008D3BC2">
        <w:rPr>
          <w:sz w:val="24"/>
          <w:szCs w:val="24"/>
        </w:rPr>
        <w:t xml:space="preserve">thresholds </w:t>
      </w:r>
      <w:r w:rsidR="00236AD3" w:rsidRPr="008D3BC2">
        <w:rPr>
          <w:sz w:val="24"/>
          <w:szCs w:val="24"/>
        </w:rPr>
        <w:t>for confirm</w:t>
      </w:r>
      <w:r w:rsidR="002E72A6" w:rsidRPr="008D3BC2">
        <w:rPr>
          <w:sz w:val="24"/>
          <w:szCs w:val="24"/>
        </w:rPr>
        <w:t>ing</w:t>
      </w:r>
      <w:r w:rsidR="00236AD3" w:rsidRPr="008D3BC2">
        <w:rPr>
          <w:sz w:val="24"/>
          <w:szCs w:val="24"/>
        </w:rPr>
        <w:t xml:space="preserve"> residency.</w:t>
      </w:r>
    </w:p>
    <w:p w14:paraId="4BDEC58E" w14:textId="77777777" w:rsidR="00236AD3" w:rsidRPr="008D3BC2" w:rsidRDefault="00D8769C" w:rsidP="004C1D28">
      <w:pPr>
        <w:pStyle w:val="ListParagraph"/>
        <w:numPr>
          <w:ilvl w:val="0"/>
          <w:numId w:val="17"/>
        </w:numPr>
        <w:spacing w:after="240"/>
        <w:ind w:left="720"/>
        <w:rPr>
          <w:sz w:val="24"/>
          <w:szCs w:val="24"/>
        </w:rPr>
      </w:pPr>
      <w:r w:rsidRPr="008D3BC2">
        <w:rPr>
          <w:b/>
          <w:sz w:val="24"/>
          <w:szCs w:val="24"/>
        </w:rPr>
        <w:t>Simplicity</w:t>
      </w:r>
      <w:r w:rsidR="00236AD3" w:rsidRPr="008D3BC2">
        <w:rPr>
          <w:b/>
          <w:sz w:val="24"/>
          <w:szCs w:val="24"/>
        </w:rPr>
        <w:t>:</w:t>
      </w:r>
      <w:r w:rsidR="00236AD3" w:rsidRPr="008D3BC2">
        <w:rPr>
          <w:sz w:val="24"/>
          <w:szCs w:val="24"/>
        </w:rPr>
        <w:t xml:space="preserve"> </w:t>
      </w:r>
      <w:r w:rsidRPr="008D3BC2">
        <w:rPr>
          <w:sz w:val="24"/>
          <w:szCs w:val="24"/>
        </w:rPr>
        <w:t xml:space="preserve">to remove uncertainty and complexity through clear, reasonable rules for determining residency for individuals with more complicated </w:t>
      </w:r>
      <w:r w:rsidR="003828C2" w:rsidRPr="008D3BC2">
        <w:rPr>
          <w:sz w:val="24"/>
          <w:szCs w:val="24"/>
        </w:rPr>
        <w:t xml:space="preserve">circumstances. This should balance the time spent in, and other connections with, Australia but in a way that removes the perceived subjectivity of the current rules. </w:t>
      </w:r>
    </w:p>
    <w:p w14:paraId="3C4DA7DC" w14:textId="77777777" w:rsidR="00236AD3" w:rsidRPr="008D3BC2" w:rsidRDefault="00236AD3" w:rsidP="004C1D28">
      <w:pPr>
        <w:pStyle w:val="ListParagraph"/>
        <w:numPr>
          <w:ilvl w:val="0"/>
          <w:numId w:val="17"/>
        </w:numPr>
        <w:spacing w:after="240"/>
        <w:ind w:left="720"/>
        <w:rPr>
          <w:sz w:val="24"/>
          <w:szCs w:val="24"/>
        </w:rPr>
      </w:pPr>
      <w:r w:rsidRPr="008D3BC2">
        <w:rPr>
          <w:b/>
          <w:sz w:val="24"/>
          <w:szCs w:val="24"/>
        </w:rPr>
        <w:t>Integrity:</w:t>
      </w:r>
      <w:r w:rsidR="003828C2" w:rsidRPr="008D3BC2">
        <w:rPr>
          <w:b/>
          <w:sz w:val="24"/>
          <w:szCs w:val="24"/>
        </w:rPr>
        <w:t xml:space="preserve"> </w:t>
      </w:r>
      <w:r w:rsidR="00B5683A" w:rsidRPr="008D3BC2">
        <w:rPr>
          <w:sz w:val="24"/>
          <w:szCs w:val="24"/>
        </w:rPr>
        <w:t>the rules should not make it easier for individuals that have close ties to Australia to be able to game the system and not pay their fair share of tax in Australia. For example, a test based pur</w:t>
      </w:r>
      <w:r w:rsidR="00085BA0" w:rsidRPr="008D3BC2">
        <w:rPr>
          <w:sz w:val="24"/>
          <w:szCs w:val="24"/>
        </w:rPr>
        <w:t>ely on time spent in Australia c</w:t>
      </w:r>
      <w:r w:rsidR="00B5683A" w:rsidRPr="008D3BC2">
        <w:rPr>
          <w:sz w:val="24"/>
          <w:szCs w:val="24"/>
        </w:rPr>
        <w:t xml:space="preserve">ould be easily manipulated through simply achieving the relevant number of days over/under a threshold depending on the tax profile of any given year. This will need to be balanced against the aim of providing simple, clear rules. </w:t>
      </w:r>
    </w:p>
    <w:p w14:paraId="0A2D8382" w14:textId="77777777" w:rsidR="00667AB1" w:rsidRPr="008D3BC2" w:rsidRDefault="00B5683A" w:rsidP="00A458D1">
      <w:pPr>
        <w:pStyle w:val="ListParagraph"/>
        <w:spacing w:after="240"/>
        <w:ind w:left="0"/>
        <w:rPr>
          <w:sz w:val="24"/>
          <w:szCs w:val="24"/>
        </w:rPr>
      </w:pPr>
      <w:r w:rsidRPr="008D3BC2">
        <w:rPr>
          <w:sz w:val="24"/>
          <w:szCs w:val="24"/>
        </w:rPr>
        <w:t>These principle</w:t>
      </w:r>
      <w:r w:rsidR="00681C07" w:rsidRPr="008D3BC2">
        <w:rPr>
          <w:sz w:val="24"/>
          <w:szCs w:val="24"/>
        </w:rPr>
        <w:t>s</w:t>
      </w:r>
      <w:r w:rsidRPr="008D3BC2">
        <w:rPr>
          <w:sz w:val="24"/>
          <w:szCs w:val="24"/>
        </w:rPr>
        <w:t xml:space="preserve"> aim to achieve equity by applying equally to all individuals, while also improving economic efficiency by removing uncertainty and </w:t>
      </w:r>
      <w:r w:rsidR="00A06C86" w:rsidRPr="008D3BC2">
        <w:rPr>
          <w:sz w:val="24"/>
          <w:szCs w:val="24"/>
        </w:rPr>
        <w:t>removing distortions</w:t>
      </w:r>
      <w:r w:rsidR="00085BA0" w:rsidRPr="008D3BC2">
        <w:rPr>
          <w:sz w:val="24"/>
          <w:szCs w:val="24"/>
        </w:rPr>
        <w:t>.</w:t>
      </w:r>
      <w:r w:rsidR="00A06C86" w:rsidRPr="008D3BC2">
        <w:rPr>
          <w:sz w:val="24"/>
          <w:szCs w:val="24"/>
        </w:rPr>
        <w:t xml:space="preserve"> </w:t>
      </w:r>
      <w:r w:rsidR="00667AB1" w:rsidRPr="008D3BC2">
        <w:rPr>
          <w:sz w:val="24"/>
          <w:szCs w:val="24"/>
        </w:rPr>
        <w:t xml:space="preserve">The development of the Board’s preferred model that follows seeks to strike an appropriate balance between these principles. </w:t>
      </w:r>
    </w:p>
    <w:p w14:paraId="0F1ACAE0" w14:textId="77777777" w:rsidR="00EA6A5C" w:rsidRPr="008D3BC2" w:rsidRDefault="00CF1A8F" w:rsidP="002C251F">
      <w:pPr>
        <w:pStyle w:val="ListParagraph"/>
        <w:numPr>
          <w:ilvl w:val="0"/>
          <w:numId w:val="11"/>
        </w:numPr>
        <w:spacing w:after="240"/>
        <w:ind w:left="426" w:hanging="284"/>
        <w:rPr>
          <w:b/>
          <w:color w:val="002060"/>
          <w:sz w:val="36"/>
        </w:rPr>
      </w:pPr>
      <w:r w:rsidRPr="008D3BC2">
        <w:rPr>
          <w:b/>
          <w:color w:val="002060"/>
          <w:sz w:val="36"/>
        </w:rPr>
        <w:t xml:space="preserve">Statement of individual residency policy  </w:t>
      </w:r>
    </w:p>
    <w:p w14:paraId="11E5B324" w14:textId="77777777" w:rsidR="00E16F9C" w:rsidRPr="008D3BC2" w:rsidRDefault="00E16F9C" w:rsidP="00A458D1">
      <w:pPr>
        <w:pStyle w:val="ListParagraph"/>
        <w:spacing w:after="240"/>
        <w:ind w:left="0"/>
        <w:rPr>
          <w:sz w:val="24"/>
          <w:szCs w:val="24"/>
        </w:rPr>
      </w:pPr>
      <w:r w:rsidRPr="008D3BC2">
        <w:rPr>
          <w:sz w:val="24"/>
          <w:szCs w:val="24"/>
        </w:rPr>
        <w:t>The Board recommended that the Government adopt a policy statement that provides legislative guidance on the parameters of individual residency.</w:t>
      </w:r>
    </w:p>
    <w:p w14:paraId="341635A9" w14:textId="77777777" w:rsidR="00E16F9C" w:rsidRPr="008D3BC2" w:rsidRDefault="00E16F9C" w:rsidP="00A458D1">
      <w:pPr>
        <w:pStyle w:val="ListParagraph"/>
        <w:spacing w:after="240"/>
        <w:ind w:left="0"/>
        <w:rPr>
          <w:sz w:val="24"/>
          <w:szCs w:val="24"/>
        </w:rPr>
      </w:pPr>
      <w:r w:rsidRPr="008D3BC2">
        <w:rPr>
          <w:sz w:val="24"/>
          <w:szCs w:val="24"/>
        </w:rPr>
        <w:t xml:space="preserve">The Board considers that the starting point for determining residency should be the extent of the individual’s </w:t>
      </w:r>
      <w:r w:rsidR="005F7282" w:rsidRPr="008D3BC2">
        <w:rPr>
          <w:sz w:val="24"/>
          <w:szCs w:val="24"/>
        </w:rPr>
        <w:t xml:space="preserve">exposure </w:t>
      </w:r>
      <w:r w:rsidRPr="008D3BC2">
        <w:rPr>
          <w:sz w:val="24"/>
          <w:szCs w:val="24"/>
        </w:rPr>
        <w:t xml:space="preserve">to </w:t>
      </w:r>
      <w:r w:rsidR="005F7282" w:rsidRPr="008D3BC2">
        <w:rPr>
          <w:sz w:val="24"/>
          <w:szCs w:val="24"/>
        </w:rPr>
        <w:t xml:space="preserve">Australian society’s </w:t>
      </w:r>
      <w:r w:rsidRPr="008D3BC2">
        <w:rPr>
          <w:sz w:val="24"/>
          <w:szCs w:val="24"/>
        </w:rPr>
        <w:t>economic</w:t>
      </w:r>
      <w:r w:rsidR="005F7282" w:rsidRPr="008D3BC2">
        <w:rPr>
          <w:sz w:val="24"/>
          <w:szCs w:val="24"/>
        </w:rPr>
        <w:t xml:space="preserve">, </w:t>
      </w:r>
      <w:r w:rsidRPr="008D3BC2">
        <w:rPr>
          <w:sz w:val="24"/>
          <w:szCs w:val="24"/>
        </w:rPr>
        <w:t xml:space="preserve">social </w:t>
      </w:r>
      <w:r w:rsidR="005F7282" w:rsidRPr="008D3BC2">
        <w:rPr>
          <w:sz w:val="24"/>
          <w:szCs w:val="24"/>
        </w:rPr>
        <w:t>and governmental infrastructure</w:t>
      </w:r>
      <w:r w:rsidRPr="008D3BC2">
        <w:rPr>
          <w:sz w:val="24"/>
          <w:szCs w:val="24"/>
        </w:rPr>
        <w:t xml:space="preserve">. </w:t>
      </w:r>
      <w:r w:rsidR="005F7282" w:rsidRPr="008D3BC2">
        <w:rPr>
          <w:sz w:val="24"/>
          <w:szCs w:val="24"/>
        </w:rPr>
        <w:t xml:space="preserve">Exposure </w:t>
      </w:r>
      <w:r w:rsidRPr="008D3BC2">
        <w:rPr>
          <w:sz w:val="24"/>
          <w:szCs w:val="24"/>
        </w:rPr>
        <w:t>to such benefits</w:t>
      </w:r>
      <w:r w:rsidR="005F7282" w:rsidRPr="008D3BC2">
        <w:rPr>
          <w:sz w:val="24"/>
          <w:szCs w:val="24"/>
        </w:rPr>
        <w:t xml:space="preserve">, through time spent in Australia and certain ties to Australian society, should ultimately </w:t>
      </w:r>
      <w:r w:rsidRPr="008D3BC2">
        <w:rPr>
          <w:sz w:val="24"/>
          <w:szCs w:val="24"/>
        </w:rPr>
        <w:t xml:space="preserve">lead to </w:t>
      </w:r>
      <w:r w:rsidR="005F7282" w:rsidRPr="008D3BC2">
        <w:rPr>
          <w:sz w:val="24"/>
          <w:szCs w:val="24"/>
        </w:rPr>
        <w:t>obligations arising from tax residency</w:t>
      </w:r>
      <w:r w:rsidRPr="008D3BC2">
        <w:rPr>
          <w:sz w:val="24"/>
          <w:szCs w:val="24"/>
        </w:rPr>
        <w:t>.</w:t>
      </w:r>
      <w:r w:rsidR="00B5683A" w:rsidRPr="008D3BC2">
        <w:rPr>
          <w:sz w:val="24"/>
          <w:szCs w:val="24"/>
        </w:rPr>
        <w:t xml:space="preserve"> That is, it is more than just a question of where one spends their time.</w:t>
      </w:r>
    </w:p>
    <w:p w14:paraId="5315561B" w14:textId="77777777" w:rsidR="00E16F9C" w:rsidRPr="008D3BC2" w:rsidRDefault="0071103C" w:rsidP="00A458D1">
      <w:pPr>
        <w:pStyle w:val="ListParagraph"/>
        <w:spacing w:after="240"/>
        <w:ind w:left="0"/>
        <w:rPr>
          <w:sz w:val="24"/>
          <w:szCs w:val="24"/>
        </w:rPr>
      </w:pPr>
      <w:r w:rsidRPr="008D3BC2">
        <w:rPr>
          <w:sz w:val="24"/>
          <w:szCs w:val="24"/>
        </w:rPr>
        <w:t xml:space="preserve">In the Board’s report, </w:t>
      </w:r>
      <w:r w:rsidR="00E16F9C" w:rsidRPr="008D3BC2">
        <w:rPr>
          <w:sz w:val="24"/>
          <w:szCs w:val="24"/>
        </w:rPr>
        <w:t xml:space="preserve">the following matters </w:t>
      </w:r>
      <w:r w:rsidRPr="008D3BC2">
        <w:rPr>
          <w:sz w:val="24"/>
          <w:szCs w:val="24"/>
        </w:rPr>
        <w:t>we also identified</w:t>
      </w:r>
      <w:r w:rsidR="00E16F9C" w:rsidRPr="008D3BC2">
        <w:rPr>
          <w:sz w:val="24"/>
          <w:szCs w:val="24"/>
        </w:rPr>
        <w:t>:</w:t>
      </w:r>
    </w:p>
    <w:p w14:paraId="74952F1C" w14:textId="77777777" w:rsidR="00E16F9C" w:rsidRPr="008D3BC2" w:rsidRDefault="00E16F9C" w:rsidP="004C1D28">
      <w:pPr>
        <w:pStyle w:val="Bullet"/>
        <w:numPr>
          <w:ilvl w:val="0"/>
          <w:numId w:val="13"/>
        </w:numPr>
        <w:ind w:left="720"/>
        <w:rPr>
          <w:sz w:val="24"/>
        </w:rPr>
      </w:pPr>
      <w:r w:rsidRPr="008D3BC2">
        <w:rPr>
          <w:sz w:val="24"/>
        </w:rPr>
        <w:t>access to the privileges of Australian citizenship (or similar) – government infrastructure, security, medical and other services the Government provides to the individual;</w:t>
      </w:r>
    </w:p>
    <w:p w14:paraId="1A3D3531" w14:textId="77777777" w:rsidR="00E16F9C" w:rsidRPr="008D3BC2" w:rsidRDefault="00E16F9C" w:rsidP="004C1D28">
      <w:pPr>
        <w:pStyle w:val="Bullet"/>
        <w:numPr>
          <w:ilvl w:val="0"/>
          <w:numId w:val="13"/>
        </w:numPr>
        <w:ind w:left="720"/>
        <w:rPr>
          <w:sz w:val="24"/>
        </w:rPr>
      </w:pPr>
      <w:r w:rsidRPr="008D3BC2">
        <w:rPr>
          <w:sz w:val="24"/>
        </w:rPr>
        <w:t>access to the Australian economy – the ability to access Australia’s resources such as the capital market, a steadfast banking system, natural resources and the labour market; and</w:t>
      </w:r>
    </w:p>
    <w:p w14:paraId="392E618F" w14:textId="77777777" w:rsidR="00E16F9C" w:rsidRPr="008D3BC2" w:rsidRDefault="00E16F9C" w:rsidP="004C1D28">
      <w:pPr>
        <w:pStyle w:val="Bullet"/>
        <w:numPr>
          <w:ilvl w:val="0"/>
          <w:numId w:val="13"/>
        </w:numPr>
        <w:ind w:left="720"/>
        <w:rPr>
          <w:sz w:val="24"/>
        </w:rPr>
      </w:pPr>
      <w:proofErr w:type="gramStart"/>
      <w:r w:rsidRPr="008D3BC2">
        <w:rPr>
          <w:sz w:val="24"/>
        </w:rPr>
        <w:t>other</w:t>
      </w:r>
      <w:proofErr w:type="gramEnd"/>
      <w:r w:rsidRPr="008D3BC2">
        <w:rPr>
          <w:sz w:val="24"/>
        </w:rPr>
        <w:t xml:space="preserve"> benefits of physical location in Australia – property (home) ownership and proximity to Australian goods, services and consumers.</w:t>
      </w:r>
    </w:p>
    <w:p w14:paraId="43616CBD" w14:textId="77777777" w:rsidR="00735DA9" w:rsidRPr="008D3BC2" w:rsidRDefault="009F4EDE" w:rsidP="00A458D1">
      <w:pPr>
        <w:pStyle w:val="ListParagraph"/>
        <w:spacing w:after="240"/>
        <w:ind w:left="0"/>
        <w:rPr>
          <w:sz w:val="24"/>
          <w:szCs w:val="24"/>
        </w:rPr>
      </w:pPr>
      <w:r w:rsidRPr="008D3BC2">
        <w:rPr>
          <w:sz w:val="24"/>
          <w:szCs w:val="24"/>
        </w:rPr>
        <w:t>T</w:t>
      </w:r>
      <w:r w:rsidR="00E16F9C" w:rsidRPr="008D3BC2">
        <w:rPr>
          <w:sz w:val="24"/>
          <w:szCs w:val="24"/>
        </w:rPr>
        <w:t xml:space="preserve">his statement </w:t>
      </w:r>
      <w:r w:rsidRPr="008D3BC2">
        <w:rPr>
          <w:sz w:val="24"/>
          <w:szCs w:val="24"/>
        </w:rPr>
        <w:t xml:space="preserve">is not </w:t>
      </w:r>
      <w:r w:rsidR="00E16F9C" w:rsidRPr="008D3BC2">
        <w:rPr>
          <w:sz w:val="24"/>
          <w:szCs w:val="24"/>
        </w:rPr>
        <w:t>a legislative test</w:t>
      </w:r>
      <w:r w:rsidR="0071103C" w:rsidRPr="008D3BC2">
        <w:rPr>
          <w:sz w:val="24"/>
          <w:szCs w:val="24"/>
        </w:rPr>
        <w:t xml:space="preserve"> – it would be an objects clause or theme statement in the style of the </w:t>
      </w:r>
      <w:r w:rsidR="0071103C" w:rsidRPr="008D3BC2">
        <w:rPr>
          <w:i/>
          <w:sz w:val="24"/>
          <w:szCs w:val="24"/>
        </w:rPr>
        <w:t>Income Tax Assessment Act 1997</w:t>
      </w:r>
      <w:r w:rsidR="00E16F9C" w:rsidRPr="008D3BC2">
        <w:rPr>
          <w:sz w:val="24"/>
          <w:szCs w:val="24"/>
        </w:rPr>
        <w:t xml:space="preserve"> </w:t>
      </w:r>
      <w:r w:rsidR="0071103C" w:rsidRPr="008D3BC2">
        <w:rPr>
          <w:sz w:val="24"/>
          <w:szCs w:val="24"/>
        </w:rPr>
        <w:t>that</w:t>
      </w:r>
      <w:r w:rsidRPr="008D3BC2">
        <w:rPr>
          <w:sz w:val="24"/>
          <w:szCs w:val="24"/>
        </w:rPr>
        <w:t xml:space="preserve"> </w:t>
      </w:r>
      <w:r w:rsidR="0071103C" w:rsidRPr="008D3BC2">
        <w:rPr>
          <w:sz w:val="24"/>
          <w:szCs w:val="24"/>
        </w:rPr>
        <w:t xml:space="preserve">encapsulates </w:t>
      </w:r>
      <w:r w:rsidR="00E16F9C" w:rsidRPr="008D3BC2">
        <w:rPr>
          <w:sz w:val="24"/>
          <w:szCs w:val="24"/>
        </w:rPr>
        <w:t>the principles underpin</w:t>
      </w:r>
      <w:r w:rsidR="0071103C" w:rsidRPr="008D3BC2">
        <w:rPr>
          <w:sz w:val="24"/>
          <w:szCs w:val="24"/>
        </w:rPr>
        <w:t>ning</w:t>
      </w:r>
      <w:r w:rsidR="00E16F9C" w:rsidRPr="008D3BC2">
        <w:rPr>
          <w:sz w:val="24"/>
          <w:szCs w:val="24"/>
        </w:rPr>
        <w:t xml:space="preserve"> the residency rules and the Government’s policy intention</w:t>
      </w:r>
      <w:r w:rsidRPr="008D3BC2">
        <w:rPr>
          <w:sz w:val="24"/>
          <w:szCs w:val="24"/>
        </w:rPr>
        <w:t>.</w:t>
      </w:r>
      <w:r w:rsidR="0071103C" w:rsidRPr="008D3BC2">
        <w:rPr>
          <w:rStyle w:val="FootnoteReference"/>
          <w:szCs w:val="24"/>
        </w:rPr>
        <w:footnoteReference w:id="2"/>
      </w:r>
      <w:r w:rsidR="00735DA9" w:rsidRPr="008D3BC2">
        <w:rPr>
          <w:sz w:val="24"/>
          <w:szCs w:val="24"/>
        </w:rPr>
        <w:t xml:space="preserve"> </w:t>
      </w:r>
    </w:p>
    <w:p w14:paraId="0B955492" w14:textId="77777777" w:rsidR="00E16F9C" w:rsidRPr="008D3BC2" w:rsidRDefault="00735DA9" w:rsidP="00A458D1">
      <w:pPr>
        <w:pStyle w:val="ListParagraph"/>
        <w:spacing w:after="240"/>
        <w:ind w:left="0"/>
        <w:rPr>
          <w:sz w:val="24"/>
          <w:szCs w:val="24"/>
        </w:rPr>
      </w:pPr>
      <w:r w:rsidRPr="008D3BC2">
        <w:rPr>
          <w:sz w:val="24"/>
          <w:szCs w:val="24"/>
        </w:rPr>
        <w:t>For example</w:t>
      </w:r>
      <w:r w:rsidR="00DC5C64" w:rsidRPr="008D3BC2">
        <w:rPr>
          <w:sz w:val="24"/>
          <w:szCs w:val="24"/>
        </w:rPr>
        <w:t>, the Board’s preliminary proposal is</w:t>
      </w:r>
      <w:r w:rsidRPr="008D3BC2">
        <w:rPr>
          <w:sz w:val="24"/>
          <w:szCs w:val="24"/>
        </w:rPr>
        <w:t>:</w:t>
      </w:r>
    </w:p>
    <w:p w14:paraId="7ADA2A92" w14:textId="7B3332FD" w:rsidR="0071103C" w:rsidRPr="008D3BC2" w:rsidRDefault="00735DA9" w:rsidP="00A458D1">
      <w:pPr>
        <w:pStyle w:val="ListParagraph"/>
        <w:spacing w:after="240"/>
        <w:ind w:left="0"/>
        <w:rPr>
          <w:sz w:val="24"/>
          <w:szCs w:val="24"/>
        </w:rPr>
      </w:pPr>
      <w:r w:rsidRPr="008D3BC2">
        <w:rPr>
          <w:i/>
          <w:sz w:val="24"/>
          <w:szCs w:val="24"/>
        </w:rPr>
        <w:t xml:space="preserve">“Whether you are an Australian resident for tax purposes is based on </w:t>
      </w:r>
      <w:r w:rsidR="00AB6653" w:rsidRPr="008D3BC2">
        <w:rPr>
          <w:i/>
          <w:sz w:val="24"/>
          <w:szCs w:val="24"/>
        </w:rPr>
        <w:t xml:space="preserve">both </w:t>
      </w:r>
      <w:r w:rsidRPr="008D3BC2">
        <w:rPr>
          <w:i/>
          <w:sz w:val="24"/>
          <w:szCs w:val="24"/>
        </w:rPr>
        <w:t>your time spent in Australia and the nature and quality of your ties to Australian society. The more substantial your ties to Australia, the more likely you will be a resident. This Division determines your residency status by considering the relevance of your ties</w:t>
      </w:r>
      <w:r w:rsidR="00A06C86" w:rsidRPr="008D3BC2">
        <w:rPr>
          <w:i/>
          <w:sz w:val="24"/>
          <w:szCs w:val="24"/>
        </w:rPr>
        <w:t xml:space="preserve"> and calculating your time spent</w:t>
      </w:r>
      <w:r w:rsidRPr="008D3BC2">
        <w:rPr>
          <w:i/>
          <w:sz w:val="24"/>
          <w:szCs w:val="24"/>
        </w:rPr>
        <w:t>.”</w:t>
      </w:r>
    </w:p>
    <w:p w14:paraId="1EA01276" w14:textId="77777777" w:rsidR="00C716EA" w:rsidRPr="008D3BC2" w:rsidRDefault="00C716EA" w:rsidP="00A458D1">
      <w:pPr>
        <w:pStyle w:val="ListParagraph"/>
        <w:spacing w:after="240"/>
        <w:ind w:left="0"/>
        <w:rPr>
          <w:sz w:val="24"/>
          <w:szCs w:val="24"/>
        </w:rPr>
      </w:pPr>
      <w:r w:rsidRPr="008D3BC2">
        <w:rPr>
          <w:sz w:val="24"/>
          <w:szCs w:val="24"/>
        </w:rPr>
        <w:t>The Board seeks to consult on how best to summarise the appropriate policy settings for individual tax residency.</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466A14" w:rsidRPr="008D3BC2" w14:paraId="30C869BB" w14:textId="77777777" w:rsidTr="00A92E98">
        <w:tc>
          <w:tcPr>
            <w:tcW w:w="5000" w:type="pct"/>
            <w:shd w:val="clear" w:color="auto" w:fill="EBEBEB"/>
          </w:tcPr>
          <w:p w14:paraId="7DF0F03C" w14:textId="77777777" w:rsidR="00466A14" w:rsidRPr="008D3BC2" w:rsidRDefault="005F7282" w:rsidP="00187557">
            <w:pPr>
              <w:pStyle w:val="BoxHeading"/>
            </w:pPr>
            <w:r w:rsidRPr="008D3BC2">
              <w:t>Questions</w:t>
            </w:r>
          </w:p>
          <w:p w14:paraId="1F3D36EB" w14:textId="77777777" w:rsidR="00735DA9" w:rsidRPr="008D3BC2" w:rsidRDefault="00735DA9" w:rsidP="004C1D28">
            <w:pPr>
              <w:pStyle w:val="BoxText"/>
              <w:numPr>
                <w:ilvl w:val="0"/>
                <w:numId w:val="14"/>
              </w:numPr>
            </w:pPr>
            <w:r w:rsidRPr="008D3BC2">
              <w:t xml:space="preserve">Does the Board’s proposed wording appropriately </w:t>
            </w:r>
            <w:r w:rsidR="0043038D" w:rsidRPr="008D3BC2">
              <w:t>encapsulate the policy objective of ensuring that individuals with substantial ties should be residents?</w:t>
            </w:r>
          </w:p>
          <w:p w14:paraId="0A709849" w14:textId="77777777" w:rsidR="0043038D" w:rsidRPr="008D3BC2" w:rsidRDefault="0043038D" w:rsidP="004C1D28">
            <w:pPr>
              <w:pStyle w:val="BoxText"/>
              <w:numPr>
                <w:ilvl w:val="0"/>
                <w:numId w:val="14"/>
              </w:numPr>
            </w:pPr>
            <w:r w:rsidRPr="008D3BC2">
              <w:t>The Board’s report suggested that the statement should identify how the residency rules address the tax policy objectives of simplicity, equity, efficiency and integrity (in particular, the prevention of tax avoidance) to help taxpayers and the ATO understand whether taxation (or its absence) in any given context is a intended outcome or the result of tax avoidance.</w:t>
            </w:r>
          </w:p>
          <w:p w14:paraId="1C8EE3DD" w14:textId="77777777" w:rsidR="0043038D" w:rsidRPr="008D3BC2" w:rsidRDefault="0043038D" w:rsidP="0043038D">
            <w:pPr>
              <w:pStyle w:val="BoxText"/>
              <w:ind w:left="720"/>
            </w:pPr>
            <w:r w:rsidRPr="008D3BC2">
              <w:t>Do you consider that this statement achieves this standard? If not, how may it more accurately do so?</w:t>
            </w:r>
          </w:p>
        </w:tc>
      </w:tr>
    </w:tbl>
    <w:p w14:paraId="138CF99D" w14:textId="77777777" w:rsidR="00CF1A8F" w:rsidRPr="008D3BC2" w:rsidRDefault="00152363" w:rsidP="002C251F">
      <w:pPr>
        <w:pStyle w:val="ListParagraph"/>
        <w:numPr>
          <w:ilvl w:val="0"/>
          <w:numId w:val="11"/>
        </w:numPr>
        <w:spacing w:after="240"/>
        <w:ind w:left="426" w:hanging="284"/>
        <w:rPr>
          <w:b/>
          <w:color w:val="002060"/>
          <w:sz w:val="36"/>
        </w:rPr>
      </w:pPr>
      <w:r w:rsidRPr="008D3BC2">
        <w:rPr>
          <w:b/>
          <w:color w:val="002060"/>
          <w:sz w:val="36"/>
        </w:rPr>
        <w:t>Bright</w:t>
      </w:r>
      <w:r w:rsidRPr="008D3BC2">
        <w:rPr>
          <w:b/>
          <w:color w:val="002060"/>
          <w:sz w:val="36"/>
        </w:rPr>
        <w:noBreakHyphen/>
        <w:t xml:space="preserve">line </w:t>
      </w:r>
      <w:r w:rsidR="00CF1A8F" w:rsidRPr="008D3BC2">
        <w:rPr>
          <w:b/>
          <w:color w:val="002060"/>
          <w:sz w:val="36"/>
        </w:rPr>
        <w:t>test</w:t>
      </w:r>
    </w:p>
    <w:p w14:paraId="2250A4E0" w14:textId="763804E6" w:rsidR="00A06C86" w:rsidRPr="008D3BC2" w:rsidRDefault="00152363" w:rsidP="00A458D1">
      <w:pPr>
        <w:pStyle w:val="ListParagraph"/>
        <w:ind w:left="0"/>
        <w:rPr>
          <w:sz w:val="24"/>
          <w:szCs w:val="24"/>
        </w:rPr>
      </w:pPr>
      <w:r w:rsidRPr="008D3BC2">
        <w:rPr>
          <w:sz w:val="24"/>
          <w:szCs w:val="24"/>
        </w:rPr>
        <w:t xml:space="preserve">The Board’s </w:t>
      </w:r>
      <w:r w:rsidR="00DF3238" w:rsidRPr="008D3BC2">
        <w:rPr>
          <w:sz w:val="24"/>
          <w:szCs w:val="24"/>
        </w:rPr>
        <w:t>preferred design includes a primary test that provides a bright</w:t>
      </w:r>
      <w:r w:rsidR="00547401" w:rsidRPr="008D3BC2">
        <w:rPr>
          <w:sz w:val="24"/>
          <w:szCs w:val="24"/>
        </w:rPr>
        <w:noBreakHyphen/>
      </w:r>
      <w:r w:rsidR="00DF3238" w:rsidRPr="008D3BC2">
        <w:rPr>
          <w:sz w:val="24"/>
          <w:szCs w:val="24"/>
        </w:rPr>
        <w:t>line for most individuals to be able to conclusively determine their residency status. This will help those that are clearly residents and non</w:t>
      </w:r>
      <w:r w:rsidR="00DF3238" w:rsidRPr="008D3BC2">
        <w:rPr>
          <w:sz w:val="24"/>
          <w:szCs w:val="24"/>
        </w:rPr>
        <w:noBreakHyphen/>
        <w:t>residents to identify the basis on which they may claim such status with certainty and manage their tax affairs accordingly.</w:t>
      </w:r>
    </w:p>
    <w:p w14:paraId="0AD1D8A1" w14:textId="77777777" w:rsidR="00DF3238" w:rsidRPr="008D3BC2" w:rsidRDefault="00DF3238" w:rsidP="00A458D1">
      <w:pPr>
        <w:pStyle w:val="ListParagraph"/>
        <w:ind w:left="0"/>
        <w:rPr>
          <w:sz w:val="24"/>
          <w:szCs w:val="24"/>
        </w:rPr>
      </w:pPr>
    </w:p>
    <w:p w14:paraId="2F705542" w14:textId="5E20E875" w:rsidR="00DF3238" w:rsidRPr="008D3BC2" w:rsidRDefault="00547401" w:rsidP="00A458D1">
      <w:pPr>
        <w:pStyle w:val="ListParagraph"/>
        <w:ind w:left="0"/>
        <w:rPr>
          <w:sz w:val="24"/>
          <w:szCs w:val="24"/>
        </w:rPr>
      </w:pPr>
      <w:r w:rsidRPr="008D3BC2">
        <w:rPr>
          <w:sz w:val="24"/>
          <w:szCs w:val="24"/>
        </w:rPr>
        <w:t>This aligns with the Board’s expectation that the majority of individuals will not be affected by the change, but should be given improved certainty. A bright</w:t>
      </w:r>
      <w:r w:rsidRPr="008D3BC2">
        <w:rPr>
          <w:sz w:val="24"/>
          <w:szCs w:val="24"/>
        </w:rPr>
        <w:noBreakHyphen/>
        <w:t xml:space="preserve">line </w:t>
      </w:r>
      <w:r w:rsidR="00DF3238" w:rsidRPr="008D3BC2">
        <w:rPr>
          <w:sz w:val="24"/>
          <w:szCs w:val="24"/>
        </w:rPr>
        <w:t xml:space="preserve">test </w:t>
      </w:r>
      <w:r w:rsidR="00E67348" w:rsidRPr="008D3BC2">
        <w:rPr>
          <w:sz w:val="24"/>
          <w:szCs w:val="24"/>
        </w:rPr>
        <w:t xml:space="preserve">removes </w:t>
      </w:r>
      <w:r w:rsidR="00DF3238" w:rsidRPr="008D3BC2">
        <w:rPr>
          <w:sz w:val="24"/>
          <w:szCs w:val="24"/>
        </w:rPr>
        <w:t>the more complex analysis of</w:t>
      </w:r>
      <w:r w:rsidR="00676B8D" w:rsidRPr="008D3BC2">
        <w:rPr>
          <w:sz w:val="24"/>
          <w:szCs w:val="24"/>
        </w:rPr>
        <w:t xml:space="preserve"> </w:t>
      </w:r>
      <w:r w:rsidR="00DF3238" w:rsidRPr="008D3BC2">
        <w:rPr>
          <w:sz w:val="24"/>
          <w:szCs w:val="24"/>
        </w:rPr>
        <w:t>individual factors (as per the current tests</w:t>
      </w:r>
      <w:r w:rsidR="00E67348" w:rsidRPr="008D3BC2">
        <w:rPr>
          <w:sz w:val="24"/>
          <w:szCs w:val="24"/>
        </w:rPr>
        <w:t>)</w:t>
      </w:r>
      <w:r w:rsidR="00DF3238" w:rsidRPr="008D3BC2">
        <w:rPr>
          <w:sz w:val="24"/>
          <w:szCs w:val="24"/>
        </w:rPr>
        <w:t xml:space="preserve"> which should instead be</w:t>
      </w:r>
      <w:r w:rsidR="00676B8D" w:rsidRPr="008D3BC2">
        <w:rPr>
          <w:sz w:val="24"/>
          <w:szCs w:val="24"/>
        </w:rPr>
        <w:t xml:space="preserve"> </w:t>
      </w:r>
      <w:r w:rsidR="00DF3238" w:rsidRPr="008D3BC2">
        <w:rPr>
          <w:sz w:val="24"/>
          <w:szCs w:val="24"/>
        </w:rPr>
        <w:t>reserved for more difficult residency cases.</w:t>
      </w:r>
      <w:r w:rsidR="0071126D" w:rsidRPr="008D3BC2">
        <w:rPr>
          <w:sz w:val="24"/>
          <w:szCs w:val="24"/>
        </w:rPr>
        <w:t xml:space="preserve"> However, the Board would be interested in views from stakeholders on whether the straightforward tests below correctly balance simplicity, certainty and integrity.</w:t>
      </w:r>
    </w:p>
    <w:p w14:paraId="0383845F" w14:textId="77777777" w:rsidR="00DF3238" w:rsidRPr="008D3BC2" w:rsidRDefault="00DF3238" w:rsidP="00A458D1">
      <w:pPr>
        <w:pStyle w:val="ListParagraph"/>
        <w:ind w:left="0"/>
        <w:rPr>
          <w:sz w:val="24"/>
          <w:szCs w:val="24"/>
        </w:rPr>
      </w:pPr>
    </w:p>
    <w:p w14:paraId="6779D73F" w14:textId="3DF45F35" w:rsidR="00DF3238" w:rsidRPr="008D3BC2" w:rsidRDefault="00DF3238" w:rsidP="00A458D1">
      <w:pPr>
        <w:pStyle w:val="ListParagraph"/>
        <w:ind w:left="0"/>
        <w:rPr>
          <w:sz w:val="24"/>
          <w:szCs w:val="24"/>
        </w:rPr>
      </w:pPr>
      <w:r w:rsidRPr="008D3BC2">
        <w:rPr>
          <w:sz w:val="24"/>
          <w:szCs w:val="24"/>
        </w:rPr>
        <w:t>The bright</w:t>
      </w:r>
      <w:r w:rsidRPr="008D3BC2">
        <w:rPr>
          <w:sz w:val="24"/>
          <w:szCs w:val="24"/>
        </w:rPr>
        <w:noBreakHyphen/>
        <w:t>line test will specify both automatic resident and non</w:t>
      </w:r>
      <w:r w:rsidRPr="008D3BC2">
        <w:rPr>
          <w:sz w:val="24"/>
          <w:szCs w:val="24"/>
        </w:rPr>
        <w:noBreakHyphen/>
        <w:t xml:space="preserve">resident status. In the Board’s report, this is classified as ‘inbound individuals’ and ‘outbound individuals’ as the tests will be of most relevance to those either seeking to work out whether they have established or ceased residency. While these tests </w:t>
      </w:r>
      <w:r w:rsidR="0071126D" w:rsidRPr="008D3BC2">
        <w:rPr>
          <w:sz w:val="24"/>
          <w:szCs w:val="24"/>
        </w:rPr>
        <w:t xml:space="preserve">would </w:t>
      </w:r>
      <w:r w:rsidRPr="008D3BC2">
        <w:rPr>
          <w:sz w:val="24"/>
          <w:szCs w:val="24"/>
        </w:rPr>
        <w:t>apply to all individuals, this Guide will use the same parlance for consistency.</w:t>
      </w:r>
    </w:p>
    <w:p w14:paraId="48438891" w14:textId="77777777" w:rsidR="00DF3238" w:rsidRPr="008D3BC2" w:rsidRDefault="00DF3238" w:rsidP="00A458D1">
      <w:pPr>
        <w:pStyle w:val="ListParagraph"/>
        <w:ind w:left="0"/>
        <w:rPr>
          <w:b/>
          <w:color w:val="002060"/>
          <w:sz w:val="28"/>
        </w:rPr>
      </w:pPr>
    </w:p>
    <w:p w14:paraId="61DB061B" w14:textId="77777777" w:rsidR="00CF1A8F" w:rsidRPr="008D3BC2" w:rsidRDefault="00CF1A8F" w:rsidP="00A458D1">
      <w:pPr>
        <w:pStyle w:val="ListParagraph"/>
        <w:spacing w:after="240"/>
        <w:ind w:left="0"/>
        <w:rPr>
          <w:b/>
          <w:color w:val="002060"/>
          <w:sz w:val="28"/>
        </w:rPr>
      </w:pPr>
      <w:r w:rsidRPr="008D3BC2">
        <w:rPr>
          <w:b/>
          <w:color w:val="002060"/>
          <w:sz w:val="28"/>
        </w:rPr>
        <w:t>Inbound individuals</w:t>
      </w:r>
    </w:p>
    <w:p w14:paraId="2A861513" w14:textId="77777777" w:rsidR="0043038D" w:rsidRPr="008D3BC2" w:rsidRDefault="00DF3238" w:rsidP="00A458D1">
      <w:pPr>
        <w:pStyle w:val="ListParagraph"/>
        <w:ind w:left="0"/>
        <w:rPr>
          <w:sz w:val="24"/>
          <w:szCs w:val="24"/>
        </w:rPr>
      </w:pPr>
      <w:r w:rsidRPr="008D3BC2">
        <w:rPr>
          <w:sz w:val="24"/>
          <w:szCs w:val="24"/>
        </w:rPr>
        <w:t>The inbound individual test determines whether an individual has automatically established residency. As noted in the Board’s report, similar rules exist in the New Zealand and United Kingdom residency rules</w:t>
      </w:r>
      <w:r w:rsidR="00E67348" w:rsidRPr="008D3BC2">
        <w:rPr>
          <w:sz w:val="24"/>
          <w:szCs w:val="24"/>
        </w:rPr>
        <w:t xml:space="preserve"> – however, this is not limited to those jurisdictions. It is a relatively common global standard.</w:t>
      </w:r>
    </w:p>
    <w:p w14:paraId="74E33684" w14:textId="77777777" w:rsidR="0070453B" w:rsidRPr="008D3BC2" w:rsidRDefault="0070453B" w:rsidP="00A458D1">
      <w:pPr>
        <w:pStyle w:val="ListParagraph"/>
        <w:ind w:left="0"/>
        <w:rPr>
          <w:sz w:val="24"/>
          <w:szCs w:val="24"/>
        </w:rPr>
      </w:pPr>
    </w:p>
    <w:p w14:paraId="4BAF6422" w14:textId="359380AE" w:rsidR="00E67348" w:rsidRPr="008D3BC2" w:rsidRDefault="004D30BC" w:rsidP="00A458D1">
      <w:pPr>
        <w:pStyle w:val="ListParagraph"/>
        <w:ind w:left="0"/>
        <w:rPr>
          <w:sz w:val="24"/>
          <w:szCs w:val="24"/>
        </w:rPr>
      </w:pPr>
      <w:r w:rsidRPr="008D3BC2">
        <w:rPr>
          <w:sz w:val="24"/>
          <w:szCs w:val="24"/>
        </w:rPr>
        <w:t xml:space="preserve">The common standard is </w:t>
      </w:r>
      <w:r w:rsidR="00E67348" w:rsidRPr="008D3BC2">
        <w:rPr>
          <w:sz w:val="24"/>
          <w:szCs w:val="24"/>
        </w:rPr>
        <w:t>183</w:t>
      </w:r>
      <w:r w:rsidR="00934351" w:rsidRPr="008D3BC2">
        <w:rPr>
          <w:sz w:val="24"/>
          <w:szCs w:val="24"/>
        </w:rPr>
        <w:t xml:space="preserve"> </w:t>
      </w:r>
      <w:r w:rsidR="008367EC" w:rsidRPr="008D3BC2">
        <w:rPr>
          <w:sz w:val="24"/>
          <w:szCs w:val="24"/>
        </w:rPr>
        <w:t>day</w:t>
      </w:r>
      <w:r w:rsidR="00E67348" w:rsidRPr="008D3BC2">
        <w:rPr>
          <w:sz w:val="24"/>
          <w:szCs w:val="24"/>
        </w:rPr>
        <w:t>s (</w:t>
      </w:r>
      <w:r w:rsidR="008367EC" w:rsidRPr="008D3BC2">
        <w:rPr>
          <w:sz w:val="24"/>
          <w:szCs w:val="24"/>
        </w:rPr>
        <w:t xml:space="preserve">being one day more than half a </w:t>
      </w:r>
      <w:r w:rsidR="00E67348" w:rsidRPr="008D3BC2">
        <w:rPr>
          <w:sz w:val="24"/>
          <w:szCs w:val="24"/>
        </w:rPr>
        <w:t xml:space="preserve">regular </w:t>
      </w:r>
      <w:r w:rsidR="008367EC" w:rsidRPr="008D3BC2">
        <w:rPr>
          <w:sz w:val="24"/>
          <w:szCs w:val="24"/>
        </w:rPr>
        <w:t>year</w:t>
      </w:r>
      <w:r w:rsidR="00E67348" w:rsidRPr="008D3BC2">
        <w:rPr>
          <w:sz w:val="24"/>
          <w:szCs w:val="24"/>
        </w:rPr>
        <w:t>)</w:t>
      </w:r>
      <w:r w:rsidR="008367EC" w:rsidRPr="008D3BC2">
        <w:rPr>
          <w:sz w:val="24"/>
          <w:szCs w:val="24"/>
        </w:rPr>
        <w:t xml:space="preserve">. </w:t>
      </w:r>
      <w:r w:rsidRPr="008D3BC2">
        <w:rPr>
          <w:sz w:val="24"/>
          <w:szCs w:val="24"/>
        </w:rPr>
        <w:t>This is considered a reasonable proxy for determining whether an individual spends the majority of their time in Australia.</w:t>
      </w:r>
    </w:p>
    <w:p w14:paraId="22A141B2" w14:textId="77777777" w:rsidR="00E67348" w:rsidRPr="008D3BC2" w:rsidRDefault="00E67348" w:rsidP="00A458D1">
      <w:pPr>
        <w:pStyle w:val="ListParagraph"/>
        <w:ind w:left="0"/>
        <w:rPr>
          <w:sz w:val="24"/>
          <w:szCs w:val="24"/>
        </w:rPr>
      </w:pPr>
    </w:p>
    <w:p w14:paraId="1F621F3C" w14:textId="77777777" w:rsidR="004D30BC" w:rsidRPr="008D3BC2" w:rsidRDefault="004D30BC" w:rsidP="00A458D1">
      <w:pPr>
        <w:pStyle w:val="ListParagraph"/>
        <w:ind w:left="0"/>
        <w:rPr>
          <w:sz w:val="24"/>
          <w:szCs w:val="24"/>
        </w:rPr>
      </w:pPr>
      <w:r w:rsidRPr="008D3BC2">
        <w:rPr>
          <w:sz w:val="24"/>
          <w:szCs w:val="24"/>
        </w:rPr>
        <w:t>As noted in the Board’s report, in order to guard against manipulation  (</w:t>
      </w:r>
      <w:proofErr w:type="spellStart"/>
      <w:r w:rsidRPr="008D3BC2">
        <w:rPr>
          <w:sz w:val="24"/>
          <w:szCs w:val="24"/>
        </w:rPr>
        <w:t>eg</w:t>
      </w:r>
      <w:proofErr w:type="spellEnd"/>
      <w:r w:rsidRPr="008D3BC2">
        <w:rPr>
          <w:sz w:val="24"/>
          <w:szCs w:val="24"/>
        </w:rPr>
        <w:t xml:space="preserve">, by staying in Australia for less than half of two separate income years in one 12 month period), the 183-day standard may be met by </w:t>
      </w:r>
      <w:r w:rsidR="008367EC" w:rsidRPr="008D3BC2">
        <w:rPr>
          <w:sz w:val="24"/>
          <w:szCs w:val="24"/>
        </w:rPr>
        <w:t xml:space="preserve">an individual </w:t>
      </w:r>
      <w:r w:rsidRPr="008D3BC2">
        <w:rPr>
          <w:sz w:val="24"/>
          <w:szCs w:val="24"/>
        </w:rPr>
        <w:t xml:space="preserve">if </w:t>
      </w:r>
      <w:r w:rsidR="008367EC" w:rsidRPr="008D3BC2">
        <w:rPr>
          <w:sz w:val="24"/>
          <w:szCs w:val="24"/>
        </w:rPr>
        <w:t>present in Australia for 183 days or more in a</w:t>
      </w:r>
      <w:r w:rsidRPr="008D3BC2">
        <w:rPr>
          <w:sz w:val="24"/>
          <w:szCs w:val="24"/>
        </w:rPr>
        <w:t>ny</w:t>
      </w:r>
      <w:r w:rsidR="008367EC" w:rsidRPr="008D3BC2">
        <w:rPr>
          <w:sz w:val="24"/>
          <w:szCs w:val="24"/>
        </w:rPr>
        <w:t xml:space="preserve"> 12</w:t>
      </w:r>
      <w:r w:rsidRPr="008D3BC2">
        <w:rPr>
          <w:sz w:val="24"/>
          <w:szCs w:val="24"/>
        </w:rPr>
        <w:noBreakHyphen/>
      </w:r>
      <w:r w:rsidR="008367EC" w:rsidRPr="008D3BC2">
        <w:rPr>
          <w:sz w:val="24"/>
          <w:szCs w:val="24"/>
        </w:rPr>
        <w:t>month period.</w:t>
      </w:r>
      <w:r w:rsidRPr="008D3BC2">
        <w:rPr>
          <w:sz w:val="24"/>
          <w:szCs w:val="24"/>
        </w:rPr>
        <w:t xml:space="preserve"> </w:t>
      </w:r>
    </w:p>
    <w:p w14:paraId="125504E9" w14:textId="77777777" w:rsidR="004D30BC" w:rsidRPr="008D3BC2" w:rsidRDefault="004D30BC" w:rsidP="00A458D1">
      <w:pPr>
        <w:pStyle w:val="ListParagraph"/>
        <w:ind w:left="0"/>
        <w:rPr>
          <w:sz w:val="24"/>
          <w:szCs w:val="24"/>
        </w:rPr>
      </w:pPr>
    </w:p>
    <w:p w14:paraId="62AA1664" w14:textId="5136EA4D" w:rsidR="008367EC" w:rsidRPr="008D3BC2" w:rsidRDefault="004D30BC" w:rsidP="00A458D1">
      <w:pPr>
        <w:pStyle w:val="ListParagraph"/>
        <w:ind w:left="0"/>
        <w:rPr>
          <w:sz w:val="24"/>
          <w:szCs w:val="24"/>
        </w:rPr>
      </w:pPr>
      <w:r w:rsidRPr="008D3BC2">
        <w:rPr>
          <w:sz w:val="24"/>
          <w:szCs w:val="24"/>
        </w:rPr>
        <w:t xml:space="preserve">An individual may then be a resident for that part of the first income year in which they were physically present, while the second year would be determined under the </w:t>
      </w:r>
      <w:r w:rsidR="00D5196D" w:rsidRPr="008D3BC2">
        <w:rPr>
          <w:sz w:val="24"/>
          <w:szCs w:val="24"/>
        </w:rPr>
        <w:t>outbound individual bright</w:t>
      </w:r>
      <w:r w:rsidR="00D5196D" w:rsidRPr="008D3BC2">
        <w:rPr>
          <w:sz w:val="24"/>
          <w:szCs w:val="24"/>
        </w:rPr>
        <w:noBreakHyphen/>
        <w:t>line test (below)</w:t>
      </w:r>
      <w:r w:rsidR="00934351" w:rsidRPr="008D3BC2">
        <w:rPr>
          <w:sz w:val="24"/>
          <w:szCs w:val="24"/>
        </w:rPr>
        <w:t>,</w:t>
      </w:r>
      <w:r w:rsidR="00D5196D" w:rsidRPr="008D3BC2">
        <w:rPr>
          <w:sz w:val="24"/>
          <w:szCs w:val="24"/>
        </w:rPr>
        <w:t xml:space="preserve"> the </w:t>
      </w:r>
      <w:r w:rsidR="00E06D41" w:rsidRPr="008D3BC2">
        <w:rPr>
          <w:sz w:val="24"/>
          <w:szCs w:val="24"/>
        </w:rPr>
        <w:t>second</w:t>
      </w:r>
      <w:r w:rsidR="00D5196D" w:rsidRPr="008D3BC2">
        <w:rPr>
          <w:sz w:val="24"/>
          <w:szCs w:val="24"/>
        </w:rPr>
        <w:t>ary</w:t>
      </w:r>
      <w:r w:rsidR="00E06D41" w:rsidRPr="008D3BC2">
        <w:rPr>
          <w:sz w:val="24"/>
          <w:szCs w:val="24"/>
        </w:rPr>
        <w:t xml:space="preserve"> test</w:t>
      </w:r>
      <w:r w:rsidR="00D5196D" w:rsidRPr="008D3BC2">
        <w:rPr>
          <w:sz w:val="24"/>
          <w:szCs w:val="24"/>
        </w:rPr>
        <w:t xml:space="preserve"> (factor</w:t>
      </w:r>
      <w:r w:rsidR="00D5196D" w:rsidRPr="008D3BC2">
        <w:rPr>
          <w:sz w:val="24"/>
          <w:szCs w:val="24"/>
        </w:rPr>
        <w:noBreakHyphen/>
        <w:t>based)</w:t>
      </w:r>
      <w:r w:rsidR="00934351" w:rsidRPr="008D3BC2">
        <w:rPr>
          <w:sz w:val="24"/>
          <w:szCs w:val="24"/>
        </w:rPr>
        <w:t xml:space="preserve"> or perhaps via a split year treatment (see design principle 7)</w:t>
      </w:r>
      <w:r w:rsidR="00E06D41" w:rsidRPr="008D3BC2">
        <w:rPr>
          <w:sz w:val="24"/>
          <w:szCs w:val="24"/>
        </w:rPr>
        <w:t>.</w:t>
      </w:r>
    </w:p>
    <w:p w14:paraId="3229D990" w14:textId="73131C32" w:rsidR="008367EC" w:rsidRPr="008D3BC2" w:rsidRDefault="00934351" w:rsidP="00934351">
      <w:pPr>
        <w:pStyle w:val="ListParagraph"/>
        <w:tabs>
          <w:tab w:val="left" w:pos="2535"/>
        </w:tabs>
        <w:ind w:left="0"/>
        <w:rPr>
          <w:sz w:val="24"/>
          <w:szCs w:val="24"/>
        </w:rPr>
      </w:pPr>
      <w:r w:rsidRPr="008D3BC2">
        <w:rPr>
          <w:sz w:val="24"/>
          <w:szCs w:val="24"/>
        </w:rPr>
        <w:tab/>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4D30BC" w:rsidRPr="008D3BC2" w14:paraId="74C07C65" w14:textId="77777777" w:rsidTr="00BF3EB8">
        <w:tc>
          <w:tcPr>
            <w:tcW w:w="5000" w:type="pct"/>
            <w:shd w:val="clear" w:color="auto" w:fill="EBEBEB"/>
          </w:tcPr>
          <w:p w14:paraId="0A8C3DFC" w14:textId="77777777" w:rsidR="004D30BC" w:rsidRPr="008D3BC2" w:rsidRDefault="004D30BC" w:rsidP="00BF3EB8">
            <w:pPr>
              <w:pStyle w:val="BoxHeading"/>
            </w:pPr>
            <w:r w:rsidRPr="008D3BC2">
              <w:t>Questions</w:t>
            </w:r>
          </w:p>
          <w:p w14:paraId="31F01F24" w14:textId="2CEDD586" w:rsidR="0071126D" w:rsidRPr="008D3BC2" w:rsidRDefault="0071126D" w:rsidP="004C1D28">
            <w:pPr>
              <w:pStyle w:val="BoxText"/>
              <w:numPr>
                <w:ilvl w:val="0"/>
                <w:numId w:val="14"/>
              </w:numPr>
            </w:pPr>
            <w:r w:rsidRPr="008D3BC2">
              <w:t xml:space="preserve">To what extent does </w:t>
            </w:r>
            <w:r w:rsidR="0073363C" w:rsidRPr="008D3BC2">
              <w:t>a bright-line test provide balance between certainty, simplicity and integrity? Are other measures needed to provide integrity – for example, those discussed under design principle 5?</w:t>
            </w:r>
          </w:p>
          <w:p w14:paraId="4132A9C3" w14:textId="4CB3B1F9" w:rsidR="004D30BC" w:rsidRPr="008D3BC2" w:rsidRDefault="004D30BC" w:rsidP="004C1D28">
            <w:pPr>
              <w:pStyle w:val="BoxText"/>
              <w:numPr>
                <w:ilvl w:val="0"/>
                <w:numId w:val="14"/>
              </w:numPr>
            </w:pPr>
            <w:r w:rsidRPr="008D3BC2">
              <w:t>Are there any other bright</w:t>
            </w:r>
            <w:r w:rsidRPr="008D3BC2">
              <w:noBreakHyphen/>
              <w:t>line tests that you think should be included</w:t>
            </w:r>
            <w:r w:rsidR="0071126D" w:rsidRPr="008D3BC2">
              <w:t xml:space="preserve"> (whether as alternatives to a day count test, or in some form of combination)</w:t>
            </w:r>
            <w:r w:rsidRPr="008D3BC2">
              <w:t>? For example, should you be a resident if:</w:t>
            </w:r>
          </w:p>
          <w:p w14:paraId="4FA7870A" w14:textId="77777777" w:rsidR="004D30BC" w:rsidRPr="008D3BC2" w:rsidRDefault="004D30BC" w:rsidP="004C1D28">
            <w:pPr>
              <w:pStyle w:val="BoxText"/>
              <w:numPr>
                <w:ilvl w:val="1"/>
                <w:numId w:val="18"/>
              </w:numPr>
            </w:pPr>
            <w:r w:rsidRPr="008D3BC2">
              <w:t>Your only home is located in Australia; or</w:t>
            </w:r>
          </w:p>
          <w:p w14:paraId="68F4655E" w14:textId="77777777" w:rsidR="004D30BC" w:rsidRPr="008D3BC2" w:rsidRDefault="004D30BC" w:rsidP="004C1D28">
            <w:pPr>
              <w:pStyle w:val="BoxText"/>
              <w:numPr>
                <w:ilvl w:val="1"/>
                <w:numId w:val="18"/>
              </w:numPr>
            </w:pPr>
            <w:r w:rsidRPr="008D3BC2">
              <w:t>You work full</w:t>
            </w:r>
            <w:r w:rsidRPr="008D3BC2">
              <w:noBreakHyphen/>
              <w:t>time in Australia.</w:t>
            </w:r>
          </w:p>
          <w:p w14:paraId="02E1C615" w14:textId="77777777" w:rsidR="004D30BC" w:rsidRPr="008D3BC2" w:rsidRDefault="004D30BC" w:rsidP="004C1D28">
            <w:pPr>
              <w:pStyle w:val="BoxText"/>
              <w:numPr>
                <w:ilvl w:val="0"/>
                <w:numId w:val="14"/>
              </w:numPr>
            </w:pPr>
            <w:r w:rsidRPr="008D3BC2">
              <w:t>Should an individual spending 183 days or more in any 12</w:t>
            </w:r>
            <w:r w:rsidRPr="008D3BC2">
              <w:noBreakHyphen/>
              <w:t xml:space="preserve">month period </w:t>
            </w:r>
            <w:r w:rsidR="00AB6653" w:rsidRPr="008D3BC2">
              <w:t xml:space="preserve">in Australia </w:t>
            </w:r>
            <w:r w:rsidR="00090265" w:rsidRPr="008D3BC2">
              <w:t xml:space="preserve">spanning two income years </w:t>
            </w:r>
            <w:r w:rsidRPr="008D3BC2">
              <w:t xml:space="preserve">be </w:t>
            </w:r>
            <w:r w:rsidR="00D5196D" w:rsidRPr="008D3BC2">
              <w:t xml:space="preserve">considered a tax </w:t>
            </w:r>
            <w:r w:rsidRPr="008D3BC2">
              <w:t xml:space="preserve">resident in both periods? </w:t>
            </w:r>
          </w:p>
          <w:p w14:paraId="2A78BB91" w14:textId="77777777" w:rsidR="00D5196D" w:rsidRPr="008D3BC2" w:rsidRDefault="00F15608" w:rsidP="009B106F">
            <w:pPr>
              <w:pStyle w:val="BoxText"/>
              <w:numPr>
                <w:ilvl w:val="0"/>
                <w:numId w:val="14"/>
              </w:numPr>
            </w:pPr>
            <w:r w:rsidRPr="008D3BC2">
              <w:t xml:space="preserve">What consequences (if any) will arise for the temporary residency and </w:t>
            </w:r>
            <w:r w:rsidR="009B106F" w:rsidRPr="008D3BC2">
              <w:t>w</w:t>
            </w:r>
            <w:r w:rsidRPr="008D3BC2">
              <w:t>orking holiday maker rules if these changes were adopted?</w:t>
            </w:r>
            <w:r w:rsidR="009B106F" w:rsidRPr="008D3BC2">
              <w:t xml:space="preserve"> How should these issues be addressed?</w:t>
            </w:r>
          </w:p>
        </w:tc>
      </w:tr>
    </w:tbl>
    <w:p w14:paraId="177133EB" w14:textId="77777777" w:rsidR="005D0392" w:rsidRPr="008D3BC2" w:rsidRDefault="005D0392" w:rsidP="00CF1A8F">
      <w:pPr>
        <w:pStyle w:val="ListParagraph"/>
        <w:spacing w:after="240"/>
        <w:ind w:left="714"/>
        <w:rPr>
          <w:b/>
          <w:color w:val="002060"/>
          <w:sz w:val="28"/>
        </w:rPr>
      </w:pPr>
    </w:p>
    <w:p w14:paraId="6CE17032" w14:textId="77777777" w:rsidR="00CF1A8F" w:rsidRPr="008D3BC2" w:rsidRDefault="00CF1A8F" w:rsidP="00A458D1">
      <w:pPr>
        <w:pStyle w:val="ListParagraph"/>
        <w:spacing w:after="240"/>
        <w:ind w:left="0"/>
        <w:rPr>
          <w:b/>
          <w:color w:val="002060"/>
          <w:sz w:val="28"/>
        </w:rPr>
      </w:pPr>
      <w:r w:rsidRPr="008D3BC2">
        <w:rPr>
          <w:b/>
          <w:color w:val="002060"/>
          <w:sz w:val="28"/>
        </w:rPr>
        <w:t>Outbound individuals</w:t>
      </w:r>
    </w:p>
    <w:p w14:paraId="1F9A265A" w14:textId="77777777" w:rsidR="00CA618F" w:rsidRPr="008D3BC2" w:rsidRDefault="00CA618F" w:rsidP="00A458D1">
      <w:pPr>
        <w:pStyle w:val="ListParagraph"/>
        <w:ind w:left="6"/>
        <w:rPr>
          <w:sz w:val="24"/>
          <w:szCs w:val="24"/>
        </w:rPr>
      </w:pPr>
      <w:r w:rsidRPr="008D3BC2">
        <w:rPr>
          <w:sz w:val="24"/>
          <w:szCs w:val="24"/>
        </w:rPr>
        <w:t xml:space="preserve">Many individuals that visit Australia, for business or leisure, should be able to conclude that they are not residents </w:t>
      </w:r>
      <w:r w:rsidR="00DC5C64" w:rsidRPr="008D3BC2">
        <w:rPr>
          <w:sz w:val="24"/>
          <w:szCs w:val="24"/>
        </w:rPr>
        <w:t xml:space="preserve">if </w:t>
      </w:r>
      <w:r w:rsidRPr="008D3BC2">
        <w:rPr>
          <w:sz w:val="24"/>
          <w:szCs w:val="24"/>
        </w:rPr>
        <w:t>they spend a very small amount of time in Australia. The Board’s model will include a bright</w:t>
      </w:r>
      <w:r w:rsidRPr="008D3BC2">
        <w:rPr>
          <w:sz w:val="24"/>
          <w:szCs w:val="24"/>
        </w:rPr>
        <w:noBreakHyphen/>
        <w:t>line test to assist these individuals.</w:t>
      </w:r>
    </w:p>
    <w:p w14:paraId="77BE0BA8" w14:textId="77777777" w:rsidR="00CA618F" w:rsidRPr="008D3BC2" w:rsidRDefault="00CA618F" w:rsidP="00A458D1">
      <w:pPr>
        <w:pStyle w:val="ListParagraph"/>
        <w:ind w:left="6"/>
        <w:rPr>
          <w:sz w:val="24"/>
          <w:szCs w:val="24"/>
        </w:rPr>
      </w:pPr>
    </w:p>
    <w:p w14:paraId="50D21860" w14:textId="42C769DC" w:rsidR="00E06D41" w:rsidRPr="008D3BC2" w:rsidRDefault="00CA618F" w:rsidP="00A458D1">
      <w:pPr>
        <w:pStyle w:val="ListParagraph"/>
        <w:ind w:left="6"/>
        <w:rPr>
          <w:sz w:val="24"/>
          <w:szCs w:val="24"/>
        </w:rPr>
      </w:pPr>
      <w:r w:rsidRPr="008D3BC2">
        <w:rPr>
          <w:sz w:val="24"/>
          <w:szCs w:val="24"/>
        </w:rPr>
        <w:t>However, a</w:t>
      </w:r>
      <w:r w:rsidR="00E06D41" w:rsidRPr="008D3BC2">
        <w:rPr>
          <w:sz w:val="24"/>
          <w:szCs w:val="24"/>
        </w:rPr>
        <w:t xml:space="preserve"> guiding principle of the new residency rules is that residency is adhesive; that is, it is harder to cease than establish. This is a relatively common phenomenon across international comparisons.</w:t>
      </w:r>
      <w:r w:rsidRPr="008D3BC2">
        <w:rPr>
          <w:sz w:val="24"/>
          <w:szCs w:val="24"/>
        </w:rPr>
        <w:t xml:space="preserve"> </w:t>
      </w:r>
      <w:r w:rsidR="00E06D41" w:rsidRPr="008D3BC2">
        <w:rPr>
          <w:sz w:val="24"/>
          <w:szCs w:val="24"/>
        </w:rPr>
        <w:t xml:space="preserve">This will manifest in new rules in both the primary and secondary test. In the primary test, the rules will adopt a lower </w:t>
      </w:r>
      <w:r w:rsidR="00547401" w:rsidRPr="008D3BC2">
        <w:rPr>
          <w:sz w:val="24"/>
          <w:szCs w:val="24"/>
        </w:rPr>
        <w:t>bright</w:t>
      </w:r>
      <w:r w:rsidR="00547401" w:rsidRPr="008D3BC2">
        <w:rPr>
          <w:sz w:val="24"/>
          <w:szCs w:val="24"/>
        </w:rPr>
        <w:noBreakHyphen/>
      </w:r>
      <w:r w:rsidR="00E06D41" w:rsidRPr="008D3BC2">
        <w:rPr>
          <w:sz w:val="24"/>
          <w:szCs w:val="24"/>
        </w:rPr>
        <w:t xml:space="preserve">line threshold for those who have previously been a resident </w:t>
      </w:r>
      <w:r w:rsidRPr="008D3BC2">
        <w:rPr>
          <w:sz w:val="24"/>
          <w:szCs w:val="24"/>
        </w:rPr>
        <w:t>compared to a non</w:t>
      </w:r>
      <w:r w:rsidRPr="008D3BC2">
        <w:rPr>
          <w:sz w:val="24"/>
          <w:szCs w:val="24"/>
        </w:rPr>
        <w:noBreakHyphen/>
        <w:t>resident.</w:t>
      </w:r>
    </w:p>
    <w:p w14:paraId="26FE0DBE" w14:textId="77777777" w:rsidR="00E06D41" w:rsidRPr="008D3BC2" w:rsidRDefault="00E06D41" w:rsidP="00A458D1">
      <w:pPr>
        <w:pStyle w:val="ListParagraph"/>
        <w:ind w:left="6"/>
        <w:rPr>
          <w:sz w:val="24"/>
          <w:szCs w:val="24"/>
        </w:rPr>
      </w:pPr>
    </w:p>
    <w:p w14:paraId="7B61F6F4" w14:textId="7734E73F" w:rsidR="00E06D41" w:rsidRPr="008D3BC2" w:rsidRDefault="00E06D41" w:rsidP="00A458D1">
      <w:pPr>
        <w:pStyle w:val="ListParagraph"/>
        <w:ind w:left="6"/>
        <w:rPr>
          <w:sz w:val="24"/>
          <w:szCs w:val="24"/>
        </w:rPr>
      </w:pPr>
      <w:r w:rsidRPr="008D3BC2">
        <w:rPr>
          <w:sz w:val="24"/>
          <w:szCs w:val="24"/>
        </w:rPr>
        <w:t xml:space="preserve">In addition, </w:t>
      </w:r>
      <w:r w:rsidR="00CA618F" w:rsidRPr="008D3BC2">
        <w:rPr>
          <w:sz w:val="24"/>
          <w:szCs w:val="24"/>
        </w:rPr>
        <w:t xml:space="preserve">the Board also considers it appropriate to provide for </w:t>
      </w:r>
      <w:r w:rsidR="00691D3C" w:rsidRPr="008D3BC2">
        <w:rPr>
          <w:sz w:val="24"/>
          <w:szCs w:val="24"/>
        </w:rPr>
        <w:t xml:space="preserve">individuals </w:t>
      </w:r>
      <w:r w:rsidR="00CA618F" w:rsidRPr="008D3BC2">
        <w:rPr>
          <w:sz w:val="24"/>
          <w:szCs w:val="24"/>
        </w:rPr>
        <w:t>who are working full</w:t>
      </w:r>
      <w:r w:rsidR="00CA618F" w:rsidRPr="008D3BC2">
        <w:rPr>
          <w:sz w:val="24"/>
          <w:szCs w:val="24"/>
        </w:rPr>
        <w:noBreakHyphen/>
        <w:t>time overseas to be non</w:t>
      </w:r>
      <w:r w:rsidR="00CA618F" w:rsidRPr="008D3BC2">
        <w:rPr>
          <w:sz w:val="24"/>
          <w:szCs w:val="24"/>
        </w:rPr>
        <w:noBreakHyphen/>
        <w:t xml:space="preserve">residents in certain circumstances. This will remove tax uncertainty as a barrier for Australian businesses sending individuals overseas for work. </w:t>
      </w:r>
    </w:p>
    <w:p w14:paraId="14B79EFA" w14:textId="3974F068" w:rsidR="005D0392" w:rsidRPr="008D3BC2" w:rsidRDefault="00EE7B77" w:rsidP="00EE7B77">
      <w:pPr>
        <w:rPr>
          <w:sz w:val="24"/>
          <w:szCs w:val="24"/>
        </w:rPr>
      </w:pPr>
      <w:r w:rsidRPr="008D3BC2">
        <w:rPr>
          <w:sz w:val="24"/>
          <w:szCs w:val="24"/>
        </w:rPr>
        <w:t>T</w:t>
      </w:r>
      <w:r w:rsidR="00090265" w:rsidRPr="008D3BC2">
        <w:rPr>
          <w:sz w:val="24"/>
          <w:szCs w:val="24"/>
        </w:rPr>
        <w:t>he Board’s report, at paragraph 1.212, sets out certain potential day counts that may be</w:t>
      </w:r>
      <w:r w:rsidR="00366A2F" w:rsidRPr="008D3BC2">
        <w:rPr>
          <w:sz w:val="24"/>
          <w:szCs w:val="24"/>
        </w:rPr>
        <w:t xml:space="preserve"> considered as part of the consultation</w:t>
      </w:r>
      <w:r w:rsidR="00090265" w:rsidRPr="008D3BC2">
        <w:rPr>
          <w:sz w:val="24"/>
          <w:szCs w:val="24"/>
        </w:rPr>
        <w:t xml:space="preserve">. </w:t>
      </w:r>
      <w:r w:rsidR="00366A2F" w:rsidRPr="008D3BC2">
        <w:rPr>
          <w:sz w:val="24"/>
          <w:szCs w:val="24"/>
        </w:rPr>
        <w:t>The</w:t>
      </w:r>
      <w:r w:rsidR="00090265" w:rsidRPr="008D3BC2">
        <w:rPr>
          <w:sz w:val="24"/>
          <w:szCs w:val="24"/>
        </w:rPr>
        <w:t xml:space="preserve"> Board is primarily interested in feedback regarding the structure of the proposed bright-line tests, </w:t>
      </w:r>
      <w:r w:rsidR="00366A2F" w:rsidRPr="008D3BC2">
        <w:rPr>
          <w:sz w:val="24"/>
          <w:szCs w:val="24"/>
        </w:rPr>
        <w:t>including how the specific days test should apply (</w:t>
      </w:r>
      <w:proofErr w:type="spellStart"/>
      <w:r w:rsidR="006532BD" w:rsidRPr="008D3BC2">
        <w:rPr>
          <w:sz w:val="24"/>
          <w:szCs w:val="24"/>
        </w:rPr>
        <w:t>ie</w:t>
      </w:r>
      <w:proofErr w:type="spellEnd"/>
      <w:r w:rsidR="006532BD" w:rsidRPr="008D3BC2">
        <w:rPr>
          <w:sz w:val="24"/>
          <w:szCs w:val="24"/>
        </w:rPr>
        <w:t xml:space="preserve">, </w:t>
      </w:r>
      <w:r w:rsidR="00366A2F" w:rsidRPr="008D3BC2">
        <w:rPr>
          <w:sz w:val="24"/>
          <w:szCs w:val="24"/>
        </w:rPr>
        <w:t>is it an annual test, should there be different thresholds for inbound versus outbound individuals</w:t>
      </w:r>
      <w:r w:rsidR="006532BD" w:rsidRPr="008D3BC2">
        <w:rPr>
          <w:sz w:val="24"/>
          <w:szCs w:val="24"/>
        </w:rPr>
        <w:t xml:space="preserve"> etc.</w:t>
      </w:r>
      <w:r w:rsidR="00366A2F" w:rsidRPr="008D3BC2">
        <w:rPr>
          <w:sz w:val="24"/>
          <w:szCs w:val="24"/>
        </w:rPr>
        <w:t>)</w:t>
      </w:r>
      <w:r w:rsidR="00090265" w:rsidRPr="008D3BC2">
        <w:rPr>
          <w:sz w:val="24"/>
          <w:szCs w:val="24"/>
        </w:rPr>
        <w:t>.</w:t>
      </w:r>
    </w:p>
    <w:p w14:paraId="635A964A" w14:textId="56378758" w:rsidR="00E67348" w:rsidRPr="008D3BC2" w:rsidRDefault="00090265" w:rsidP="00DC5C64">
      <w:pPr>
        <w:pStyle w:val="ListParagraph"/>
        <w:keepNext/>
        <w:keepLines/>
        <w:ind w:left="6"/>
        <w:rPr>
          <w:sz w:val="24"/>
          <w:szCs w:val="24"/>
        </w:rPr>
      </w:pPr>
      <w:r w:rsidRPr="008D3BC2">
        <w:rPr>
          <w:sz w:val="24"/>
          <w:szCs w:val="24"/>
        </w:rPr>
        <w:t>In light of the above, t</w:t>
      </w:r>
      <w:r w:rsidR="00E67348" w:rsidRPr="008D3BC2">
        <w:rPr>
          <w:sz w:val="24"/>
          <w:szCs w:val="24"/>
        </w:rPr>
        <w:t>he following table outlines the Board’</w:t>
      </w:r>
      <w:r w:rsidR="00CA618F" w:rsidRPr="008D3BC2">
        <w:rPr>
          <w:sz w:val="24"/>
          <w:szCs w:val="24"/>
        </w:rPr>
        <w:t>s preferred model.</w:t>
      </w:r>
    </w:p>
    <w:p w14:paraId="25447AF0" w14:textId="77777777" w:rsidR="00E67348" w:rsidRPr="008D3BC2" w:rsidRDefault="00E67348" w:rsidP="00DC5C64">
      <w:pPr>
        <w:pStyle w:val="ListParagraph"/>
        <w:keepNext/>
        <w:keepLines/>
        <w:rPr>
          <w:sz w:val="24"/>
          <w:szCs w:val="24"/>
        </w:rPr>
      </w:pPr>
    </w:p>
    <w:tbl>
      <w:tblPr>
        <w:tblStyle w:val="TableGrid"/>
        <w:tblW w:w="0" w:type="auto"/>
        <w:shd w:val="clear" w:color="auto" w:fill="FFFFFF" w:themeFill="background1"/>
        <w:tblLook w:val="04A0" w:firstRow="1" w:lastRow="0" w:firstColumn="1" w:lastColumn="0" w:noHBand="0" w:noVBand="1"/>
      </w:tblPr>
      <w:tblGrid>
        <w:gridCol w:w="2660"/>
        <w:gridCol w:w="7194"/>
      </w:tblGrid>
      <w:tr w:rsidR="00E67348" w:rsidRPr="008D3BC2" w14:paraId="0F15FE45" w14:textId="77777777" w:rsidTr="00BF3EB8">
        <w:trPr>
          <w:cantSplit/>
          <w:tblHeader/>
        </w:trPr>
        <w:tc>
          <w:tcPr>
            <w:tcW w:w="2660" w:type="dxa"/>
            <w:tcBorders>
              <w:bottom w:val="single" w:sz="6" w:space="0" w:color="C00000"/>
            </w:tcBorders>
            <w:shd w:val="clear" w:color="auto" w:fill="F2F2F2" w:themeFill="background1" w:themeFillShade="F2"/>
          </w:tcPr>
          <w:p w14:paraId="4F2D0BCC" w14:textId="77777777" w:rsidR="00E67348" w:rsidRPr="008D3BC2" w:rsidRDefault="00CA618F" w:rsidP="00DC5C64">
            <w:pPr>
              <w:pStyle w:val="TableColumnHeadingCentred"/>
              <w:keepNext/>
              <w:keepLines/>
              <w:rPr>
                <w:bCs/>
                <w:color w:val="44546A" w:themeColor="text2"/>
                <w:sz w:val="22"/>
              </w:rPr>
            </w:pPr>
            <w:r w:rsidRPr="008D3BC2">
              <w:t>Bright</w:t>
            </w:r>
            <w:r w:rsidRPr="008D3BC2">
              <w:noBreakHyphen/>
              <w:t>line test</w:t>
            </w:r>
          </w:p>
        </w:tc>
        <w:tc>
          <w:tcPr>
            <w:tcW w:w="7194" w:type="dxa"/>
            <w:tcBorders>
              <w:bottom w:val="single" w:sz="6" w:space="0" w:color="C00000"/>
            </w:tcBorders>
            <w:shd w:val="clear" w:color="auto" w:fill="F2F2F2" w:themeFill="background1" w:themeFillShade="F2"/>
          </w:tcPr>
          <w:p w14:paraId="0E2A7D4F" w14:textId="77777777" w:rsidR="00E67348" w:rsidRPr="008D3BC2" w:rsidRDefault="00E67348" w:rsidP="00DC5C64">
            <w:pPr>
              <w:pStyle w:val="TableColumnHeadingCentred"/>
              <w:keepNext/>
              <w:keepLines/>
              <w:rPr>
                <w:sz w:val="22"/>
              </w:rPr>
            </w:pPr>
            <w:r w:rsidRPr="008D3BC2">
              <w:t>Description</w:t>
            </w:r>
          </w:p>
        </w:tc>
      </w:tr>
      <w:tr w:rsidR="00DC5C64" w:rsidRPr="008D3BC2" w14:paraId="4F33740C" w14:textId="77777777" w:rsidTr="00643D00">
        <w:trPr>
          <w:cantSplit/>
          <w:tblHeader/>
        </w:trPr>
        <w:tc>
          <w:tcPr>
            <w:tcW w:w="2660" w:type="dxa"/>
            <w:tcBorders>
              <w:top w:val="single" w:sz="6" w:space="0" w:color="C00000"/>
              <w:bottom w:val="single" w:sz="6" w:space="0" w:color="C00000"/>
            </w:tcBorders>
            <w:shd w:val="clear" w:color="auto" w:fill="FFFFFF" w:themeFill="background1"/>
          </w:tcPr>
          <w:p w14:paraId="59C843E1" w14:textId="77777777" w:rsidR="00DC5C64" w:rsidRPr="008D3BC2" w:rsidRDefault="00DC5C64" w:rsidP="00DC5C64">
            <w:pPr>
              <w:pStyle w:val="TableColumnHeadingLeft"/>
              <w:keepNext/>
              <w:keepLines/>
            </w:pPr>
            <w:r w:rsidRPr="008D3BC2">
              <w:t>Previously a resident</w:t>
            </w:r>
          </w:p>
        </w:tc>
        <w:tc>
          <w:tcPr>
            <w:tcW w:w="7194" w:type="dxa"/>
            <w:tcBorders>
              <w:top w:val="single" w:sz="6" w:space="0" w:color="C00000"/>
              <w:bottom w:val="single" w:sz="6" w:space="0" w:color="C00000"/>
            </w:tcBorders>
            <w:shd w:val="clear" w:color="auto" w:fill="FFFFFF" w:themeFill="background1"/>
          </w:tcPr>
          <w:p w14:paraId="72E0EC05" w14:textId="77777777" w:rsidR="00DC5C64" w:rsidRPr="008D3BC2" w:rsidRDefault="00DC5C64" w:rsidP="00DC5C64">
            <w:pPr>
              <w:pStyle w:val="TableTextLeft"/>
              <w:keepNext/>
              <w:keepLines/>
              <w:rPr>
                <w:sz w:val="20"/>
              </w:rPr>
            </w:pPr>
            <w:r w:rsidRPr="008D3BC2">
              <w:rPr>
                <w:sz w:val="20"/>
              </w:rPr>
              <w:t>An individual that was previously a resident of Australia is a non-resident if they</w:t>
            </w:r>
          </w:p>
          <w:p w14:paraId="39CB817D" w14:textId="39DC3F24" w:rsidR="00DC5C64" w:rsidRPr="008D3BC2" w:rsidRDefault="00DC5C64" w:rsidP="00992BC9">
            <w:pPr>
              <w:pStyle w:val="TableTextLeft"/>
              <w:keepNext/>
              <w:keepLines/>
            </w:pPr>
            <w:r w:rsidRPr="008D3BC2">
              <w:rPr>
                <w:sz w:val="20"/>
              </w:rPr>
              <w:t xml:space="preserve">spend less </w:t>
            </w:r>
            <w:r w:rsidR="00992BC9" w:rsidRPr="008D3BC2">
              <w:rPr>
                <w:sz w:val="20"/>
              </w:rPr>
              <w:t xml:space="preserve">X </w:t>
            </w:r>
            <w:r w:rsidR="00090265" w:rsidRPr="008D3BC2">
              <w:rPr>
                <w:sz w:val="20"/>
              </w:rPr>
              <w:t xml:space="preserve"> number of </w:t>
            </w:r>
            <w:r w:rsidRPr="008D3BC2">
              <w:rPr>
                <w:sz w:val="20"/>
              </w:rPr>
              <w:t>days in Australia</w:t>
            </w:r>
          </w:p>
        </w:tc>
      </w:tr>
      <w:tr w:rsidR="00DC5C64" w:rsidRPr="008D3BC2" w14:paraId="036085CF" w14:textId="77777777" w:rsidTr="00643D00">
        <w:trPr>
          <w:cantSplit/>
          <w:tblHeader/>
        </w:trPr>
        <w:tc>
          <w:tcPr>
            <w:tcW w:w="2660" w:type="dxa"/>
            <w:tcBorders>
              <w:top w:val="single" w:sz="6" w:space="0" w:color="C00000"/>
              <w:bottom w:val="single" w:sz="6" w:space="0" w:color="C00000"/>
            </w:tcBorders>
            <w:shd w:val="clear" w:color="auto" w:fill="FFFFFF" w:themeFill="background1"/>
          </w:tcPr>
          <w:p w14:paraId="03F7CFD2" w14:textId="77777777" w:rsidR="00DC5C64" w:rsidRPr="008D3BC2" w:rsidRDefault="00DC5C64" w:rsidP="00DC5C64">
            <w:pPr>
              <w:pStyle w:val="TableColumnHeadingLeft"/>
              <w:keepNext/>
              <w:keepLines/>
            </w:pPr>
            <w:r w:rsidRPr="008D3BC2">
              <w:t>Previously not a resident</w:t>
            </w:r>
          </w:p>
        </w:tc>
        <w:tc>
          <w:tcPr>
            <w:tcW w:w="7194" w:type="dxa"/>
            <w:tcBorders>
              <w:top w:val="single" w:sz="6" w:space="0" w:color="C00000"/>
              <w:bottom w:val="single" w:sz="6" w:space="0" w:color="C00000"/>
            </w:tcBorders>
            <w:shd w:val="clear" w:color="auto" w:fill="FFFFFF" w:themeFill="background1"/>
          </w:tcPr>
          <w:p w14:paraId="54EC6E80" w14:textId="77777777" w:rsidR="00DC5C64" w:rsidRPr="008D3BC2" w:rsidRDefault="00DC5C64" w:rsidP="00DC5C64">
            <w:pPr>
              <w:pStyle w:val="TableTextLeft"/>
              <w:keepNext/>
              <w:keepLines/>
              <w:rPr>
                <w:sz w:val="20"/>
              </w:rPr>
            </w:pPr>
            <w:r w:rsidRPr="008D3BC2">
              <w:rPr>
                <w:sz w:val="20"/>
              </w:rPr>
              <w:t>An individual that has never been a resident of Australia is a non-resident if they</w:t>
            </w:r>
          </w:p>
          <w:p w14:paraId="0D57FBB8" w14:textId="516F1002" w:rsidR="00DC5C64" w:rsidRPr="008D3BC2" w:rsidRDefault="00DC5C64" w:rsidP="00992BC9">
            <w:pPr>
              <w:pStyle w:val="TableTextLeft"/>
              <w:keepNext/>
              <w:keepLines/>
            </w:pPr>
            <w:r w:rsidRPr="008D3BC2">
              <w:rPr>
                <w:sz w:val="20"/>
              </w:rPr>
              <w:t xml:space="preserve">spend less than </w:t>
            </w:r>
            <w:r w:rsidR="00992BC9" w:rsidRPr="008D3BC2">
              <w:rPr>
                <w:sz w:val="20"/>
              </w:rPr>
              <w:t xml:space="preserve">Y </w:t>
            </w:r>
            <w:r w:rsidR="00090265" w:rsidRPr="008D3BC2">
              <w:rPr>
                <w:sz w:val="20"/>
              </w:rPr>
              <w:t xml:space="preserve">number of </w:t>
            </w:r>
            <w:r w:rsidRPr="008D3BC2">
              <w:rPr>
                <w:sz w:val="20"/>
              </w:rPr>
              <w:t>days in Australia</w:t>
            </w:r>
            <w:r w:rsidR="00090265" w:rsidRPr="008D3BC2">
              <w:rPr>
                <w:sz w:val="20"/>
              </w:rPr>
              <w:t xml:space="preserve"> (</w:t>
            </w:r>
            <w:r w:rsidR="00992BC9" w:rsidRPr="008D3BC2">
              <w:rPr>
                <w:sz w:val="20"/>
              </w:rPr>
              <w:t>where Y</w:t>
            </w:r>
            <w:r w:rsidR="00090265" w:rsidRPr="008D3BC2">
              <w:rPr>
                <w:sz w:val="20"/>
              </w:rPr>
              <w:t xml:space="preserve"> is greater than the </w:t>
            </w:r>
            <w:r w:rsidR="00992BC9" w:rsidRPr="008D3BC2">
              <w:rPr>
                <w:sz w:val="20"/>
              </w:rPr>
              <w:t xml:space="preserve">X </w:t>
            </w:r>
            <w:r w:rsidR="00090265" w:rsidRPr="008D3BC2">
              <w:rPr>
                <w:sz w:val="20"/>
              </w:rPr>
              <w:t>number of days required for those previously a resident</w:t>
            </w:r>
            <w:r w:rsidR="00992BC9" w:rsidRPr="008D3BC2">
              <w:rPr>
                <w:sz w:val="20"/>
              </w:rPr>
              <w:t>,</w:t>
            </w:r>
            <w:r w:rsidR="00090265" w:rsidRPr="008D3BC2">
              <w:rPr>
                <w:sz w:val="20"/>
              </w:rPr>
              <w:t xml:space="preserve"> in line with the adhesive principle)</w:t>
            </w:r>
          </w:p>
        </w:tc>
      </w:tr>
      <w:tr w:rsidR="00E67348" w:rsidRPr="008D3BC2" w14:paraId="22E282D0" w14:textId="77777777" w:rsidTr="00BF3EB8">
        <w:trPr>
          <w:cantSplit/>
          <w:tblHeader/>
        </w:trPr>
        <w:tc>
          <w:tcPr>
            <w:tcW w:w="2660" w:type="dxa"/>
            <w:tcBorders>
              <w:top w:val="single" w:sz="6" w:space="0" w:color="C00000"/>
              <w:bottom w:val="single" w:sz="6" w:space="0" w:color="C00000"/>
            </w:tcBorders>
            <w:shd w:val="clear" w:color="auto" w:fill="FFFFFF" w:themeFill="background1"/>
          </w:tcPr>
          <w:p w14:paraId="28FA0003" w14:textId="77777777" w:rsidR="00E67348" w:rsidRPr="008D3BC2" w:rsidRDefault="00CA618F" w:rsidP="00DC5C64">
            <w:pPr>
              <w:pStyle w:val="TableColumnHeadingLeft"/>
              <w:keepNext/>
              <w:keepLines/>
              <w:rPr>
                <w:sz w:val="22"/>
              </w:rPr>
            </w:pPr>
            <w:r w:rsidRPr="008D3BC2">
              <w:t>Working overseas</w:t>
            </w:r>
          </w:p>
        </w:tc>
        <w:tc>
          <w:tcPr>
            <w:tcW w:w="7194" w:type="dxa"/>
            <w:tcBorders>
              <w:top w:val="single" w:sz="6" w:space="0" w:color="C00000"/>
              <w:bottom w:val="single" w:sz="6" w:space="0" w:color="C00000"/>
            </w:tcBorders>
            <w:shd w:val="clear" w:color="auto" w:fill="FFFFFF" w:themeFill="background1"/>
          </w:tcPr>
          <w:p w14:paraId="19DF3435" w14:textId="43B8D184" w:rsidR="00E67348" w:rsidRPr="008D3BC2" w:rsidRDefault="005D0392" w:rsidP="00992BC9">
            <w:pPr>
              <w:pStyle w:val="Bullet"/>
              <w:keepNext/>
              <w:keepLines/>
              <w:numPr>
                <w:ilvl w:val="0"/>
                <w:numId w:val="0"/>
              </w:numPr>
            </w:pPr>
            <w:r w:rsidRPr="008D3BC2">
              <w:t xml:space="preserve">An individual that works full-time overseas is a non-resident if they spend less than </w:t>
            </w:r>
            <w:r w:rsidR="00090265" w:rsidRPr="008D3BC2">
              <w:t xml:space="preserve">a </w:t>
            </w:r>
            <w:r w:rsidR="00992BC9" w:rsidRPr="008D3BC2">
              <w:t xml:space="preserve">certain </w:t>
            </w:r>
            <w:r w:rsidR="00090265" w:rsidRPr="008D3BC2">
              <w:t xml:space="preserve">number of </w:t>
            </w:r>
            <w:r w:rsidRPr="008D3BC2">
              <w:t xml:space="preserve">days working, or </w:t>
            </w:r>
            <w:r w:rsidR="00090265" w:rsidRPr="008D3BC2">
              <w:t xml:space="preserve">a larger number of </w:t>
            </w:r>
            <w:r w:rsidRPr="008D3BC2">
              <w:t xml:space="preserve">days </w:t>
            </w:r>
            <w:r w:rsidR="00090265" w:rsidRPr="008D3BC2">
              <w:t xml:space="preserve">in </w:t>
            </w:r>
            <w:r w:rsidRPr="008D3BC2">
              <w:t>total, in Australia</w:t>
            </w:r>
            <w:r w:rsidR="00D5196D" w:rsidRPr="008D3BC2">
              <w:t xml:space="preserve"> </w:t>
            </w:r>
          </w:p>
        </w:tc>
      </w:tr>
    </w:tbl>
    <w:p w14:paraId="66C129D2" w14:textId="77777777" w:rsidR="00E67348" w:rsidRPr="008D3BC2" w:rsidRDefault="00E67348" w:rsidP="008367EC">
      <w:pPr>
        <w:pStyle w:val="ListParagraph"/>
        <w:rPr>
          <w:sz w:val="24"/>
          <w:szCs w:val="24"/>
        </w:rPr>
      </w:pPr>
    </w:p>
    <w:p w14:paraId="1B6E4957" w14:textId="34548D0B" w:rsidR="00D5196D" w:rsidRPr="008D3BC2" w:rsidRDefault="00D5196D" w:rsidP="00A458D1">
      <w:pPr>
        <w:pStyle w:val="ListParagraph"/>
        <w:ind w:left="0"/>
        <w:rPr>
          <w:sz w:val="24"/>
          <w:szCs w:val="24"/>
        </w:rPr>
      </w:pPr>
      <w:r w:rsidRPr="008D3BC2">
        <w:rPr>
          <w:sz w:val="24"/>
          <w:szCs w:val="24"/>
        </w:rPr>
        <w:t>The Board seeks views on whether, similar to the inbound individual test, these thresholds should apply on a 12-month period basis (with assoc</w:t>
      </w:r>
      <w:r w:rsidR="009B106F" w:rsidRPr="008D3BC2">
        <w:rPr>
          <w:sz w:val="24"/>
          <w:szCs w:val="24"/>
        </w:rPr>
        <w:t>iated part</w:t>
      </w:r>
      <w:r w:rsidR="009B106F" w:rsidRPr="008D3BC2">
        <w:rPr>
          <w:sz w:val="24"/>
          <w:szCs w:val="24"/>
        </w:rPr>
        <w:noBreakHyphen/>
        <w:t>year considerations</w:t>
      </w:r>
      <w:r w:rsidR="001A78CB" w:rsidRPr="008D3BC2">
        <w:rPr>
          <w:sz w:val="24"/>
          <w:szCs w:val="24"/>
        </w:rPr>
        <w:t>) or</w:t>
      </w:r>
      <w:r w:rsidR="009B106F" w:rsidRPr="008D3BC2">
        <w:rPr>
          <w:sz w:val="24"/>
          <w:szCs w:val="24"/>
        </w:rPr>
        <w:t xml:space="preserve"> per income year</w:t>
      </w:r>
      <w:r w:rsidR="00934351" w:rsidRPr="008D3BC2">
        <w:rPr>
          <w:sz w:val="24"/>
          <w:szCs w:val="24"/>
        </w:rPr>
        <w:t xml:space="preserve">. Further, the Board is considering whether days should be counted </w:t>
      </w:r>
      <w:r w:rsidR="009B106F" w:rsidRPr="008D3BC2">
        <w:rPr>
          <w:sz w:val="24"/>
          <w:szCs w:val="24"/>
        </w:rPr>
        <w:t>as an average over a longer period.</w:t>
      </w:r>
    </w:p>
    <w:p w14:paraId="71003F3B" w14:textId="77777777" w:rsidR="00D5196D" w:rsidRPr="008D3BC2" w:rsidRDefault="00DC5C64" w:rsidP="00DC5C64">
      <w:pPr>
        <w:pStyle w:val="ListParagraph"/>
        <w:tabs>
          <w:tab w:val="left" w:pos="3852"/>
        </w:tabs>
        <w:ind w:left="0"/>
        <w:rPr>
          <w:sz w:val="24"/>
          <w:szCs w:val="24"/>
        </w:rPr>
      </w:pPr>
      <w:r w:rsidRPr="008D3BC2">
        <w:rPr>
          <w:sz w:val="24"/>
          <w:szCs w:val="24"/>
        </w:rPr>
        <w:tab/>
      </w:r>
    </w:p>
    <w:p w14:paraId="3186B637" w14:textId="77777777" w:rsidR="003B6D37" w:rsidRPr="008D3BC2" w:rsidRDefault="005D0392" w:rsidP="00A458D1">
      <w:pPr>
        <w:pStyle w:val="ListParagraph"/>
        <w:ind w:left="0"/>
        <w:rPr>
          <w:sz w:val="24"/>
          <w:szCs w:val="24"/>
        </w:rPr>
      </w:pPr>
      <w:r w:rsidRPr="008D3BC2">
        <w:rPr>
          <w:sz w:val="24"/>
          <w:szCs w:val="24"/>
        </w:rPr>
        <w:t xml:space="preserve">The Board’s report outlined certain international comparisons from which the above diverge – the </w:t>
      </w:r>
      <w:r w:rsidR="003B6D37" w:rsidRPr="008D3BC2">
        <w:rPr>
          <w:sz w:val="24"/>
          <w:szCs w:val="24"/>
        </w:rPr>
        <w:t>New Zealand and United Kingdom bright</w:t>
      </w:r>
      <w:r w:rsidR="003B6D37" w:rsidRPr="008D3BC2">
        <w:rPr>
          <w:sz w:val="24"/>
          <w:szCs w:val="24"/>
        </w:rPr>
        <w:noBreakHyphen/>
        <w:t xml:space="preserve">line tests. </w:t>
      </w:r>
    </w:p>
    <w:p w14:paraId="18093885" w14:textId="77777777" w:rsidR="003B6D37" w:rsidRPr="008D3BC2" w:rsidRDefault="003B6D37" w:rsidP="00A458D1">
      <w:pPr>
        <w:pStyle w:val="ListParagraph"/>
        <w:ind w:left="0"/>
        <w:rPr>
          <w:sz w:val="24"/>
          <w:szCs w:val="24"/>
        </w:rPr>
      </w:pPr>
    </w:p>
    <w:p w14:paraId="34CA064E" w14:textId="1E4E6018" w:rsidR="005D0392" w:rsidRPr="008D3BC2" w:rsidRDefault="003B6D37" w:rsidP="00A458D1">
      <w:pPr>
        <w:pStyle w:val="ListParagraph"/>
        <w:ind w:left="0"/>
        <w:rPr>
          <w:sz w:val="24"/>
          <w:szCs w:val="24"/>
        </w:rPr>
      </w:pPr>
      <w:r w:rsidRPr="008D3BC2">
        <w:rPr>
          <w:sz w:val="24"/>
          <w:szCs w:val="24"/>
        </w:rPr>
        <w:t>I</w:t>
      </w:r>
      <w:r w:rsidR="005D0392" w:rsidRPr="008D3BC2">
        <w:rPr>
          <w:sz w:val="24"/>
          <w:szCs w:val="24"/>
        </w:rPr>
        <w:t>n New Zealand</w:t>
      </w:r>
      <w:r w:rsidRPr="008D3BC2">
        <w:rPr>
          <w:sz w:val="24"/>
          <w:szCs w:val="24"/>
        </w:rPr>
        <w:t>,</w:t>
      </w:r>
      <w:r w:rsidR="005D0392" w:rsidRPr="008D3BC2">
        <w:rPr>
          <w:sz w:val="24"/>
          <w:szCs w:val="24"/>
        </w:rPr>
        <w:t xml:space="preserve"> the ‘permanent place of abode’ test overrides the 183</w:t>
      </w:r>
      <w:r w:rsidR="005D0392" w:rsidRPr="008D3BC2">
        <w:rPr>
          <w:sz w:val="24"/>
          <w:szCs w:val="24"/>
        </w:rPr>
        <w:noBreakHyphen/>
        <w:t>day bright</w:t>
      </w:r>
      <w:r w:rsidR="005D0392" w:rsidRPr="008D3BC2">
        <w:rPr>
          <w:sz w:val="24"/>
          <w:szCs w:val="24"/>
        </w:rPr>
        <w:noBreakHyphen/>
        <w:t>line test</w:t>
      </w:r>
      <w:r w:rsidRPr="008D3BC2">
        <w:rPr>
          <w:sz w:val="24"/>
          <w:szCs w:val="24"/>
        </w:rPr>
        <w:t>. This is similar to the existing Australian domicile and 183</w:t>
      </w:r>
      <w:r w:rsidRPr="008D3BC2">
        <w:rPr>
          <w:sz w:val="24"/>
          <w:szCs w:val="24"/>
        </w:rPr>
        <w:noBreakHyphen/>
        <w:t xml:space="preserve">day tests. This has not been adopted </w:t>
      </w:r>
      <w:r w:rsidR="00934351" w:rsidRPr="008D3BC2">
        <w:rPr>
          <w:sz w:val="24"/>
          <w:szCs w:val="24"/>
        </w:rPr>
        <w:t xml:space="preserve">in the Board’s preferred model </w:t>
      </w:r>
      <w:r w:rsidRPr="008D3BC2">
        <w:rPr>
          <w:sz w:val="24"/>
          <w:szCs w:val="24"/>
        </w:rPr>
        <w:t>as it undermines the simplicity and certainty the proposed model seeks to provide. However, acknowledging the potential revenue impact and integrity risks of a pure 183-day non</w:t>
      </w:r>
      <w:r w:rsidRPr="008D3BC2">
        <w:rPr>
          <w:sz w:val="24"/>
          <w:szCs w:val="24"/>
        </w:rPr>
        <w:noBreakHyphen/>
        <w:t xml:space="preserve">resident test, </w:t>
      </w:r>
      <w:r w:rsidR="00015AFF" w:rsidRPr="008D3BC2">
        <w:rPr>
          <w:sz w:val="24"/>
          <w:szCs w:val="24"/>
        </w:rPr>
        <w:t>the proposed model is adhesive with differentiated bright</w:t>
      </w:r>
      <w:r w:rsidR="00015AFF" w:rsidRPr="008D3BC2">
        <w:rPr>
          <w:sz w:val="24"/>
          <w:szCs w:val="24"/>
        </w:rPr>
        <w:noBreakHyphen/>
        <w:t>lines.</w:t>
      </w:r>
      <w:r w:rsidR="00934351" w:rsidRPr="008D3BC2">
        <w:rPr>
          <w:sz w:val="24"/>
          <w:szCs w:val="24"/>
        </w:rPr>
        <w:t xml:space="preserve"> The Board is interested in feedback as to whether the bright-line strikes the right balance.</w:t>
      </w:r>
    </w:p>
    <w:p w14:paraId="4560BCD2" w14:textId="77777777" w:rsidR="005D0392" w:rsidRPr="008D3BC2" w:rsidRDefault="005D0392" w:rsidP="00A458D1">
      <w:pPr>
        <w:pStyle w:val="ListParagraph"/>
        <w:ind w:left="0"/>
        <w:rPr>
          <w:sz w:val="24"/>
          <w:szCs w:val="24"/>
        </w:rPr>
      </w:pPr>
    </w:p>
    <w:p w14:paraId="2B38A001" w14:textId="77777777" w:rsidR="008367EC" w:rsidRPr="008D3BC2" w:rsidRDefault="00015AFF" w:rsidP="00A458D1">
      <w:pPr>
        <w:pStyle w:val="ListParagraph"/>
        <w:ind w:left="0"/>
        <w:rPr>
          <w:sz w:val="24"/>
          <w:szCs w:val="24"/>
        </w:rPr>
      </w:pPr>
      <w:r w:rsidRPr="008D3BC2">
        <w:rPr>
          <w:sz w:val="24"/>
          <w:szCs w:val="24"/>
        </w:rPr>
        <w:t>T</w:t>
      </w:r>
      <w:r w:rsidR="008367EC" w:rsidRPr="008D3BC2">
        <w:rPr>
          <w:sz w:val="24"/>
          <w:szCs w:val="24"/>
        </w:rPr>
        <w:t xml:space="preserve">hese tests </w:t>
      </w:r>
      <w:r w:rsidR="00EF6DF9" w:rsidRPr="008D3BC2">
        <w:rPr>
          <w:sz w:val="24"/>
          <w:szCs w:val="24"/>
        </w:rPr>
        <w:t xml:space="preserve">are similar to </w:t>
      </w:r>
      <w:r w:rsidR="008367EC" w:rsidRPr="008D3BC2">
        <w:rPr>
          <w:sz w:val="24"/>
          <w:szCs w:val="24"/>
        </w:rPr>
        <w:t xml:space="preserve">the UK </w:t>
      </w:r>
      <w:r w:rsidR="00EF6DF9" w:rsidRPr="008D3BC2">
        <w:rPr>
          <w:sz w:val="24"/>
          <w:szCs w:val="24"/>
        </w:rPr>
        <w:t xml:space="preserve">bright-line tests, but they have been </w:t>
      </w:r>
      <w:r w:rsidR="005D0392" w:rsidRPr="008D3BC2">
        <w:rPr>
          <w:sz w:val="24"/>
          <w:szCs w:val="24"/>
        </w:rPr>
        <w:t>ad</w:t>
      </w:r>
      <w:r w:rsidR="00EF6DF9" w:rsidRPr="008D3BC2">
        <w:rPr>
          <w:sz w:val="24"/>
          <w:szCs w:val="24"/>
        </w:rPr>
        <w:t>ap</w:t>
      </w:r>
      <w:r w:rsidR="005D0392" w:rsidRPr="008D3BC2">
        <w:rPr>
          <w:sz w:val="24"/>
          <w:szCs w:val="24"/>
        </w:rPr>
        <w:t xml:space="preserve">ted </w:t>
      </w:r>
      <w:r w:rsidR="00EF6DF9" w:rsidRPr="008D3BC2">
        <w:rPr>
          <w:sz w:val="24"/>
          <w:szCs w:val="24"/>
        </w:rPr>
        <w:t xml:space="preserve">and simplified by </w:t>
      </w:r>
      <w:r w:rsidR="008367EC" w:rsidRPr="008D3BC2">
        <w:rPr>
          <w:sz w:val="24"/>
          <w:szCs w:val="24"/>
        </w:rPr>
        <w:t>the Board</w:t>
      </w:r>
      <w:r w:rsidR="00EF6DF9" w:rsidRPr="008D3BC2">
        <w:rPr>
          <w:sz w:val="24"/>
          <w:szCs w:val="24"/>
        </w:rPr>
        <w:t xml:space="preserve"> for </w:t>
      </w:r>
      <w:r w:rsidR="008367EC" w:rsidRPr="008D3BC2">
        <w:rPr>
          <w:sz w:val="24"/>
          <w:szCs w:val="24"/>
        </w:rPr>
        <w:t xml:space="preserve">an Australian context. </w:t>
      </w:r>
    </w:p>
    <w:p w14:paraId="365F066E" w14:textId="77777777" w:rsidR="005D0392" w:rsidRPr="008D3BC2" w:rsidRDefault="005D0392" w:rsidP="005D0392">
      <w:pPr>
        <w:pStyle w:val="ListParagraph"/>
        <w:rPr>
          <w:sz w:val="24"/>
          <w:szCs w:val="24"/>
        </w:rPr>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152363" w:rsidRPr="008D3BC2" w14:paraId="0FB58866" w14:textId="77777777" w:rsidTr="00BF3EB8">
        <w:tc>
          <w:tcPr>
            <w:tcW w:w="5000" w:type="pct"/>
            <w:shd w:val="clear" w:color="auto" w:fill="EBEBEB"/>
          </w:tcPr>
          <w:p w14:paraId="7686690C" w14:textId="77777777" w:rsidR="00152363" w:rsidRPr="008D3BC2" w:rsidRDefault="00152363" w:rsidP="00BF3EB8">
            <w:pPr>
              <w:pStyle w:val="BoxHeading"/>
            </w:pPr>
            <w:r w:rsidRPr="008D3BC2">
              <w:t>Questions</w:t>
            </w:r>
          </w:p>
          <w:p w14:paraId="1D78EF51" w14:textId="77777777" w:rsidR="00152363" w:rsidRPr="008D3BC2" w:rsidRDefault="00152363" w:rsidP="004C1D28">
            <w:pPr>
              <w:pStyle w:val="BoxText"/>
              <w:numPr>
                <w:ilvl w:val="0"/>
                <w:numId w:val="14"/>
              </w:numPr>
            </w:pPr>
            <w:r w:rsidRPr="008D3BC2">
              <w:t>Are there any other bright</w:t>
            </w:r>
            <w:r w:rsidRPr="008D3BC2">
              <w:noBreakHyphen/>
              <w:t xml:space="preserve">line tests that you think should be included? For example, should you be a </w:t>
            </w:r>
            <w:r w:rsidR="005D0392" w:rsidRPr="008D3BC2">
              <w:t>non</w:t>
            </w:r>
            <w:r w:rsidR="005D0392" w:rsidRPr="008D3BC2">
              <w:noBreakHyphen/>
            </w:r>
            <w:r w:rsidRPr="008D3BC2">
              <w:t>resident if</w:t>
            </w:r>
            <w:r w:rsidR="005D0392" w:rsidRPr="008D3BC2">
              <w:t xml:space="preserve"> your only home is located outside of Australia?</w:t>
            </w:r>
          </w:p>
          <w:p w14:paraId="4381B6F0" w14:textId="1D2EF15A" w:rsidR="005D0392" w:rsidRPr="008D3BC2" w:rsidRDefault="00015AFF" w:rsidP="004C1D28">
            <w:pPr>
              <w:pStyle w:val="BoxText"/>
              <w:numPr>
                <w:ilvl w:val="0"/>
                <w:numId w:val="14"/>
              </w:numPr>
            </w:pPr>
            <w:r w:rsidRPr="008D3BC2">
              <w:t>D</w:t>
            </w:r>
            <w:r w:rsidR="00C60ECB" w:rsidRPr="008D3BC2">
              <w:t>o</w:t>
            </w:r>
            <w:r w:rsidRPr="008D3BC2">
              <w:t xml:space="preserve"> the proposed day</w:t>
            </w:r>
            <w:r w:rsidRPr="008D3BC2">
              <w:noBreakHyphen/>
              <w:t>count tests appropriately balance simplicity and integrity?</w:t>
            </w:r>
            <w:r w:rsidR="0073363C" w:rsidRPr="008D3BC2">
              <w:t xml:space="preserve"> Is it too complex? Alternatively, are other measures needed to provide integrity – for example, those discussed under design principle 5?</w:t>
            </w:r>
          </w:p>
          <w:p w14:paraId="6253FE16" w14:textId="77777777" w:rsidR="00D5196D" w:rsidRPr="008D3BC2" w:rsidRDefault="00D5196D" w:rsidP="00D5196D">
            <w:pPr>
              <w:pStyle w:val="BoxText"/>
              <w:numPr>
                <w:ilvl w:val="0"/>
                <w:numId w:val="14"/>
              </w:numPr>
            </w:pPr>
            <w:r w:rsidRPr="008D3BC2">
              <w:t>Should the outbound individual test apply over</w:t>
            </w:r>
            <w:r w:rsidR="009B106F" w:rsidRPr="008D3BC2">
              <w:t xml:space="preserve"> a 12-month period, </w:t>
            </w:r>
            <w:r w:rsidRPr="008D3BC2">
              <w:t>per income yea</w:t>
            </w:r>
            <w:r w:rsidR="009B106F" w:rsidRPr="008D3BC2">
              <w:t>r o</w:t>
            </w:r>
            <w:r w:rsidRPr="008D3BC2">
              <w:t>r</w:t>
            </w:r>
            <w:r w:rsidR="009B106F" w:rsidRPr="008D3BC2">
              <w:t xml:space="preserve"> on some other basis</w:t>
            </w:r>
            <w:r w:rsidRPr="008D3BC2">
              <w:t>? Why?</w:t>
            </w:r>
          </w:p>
          <w:p w14:paraId="4B477738" w14:textId="77777777" w:rsidR="00D5196D" w:rsidRPr="008D3BC2" w:rsidRDefault="00D5196D" w:rsidP="00D5196D">
            <w:pPr>
              <w:pStyle w:val="BoxText"/>
              <w:numPr>
                <w:ilvl w:val="0"/>
                <w:numId w:val="14"/>
              </w:numPr>
            </w:pPr>
            <w:r w:rsidRPr="008D3BC2">
              <w:t xml:space="preserve">How does this test interact with the limited foreign employment income tax exemption (section 23AG of the </w:t>
            </w:r>
            <w:r w:rsidRPr="008D3BC2">
              <w:rPr>
                <w:i/>
              </w:rPr>
              <w:t>Income Tax Assessment Act 1936</w:t>
            </w:r>
            <w:r w:rsidRPr="008D3BC2">
              <w:t>)?</w:t>
            </w:r>
          </w:p>
        </w:tc>
      </w:tr>
    </w:tbl>
    <w:p w14:paraId="423E577E" w14:textId="77777777" w:rsidR="00D231DC" w:rsidRPr="008D3BC2" w:rsidRDefault="00777112" w:rsidP="00777112">
      <w:pPr>
        <w:tabs>
          <w:tab w:val="left" w:pos="2784"/>
        </w:tabs>
        <w:spacing w:before="0" w:after="160" w:line="259" w:lineRule="auto"/>
        <w:rPr>
          <w:sz w:val="24"/>
          <w:szCs w:val="24"/>
          <w:lang w:eastAsia="en-US"/>
        </w:rPr>
      </w:pPr>
      <w:r w:rsidRPr="008D3BC2">
        <w:rPr>
          <w:sz w:val="24"/>
          <w:szCs w:val="24"/>
          <w:lang w:eastAsia="en-US"/>
        </w:rPr>
        <w:tab/>
      </w:r>
    </w:p>
    <w:p w14:paraId="6CAF5D94" w14:textId="77777777" w:rsidR="00DC5C64" w:rsidRPr="008D3BC2" w:rsidRDefault="00DC5C64">
      <w:pPr>
        <w:spacing w:before="0" w:after="160" w:line="259" w:lineRule="auto"/>
        <w:rPr>
          <w:b/>
          <w:color w:val="002060"/>
          <w:sz w:val="36"/>
          <w:szCs w:val="22"/>
          <w:lang w:eastAsia="en-US"/>
        </w:rPr>
      </w:pPr>
      <w:r w:rsidRPr="008D3BC2">
        <w:rPr>
          <w:b/>
          <w:color w:val="002060"/>
          <w:sz w:val="36"/>
        </w:rPr>
        <w:br w:type="page"/>
      </w:r>
    </w:p>
    <w:p w14:paraId="1EA5EAAF" w14:textId="2BAA86CD" w:rsidR="00CF1A8F" w:rsidRPr="008D3BC2" w:rsidRDefault="003C27DD" w:rsidP="002C251F">
      <w:pPr>
        <w:pStyle w:val="ListParagraph"/>
        <w:numPr>
          <w:ilvl w:val="0"/>
          <w:numId w:val="11"/>
        </w:numPr>
        <w:spacing w:after="240"/>
        <w:ind w:left="426" w:hanging="284"/>
        <w:rPr>
          <w:b/>
          <w:color w:val="002060"/>
          <w:sz w:val="36"/>
        </w:rPr>
      </w:pPr>
      <w:r w:rsidRPr="008D3BC2">
        <w:rPr>
          <w:b/>
          <w:color w:val="002060"/>
          <w:sz w:val="36"/>
        </w:rPr>
        <w:t xml:space="preserve">Factor </w:t>
      </w:r>
      <w:r w:rsidR="00CF1A8F" w:rsidRPr="008D3BC2">
        <w:rPr>
          <w:b/>
          <w:color w:val="002060"/>
          <w:sz w:val="36"/>
        </w:rPr>
        <w:t xml:space="preserve">test: </w:t>
      </w:r>
      <w:r w:rsidRPr="008D3BC2">
        <w:rPr>
          <w:b/>
          <w:color w:val="002060"/>
          <w:sz w:val="36"/>
        </w:rPr>
        <w:t>determining the level of connection to Australia</w:t>
      </w:r>
    </w:p>
    <w:p w14:paraId="7C276DDF" w14:textId="37D9B0EF" w:rsidR="003C27DD" w:rsidRPr="008D3BC2" w:rsidRDefault="003E461F" w:rsidP="00A458D1">
      <w:pPr>
        <w:pStyle w:val="ListParagraph"/>
        <w:spacing w:after="240"/>
        <w:ind w:left="0"/>
        <w:rPr>
          <w:sz w:val="24"/>
          <w:szCs w:val="24"/>
        </w:rPr>
      </w:pPr>
      <w:r w:rsidRPr="008D3BC2">
        <w:rPr>
          <w:sz w:val="24"/>
          <w:szCs w:val="24"/>
        </w:rPr>
        <w:t>Under the Board’s preferred approach,</w:t>
      </w:r>
      <w:r w:rsidR="00934351" w:rsidRPr="008D3BC2">
        <w:rPr>
          <w:sz w:val="24"/>
          <w:szCs w:val="24"/>
        </w:rPr>
        <w:t xml:space="preserve"> </w:t>
      </w:r>
      <w:r w:rsidRPr="008D3BC2">
        <w:rPr>
          <w:sz w:val="24"/>
          <w:szCs w:val="24"/>
        </w:rPr>
        <w:t xml:space="preserve">where </w:t>
      </w:r>
      <w:r w:rsidR="00934351" w:rsidRPr="008D3BC2">
        <w:rPr>
          <w:sz w:val="24"/>
          <w:szCs w:val="24"/>
        </w:rPr>
        <w:t>an individual does not satisfy any of the bright</w:t>
      </w:r>
      <w:r w:rsidR="00934351" w:rsidRPr="008D3BC2">
        <w:rPr>
          <w:sz w:val="24"/>
          <w:szCs w:val="24"/>
        </w:rPr>
        <w:noBreakHyphen/>
        <w:t xml:space="preserve">line tests, </w:t>
      </w:r>
      <w:r w:rsidR="003C27DD" w:rsidRPr="008D3BC2">
        <w:rPr>
          <w:sz w:val="24"/>
          <w:szCs w:val="24"/>
        </w:rPr>
        <w:t xml:space="preserve">they must apply </w:t>
      </w:r>
      <w:r w:rsidRPr="008D3BC2">
        <w:rPr>
          <w:sz w:val="24"/>
          <w:szCs w:val="24"/>
        </w:rPr>
        <w:t xml:space="preserve">a </w:t>
      </w:r>
      <w:r w:rsidR="003C27DD" w:rsidRPr="008D3BC2">
        <w:rPr>
          <w:sz w:val="24"/>
          <w:szCs w:val="24"/>
        </w:rPr>
        <w:t xml:space="preserve">secondary test, called the ‘factor test’ for these purposes. </w:t>
      </w:r>
    </w:p>
    <w:p w14:paraId="3FC9496B" w14:textId="0FAEEF16" w:rsidR="00934351" w:rsidRPr="008D3BC2" w:rsidRDefault="003C27DD" w:rsidP="00A458D1">
      <w:pPr>
        <w:pStyle w:val="ListParagraph"/>
        <w:spacing w:after="240"/>
        <w:ind w:left="0"/>
        <w:rPr>
          <w:sz w:val="24"/>
          <w:szCs w:val="24"/>
        </w:rPr>
      </w:pPr>
      <w:r w:rsidRPr="008D3BC2">
        <w:rPr>
          <w:sz w:val="24"/>
          <w:szCs w:val="24"/>
        </w:rPr>
        <w:t xml:space="preserve">The purpose of this test is to determine the connection an individual has to Australia. Each factor indicates a level of connection – that is, for each factor an individual satisfies, they can be considered to have a higher level of connection to Australia. </w:t>
      </w:r>
    </w:p>
    <w:p w14:paraId="5E28EF0C" w14:textId="167BD07E" w:rsidR="00CF1A8F" w:rsidRPr="008D3BC2" w:rsidRDefault="00BF3EB8" w:rsidP="00A458D1">
      <w:pPr>
        <w:pStyle w:val="ListParagraph"/>
        <w:spacing w:after="240"/>
        <w:ind w:left="0"/>
        <w:rPr>
          <w:b/>
          <w:color w:val="002060"/>
          <w:sz w:val="28"/>
        </w:rPr>
      </w:pPr>
      <w:r w:rsidRPr="008D3BC2">
        <w:rPr>
          <w:sz w:val="24"/>
          <w:szCs w:val="24"/>
        </w:rPr>
        <w:t xml:space="preserve">The preferred model seeks to adopt a single </w:t>
      </w:r>
      <w:r w:rsidR="008367EC" w:rsidRPr="008D3BC2">
        <w:rPr>
          <w:sz w:val="24"/>
          <w:szCs w:val="24"/>
        </w:rPr>
        <w:t xml:space="preserve">list of relevant factors. </w:t>
      </w:r>
      <w:r w:rsidRPr="008D3BC2">
        <w:rPr>
          <w:sz w:val="24"/>
          <w:szCs w:val="24"/>
        </w:rPr>
        <w:t>This will replace</w:t>
      </w:r>
      <w:r w:rsidR="008367EC" w:rsidRPr="008D3BC2">
        <w:rPr>
          <w:sz w:val="24"/>
          <w:szCs w:val="24"/>
        </w:rPr>
        <w:t xml:space="preserve"> </w:t>
      </w:r>
      <w:r w:rsidRPr="008D3BC2">
        <w:rPr>
          <w:sz w:val="24"/>
          <w:szCs w:val="24"/>
        </w:rPr>
        <w:t xml:space="preserve">the variety of </w:t>
      </w:r>
      <w:r w:rsidR="003C27DD" w:rsidRPr="008D3BC2">
        <w:rPr>
          <w:sz w:val="24"/>
          <w:szCs w:val="24"/>
        </w:rPr>
        <w:t xml:space="preserve">existing </w:t>
      </w:r>
      <w:r w:rsidRPr="008D3BC2">
        <w:rPr>
          <w:sz w:val="24"/>
          <w:szCs w:val="24"/>
        </w:rPr>
        <w:t xml:space="preserve">tests with </w:t>
      </w:r>
      <w:r w:rsidR="008367EC" w:rsidRPr="008D3BC2">
        <w:rPr>
          <w:sz w:val="24"/>
          <w:szCs w:val="24"/>
        </w:rPr>
        <w:t xml:space="preserve">a single test based on a limited list of objective factors that reflect matters materially relevant to residency. This will be a significant simplification and improvement </w:t>
      </w:r>
      <w:r w:rsidR="003C27DD" w:rsidRPr="008D3BC2">
        <w:rPr>
          <w:sz w:val="24"/>
          <w:szCs w:val="24"/>
        </w:rPr>
        <w:t xml:space="preserve">from </w:t>
      </w:r>
      <w:r w:rsidR="008367EC" w:rsidRPr="008D3BC2">
        <w:rPr>
          <w:sz w:val="24"/>
          <w:szCs w:val="24"/>
        </w:rPr>
        <w:t>the current residency rules.</w:t>
      </w:r>
      <w:r w:rsidR="008367EC" w:rsidRPr="008D3BC2">
        <w:rPr>
          <w:b/>
          <w:color w:val="002060"/>
          <w:sz w:val="28"/>
        </w:rPr>
        <w:t xml:space="preserve"> </w:t>
      </w:r>
    </w:p>
    <w:p w14:paraId="1827D715" w14:textId="77777777" w:rsidR="00CF1A8F" w:rsidRPr="008D3BC2" w:rsidRDefault="00BF3EB8" w:rsidP="00A458D1">
      <w:pPr>
        <w:pStyle w:val="ListParagraph"/>
        <w:spacing w:after="120"/>
        <w:ind w:left="6"/>
        <w:rPr>
          <w:sz w:val="24"/>
          <w:szCs w:val="24"/>
        </w:rPr>
      </w:pPr>
      <w:r w:rsidRPr="008D3BC2">
        <w:rPr>
          <w:sz w:val="24"/>
          <w:szCs w:val="24"/>
        </w:rPr>
        <w:t xml:space="preserve">Importantly, these factors should be sufficiently </w:t>
      </w:r>
      <w:r w:rsidR="006010CC" w:rsidRPr="008D3BC2">
        <w:rPr>
          <w:sz w:val="24"/>
          <w:szCs w:val="24"/>
        </w:rPr>
        <w:t>clear such that individuals will generally be able to work out whether or not they have satisfied any given factor</w:t>
      </w:r>
      <w:r w:rsidR="00CF1A8F" w:rsidRPr="008D3BC2">
        <w:rPr>
          <w:sz w:val="24"/>
          <w:szCs w:val="24"/>
        </w:rPr>
        <w:t>.</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6010CC" w:rsidRPr="008D3BC2" w14:paraId="60A4D00A" w14:textId="77777777" w:rsidTr="00E56143">
        <w:trPr>
          <w:cantSplit/>
          <w:tblHeader/>
        </w:trPr>
        <w:tc>
          <w:tcPr>
            <w:tcW w:w="2660" w:type="dxa"/>
            <w:tcBorders>
              <w:bottom w:val="single" w:sz="6" w:space="0" w:color="C00000"/>
            </w:tcBorders>
            <w:shd w:val="clear" w:color="auto" w:fill="F2F2F2" w:themeFill="background1" w:themeFillShade="F2"/>
          </w:tcPr>
          <w:p w14:paraId="4B730EDB" w14:textId="77777777" w:rsidR="006010CC" w:rsidRPr="008D3BC2" w:rsidRDefault="006010CC" w:rsidP="00E56143">
            <w:pPr>
              <w:pStyle w:val="TableColumnHeadingCentred"/>
              <w:rPr>
                <w:bCs/>
                <w:color w:val="44546A" w:themeColor="text2"/>
                <w:sz w:val="22"/>
              </w:rPr>
            </w:pPr>
            <w:r w:rsidRPr="008D3BC2">
              <w:t>Factor</w:t>
            </w:r>
          </w:p>
        </w:tc>
        <w:tc>
          <w:tcPr>
            <w:tcW w:w="7194" w:type="dxa"/>
            <w:tcBorders>
              <w:bottom w:val="single" w:sz="6" w:space="0" w:color="C00000"/>
            </w:tcBorders>
            <w:shd w:val="clear" w:color="auto" w:fill="F2F2F2" w:themeFill="background1" w:themeFillShade="F2"/>
          </w:tcPr>
          <w:p w14:paraId="180DB350" w14:textId="77777777" w:rsidR="006010CC" w:rsidRPr="008D3BC2" w:rsidRDefault="006010CC" w:rsidP="00E56143">
            <w:pPr>
              <w:pStyle w:val="TableColumnHeadingCentred"/>
              <w:rPr>
                <w:sz w:val="22"/>
              </w:rPr>
            </w:pPr>
            <w:r w:rsidRPr="008D3BC2">
              <w:t>Description</w:t>
            </w:r>
          </w:p>
        </w:tc>
      </w:tr>
      <w:tr w:rsidR="004C68FC" w:rsidRPr="008D3BC2" w14:paraId="7B3C873A" w14:textId="77777777" w:rsidTr="0011668D">
        <w:trPr>
          <w:cantSplit/>
          <w:tblHeader/>
        </w:trPr>
        <w:tc>
          <w:tcPr>
            <w:tcW w:w="2660" w:type="dxa"/>
            <w:tcBorders>
              <w:top w:val="single" w:sz="6" w:space="0" w:color="C00000"/>
              <w:bottom w:val="single" w:sz="6" w:space="0" w:color="C00000"/>
            </w:tcBorders>
            <w:shd w:val="clear" w:color="auto" w:fill="FFFFFF" w:themeFill="background1"/>
          </w:tcPr>
          <w:p w14:paraId="2DCDF084" w14:textId="77777777" w:rsidR="004C68FC" w:rsidRPr="008D3BC2" w:rsidRDefault="004C68FC" w:rsidP="0011668D">
            <w:pPr>
              <w:pStyle w:val="TableColumnHeadingLeft"/>
            </w:pPr>
            <w:r w:rsidRPr="008D3BC2">
              <w:t>Time spent in Australia</w:t>
            </w:r>
          </w:p>
        </w:tc>
        <w:tc>
          <w:tcPr>
            <w:tcW w:w="7194" w:type="dxa"/>
            <w:tcBorders>
              <w:top w:val="single" w:sz="6" w:space="0" w:color="C00000"/>
              <w:bottom w:val="single" w:sz="6" w:space="0" w:color="C00000"/>
            </w:tcBorders>
            <w:shd w:val="clear" w:color="auto" w:fill="FFFFFF" w:themeFill="background1"/>
          </w:tcPr>
          <w:p w14:paraId="5090CC79" w14:textId="77777777" w:rsidR="004C68FC" w:rsidRPr="008D3BC2" w:rsidRDefault="004C68FC" w:rsidP="0011668D">
            <w:pPr>
              <w:pStyle w:val="TableTextLeft"/>
              <w:rPr>
                <w:sz w:val="20"/>
              </w:rPr>
            </w:pPr>
            <w:r w:rsidRPr="008D3BC2">
              <w:rPr>
                <w:sz w:val="20"/>
              </w:rPr>
              <w:t>A factor is satisfied if an individual spends sufficient time in Australia:</w:t>
            </w:r>
          </w:p>
          <w:p w14:paraId="5E011399" w14:textId="77777777" w:rsidR="004C68FC" w:rsidRPr="008D3BC2" w:rsidRDefault="00DC5C64" w:rsidP="004C1D28">
            <w:pPr>
              <w:pStyle w:val="TableTextLeft"/>
              <w:numPr>
                <w:ilvl w:val="0"/>
                <w:numId w:val="19"/>
              </w:numPr>
              <w:rPr>
                <w:sz w:val="20"/>
              </w:rPr>
            </w:pPr>
            <w:r w:rsidRPr="008D3BC2">
              <w:rPr>
                <w:sz w:val="20"/>
              </w:rPr>
              <w:t xml:space="preserve">A set number of </w:t>
            </w:r>
            <w:r w:rsidR="00992BC9" w:rsidRPr="008D3BC2">
              <w:rPr>
                <w:sz w:val="20"/>
              </w:rPr>
              <w:t xml:space="preserve">X </w:t>
            </w:r>
            <w:r w:rsidR="004C68FC" w:rsidRPr="008D3BC2">
              <w:rPr>
                <w:sz w:val="20"/>
              </w:rPr>
              <w:t xml:space="preserve">days or more if previously a resident; and </w:t>
            </w:r>
          </w:p>
          <w:p w14:paraId="6A59C605" w14:textId="77777777" w:rsidR="004C68FC" w:rsidRPr="008D3BC2" w:rsidRDefault="00DC5C64" w:rsidP="004C1D28">
            <w:pPr>
              <w:pStyle w:val="TableTextLeft"/>
              <w:numPr>
                <w:ilvl w:val="0"/>
                <w:numId w:val="19"/>
              </w:numPr>
              <w:rPr>
                <w:sz w:val="20"/>
              </w:rPr>
            </w:pPr>
            <w:r w:rsidRPr="008D3BC2">
              <w:rPr>
                <w:sz w:val="20"/>
              </w:rPr>
              <w:t xml:space="preserve">A larger set number of </w:t>
            </w:r>
            <w:r w:rsidR="00992BC9" w:rsidRPr="008D3BC2">
              <w:rPr>
                <w:sz w:val="20"/>
              </w:rPr>
              <w:t xml:space="preserve">Y </w:t>
            </w:r>
            <w:r w:rsidRPr="008D3BC2">
              <w:rPr>
                <w:sz w:val="20"/>
              </w:rPr>
              <w:t xml:space="preserve">days </w:t>
            </w:r>
            <w:r w:rsidR="00F33973" w:rsidRPr="008D3BC2">
              <w:rPr>
                <w:sz w:val="20"/>
              </w:rPr>
              <w:t xml:space="preserve">or more </w:t>
            </w:r>
            <w:r w:rsidR="004C68FC" w:rsidRPr="008D3BC2">
              <w:rPr>
                <w:sz w:val="20"/>
              </w:rPr>
              <w:t>if never an Australian resident.</w:t>
            </w:r>
          </w:p>
          <w:p w14:paraId="110EAE2C" w14:textId="77777777" w:rsidR="00992BC9" w:rsidRPr="008D3BC2" w:rsidRDefault="00D1328F" w:rsidP="00D1328F">
            <w:pPr>
              <w:pStyle w:val="TableTextLeft"/>
              <w:rPr>
                <w:sz w:val="20"/>
              </w:rPr>
            </w:pPr>
            <w:r w:rsidRPr="008D3BC2">
              <w:rPr>
                <w:sz w:val="20"/>
              </w:rPr>
              <w:t xml:space="preserve">Both tests would be less than 183 days for the factor to be useful (otherwise the individual would automatically be a resident). </w:t>
            </w:r>
            <w:r w:rsidR="00992BC9" w:rsidRPr="008D3BC2">
              <w:rPr>
                <w:sz w:val="20"/>
              </w:rPr>
              <w:t xml:space="preserve">The number of days for an individual previously a resident </w:t>
            </w:r>
            <w:r w:rsidRPr="008D3BC2">
              <w:rPr>
                <w:sz w:val="20"/>
              </w:rPr>
              <w:t xml:space="preserve">should also </w:t>
            </w:r>
            <w:r w:rsidR="00992BC9" w:rsidRPr="008D3BC2">
              <w:rPr>
                <w:sz w:val="20"/>
              </w:rPr>
              <w:t>be lower</w:t>
            </w:r>
            <w:r w:rsidRPr="008D3BC2">
              <w:rPr>
                <w:sz w:val="20"/>
              </w:rPr>
              <w:t xml:space="preserve"> than a non-resident</w:t>
            </w:r>
            <w:r w:rsidR="00992BC9" w:rsidRPr="008D3BC2">
              <w:rPr>
                <w:sz w:val="20"/>
              </w:rPr>
              <w:t>, in line with the adhesive principle</w:t>
            </w:r>
            <w:r w:rsidRPr="008D3BC2">
              <w:rPr>
                <w:sz w:val="20"/>
              </w:rPr>
              <w:t>.</w:t>
            </w:r>
          </w:p>
        </w:tc>
      </w:tr>
      <w:tr w:rsidR="006010CC" w:rsidRPr="008D3BC2" w14:paraId="3DB8F264" w14:textId="77777777" w:rsidTr="00E56143">
        <w:trPr>
          <w:cantSplit/>
          <w:tblHeader/>
        </w:trPr>
        <w:tc>
          <w:tcPr>
            <w:tcW w:w="2660" w:type="dxa"/>
            <w:tcBorders>
              <w:top w:val="single" w:sz="6" w:space="0" w:color="C00000"/>
              <w:bottom w:val="single" w:sz="6" w:space="0" w:color="C00000"/>
            </w:tcBorders>
            <w:shd w:val="clear" w:color="auto" w:fill="FFFFFF" w:themeFill="background1"/>
          </w:tcPr>
          <w:p w14:paraId="5C1CB394" w14:textId="77777777" w:rsidR="006010CC" w:rsidRPr="008D3BC2" w:rsidRDefault="00C539CE" w:rsidP="006010CC">
            <w:pPr>
              <w:pStyle w:val="TableColumnHeadingLeft"/>
              <w:rPr>
                <w:sz w:val="22"/>
              </w:rPr>
            </w:pPr>
            <w:r w:rsidRPr="008D3BC2">
              <w:t>Immigration</w:t>
            </w:r>
            <w:r w:rsidR="006010CC" w:rsidRPr="008D3BC2">
              <w:t xml:space="preserve"> status</w:t>
            </w:r>
          </w:p>
        </w:tc>
        <w:tc>
          <w:tcPr>
            <w:tcW w:w="7194" w:type="dxa"/>
            <w:tcBorders>
              <w:top w:val="single" w:sz="6" w:space="0" w:color="C00000"/>
              <w:bottom w:val="single" w:sz="6" w:space="0" w:color="C00000"/>
            </w:tcBorders>
            <w:shd w:val="clear" w:color="auto" w:fill="FFFFFF" w:themeFill="background1"/>
          </w:tcPr>
          <w:p w14:paraId="54222A2D" w14:textId="26FA263A" w:rsidR="006010CC" w:rsidRPr="008D3BC2" w:rsidRDefault="00C539CE" w:rsidP="00164526">
            <w:pPr>
              <w:pStyle w:val="Bullet"/>
              <w:numPr>
                <w:ilvl w:val="0"/>
                <w:numId w:val="0"/>
              </w:numPr>
            </w:pPr>
            <w:r w:rsidRPr="008D3BC2">
              <w:t>A factor is satisfied if the individual is an Australian citizen or permanent resident</w:t>
            </w:r>
          </w:p>
        </w:tc>
      </w:tr>
      <w:tr w:rsidR="006010CC" w:rsidRPr="008D3BC2" w14:paraId="34183008" w14:textId="77777777" w:rsidTr="00E56143">
        <w:trPr>
          <w:cantSplit/>
          <w:tblHeader/>
        </w:trPr>
        <w:tc>
          <w:tcPr>
            <w:tcW w:w="2660" w:type="dxa"/>
            <w:tcBorders>
              <w:top w:val="single" w:sz="6" w:space="0" w:color="C00000"/>
              <w:bottom w:val="single" w:sz="6" w:space="0" w:color="C00000"/>
            </w:tcBorders>
            <w:shd w:val="clear" w:color="auto" w:fill="FFFFFF" w:themeFill="background1"/>
          </w:tcPr>
          <w:p w14:paraId="7B37AB55" w14:textId="77777777" w:rsidR="006010CC" w:rsidRPr="008D3BC2" w:rsidRDefault="006010CC" w:rsidP="00E56143">
            <w:pPr>
              <w:pStyle w:val="TableColumnHeadingLeft"/>
            </w:pPr>
            <w:r w:rsidRPr="008D3BC2">
              <w:t>Family</w:t>
            </w:r>
          </w:p>
        </w:tc>
        <w:tc>
          <w:tcPr>
            <w:tcW w:w="7194" w:type="dxa"/>
            <w:tcBorders>
              <w:top w:val="single" w:sz="6" w:space="0" w:color="C00000"/>
              <w:bottom w:val="single" w:sz="6" w:space="0" w:color="C00000"/>
            </w:tcBorders>
            <w:shd w:val="clear" w:color="auto" w:fill="FFFFFF" w:themeFill="background1"/>
          </w:tcPr>
          <w:p w14:paraId="21B4E73F" w14:textId="77777777" w:rsidR="006010CC" w:rsidRPr="008D3BC2" w:rsidRDefault="00C539CE" w:rsidP="00C539CE">
            <w:pPr>
              <w:pStyle w:val="TableTextLeft"/>
            </w:pPr>
            <w:r w:rsidRPr="008D3BC2">
              <w:rPr>
                <w:sz w:val="20"/>
              </w:rPr>
              <w:t>A factor is satisfied if an individual’s family (or relevant social group</w:t>
            </w:r>
            <w:r w:rsidR="004C68FC" w:rsidRPr="008D3BC2">
              <w:rPr>
                <w:sz w:val="20"/>
              </w:rPr>
              <w:t>ing</w:t>
            </w:r>
            <w:r w:rsidRPr="008D3BC2">
              <w:rPr>
                <w:sz w:val="20"/>
              </w:rPr>
              <w:t>) is largely located in Australia</w:t>
            </w:r>
          </w:p>
        </w:tc>
      </w:tr>
      <w:tr w:rsidR="006010CC" w:rsidRPr="008D3BC2" w14:paraId="4A45C8D3" w14:textId="77777777" w:rsidTr="00E56143">
        <w:trPr>
          <w:cantSplit/>
          <w:tblHeader/>
        </w:trPr>
        <w:tc>
          <w:tcPr>
            <w:tcW w:w="2660" w:type="dxa"/>
            <w:tcBorders>
              <w:top w:val="single" w:sz="6" w:space="0" w:color="C00000"/>
              <w:bottom w:val="single" w:sz="6" w:space="0" w:color="C00000"/>
            </w:tcBorders>
            <w:shd w:val="clear" w:color="auto" w:fill="FFFFFF" w:themeFill="background1"/>
          </w:tcPr>
          <w:p w14:paraId="1EF77C13" w14:textId="77777777" w:rsidR="006010CC" w:rsidRPr="008D3BC2" w:rsidRDefault="00C539CE" w:rsidP="00E56143">
            <w:pPr>
              <w:pStyle w:val="TableColumnHeadingLeft"/>
            </w:pPr>
            <w:r w:rsidRPr="008D3BC2">
              <w:t>Australian accommodation</w:t>
            </w:r>
          </w:p>
        </w:tc>
        <w:tc>
          <w:tcPr>
            <w:tcW w:w="7194" w:type="dxa"/>
            <w:tcBorders>
              <w:top w:val="single" w:sz="6" w:space="0" w:color="C00000"/>
              <w:bottom w:val="single" w:sz="6" w:space="0" w:color="C00000"/>
            </w:tcBorders>
            <w:shd w:val="clear" w:color="auto" w:fill="FFFFFF" w:themeFill="background1"/>
          </w:tcPr>
          <w:p w14:paraId="175F9E3A" w14:textId="77777777" w:rsidR="006010CC" w:rsidRPr="008D3BC2" w:rsidRDefault="00C539CE" w:rsidP="00C539CE">
            <w:pPr>
              <w:pStyle w:val="TableTextLeft"/>
            </w:pPr>
            <w:r w:rsidRPr="008D3BC2">
              <w:rPr>
                <w:sz w:val="20"/>
              </w:rPr>
              <w:t>A factor is satisfied if an individual has readily accessible Australian accommodation (owned or rented) that the individual actually uses throughout the income year</w:t>
            </w:r>
          </w:p>
        </w:tc>
      </w:tr>
      <w:tr w:rsidR="00C539CE" w:rsidRPr="008D3BC2" w14:paraId="05505BAD" w14:textId="77777777" w:rsidTr="00E56143">
        <w:trPr>
          <w:cantSplit/>
          <w:tblHeader/>
        </w:trPr>
        <w:tc>
          <w:tcPr>
            <w:tcW w:w="2660" w:type="dxa"/>
            <w:tcBorders>
              <w:top w:val="single" w:sz="6" w:space="0" w:color="C00000"/>
              <w:bottom w:val="single" w:sz="6" w:space="0" w:color="C00000"/>
            </w:tcBorders>
            <w:shd w:val="clear" w:color="auto" w:fill="FFFFFF" w:themeFill="background1"/>
          </w:tcPr>
          <w:p w14:paraId="72361181" w14:textId="77777777" w:rsidR="00C539CE" w:rsidRPr="008D3BC2" w:rsidRDefault="00C539CE" w:rsidP="00E56143">
            <w:pPr>
              <w:pStyle w:val="TableColumnHeadingLeft"/>
            </w:pPr>
            <w:r w:rsidRPr="008D3BC2">
              <w:t>Economic ties</w:t>
            </w:r>
          </w:p>
        </w:tc>
        <w:tc>
          <w:tcPr>
            <w:tcW w:w="7194" w:type="dxa"/>
            <w:tcBorders>
              <w:top w:val="single" w:sz="6" w:space="0" w:color="C00000"/>
              <w:bottom w:val="single" w:sz="6" w:space="0" w:color="C00000"/>
            </w:tcBorders>
            <w:shd w:val="clear" w:color="auto" w:fill="FFFFFF" w:themeFill="background1"/>
          </w:tcPr>
          <w:p w14:paraId="1F4A6D50" w14:textId="77777777" w:rsidR="00C539CE" w:rsidRPr="008D3BC2" w:rsidRDefault="00C539CE" w:rsidP="00E56143">
            <w:pPr>
              <w:pStyle w:val="TableTextLeft"/>
              <w:rPr>
                <w:sz w:val="20"/>
              </w:rPr>
            </w:pPr>
            <w:r w:rsidRPr="008D3BC2">
              <w:rPr>
                <w:sz w:val="20"/>
              </w:rPr>
              <w:t>A factor is satisfied if an individual has substantial Australian economic ties (such as employment or business interests)</w:t>
            </w:r>
          </w:p>
        </w:tc>
      </w:tr>
    </w:tbl>
    <w:p w14:paraId="76D9A581" w14:textId="31E286E4" w:rsidR="006010CC" w:rsidRPr="008D3BC2" w:rsidRDefault="00A96F50" w:rsidP="00A96F50">
      <w:pPr>
        <w:pStyle w:val="ListParagraph"/>
        <w:tabs>
          <w:tab w:val="left" w:pos="7440"/>
        </w:tabs>
        <w:spacing w:after="120"/>
        <w:rPr>
          <w:sz w:val="28"/>
          <w:szCs w:val="24"/>
        </w:rPr>
      </w:pPr>
      <w:r w:rsidRPr="008D3BC2">
        <w:rPr>
          <w:sz w:val="28"/>
          <w:szCs w:val="24"/>
        </w:rPr>
        <w:tab/>
      </w:r>
    </w:p>
    <w:p w14:paraId="16AF45C5" w14:textId="77777777" w:rsidR="008A6E4E" w:rsidRPr="008D3BC2" w:rsidRDefault="00C539CE" w:rsidP="00C539CE">
      <w:pPr>
        <w:pStyle w:val="Bullet"/>
        <w:numPr>
          <w:ilvl w:val="0"/>
          <w:numId w:val="0"/>
        </w:numPr>
        <w:tabs>
          <w:tab w:val="left" w:pos="2173"/>
        </w:tabs>
        <w:rPr>
          <w:sz w:val="24"/>
        </w:rPr>
      </w:pPr>
      <w:r w:rsidRPr="008D3BC2">
        <w:rPr>
          <w:sz w:val="24"/>
        </w:rPr>
        <w:t xml:space="preserve">As noted in the Report, these factors reflect many of the key issues considered relevant in Australian case law and by the ATO. However, </w:t>
      </w:r>
      <w:r w:rsidR="00E17851" w:rsidRPr="008D3BC2">
        <w:rPr>
          <w:sz w:val="24"/>
        </w:rPr>
        <w:t>in order to provide greater certainty for individuals, the number of factors have been reduced and simplified.</w:t>
      </w:r>
      <w:r w:rsidR="008A6E4E" w:rsidRPr="008D3BC2">
        <w:rPr>
          <w:sz w:val="24"/>
        </w:rPr>
        <w:t xml:space="preserve"> It is hoped that the simplicity adopting the above five factors will be supported by providing clear guidelines for when they are satisfied – the Board seeks views</w:t>
      </w:r>
      <w:r w:rsidR="00AB6653" w:rsidRPr="008D3BC2">
        <w:rPr>
          <w:sz w:val="24"/>
        </w:rPr>
        <w:t xml:space="preserve"> on</w:t>
      </w:r>
      <w:r w:rsidR="008A6E4E" w:rsidRPr="008D3BC2">
        <w:rPr>
          <w:sz w:val="24"/>
        </w:rPr>
        <w:t xml:space="preserve"> this.</w:t>
      </w:r>
    </w:p>
    <w:p w14:paraId="5D144C70" w14:textId="77777777" w:rsidR="00777112" w:rsidRPr="008D3BC2" w:rsidRDefault="00106ACE" w:rsidP="00106ACE">
      <w:pPr>
        <w:pStyle w:val="Bullet"/>
        <w:numPr>
          <w:ilvl w:val="0"/>
          <w:numId w:val="0"/>
        </w:numPr>
        <w:tabs>
          <w:tab w:val="left" w:pos="2173"/>
        </w:tabs>
        <w:rPr>
          <w:sz w:val="24"/>
        </w:rPr>
      </w:pPr>
      <w:r w:rsidRPr="008D3BC2">
        <w:rPr>
          <w:sz w:val="24"/>
        </w:rPr>
        <w:t xml:space="preserve">The Board’s report also referred to the OECD standards (permanent home; personal and economic relations (centre of vital interests); habitual abode; and nationality). While the above factors may not be identical, there is some consistency between these methodologies. </w:t>
      </w:r>
    </w:p>
    <w:p w14:paraId="6EC55587" w14:textId="77777777" w:rsidR="00106ACE" w:rsidRPr="008D3BC2" w:rsidRDefault="00777112" w:rsidP="00777112">
      <w:pPr>
        <w:tabs>
          <w:tab w:val="left" w:pos="3960"/>
        </w:tabs>
      </w:pPr>
      <w:r w:rsidRPr="008D3BC2">
        <w:tab/>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0753D2" w:rsidRPr="008D3BC2" w14:paraId="5271E9C1" w14:textId="77777777" w:rsidTr="00E56143">
        <w:tc>
          <w:tcPr>
            <w:tcW w:w="5000" w:type="pct"/>
            <w:shd w:val="clear" w:color="auto" w:fill="EBEBEB"/>
          </w:tcPr>
          <w:p w14:paraId="236F0B04" w14:textId="77777777" w:rsidR="000753D2" w:rsidRPr="008D3BC2" w:rsidRDefault="000753D2" w:rsidP="00E56143">
            <w:pPr>
              <w:pStyle w:val="BoxHeading"/>
            </w:pPr>
            <w:r w:rsidRPr="008D3BC2">
              <w:t>Questions</w:t>
            </w:r>
          </w:p>
          <w:p w14:paraId="2B9513AD" w14:textId="77777777" w:rsidR="00A321BF" w:rsidRPr="008D3BC2" w:rsidRDefault="00A321BF" w:rsidP="00A321BF">
            <w:pPr>
              <w:pStyle w:val="OutlineNumbered1"/>
              <w:keepLines/>
              <w:numPr>
                <w:ilvl w:val="0"/>
                <w:numId w:val="14"/>
              </w:numPr>
              <w:spacing w:after="160" w:line="259" w:lineRule="auto"/>
            </w:pPr>
            <w:r w:rsidRPr="008D3BC2">
              <w:t xml:space="preserve">Are the factors </w:t>
            </w:r>
            <w:r>
              <w:t xml:space="preserve">proposed for </w:t>
            </w:r>
            <w:r w:rsidRPr="008D3BC2">
              <w:t>the secondary test</w:t>
            </w:r>
            <w:r>
              <w:t xml:space="preserve"> the most appropriate factors?</w:t>
            </w:r>
          </w:p>
          <w:p w14:paraId="6AACFA5B" w14:textId="77777777" w:rsidR="000753D2" w:rsidRPr="008D3BC2" w:rsidRDefault="00C60ECB" w:rsidP="00A321BF">
            <w:pPr>
              <w:pStyle w:val="OutlineNumbered1"/>
              <w:keepLines/>
              <w:numPr>
                <w:ilvl w:val="0"/>
                <w:numId w:val="14"/>
              </w:numPr>
              <w:spacing w:after="160" w:line="259" w:lineRule="auto"/>
            </w:pPr>
            <w:r w:rsidRPr="008D3BC2">
              <w:t xml:space="preserve">Are there any </w:t>
            </w:r>
            <w:r w:rsidR="000753D2" w:rsidRPr="008D3BC2">
              <w:t xml:space="preserve">key </w:t>
            </w:r>
            <w:r w:rsidRPr="008D3BC2">
              <w:t xml:space="preserve">matters that </w:t>
            </w:r>
            <w:r w:rsidR="000753D2" w:rsidRPr="008D3BC2">
              <w:t xml:space="preserve">should be </w:t>
            </w:r>
            <w:r w:rsidRPr="008D3BC2">
              <w:t>adopted in preference to, or addition to, the listed factors</w:t>
            </w:r>
            <w:r w:rsidR="002C060B" w:rsidRPr="008D3BC2">
              <w:t>? For example:</w:t>
            </w:r>
          </w:p>
          <w:p w14:paraId="090D5C17" w14:textId="77777777" w:rsidR="002C060B" w:rsidRPr="008D3BC2" w:rsidRDefault="002C060B" w:rsidP="00A321BF">
            <w:pPr>
              <w:pStyle w:val="BoxText"/>
              <w:numPr>
                <w:ilvl w:val="1"/>
                <w:numId w:val="14"/>
              </w:numPr>
            </w:pPr>
            <w:r w:rsidRPr="008D3BC2">
              <w:t>the length of a taxpayer’s stay in a single overseas country;</w:t>
            </w:r>
          </w:p>
          <w:p w14:paraId="60928877" w14:textId="77777777" w:rsidR="002C060B" w:rsidRPr="008D3BC2" w:rsidRDefault="002C060B" w:rsidP="00A321BF">
            <w:pPr>
              <w:pStyle w:val="BoxText"/>
              <w:numPr>
                <w:ilvl w:val="1"/>
                <w:numId w:val="14"/>
              </w:numPr>
            </w:pPr>
            <w:r w:rsidRPr="008D3BC2">
              <w:t>the answers on immigration forms upon arriving or departing Australia;</w:t>
            </w:r>
          </w:p>
          <w:p w14:paraId="708A1A37" w14:textId="77777777" w:rsidR="002C060B" w:rsidRPr="008D3BC2" w:rsidRDefault="002C060B" w:rsidP="00A321BF">
            <w:pPr>
              <w:pStyle w:val="BoxText"/>
              <w:numPr>
                <w:ilvl w:val="1"/>
                <w:numId w:val="14"/>
              </w:numPr>
            </w:pPr>
            <w:r w:rsidRPr="008D3BC2">
              <w:t>whether a taxpayer established a home (in the sense of dwelling, house or other shelter that is the fixed residence of a person, a family, or a household), outside Australia;</w:t>
            </w:r>
          </w:p>
          <w:p w14:paraId="7D1C99C7" w14:textId="77777777" w:rsidR="002C060B" w:rsidRPr="008D3BC2" w:rsidRDefault="002C060B" w:rsidP="00A321BF">
            <w:pPr>
              <w:pStyle w:val="BoxText"/>
              <w:numPr>
                <w:ilvl w:val="1"/>
                <w:numId w:val="14"/>
              </w:numPr>
            </w:pPr>
            <w:r w:rsidRPr="008D3BC2">
              <w:t>the duration and continuity of a taxpayer’s presence in the overseas country outside of a single income year;</w:t>
            </w:r>
          </w:p>
          <w:p w14:paraId="4D44536A" w14:textId="77777777" w:rsidR="002C060B" w:rsidRPr="008D3BC2" w:rsidRDefault="002C060B" w:rsidP="00A321BF">
            <w:pPr>
              <w:pStyle w:val="ListParagraph"/>
              <w:numPr>
                <w:ilvl w:val="1"/>
                <w:numId w:val="14"/>
              </w:numPr>
              <w:rPr>
                <w:szCs w:val="20"/>
                <w:lang w:eastAsia="en-AU"/>
              </w:rPr>
            </w:pPr>
            <w:r w:rsidRPr="008D3BC2">
              <w:rPr>
                <w:szCs w:val="20"/>
                <w:lang w:eastAsia="en-AU"/>
              </w:rPr>
              <w:t>whether a taxpayer inform</w:t>
            </w:r>
            <w:r w:rsidR="00EB4228" w:rsidRPr="008D3BC2">
              <w:rPr>
                <w:szCs w:val="20"/>
                <w:lang w:eastAsia="en-AU"/>
              </w:rPr>
              <w:t>s</w:t>
            </w:r>
            <w:r w:rsidRPr="008D3BC2">
              <w:rPr>
                <w:szCs w:val="20"/>
                <w:lang w:eastAsia="en-AU"/>
              </w:rPr>
              <w:t xml:space="preserve"> government departments such as the Department of Social Security of leaving permanently and stopping social security payments (</w:t>
            </w:r>
            <w:proofErr w:type="spellStart"/>
            <w:r w:rsidRPr="008D3BC2">
              <w:rPr>
                <w:szCs w:val="20"/>
                <w:lang w:eastAsia="en-AU"/>
              </w:rPr>
              <w:t>ie</w:t>
            </w:r>
            <w:proofErr w:type="spellEnd"/>
            <w:r w:rsidRPr="008D3BC2">
              <w:rPr>
                <w:szCs w:val="20"/>
                <w:lang w:eastAsia="en-AU"/>
              </w:rPr>
              <w:t>, family allowance payments);</w:t>
            </w:r>
          </w:p>
          <w:p w14:paraId="5140E78B" w14:textId="77777777" w:rsidR="002C060B" w:rsidRPr="008D3BC2" w:rsidRDefault="002C060B" w:rsidP="00A321BF">
            <w:pPr>
              <w:pStyle w:val="BoxText"/>
              <w:numPr>
                <w:ilvl w:val="1"/>
                <w:numId w:val="14"/>
              </w:numPr>
            </w:pPr>
            <w:proofErr w:type="gramStart"/>
            <w:r w:rsidRPr="008D3BC2">
              <w:t>whether</w:t>
            </w:r>
            <w:proofErr w:type="gramEnd"/>
            <w:r w:rsidRPr="008D3BC2">
              <w:t xml:space="preserve"> accommodation in Australia has been effectively abandoned (</w:t>
            </w:r>
            <w:proofErr w:type="spellStart"/>
            <w:r w:rsidRPr="008D3BC2">
              <w:t>ie</w:t>
            </w:r>
            <w:proofErr w:type="spellEnd"/>
            <w:r w:rsidRPr="008D3BC2">
              <w:t>, the extent to which accommodation is actually available).</w:t>
            </w:r>
          </w:p>
          <w:p w14:paraId="41FF97C3" w14:textId="77777777" w:rsidR="000753D2" w:rsidRPr="008D3BC2" w:rsidRDefault="00C60ECB" w:rsidP="00A321BF">
            <w:pPr>
              <w:pStyle w:val="BoxText"/>
              <w:numPr>
                <w:ilvl w:val="0"/>
                <w:numId w:val="14"/>
              </w:numPr>
            </w:pPr>
            <w:r w:rsidRPr="008D3BC2">
              <w:t>What level of ‘economic ties’ should be necessary for the factor to be conclusively determined?</w:t>
            </w:r>
            <w:r w:rsidR="002C060B" w:rsidRPr="008D3BC2">
              <w:t xml:space="preserve"> For example:</w:t>
            </w:r>
          </w:p>
          <w:p w14:paraId="056DECA2" w14:textId="77777777" w:rsidR="002C060B" w:rsidRPr="008D3BC2" w:rsidRDefault="002C060B" w:rsidP="00A321BF">
            <w:pPr>
              <w:pStyle w:val="BoxText"/>
              <w:numPr>
                <w:ilvl w:val="0"/>
                <w:numId w:val="14"/>
              </w:numPr>
            </w:pPr>
            <w:r w:rsidRPr="008D3BC2">
              <w:t xml:space="preserve">maintaining bank accounts in Australia; </w:t>
            </w:r>
          </w:p>
          <w:p w14:paraId="651BBFB1" w14:textId="77777777" w:rsidR="002C060B" w:rsidRPr="008D3BC2" w:rsidRDefault="002C060B" w:rsidP="00A321BF">
            <w:pPr>
              <w:pStyle w:val="BoxText"/>
              <w:numPr>
                <w:ilvl w:val="0"/>
                <w:numId w:val="14"/>
              </w:numPr>
            </w:pPr>
            <w:r w:rsidRPr="008D3BC2">
              <w:t>maintaining an ABN in Australia;</w:t>
            </w:r>
          </w:p>
          <w:p w14:paraId="7495D605" w14:textId="77777777" w:rsidR="002C060B" w:rsidRPr="008D3BC2" w:rsidRDefault="002C060B" w:rsidP="00A321BF">
            <w:pPr>
              <w:pStyle w:val="BoxText"/>
              <w:numPr>
                <w:ilvl w:val="0"/>
                <w:numId w:val="14"/>
              </w:numPr>
            </w:pPr>
            <w:r w:rsidRPr="008D3BC2">
              <w:t>directorship of an Australian company (or other entities such as a self</w:t>
            </w:r>
            <w:r w:rsidRPr="008D3BC2">
              <w:noBreakHyphen/>
              <w:t>managed super fund);</w:t>
            </w:r>
          </w:p>
          <w:p w14:paraId="33406D29" w14:textId="77777777" w:rsidR="002C060B" w:rsidRPr="008D3BC2" w:rsidRDefault="002C060B" w:rsidP="00A321BF">
            <w:pPr>
              <w:pStyle w:val="BoxText"/>
              <w:numPr>
                <w:ilvl w:val="0"/>
                <w:numId w:val="14"/>
              </w:numPr>
            </w:pPr>
            <w:r w:rsidRPr="008D3BC2">
              <w:t>the level of investment in Australia (both passive and active);</w:t>
            </w:r>
          </w:p>
          <w:p w14:paraId="49A89496" w14:textId="77777777" w:rsidR="008A6E4E" w:rsidRPr="008D3BC2" w:rsidRDefault="008A6E4E" w:rsidP="00A321BF">
            <w:pPr>
              <w:pStyle w:val="BoxText"/>
              <w:numPr>
                <w:ilvl w:val="0"/>
                <w:numId w:val="14"/>
              </w:numPr>
            </w:pPr>
            <w:proofErr w:type="gramStart"/>
            <w:r w:rsidRPr="008D3BC2">
              <w:t>compliance</w:t>
            </w:r>
            <w:proofErr w:type="gramEnd"/>
            <w:r w:rsidRPr="008D3BC2">
              <w:t xml:space="preserve"> with any other residency requirements for the purposes of making or maintaining investments (</w:t>
            </w:r>
            <w:proofErr w:type="spellStart"/>
            <w:r w:rsidRPr="008D3BC2">
              <w:t>ie</w:t>
            </w:r>
            <w:proofErr w:type="spellEnd"/>
            <w:r w:rsidRPr="008D3BC2">
              <w:t>, whether a foreign investment application is required by the taxpayers).</w:t>
            </w:r>
          </w:p>
          <w:p w14:paraId="130B1C1A" w14:textId="21A0830B" w:rsidR="003E461F" w:rsidRPr="008D3BC2" w:rsidRDefault="003E461F" w:rsidP="00A321BF">
            <w:pPr>
              <w:pStyle w:val="BoxText"/>
              <w:numPr>
                <w:ilvl w:val="0"/>
                <w:numId w:val="14"/>
              </w:numPr>
            </w:pPr>
            <w:r w:rsidRPr="008D3BC2">
              <w:t>What level of connection to accommodation should be required to satisfy the Australian accommodation factor?</w:t>
            </w:r>
          </w:p>
          <w:p w14:paraId="3E24B780" w14:textId="539A2EF3" w:rsidR="003E461F" w:rsidRPr="008D3BC2" w:rsidRDefault="003E461F" w:rsidP="00A321BF">
            <w:pPr>
              <w:pStyle w:val="BoxText"/>
              <w:numPr>
                <w:ilvl w:val="0"/>
                <w:numId w:val="14"/>
              </w:numPr>
            </w:pPr>
            <w:r w:rsidRPr="008D3BC2">
              <w:t>To what extent should a person’s personal and social ties be located in Australia to satisfy the Family factor?</w:t>
            </w:r>
          </w:p>
          <w:p w14:paraId="63591E66" w14:textId="420F6CB4" w:rsidR="00E67F94" w:rsidRPr="008D3BC2" w:rsidRDefault="00E67F94" w:rsidP="00A321BF">
            <w:pPr>
              <w:pStyle w:val="BoxText"/>
              <w:numPr>
                <w:ilvl w:val="0"/>
                <w:numId w:val="14"/>
              </w:numPr>
            </w:pPr>
            <w:r w:rsidRPr="008D3BC2">
              <w:t>At what level should the resident and non</w:t>
            </w:r>
            <w:r w:rsidRPr="008D3BC2">
              <w:noBreakHyphen/>
              <w:t>resident ‘time spent’ factor be set (</w:t>
            </w:r>
            <w:proofErr w:type="spellStart"/>
            <w:r w:rsidRPr="008D3BC2">
              <w:t>ie</w:t>
            </w:r>
            <w:proofErr w:type="spellEnd"/>
            <w:r w:rsidRPr="008D3BC2">
              <w:t xml:space="preserve">, </w:t>
            </w:r>
            <w:r w:rsidR="00090265" w:rsidRPr="008D3BC2">
              <w:t xml:space="preserve">how </w:t>
            </w:r>
            <w:r w:rsidRPr="008D3BC2">
              <w:t xml:space="preserve">should they </w:t>
            </w:r>
            <w:r w:rsidR="00090265" w:rsidRPr="008D3BC2">
              <w:t xml:space="preserve">interact </w:t>
            </w:r>
            <w:r w:rsidRPr="008D3BC2">
              <w:t>with the primary bright-line test</w:t>
            </w:r>
            <w:r w:rsidR="00D1328F" w:rsidRPr="008D3BC2">
              <w:t xml:space="preserve"> for outbound individuals</w:t>
            </w:r>
            <w:r w:rsidRPr="008D3BC2">
              <w:t>)?</w:t>
            </w:r>
            <w:r w:rsidR="002217E0" w:rsidRPr="008D3BC2">
              <w:t xml:space="preserve"> Should they be spread over a medium term (</w:t>
            </w:r>
            <w:proofErr w:type="spellStart"/>
            <w:r w:rsidR="002217E0" w:rsidRPr="008D3BC2">
              <w:t>ie</w:t>
            </w:r>
            <w:proofErr w:type="spellEnd"/>
            <w:r w:rsidR="002217E0" w:rsidRPr="008D3BC2">
              <w:t>, 2 to 3 years)?</w:t>
            </w:r>
          </w:p>
          <w:p w14:paraId="6CF01C13" w14:textId="77777777" w:rsidR="008A6E4E" w:rsidRPr="008D3BC2" w:rsidRDefault="008A6E4E" w:rsidP="00A321BF">
            <w:pPr>
              <w:pStyle w:val="BoxText"/>
              <w:numPr>
                <w:ilvl w:val="0"/>
                <w:numId w:val="14"/>
              </w:numPr>
            </w:pPr>
            <w:r w:rsidRPr="008D3BC2">
              <w:t>What should be necessary to satisfy any of the other factors?</w:t>
            </w:r>
          </w:p>
        </w:tc>
      </w:tr>
    </w:tbl>
    <w:p w14:paraId="77217DAE" w14:textId="77777777" w:rsidR="00DB4C38" w:rsidRPr="008D3BC2" w:rsidRDefault="00DB4C38" w:rsidP="00106ACE">
      <w:pPr>
        <w:spacing w:after="240"/>
        <w:rPr>
          <w:b/>
          <w:color w:val="002060"/>
          <w:sz w:val="28"/>
        </w:rPr>
      </w:pPr>
    </w:p>
    <w:p w14:paraId="51B291FF" w14:textId="77777777" w:rsidR="003C27DD" w:rsidRPr="008D3BC2" w:rsidRDefault="003C27DD">
      <w:pPr>
        <w:spacing w:before="0" w:after="160" w:line="259" w:lineRule="auto"/>
        <w:rPr>
          <w:b/>
          <w:color w:val="002060"/>
          <w:sz w:val="28"/>
        </w:rPr>
      </w:pPr>
      <w:r w:rsidRPr="008D3BC2">
        <w:rPr>
          <w:b/>
          <w:color w:val="002060"/>
          <w:sz w:val="28"/>
        </w:rPr>
        <w:br w:type="page"/>
      </w:r>
    </w:p>
    <w:p w14:paraId="5ADF83FB" w14:textId="77777777" w:rsidR="00106ACE" w:rsidRPr="008D3BC2" w:rsidRDefault="00106ACE" w:rsidP="00106ACE">
      <w:pPr>
        <w:spacing w:after="240"/>
        <w:rPr>
          <w:b/>
          <w:color w:val="002060"/>
          <w:sz w:val="28"/>
        </w:rPr>
      </w:pPr>
      <w:r w:rsidRPr="008D3BC2">
        <w:rPr>
          <w:b/>
          <w:color w:val="002060"/>
          <w:sz w:val="28"/>
        </w:rPr>
        <w:t>Weighting for inbound and outbound individuals</w:t>
      </w:r>
    </w:p>
    <w:p w14:paraId="4BD7131E" w14:textId="77777777" w:rsidR="00106ACE" w:rsidRPr="008D3BC2" w:rsidRDefault="00106ACE" w:rsidP="00106ACE">
      <w:pPr>
        <w:pStyle w:val="Bullet"/>
        <w:numPr>
          <w:ilvl w:val="0"/>
          <w:numId w:val="0"/>
        </w:numPr>
        <w:tabs>
          <w:tab w:val="left" w:pos="2173"/>
        </w:tabs>
        <w:rPr>
          <w:sz w:val="24"/>
        </w:rPr>
      </w:pPr>
      <w:r w:rsidRPr="008D3BC2">
        <w:rPr>
          <w:sz w:val="24"/>
        </w:rPr>
        <w:t>In order to conclude whether an individual is a resident or non</w:t>
      </w:r>
      <w:r w:rsidRPr="008D3BC2">
        <w:rPr>
          <w:sz w:val="24"/>
        </w:rPr>
        <w:noBreakHyphen/>
        <w:t>resident, there will be a mechanism designed that reflects the individual’s level of connection to Australia. In the Board’s report, the following mechanisms were proposed:</w:t>
      </w:r>
    </w:p>
    <w:p w14:paraId="1505450F" w14:textId="77777777" w:rsidR="00106ACE" w:rsidRPr="008D3BC2" w:rsidRDefault="00106ACE" w:rsidP="004C1D28">
      <w:pPr>
        <w:pStyle w:val="ListParagraph"/>
        <w:numPr>
          <w:ilvl w:val="0"/>
          <w:numId w:val="20"/>
        </w:numPr>
        <w:rPr>
          <w:sz w:val="24"/>
        </w:rPr>
      </w:pPr>
      <w:r w:rsidRPr="008D3BC2">
        <w:rPr>
          <w:sz w:val="24"/>
        </w:rPr>
        <w:t xml:space="preserve">an individual could require a certain number of points to be regarded as either a resident or a non-resident; or </w:t>
      </w:r>
    </w:p>
    <w:p w14:paraId="06371E27" w14:textId="77777777" w:rsidR="00C60ECB" w:rsidRPr="008D3BC2" w:rsidRDefault="00C60ECB" w:rsidP="00C60ECB">
      <w:pPr>
        <w:pStyle w:val="ListParagraph"/>
        <w:rPr>
          <w:sz w:val="24"/>
        </w:rPr>
      </w:pPr>
    </w:p>
    <w:p w14:paraId="0B8C7F82" w14:textId="77777777" w:rsidR="00106ACE" w:rsidRPr="008D3BC2" w:rsidRDefault="00106ACE" w:rsidP="004C1D28">
      <w:pPr>
        <w:pStyle w:val="Bullet"/>
        <w:numPr>
          <w:ilvl w:val="0"/>
          <w:numId w:val="20"/>
        </w:numPr>
        <w:rPr>
          <w:sz w:val="24"/>
        </w:rPr>
      </w:pPr>
      <w:r w:rsidRPr="008D3BC2">
        <w:rPr>
          <w:sz w:val="24"/>
        </w:rPr>
        <w:t>in a similar manner to the UK’s statutory residency test, an individual could require a number of ‘ties’, being a set number of significant factors that lead to a conclusion of either resident or non-resident</w:t>
      </w:r>
      <w:r w:rsidR="00C60ECB" w:rsidRPr="008D3BC2">
        <w:rPr>
          <w:sz w:val="24"/>
        </w:rPr>
        <w:t>.</w:t>
      </w:r>
    </w:p>
    <w:p w14:paraId="280460B1" w14:textId="77777777" w:rsidR="00A458D1" w:rsidRPr="008D3BC2" w:rsidRDefault="00A458D1" w:rsidP="00A458D1">
      <w:pPr>
        <w:rPr>
          <w:sz w:val="24"/>
        </w:rPr>
      </w:pPr>
      <w:r w:rsidRPr="008D3BC2">
        <w:rPr>
          <w:sz w:val="24"/>
        </w:rPr>
        <w:t>Consultees suggested that weighting increases transparency and simplification and ensure individuals can consistently apply their facts and circumstances without the need for specialist advice.</w:t>
      </w:r>
    </w:p>
    <w:p w14:paraId="4AFE1E32" w14:textId="77777777" w:rsidR="00106ACE" w:rsidRPr="008D3BC2" w:rsidRDefault="00106ACE" w:rsidP="00106ACE">
      <w:pPr>
        <w:pStyle w:val="Bullet"/>
        <w:numPr>
          <w:ilvl w:val="0"/>
          <w:numId w:val="0"/>
        </w:numPr>
        <w:tabs>
          <w:tab w:val="left" w:pos="2173"/>
        </w:tabs>
        <w:rPr>
          <w:sz w:val="24"/>
        </w:rPr>
      </w:pPr>
      <w:r w:rsidRPr="008D3BC2">
        <w:rPr>
          <w:sz w:val="24"/>
        </w:rPr>
        <w:t xml:space="preserve">However, the Board’s report emphasised the risk of </w:t>
      </w:r>
      <w:r w:rsidR="00C165E6" w:rsidRPr="008D3BC2">
        <w:rPr>
          <w:sz w:val="24"/>
        </w:rPr>
        <w:t>an increasingly complex mechanism</w:t>
      </w:r>
      <w:r w:rsidRPr="008D3BC2">
        <w:rPr>
          <w:sz w:val="24"/>
        </w:rPr>
        <w:t xml:space="preserve">. It noted that the UK’s statutory residence test was not preferred as </w:t>
      </w:r>
      <w:r w:rsidR="00C165E6" w:rsidRPr="008D3BC2">
        <w:rPr>
          <w:sz w:val="24"/>
        </w:rPr>
        <w:t xml:space="preserve">given its </w:t>
      </w:r>
      <w:r w:rsidRPr="008D3BC2">
        <w:rPr>
          <w:sz w:val="24"/>
        </w:rPr>
        <w:t xml:space="preserve">complexity. </w:t>
      </w:r>
    </w:p>
    <w:p w14:paraId="11D95156" w14:textId="77777777" w:rsidR="00106ACE" w:rsidRPr="008D3BC2" w:rsidRDefault="00106ACE" w:rsidP="00106ACE">
      <w:pPr>
        <w:pStyle w:val="Bullet"/>
        <w:numPr>
          <w:ilvl w:val="0"/>
          <w:numId w:val="0"/>
        </w:numPr>
        <w:tabs>
          <w:tab w:val="left" w:pos="2173"/>
        </w:tabs>
        <w:rPr>
          <w:sz w:val="24"/>
        </w:rPr>
      </w:pPr>
      <w:r w:rsidRPr="008D3BC2">
        <w:rPr>
          <w:sz w:val="24"/>
        </w:rPr>
        <w:t>In light of this, the Board seeks views on conceptualising the relevance of factors to inbound and outbound individuals.</w:t>
      </w:r>
    </w:p>
    <w:p w14:paraId="59121CAB" w14:textId="77777777" w:rsidR="00106ACE" w:rsidRPr="008D3BC2" w:rsidRDefault="00106ACE" w:rsidP="00106ACE">
      <w:pPr>
        <w:pStyle w:val="Bullet"/>
        <w:numPr>
          <w:ilvl w:val="0"/>
          <w:numId w:val="0"/>
        </w:numPr>
        <w:tabs>
          <w:tab w:val="left" w:pos="2173"/>
        </w:tabs>
        <w:rPr>
          <w:sz w:val="24"/>
        </w:rPr>
      </w:pPr>
      <w:r w:rsidRPr="008D3BC2">
        <w:rPr>
          <w:sz w:val="24"/>
        </w:rPr>
        <w:t>The Board’s preliminary view is as follows:</w:t>
      </w:r>
    </w:p>
    <w:p w14:paraId="26E2B074" w14:textId="77777777" w:rsidR="00164526" w:rsidRPr="008D3BC2" w:rsidRDefault="00164526" w:rsidP="00164526">
      <w:pPr>
        <w:pStyle w:val="Bullet"/>
        <w:numPr>
          <w:ilvl w:val="0"/>
          <w:numId w:val="21"/>
        </w:numPr>
        <w:tabs>
          <w:tab w:val="left" w:pos="2173"/>
        </w:tabs>
        <w:rPr>
          <w:sz w:val="24"/>
        </w:rPr>
      </w:pPr>
      <w:r w:rsidRPr="008D3BC2">
        <w:rPr>
          <w:sz w:val="24"/>
        </w:rPr>
        <w:t>if a taxpayer was a resident in the preceding income year, a set number of X or more factors must be satisfied to establish residency;</w:t>
      </w:r>
    </w:p>
    <w:p w14:paraId="61980DEF" w14:textId="70C1DD0B" w:rsidR="00106ACE" w:rsidRPr="008D3BC2" w:rsidRDefault="00164526" w:rsidP="00164526">
      <w:pPr>
        <w:pStyle w:val="Bullet"/>
        <w:numPr>
          <w:ilvl w:val="0"/>
          <w:numId w:val="21"/>
        </w:numPr>
        <w:tabs>
          <w:tab w:val="left" w:pos="2173"/>
        </w:tabs>
        <w:rPr>
          <w:sz w:val="24"/>
        </w:rPr>
      </w:pPr>
      <w:r w:rsidRPr="008D3BC2" w:rsidDel="00164526">
        <w:rPr>
          <w:b/>
          <w:sz w:val="24"/>
        </w:rPr>
        <w:t xml:space="preserve"> </w:t>
      </w:r>
      <w:proofErr w:type="gramStart"/>
      <w:r w:rsidR="008A6E4E" w:rsidRPr="008D3BC2">
        <w:rPr>
          <w:sz w:val="24"/>
        </w:rPr>
        <w:t>if</w:t>
      </w:r>
      <w:proofErr w:type="gramEnd"/>
      <w:r w:rsidR="008A6E4E" w:rsidRPr="008D3BC2">
        <w:rPr>
          <w:sz w:val="24"/>
        </w:rPr>
        <w:t xml:space="preserve"> a taxpayer was not a resident in the preceding income year, </w:t>
      </w:r>
      <w:r w:rsidR="00687A72" w:rsidRPr="008D3BC2">
        <w:rPr>
          <w:sz w:val="24"/>
        </w:rPr>
        <w:t xml:space="preserve">a </w:t>
      </w:r>
      <w:r w:rsidRPr="008D3BC2">
        <w:rPr>
          <w:sz w:val="24"/>
        </w:rPr>
        <w:t xml:space="preserve">higher </w:t>
      </w:r>
      <w:r w:rsidR="00687A72" w:rsidRPr="008D3BC2">
        <w:rPr>
          <w:sz w:val="24"/>
        </w:rPr>
        <w:t xml:space="preserve">set number of </w:t>
      </w:r>
      <w:r w:rsidRPr="008D3BC2">
        <w:rPr>
          <w:sz w:val="24"/>
        </w:rPr>
        <w:t>Y</w:t>
      </w:r>
      <w:r w:rsidR="007D4494" w:rsidRPr="008D3BC2">
        <w:rPr>
          <w:sz w:val="24"/>
        </w:rPr>
        <w:t xml:space="preserve"> </w:t>
      </w:r>
      <w:r w:rsidRPr="008D3BC2">
        <w:rPr>
          <w:sz w:val="24"/>
        </w:rPr>
        <w:t xml:space="preserve">or more </w:t>
      </w:r>
      <w:r w:rsidR="008A6E4E" w:rsidRPr="008D3BC2">
        <w:rPr>
          <w:sz w:val="24"/>
        </w:rPr>
        <w:t xml:space="preserve">factors </w:t>
      </w:r>
      <w:r w:rsidRPr="008D3BC2">
        <w:rPr>
          <w:sz w:val="24"/>
        </w:rPr>
        <w:t xml:space="preserve">must be satisfied </w:t>
      </w:r>
      <w:r w:rsidR="008A6E4E" w:rsidRPr="008D3BC2">
        <w:rPr>
          <w:sz w:val="24"/>
        </w:rPr>
        <w:t>to establish residency</w:t>
      </w:r>
      <w:r w:rsidRPr="008D3BC2">
        <w:rPr>
          <w:sz w:val="24"/>
        </w:rPr>
        <w:t>.</w:t>
      </w:r>
    </w:p>
    <w:p w14:paraId="49C085CB" w14:textId="77777777" w:rsidR="00A458D1" w:rsidRPr="008D3BC2" w:rsidRDefault="00A458D1" w:rsidP="00A458D1">
      <w:pPr>
        <w:pStyle w:val="Bullet"/>
        <w:numPr>
          <w:ilvl w:val="0"/>
          <w:numId w:val="0"/>
        </w:numPr>
        <w:tabs>
          <w:tab w:val="left" w:pos="2173"/>
        </w:tabs>
        <w:rPr>
          <w:sz w:val="24"/>
        </w:rPr>
      </w:pPr>
      <w:r w:rsidRPr="008D3BC2">
        <w:rPr>
          <w:sz w:val="24"/>
        </w:rPr>
        <w:t xml:space="preserve">While this approach does not include a ‘points’ style test, the two approaches are broadly analogous. </w:t>
      </w:r>
    </w:p>
    <w:p w14:paraId="79D98E31" w14:textId="77777777" w:rsidR="00106ACE" w:rsidRPr="008D3BC2" w:rsidRDefault="00A458D1" w:rsidP="00A458D1">
      <w:pPr>
        <w:pStyle w:val="Bullet"/>
        <w:numPr>
          <w:ilvl w:val="0"/>
          <w:numId w:val="0"/>
        </w:numPr>
        <w:rPr>
          <w:sz w:val="24"/>
        </w:rPr>
      </w:pPr>
      <w:r w:rsidRPr="008D3BC2">
        <w:rPr>
          <w:sz w:val="24"/>
        </w:rPr>
        <w:t>The Board observes that this approach adds complexity to the bright</w:t>
      </w:r>
      <w:r w:rsidRPr="008D3BC2">
        <w:rPr>
          <w:sz w:val="24"/>
        </w:rPr>
        <w:noBreakHyphen/>
        <w:t xml:space="preserve">line test, but also acknowledges that, if not appropriately balanced, </w:t>
      </w:r>
      <w:r w:rsidR="00C165E6" w:rsidRPr="008D3BC2">
        <w:rPr>
          <w:sz w:val="24"/>
        </w:rPr>
        <w:t xml:space="preserve">the new tests </w:t>
      </w:r>
      <w:r w:rsidRPr="008D3BC2">
        <w:rPr>
          <w:sz w:val="24"/>
        </w:rPr>
        <w:t xml:space="preserve">may </w:t>
      </w:r>
      <w:r w:rsidR="00C165E6" w:rsidRPr="008D3BC2">
        <w:rPr>
          <w:sz w:val="24"/>
        </w:rPr>
        <w:t xml:space="preserve">be open </w:t>
      </w:r>
      <w:r w:rsidRPr="008D3BC2">
        <w:rPr>
          <w:sz w:val="24"/>
        </w:rPr>
        <w:t xml:space="preserve">to manipulation and arbitrary outcomes. </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E17851" w:rsidRPr="008D3BC2" w14:paraId="47468B98" w14:textId="77777777" w:rsidTr="00E56143">
        <w:tc>
          <w:tcPr>
            <w:tcW w:w="5000" w:type="pct"/>
            <w:shd w:val="clear" w:color="auto" w:fill="EBEBEB"/>
          </w:tcPr>
          <w:p w14:paraId="2A30D8A6" w14:textId="77777777" w:rsidR="00E17851" w:rsidRPr="008D3BC2" w:rsidRDefault="00E17851" w:rsidP="00E56143">
            <w:pPr>
              <w:pStyle w:val="BoxHeading"/>
            </w:pPr>
            <w:r w:rsidRPr="008D3BC2">
              <w:t>Questions</w:t>
            </w:r>
          </w:p>
          <w:p w14:paraId="2EF432E5" w14:textId="77777777" w:rsidR="008B6788" w:rsidRPr="008D3BC2" w:rsidRDefault="008B6788" w:rsidP="004C1D28">
            <w:pPr>
              <w:pStyle w:val="BoxText"/>
              <w:numPr>
                <w:ilvl w:val="0"/>
                <w:numId w:val="14"/>
              </w:numPr>
            </w:pPr>
            <w:r w:rsidRPr="008D3BC2">
              <w:rPr>
                <w:szCs w:val="22"/>
              </w:rPr>
              <w:t>Are the outcomes fair and equitable? If no, please elaborate.</w:t>
            </w:r>
          </w:p>
          <w:p w14:paraId="695145D1" w14:textId="77777777" w:rsidR="008B6788" w:rsidRPr="008D3BC2" w:rsidRDefault="008B6788" w:rsidP="004C1D28">
            <w:pPr>
              <w:pStyle w:val="BoxText"/>
              <w:numPr>
                <w:ilvl w:val="0"/>
                <w:numId w:val="14"/>
              </w:numPr>
            </w:pPr>
            <w:r w:rsidRPr="008D3BC2">
              <w:t>An individual working overseas may automatically be a non</w:t>
            </w:r>
            <w:r w:rsidRPr="008D3BC2">
              <w:noBreakHyphen/>
              <w:t>resident, but under the secondary test would likely have otherwise been a resident. Does this interaction provide appropriate results?</w:t>
            </w:r>
          </w:p>
          <w:p w14:paraId="6DF05FD4" w14:textId="77777777" w:rsidR="00E17851" w:rsidRPr="008D3BC2" w:rsidRDefault="00A458D1" w:rsidP="004C1D28">
            <w:pPr>
              <w:pStyle w:val="BoxText"/>
              <w:numPr>
                <w:ilvl w:val="0"/>
                <w:numId w:val="14"/>
              </w:numPr>
            </w:pPr>
            <w:r w:rsidRPr="008D3BC2">
              <w:t xml:space="preserve">In the UK a stepped </w:t>
            </w:r>
            <w:proofErr w:type="gramStart"/>
            <w:r w:rsidRPr="008D3BC2">
              <w:t>approach</w:t>
            </w:r>
            <w:proofErr w:type="gramEnd"/>
            <w:r w:rsidRPr="008D3BC2">
              <w:t xml:space="preserve"> to ‘ties’ is adopted – the Board considers this adds additional complexity. Does the Board’s approach balance simplicity with integrity in the absence of this tiered approach?</w:t>
            </w:r>
          </w:p>
          <w:p w14:paraId="3999405A" w14:textId="77777777" w:rsidR="00A458D1" w:rsidRPr="008D3BC2" w:rsidRDefault="00A458D1" w:rsidP="004C1D28">
            <w:pPr>
              <w:pStyle w:val="BoxText"/>
              <w:numPr>
                <w:ilvl w:val="0"/>
                <w:numId w:val="14"/>
              </w:numPr>
            </w:pPr>
            <w:r w:rsidRPr="008D3BC2">
              <w:t>Would a ‘points’ style approach be more easily accessible and understood? Does the different approach make a material difference?</w:t>
            </w:r>
          </w:p>
        </w:tc>
      </w:tr>
    </w:tbl>
    <w:p w14:paraId="78662A52" w14:textId="77777777" w:rsidR="00D647CA" w:rsidRPr="008D3BC2" w:rsidRDefault="00D647CA" w:rsidP="00D647CA">
      <w:pPr>
        <w:spacing w:after="240"/>
        <w:rPr>
          <w:b/>
          <w:color w:val="002060"/>
          <w:sz w:val="28"/>
        </w:rPr>
      </w:pPr>
      <w:r w:rsidRPr="008D3BC2">
        <w:rPr>
          <w:b/>
          <w:color w:val="002060"/>
          <w:sz w:val="28"/>
        </w:rPr>
        <w:t>Tax treaties</w:t>
      </w:r>
    </w:p>
    <w:p w14:paraId="02727F68" w14:textId="77777777" w:rsidR="00D647CA" w:rsidRPr="008D3BC2" w:rsidRDefault="00D647CA" w:rsidP="00D647CA">
      <w:pPr>
        <w:pStyle w:val="ListParagraph"/>
        <w:ind w:left="0"/>
        <w:rPr>
          <w:sz w:val="24"/>
          <w:szCs w:val="24"/>
        </w:rPr>
      </w:pPr>
      <w:r w:rsidRPr="008D3BC2">
        <w:rPr>
          <w:sz w:val="24"/>
          <w:szCs w:val="24"/>
        </w:rPr>
        <w:t xml:space="preserve">There may be an opportunity to align domestic tax residency with residency under Australia’s double tax treaties. As these concepts are currently not aligned, where an individual is a resident under Australia’s domestic tax laws, but not a resident under a relevant double tax treaty, then the individual is taxed in Australia only on income to which Australia has taxing rights (generally Australian sourced income) but the individual has access to residence-based concessions (such as the tax free threshold and the CGT discount). This inconsistency creates arbitrage and adversely impacts the equity </w:t>
      </w:r>
      <w:r w:rsidR="006D5801" w:rsidRPr="008D3BC2">
        <w:rPr>
          <w:sz w:val="24"/>
          <w:szCs w:val="24"/>
        </w:rPr>
        <w:t>of the income tax system.</w:t>
      </w:r>
    </w:p>
    <w:p w14:paraId="7D8E76BE" w14:textId="77777777" w:rsidR="00D647CA" w:rsidRPr="008D3BC2" w:rsidRDefault="00D647CA" w:rsidP="00D647CA">
      <w:pPr>
        <w:rPr>
          <w:sz w:val="24"/>
          <w:szCs w:val="24"/>
        </w:rPr>
      </w:pPr>
      <w:r w:rsidRPr="008D3BC2">
        <w:rPr>
          <w:sz w:val="24"/>
          <w:szCs w:val="24"/>
        </w:rPr>
        <w:t>In Canada, a similar concept is inserted within the bright</w:t>
      </w:r>
      <w:r w:rsidRPr="008D3BC2">
        <w:rPr>
          <w:sz w:val="24"/>
          <w:szCs w:val="24"/>
        </w:rPr>
        <w:noBreakHyphen/>
        <w:t xml:space="preserve">line test. Broadly, an individual in Canada for 183 days </w:t>
      </w:r>
      <w:r w:rsidR="00AB6653" w:rsidRPr="008D3BC2">
        <w:rPr>
          <w:sz w:val="24"/>
          <w:szCs w:val="24"/>
        </w:rPr>
        <w:t xml:space="preserve">(or more) </w:t>
      </w:r>
      <w:r w:rsidRPr="008D3BC2">
        <w:rPr>
          <w:sz w:val="24"/>
          <w:szCs w:val="24"/>
        </w:rPr>
        <w:t>will not be deemed a Canadian resident if they are also a resident of another country under a Canadian tax treaty – their residency status must be determined through a fact-based test. Further, if the ‘tie-breaker’ clause of the tax treaty considers the individual a resident of the other country, then the individual is deemed a non</w:t>
      </w:r>
      <w:r w:rsidRPr="008D3BC2">
        <w:rPr>
          <w:sz w:val="24"/>
          <w:szCs w:val="24"/>
        </w:rPr>
        <w:noBreakHyphen/>
        <w:t>resident.</w:t>
      </w:r>
    </w:p>
    <w:p w14:paraId="5D6E5F8B" w14:textId="77777777" w:rsidR="00D231DC" w:rsidRPr="008D3BC2" w:rsidRDefault="00D647CA" w:rsidP="00D647CA">
      <w:pPr>
        <w:rPr>
          <w:sz w:val="24"/>
          <w:szCs w:val="24"/>
        </w:rPr>
      </w:pPr>
      <w:r w:rsidRPr="008D3BC2">
        <w:rPr>
          <w:sz w:val="24"/>
          <w:szCs w:val="24"/>
        </w:rPr>
        <w:t>The Board seeks views on whether a similar approach may be adopted in Australia.</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78116E" w:rsidRPr="008D3BC2" w14:paraId="388998C9" w14:textId="77777777" w:rsidTr="00085BA0">
        <w:tc>
          <w:tcPr>
            <w:tcW w:w="5000" w:type="pct"/>
            <w:shd w:val="clear" w:color="auto" w:fill="EBEBEB"/>
          </w:tcPr>
          <w:p w14:paraId="6E544650" w14:textId="77777777" w:rsidR="0078116E" w:rsidRPr="008D3BC2" w:rsidRDefault="0078116E" w:rsidP="00085BA0">
            <w:pPr>
              <w:pStyle w:val="BoxHeading"/>
            </w:pPr>
            <w:r w:rsidRPr="008D3BC2">
              <w:t>Questions</w:t>
            </w:r>
          </w:p>
          <w:p w14:paraId="321A5DB4" w14:textId="77777777" w:rsidR="0078116E" w:rsidRPr="008D3BC2" w:rsidRDefault="0078116E" w:rsidP="00614B57">
            <w:pPr>
              <w:pStyle w:val="BoxText"/>
              <w:numPr>
                <w:ilvl w:val="0"/>
                <w:numId w:val="14"/>
              </w:numPr>
            </w:pPr>
            <w:r w:rsidRPr="008D3BC2">
              <w:rPr>
                <w:szCs w:val="22"/>
              </w:rPr>
              <w:t xml:space="preserve">Should the new residency rules include a provision to align domestic and treaty residency </w:t>
            </w:r>
            <w:r w:rsidR="00614B57" w:rsidRPr="008D3BC2">
              <w:rPr>
                <w:szCs w:val="22"/>
              </w:rPr>
              <w:t>for dual residents, eliminating</w:t>
            </w:r>
            <w:r w:rsidRPr="008D3BC2">
              <w:rPr>
                <w:szCs w:val="22"/>
              </w:rPr>
              <w:t xml:space="preserve"> potentially inconsistent outcomes?</w:t>
            </w:r>
            <w:r w:rsidR="00614B57" w:rsidRPr="008D3BC2">
              <w:rPr>
                <w:szCs w:val="22"/>
              </w:rPr>
              <w:t xml:space="preserve"> </w:t>
            </w:r>
          </w:p>
        </w:tc>
      </w:tr>
    </w:tbl>
    <w:p w14:paraId="11B71B0F" w14:textId="77777777" w:rsidR="00A86620" w:rsidRPr="008D3BC2" w:rsidRDefault="00A86620">
      <w:pPr>
        <w:spacing w:before="0" w:after="160" w:line="259" w:lineRule="auto"/>
        <w:rPr>
          <w:rFonts w:cs="Arial"/>
          <w:color w:val="C00000"/>
          <w:kern w:val="32"/>
          <w:sz w:val="48"/>
          <w:szCs w:val="36"/>
        </w:rPr>
      </w:pPr>
      <w:r w:rsidRPr="008D3BC2">
        <w:br w:type="page"/>
      </w:r>
    </w:p>
    <w:p w14:paraId="3895BF3A" w14:textId="77777777" w:rsidR="00A86620" w:rsidRPr="008D3BC2" w:rsidRDefault="00A86620" w:rsidP="00A86620">
      <w:pPr>
        <w:pStyle w:val="Heading1"/>
      </w:pPr>
      <w:bookmarkStart w:id="13" w:name="_Toc525312275"/>
      <w:r w:rsidRPr="008D3BC2">
        <w:t>Further design features</w:t>
      </w:r>
      <w:bookmarkEnd w:id="13"/>
    </w:p>
    <w:p w14:paraId="63D5F76C" w14:textId="77777777" w:rsidR="00A86620" w:rsidRPr="008D3BC2" w:rsidRDefault="00DB4C38" w:rsidP="00A86620">
      <w:pPr>
        <w:pStyle w:val="Introductionparagraph"/>
        <w:spacing w:after="480"/>
      </w:pPr>
      <w:r w:rsidRPr="008D3BC2">
        <w:t>A number of further design features are also required to ensure integrity and that appropriate outcomes can be achieved</w:t>
      </w:r>
      <w:r w:rsidR="00A86620" w:rsidRPr="008D3BC2">
        <w:t>.</w:t>
      </w:r>
      <w:r w:rsidRPr="008D3BC2">
        <w:t xml:space="preserve"> While some of these issues were identified in the Board’s report, consultation is sought on a number of key design matters.</w:t>
      </w:r>
    </w:p>
    <w:p w14:paraId="2281E4E5" w14:textId="77777777" w:rsidR="00CF1A8F" w:rsidRPr="008D3BC2" w:rsidRDefault="00CF1A8F" w:rsidP="002C251F">
      <w:pPr>
        <w:pStyle w:val="ListParagraph"/>
        <w:numPr>
          <w:ilvl w:val="0"/>
          <w:numId w:val="11"/>
        </w:numPr>
        <w:spacing w:after="240"/>
        <w:ind w:left="426" w:hanging="284"/>
        <w:rPr>
          <w:b/>
          <w:color w:val="002060"/>
          <w:sz w:val="36"/>
        </w:rPr>
      </w:pPr>
      <w:r w:rsidRPr="008D3BC2">
        <w:rPr>
          <w:b/>
          <w:color w:val="002060"/>
          <w:sz w:val="36"/>
        </w:rPr>
        <w:t>Integrity: resident of nowhere</w:t>
      </w:r>
    </w:p>
    <w:p w14:paraId="6C36E5ED" w14:textId="77777777" w:rsidR="00AB6D7C" w:rsidRPr="008D3BC2" w:rsidRDefault="00AB6D7C" w:rsidP="00AB6D7C">
      <w:pPr>
        <w:pStyle w:val="ListParagraph"/>
        <w:ind w:left="0"/>
        <w:rPr>
          <w:sz w:val="24"/>
          <w:szCs w:val="24"/>
        </w:rPr>
      </w:pPr>
      <w:r w:rsidRPr="008D3BC2">
        <w:rPr>
          <w:sz w:val="24"/>
          <w:szCs w:val="24"/>
        </w:rPr>
        <w:t>An anti</w:t>
      </w:r>
      <w:r w:rsidRPr="008D3BC2">
        <w:rPr>
          <w:sz w:val="24"/>
          <w:szCs w:val="24"/>
        </w:rPr>
        <w:noBreakHyphen/>
        <w:t xml:space="preserve">avoidance rule will be designed to address residency manipulation and equity concerns of individuals being a ‘resident of nowhere’. </w:t>
      </w:r>
    </w:p>
    <w:p w14:paraId="111FB2E8" w14:textId="77777777" w:rsidR="008A70D6" w:rsidRPr="008D3BC2" w:rsidRDefault="008A70D6" w:rsidP="00AB6D7C">
      <w:pPr>
        <w:rPr>
          <w:sz w:val="24"/>
        </w:rPr>
      </w:pPr>
      <w:r w:rsidRPr="008D3BC2">
        <w:rPr>
          <w:sz w:val="24"/>
        </w:rPr>
        <w:t xml:space="preserve">Ceasing Australian residency means that an individual is no longer subject to tax on their worldwide income. This is generally appropriate under the residence and source based international tax system. </w:t>
      </w:r>
    </w:p>
    <w:p w14:paraId="081F20DD" w14:textId="77777777" w:rsidR="00BD07AB" w:rsidRPr="008D3BC2" w:rsidRDefault="008A70D6" w:rsidP="008A70D6">
      <w:pPr>
        <w:rPr>
          <w:sz w:val="24"/>
          <w:szCs w:val="24"/>
        </w:rPr>
      </w:pPr>
      <w:r w:rsidRPr="008D3BC2">
        <w:rPr>
          <w:sz w:val="24"/>
        </w:rPr>
        <w:t>However, for high</w:t>
      </w:r>
      <w:r w:rsidRPr="008D3BC2">
        <w:rPr>
          <w:sz w:val="24"/>
        </w:rPr>
        <w:noBreakHyphen/>
        <w:t>wealth individuals this principle may be manipulated to obtain tax advantages. For example, as outlined in the Board’s report, w</w:t>
      </w:r>
      <w:r w:rsidR="008367EC" w:rsidRPr="008D3BC2">
        <w:rPr>
          <w:sz w:val="24"/>
          <w:szCs w:val="24"/>
        </w:rPr>
        <w:t xml:space="preserve">here an individual becomes a non-resident but has not established tax residency in another jurisdiction, </w:t>
      </w:r>
      <w:r w:rsidRPr="008D3BC2">
        <w:rPr>
          <w:sz w:val="24"/>
          <w:szCs w:val="24"/>
        </w:rPr>
        <w:t xml:space="preserve">that </w:t>
      </w:r>
      <w:r w:rsidR="008367EC" w:rsidRPr="008D3BC2">
        <w:rPr>
          <w:sz w:val="24"/>
          <w:szCs w:val="24"/>
        </w:rPr>
        <w:t>individual can become a ‘resident</w:t>
      </w:r>
      <w:r w:rsidRPr="008D3BC2">
        <w:rPr>
          <w:sz w:val="24"/>
          <w:szCs w:val="24"/>
        </w:rPr>
        <w:t xml:space="preserve"> of nowhere’.  </w:t>
      </w:r>
      <w:r w:rsidR="00BD07AB" w:rsidRPr="008D3BC2">
        <w:rPr>
          <w:sz w:val="24"/>
          <w:szCs w:val="24"/>
        </w:rPr>
        <w:t>This arrangement may be entered into, even over a short</w:t>
      </w:r>
      <w:r w:rsidR="00BD07AB" w:rsidRPr="008D3BC2">
        <w:rPr>
          <w:sz w:val="24"/>
          <w:szCs w:val="24"/>
        </w:rPr>
        <w:noBreakHyphen/>
        <w:t>time period, where a large income payment or capital gain is expected to arise.</w:t>
      </w:r>
    </w:p>
    <w:p w14:paraId="2D3C62B4" w14:textId="5D21C6CE" w:rsidR="008A70D6" w:rsidRPr="008D3BC2" w:rsidRDefault="00BD07AB" w:rsidP="008A70D6">
      <w:pPr>
        <w:rPr>
          <w:sz w:val="24"/>
          <w:szCs w:val="24"/>
        </w:rPr>
      </w:pPr>
      <w:r w:rsidRPr="008D3BC2">
        <w:rPr>
          <w:sz w:val="24"/>
          <w:szCs w:val="24"/>
        </w:rPr>
        <w:t xml:space="preserve">There are also instances of </w:t>
      </w:r>
      <w:r w:rsidR="008A70D6" w:rsidRPr="008D3BC2">
        <w:rPr>
          <w:sz w:val="24"/>
          <w:szCs w:val="24"/>
        </w:rPr>
        <w:t>individual</w:t>
      </w:r>
      <w:r w:rsidRPr="008D3BC2">
        <w:rPr>
          <w:sz w:val="24"/>
          <w:szCs w:val="24"/>
        </w:rPr>
        <w:t>s</w:t>
      </w:r>
      <w:r w:rsidR="008A70D6" w:rsidRPr="008D3BC2">
        <w:rPr>
          <w:sz w:val="24"/>
          <w:szCs w:val="24"/>
        </w:rPr>
        <w:t xml:space="preserve"> </w:t>
      </w:r>
      <w:r w:rsidRPr="008D3BC2">
        <w:rPr>
          <w:sz w:val="24"/>
          <w:szCs w:val="24"/>
        </w:rPr>
        <w:t xml:space="preserve">being </w:t>
      </w:r>
      <w:r w:rsidR="008A70D6" w:rsidRPr="008D3BC2">
        <w:rPr>
          <w:sz w:val="24"/>
          <w:szCs w:val="24"/>
        </w:rPr>
        <w:t>able to effectively obtain tax residency in a jurisdiction without income tax,</w:t>
      </w:r>
      <w:r w:rsidR="008F2A0D" w:rsidRPr="008D3BC2">
        <w:rPr>
          <w:sz w:val="24"/>
          <w:szCs w:val="24"/>
        </w:rPr>
        <w:t xml:space="preserve"> or</w:t>
      </w:r>
      <w:r w:rsidR="008A70D6" w:rsidRPr="008D3BC2">
        <w:rPr>
          <w:sz w:val="24"/>
          <w:szCs w:val="24"/>
        </w:rPr>
        <w:t xml:space="preserve"> substantial income tax, or </w:t>
      </w:r>
      <w:r w:rsidR="008F2A0D" w:rsidRPr="008D3BC2">
        <w:rPr>
          <w:sz w:val="24"/>
          <w:szCs w:val="24"/>
        </w:rPr>
        <w:t xml:space="preserve">with </w:t>
      </w:r>
      <w:r w:rsidR="008A70D6" w:rsidRPr="008D3BC2">
        <w:rPr>
          <w:sz w:val="24"/>
          <w:szCs w:val="24"/>
        </w:rPr>
        <w:t>an income tax holiday to induce a change in tax residency.</w:t>
      </w:r>
      <w:r w:rsidRPr="008D3BC2">
        <w:rPr>
          <w:sz w:val="24"/>
          <w:szCs w:val="24"/>
        </w:rPr>
        <w:t xml:space="preserve"> </w:t>
      </w:r>
    </w:p>
    <w:p w14:paraId="00A35183" w14:textId="77777777" w:rsidR="008367EC" w:rsidRPr="008D3BC2" w:rsidRDefault="008A70D6" w:rsidP="008A70D6">
      <w:pPr>
        <w:rPr>
          <w:sz w:val="24"/>
          <w:szCs w:val="24"/>
        </w:rPr>
      </w:pPr>
      <w:r w:rsidRPr="008D3BC2">
        <w:rPr>
          <w:sz w:val="24"/>
          <w:szCs w:val="24"/>
        </w:rPr>
        <w:t xml:space="preserve">These integrity concerns need to be considered and where appropriate </w:t>
      </w:r>
      <w:r w:rsidR="008367EC" w:rsidRPr="008D3BC2">
        <w:rPr>
          <w:sz w:val="24"/>
          <w:szCs w:val="24"/>
        </w:rPr>
        <w:t xml:space="preserve">specifically addressed and </w:t>
      </w:r>
      <w:r w:rsidRPr="008D3BC2">
        <w:rPr>
          <w:sz w:val="24"/>
          <w:szCs w:val="24"/>
        </w:rPr>
        <w:t xml:space="preserve">eliminated </w:t>
      </w:r>
      <w:r w:rsidR="00BD07AB" w:rsidRPr="008D3BC2">
        <w:rPr>
          <w:sz w:val="24"/>
          <w:szCs w:val="24"/>
        </w:rPr>
        <w:t>in</w:t>
      </w:r>
      <w:r w:rsidRPr="008D3BC2">
        <w:rPr>
          <w:sz w:val="24"/>
          <w:szCs w:val="24"/>
        </w:rPr>
        <w:t xml:space="preserve"> </w:t>
      </w:r>
      <w:r w:rsidR="008367EC" w:rsidRPr="008D3BC2">
        <w:rPr>
          <w:sz w:val="24"/>
          <w:szCs w:val="24"/>
        </w:rPr>
        <w:t xml:space="preserve">the new residency </w:t>
      </w:r>
      <w:r w:rsidRPr="008D3BC2">
        <w:rPr>
          <w:sz w:val="24"/>
          <w:szCs w:val="24"/>
        </w:rPr>
        <w:t>rules</w:t>
      </w:r>
      <w:r w:rsidR="008367EC" w:rsidRPr="008D3BC2">
        <w:rPr>
          <w:sz w:val="24"/>
          <w:szCs w:val="24"/>
        </w:rPr>
        <w:t>.</w:t>
      </w:r>
      <w:r w:rsidR="00026D25" w:rsidRPr="008D3BC2">
        <w:rPr>
          <w:sz w:val="24"/>
          <w:szCs w:val="24"/>
        </w:rPr>
        <w:t xml:space="preserve"> Of course this must be balanced against any potential heightened uncertainty or complexity that may be imposed – this will necessarily depend on the measurement of the risk </w:t>
      </w:r>
      <w:r w:rsidR="004C7843" w:rsidRPr="008D3BC2">
        <w:rPr>
          <w:sz w:val="24"/>
          <w:szCs w:val="24"/>
        </w:rPr>
        <w:t>of adverse revenue impacts.</w:t>
      </w:r>
    </w:p>
    <w:p w14:paraId="147AB1F6" w14:textId="77777777" w:rsidR="00FB1458" w:rsidRPr="008D3BC2" w:rsidRDefault="00FB1458" w:rsidP="008A70D6">
      <w:pPr>
        <w:rPr>
          <w:sz w:val="24"/>
          <w:szCs w:val="24"/>
        </w:rPr>
      </w:pPr>
      <w:r w:rsidRPr="008D3BC2">
        <w:rPr>
          <w:sz w:val="24"/>
          <w:szCs w:val="24"/>
        </w:rPr>
        <w:t xml:space="preserve">However, to the extent that the new rules make it easier to work out individual residency, it will be important to guard against any potential short-term gaming that may allow otherwise taxable </w:t>
      </w:r>
      <w:proofErr w:type="gramStart"/>
      <w:r w:rsidRPr="008D3BC2">
        <w:rPr>
          <w:sz w:val="24"/>
          <w:szCs w:val="24"/>
        </w:rPr>
        <w:t>income,</w:t>
      </w:r>
      <w:proofErr w:type="gramEnd"/>
      <w:r w:rsidRPr="008D3BC2">
        <w:rPr>
          <w:sz w:val="24"/>
          <w:szCs w:val="24"/>
        </w:rPr>
        <w:t xml:space="preserve"> profits or gains to become exempt from Australian tax.</w:t>
      </w:r>
    </w:p>
    <w:p w14:paraId="4209D3A7" w14:textId="77777777" w:rsidR="00024523" w:rsidRPr="008D3BC2" w:rsidRDefault="00024523" w:rsidP="007D40D1">
      <w:pPr>
        <w:pStyle w:val="ListParagraph"/>
        <w:ind w:left="0"/>
        <w:rPr>
          <w:sz w:val="24"/>
          <w:szCs w:val="24"/>
        </w:rPr>
      </w:pPr>
      <w:r w:rsidRPr="008D3BC2">
        <w:rPr>
          <w:sz w:val="24"/>
          <w:szCs w:val="24"/>
        </w:rPr>
        <w:t>In the Board’s report, the suggested approach is that where an individual has been an Australian resident and would otherwise satisfy the conditions to become a non</w:t>
      </w:r>
      <w:r w:rsidRPr="008D3BC2">
        <w:rPr>
          <w:sz w:val="24"/>
          <w:szCs w:val="24"/>
        </w:rPr>
        <w:noBreakHyphen/>
        <w:t xml:space="preserve">resident, the change in status will only be effective if the individual can demonstrate that they have established residency in another country. </w:t>
      </w:r>
      <w:r w:rsidR="007D40D1" w:rsidRPr="008D3BC2">
        <w:rPr>
          <w:sz w:val="24"/>
          <w:szCs w:val="24"/>
        </w:rPr>
        <w:t xml:space="preserve">That is, </w:t>
      </w:r>
      <w:r w:rsidRPr="008D3BC2">
        <w:rPr>
          <w:sz w:val="24"/>
          <w:szCs w:val="24"/>
        </w:rPr>
        <w:t>individuals remain Australian residents unless and until tax residency is established in another jurisdiction.</w:t>
      </w:r>
    </w:p>
    <w:p w14:paraId="0E09963C" w14:textId="77777777" w:rsidR="00D647CA" w:rsidRPr="008D3BC2" w:rsidRDefault="00D647CA" w:rsidP="00AB6D7C">
      <w:pPr>
        <w:rPr>
          <w:sz w:val="24"/>
          <w:szCs w:val="24"/>
        </w:rPr>
      </w:pPr>
      <w:r w:rsidRPr="008D3BC2">
        <w:rPr>
          <w:sz w:val="24"/>
          <w:szCs w:val="24"/>
        </w:rPr>
        <w:t xml:space="preserve">The way in which an individual demonstrates residency is a complex design issue. </w:t>
      </w:r>
      <w:r w:rsidR="00AB6D7C" w:rsidRPr="008D3BC2">
        <w:rPr>
          <w:sz w:val="24"/>
          <w:szCs w:val="24"/>
        </w:rPr>
        <w:t>The Board is considering a number of alternatives to improve the integrity of the new residency rules</w:t>
      </w:r>
      <w:r w:rsidR="004F7A2B" w:rsidRPr="008D3BC2">
        <w:rPr>
          <w:sz w:val="24"/>
          <w:szCs w:val="24"/>
        </w:rPr>
        <w:t>, including a number based on international comparisons</w:t>
      </w:r>
      <w:r w:rsidR="00AB6D7C" w:rsidRPr="008D3BC2">
        <w:rPr>
          <w:sz w:val="24"/>
          <w:szCs w:val="24"/>
        </w:rPr>
        <w:t>.</w:t>
      </w:r>
    </w:p>
    <w:p w14:paraId="20D52E87" w14:textId="77777777" w:rsidR="00AB6D7C" w:rsidRPr="008D3BC2" w:rsidRDefault="00AB6D7C" w:rsidP="00AB6D7C">
      <w:pPr>
        <w:spacing w:after="240"/>
        <w:rPr>
          <w:b/>
          <w:color w:val="002060"/>
          <w:sz w:val="28"/>
        </w:rPr>
      </w:pPr>
      <w:r w:rsidRPr="008D3BC2">
        <w:rPr>
          <w:b/>
          <w:color w:val="002060"/>
          <w:sz w:val="28"/>
        </w:rPr>
        <w:t>Satisfying the Commissioner</w:t>
      </w:r>
    </w:p>
    <w:p w14:paraId="2D66A365" w14:textId="77777777" w:rsidR="00D72ABC" w:rsidRPr="008D3BC2" w:rsidRDefault="00C165E6" w:rsidP="00D647CA">
      <w:pPr>
        <w:pStyle w:val="ListParagraph"/>
        <w:ind w:left="0"/>
        <w:rPr>
          <w:sz w:val="24"/>
          <w:szCs w:val="24"/>
        </w:rPr>
      </w:pPr>
      <w:r w:rsidRPr="008D3BC2">
        <w:rPr>
          <w:sz w:val="24"/>
          <w:szCs w:val="24"/>
        </w:rPr>
        <w:t>One way of addressing integrity issues with individuals leaving Australia would be to require the</w:t>
      </w:r>
      <w:r w:rsidR="00D647CA" w:rsidRPr="008D3BC2">
        <w:rPr>
          <w:sz w:val="24"/>
          <w:szCs w:val="24"/>
        </w:rPr>
        <w:t xml:space="preserve"> active contemplation or satisfaction </w:t>
      </w:r>
      <w:r w:rsidRPr="008D3BC2">
        <w:rPr>
          <w:sz w:val="24"/>
          <w:szCs w:val="24"/>
        </w:rPr>
        <w:t xml:space="preserve">of </w:t>
      </w:r>
      <w:r w:rsidR="00D647CA" w:rsidRPr="008D3BC2">
        <w:rPr>
          <w:sz w:val="24"/>
          <w:szCs w:val="24"/>
        </w:rPr>
        <w:t>the Commissioner</w:t>
      </w:r>
      <w:r w:rsidR="00AB6D7C" w:rsidRPr="008D3BC2">
        <w:rPr>
          <w:sz w:val="24"/>
          <w:szCs w:val="24"/>
        </w:rPr>
        <w:t xml:space="preserve"> </w:t>
      </w:r>
      <w:r w:rsidR="00D647CA" w:rsidRPr="008D3BC2">
        <w:rPr>
          <w:sz w:val="24"/>
          <w:szCs w:val="24"/>
        </w:rPr>
        <w:t xml:space="preserve">before an individual can cease residency </w:t>
      </w:r>
      <w:r w:rsidR="00AB6D7C" w:rsidRPr="008D3BC2">
        <w:rPr>
          <w:sz w:val="24"/>
          <w:szCs w:val="24"/>
        </w:rPr>
        <w:t>by</w:t>
      </w:r>
      <w:r w:rsidR="00D647CA" w:rsidRPr="008D3BC2">
        <w:rPr>
          <w:sz w:val="24"/>
          <w:szCs w:val="24"/>
        </w:rPr>
        <w:t xml:space="preserve"> confirm</w:t>
      </w:r>
      <w:r w:rsidR="00AB6D7C" w:rsidRPr="008D3BC2">
        <w:rPr>
          <w:sz w:val="24"/>
          <w:szCs w:val="24"/>
        </w:rPr>
        <w:t>ing and assuring</w:t>
      </w:r>
      <w:r w:rsidR="00D647CA" w:rsidRPr="008D3BC2">
        <w:rPr>
          <w:sz w:val="24"/>
          <w:szCs w:val="24"/>
        </w:rPr>
        <w:t xml:space="preserve"> a new country of reside</w:t>
      </w:r>
      <w:r w:rsidR="00AB6D7C" w:rsidRPr="008D3BC2">
        <w:rPr>
          <w:sz w:val="24"/>
          <w:szCs w:val="24"/>
        </w:rPr>
        <w:t xml:space="preserve">nce has been established. </w:t>
      </w:r>
      <w:r w:rsidR="00D72ABC" w:rsidRPr="008D3BC2">
        <w:rPr>
          <w:sz w:val="24"/>
          <w:szCs w:val="24"/>
        </w:rPr>
        <w:t>This may be achieved through requiring some form of certification, or through a legislative requirement akin to the existing residency rules of the Commissioner to form a view (such as the 183 day test). This is practically achieved through self</w:t>
      </w:r>
      <w:r w:rsidR="00D72ABC" w:rsidRPr="008D3BC2">
        <w:rPr>
          <w:sz w:val="24"/>
          <w:szCs w:val="24"/>
        </w:rPr>
        <w:noBreakHyphen/>
        <w:t>assessment and subsequent review, in the same way as any other review of a taxpayer’s affairs.</w:t>
      </w:r>
    </w:p>
    <w:p w14:paraId="559735ED" w14:textId="77777777" w:rsidR="00D72ABC" w:rsidRPr="008D3BC2" w:rsidRDefault="00D72ABC" w:rsidP="00D647CA">
      <w:pPr>
        <w:pStyle w:val="ListParagraph"/>
        <w:ind w:left="0"/>
        <w:rPr>
          <w:sz w:val="24"/>
          <w:szCs w:val="24"/>
        </w:rPr>
      </w:pPr>
    </w:p>
    <w:p w14:paraId="24FCB5F1" w14:textId="77777777" w:rsidR="00D647CA" w:rsidRPr="008D3BC2" w:rsidRDefault="00AB6D7C" w:rsidP="00D647CA">
      <w:pPr>
        <w:pStyle w:val="ListParagraph"/>
        <w:ind w:left="0"/>
        <w:rPr>
          <w:sz w:val="24"/>
          <w:szCs w:val="24"/>
        </w:rPr>
      </w:pPr>
      <w:r w:rsidRPr="008D3BC2">
        <w:rPr>
          <w:sz w:val="24"/>
          <w:szCs w:val="24"/>
        </w:rPr>
        <w:t xml:space="preserve">While this </w:t>
      </w:r>
      <w:r w:rsidR="00D72ABC" w:rsidRPr="008D3BC2">
        <w:rPr>
          <w:sz w:val="24"/>
          <w:szCs w:val="24"/>
        </w:rPr>
        <w:t>may provide the Commissioner with the legislative authority to ensure that individuals are changing residency</w:t>
      </w:r>
      <w:r w:rsidRPr="008D3BC2">
        <w:rPr>
          <w:sz w:val="24"/>
          <w:szCs w:val="24"/>
        </w:rPr>
        <w:t>,</w:t>
      </w:r>
      <w:r w:rsidR="00D647CA" w:rsidRPr="008D3BC2">
        <w:rPr>
          <w:sz w:val="24"/>
          <w:szCs w:val="24"/>
        </w:rPr>
        <w:t xml:space="preserve"> </w:t>
      </w:r>
      <w:r w:rsidRPr="008D3BC2">
        <w:rPr>
          <w:sz w:val="24"/>
          <w:szCs w:val="24"/>
        </w:rPr>
        <w:t xml:space="preserve">it </w:t>
      </w:r>
      <w:r w:rsidR="00D72ABC" w:rsidRPr="008D3BC2">
        <w:rPr>
          <w:sz w:val="24"/>
          <w:szCs w:val="24"/>
        </w:rPr>
        <w:t xml:space="preserve">largely </w:t>
      </w:r>
      <w:r w:rsidR="00D647CA" w:rsidRPr="008D3BC2">
        <w:rPr>
          <w:sz w:val="24"/>
          <w:szCs w:val="24"/>
        </w:rPr>
        <w:t>undermine</w:t>
      </w:r>
      <w:r w:rsidR="00D72ABC" w:rsidRPr="008D3BC2">
        <w:rPr>
          <w:sz w:val="24"/>
          <w:szCs w:val="24"/>
        </w:rPr>
        <w:t>s</w:t>
      </w:r>
      <w:r w:rsidR="00D647CA" w:rsidRPr="008D3BC2">
        <w:rPr>
          <w:sz w:val="24"/>
          <w:szCs w:val="24"/>
        </w:rPr>
        <w:t xml:space="preserve"> the guiding principles of simplicity and certainty, </w:t>
      </w:r>
      <w:r w:rsidR="00D72ABC" w:rsidRPr="008D3BC2">
        <w:rPr>
          <w:sz w:val="24"/>
          <w:szCs w:val="24"/>
        </w:rPr>
        <w:t>which may outweigh</w:t>
      </w:r>
      <w:r w:rsidR="00D647CA" w:rsidRPr="008D3BC2">
        <w:rPr>
          <w:sz w:val="24"/>
          <w:szCs w:val="24"/>
        </w:rPr>
        <w:t xml:space="preserve"> the integrity benefits.</w:t>
      </w:r>
    </w:p>
    <w:p w14:paraId="0DDCA729" w14:textId="77777777" w:rsidR="00D647CA" w:rsidRPr="008D3BC2" w:rsidRDefault="00D647CA" w:rsidP="00D647CA">
      <w:pPr>
        <w:pStyle w:val="ListParagraph"/>
        <w:ind w:left="0"/>
        <w:rPr>
          <w:sz w:val="24"/>
          <w:szCs w:val="24"/>
        </w:rPr>
      </w:pPr>
    </w:p>
    <w:p w14:paraId="650583BE" w14:textId="77777777" w:rsidR="004F7A2B" w:rsidRPr="008D3BC2" w:rsidRDefault="004F7A2B" w:rsidP="004F7A2B">
      <w:pPr>
        <w:spacing w:after="240"/>
        <w:rPr>
          <w:b/>
          <w:color w:val="002060"/>
          <w:sz w:val="28"/>
        </w:rPr>
      </w:pPr>
      <w:r w:rsidRPr="008D3BC2">
        <w:rPr>
          <w:b/>
          <w:color w:val="002060"/>
          <w:sz w:val="28"/>
        </w:rPr>
        <w:t>Spain: targeted deemed residency rules</w:t>
      </w:r>
    </w:p>
    <w:p w14:paraId="1F9C048A" w14:textId="77777777" w:rsidR="006000F1" w:rsidRPr="008D3BC2" w:rsidRDefault="006000F1" w:rsidP="004F7A2B">
      <w:pPr>
        <w:pStyle w:val="ListParagraph"/>
        <w:ind w:left="0"/>
        <w:rPr>
          <w:sz w:val="24"/>
          <w:szCs w:val="24"/>
        </w:rPr>
      </w:pPr>
      <w:r w:rsidRPr="008D3BC2">
        <w:rPr>
          <w:sz w:val="24"/>
          <w:szCs w:val="24"/>
        </w:rPr>
        <w:t xml:space="preserve">In order to address </w:t>
      </w:r>
      <w:r w:rsidR="00C87721" w:rsidRPr="008D3BC2">
        <w:rPr>
          <w:sz w:val="24"/>
          <w:szCs w:val="24"/>
        </w:rPr>
        <w:t xml:space="preserve">circumstances in which individuals cease residency with an intention to reduce their tax obligations, an integrity rule could increase the cost of doing so, and thus reduce the incentive to </w:t>
      </w:r>
      <w:r w:rsidR="00C165E6" w:rsidRPr="008D3BC2">
        <w:rPr>
          <w:sz w:val="24"/>
          <w:szCs w:val="24"/>
        </w:rPr>
        <w:t>manipulate residency to avoid Australian tax</w:t>
      </w:r>
      <w:r w:rsidR="00C87721" w:rsidRPr="008D3BC2">
        <w:rPr>
          <w:sz w:val="24"/>
          <w:szCs w:val="24"/>
        </w:rPr>
        <w:t>.</w:t>
      </w:r>
    </w:p>
    <w:p w14:paraId="3F66E6EB" w14:textId="77777777" w:rsidR="006000F1" w:rsidRPr="008D3BC2" w:rsidRDefault="006000F1" w:rsidP="004F7A2B">
      <w:pPr>
        <w:pStyle w:val="ListParagraph"/>
        <w:ind w:left="0"/>
        <w:rPr>
          <w:sz w:val="24"/>
          <w:szCs w:val="24"/>
        </w:rPr>
      </w:pPr>
    </w:p>
    <w:p w14:paraId="69B59578" w14:textId="77777777" w:rsidR="004F7A2B" w:rsidRPr="008D3BC2" w:rsidRDefault="006000F1" w:rsidP="004F7A2B">
      <w:pPr>
        <w:pStyle w:val="ListParagraph"/>
        <w:ind w:left="0"/>
        <w:rPr>
          <w:sz w:val="24"/>
          <w:szCs w:val="24"/>
        </w:rPr>
      </w:pPr>
      <w:r w:rsidRPr="008D3BC2">
        <w:rPr>
          <w:sz w:val="24"/>
          <w:szCs w:val="24"/>
        </w:rPr>
        <w:t>For example, Spain has sought to address this risk by adopting a low</w:t>
      </w:r>
      <w:r w:rsidRPr="008D3BC2">
        <w:rPr>
          <w:sz w:val="24"/>
          <w:szCs w:val="24"/>
        </w:rPr>
        <w:noBreakHyphen/>
        <w:t xml:space="preserve">tax jurisdiction targeted integrity rule. Where </w:t>
      </w:r>
      <w:r w:rsidR="004F7A2B" w:rsidRPr="008D3BC2">
        <w:rPr>
          <w:sz w:val="24"/>
          <w:szCs w:val="24"/>
        </w:rPr>
        <w:t xml:space="preserve">Spanish </w:t>
      </w:r>
      <w:r w:rsidRPr="008D3BC2">
        <w:rPr>
          <w:sz w:val="24"/>
          <w:szCs w:val="24"/>
        </w:rPr>
        <w:t xml:space="preserve">residents seek to </w:t>
      </w:r>
      <w:r w:rsidR="004F7A2B" w:rsidRPr="008D3BC2">
        <w:rPr>
          <w:sz w:val="24"/>
          <w:szCs w:val="24"/>
        </w:rPr>
        <w:t xml:space="preserve">accredit </w:t>
      </w:r>
      <w:r w:rsidRPr="008D3BC2">
        <w:rPr>
          <w:sz w:val="24"/>
          <w:szCs w:val="24"/>
        </w:rPr>
        <w:t xml:space="preserve">their </w:t>
      </w:r>
      <w:r w:rsidR="004F7A2B" w:rsidRPr="008D3BC2">
        <w:rPr>
          <w:sz w:val="24"/>
          <w:szCs w:val="24"/>
        </w:rPr>
        <w:t xml:space="preserve">new residence </w:t>
      </w:r>
      <w:r w:rsidRPr="008D3BC2">
        <w:rPr>
          <w:sz w:val="24"/>
          <w:szCs w:val="24"/>
        </w:rPr>
        <w:t>to a</w:t>
      </w:r>
      <w:r w:rsidR="004F7A2B" w:rsidRPr="008D3BC2">
        <w:rPr>
          <w:sz w:val="24"/>
          <w:szCs w:val="24"/>
        </w:rPr>
        <w:t xml:space="preserve"> country or territory </w:t>
      </w:r>
      <w:r w:rsidRPr="008D3BC2">
        <w:rPr>
          <w:sz w:val="24"/>
          <w:szCs w:val="24"/>
        </w:rPr>
        <w:t>that the Spanish Government has determined to be a ‘</w:t>
      </w:r>
      <w:r w:rsidR="004F7A2B" w:rsidRPr="008D3BC2">
        <w:rPr>
          <w:sz w:val="24"/>
          <w:szCs w:val="24"/>
        </w:rPr>
        <w:t>tax haven</w:t>
      </w:r>
      <w:r w:rsidRPr="008D3BC2">
        <w:rPr>
          <w:sz w:val="24"/>
          <w:szCs w:val="24"/>
        </w:rPr>
        <w:t xml:space="preserve">’, the individual does </w:t>
      </w:r>
      <w:r w:rsidR="004F7A2B" w:rsidRPr="008D3BC2">
        <w:rPr>
          <w:sz w:val="24"/>
          <w:szCs w:val="24"/>
        </w:rPr>
        <w:t xml:space="preserve">not lose their status as </w:t>
      </w:r>
      <w:r w:rsidRPr="008D3BC2">
        <w:rPr>
          <w:sz w:val="24"/>
          <w:szCs w:val="24"/>
        </w:rPr>
        <w:t>a Spanish resident for income tax purposes for five years</w:t>
      </w:r>
      <w:r w:rsidR="004F7A2B" w:rsidRPr="008D3BC2">
        <w:rPr>
          <w:sz w:val="24"/>
          <w:szCs w:val="24"/>
        </w:rPr>
        <w:t xml:space="preserve"> </w:t>
      </w:r>
      <w:r w:rsidRPr="008D3BC2">
        <w:rPr>
          <w:sz w:val="24"/>
          <w:szCs w:val="24"/>
        </w:rPr>
        <w:t>(</w:t>
      </w:r>
      <w:proofErr w:type="spellStart"/>
      <w:r w:rsidRPr="008D3BC2">
        <w:rPr>
          <w:sz w:val="24"/>
          <w:szCs w:val="24"/>
        </w:rPr>
        <w:t>ie</w:t>
      </w:r>
      <w:proofErr w:type="spellEnd"/>
      <w:r w:rsidRPr="008D3BC2">
        <w:rPr>
          <w:sz w:val="24"/>
          <w:szCs w:val="24"/>
        </w:rPr>
        <w:t xml:space="preserve">, the rule applies in the year </w:t>
      </w:r>
      <w:r w:rsidR="004F7A2B" w:rsidRPr="008D3BC2">
        <w:rPr>
          <w:sz w:val="24"/>
          <w:szCs w:val="24"/>
        </w:rPr>
        <w:t>the change of residence occurs and the next four tax periods</w:t>
      </w:r>
      <w:r w:rsidRPr="008D3BC2">
        <w:rPr>
          <w:sz w:val="24"/>
          <w:szCs w:val="24"/>
        </w:rPr>
        <w:t>)</w:t>
      </w:r>
      <w:r w:rsidR="004F7A2B" w:rsidRPr="008D3BC2">
        <w:rPr>
          <w:sz w:val="24"/>
          <w:szCs w:val="24"/>
        </w:rPr>
        <w:t>.</w:t>
      </w:r>
    </w:p>
    <w:p w14:paraId="7633FD19" w14:textId="77777777" w:rsidR="006000F1" w:rsidRPr="008D3BC2" w:rsidRDefault="006000F1" w:rsidP="004F7A2B">
      <w:pPr>
        <w:pStyle w:val="ListParagraph"/>
        <w:ind w:left="0"/>
        <w:rPr>
          <w:sz w:val="24"/>
          <w:szCs w:val="24"/>
        </w:rPr>
      </w:pPr>
    </w:p>
    <w:p w14:paraId="4381A67C" w14:textId="77777777" w:rsidR="009E7E19" w:rsidRPr="008D3BC2" w:rsidRDefault="006000F1" w:rsidP="004F7A2B">
      <w:pPr>
        <w:pStyle w:val="ListParagraph"/>
        <w:ind w:left="0"/>
        <w:rPr>
          <w:sz w:val="24"/>
          <w:szCs w:val="24"/>
        </w:rPr>
      </w:pPr>
      <w:r w:rsidRPr="008D3BC2">
        <w:rPr>
          <w:sz w:val="24"/>
          <w:szCs w:val="24"/>
        </w:rPr>
        <w:t xml:space="preserve">This approach would </w:t>
      </w:r>
      <w:r w:rsidR="009E7E19" w:rsidRPr="008D3BC2">
        <w:rPr>
          <w:sz w:val="24"/>
          <w:szCs w:val="24"/>
        </w:rPr>
        <w:t xml:space="preserve">provide </w:t>
      </w:r>
      <w:r w:rsidRPr="008D3BC2">
        <w:rPr>
          <w:sz w:val="24"/>
          <w:szCs w:val="24"/>
        </w:rPr>
        <w:t>certainty through listing the targeted jurisd</w:t>
      </w:r>
      <w:r w:rsidR="00FC27EF" w:rsidRPr="008D3BC2">
        <w:rPr>
          <w:sz w:val="24"/>
          <w:szCs w:val="24"/>
        </w:rPr>
        <w:t>i</w:t>
      </w:r>
      <w:r w:rsidR="009E7E19" w:rsidRPr="008D3BC2">
        <w:rPr>
          <w:sz w:val="24"/>
          <w:szCs w:val="24"/>
        </w:rPr>
        <w:t xml:space="preserve">ctions but would actively discriminate against certain jurisdictions. This would only be appropriate should it be conclusively determined that individuals are avoiding paying their fair share of tax by adopting these strategies in these jurisdictions. </w:t>
      </w:r>
    </w:p>
    <w:p w14:paraId="5FDCCD5E" w14:textId="77777777" w:rsidR="009E7E19" w:rsidRPr="008D3BC2" w:rsidRDefault="009E7E19" w:rsidP="004F7A2B">
      <w:pPr>
        <w:pStyle w:val="ListParagraph"/>
        <w:ind w:left="0"/>
        <w:rPr>
          <w:sz w:val="24"/>
          <w:szCs w:val="24"/>
        </w:rPr>
      </w:pPr>
    </w:p>
    <w:p w14:paraId="34BF85B0" w14:textId="77777777" w:rsidR="00A22B44" w:rsidRPr="008D3BC2" w:rsidRDefault="00A22B44" w:rsidP="00A22B44">
      <w:pPr>
        <w:spacing w:after="240"/>
        <w:rPr>
          <w:b/>
          <w:color w:val="002060"/>
          <w:sz w:val="28"/>
        </w:rPr>
      </w:pPr>
      <w:r w:rsidRPr="008D3BC2">
        <w:rPr>
          <w:b/>
          <w:color w:val="002060"/>
          <w:sz w:val="28"/>
        </w:rPr>
        <w:t>Reducing the tax advantage: alternative minimum tax</w:t>
      </w:r>
    </w:p>
    <w:p w14:paraId="3278720D" w14:textId="77777777" w:rsidR="00A22B44" w:rsidRPr="008D3BC2" w:rsidRDefault="00A22B44" w:rsidP="00A22B44">
      <w:pPr>
        <w:pStyle w:val="ListParagraph"/>
        <w:ind w:left="0"/>
        <w:rPr>
          <w:sz w:val="24"/>
          <w:szCs w:val="24"/>
        </w:rPr>
      </w:pPr>
      <w:r w:rsidRPr="008D3BC2">
        <w:rPr>
          <w:sz w:val="24"/>
          <w:szCs w:val="24"/>
        </w:rPr>
        <w:t>An integrity rule could be designed to adopt the concept of an alternative minimum tax on worldwide income for a set period after residency ceases (for example, five years). This is similar to the Spanish example, but substitutes the tax haven requirement with a proxy to calculate inappropriate levels of income tax.</w:t>
      </w:r>
      <w:r w:rsidR="00C165E6" w:rsidRPr="008D3BC2" w:rsidDel="00C165E6">
        <w:rPr>
          <w:rStyle w:val="FootnoteReference"/>
          <w:szCs w:val="24"/>
        </w:rPr>
        <w:t xml:space="preserve"> </w:t>
      </w:r>
    </w:p>
    <w:p w14:paraId="51BC30A4" w14:textId="77777777" w:rsidR="00A22B44" w:rsidRPr="008D3BC2" w:rsidRDefault="00A22B44" w:rsidP="00A22B44">
      <w:pPr>
        <w:pStyle w:val="ListParagraph"/>
        <w:ind w:left="0"/>
        <w:rPr>
          <w:sz w:val="24"/>
          <w:szCs w:val="24"/>
        </w:rPr>
      </w:pPr>
    </w:p>
    <w:p w14:paraId="3BA2EE34" w14:textId="77777777" w:rsidR="00A22B44" w:rsidRPr="008D3BC2" w:rsidRDefault="00A22B44" w:rsidP="00A22B44">
      <w:pPr>
        <w:pStyle w:val="ListParagraph"/>
        <w:ind w:left="0"/>
        <w:rPr>
          <w:sz w:val="24"/>
          <w:szCs w:val="24"/>
        </w:rPr>
      </w:pPr>
      <w:r w:rsidRPr="008D3BC2">
        <w:rPr>
          <w:sz w:val="24"/>
          <w:szCs w:val="24"/>
        </w:rPr>
        <w:t>For example, where the tax burden on an individual for a period after which they have ceased residency is less than a set percentage of their foreign income and non-taxable Australian gains, the individual would be required to pay the difference between the foreign tax and the set alternative minimum tax rate. This would be subject to double tax treaties.</w:t>
      </w:r>
    </w:p>
    <w:p w14:paraId="74990692" w14:textId="77777777" w:rsidR="00A22B44" w:rsidRPr="008D3BC2" w:rsidRDefault="00A22B44" w:rsidP="00A22B44">
      <w:pPr>
        <w:pStyle w:val="ListParagraph"/>
        <w:ind w:left="0"/>
        <w:rPr>
          <w:sz w:val="24"/>
          <w:szCs w:val="24"/>
        </w:rPr>
      </w:pPr>
    </w:p>
    <w:p w14:paraId="2D9E0C65" w14:textId="77777777" w:rsidR="00A22B44" w:rsidRPr="008D3BC2" w:rsidRDefault="00A22B44" w:rsidP="00A22B44">
      <w:pPr>
        <w:pStyle w:val="ListParagraph"/>
        <w:ind w:left="0"/>
        <w:rPr>
          <w:sz w:val="24"/>
          <w:szCs w:val="24"/>
        </w:rPr>
      </w:pPr>
      <w:r w:rsidRPr="008D3BC2">
        <w:rPr>
          <w:sz w:val="24"/>
          <w:szCs w:val="24"/>
        </w:rPr>
        <w:t xml:space="preserve">An approach of this kind would ensure certainty by removing any jurisdictional bias or subjective intention threshold, merely adopting a mechanism to impose a minimum level of tax the Government considers appropriate for individuals that have recently ceased residency. </w:t>
      </w:r>
    </w:p>
    <w:p w14:paraId="234E5430" w14:textId="77777777" w:rsidR="00A22B44" w:rsidRPr="008D3BC2" w:rsidRDefault="00A22B44" w:rsidP="00A22B44">
      <w:pPr>
        <w:pStyle w:val="ListParagraph"/>
        <w:ind w:left="0"/>
        <w:rPr>
          <w:sz w:val="24"/>
          <w:szCs w:val="24"/>
        </w:rPr>
      </w:pPr>
    </w:p>
    <w:p w14:paraId="0F007295" w14:textId="77777777" w:rsidR="00A22B44" w:rsidRPr="008D3BC2" w:rsidRDefault="00A22B44" w:rsidP="00A22B44">
      <w:pPr>
        <w:pStyle w:val="ListParagraph"/>
        <w:ind w:left="0"/>
        <w:rPr>
          <w:sz w:val="24"/>
          <w:szCs w:val="24"/>
        </w:rPr>
      </w:pPr>
      <w:r w:rsidRPr="008D3BC2">
        <w:rPr>
          <w:sz w:val="24"/>
          <w:szCs w:val="24"/>
        </w:rPr>
        <w:t>There may be consequences for certain CGT rules (</w:t>
      </w:r>
      <w:proofErr w:type="spellStart"/>
      <w:r w:rsidRPr="008D3BC2">
        <w:rPr>
          <w:sz w:val="24"/>
          <w:szCs w:val="24"/>
        </w:rPr>
        <w:t>eg</w:t>
      </w:r>
      <w:proofErr w:type="spellEnd"/>
      <w:r w:rsidRPr="008D3BC2">
        <w:rPr>
          <w:sz w:val="24"/>
          <w:szCs w:val="24"/>
        </w:rPr>
        <w:t>, CGT event I1).</w:t>
      </w:r>
    </w:p>
    <w:p w14:paraId="1F387A00" w14:textId="77777777" w:rsidR="004F7A2B" w:rsidRPr="008D3BC2" w:rsidRDefault="004F7A2B" w:rsidP="004F7A2B">
      <w:pPr>
        <w:spacing w:after="240"/>
        <w:rPr>
          <w:b/>
          <w:color w:val="002060"/>
          <w:sz w:val="28"/>
        </w:rPr>
      </w:pPr>
      <w:r w:rsidRPr="008D3BC2">
        <w:rPr>
          <w:b/>
          <w:color w:val="002060"/>
          <w:sz w:val="28"/>
        </w:rPr>
        <w:t>United Kingdom: temporary absence rules</w:t>
      </w:r>
    </w:p>
    <w:p w14:paraId="54AD0A7F" w14:textId="77777777" w:rsidR="004F7A2B" w:rsidRPr="008D3BC2" w:rsidRDefault="00C87721" w:rsidP="004F7A2B">
      <w:pPr>
        <w:pStyle w:val="ListParagraph"/>
        <w:ind w:left="0"/>
        <w:rPr>
          <w:sz w:val="24"/>
          <w:szCs w:val="24"/>
        </w:rPr>
      </w:pPr>
      <w:r w:rsidRPr="008D3BC2">
        <w:rPr>
          <w:sz w:val="24"/>
          <w:szCs w:val="24"/>
        </w:rPr>
        <w:t>A rule could be adopted to impose tax on income and gains that arise during short term absences from Australia. In essence, this rule targets schemes that rely on brief periods of non</w:t>
      </w:r>
      <w:r w:rsidRPr="008D3BC2">
        <w:rPr>
          <w:sz w:val="24"/>
          <w:szCs w:val="24"/>
        </w:rPr>
        <w:softHyphen/>
      </w:r>
      <w:r w:rsidRPr="008D3BC2">
        <w:rPr>
          <w:sz w:val="24"/>
          <w:szCs w:val="24"/>
        </w:rPr>
        <w:noBreakHyphen/>
        <w:t>residency where the individual never intends to actually cut ties with Australia.</w:t>
      </w:r>
    </w:p>
    <w:p w14:paraId="0D788255" w14:textId="77777777" w:rsidR="00C87721" w:rsidRPr="008D3BC2" w:rsidRDefault="00C87721" w:rsidP="004F7A2B">
      <w:pPr>
        <w:pStyle w:val="ListParagraph"/>
        <w:ind w:left="0"/>
        <w:rPr>
          <w:sz w:val="24"/>
          <w:szCs w:val="24"/>
        </w:rPr>
      </w:pPr>
    </w:p>
    <w:p w14:paraId="632CA256" w14:textId="77777777" w:rsidR="00C87721" w:rsidRPr="008D3BC2" w:rsidRDefault="00C87721" w:rsidP="004F7A2B">
      <w:pPr>
        <w:pStyle w:val="ListParagraph"/>
        <w:ind w:left="0"/>
        <w:rPr>
          <w:sz w:val="24"/>
          <w:szCs w:val="24"/>
        </w:rPr>
      </w:pPr>
      <w:r w:rsidRPr="008D3BC2">
        <w:rPr>
          <w:sz w:val="24"/>
          <w:szCs w:val="24"/>
        </w:rPr>
        <w:t>In the UK, temporary non</w:t>
      </w:r>
      <w:r w:rsidRPr="008D3BC2">
        <w:rPr>
          <w:sz w:val="24"/>
          <w:szCs w:val="24"/>
        </w:rPr>
        <w:noBreakHyphen/>
        <w:t>residents are charged to tax on specified income and gains (in particular, capital gains, distributions from closely controlled companies, certain pensions or lump sum payments etc.). A temporary period of non</w:t>
      </w:r>
      <w:r w:rsidRPr="008D3BC2">
        <w:rPr>
          <w:sz w:val="24"/>
          <w:szCs w:val="24"/>
        </w:rPr>
        <w:noBreakHyphen/>
        <w:t>residence is:</w:t>
      </w:r>
    </w:p>
    <w:p w14:paraId="425CA492" w14:textId="77777777" w:rsidR="00D72ABC" w:rsidRPr="008D3BC2" w:rsidRDefault="00D72ABC" w:rsidP="00D72ABC">
      <w:pPr>
        <w:pStyle w:val="ListParagraph"/>
        <w:rPr>
          <w:sz w:val="24"/>
          <w:szCs w:val="24"/>
        </w:rPr>
      </w:pPr>
    </w:p>
    <w:p w14:paraId="77223B05" w14:textId="77777777" w:rsidR="00C87721" w:rsidRPr="008D3BC2" w:rsidRDefault="00C87721" w:rsidP="004C1D28">
      <w:pPr>
        <w:pStyle w:val="ListParagraph"/>
        <w:numPr>
          <w:ilvl w:val="0"/>
          <w:numId w:val="25"/>
        </w:numPr>
        <w:rPr>
          <w:sz w:val="24"/>
          <w:szCs w:val="24"/>
        </w:rPr>
      </w:pPr>
      <w:r w:rsidRPr="008D3BC2">
        <w:rPr>
          <w:sz w:val="24"/>
          <w:szCs w:val="24"/>
        </w:rPr>
        <w:t xml:space="preserve">where an individual was previously a </w:t>
      </w:r>
      <w:r w:rsidR="00D72ABC" w:rsidRPr="008D3BC2">
        <w:rPr>
          <w:sz w:val="24"/>
          <w:szCs w:val="24"/>
        </w:rPr>
        <w:t>‘</w:t>
      </w:r>
      <w:r w:rsidRPr="008D3BC2">
        <w:rPr>
          <w:sz w:val="24"/>
          <w:szCs w:val="24"/>
        </w:rPr>
        <w:t>sole</w:t>
      </w:r>
      <w:r w:rsidR="00D72ABC" w:rsidRPr="008D3BC2">
        <w:rPr>
          <w:sz w:val="24"/>
          <w:szCs w:val="24"/>
        </w:rPr>
        <w:t>’</w:t>
      </w:r>
      <w:r w:rsidRPr="008D3BC2">
        <w:rPr>
          <w:sz w:val="24"/>
          <w:szCs w:val="24"/>
        </w:rPr>
        <w:t xml:space="preserve"> UK resident and subsequently does not have sole UK residence (</w:t>
      </w:r>
      <w:proofErr w:type="spellStart"/>
      <w:r w:rsidRPr="008D3BC2">
        <w:rPr>
          <w:sz w:val="24"/>
          <w:szCs w:val="24"/>
        </w:rPr>
        <w:t>ie</w:t>
      </w:r>
      <w:proofErr w:type="spellEnd"/>
      <w:r w:rsidRPr="008D3BC2">
        <w:rPr>
          <w:sz w:val="24"/>
          <w:szCs w:val="24"/>
        </w:rPr>
        <w:t xml:space="preserve">, </w:t>
      </w:r>
      <w:r w:rsidR="00D72ABC" w:rsidRPr="008D3BC2">
        <w:rPr>
          <w:sz w:val="24"/>
          <w:szCs w:val="24"/>
        </w:rPr>
        <w:t xml:space="preserve">the sole requirement meaning the individual is not </w:t>
      </w:r>
      <w:r w:rsidRPr="008D3BC2">
        <w:rPr>
          <w:sz w:val="24"/>
          <w:szCs w:val="24"/>
        </w:rPr>
        <w:t>a non</w:t>
      </w:r>
      <w:r w:rsidRPr="008D3BC2">
        <w:rPr>
          <w:sz w:val="24"/>
          <w:szCs w:val="24"/>
        </w:rPr>
        <w:noBreakHyphen/>
        <w:t>resident</w:t>
      </w:r>
      <w:r w:rsidR="00D72ABC" w:rsidRPr="008D3BC2">
        <w:rPr>
          <w:sz w:val="24"/>
          <w:szCs w:val="24"/>
        </w:rPr>
        <w:t xml:space="preserve"> and not a foreign resident under a double tax treaty</w:t>
      </w:r>
      <w:r w:rsidRPr="008D3BC2">
        <w:rPr>
          <w:sz w:val="24"/>
          <w:szCs w:val="24"/>
        </w:rPr>
        <w:t>);</w:t>
      </w:r>
    </w:p>
    <w:p w14:paraId="773F21AE" w14:textId="77777777" w:rsidR="00C87721" w:rsidRPr="008D3BC2" w:rsidRDefault="00C87721" w:rsidP="004C1D28">
      <w:pPr>
        <w:pStyle w:val="ListParagraph"/>
        <w:numPr>
          <w:ilvl w:val="0"/>
          <w:numId w:val="25"/>
        </w:numPr>
        <w:rPr>
          <w:sz w:val="24"/>
          <w:szCs w:val="24"/>
        </w:rPr>
      </w:pPr>
      <w:r w:rsidRPr="008D3BC2">
        <w:rPr>
          <w:sz w:val="24"/>
          <w:szCs w:val="24"/>
        </w:rPr>
        <w:t xml:space="preserve">in the immediately preceding  7 tax years, 4 or more must have </w:t>
      </w:r>
      <w:r w:rsidR="00D72ABC" w:rsidRPr="008D3BC2">
        <w:rPr>
          <w:sz w:val="24"/>
          <w:szCs w:val="24"/>
        </w:rPr>
        <w:t>included a period in which the individual was a ‘sole’ UK resident; and</w:t>
      </w:r>
    </w:p>
    <w:p w14:paraId="4BFBFB95" w14:textId="77777777" w:rsidR="009E7E19" w:rsidRPr="008D3BC2" w:rsidRDefault="00D72ABC" w:rsidP="004C1D28">
      <w:pPr>
        <w:pStyle w:val="ListParagraph"/>
        <w:numPr>
          <w:ilvl w:val="0"/>
          <w:numId w:val="25"/>
        </w:numPr>
        <w:rPr>
          <w:sz w:val="24"/>
          <w:szCs w:val="24"/>
        </w:rPr>
      </w:pPr>
      <w:proofErr w:type="gramStart"/>
      <w:r w:rsidRPr="008D3BC2">
        <w:rPr>
          <w:sz w:val="24"/>
          <w:szCs w:val="24"/>
        </w:rPr>
        <w:t>the</w:t>
      </w:r>
      <w:proofErr w:type="gramEnd"/>
      <w:r w:rsidRPr="008D3BC2">
        <w:rPr>
          <w:sz w:val="24"/>
          <w:szCs w:val="24"/>
        </w:rPr>
        <w:t xml:space="preserve"> period of non</w:t>
      </w:r>
      <w:r w:rsidRPr="008D3BC2">
        <w:rPr>
          <w:sz w:val="24"/>
          <w:szCs w:val="24"/>
        </w:rPr>
        <w:noBreakHyphen/>
        <w:t>residence is 5 years or less.</w:t>
      </w:r>
    </w:p>
    <w:p w14:paraId="1CEF6836" w14:textId="77777777" w:rsidR="00D72ABC" w:rsidRPr="008D3BC2" w:rsidRDefault="00D72ABC" w:rsidP="009E7E19">
      <w:pPr>
        <w:spacing w:after="240"/>
        <w:rPr>
          <w:sz w:val="24"/>
          <w:szCs w:val="24"/>
        </w:rPr>
      </w:pPr>
      <w:r w:rsidRPr="008D3BC2">
        <w:rPr>
          <w:sz w:val="24"/>
          <w:szCs w:val="24"/>
        </w:rPr>
        <w:t>Upon resuming residency, the individual is required to pay tax on the relevant income and gains.</w:t>
      </w:r>
    </w:p>
    <w:p w14:paraId="277D945E" w14:textId="77777777" w:rsidR="00D72ABC" w:rsidRPr="008D3BC2" w:rsidRDefault="00C87721" w:rsidP="009E7E19">
      <w:pPr>
        <w:spacing w:after="240"/>
        <w:rPr>
          <w:sz w:val="24"/>
          <w:szCs w:val="24"/>
        </w:rPr>
      </w:pPr>
      <w:r w:rsidRPr="008D3BC2">
        <w:rPr>
          <w:sz w:val="24"/>
          <w:szCs w:val="24"/>
        </w:rPr>
        <w:t xml:space="preserve">An approach of this kind </w:t>
      </w:r>
      <w:r w:rsidR="00D72ABC" w:rsidRPr="008D3BC2">
        <w:rPr>
          <w:sz w:val="24"/>
          <w:szCs w:val="24"/>
        </w:rPr>
        <w:t xml:space="preserve">in Australia would provide </w:t>
      </w:r>
      <w:r w:rsidRPr="008D3BC2">
        <w:rPr>
          <w:sz w:val="24"/>
          <w:szCs w:val="24"/>
        </w:rPr>
        <w:t xml:space="preserve">certainty </w:t>
      </w:r>
      <w:r w:rsidR="00D72ABC" w:rsidRPr="008D3BC2">
        <w:rPr>
          <w:sz w:val="24"/>
          <w:szCs w:val="24"/>
        </w:rPr>
        <w:t>by simply adopting a rule that eliminates the incentive to become a non</w:t>
      </w:r>
      <w:r w:rsidR="00D72ABC" w:rsidRPr="008D3BC2">
        <w:rPr>
          <w:sz w:val="24"/>
          <w:szCs w:val="24"/>
        </w:rPr>
        <w:noBreakHyphen/>
        <w:t xml:space="preserve">resident for a short period of time simply for tax reasons. </w:t>
      </w:r>
      <w:r w:rsidR="00A22B44" w:rsidRPr="008D3BC2">
        <w:rPr>
          <w:sz w:val="24"/>
          <w:szCs w:val="24"/>
        </w:rPr>
        <w:t>It also likely reduces collection difficulties that may arise for the measures outlined above.</w:t>
      </w:r>
    </w:p>
    <w:p w14:paraId="17B1AF32" w14:textId="77777777" w:rsidR="00C87721" w:rsidRPr="008D3BC2" w:rsidRDefault="00D72ABC" w:rsidP="009E7E19">
      <w:pPr>
        <w:spacing w:after="240"/>
        <w:rPr>
          <w:b/>
          <w:color w:val="002060"/>
          <w:sz w:val="28"/>
        </w:rPr>
      </w:pPr>
      <w:r w:rsidRPr="008D3BC2">
        <w:rPr>
          <w:sz w:val="24"/>
          <w:szCs w:val="24"/>
        </w:rPr>
        <w:t>While it will also impact Australian expatriates should they spend up to 5 years abroad by imposing tax upon their return, it would be expected that any foreign employment income would be excluded from such a tax.</w:t>
      </w:r>
    </w:p>
    <w:p w14:paraId="169ACADD" w14:textId="77777777" w:rsidR="00C87721" w:rsidRPr="008D3BC2" w:rsidRDefault="00C87721" w:rsidP="00C87721">
      <w:pPr>
        <w:spacing w:after="240"/>
        <w:rPr>
          <w:b/>
          <w:color w:val="002060"/>
          <w:sz w:val="28"/>
        </w:rPr>
      </w:pPr>
      <w:r w:rsidRPr="008D3BC2">
        <w:rPr>
          <w:b/>
          <w:color w:val="002060"/>
          <w:sz w:val="28"/>
        </w:rPr>
        <w:t>Schemes to establish residency</w:t>
      </w:r>
    </w:p>
    <w:p w14:paraId="4B652E84" w14:textId="3B853E3A" w:rsidR="004F7A2B" w:rsidRPr="008D3BC2" w:rsidRDefault="006000F1" w:rsidP="004F7A2B">
      <w:pPr>
        <w:pStyle w:val="ListParagraph"/>
        <w:ind w:left="0"/>
        <w:rPr>
          <w:sz w:val="24"/>
          <w:szCs w:val="24"/>
        </w:rPr>
      </w:pPr>
      <w:r w:rsidRPr="008D3BC2">
        <w:rPr>
          <w:sz w:val="24"/>
          <w:szCs w:val="24"/>
        </w:rPr>
        <w:t>I</w:t>
      </w:r>
      <w:r w:rsidR="004F7A2B" w:rsidRPr="008D3BC2">
        <w:rPr>
          <w:sz w:val="24"/>
          <w:szCs w:val="24"/>
        </w:rPr>
        <w:t>t is possible that individuals may seek to establish residency in Australia to obtain access to the tax free threshold. It is not proposed that the new rules would address any such issues – the Board is not</w:t>
      </w:r>
      <w:r w:rsidR="00770B37" w:rsidRPr="008D3BC2">
        <w:rPr>
          <w:sz w:val="24"/>
          <w:szCs w:val="24"/>
        </w:rPr>
        <w:t xml:space="preserve"> generally</w:t>
      </w:r>
      <w:r w:rsidR="004F7A2B" w:rsidRPr="008D3BC2">
        <w:rPr>
          <w:sz w:val="24"/>
          <w:szCs w:val="24"/>
        </w:rPr>
        <w:t xml:space="preserve"> aware of </w:t>
      </w:r>
      <w:r w:rsidR="00285C5A">
        <w:rPr>
          <w:sz w:val="24"/>
          <w:szCs w:val="24"/>
        </w:rPr>
        <w:t xml:space="preserve">prevalent </w:t>
      </w:r>
      <w:r w:rsidR="004F7A2B" w:rsidRPr="008D3BC2">
        <w:rPr>
          <w:sz w:val="24"/>
          <w:szCs w:val="24"/>
        </w:rPr>
        <w:t xml:space="preserve">schemes to establish residency and it is expected that this </w:t>
      </w:r>
      <w:r w:rsidR="00C165E6" w:rsidRPr="008D3BC2">
        <w:rPr>
          <w:sz w:val="24"/>
          <w:szCs w:val="24"/>
        </w:rPr>
        <w:t xml:space="preserve">may be </w:t>
      </w:r>
      <w:r w:rsidR="004F7A2B" w:rsidRPr="008D3BC2">
        <w:rPr>
          <w:sz w:val="24"/>
          <w:szCs w:val="24"/>
        </w:rPr>
        <w:t xml:space="preserve">due to the wider implications of tax on </w:t>
      </w:r>
      <w:r w:rsidR="00C165E6" w:rsidRPr="008D3BC2">
        <w:rPr>
          <w:sz w:val="24"/>
          <w:szCs w:val="24"/>
        </w:rPr>
        <w:t>global (</w:t>
      </w:r>
      <w:r w:rsidR="004F7A2B" w:rsidRPr="008D3BC2">
        <w:rPr>
          <w:sz w:val="24"/>
          <w:szCs w:val="24"/>
        </w:rPr>
        <w:t>worldwide</w:t>
      </w:r>
      <w:r w:rsidR="00C165E6" w:rsidRPr="008D3BC2">
        <w:rPr>
          <w:sz w:val="24"/>
          <w:szCs w:val="24"/>
        </w:rPr>
        <w:t>)</w:t>
      </w:r>
      <w:r w:rsidR="004F7A2B" w:rsidRPr="008D3BC2">
        <w:rPr>
          <w:sz w:val="24"/>
          <w:szCs w:val="24"/>
        </w:rPr>
        <w:t xml:space="preserve"> income</w:t>
      </w:r>
      <w:r w:rsidR="00C165E6" w:rsidRPr="008D3BC2">
        <w:rPr>
          <w:sz w:val="24"/>
          <w:szCs w:val="24"/>
        </w:rPr>
        <w:t xml:space="preserve"> of residents</w:t>
      </w:r>
      <w:r w:rsidR="004F7A2B" w:rsidRPr="008D3BC2">
        <w:rPr>
          <w:sz w:val="24"/>
          <w:szCs w:val="24"/>
        </w:rPr>
        <w:t xml:space="preserve">. This </w:t>
      </w:r>
      <w:r w:rsidR="00C165E6" w:rsidRPr="008D3BC2">
        <w:rPr>
          <w:sz w:val="24"/>
          <w:szCs w:val="24"/>
        </w:rPr>
        <w:t xml:space="preserve">may </w:t>
      </w:r>
      <w:r w:rsidR="004F7A2B" w:rsidRPr="008D3BC2">
        <w:rPr>
          <w:sz w:val="24"/>
          <w:szCs w:val="24"/>
        </w:rPr>
        <w:t>neutralise</w:t>
      </w:r>
      <w:r w:rsidR="00C165E6" w:rsidRPr="008D3BC2">
        <w:rPr>
          <w:sz w:val="24"/>
          <w:szCs w:val="24"/>
        </w:rPr>
        <w:t>,</w:t>
      </w:r>
      <w:r w:rsidR="004F7A2B" w:rsidRPr="008D3BC2">
        <w:rPr>
          <w:sz w:val="24"/>
          <w:szCs w:val="24"/>
        </w:rPr>
        <w:t xml:space="preserve"> or outweigh</w:t>
      </w:r>
      <w:r w:rsidR="00C165E6" w:rsidRPr="008D3BC2">
        <w:rPr>
          <w:sz w:val="24"/>
          <w:szCs w:val="24"/>
        </w:rPr>
        <w:t>,</w:t>
      </w:r>
      <w:r w:rsidR="004F7A2B" w:rsidRPr="008D3BC2">
        <w:rPr>
          <w:sz w:val="24"/>
          <w:szCs w:val="24"/>
        </w:rPr>
        <w:t xml:space="preserve"> </w:t>
      </w:r>
      <w:r w:rsidR="00C165E6" w:rsidRPr="008D3BC2">
        <w:rPr>
          <w:sz w:val="24"/>
          <w:szCs w:val="24"/>
        </w:rPr>
        <w:t xml:space="preserve">any </w:t>
      </w:r>
      <w:r w:rsidR="004F7A2B" w:rsidRPr="008D3BC2">
        <w:rPr>
          <w:sz w:val="24"/>
          <w:szCs w:val="24"/>
        </w:rPr>
        <w:t>potential tax benefits.</w:t>
      </w:r>
    </w:p>
    <w:p w14:paraId="03B65A92" w14:textId="77777777" w:rsidR="004F7A2B" w:rsidRPr="008D3BC2" w:rsidRDefault="004F7A2B" w:rsidP="004F7A2B">
      <w:pPr>
        <w:pStyle w:val="ListParagraph"/>
        <w:ind w:left="0"/>
        <w:rPr>
          <w:sz w:val="24"/>
          <w:szCs w:val="24"/>
        </w:rPr>
      </w:pPr>
    </w:p>
    <w:p w14:paraId="05BD33A3" w14:textId="3C73A9EE" w:rsidR="004F7A2B" w:rsidRPr="008D3BC2" w:rsidRDefault="004F7A2B" w:rsidP="004F7A2B">
      <w:pPr>
        <w:pStyle w:val="ListParagraph"/>
        <w:ind w:left="0"/>
        <w:rPr>
          <w:sz w:val="24"/>
          <w:szCs w:val="24"/>
        </w:rPr>
      </w:pPr>
      <w:r w:rsidRPr="008D3BC2">
        <w:rPr>
          <w:sz w:val="24"/>
          <w:szCs w:val="24"/>
        </w:rPr>
        <w:t xml:space="preserve">However, there </w:t>
      </w:r>
      <w:r w:rsidR="00ED37BD">
        <w:rPr>
          <w:sz w:val="24"/>
          <w:szCs w:val="24"/>
        </w:rPr>
        <w:t xml:space="preserve">are </w:t>
      </w:r>
      <w:r w:rsidRPr="008D3BC2">
        <w:rPr>
          <w:sz w:val="24"/>
          <w:szCs w:val="24"/>
        </w:rPr>
        <w:t xml:space="preserve">tax </w:t>
      </w:r>
      <w:r w:rsidR="00285C5A">
        <w:rPr>
          <w:sz w:val="24"/>
          <w:szCs w:val="24"/>
        </w:rPr>
        <w:t xml:space="preserve">measures </w:t>
      </w:r>
      <w:r w:rsidR="00C4285B">
        <w:rPr>
          <w:sz w:val="24"/>
          <w:szCs w:val="24"/>
        </w:rPr>
        <w:t xml:space="preserve">other than the tax free threshold </w:t>
      </w:r>
      <w:r w:rsidR="00ED37BD">
        <w:rPr>
          <w:sz w:val="24"/>
          <w:szCs w:val="24"/>
        </w:rPr>
        <w:t xml:space="preserve">where residency status is </w:t>
      </w:r>
      <w:r w:rsidR="00C4285B">
        <w:rPr>
          <w:sz w:val="24"/>
          <w:szCs w:val="24"/>
        </w:rPr>
        <w:t xml:space="preserve">also </w:t>
      </w:r>
      <w:r w:rsidR="00ED37BD">
        <w:rPr>
          <w:sz w:val="24"/>
          <w:szCs w:val="24"/>
        </w:rPr>
        <w:t xml:space="preserve">relevant </w:t>
      </w:r>
      <w:r w:rsidRPr="008D3BC2">
        <w:rPr>
          <w:sz w:val="24"/>
          <w:szCs w:val="24"/>
        </w:rPr>
        <w:t>(</w:t>
      </w:r>
      <w:proofErr w:type="spellStart"/>
      <w:r w:rsidRPr="008D3BC2">
        <w:rPr>
          <w:sz w:val="24"/>
          <w:szCs w:val="24"/>
        </w:rPr>
        <w:t>e</w:t>
      </w:r>
      <w:r w:rsidR="00ED37BD">
        <w:rPr>
          <w:sz w:val="24"/>
          <w:szCs w:val="24"/>
        </w:rPr>
        <w:t>g</w:t>
      </w:r>
      <w:proofErr w:type="spellEnd"/>
      <w:r w:rsidRPr="008D3BC2">
        <w:rPr>
          <w:sz w:val="24"/>
          <w:szCs w:val="24"/>
        </w:rPr>
        <w:t>, the CGT discount</w:t>
      </w:r>
      <w:r w:rsidR="00285C5A">
        <w:rPr>
          <w:sz w:val="24"/>
          <w:szCs w:val="24"/>
        </w:rPr>
        <w:t xml:space="preserve">, certain CGT roll-overs, CGT </w:t>
      </w:r>
      <w:r w:rsidRPr="008D3BC2">
        <w:rPr>
          <w:sz w:val="24"/>
          <w:szCs w:val="24"/>
        </w:rPr>
        <w:t>main residence exemption</w:t>
      </w:r>
      <w:r w:rsidR="00C4285B">
        <w:rPr>
          <w:sz w:val="24"/>
          <w:szCs w:val="24"/>
        </w:rPr>
        <w:t xml:space="preserve">, </w:t>
      </w:r>
      <w:r w:rsidR="001A78CB">
        <w:rPr>
          <w:sz w:val="24"/>
          <w:szCs w:val="24"/>
        </w:rPr>
        <w:t>certain</w:t>
      </w:r>
      <w:r w:rsidR="00C4285B">
        <w:rPr>
          <w:sz w:val="24"/>
          <w:szCs w:val="24"/>
        </w:rPr>
        <w:t xml:space="preserve"> withholding taxes, </w:t>
      </w:r>
      <w:r w:rsidR="00ED37BD">
        <w:rPr>
          <w:sz w:val="24"/>
          <w:szCs w:val="24"/>
        </w:rPr>
        <w:t>etc.</w:t>
      </w:r>
      <w:r w:rsidRPr="008D3BC2">
        <w:rPr>
          <w:sz w:val="24"/>
          <w:szCs w:val="24"/>
        </w:rPr>
        <w:t xml:space="preserve">). The Board seeks views on the </w:t>
      </w:r>
      <w:r w:rsidR="00C4285B">
        <w:rPr>
          <w:sz w:val="24"/>
          <w:szCs w:val="24"/>
        </w:rPr>
        <w:t xml:space="preserve">accuracy of the </w:t>
      </w:r>
      <w:r w:rsidRPr="008D3BC2">
        <w:rPr>
          <w:sz w:val="24"/>
          <w:szCs w:val="24"/>
        </w:rPr>
        <w:t>above assumption regarding worldwide income</w:t>
      </w:r>
      <w:r w:rsidR="00C4285B">
        <w:rPr>
          <w:sz w:val="24"/>
          <w:szCs w:val="24"/>
        </w:rPr>
        <w:t xml:space="preserve"> given these types of tax measures</w:t>
      </w:r>
      <w:r w:rsidRPr="008D3BC2">
        <w:rPr>
          <w:sz w:val="24"/>
          <w:szCs w:val="24"/>
        </w:rPr>
        <w:t xml:space="preserve">, and whether </w:t>
      </w:r>
      <w:r w:rsidR="00285C5A">
        <w:rPr>
          <w:sz w:val="24"/>
          <w:szCs w:val="24"/>
        </w:rPr>
        <w:t xml:space="preserve">there are </w:t>
      </w:r>
      <w:r w:rsidRPr="008D3BC2">
        <w:rPr>
          <w:sz w:val="24"/>
          <w:szCs w:val="24"/>
        </w:rPr>
        <w:t xml:space="preserve">any arrangements to resume residency </w:t>
      </w:r>
      <w:r w:rsidR="00C4285B">
        <w:rPr>
          <w:sz w:val="24"/>
          <w:szCs w:val="24"/>
        </w:rPr>
        <w:t xml:space="preserve">(or establish dual residency) </w:t>
      </w:r>
      <w:r w:rsidRPr="008D3BC2">
        <w:rPr>
          <w:sz w:val="24"/>
          <w:szCs w:val="24"/>
        </w:rPr>
        <w:t xml:space="preserve">for a period of time to access </w:t>
      </w:r>
      <w:r w:rsidR="00206613">
        <w:rPr>
          <w:sz w:val="24"/>
          <w:szCs w:val="24"/>
        </w:rPr>
        <w:t xml:space="preserve">certain resident-only </w:t>
      </w:r>
      <w:r w:rsidRPr="008D3BC2">
        <w:rPr>
          <w:sz w:val="24"/>
          <w:szCs w:val="24"/>
        </w:rPr>
        <w:t xml:space="preserve">concessions. </w:t>
      </w:r>
    </w:p>
    <w:p w14:paraId="4672A837" w14:textId="77777777" w:rsidR="004F7A2B" w:rsidRPr="008D3BC2" w:rsidRDefault="004F7A2B" w:rsidP="004F7A2B">
      <w:pPr>
        <w:pStyle w:val="ListParagraph"/>
        <w:ind w:left="0"/>
        <w:rPr>
          <w:sz w:val="24"/>
          <w:szCs w:val="24"/>
        </w:rPr>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4F7A2B" w:rsidRPr="008D3BC2" w14:paraId="2EC10437" w14:textId="77777777" w:rsidTr="00AE60FB">
        <w:tc>
          <w:tcPr>
            <w:tcW w:w="5000" w:type="pct"/>
            <w:shd w:val="clear" w:color="auto" w:fill="EBEBEB"/>
          </w:tcPr>
          <w:p w14:paraId="37AC2211" w14:textId="77777777" w:rsidR="004F7A2B" w:rsidRPr="008D3BC2" w:rsidRDefault="004F7A2B" w:rsidP="00AE60FB">
            <w:pPr>
              <w:pStyle w:val="BoxHeading"/>
            </w:pPr>
            <w:r w:rsidRPr="008D3BC2">
              <w:t>Questions</w:t>
            </w:r>
          </w:p>
          <w:p w14:paraId="61A3C914" w14:textId="77777777" w:rsidR="00614B57" w:rsidRPr="008D3BC2" w:rsidRDefault="00614B57" w:rsidP="00614B57">
            <w:pPr>
              <w:pStyle w:val="BoxText"/>
              <w:numPr>
                <w:ilvl w:val="0"/>
                <w:numId w:val="14"/>
              </w:numPr>
            </w:pPr>
            <w:r w:rsidRPr="008D3BC2">
              <w:rPr>
                <w:szCs w:val="22"/>
              </w:rPr>
              <w:t>Other than the resident of nowhere phenomenon, what other arrangements that should be taken into account when designing an integrity rule for residency?</w:t>
            </w:r>
          </w:p>
          <w:p w14:paraId="6365FB7A" w14:textId="77777777" w:rsidR="00614B57" w:rsidRPr="008D3BC2" w:rsidRDefault="00614B57" w:rsidP="00614B57">
            <w:pPr>
              <w:pStyle w:val="BoxText"/>
              <w:numPr>
                <w:ilvl w:val="0"/>
                <w:numId w:val="14"/>
              </w:numPr>
            </w:pPr>
            <w:r w:rsidRPr="008D3BC2">
              <w:t xml:space="preserve">Which of the options described best guard against short-term gaming that may allow otherwise taxable </w:t>
            </w:r>
            <w:proofErr w:type="gramStart"/>
            <w:r w:rsidRPr="008D3BC2">
              <w:t>income,</w:t>
            </w:r>
            <w:proofErr w:type="gramEnd"/>
            <w:r w:rsidRPr="008D3BC2">
              <w:t xml:space="preserve"> profits or gains to become exempt from Australian tax under either the current or proposed rules?</w:t>
            </w:r>
          </w:p>
          <w:p w14:paraId="5A6D50C9" w14:textId="3C4AE10F" w:rsidR="004F7A2B" w:rsidRPr="008D3BC2" w:rsidRDefault="00614B57" w:rsidP="00206613">
            <w:pPr>
              <w:pStyle w:val="BoxText"/>
              <w:numPr>
                <w:ilvl w:val="0"/>
                <w:numId w:val="14"/>
              </w:numPr>
            </w:pPr>
            <w:r w:rsidRPr="008D3BC2">
              <w:rPr>
                <w:szCs w:val="22"/>
              </w:rPr>
              <w:t>Are you aware of any arrangements which primarily seek to take advantage of resident</w:t>
            </w:r>
            <w:r w:rsidRPr="008D3BC2">
              <w:rPr>
                <w:szCs w:val="22"/>
              </w:rPr>
              <w:noBreakHyphen/>
              <w:t>only tax outcomes? If so, please explain.</w:t>
            </w:r>
          </w:p>
        </w:tc>
      </w:tr>
    </w:tbl>
    <w:p w14:paraId="3DCB799D" w14:textId="77777777" w:rsidR="004F7A2B" w:rsidRPr="008D3BC2" w:rsidRDefault="004F7A2B" w:rsidP="004F7A2B">
      <w:pPr>
        <w:pStyle w:val="ListParagraph"/>
        <w:ind w:left="0"/>
        <w:rPr>
          <w:sz w:val="24"/>
          <w:szCs w:val="24"/>
        </w:rPr>
      </w:pPr>
    </w:p>
    <w:p w14:paraId="42054863" w14:textId="77777777" w:rsidR="004F7A2B" w:rsidRPr="008D3BC2" w:rsidRDefault="004F7A2B" w:rsidP="004F7A2B">
      <w:pPr>
        <w:pStyle w:val="ListParagraph"/>
        <w:ind w:left="0"/>
        <w:rPr>
          <w:sz w:val="24"/>
          <w:szCs w:val="24"/>
        </w:rPr>
      </w:pPr>
      <w:r w:rsidRPr="008D3BC2">
        <w:rPr>
          <w:sz w:val="24"/>
          <w:szCs w:val="24"/>
        </w:rPr>
        <w:t>There are also more fundamental shift</w:t>
      </w:r>
      <w:r w:rsidR="006000F1" w:rsidRPr="008D3BC2">
        <w:rPr>
          <w:sz w:val="24"/>
          <w:szCs w:val="24"/>
        </w:rPr>
        <w:t>s</w:t>
      </w:r>
      <w:r w:rsidRPr="008D3BC2">
        <w:rPr>
          <w:sz w:val="24"/>
          <w:szCs w:val="24"/>
        </w:rPr>
        <w:t xml:space="preserve"> in income tax policy that may address integrity issues that arise for manipulating residency. While these are more significant than the above integrity rules, they are included for context and completeness</w:t>
      </w:r>
      <w:r w:rsidR="00DB5995" w:rsidRPr="008D3BC2">
        <w:rPr>
          <w:sz w:val="24"/>
          <w:szCs w:val="24"/>
        </w:rPr>
        <w:t>. The Board is interested in views about whether these policy settings may be more appropriate.</w:t>
      </w:r>
    </w:p>
    <w:p w14:paraId="5FB6DB53" w14:textId="77777777" w:rsidR="004F7A2B" w:rsidRPr="008D3BC2" w:rsidRDefault="004F7A2B" w:rsidP="004F7A2B">
      <w:pPr>
        <w:pStyle w:val="ListParagraph"/>
        <w:ind w:left="0"/>
        <w:rPr>
          <w:sz w:val="24"/>
          <w:szCs w:val="24"/>
        </w:rPr>
      </w:pPr>
    </w:p>
    <w:p w14:paraId="0508E56F" w14:textId="77777777" w:rsidR="00AB6D7C" w:rsidRPr="008D3BC2" w:rsidRDefault="00AB6D7C" w:rsidP="00AB6D7C">
      <w:pPr>
        <w:spacing w:after="240"/>
        <w:rPr>
          <w:b/>
          <w:color w:val="002060"/>
          <w:sz w:val="28"/>
        </w:rPr>
      </w:pPr>
      <w:r w:rsidRPr="008D3BC2">
        <w:rPr>
          <w:b/>
          <w:color w:val="002060"/>
          <w:sz w:val="28"/>
        </w:rPr>
        <w:t xml:space="preserve">United States: citizens and permanent </w:t>
      </w:r>
      <w:proofErr w:type="gramStart"/>
      <w:r w:rsidRPr="008D3BC2">
        <w:rPr>
          <w:b/>
          <w:color w:val="002060"/>
          <w:sz w:val="28"/>
        </w:rPr>
        <w:t>residents</w:t>
      </w:r>
      <w:proofErr w:type="gramEnd"/>
      <w:r w:rsidR="00C165E6" w:rsidRPr="008D3BC2">
        <w:rPr>
          <w:b/>
          <w:color w:val="002060"/>
          <w:sz w:val="28"/>
        </w:rPr>
        <w:t xml:space="preserve"> standard</w:t>
      </w:r>
    </w:p>
    <w:p w14:paraId="4156847A" w14:textId="77777777" w:rsidR="0011668D" w:rsidRPr="008D3BC2" w:rsidRDefault="0011668D" w:rsidP="0011668D">
      <w:pPr>
        <w:pStyle w:val="ListParagraph"/>
        <w:ind w:left="0"/>
        <w:rPr>
          <w:sz w:val="24"/>
          <w:szCs w:val="24"/>
        </w:rPr>
      </w:pPr>
      <w:r w:rsidRPr="008D3BC2">
        <w:rPr>
          <w:sz w:val="24"/>
          <w:szCs w:val="24"/>
        </w:rPr>
        <w:t>The rules may deem residency for certain individuals regardless of their circumstances. In the United States, citizens and permanent residents are subject to tax on their worldwide income regardless of residency, where citizens must renounce their citizenship</w:t>
      </w:r>
      <w:r w:rsidR="00C165E6" w:rsidRPr="008D3BC2">
        <w:rPr>
          <w:sz w:val="24"/>
          <w:szCs w:val="24"/>
        </w:rPr>
        <w:t xml:space="preserve">, or permanent residents relinquish this status, </w:t>
      </w:r>
      <w:r w:rsidRPr="008D3BC2">
        <w:rPr>
          <w:sz w:val="24"/>
          <w:szCs w:val="24"/>
        </w:rPr>
        <w:t xml:space="preserve">to change this result (although this rule is subject to double tax treaties). It relies on foreign tax credit rules to ensure relief from double taxation is provided domestically on a credit basis. This </w:t>
      </w:r>
      <w:r w:rsidR="00C165E6" w:rsidRPr="008D3BC2">
        <w:rPr>
          <w:sz w:val="24"/>
          <w:szCs w:val="24"/>
        </w:rPr>
        <w:t xml:space="preserve">mechanism </w:t>
      </w:r>
      <w:r w:rsidRPr="008D3BC2">
        <w:rPr>
          <w:sz w:val="24"/>
          <w:szCs w:val="24"/>
        </w:rPr>
        <w:t>broaden</w:t>
      </w:r>
      <w:r w:rsidR="00C165E6" w:rsidRPr="008D3BC2">
        <w:rPr>
          <w:sz w:val="24"/>
          <w:szCs w:val="24"/>
        </w:rPr>
        <w:t>s</w:t>
      </w:r>
      <w:r w:rsidRPr="008D3BC2">
        <w:rPr>
          <w:sz w:val="24"/>
          <w:szCs w:val="24"/>
        </w:rPr>
        <w:t xml:space="preserve"> the tax base </w:t>
      </w:r>
      <w:r w:rsidR="00C165E6" w:rsidRPr="008D3BC2">
        <w:rPr>
          <w:sz w:val="24"/>
          <w:szCs w:val="24"/>
        </w:rPr>
        <w:t>and is arguably a simple, yet effective method, to address the integrity concern to a significant extent.</w:t>
      </w:r>
    </w:p>
    <w:p w14:paraId="2F251C28" w14:textId="77777777" w:rsidR="0011668D" w:rsidRPr="008D3BC2" w:rsidRDefault="00C165E6" w:rsidP="00C165E6">
      <w:pPr>
        <w:pStyle w:val="ListParagraph"/>
        <w:tabs>
          <w:tab w:val="left" w:pos="3864"/>
        </w:tabs>
      </w:pPr>
      <w:r w:rsidRPr="008D3BC2">
        <w:tab/>
      </w:r>
    </w:p>
    <w:p w14:paraId="3DB5EA39" w14:textId="77777777" w:rsidR="004C7843" w:rsidRPr="008D3BC2" w:rsidRDefault="00D647CA" w:rsidP="00D647CA">
      <w:pPr>
        <w:pStyle w:val="ListParagraph"/>
        <w:ind w:left="0"/>
        <w:rPr>
          <w:sz w:val="24"/>
          <w:szCs w:val="24"/>
        </w:rPr>
      </w:pPr>
      <w:r w:rsidRPr="008D3BC2">
        <w:rPr>
          <w:sz w:val="24"/>
          <w:szCs w:val="24"/>
        </w:rPr>
        <w:t xml:space="preserve">Alternatively, an option that links double tax treaties to residency may be preferred. </w:t>
      </w:r>
      <w:r w:rsidR="004C7843" w:rsidRPr="008D3BC2">
        <w:rPr>
          <w:sz w:val="24"/>
          <w:szCs w:val="24"/>
        </w:rPr>
        <w:t xml:space="preserve">This option is similar to </w:t>
      </w:r>
      <w:r w:rsidR="0011668D" w:rsidRPr="008D3BC2">
        <w:rPr>
          <w:sz w:val="24"/>
          <w:szCs w:val="24"/>
        </w:rPr>
        <w:t>‘provably’ establishing</w:t>
      </w:r>
      <w:r w:rsidR="004C7843" w:rsidRPr="008D3BC2">
        <w:rPr>
          <w:sz w:val="24"/>
          <w:szCs w:val="24"/>
        </w:rPr>
        <w:t xml:space="preserve"> in another jurisdiction</w:t>
      </w:r>
      <w:r w:rsidR="0011668D" w:rsidRPr="008D3BC2">
        <w:rPr>
          <w:sz w:val="24"/>
          <w:szCs w:val="24"/>
        </w:rPr>
        <w:t>, using concepts more familiar to the Australian legal system rather than importing foreign legal requirements.</w:t>
      </w:r>
      <w:r w:rsidR="004C7843" w:rsidRPr="008D3BC2">
        <w:rPr>
          <w:sz w:val="24"/>
          <w:szCs w:val="24"/>
        </w:rPr>
        <w:t xml:space="preserve"> </w:t>
      </w:r>
      <w:r w:rsidR="0011668D" w:rsidRPr="008D3BC2">
        <w:rPr>
          <w:sz w:val="24"/>
          <w:szCs w:val="24"/>
        </w:rPr>
        <w:t xml:space="preserve">This could feasibly </w:t>
      </w:r>
      <w:r w:rsidR="004C7843" w:rsidRPr="008D3BC2">
        <w:rPr>
          <w:sz w:val="24"/>
          <w:szCs w:val="24"/>
        </w:rPr>
        <w:t xml:space="preserve">involve </w:t>
      </w:r>
      <w:r w:rsidR="0011668D" w:rsidRPr="008D3BC2">
        <w:rPr>
          <w:sz w:val="24"/>
          <w:szCs w:val="24"/>
        </w:rPr>
        <w:t xml:space="preserve">extending </w:t>
      </w:r>
      <w:r w:rsidR="004C7843" w:rsidRPr="008D3BC2">
        <w:rPr>
          <w:sz w:val="24"/>
          <w:szCs w:val="24"/>
        </w:rPr>
        <w:t xml:space="preserve">treaty-like </w:t>
      </w:r>
      <w:r w:rsidR="0011668D" w:rsidRPr="008D3BC2">
        <w:rPr>
          <w:sz w:val="24"/>
          <w:szCs w:val="24"/>
        </w:rPr>
        <w:t xml:space="preserve">conditions </w:t>
      </w:r>
      <w:r w:rsidR="004C7843" w:rsidRPr="008D3BC2">
        <w:rPr>
          <w:sz w:val="24"/>
          <w:szCs w:val="24"/>
        </w:rPr>
        <w:t>for individuals in non-treaty jurisdictions to ensure that the burden to cease re</w:t>
      </w:r>
      <w:r w:rsidR="0011668D" w:rsidRPr="008D3BC2">
        <w:rPr>
          <w:sz w:val="24"/>
          <w:szCs w:val="24"/>
        </w:rPr>
        <w:t>sidence is clearly identifiable; however, this may extend treaty benefits inappropriately to jurisdictions do not impose income tax.</w:t>
      </w:r>
    </w:p>
    <w:p w14:paraId="06E74F52" w14:textId="77777777" w:rsidR="00AB6D7C" w:rsidRPr="008D3BC2" w:rsidRDefault="00AB6D7C" w:rsidP="00AB6D7C">
      <w:pPr>
        <w:spacing w:after="240"/>
        <w:rPr>
          <w:b/>
          <w:color w:val="002060"/>
          <w:sz w:val="28"/>
        </w:rPr>
      </w:pPr>
      <w:r w:rsidRPr="008D3BC2">
        <w:rPr>
          <w:b/>
          <w:color w:val="002060"/>
          <w:sz w:val="28"/>
        </w:rPr>
        <w:t>United Kingdom: remittance taxation</w:t>
      </w:r>
    </w:p>
    <w:p w14:paraId="72DAC29F" w14:textId="77777777" w:rsidR="00AB6D7C" w:rsidRPr="008D3BC2" w:rsidRDefault="00AB6D7C" w:rsidP="00D647CA">
      <w:pPr>
        <w:pStyle w:val="ListParagraph"/>
        <w:ind w:left="0"/>
        <w:rPr>
          <w:sz w:val="24"/>
          <w:szCs w:val="24"/>
        </w:rPr>
      </w:pPr>
      <w:r w:rsidRPr="008D3BC2">
        <w:rPr>
          <w:sz w:val="24"/>
          <w:szCs w:val="24"/>
        </w:rPr>
        <w:t>The rules could be supplemented by some form of alternative taxation method for certain individuals, in order to provide a mechanism by which tax is collected but without increasing the com</w:t>
      </w:r>
      <w:r w:rsidR="004F7A2B" w:rsidRPr="008D3BC2">
        <w:rPr>
          <w:sz w:val="24"/>
          <w:szCs w:val="24"/>
        </w:rPr>
        <w:t>plexity of the residency rules</w:t>
      </w:r>
    </w:p>
    <w:p w14:paraId="4D6932B1" w14:textId="77777777" w:rsidR="00AB6D7C" w:rsidRPr="008D3BC2" w:rsidRDefault="00AB6D7C" w:rsidP="00D647CA">
      <w:pPr>
        <w:pStyle w:val="ListParagraph"/>
        <w:ind w:left="0"/>
        <w:rPr>
          <w:sz w:val="24"/>
          <w:szCs w:val="24"/>
        </w:rPr>
      </w:pPr>
    </w:p>
    <w:p w14:paraId="57CA7D8D" w14:textId="77777777" w:rsidR="00AB6D7C" w:rsidRPr="008D3BC2" w:rsidRDefault="00AB6D7C" w:rsidP="00D647CA">
      <w:pPr>
        <w:pStyle w:val="ListParagraph"/>
        <w:ind w:left="0"/>
        <w:rPr>
          <w:sz w:val="24"/>
          <w:szCs w:val="24"/>
        </w:rPr>
      </w:pPr>
      <w:r w:rsidRPr="008D3BC2">
        <w:rPr>
          <w:sz w:val="24"/>
          <w:szCs w:val="24"/>
        </w:rPr>
        <w:t>I</w:t>
      </w:r>
      <w:r w:rsidR="004C7843" w:rsidRPr="008D3BC2">
        <w:rPr>
          <w:sz w:val="24"/>
          <w:szCs w:val="24"/>
        </w:rPr>
        <w:t>n the UK</w:t>
      </w:r>
      <w:r w:rsidRPr="008D3BC2">
        <w:rPr>
          <w:sz w:val="24"/>
          <w:szCs w:val="24"/>
        </w:rPr>
        <w:t>,</w:t>
      </w:r>
      <w:r w:rsidR="004C7843" w:rsidRPr="008D3BC2">
        <w:rPr>
          <w:sz w:val="24"/>
          <w:szCs w:val="24"/>
        </w:rPr>
        <w:t xml:space="preserve"> a resident non-domicile remittance taxation system complements the statutory residency test.</w:t>
      </w:r>
      <w:r w:rsidRPr="008D3BC2">
        <w:rPr>
          <w:sz w:val="24"/>
          <w:szCs w:val="24"/>
        </w:rPr>
        <w:t xml:space="preserve"> </w:t>
      </w:r>
      <w:r w:rsidR="004F7A2B" w:rsidRPr="008D3BC2">
        <w:rPr>
          <w:sz w:val="24"/>
          <w:szCs w:val="24"/>
        </w:rPr>
        <w:t>. Generally, it reduces an incentive to achieve non</w:t>
      </w:r>
      <w:r w:rsidR="004F7A2B" w:rsidRPr="008D3BC2">
        <w:rPr>
          <w:sz w:val="24"/>
          <w:szCs w:val="24"/>
        </w:rPr>
        <w:noBreakHyphen/>
        <w:t>resident status by adopting a remittance, rather than arising, basis of taxation for foreign income and gains of resident non</w:t>
      </w:r>
      <w:r w:rsidR="004F7A2B" w:rsidRPr="008D3BC2">
        <w:rPr>
          <w:sz w:val="24"/>
          <w:szCs w:val="24"/>
        </w:rPr>
        <w:noBreakHyphen/>
        <w:t>domicile individuals – that is, foreign income and gains are only taxable in the UK when remitted.</w:t>
      </w:r>
      <w:r w:rsidR="004A738F" w:rsidRPr="008D3BC2">
        <w:rPr>
          <w:sz w:val="24"/>
          <w:szCs w:val="24"/>
        </w:rPr>
        <w:t xml:space="preserve"> There are also further rules that further complicate the remittance regime based on the concept of ‘ordinarily resident’.</w:t>
      </w:r>
    </w:p>
    <w:p w14:paraId="0E3F6E7B" w14:textId="77777777" w:rsidR="00AB6D7C" w:rsidRPr="008D3BC2" w:rsidRDefault="00AB6D7C" w:rsidP="00D647CA">
      <w:pPr>
        <w:pStyle w:val="ListParagraph"/>
        <w:ind w:left="0"/>
        <w:rPr>
          <w:sz w:val="24"/>
          <w:szCs w:val="24"/>
        </w:rPr>
      </w:pPr>
    </w:p>
    <w:p w14:paraId="327E1982" w14:textId="77777777" w:rsidR="004F7A2B" w:rsidRPr="008D3BC2" w:rsidRDefault="004C7843" w:rsidP="004C7843">
      <w:pPr>
        <w:pStyle w:val="ListParagraph"/>
        <w:ind w:left="0"/>
        <w:rPr>
          <w:sz w:val="24"/>
          <w:szCs w:val="24"/>
        </w:rPr>
      </w:pPr>
      <w:r w:rsidRPr="008D3BC2">
        <w:rPr>
          <w:sz w:val="24"/>
          <w:szCs w:val="24"/>
        </w:rPr>
        <w:t xml:space="preserve">This would be a significant divergence from existing policy settings, </w:t>
      </w:r>
      <w:r w:rsidR="00AB6D7C" w:rsidRPr="008D3BC2">
        <w:rPr>
          <w:sz w:val="24"/>
          <w:szCs w:val="24"/>
        </w:rPr>
        <w:t xml:space="preserve">but </w:t>
      </w:r>
      <w:r w:rsidRPr="008D3BC2">
        <w:rPr>
          <w:sz w:val="24"/>
          <w:szCs w:val="24"/>
        </w:rPr>
        <w:t xml:space="preserve">provides a clear distinction from the US </w:t>
      </w:r>
      <w:r w:rsidR="00AB6D7C" w:rsidRPr="008D3BC2">
        <w:rPr>
          <w:sz w:val="24"/>
          <w:szCs w:val="24"/>
        </w:rPr>
        <w:t>approach</w:t>
      </w:r>
      <w:r w:rsidRPr="008D3BC2">
        <w:rPr>
          <w:sz w:val="24"/>
          <w:szCs w:val="24"/>
        </w:rPr>
        <w:t xml:space="preserve">. </w:t>
      </w:r>
      <w:r w:rsidR="00AB6D7C" w:rsidRPr="008D3BC2">
        <w:rPr>
          <w:sz w:val="24"/>
          <w:szCs w:val="24"/>
        </w:rPr>
        <w:t>It</w:t>
      </w:r>
      <w:r w:rsidRPr="008D3BC2">
        <w:rPr>
          <w:sz w:val="24"/>
          <w:szCs w:val="24"/>
        </w:rPr>
        <w:t xml:space="preserve"> would require additional complexity</w:t>
      </w:r>
      <w:r w:rsidR="00AB6D7C" w:rsidRPr="008D3BC2">
        <w:rPr>
          <w:sz w:val="24"/>
          <w:szCs w:val="24"/>
        </w:rPr>
        <w:t xml:space="preserve"> and significant drafting resources</w:t>
      </w:r>
      <w:r w:rsidR="004F7A2B" w:rsidRPr="008D3BC2">
        <w:rPr>
          <w:sz w:val="24"/>
          <w:szCs w:val="24"/>
        </w:rPr>
        <w:t>, and may not address the fundamental issue of changes in residency status to achieve non</w:t>
      </w:r>
      <w:r w:rsidR="004F7A2B" w:rsidRPr="008D3BC2">
        <w:rPr>
          <w:sz w:val="24"/>
          <w:szCs w:val="24"/>
        </w:rPr>
        <w:noBreakHyphen/>
        <w:t>taxation.</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F628E1" w:rsidRPr="008D3BC2" w14:paraId="66AC600C" w14:textId="77777777" w:rsidTr="00AE60FB">
        <w:tc>
          <w:tcPr>
            <w:tcW w:w="5000" w:type="pct"/>
            <w:shd w:val="clear" w:color="auto" w:fill="EBEBEB"/>
          </w:tcPr>
          <w:p w14:paraId="2AA56C3D" w14:textId="77777777" w:rsidR="00F628E1" w:rsidRPr="008D3BC2" w:rsidRDefault="00F628E1" w:rsidP="00AE60FB">
            <w:pPr>
              <w:pStyle w:val="BoxHeading"/>
            </w:pPr>
            <w:r w:rsidRPr="008D3BC2">
              <w:t>Questions</w:t>
            </w:r>
          </w:p>
          <w:p w14:paraId="27363C19" w14:textId="77777777" w:rsidR="00F628E1" w:rsidRPr="008D3BC2" w:rsidRDefault="00614B57" w:rsidP="00614B57">
            <w:pPr>
              <w:pStyle w:val="OutlineNumbered1"/>
              <w:keepLines/>
              <w:numPr>
                <w:ilvl w:val="0"/>
                <w:numId w:val="14"/>
              </w:numPr>
              <w:spacing w:after="160" w:line="259" w:lineRule="auto"/>
              <w:rPr>
                <w:szCs w:val="22"/>
              </w:rPr>
            </w:pPr>
            <w:r w:rsidRPr="008D3BC2">
              <w:rPr>
                <w:szCs w:val="22"/>
              </w:rPr>
              <w:t>Do you think that a strict citizen-based residence test or a remittance based regime would improve the income tax system and/or complement new residency rules?</w:t>
            </w:r>
          </w:p>
        </w:tc>
      </w:tr>
    </w:tbl>
    <w:p w14:paraId="7DEDABCF" w14:textId="77777777" w:rsidR="00D231DC" w:rsidRPr="008D3BC2" w:rsidRDefault="00D231DC">
      <w:pPr>
        <w:spacing w:before="0" w:after="160" w:line="259" w:lineRule="auto"/>
        <w:rPr>
          <w:sz w:val="24"/>
          <w:szCs w:val="24"/>
          <w:lang w:eastAsia="en-US"/>
        </w:rPr>
      </w:pPr>
      <w:r w:rsidRPr="008D3BC2">
        <w:rPr>
          <w:sz w:val="24"/>
          <w:szCs w:val="24"/>
        </w:rPr>
        <w:br w:type="page"/>
      </w:r>
    </w:p>
    <w:p w14:paraId="21E52348" w14:textId="77777777" w:rsidR="00CF1A8F" w:rsidRPr="008D3BC2" w:rsidRDefault="00236DC1" w:rsidP="002C251F">
      <w:pPr>
        <w:pStyle w:val="ListParagraph"/>
        <w:numPr>
          <w:ilvl w:val="0"/>
          <w:numId w:val="11"/>
        </w:numPr>
        <w:spacing w:after="240"/>
        <w:ind w:left="426" w:hanging="284"/>
        <w:rPr>
          <w:b/>
          <w:color w:val="002060"/>
          <w:sz w:val="36"/>
        </w:rPr>
      </w:pPr>
      <w:r w:rsidRPr="008D3BC2">
        <w:rPr>
          <w:b/>
          <w:color w:val="002060"/>
          <w:sz w:val="36"/>
        </w:rPr>
        <w:t>The superannuation test</w:t>
      </w:r>
      <w:r w:rsidR="00CF1A8F" w:rsidRPr="008D3BC2">
        <w:rPr>
          <w:b/>
          <w:color w:val="002060"/>
          <w:sz w:val="36"/>
        </w:rPr>
        <w:t>: options for reform</w:t>
      </w:r>
    </w:p>
    <w:p w14:paraId="6E873707" w14:textId="77777777" w:rsidR="008367EC" w:rsidRPr="008D3BC2" w:rsidRDefault="00236DC1" w:rsidP="006000F1">
      <w:pPr>
        <w:pStyle w:val="ListParagraph"/>
        <w:spacing w:after="240"/>
        <w:ind w:left="0"/>
        <w:rPr>
          <w:sz w:val="24"/>
          <w:szCs w:val="24"/>
        </w:rPr>
      </w:pPr>
      <w:r w:rsidRPr="008D3BC2">
        <w:rPr>
          <w:sz w:val="24"/>
          <w:szCs w:val="24"/>
        </w:rPr>
        <w:t xml:space="preserve">In the Board’s report, </w:t>
      </w:r>
      <w:r w:rsidR="008367EC" w:rsidRPr="008D3BC2">
        <w:rPr>
          <w:sz w:val="24"/>
          <w:szCs w:val="24"/>
        </w:rPr>
        <w:t xml:space="preserve">the Superannuation test </w:t>
      </w:r>
      <w:r w:rsidRPr="008D3BC2">
        <w:rPr>
          <w:sz w:val="24"/>
          <w:szCs w:val="24"/>
        </w:rPr>
        <w:t xml:space="preserve">was identified as outdated, as it </w:t>
      </w:r>
      <w:r w:rsidR="008367EC" w:rsidRPr="008D3BC2">
        <w:rPr>
          <w:sz w:val="24"/>
          <w:szCs w:val="24"/>
        </w:rPr>
        <w:t xml:space="preserve">only applies to Commonwealth officials and their families where the official is a member of certain closed Government superannuation funds. </w:t>
      </w:r>
      <w:r w:rsidR="00BE0550" w:rsidRPr="008D3BC2">
        <w:rPr>
          <w:sz w:val="24"/>
          <w:szCs w:val="24"/>
        </w:rPr>
        <w:t>As the last fund closed in 2005, it is expected that the number of officials not covered will continue to grow.</w:t>
      </w:r>
    </w:p>
    <w:p w14:paraId="5456F862" w14:textId="77777777" w:rsidR="00236DC1" w:rsidRPr="008D3BC2" w:rsidRDefault="00236DC1" w:rsidP="006000F1">
      <w:pPr>
        <w:pStyle w:val="ListParagraph"/>
        <w:spacing w:after="240"/>
        <w:ind w:left="0"/>
        <w:rPr>
          <w:sz w:val="24"/>
          <w:szCs w:val="24"/>
        </w:rPr>
      </w:pPr>
      <w:r w:rsidRPr="008D3BC2">
        <w:rPr>
          <w:sz w:val="24"/>
          <w:szCs w:val="24"/>
        </w:rPr>
        <w:t>The test was designed to ensure that Australian government employees working on behalf of the Australian Government abroad (</w:t>
      </w:r>
      <w:proofErr w:type="spellStart"/>
      <w:r w:rsidRPr="008D3BC2">
        <w:rPr>
          <w:sz w:val="24"/>
          <w:szCs w:val="24"/>
        </w:rPr>
        <w:t>eg</w:t>
      </w:r>
      <w:proofErr w:type="spellEnd"/>
      <w:r w:rsidRPr="008D3BC2">
        <w:rPr>
          <w:sz w:val="24"/>
          <w:szCs w:val="24"/>
        </w:rPr>
        <w:t xml:space="preserve">, foreign affairs and trade officials, civilian defence officials), their spouses and children under 16 years of age, are treated as Australian residents. </w:t>
      </w:r>
      <w:r w:rsidR="006235BB" w:rsidRPr="008D3BC2">
        <w:rPr>
          <w:sz w:val="24"/>
          <w:szCs w:val="24"/>
        </w:rPr>
        <w:t>The Government imposes tax on the worldwide income of these individuals.</w:t>
      </w:r>
    </w:p>
    <w:p w14:paraId="02FFD942" w14:textId="2C5E36F9" w:rsidR="00BE0550" w:rsidRPr="008D3BC2" w:rsidRDefault="00D231DC" w:rsidP="006000F1">
      <w:pPr>
        <w:pStyle w:val="ListParagraph"/>
        <w:spacing w:after="240"/>
        <w:ind w:left="0"/>
        <w:rPr>
          <w:sz w:val="24"/>
          <w:szCs w:val="24"/>
        </w:rPr>
      </w:pPr>
      <w:r w:rsidRPr="008D3BC2">
        <w:rPr>
          <w:sz w:val="24"/>
          <w:szCs w:val="24"/>
        </w:rPr>
        <w:t>This is a well</w:t>
      </w:r>
      <w:r w:rsidRPr="008D3BC2">
        <w:rPr>
          <w:sz w:val="24"/>
          <w:szCs w:val="24"/>
        </w:rPr>
        <w:noBreakHyphen/>
        <w:t>documented feature of the international tax system. Most, if not all, countries deem Government officials working offshore to be tax residents</w:t>
      </w:r>
      <w:r w:rsidR="002A2683" w:rsidRPr="008D3BC2">
        <w:rPr>
          <w:sz w:val="24"/>
          <w:szCs w:val="24"/>
        </w:rPr>
        <w:t xml:space="preserve">; however, not many countries also deem the spouses and dependents of officials to be residents (examples provided at Annexure </w:t>
      </w:r>
      <w:r w:rsidR="00C2588F">
        <w:rPr>
          <w:sz w:val="24"/>
          <w:szCs w:val="24"/>
        </w:rPr>
        <w:t>C</w:t>
      </w:r>
      <w:r w:rsidR="002A2683" w:rsidRPr="008D3BC2">
        <w:rPr>
          <w:sz w:val="24"/>
          <w:szCs w:val="24"/>
        </w:rPr>
        <w:t>).</w:t>
      </w:r>
      <w:r w:rsidR="006235BB" w:rsidRPr="008D3BC2">
        <w:rPr>
          <w:sz w:val="24"/>
          <w:szCs w:val="24"/>
        </w:rPr>
        <w:t xml:space="preserve"> </w:t>
      </w:r>
      <w:r w:rsidR="00BE0550" w:rsidRPr="008D3BC2">
        <w:rPr>
          <w:sz w:val="24"/>
          <w:szCs w:val="24"/>
        </w:rPr>
        <w:t>The Board expects that it would be appropriate to update the superannuation test to align with common international practice and reflect the original intention of these rules. The following table outlines key design considerations.</w:t>
      </w:r>
    </w:p>
    <w:tbl>
      <w:tblPr>
        <w:tblStyle w:val="TableGrid"/>
        <w:tblW w:w="9889" w:type="dxa"/>
        <w:shd w:val="clear" w:color="auto" w:fill="FFFFFF" w:themeFill="background1"/>
        <w:tblLook w:val="04A0" w:firstRow="1" w:lastRow="0" w:firstColumn="1" w:lastColumn="0" w:noHBand="0" w:noVBand="1"/>
      </w:tblPr>
      <w:tblGrid>
        <w:gridCol w:w="2943"/>
        <w:gridCol w:w="6946"/>
      </w:tblGrid>
      <w:tr w:rsidR="00BE0550" w:rsidRPr="008D3BC2" w14:paraId="248CE803" w14:textId="77777777" w:rsidTr="008D43E9">
        <w:trPr>
          <w:cantSplit/>
          <w:tblHeader/>
        </w:trPr>
        <w:tc>
          <w:tcPr>
            <w:tcW w:w="2943" w:type="dxa"/>
            <w:tcBorders>
              <w:bottom w:val="single" w:sz="6" w:space="0" w:color="C00000"/>
            </w:tcBorders>
            <w:shd w:val="clear" w:color="auto" w:fill="F2F2F2" w:themeFill="background1" w:themeFillShade="F2"/>
          </w:tcPr>
          <w:p w14:paraId="2C3E60C4" w14:textId="77777777" w:rsidR="00BE0550" w:rsidRPr="008D3BC2" w:rsidRDefault="00BE0550" w:rsidP="00BE0550">
            <w:pPr>
              <w:pStyle w:val="TableColumnHeadingCentred"/>
              <w:rPr>
                <w:bCs/>
                <w:color w:val="44546A" w:themeColor="text2"/>
                <w:sz w:val="22"/>
              </w:rPr>
            </w:pPr>
            <w:r w:rsidRPr="008D3BC2">
              <w:t>Individual</w:t>
            </w:r>
          </w:p>
        </w:tc>
        <w:tc>
          <w:tcPr>
            <w:tcW w:w="6946" w:type="dxa"/>
            <w:tcBorders>
              <w:bottom w:val="single" w:sz="6" w:space="0" w:color="C00000"/>
            </w:tcBorders>
            <w:shd w:val="clear" w:color="auto" w:fill="F2F2F2" w:themeFill="background1" w:themeFillShade="F2"/>
          </w:tcPr>
          <w:p w14:paraId="701303FD" w14:textId="77777777" w:rsidR="00BE0550" w:rsidRPr="008D3BC2" w:rsidRDefault="00BE0550" w:rsidP="00AE60FB">
            <w:pPr>
              <w:pStyle w:val="TableColumnHeadingCentred"/>
              <w:rPr>
                <w:sz w:val="22"/>
              </w:rPr>
            </w:pPr>
            <w:r w:rsidRPr="008D3BC2">
              <w:t>Description</w:t>
            </w:r>
          </w:p>
        </w:tc>
      </w:tr>
      <w:tr w:rsidR="00BE0550" w:rsidRPr="008D3BC2" w14:paraId="708B0DC2" w14:textId="77777777" w:rsidTr="008D43E9">
        <w:trPr>
          <w:cantSplit/>
          <w:tblHeader/>
        </w:trPr>
        <w:tc>
          <w:tcPr>
            <w:tcW w:w="2943" w:type="dxa"/>
            <w:tcBorders>
              <w:top w:val="single" w:sz="6" w:space="0" w:color="C00000"/>
              <w:bottom w:val="single" w:sz="6" w:space="0" w:color="C00000"/>
            </w:tcBorders>
            <w:shd w:val="clear" w:color="auto" w:fill="FFFFFF" w:themeFill="background1"/>
          </w:tcPr>
          <w:p w14:paraId="4CAD9288" w14:textId="77777777" w:rsidR="00BE0550" w:rsidRPr="008D3BC2" w:rsidRDefault="00BE0550" w:rsidP="00AE60FB">
            <w:pPr>
              <w:pStyle w:val="TableColumnHeadingLeft"/>
              <w:rPr>
                <w:sz w:val="22"/>
              </w:rPr>
            </w:pPr>
            <w:r w:rsidRPr="008D3BC2">
              <w:t>Government official</w:t>
            </w:r>
          </w:p>
        </w:tc>
        <w:tc>
          <w:tcPr>
            <w:tcW w:w="6946" w:type="dxa"/>
            <w:tcBorders>
              <w:top w:val="single" w:sz="6" w:space="0" w:color="C00000"/>
              <w:bottom w:val="single" w:sz="6" w:space="0" w:color="C00000"/>
            </w:tcBorders>
            <w:shd w:val="clear" w:color="auto" w:fill="FFFFFF" w:themeFill="background1"/>
          </w:tcPr>
          <w:p w14:paraId="39DB4446" w14:textId="77777777" w:rsidR="00F628E1" w:rsidRPr="00A321BF" w:rsidRDefault="00BE0550" w:rsidP="00F628E1">
            <w:pPr>
              <w:pStyle w:val="Bullet"/>
              <w:numPr>
                <w:ilvl w:val="0"/>
                <w:numId w:val="0"/>
              </w:numPr>
              <w:rPr>
                <w:sz w:val="22"/>
              </w:rPr>
            </w:pPr>
            <w:r w:rsidRPr="00A321BF">
              <w:rPr>
                <w:sz w:val="22"/>
              </w:rPr>
              <w:t>Employees carrying out any function at the behest of the Australian Government should be covered by this test. This should extend to officials of all levels of gov</w:t>
            </w:r>
            <w:r w:rsidR="007D09E5" w:rsidRPr="00A321BF">
              <w:rPr>
                <w:sz w:val="22"/>
              </w:rPr>
              <w:t>ernment (local, state, federal) but not cover locally engaged staff or contractors.</w:t>
            </w:r>
          </w:p>
          <w:p w14:paraId="2BD6F53E" w14:textId="04DAB818" w:rsidR="00BE0550" w:rsidRPr="00A321BF" w:rsidRDefault="00F628E1" w:rsidP="00A22B58">
            <w:pPr>
              <w:pStyle w:val="Bullet"/>
              <w:numPr>
                <w:ilvl w:val="0"/>
                <w:numId w:val="0"/>
              </w:numPr>
              <w:rPr>
                <w:sz w:val="22"/>
              </w:rPr>
            </w:pPr>
            <w:r w:rsidRPr="00A321BF">
              <w:rPr>
                <w:sz w:val="22"/>
              </w:rPr>
              <w:t xml:space="preserve">There may be a need to consider whether </w:t>
            </w:r>
            <w:r w:rsidR="00A321BF">
              <w:rPr>
                <w:sz w:val="22"/>
              </w:rPr>
              <w:t xml:space="preserve">certain </w:t>
            </w:r>
            <w:r w:rsidRPr="00A321BF">
              <w:rPr>
                <w:sz w:val="22"/>
              </w:rPr>
              <w:t xml:space="preserve">contractors </w:t>
            </w:r>
            <w:r w:rsidR="00A22B58">
              <w:rPr>
                <w:sz w:val="22"/>
              </w:rPr>
              <w:t xml:space="preserve">should </w:t>
            </w:r>
            <w:r w:rsidRPr="00A321BF">
              <w:rPr>
                <w:sz w:val="22"/>
              </w:rPr>
              <w:t xml:space="preserve">qualify, to cover </w:t>
            </w:r>
            <w:r w:rsidR="00A22B58">
              <w:rPr>
                <w:sz w:val="22"/>
              </w:rPr>
              <w:t xml:space="preserve">certain </w:t>
            </w:r>
            <w:r w:rsidRPr="00A321BF">
              <w:rPr>
                <w:sz w:val="22"/>
              </w:rPr>
              <w:t xml:space="preserve">functions; however, this may depend on the way in which </w:t>
            </w:r>
            <w:r w:rsidR="00A22B58">
              <w:rPr>
                <w:sz w:val="22"/>
              </w:rPr>
              <w:t>particular</w:t>
            </w:r>
            <w:r w:rsidR="00A22B58" w:rsidRPr="00A321BF">
              <w:rPr>
                <w:sz w:val="22"/>
              </w:rPr>
              <w:t xml:space="preserve"> </w:t>
            </w:r>
            <w:r w:rsidRPr="00A321BF">
              <w:rPr>
                <w:sz w:val="22"/>
              </w:rPr>
              <w:t>Government functions are in fact carried out.</w:t>
            </w:r>
          </w:p>
        </w:tc>
      </w:tr>
      <w:tr w:rsidR="00BE0550" w:rsidRPr="008D3BC2" w14:paraId="2D4BD4C7" w14:textId="77777777" w:rsidTr="008D43E9">
        <w:trPr>
          <w:cantSplit/>
          <w:tblHeader/>
        </w:trPr>
        <w:tc>
          <w:tcPr>
            <w:tcW w:w="2943" w:type="dxa"/>
            <w:tcBorders>
              <w:top w:val="single" w:sz="6" w:space="0" w:color="C00000"/>
              <w:bottom w:val="single" w:sz="6" w:space="0" w:color="C00000"/>
            </w:tcBorders>
            <w:shd w:val="clear" w:color="auto" w:fill="FFFFFF" w:themeFill="background1"/>
          </w:tcPr>
          <w:p w14:paraId="219BBB32" w14:textId="77777777" w:rsidR="00BE0550" w:rsidRPr="008D3BC2" w:rsidRDefault="00BE0550" w:rsidP="00AE60FB">
            <w:pPr>
              <w:pStyle w:val="TableColumnHeadingLeft"/>
            </w:pPr>
            <w:r w:rsidRPr="008D3BC2">
              <w:t>Government functions</w:t>
            </w:r>
          </w:p>
        </w:tc>
        <w:tc>
          <w:tcPr>
            <w:tcW w:w="6946" w:type="dxa"/>
            <w:tcBorders>
              <w:top w:val="single" w:sz="6" w:space="0" w:color="C00000"/>
              <w:bottom w:val="single" w:sz="6" w:space="0" w:color="C00000"/>
            </w:tcBorders>
            <w:shd w:val="clear" w:color="auto" w:fill="FFFFFF" w:themeFill="background1"/>
          </w:tcPr>
          <w:p w14:paraId="6E694068" w14:textId="77777777" w:rsidR="007D09E5" w:rsidRPr="008D3BC2" w:rsidRDefault="007D09E5" w:rsidP="00AE60FB">
            <w:pPr>
              <w:pStyle w:val="TableTextLeft"/>
            </w:pPr>
            <w:r w:rsidRPr="008D3BC2">
              <w:t xml:space="preserve">Generally, it is expected that any function carried out by the Government should be covered by this test. Any consideration of </w:t>
            </w:r>
            <w:r w:rsidR="00F628E1" w:rsidRPr="008D3BC2">
              <w:t xml:space="preserve">limiting </w:t>
            </w:r>
            <w:r w:rsidRPr="008D3BC2">
              <w:t>Government function</w:t>
            </w:r>
            <w:r w:rsidR="00F628E1" w:rsidRPr="008D3BC2">
              <w:t>s</w:t>
            </w:r>
            <w:r w:rsidRPr="008D3BC2">
              <w:t xml:space="preserve"> will unnecessarily increase complexity; however, some form of assurance will be appropriate to prove the nexus between government and the function.</w:t>
            </w:r>
          </w:p>
          <w:p w14:paraId="5673A348" w14:textId="77777777" w:rsidR="00BE0550" w:rsidRPr="008D3BC2" w:rsidRDefault="007D09E5" w:rsidP="007D09E5">
            <w:pPr>
              <w:pStyle w:val="TableTextLeft"/>
            </w:pPr>
            <w:r w:rsidRPr="008D3BC2">
              <w:t>Some of Australia’s tax treaties limit the scope of government functions in this regard – this could be reflected in the test or left as a treaty overlay to avoid over</w:t>
            </w:r>
            <w:r w:rsidRPr="008D3BC2">
              <w:noBreakHyphen/>
              <w:t>complication.</w:t>
            </w:r>
          </w:p>
        </w:tc>
      </w:tr>
      <w:tr w:rsidR="00BE0550" w:rsidRPr="008D3BC2" w14:paraId="5E2EB9C0" w14:textId="77777777" w:rsidTr="008D43E9">
        <w:trPr>
          <w:cantSplit/>
          <w:tblHeader/>
        </w:trPr>
        <w:tc>
          <w:tcPr>
            <w:tcW w:w="2943" w:type="dxa"/>
            <w:tcBorders>
              <w:top w:val="single" w:sz="6" w:space="0" w:color="C00000"/>
              <w:bottom w:val="single" w:sz="6" w:space="0" w:color="C00000"/>
            </w:tcBorders>
            <w:shd w:val="clear" w:color="auto" w:fill="FFFFFF" w:themeFill="background1"/>
          </w:tcPr>
          <w:p w14:paraId="512EA50B" w14:textId="77777777" w:rsidR="00BE0550" w:rsidRPr="008D3BC2" w:rsidRDefault="00BE0550" w:rsidP="00AE60FB">
            <w:pPr>
              <w:pStyle w:val="TableColumnHeadingLeft"/>
            </w:pPr>
            <w:r w:rsidRPr="008D3BC2">
              <w:t>Spouses and dependants</w:t>
            </w:r>
          </w:p>
        </w:tc>
        <w:tc>
          <w:tcPr>
            <w:tcW w:w="6946" w:type="dxa"/>
            <w:tcBorders>
              <w:top w:val="single" w:sz="6" w:space="0" w:color="C00000"/>
              <w:bottom w:val="single" w:sz="6" w:space="0" w:color="C00000"/>
            </w:tcBorders>
            <w:shd w:val="clear" w:color="auto" w:fill="FFFFFF" w:themeFill="background1"/>
          </w:tcPr>
          <w:p w14:paraId="057E6D2B" w14:textId="1C222CF7" w:rsidR="00BE0550" w:rsidRPr="008D3BC2" w:rsidRDefault="00F628E1" w:rsidP="00E266DC">
            <w:pPr>
              <w:pStyle w:val="TableTextLeft"/>
            </w:pPr>
            <w:r w:rsidRPr="008D3BC2">
              <w:t xml:space="preserve">As this particular category of resident is not aligned with broader international practice, it is </w:t>
            </w:r>
            <w:r w:rsidR="00E266DC" w:rsidRPr="008D3BC2">
              <w:t xml:space="preserve">possible </w:t>
            </w:r>
            <w:r w:rsidRPr="008D3BC2">
              <w:t xml:space="preserve">that the test </w:t>
            </w:r>
            <w:r w:rsidR="00E266DC" w:rsidRPr="008D3BC2">
              <w:t xml:space="preserve">should </w:t>
            </w:r>
            <w:r w:rsidRPr="008D3BC2">
              <w:t>only apply to the Government official. The residency tests would apply to their families as they do to all other individuals.</w:t>
            </w:r>
          </w:p>
        </w:tc>
      </w:tr>
    </w:tbl>
    <w:p w14:paraId="2E6D4A8B" w14:textId="77777777" w:rsidR="00A22B58" w:rsidRDefault="00A22B58" w:rsidP="00BE0550">
      <w:pPr>
        <w:spacing w:after="240"/>
        <w:rPr>
          <w:b/>
          <w:color w:val="002060"/>
          <w:sz w:val="28"/>
        </w:rPr>
      </w:pPr>
    </w:p>
    <w:p w14:paraId="4198DE41" w14:textId="77777777" w:rsidR="00BE0550" w:rsidRPr="008D3BC2" w:rsidRDefault="00BE0550" w:rsidP="00BE0550">
      <w:pPr>
        <w:spacing w:after="240"/>
        <w:rPr>
          <w:b/>
          <w:color w:val="002060"/>
          <w:sz w:val="28"/>
        </w:rPr>
      </w:pPr>
      <w:r w:rsidRPr="008D3BC2">
        <w:rPr>
          <w:b/>
          <w:color w:val="002060"/>
          <w:sz w:val="28"/>
        </w:rPr>
        <w:t>Consistency with tax treaty policy</w:t>
      </w:r>
    </w:p>
    <w:p w14:paraId="209345D9" w14:textId="77777777" w:rsidR="00D231DC" w:rsidRPr="008D3BC2" w:rsidRDefault="00BE0550" w:rsidP="006000F1">
      <w:pPr>
        <w:pStyle w:val="ListParagraph"/>
        <w:spacing w:after="240"/>
        <w:ind w:left="0"/>
        <w:rPr>
          <w:sz w:val="24"/>
          <w:szCs w:val="24"/>
        </w:rPr>
      </w:pPr>
      <w:r w:rsidRPr="008D3BC2">
        <w:rPr>
          <w:sz w:val="24"/>
          <w:szCs w:val="24"/>
        </w:rPr>
        <w:t xml:space="preserve">Taxing government official remuneration in the source country is </w:t>
      </w:r>
      <w:r w:rsidR="00D231DC" w:rsidRPr="008D3BC2">
        <w:rPr>
          <w:sz w:val="24"/>
          <w:szCs w:val="24"/>
        </w:rPr>
        <w:t>reinfo</w:t>
      </w:r>
      <w:r w:rsidR="002A2683" w:rsidRPr="008D3BC2">
        <w:rPr>
          <w:sz w:val="24"/>
          <w:szCs w:val="24"/>
        </w:rPr>
        <w:t>rced through double tax treaty practices</w:t>
      </w:r>
      <w:r w:rsidR="00D231DC" w:rsidRPr="008D3BC2">
        <w:rPr>
          <w:sz w:val="24"/>
          <w:szCs w:val="24"/>
        </w:rPr>
        <w:t xml:space="preserve">. </w:t>
      </w:r>
      <w:r w:rsidR="00236DC1" w:rsidRPr="008D3BC2">
        <w:rPr>
          <w:sz w:val="24"/>
          <w:szCs w:val="24"/>
        </w:rPr>
        <w:t>A government services article</w:t>
      </w:r>
      <w:r w:rsidR="00D231DC" w:rsidRPr="008D3BC2">
        <w:rPr>
          <w:sz w:val="24"/>
          <w:szCs w:val="24"/>
        </w:rPr>
        <w:t xml:space="preserve"> is a longstanding </w:t>
      </w:r>
      <w:r w:rsidR="00236DC1" w:rsidRPr="008D3BC2">
        <w:rPr>
          <w:sz w:val="24"/>
          <w:szCs w:val="24"/>
        </w:rPr>
        <w:t>feature of the OECD model tax convention</w:t>
      </w:r>
      <w:r w:rsidR="00D231DC" w:rsidRPr="008D3BC2">
        <w:rPr>
          <w:sz w:val="24"/>
          <w:szCs w:val="24"/>
        </w:rPr>
        <w:t xml:space="preserve">, providing sole taxing rights to the country by which the remuneration is paid </w:t>
      </w:r>
      <w:r w:rsidR="002A2683" w:rsidRPr="008D3BC2">
        <w:rPr>
          <w:sz w:val="24"/>
          <w:szCs w:val="24"/>
        </w:rPr>
        <w:t>(</w:t>
      </w:r>
      <w:r w:rsidR="00D231DC" w:rsidRPr="008D3BC2">
        <w:rPr>
          <w:sz w:val="24"/>
          <w:szCs w:val="24"/>
        </w:rPr>
        <w:t xml:space="preserve">subject to an exception </w:t>
      </w:r>
      <w:r w:rsidR="002A2683" w:rsidRPr="008D3BC2">
        <w:rPr>
          <w:sz w:val="24"/>
          <w:szCs w:val="24"/>
        </w:rPr>
        <w:t>broadly applicable to locally engaged staff</w:t>
      </w:r>
      <w:r w:rsidR="00D231DC" w:rsidRPr="008D3BC2">
        <w:rPr>
          <w:sz w:val="24"/>
          <w:szCs w:val="24"/>
        </w:rPr>
        <w:t>)</w:t>
      </w:r>
      <w:r w:rsidR="00236DC1" w:rsidRPr="008D3BC2">
        <w:rPr>
          <w:sz w:val="24"/>
          <w:szCs w:val="24"/>
        </w:rPr>
        <w:t xml:space="preserve">. </w:t>
      </w:r>
    </w:p>
    <w:p w14:paraId="4CEB4E54" w14:textId="77777777" w:rsidR="00236DC1" w:rsidRPr="008D3BC2" w:rsidRDefault="002A2683" w:rsidP="006000F1">
      <w:pPr>
        <w:pStyle w:val="ListParagraph"/>
        <w:spacing w:after="240"/>
        <w:ind w:left="0"/>
        <w:rPr>
          <w:sz w:val="24"/>
          <w:szCs w:val="24"/>
        </w:rPr>
      </w:pPr>
      <w:r w:rsidRPr="008D3BC2">
        <w:rPr>
          <w:sz w:val="24"/>
          <w:szCs w:val="24"/>
        </w:rPr>
        <w:t>A</w:t>
      </w:r>
      <w:r w:rsidR="00236DC1" w:rsidRPr="008D3BC2">
        <w:rPr>
          <w:sz w:val="24"/>
          <w:szCs w:val="24"/>
        </w:rPr>
        <w:t xml:space="preserve">ll of Australia’s tax treaties have </w:t>
      </w:r>
      <w:r w:rsidRPr="008D3BC2">
        <w:rPr>
          <w:sz w:val="24"/>
          <w:szCs w:val="24"/>
        </w:rPr>
        <w:t>such an article.</w:t>
      </w:r>
      <w:r w:rsidR="00236DC1" w:rsidRPr="008D3BC2">
        <w:rPr>
          <w:sz w:val="24"/>
          <w:szCs w:val="24"/>
        </w:rPr>
        <w:t xml:space="preserve"> </w:t>
      </w:r>
      <w:r w:rsidRPr="008D3BC2">
        <w:rPr>
          <w:sz w:val="24"/>
          <w:szCs w:val="24"/>
        </w:rPr>
        <w:t xml:space="preserve">While </w:t>
      </w:r>
      <w:r w:rsidR="00236DC1" w:rsidRPr="008D3BC2">
        <w:rPr>
          <w:sz w:val="24"/>
          <w:szCs w:val="24"/>
        </w:rPr>
        <w:t>the scope</w:t>
      </w:r>
      <w:r w:rsidR="00D231DC" w:rsidRPr="008D3BC2">
        <w:rPr>
          <w:sz w:val="24"/>
          <w:szCs w:val="24"/>
        </w:rPr>
        <w:t xml:space="preserve"> varies depending on the treaty</w:t>
      </w:r>
      <w:r w:rsidRPr="008D3BC2">
        <w:rPr>
          <w:sz w:val="24"/>
          <w:szCs w:val="24"/>
        </w:rPr>
        <w:t xml:space="preserve">, they have generally become more closely aligned with the OECD model over time. </w:t>
      </w:r>
    </w:p>
    <w:p w14:paraId="7A28C4B4" w14:textId="14DF7F22" w:rsidR="002A2683" w:rsidRPr="008D3BC2" w:rsidRDefault="002A2683" w:rsidP="006000F1">
      <w:pPr>
        <w:pStyle w:val="ListParagraph"/>
        <w:spacing w:after="240"/>
        <w:ind w:left="0"/>
        <w:rPr>
          <w:sz w:val="24"/>
          <w:szCs w:val="24"/>
        </w:rPr>
      </w:pPr>
      <w:r w:rsidRPr="008D3BC2">
        <w:rPr>
          <w:sz w:val="24"/>
          <w:szCs w:val="24"/>
        </w:rPr>
        <w:t xml:space="preserve">This article only applies to remuneration paid by Australia – it does not apply to worldwide income. This means that a government official’s foreign sourced income will remain taxable in the source jurisdiction, and the government official is still subject to the applicable tax treaty residency ‘tie-breaker’ rules. </w:t>
      </w:r>
    </w:p>
    <w:p w14:paraId="090F2594" w14:textId="77777777" w:rsidR="002A2683" w:rsidRPr="008D3BC2" w:rsidRDefault="002A2683" w:rsidP="006000F1">
      <w:pPr>
        <w:pStyle w:val="ListParagraph"/>
        <w:spacing w:after="240"/>
        <w:ind w:left="0"/>
        <w:rPr>
          <w:sz w:val="24"/>
          <w:szCs w:val="24"/>
        </w:rPr>
      </w:pPr>
      <w:r w:rsidRPr="008D3BC2">
        <w:rPr>
          <w:sz w:val="24"/>
          <w:szCs w:val="24"/>
        </w:rPr>
        <w:t>Theoretically, if a government official were to ‘tie</w:t>
      </w:r>
      <w:r w:rsidRPr="008D3BC2">
        <w:rPr>
          <w:sz w:val="24"/>
          <w:szCs w:val="24"/>
        </w:rPr>
        <w:noBreakHyphen/>
        <w:t xml:space="preserve">break’ to the other country they would be subject to foreign tax but also </w:t>
      </w:r>
      <w:proofErr w:type="gramStart"/>
      <w:r w:rsidRPr="008D3BC2">
        <w:rPr>
          <w:sz w:val="24"/>
          <w:szCs w:val="24"/>
        </w:rPr>
        <w:t>obtain</w:t>
      </w:r>
      <w:proofErr w:type="gramEnd"/>
      <w:r w:rsidRPr="008D3BC2">
        <w:rPr>
          <w:sz w:val="24"/>
          <w:szCs w:val="24"/>
        </w:rPr>
        <w:t xml:space="preserve"> the benefits of Australian resident tax rates (</w:t>
      </w:r>
      <w:proofErr w:type="spellStart"/>
      <w:r w:rsidRPr="008D3BC2">
        <w:rPr>
          <w:sz w:val="24"/>
          <w:szCs w:val="24"/>
        </w:rPr>
        <w:t>ie</w:t>
      </w:r>
      <w:proofErr w:type="spellEnd"/>
      <w:r w:rsidRPr="008D3BC2">
        <w:rPr>
          <w:sz w:val="24"/>
          <w:szCs w:val="24"/>
        </w:rPr>
        <w:t>, tax free threshold, CGT discount, main residence exemption). Practically, however, it is difficult to envisage a scenario in which an Australian government official would be considered to have closer ties to another country such that they would not tie break to Australian residency.</w:t>
      </w:r>
    </w:p>
    <w:p w14:paraId="25215FBB" w14:textId="77777777" w:rsidR="00BE0550" w:rsidRPr="008D3BC2" w:rsidRDefault="00BE0550" w:rsidP="006000F1">
      <w:pPr>
        <w:pStyle w:val="ListParagraph"/>
        <w:spacing w:after="240"/>
        <w:ind w:left="0"/>
        <w:rPr>
          <w:sz w:val="24"/>
          <w:szCs w:val="24"/>
        </w:rPr>
      </w:pPr>
      <w:r w:rsidRPr="008D3BC2">
        <w:rPr>
          <w:sz w:val="24"/>
          <w:szCs w:val="24"/>
        </w:rPr>
        <w:t>It is possible that, given broad international treatment to deem officials to be residents for domestic law purposes, that this theoretical outcome is considered highly unlikely and that most countries would expect officials to remain both domestic and treaty residents for the duration of any posting.</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F628E1" w:rsidRPr="008D3BC2" w14:paraId="41A5AB90" w14:textId="77777777" w:rsidTr="00AE60FB">
        <w:tc>
          <w:tcPr>
            <w:tcW w:w="5000" w:type="pct"/>
            <w:shd w:val="clear" w:color="auto" w:fill="EBEBEB"/>
          </w:tcPr>
          <w:p w14:paraId="0C624EEC" w14:textId="77777777" w:rsidR="00F628E1" w:rsidRPr="008D3BC2" w:rsidRDefault="00F628E1" w:rsidP="00AE60FB">
            <w:pPr>
              <w:pStyle w:val="BoxHeading"/>
            </w:pPr>
            <w:r w:rsidRPr="008D3BC2">
              <w:t>Questions</w:t>
            </w:r>
          </w:p>
          <w:p w14:paraId="327A59E0" w14:textId="77777777" w:rsidR="00614B57" w:rsidRPr="008D3BC2" w:rsidRDefault="00614B57" w:rsidP="00614B57">
            <w:pPr>
              <w:pStyle w:val="BoxText"/>
              <w:numPr>
                <w:ilvl w:val="0"/>
                <w:numId w:val="14"/>
              </w:numPr>
            </w:pPr>
            <w:r w:rsidRPr="008D3BC2">
              <w:rPr>
                <w:szCs w:val="22"/>
              </w:rPr>
              <w:t>Do the proposed design considerations capture the appropriate Government officials and functions? If not, what else should be considered</w:t>
            </w:r>
            <w:r w:rsidR="009E2302" w:rsidRPr="008D3BC2">
              <w:rPr>
                <w:szCs w:val="22"/>
              </w:rPr>
              <w:t>?</w:t>
            </w:r>
          </w:p>
          <w:p w14:paraId="1AD6AB50" w14:textId="77777777" w:rsidR="00614B57" w:rsidRPr="008D3BC2" w:rsidRDefault="00614B57" w:rsidP="00614B57">
            <w:pPr>
              <w:pStyle w:val="BoxText"/>
              <w:numPr>
                <w:ilvl w:val="0"/>
                <w:numId w:val="14"/>
              </w:numPr>
            </w:pPr>
            <w:r w:rsidRPr="008D3BC2">
              <w:rPr>
                <w:szCs w:val="22"/>
              </w:rPr>
              <w:t>Do any of the international comparisons provide a clear guide for reforming the superannuation test?</w:t>
            </w:r>
          </w:p>
          <w:p w14:paraId="3876D3BC" w14:textId="77777777" w:rsidR="00F628E1" w:rsidRPr="008D3BC2" w:rsidRDefault="00614B57" w:rsidP="00614B57">
            <w:pPr>
              <w:pStyle w:val="BoxText"/>
              <w:numPr>
                <w:ilvl w:val="0"/>
                <w:numId w:val="14"/>
              </w:numPr>
            </w:pPr>
            <w:r w:rsidRPr="008D3BC2">
              <w:rPr>
                <w:szCs w:val="22"/>
              </w:rPr>
              <w:t>Should the residency rules continue to deem spouses and dependants of Government officials to be Australian residents?</w:t>
            </w:r>
          </w:p>
        </w:tc>
      </w:tr>
    </w:tbl>
    <w:p w14:paraId="0BB38C1B" w14:textId="77777777" w:rsidR="00D231DC" w:rsidRPr="008D3BC2" w:rsidRDefault="00D231DC">
      <w:pPr>
        <w:spacing w:before="0" w:after="160" w:line="259" w:lineRule="auto"/>
        <w:rPr>
          <w:b/>
          <w:color w:val="002060"/>
          <w:sz w:val="28"/>
          <w:szCs w:val="22"/>
          <w:lang w:eastAsia="en-US"/>
        </w:rPr>
      </w:pPr>
    </w:p>
    <w:p w14:paraId="0212A4A8" w14:textId="77777777" w:rsidR="00A86620" w:rsidRPr="008D3BC2" w:rsidRDefault="00192B67" w:rsidP="002C251F">
      <w:pPr>
        <w:pStyle w:val="ListParagraph"/>
        <w:numPr>
          <w:ilvl w:val="0"/>
          <w:numId w:val="11"/>
        </w:numPr>
        <w:spacing w:after="240"/>
        <w:ind w:left="426" w:hanging="284"/>
        <w:rPr>
          <w:b/>
          <w:color w:val="002060"/>
          <w:sz w:val="36"/>
        </w:rPr>
      </w:pPr>
      <w:bookmarkStart w:id="14" w:name="_Toc516652278"/>
      <w:r w:rsidRPr="008D3BC2">
        <w:br w:type="page"/>
      </w:r>
      <w:r w:rsidR="00A86620" w:rsidRPr="008D3BC2">
        <w:rPr>
          <w:b/>
          <w:color w:val="002060"/>
          <w:sz w:val="36"/>
        </w:rPr>
        <w:t>Part</w:t>
      </w:r>
      <w:r w:rsidR="00A86620" w:rsidRPr="008D3BC2">
        <w:rPr>
          <w:b/>
          <w:color w:val="002060"/>
          <w:sz w:val="36"/>
        </w:rPr>
        <w:noBreakHyphen/>
        <w:t>year residency</w:t>
      </w:r>
    </w:p>
    <w:p w14:paraId="20436107" w14:textId="77777777" w:rsidR="00A86620" w:rsidRPr="008D3BC2" w:rsidRDefault="00A86620" w:rsidP="00A86620">
      <w:pPr>
        <w:rPr>
          <w:sz w:val="24"/>
          <w:szCs w:val="24"/>
        </w:rPr>
      </w:pPr>
      <w:r w:rsidRPr="008D3BC2">
        <w:rPr>
          <w:sz w:val="24"/>
          <w:szCs w:val="24"/>
        </w:rPr>
        <w:t>Generally, the existing residency rules apply on a full</w:t>
      </w:r>
      <w:r w:rsidRPr="008D3BC2">
        <w:rPr>
          <w:sz w:val="24"/>
          <w:szCs w:val="24"/>
        </w:rPr>
        <w:noBreakHyphen/>
        <w:t xml:space="preserve">year basis. </w:t>
      </w:r>
    </w:p>
    <w:p w14:paraId="53EE1286" w14:textId="3E0DDE21" w:rsidR="00A86620" w:rsidRPr="008D3BC2" w:rsidRDefault="00A86620" w:rsidP="00A86620">
      <w:pPr>
        <w:rPr>
          <w:sz w:val="24"/>
          <w:szCs w:val="24"/>
        </w:rPr>
      </w:pPr>
      <w:r w:rsidRPr="008D3BC2">
        <w:rPr>
          <w:sz w:val="24"/>
          <w:szCs w:val="24"/>
        </w:rPr>
        <w:t>There is a limited basis on which tax residency can be quarantined to a limited part</w:t>
      </w:r>
      <w:r w:rsidR="00E67F94" w:rsidRPr="008D3BC2">
        <w:rPr>
          <w:sz w:val="24"/>
          <w:szCs w:val="24"/>
        </w:rPr>
        <w:t xml:space="preserve"> of an income year (noted base</w:t>
      </w:r>
      <w:r w:rsidRPr="008D3BC2">
        <w:rPr>
          <w:sz w:val="24"/>
          <w:szCs w:val="24"/>
        </w:rPr>
        <w:t xml:space="preserve">s </w:t>
      </w:r>
      <w:r w:rsidR="00E67F94" w:rsidRPr="008D3BC2">
        <w:rPr>
          <w:sz w:val="24"/>
          <w:szCs w:val="24"/>
        </w:rPr>
        <w:t xml:space="preserve">are </w:t>
      </w:r>
      <w:r w:rsidRPr="008D3BC2">
        <w:rPr>
          <w:sz w:val="24"/>
          <w:szCs w:val="24"/>
        </w:rPr>
        <w:t>the rule for a part</w:t>
      </w:r>
      <w:r w:rsidRPr="008D3BC2">
        <w:rPr>
          <w:sz w:val="24"/>
          <w:szCs w:val="24"/>
        </w:rPr>
        <w:noBreakHyphen/>
        <w:t>year tax</w:t>
      </w:r>
      <w:r w:rsidRPr="008D3BC2">
        <w:rPr>
          <w:sz w:val="24"/>
          <w:szCs w:val="24"/>
        </w:rPr>
        <w:noBreakHyphen/>
        <w:t>free threshold, which applies independently of the residency rules</w:t>
      </w:r>
      <w:r w:rsidR="00E67F94" w:rsidRPr="008D3BC2">
        <w:rPr>
          <w:sz w:val="24"/>
          <w:szCs w:val="24"/>
        </w:rPr>
        <w:t xml:space="preserve"> and the apportioned CGT discount for foreign residents</w:t>
      </w:r>
      <w:r w:rsidRPr="008D3BC2">
        <w:rPr>
          <w:sz w:val="24"/>
          <w:szCs w:val="24"/>
        </w:rPr>
        <w:t xml:space="preserve">). There is otherwise some uncertainty as to </w:t>
      </w:r>
      <w:r w:rsidR="0003388A">
        <w:rPr>
          <w:sz w:val="24"/>
          <w:szCs w:val="24"/>
        </w:rPr>
        <w:t>how</w:t>
      </w:r>
      <w:r w:rsidR="0003388A" w:rsidRPr="008D3BC2">
        <w:rPr>
          <w:sz w:val="24"/>
          <w:szCs w:val="24"/>
        </w:rPr>
        <w:t xml:space="preserve"> </w:t>
      </w:r>
      <w:r w:rsidRPr="008D3BC2">
        <w:rPr>
          <w:sz w:val="24"/>
          <w:szCs w:val="24"/>
        </w:rPr>
        <w:t>residency cease</w:t>
      </w:r>
      <w:r w:rsidR="005F597F">
        <w:rPr>
          <w:sz w:val="24"/>
          <w:szCs w:val="24"/>
        </w:rPr>
        <w:t>s</w:t>
      </w:r>
      <w:r w:rsidRPr="008D3BC2">
        <w:rPr>
          <w:sz w:val="24"/>
          <w:szCs w:val="24"/>
        </w:rPr>
        <w:t>, or end</w:t>
      </w:r>
      <w:r w:rsidR="005F597F">
        <w:rPr>
          <w:sz w:val="24"/>
          <w:szCs w:val="24"/>
        </w:rPr>
        <w:t>s</w:t>
      </w:r>
      <w:r w:rsidRPr="008D3BC2">
        <w:rPr>
          <w:sz w:val="24"/>
          <w:szCs w:val="24"/>
        </w:rPr>
        <w:t>, at any given time throughout the income year.</w:t>
      </w:r>
    </w:p>
    <w:p w14:paraId="6F498C5F" w14:textId="77777777" w:rsidR="00A86620" w:rsidRPr="008D3BC2" w:rsidRDefault="00A86620" w:rsidP="00A86620">
      <w:pPr>
        <w:rPr>
          <w:sz w:val="24"/>
          <w:szCs w:val="24"/>
        </w:rPr>
      </w:pPr>
      <w:r w:rsidRPr="008D3BC2">
        <w:rPr>
          <w:sz w:val="24"/>
          <w:szCs w:val="24"/>
        </w:rPr>
        <w:t>As part of the new residency rules, the Board considers that it would be advantageous to align the part</w:t>
      </w:r>
      <w:r w:rsidRPr="008D3BC2">
        <w:rPr>
          <w:sz w:val="24"/>
          <w:szCs w:val="24"/>
        </w:rPr>
        <w:noBreakHyphen/>
        <w:t>year rules for the tax-free threshold with the residency rules in general if this can be done with relative simplicity. The following design features are considered desirable by the Board.</w:t>
      </w:r>
    </w:p>
    <w:p w14:paraId="739B15B7" w14:textId="77777777" w:rsidR="00A86620" w:rsidRPr="008D3BC2" w:rsidRDefault="00A86620" w:rsidP="00A86620"/>
    <w:tbl>
      <w:tblPr>
        <w:tblStyle w:val="TableGrid"/>
        <w:tblW w:w="9889" w:type="dxa"/>
        <w:shd w:val="clear" w:color="auto" w:fill="FFFFFF" w:themeFill="background1"/>
        <w:tblLook w:val="04A0" w:firstRow="1" w:lastRow="0" w:firstColumn="1" w:lastColumn="0" w:noHBand="0" w:noVBand="1"/>
      </w:tblPr>
      <w:tblGrid>
        <w:gridCol w:w="2943"/>
        <w:gridCol w:w="6946"/>
      </w:tblGrid>
      <w:tr w:rsidR="00A86620" w:rsidRPr="008D3BC2" w14:paraId="20B570D4" w14:textId="77777777" w:rsidTr="00085BA0">
        <w:trPr>
          <w:cantSplit/>
          <w:tblHeader/>
        </w:trPr>
        <w:tc>
          <w:tcPr>
            <w:tcW w:w="2943" w:type="dxa"/>
            <w:tcBorders>
              <w:bottom w:val="single" w:sz="6" w:space="0" w:color="C00000"/>
            </w:tcBorders>
            <w:shd w:val="clear" w:color="auto" w:fill="F2F2F2" w:themeFill="background1" w:themeFillShade="F2"/>
          </w:tcPr>
          <w:p w14:paraId="1F9CFB67" w14:textId="77777777" w:rsidR="00A86620" w:rsidRPr="008D3BC2" w:rsidRDefault="00A86620" w:rsidP="00085BA0">
            <w:pPr>
              <w:pStyle w:val="TableColumnHeadingCentred"/>
              <w:rPr>
                <w:bCs/>
                <w:color w:val="44546A" w:themeColor="text2"/>
                <w:sz w:val="22"/>
              </w:rPr>
            </w:pPr>
            <w:r w:rsidRPr="008D3BC2">
              <w:t>Feature</w:t>
            </w:r>
          </w:p>
        </w:tc>
        <w:tc>
          <w:tcPr>
            <w:tcW w:w="6946" w:type="dxa"/>
            <w:tcBorders>
              <w:bottom w:val="single" w:sz="6" w:space="0" w:color="C00000"/>
            </w:tcBorders>
            <w:shd w:val="clear" w:color="auto" w:fill="F2F2F2" w:themeFill="background1" w:themeFillShade="F2"/>
          </w:tcPr>
          <w:p w14:paraId="646563E0" w14:textId="77777777" w:rsidR="00A86620" w:rsidRPr="008D3BC2" w:rsidRDefault="00A86620" w:rsidP="00085BA0">
            <w:pPr>
              <w:pStyle w:val="TableColumnHeadingCentred"/>
              <w:rPr>
                <w:sz w:val="22"/>
              </w:rPr>
            </w:pPr>
            <w:r w:rsidRPr="008D3BC2">
              <w:t>Description</w:t>
            </w:r>
          </w:p>
        </w:tc>
      </w:tr>
      <w:tr w:rsidR="00A86620" w:rsidRPr="008D3BC2" w14:paraId="65D1AB8D" w14:textId="77777777" w:rsidTr="00085BA0">
        <w:trPr>
          <w:cantSplit/>
          <w:tblHeader/>
        </w:trPr>
        <w:tc>
          <w:tcPr>
            <w:tcW w:w="2943" w:type="dxa"/>
            <w:tcBorders>
              <w:top w:val="single" w:sz="6" w:space="0" w:color="C00000"/>
              <w:bottom w:val="single" w:sz="6" w:space="0" w:color="C00000"/>
            </w:tcBorders>
            <w:shd w:val="clear" w:color="auto" w:fill="FFFFFF" w:themeFill="background1"/>
          </w:tcPr>
          <w:p w14:paraId="6BB6306E" w14:textId="77777777" w:rsidR="00A86620" w:rsidRPr="008D3BC2" w:rsidRDefault="00A86620" w:rsidP="00085BA0">
            <w:pPr>
              <w:pStyle w:val="TableColumnHeadingLeft"/>
              <w:rPr>
                <w:sz w:val="22"/>
              </w:rPr>
            </w:pPr>
            <w:r w:rsidRPr="008D3BC2">
              <w:t>Commencement date</w:t>
            </w:r>
          </w:p>
        </w:tc>
        <w:tc>
          <w:tcPr>
            <w:tcW w:w="6946" w:type="dxa"/>
            <w:tcBorders>
              <w:top w:val="single" w:sz="6" w:space="0" w:color="C00000"/>
              <w:bottom w:val="single" w:sz="6" w:space="0" w:color="C00000"/>
            </w:tcBorders>
            <w:shd w:val="clear" w:color="auto" w:fill="FFFFFF" w:themeFill="background1"/>
          </w:tcPr>
          <w:p w14:paraId="38E93637" w14:textId="60F7DA7C" w:rsidR="00573FF9" w:rsidRPr="00073650" w:rsidRDefault="00A86620" w:rsidP="00780057">
            <w:pPr>
              <w:pStyle w:val="Bullet"/>
              <w:numPr>
                <w:ilvl w:val="0"/>
                <w:numId w:val="0"/>
              </w:numPr>
              <w:rPr>
                <w:sz w:val="22"/>
              </w:rPr>
            </w:pPr>
            <w:r w:rsidRPr="00073650">
              <w:rPr>
                <w:sz w:val="22"/>
              </w:rPr>
              <w:t>The commencement date for residency should generally be the date upon which an individual arrives in Australia having not previously been a resident of Australia.</w:t>
            </w:r>
          </w:p>
        </w:tc>
      </w:tr>
      <w:tr w:rsidR="00A86620" w:rsidRPr="008D3BC2" w14:paraId="1990ECED" w14:textId="77777777" w:rsidTr="00085BA0">
        <w:trPr>
          <w:cantSplit/>
          <w:tblHeader/>
        </w:trPr>
        <w:tc>
          <w:tcPr>
            <w:tcW w:w="2943" w:type="dxa"/>
            <w:tcBorders>
              <w:top w:val="single" w:sz="6" w:space="0" w:color="C00000"/>
              <w:bottom w:val="single" w:sz="6" w:space="0" w:color="C00000"/>
            </w:tcBorders>
            <w:shd w:val="clear" w:color="auto" w:fill="FFFFFF" w:themeFill="background1"/>
          </w:tcPr>
          <w:p w14:paraId="37AF3CAE" w14:textId="77777777" w:rsidR="00A86620" w:rsidRPr="008D3BC2" w:rsidRDefault="00A86620" w:rsidP="00085BA0">
            <w:pPr>
              <w:pStyle w:val="TableColumnHeadingLeft"/>
            </w:pPr>
            <w:r w:rsidRPr="008D3BC2">
              <w:t>End date</w:t>
            </w:r>
          </w:p>
        </w:tc>
        <w:tc>
          <w:tcPr>
            <w:tcW w:w="6946" w:type="dxa"/>
            <w:tcBorders>
              <w:top w:val="single" w:sz="6" w:space="0" w:color="C00000"/>
              <w:bottom w:val="single" w:sz="6" w:space="0" w:color="C00000"/>
            </w:tcBorders>
            <w:shd w:val="clear" w:color="auto" w:fill="FFFFFF" w:themeFill="background1"/>
          </w:tcPr>
          <w:p w14:paraId="58B7ADBC" w14:textId="77777777" w:rsidR="00A86620" w:rsidRPr="008D3BC2" w:rsidRDefault="00A86620" w:rsidP="00571100">
            <w:pPr>
              <w:pStyle w:val="TableTextLeft"/>
            </w:pPr>
            <w:r w:rsidRPr="008D3BC2">
              <w:t xml:space="preserve">The end date for residency should generally be the last </w:t>
            </w:r>
            <w:r w:rsidR="00571100" w:rsidRPr="008D3BC2">
              <w:t>day</w:t>
            </w:r>
            <w:r w:rsidRPr="008D3BC2">
              <w:t xml:space="preserve"> in which an individual is in Australia</w:t>
            </w:r>
            <w:r w:rsidR="00571100" w:rsidRPr="008D3BC2">
              <w:t xml:space="preserve"> in an income year</w:t>
            </w:r>
            <w:r w:rsidRPr="008D3BC2">
              <w:t xml:space="preserve">, where that individual </w:t>
            </w:r>
            <w:r w:rsidR="00571100" w:rsidRPr="008D3BC2">
              <w:t>was</w:t>
            </w:r>
            <w:r w:rsidRPr="008D3BC2">
              <w:t xml:space="preserve"> a resident for the entire previous income year.</w:t>
            </w:r>
          </w:p>
        </w:tc>
      </w:tr>
    </w:tbl>
    <w:p w14:paraId="67DDFB97" w14:textId="77777777" w:rsidR="00A86620" w:rsidRPr="008D3BC2" w:rsidRDefault="00A86620" w:rsidP="00A86620">
      <w:pPr>
        <w:rPr>
          <w:sz w:val="24"/>
          <w:szCs w:val="24"/>
        </w:rPr>
      </w:pPr>
      <w:r w:rsidRPr="008D3BC2">
        <w:rPr>
          <w:sz w:val="24"/>
          <w:szCs w:val="24"/>
        </w:rPr>
        <w:t>Under the secondary test, an individual may cease or establish residency by a method other than time spent in Australia. While</w:t>
      </w:r>
      <w:r w:rsidR="00AB6653" w:rsidRPr="008D3BC2">
        <w:rPr>
          <w:sz w:val="24"/>
          <w:szCs w:val="24"/>
        </w:rPr>
        <w:t xml:space="preserve"> it</w:t>
      </w:r>
      <w:r w:rsidRPr="008D3BC2">
        <w:rPr>
          <w:sz w:val="24"/>
          <w:szCs w:val="24"/>
        </w:rPr>
        <w:t xml:space="preserve"> may be possible to design rules that align to the date on which a given factor is no longer met, this will likely increase complexity and uncertainty of the new rules, and therefore a simple presence</w:t>
      </w:r>
      <w:r w:rsidRPr="008D3BC2">
        <w:rPr>
          <w:sz w:val="24"/>
          <w:szCs w:val="24"/>
        </w:rPr>
        <w:noBreakHyphen/>
        <w:t>based test is preferred.</w:t>
      </w:r>
    </w:p>
    <w:p w14:paraId="4A09B23C" w14:textId="77777777" w:rsidR="00A86620" w:rsidRPr="008D3BC2" w:rsidRDefault="00A86620" w:rsidP="00A86620">
      <w:pPr>
        <w:rPr>
          <w:sz w:val="24"/>
          <w:szCs w:val="24"/>
        </w:rPr>
      </w:pPr>
      <w:r w:rsidRPr="008D3BC2">
        <w:rPr>
          <w:sz w:val="24"/>
          <w:szCs w:val="24"/>
        </w:rPr>
        <w:t xml:space="preserve">This simplicity may be maintained by testing each period (that is, </w:t>
      </w:r>
      <w:r w:rsidR="00571100" w:rsidRPr="008D3BC2">
        <w:rPr>
          <w:sz w:val="24"/>
          <w:szCs w:val="24"/>
        </w:rPr>
        <w:t>(</w:t>
      </w:r>
      <w:r w:rsidRPr="008D3BC2">
        <w:rPr>
          <w:sz w:val="24"/>
          <w:szCs w:val="24"/>
        </w:rPr>
        <w:t>a) prior to arrival and post</w:t>
      </w:r>
      <w:r w:rsidRPr="008D3BC2">
        <w:rPr>
          <w:sz w:val="24"/>
          <w:szCs w:val="24"/>
        </w:rPr>
        <w:noBreakHyphen/>
        <w:t xml:space="preserve">arrival, and </w:t>
      </w:r>
      <w:r w:rsidR="00571100" w:rsidRPr="008D3BC2">
        <w:rPr>
          <w:sz w:val="24"/>
          <w:szCs w:val="24"/>
        </w:rPr>
        <w:t>(</w:t>
      </w:r>
      <w:r w:rsidRPr="008D3BC2">
        <w:rPr>
          <w:sz w:val="24"/>
          <w:szCs w:val="24"/>
        </w:rPr>
        <w:t>b) prior to departure and post</w:t>
      </w:r>
      <w:r w:rsidRPr="008D3BC2">
        <w:rPr>
          <w:sz w:val="24"/>
          <w:szCs w:val="24"/>
        </w:rPr>
        <w:noBreakHyphen/>
        <w:t>departure) as notionally separate income tax periods.</w:t>
      </w:r>
    </w:p>
    <w:p w14:paraId="71079497" w14:textId="77777777" w:rsidR="00A86620" w:rsidRPr="008D3BC2" w:rsidRDefault="00A86620" w:rsidP="00A86620">
      <w:pPr>
        <w:rPr>
          <w:sz w:val="24"/>
          <w:szCs w:val="24"/>
        </w:rPr>
      </w:pPr>
      <w:r w:rsidRPr="008D3BC2">
        <w:rPr>
          <w:sz w:val="24"/>
          <w:szCs w:val="24"/>
        </w:rPr>
        <w:t xml:space="preserve">It is possible that this may provide planning opportunities, and the Board seeks views about whether this is appropriately balanced by integrity rules (see </w:t>
      </w:r>
      <w:r w:rsidR="00571100" w:rsidRPr="008D3BC2">
        <w:rPr>
          <w:sz w:val="24"/>
          <w:szCs w:val="24"/>
        </w:rPr>
        <w:t>above</w:t>
      </w:r>
      <w:r w:rsidRPr="008D3BC2">
        <w:rPr>
          <w:sz w:val="24"/>
          <w:szCs w:val="24"/>
        </w:rPr>
        <w:t>) and the application of the bright</w:t>
      </w:r>
      <w:r w:rsidRPr="008D3BC2">
        <w:rPr>
          <w:sz w:val="24"/>
          <w:szCs w:val="24"/>
        </w:rPr>
        <w:noBreakHyphen/>
        <w:t>line test of 183 days to any given 12</w:t>
      </w:r>
      <w:r w:rsidRPr="008D3BC2">
        <w:rPr>
          <w:sz w:val="24"/>
          <w:szCs w:val="24"/>
        </w:rPr>
        <w:noBreakHyphen/>
        <w:t>month period.</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695587" w:rsidRPr="008D3BC2" w14:paraId="35B8FC06" w14:textId="77777777" w:rsidTr="00085BA0">
        <w:tc>
          <w:tcPr>
            <w:tcW w:w="5000" w:type="pct"/>
            <w:shd w:val="clear" w:color="auto" w:fill="EBEBEB"/>
          </w:tcPr>
          <w:p w14:paraId="4ADC5B2B" w14:textId="77777777" w:rsidR="00695587" w:rsidRPr="008D3BC2" w:rsidRDefault="00695587" w:rsidP="00085BA0">
            <w:pPr>
              <w:pStyle w:val="BoxHeading"/>
            </w:pPr>
            <w:r w:rsidRPr="008D3BC2">
              <w:t>Questions</w:t>
            </w:r>
          </w:p>
          <w:p w14:paraId="02A25345" w14:textId="77777777" w:rsidR="00695587" w:rsidRPr="008D3BC2" w:rsidRDefault="00695587" w:rsidP="002B7BB7">
            <w:pPr>
              <w:pStyle w:val="OutlineNumbered1"/>
              <w:keepLines/>
              <w:numPr>
                <w:ilvl w:val="0"/>
                <w:numId w:val="14"/>
              </w:numPr>
              <w:spacing w:after="160" w:line="259" w:lineRule="auto"/>
            </w:pPr>
            <w:r w:rsidRPr="008D3BC2">
              <w:t>Should the new residency rules include part</w:t>
            </w:r>
            <w:r w:rsidRPr="008D3BC2">
              <w:noBreakHyphen/>
              <w:t xml:space="preserve">year residency </w:t>
            </w:r>
            <w:r w:rsidR="002B7BB7" w:rsidRPr="008D3BC2">
              <w:t>provisions?</w:t>
            </w:r>
            <w:r w:rsidR="007B5CF4" w:rsidRPr="008D3BC2">
              <w:t xml:space="preserve"> Should there be different part-year provisions for inbound and outbound individuals?</w:t>
            </w:r>
          </w:p>
          <w:p w14:paraId="283A6703" w14:textId="77777777" w:rsidR="002B7BB7" w:rsidRDefault="002B7BB7" w:rsidP="002B7BB7">
            <w:pPr>
              <w:pStyle w:val="OutlineNumbered1"/>
              <w:keepLines/>
              <w:numPr>
                <w:ilvl w:val="0"/>
                <w:numId w:val="14"/>
              </w:numPr>
              <w:spacing w:after="160" w:line="259" w:lineRule="auto"/>
            </w:pPr>
            <w:r w:rsidRPr="008D3BC2">
              <w:t>Do the above design features provide a reasonable mechanism to determine split year income periods?</w:t>
            </w:r>
          </w:p>
          <w:p w14:paraId="28613EF5" w14:textId="75AB8B79" w:rsidR="0003388A" w:rsidRPr="008D3BC2" w:rsidRDefault="0003388A" w:rsidP="0003388A">
            <w:pPr>
              <w:pStyle w:val="OutlineNumbered1"/>
              <w:keepLines/>
              <w:numPr>
                <w:ilvl w:val="0"/>
                <w:numId w:val="14"/>
              </w:numPr>
              <w:spacing w:after="160" w:line="259" w:lineRule="auto"/>
            </w:pPr>
            <w:r>
              <w:t>How might part-year rules interact with Australia’s double tax treaties?</w:t>
            </w:r>
          </w:p>
        </w:tc>
      </w:tr>
    </w:tbl>
    <w:p w14:paraId="3A2757E8" w14:textId="77777777" w:rsidR="00F628E1" w:rsidRPr="008D3BC2" w:rsidRDefault="00F628E1" w:rsidP="002C251F">
      <w:pPr>
        <w:pStyle w:val="ListParagraph"/>
        <w:numPr>
          <w:ilvl w:val="0"/>
          <w:numId w:val="11"/>
        </w:numPr>
        <w:spacing w:after="240"/>
        <w:ind w:left="426" w:hanging="284"/>
        <w:rPr>
          <w:b/>
          <w:color w:val="002060"/>
          <w:sz w:val="36"/>
        </w:rPr>
      </w:pPr>
      <w:r w:rsidRPr="008D3BC2">
        <w:rPr>
          <w:b/>
          <w:color w:val="002060"/>
          <w:sz w:val="36"/>
        </w:rPr>
        <w:t>Transitional rules</w:t>
      </w:r>
    </w:p>
    <w:p w14:paraId="126441AA" w14:textId="77777777" w:rsidR="00F628E1" w:rsidRPr="008D3BC2" w:rsidRDefault="00751095" w:rsidP="00F628E1">
      <w:pPr>
        <w:rPr>
          <w:sz w:val="24"/>
          <w:szCs w:val="24"/>
        </w:rPr>
      </w:pPr>
      <w:r w:rsidRPr="008D3BC2">
        <w:rPr>
          <w:sz w:val="24"/>
          <w:szCs w:val="24"/>
        </w:rPr>
        <w:t>The Board is considering the need for transitional arrangements in the event that there are any adversely affected individuals</w:t>
      </w:r>
      <w:r w:rsidR="00F628E1" w:rsidRPr="008D3BC2">
        <w:rPr>
          <w:sz w:val="24"/>
          <w:szCs w:val="24"/>
        </w:rPr>
        <w:t>.</w:t>
      </w:r>
    </w:p>
    <w:p w14:paraId="2B37DD31" w14:textId="77777777" w:rsidR="00751095" w:rsidRPr="008D3BC2" w:rsidRDefault="00751095" w:rsidP="00F628E1">
      <w:pPr>
        <w:rPr>
          <w:sz w:val="24"/>
          <w:szCs w:val="24"/>
        </w:rPr>
      </w:pPr>
      <w:r w:rsidRPr="008D3BC2">
        <w:rPr>
          <w:sz w:val="24"/>
          <w:szCs w:val="24"/>
        </w:rPr>
        <w:t>Generally, as the most significant changes are intended to target inbound and outbound individuals (to improve certainty and simplicity)</w:t>
      </w:r>
      <w:r w:rsidR="00E16226" w:rsidRPr="008D3BC2">
        <w:rPr>
          <w:sz w:val="24"/>
          <w:szCs w:val="24"/>
        </w:rPr>
        <w:t>, it is expected that the rules will operate prospectively from a commencement date.</w:t>
      </w:r>
    </w:p>
    <w:p w14:paraId="192D70C1" w14:textId="77777777" w:rsidR="00E16226" w:rsidRPr="008D3BC2" w:rsidRDefault="00E16226" w:rsidP="00F628E1">
      <w:r w:rsidRPr="008D3BC2">
        <w:rPr>
          <w:sz w:val="24"/>
          <w:szCs w:val="24"/>
        </w:rPr>
        <w:t xml:space="preserve">Some of the proposed rules are designed differently depending on whether an individual was previously a resident or not. Generally, this will require an individual to use the current residency rules to determine their residency, which may lead to uncertainty and potential for dispute. The Board seeks views on the likelihood of this scenario and whether there is a simple </w:t>
      </w:r>
      <w:r w:rsidR="00E21AC8" w:rsidRPr="008D3BC2">
        <w:rPr>
          <w:sz w:val="24"/>
          <w:szCs w:val="24"/>
        </w:rPr>
        <w:t xml:space="preserve">way of </w:t>
      </w:r>
      <w:r w:rsidRPr="008D3BC2">
        <w:rPr>
          <w:sz w:val="24"/>
          <w:szCs w:val="24"/>
        </w:rPr>
        <w:t>resolv</w:t>
      </w:r>
      <w:r w:rsidR="00E21AC8" w:rsidRPr="008D3BC2">
        <w:rPr>
          <w:sz w:val="24"/>
          <w:szCs w:val="24"/>
        </w:rPr>
        <w:t>ing</w:t>
      </w:r>
      <w:r w:rsidRPr="008D3BC2">
        <w:rPr>
          <w:sz w:val="24"/>
          <w:szCs w:val="24"/>
        </w:rPr>
        <w:t xml:space="preserve"> this issue.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854"/>
      </w:tblGrid>
      <w:tr w:rsidR="00E16226" w:rsidRPr="008D3BC2" w14:paraId="6DB3661C" w14:textId="77777777" w:rsidTr="00AE60FB">
        <w:tc>
          <w:tcPr>
            <w:tcW w:w="5000" w:type="pct"/>
            <w:shd w:val="clear" w:color="auto" w:fill="EBEBEB"/>
          </w:tcPr>
          <w:p w14:paraId="7F4B4851" w14:textId="77777777" w:rsidR="00E16226" w:rsidRPr="008D3BC2" w:rsidRDefault="00E16226" w:rsidP="00AE60FB">
            <w:pPr>
              <w:pStyle w:val="BoxHeading"/>
            </w:pPr>
            <w:r w:rsidRPr="008D3BC2">
              <w:t>Questions</w:t>
            </w:r>
          </w:p>
          <w:p w14:paraId="06225213" w14:textId="77777777" w:rsidR="00E16226" w:rsidRPr="008D3BC2" w:rsidRDefault="00695587" w:rsidP="002B7BB7">
            <w:pPr>
              <w:pStyle w:val="OutlineNumbered1"/>
              <w:keepLines/>
              <w:numPr>
                <w:ilvl w:val="0"/>
                <w:numId w:val="14"/>
              </w:numPr>
              <w:spacing w:after="160" w:line="259" w:lineRule="auto"/>
            </w:pPr>
            <w:r w:rsidRPr="008D3BC2">
              <w:t xml:space="preserve">Should there be any transitional relief for any affected individuals? If so, please identify the affected </w:t>
            </w:r>
            <w:r w:rsidR="006D5801" w:rsidRPr="008D3BC2">
              <w:t xml:space="preserve">type of </w:t>
            </w:r>
            <w:r w:rsidRPr="008D3BC2">
              <w:t>individuals and relevant relief.</w:t>
            </w:r>
          </w:p>
        </w:tc>
      </w:tr>
    </w:tbl>
    <w:p w14:paraId="16613DC1" w14:textId="77777777" w:rsidR="00F628E1" w:rsidRPr="008D3BC2" w:rsidRDefault="00F628E1">
      <w:pPr>
        <w:spacing w:before="0" w:after="160" w:line="259" w:lineRule="auto"/>
      </w:pPr>
      <w:r w:rsidRPr="008D3BC2">
        <w:br w:type="page"/>
      </w:r>
    </w:p>
    <w:p w14:paraId="2B8AD913" w14:textId="77777777" w:rsidR="00192B67" w:rsidRPr="008D3BC2" w:rsidRDefault="00192B67">
      <w:pPr>
        <w:spacing w:before="0" w:after="160" w:line="259" w:lineRule="auto"/>
        <w:rPr>
          <w:rFonts w:cs="Arial"/>
          <w:color w:val="C00000"/>
          <w:kern w:val="32"/>
          <w:sz w:val="48"/>
          <w:szCs w:val="36"/>
        </w:rPr>
      </w:pPr>
    </w:p>
    <w:p w14:paraId="08B67E14" w14:textId="77777777" w:rsidR="00147049" w:rsidRPr="008D3BC2" w:rsidRDefault="00147049" w:rsidP="00147049">
      <w:pPr>
        <w:pStyle w:val="Heading1"/>
      </w:pPr>
      <w:bookmarkStart w:id="15" w:name="_Toc525312276"/>
      <w:r w:rsidRPr="008D3BC2">
        <w:t>Expected impacts of the proposed change</w:t>
      </w:r>
      <w:bookmarkEnd w:id="15"/>
    </w:p>
    <w:p w14:paraId="5C0F8660" w14:textId="77777777" w:rsidR="00CD54EB" w:rsidRPr="008D3BC2" w:rsidRDefault="00147049" w:rsidP="00147049">
      <w:pPr>
        <w:pStyle w:val="Heading3"/>
      </w:pPr>
      <w:r w:rsidRPr="008D3BC2">
        <w:t xml:space="preserve">The Board has identified the following expected impacts of the </w:t>
      </w:r>
      <w:r w:rsidR="00CD54EB" w:rsidRPr="008D3BC2">
        <w:t>proposed change to its preferred residency rules.</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CD54EB" w:rsidRPr="008D3BC2" w14:paraId="7DAA0C36" w14:textId="77777777" w:rsidTr="00655FAD">
        <w:tc>
          <w:tcPr>
            <w:tcW w:w="2660" w:type="dxa"/>
            <w:tcBorders>
              <w:bottom w:val="single" w:sz="6" w:space="0" w:color="C00000"/>
            </w:tcBorders>
            <w:shd w:val="clear" w:color="auto" w:fill="F2F2F2" w:themeFill="background1" w:themeFillShade="F2"/>
          </w:tcPr>
          <w:p w14:paraId="5AA30B28" w14:textId="77777777" w:rsidR="00CD54EB" w:rsidRPr="008D3BC2" w:rsidRDefault="00CD54EB" w:rsidP="00655FAD">
            <w:pPr>
              <w:pStyle w:val="TableColumnHeadingCentred"/>
              <w:rPr>
                <w:bCs/>
                <w:color w:val="44546A" w:themeColor="text2"/>
                <w:sz w:val="22"/>
              </w:rPr>
            </w:pPr>
            <w:r w:rsidRPr="008D3BC2">
              <w:t>Issue</w:t>
            </w:r>
          </w:p>
        </w:tc>
        <w:tc>
          <w:tcPr>
            <w:tcW w:w="7194" w:type="dxa"/>
            <w:tcBorders>
              <w:bottom w:val="single" w:sz="6" w:space="0" w:color="C00000"/>
            </w:tcBorders>
            <w:shd w:val="clear" w:color="auto" w:fill="F2F2F2" w:themeFill="background1" w:themeFillShade="F2"/>
          </w:tcPr>
          <w:p w14:paraId="3BEFE828" w14:textId="77777777" w:rsidR="00CD54EB" w:rsidRPr="008D3BC2" w:rsidRDefault="00CD54EB" w:rsidP="00655FAD">
            <w:pPr>
              <w:pStyle w:val="TableColumnHeadingCentred"/>
              <w:rPr>
                <w:sz w:val="22"/>
              </w:rPr>
            </w:pPr>
            <w:r w:rsidRPr="008D3BC2">
              <w:t>Observation</w:t>
            </w:r>
          </w:p>
        </w:tc>
      </w:tr>
      <w:tr w:rsidR="00CD54EB" w:rsidRPr="008D3BC2" w14:paraId="5EE9AEDB" w14:textId="77777777" w:rsidTr="00655FAD">
        <w:tc>
          <w:tcPr>
            <w:tcW w:w="2660" w:type="dxa"/>
            <w:tcBorders>
              <w:top w:val="single" w:sz="6" w:space="0" w:color="C00000"/>
              <w:bottom w:val="single" w:sz="6" w:space="0" w:color="C00000"/>
            </w:tcBorders>
            <w:shd w:val="clear" w:color="auto" w:fill="FFFFFF" w:themeFill="background1"/>
          </w:tcPr>
          <w:p w14:paraId="7FA370F8" w14:textId="77777777" w:rsidR="00CD54EB" w:rsidRPr="008D3BC2" w:rsidRDefault="00CD54EB" w:rsidP="00655FAD">
            <w:pPr>
              <w:pStyle w:val="TableColumnHeadingLeft"/>
              <w:rPr>
                <w:sz w:val="22"/>
              </w:rPr>
            </w:pPr>
            <w:r w:rsidRPr="008D3BC2">
              <w:t>Revenue impact</w:t>
            </w:r>
          </w:p>
        </w:tc>
        <w:tc>
          <w:tcPr>
            <w:tcW w:w="7194" w:type="dxa"/>
            <w:tcBorders>
              <w:top w:val="single" w:sz="6" w:space="0" w:color="C00000"/>
              <w:bottom w:val="single" w:sz="6" w:space="0" w:color="C00000"/>
            </w:tcBorders>
            <w:shd w:val="clear" w:color="auto" w:fill="FFFFFF" w:themeFill="background1"/>
          </w:tcPr>
          <w:p w14:paraId="3C31D5F3" w14:textId="291A9341" w:rsidR="00CD54EB" w:rsidRPr="008D3BC2" w:rsidRDefault="00CD54EB" w:rsidP="002B315C">
            <w:pPr>
              <w:pStyle w:val="Bullet"/>
              <w:numPr>
                <w:ilvl w:val="0"/>
                <w:numId w:val="0"/>
              </w:numPr>
              <w:ind w:left="34"/>
            </w:pPr>
            <w:r w:rsidRPr="008D3BC2">
              <w:t>This measure is intended to have an immaterial or negligible revenue impact</w:t>
            </w:r>
            <w:r w:rsidR="00E21AC8" w:rsidRPr="008D3BC2">
              <w:t>, but is subject to the policy decisions ultimately taken.</w:t>
            </w:r>
            <w:r w:rsidR="00E21AC8" w:rsidRPr="008D3BC2" w:rsidDel="00E21AC8">
              <w:t xml:space="preserve"> </w:t>
            </w:r>
          </w:p>
        </w:tc>
      </w:tr>
      <w:tr w:rsidR="00CD54EB" w:rsidRPr="008D3BC2" w14:paraId="66379F8B" w14:textId="77777777" w:rsidTr="00655FAD">
        <w:tc>
          <w:tcPr>
            <w:tcW w:w="2660" w:type="dxa"/>
            <w:tcBorders>
              <w:top w:val="single" w:sz="6" w:space="0" w:color="C00000"/>
              <w:bottom w:val="single" w:sz="6" w:space="0" w:color="C00000"/>
            </w:tcBorders>
            <w:shd w:val="clear" w:color="auto" w:fill="FFFFFF" w:themeFill="background1"/>
          </w:tcPr>
          <w:p w14:paraId="45E5F0C2" w14:textId="77777777" w:rsidR="00CD54EB" w:rsidRPr="008D3BC2" w:rsidRDefault="00CD54EB" w:rsidP="00655FAD">
            <w:pPr>
              <w:pStyle w:val="TableColumnHeadingLeft"/>
            </w:pPr>
            <w:r w:rsidRPr="008D3BC2">
              <w:t>E</w:t>
            </w:r>
            <w:r w:rsidR="00C146AE" w:rsidRPr="008D3BC2">
              <w:t>conomic impact</w:t>
            </w:r>
          </w:p>
        </w:tc>
        <w:tc>
          <w:tcPr>
            <w:tcW w:w="7194" w:type="dxa"/>
            <w:tcBorders>
              <w:top w:val="single" w:sz="6" w:space="0" w:color="C00000"/>
              <w:bottom w:val="single" w:sz="6" w:space="0" w:color="C00000"/>
            </w:tcBorders>
            <w:shd w:val="clear" w:color="auto" w:fill="FFFFFF" w:themeFill="background1"/>
          </w:tcPr>
          <w:p w14:paraId="21521D38" w14:textId="7F050609" w:rsidR="00CD54EB" w:rsidRPr="008D3BC2" w:rsidRDefault="00CD54EB" w:rsidP="007B5CF4">
            <w:pPr>
              <w:pStyle w:val="TableTextLeft"/>
            </w:pPr>
            <w:r w:rsidRPr="008D3BC2">
              <w:rPr>
                <w:sz w:val="20"/>
              </w:rPr>
              <w:t>The Board’s proposal seeks to provide certainty for individuals (and employers) regarding every individual’s residency status. The Board expects that this increased certainty</w:t>
            </w:r>
            <w:r w:rsidR="002B315C">
              <w:rPr>
                <w:sz w:val="20"/>
              </w:rPr>
              <w:t xml:space="preserve"> will</w:t>
            </w:r>
            <w:r w:rsidRPr="008D3BC2">
              <w:rPr>
                <w:sz w:val="20"/>
              </w:rPr>
              <w:t xml:space="preserve"> aid Australia attracting inward investment </w:t>
            </w:r>
            <w:r w:rsidR="00C146AE" w:rsidRPr="008D3BC2">
              <w:rPr>
                <w:sz w:val="20"/>
              </w:rPr>
              <w:t>and may lead to broader economic benefits.</w:t>
            </w:r>
          </w:p>
        </w:tc>
      </w:tr>
      <w:tr w:rsidR="00AC3343" w:rsidRPr="008D3BC2" w14:paraId="3804CAF2" w14:textId="77777777" w:rsidTr="00655FAD">
        <w:tc>
          <w:tcPr>
            <w:tcW w:w="2660" w:type="dxa"/>
            <w:tcBorders>
              <w:top w:val="single" w:sz="6" w:space="0" w:color="C00000"/>
              <w:bottom w:val="single" w:sz="6" w:space="0" w:color="C00000"/>
            </w:tcBorders>
            <w:shd w:val="clear" w:color="auto" w:fill="FFFFFF" w:themeFill="background1"/>
          </w:tcPr>
          <w:p w14:paraId="7EF08C28" w14:textId="77777777" w:rsidR="00AC3343" w:rsidRPr="008D3BC2" w:rsidRDefault="00AC3343" w:rsidP="00655FAD">
            <w:pPr>
              <w:pStyle w:val="TableColumnHeadingLeft"/>
            </w:pPr>
            <w:r w:rsidRPr="008D3BC2">
              <w:t>Compliance burden impact (red tape)</w:t>
            </w:r>
          </w:p>
        </w:tc>
        <w:tc>
          <w:tcPr>
            <w:tcW w:w="7194" w:type="dxa"/>
            <w:tcBorders>
              <w:top w:val="single" w:sz="6" w:space="0" w:color="C00000"/>
              <w:bottom w:val="single" w:sz="6" w:space="0" w:color="C00000"/>
            </w:tcBorders>
            <w:shd w:val="clear" w:color="auto" w:fill="FFFFFF" w:themeFill="background1"/>
          </w:tcPr>
          <w:p w14:paraId="6D3DD39D" w14:textId="77777777" w:rsidR="00AC3343" w:rsidRPr="008D3BC2" w:rsidRDefault="00AC3343" w:rsidP="00AC3343">
            <w:pPr>
              <w:pStyle w:val="TableTextLeft"/>
              <w:rPr>
                <w:sz w:val="20"/>
              </w:rPr>
            </w:pPr>
            <w:r w:rsidRPr="008D3BC2">
              <w:rPr>
                <w:sz w:val="20"/>
              </w:rPr>
              <w:t>While the Board expects that there will be some upfront cost to advisers and employers modifying their systems and educating staff on the Board’s proposal, over time the compliance burden should drastically reduce, including the need for external advice.</w:t>
            </w:r>
          </w:p>
          <w:p w14:paraId="77EC1C40" w14:textId="77777777" w:rsidR="00AC3343" w:rsidRPr="008D3BC2" w:rsidRDefault="00AC3343" w:rsidP="00AC3343">
            <w:pPr>
              <w:pStyle w:val="TableTextLeft"/>
            </w:pPr>
            <w:r w:rsidRPr="008D3BC2">
              <w:rPr>
                <w:sz w:val="20"/>
              </w:rPr>
              <w:t>This measure should be considered to reduce red tape.</w:t>
            </w:r>
          </w:p>
        </w:tc>
      </w:tr>
      <w:tr w:rsidR="00CD54EB" w:rsidRPr="008D3BC2" w14:paraId="67A96B08" w14:textId="77777777" w:rsidTr="00655FAD">
        <w:tc>
          <w:tcPr>
            <w:tcW w:w="2660" w:type="dxa"/>
            <w:tcBorders>
              <w:top w:val="single" w:sz="6" w:space="0" w:color="C00000"/>
              <w:bottom w:val="single" w:sz="6" w:space="0" w:color="C00000"/>
            </w:tcBorders>
            <w:shd w:val="clear" w:color="auto" w:fill="FFFFFF" w:themeFill="background1"/>
          </w:tcPr>
          <w:p w14:paraId="2AEA7DF5" w14:textId="77777777" w:rsidR="00CD54EB" w:rsidRPr="008D3BC2" w:rsidRDefault="00C146AE" w:rsidP="00655FAD">
            <w:pPr>
              <w:pStyle w:val="TableColumnHeadingLeft"/>
            </w:pPr>
            <w:r w:rsidRPr="008D3BC2">
              <w:t>Administrative impact</w:t>
            </w:r>
          </w:p>
        </w:tc>
        <w:tc>
          <w:tcPr>
            <w:tcW w:w="7194" w:type="dxa"/>
            <w:tcBorders>
              <w:top w:val="single" w:sz="6" w:space="0" w:color="C00000"/>
              <w:bottom w:val="single" w:sz="6" w:space="0" w:color="C00000"/>
            </w:tcBorders>
            <w:shd w:val="clear" w:color="auto" w:fill="FFFFFF" w:themeFill="background1"/>
          </w:tcPr>
          <w:p w14:paraId="00EEE3E5" w14:textId="77777777" w:rsidR="00CD54EB" w:rsidRPr="008D3BC2" w:rsidRDefault="00C146AE" w:rsidP="00C146AE">
            <w:pPr>
              <w:pStyle w:val="TableTextLeft"/>
            </w:pPr>
            <w:r w:rsidRPr="008D3BC2">
              <w:rPr>
                <w:sz w:val="20"/>
              </w:rPr>
              <w:t>The implementation of, and transition to, the Board’s proposal will require some investment in the ATO’s systems and efforts regarding education and public guidance. It is expected that the increased certainty should, however, reduce the costs of ongoing monitoring and drastically reduce need for private rulings or likelihood of costly litigation.</w:t>
            </w:r>
          </w:p>
        </w:tc>
      </w:tr>
      <w:tr w:rsidR="00CD54EB" w:rsidRPr="008D3BC2" w14:paraId="753CF01B" w14:textId="77777777" w:rsidTr="00655FAD">
        <w:tc>
          <w:tcPr>
            <w:tcW w:w="2660" w:type="dxa"/>
            <w:tcBorders>
              <w:top w:val="single" w:sz="6" w:space="0" w:color="C00000"/>
              <w:bottom w:val="single" w:sz="6" w:space="0" w:color="C00000"/>
            </w:tcBorders>
            <w:shd w:val="clear" w:color="auto" w:fill="FFFFFF" w:themeFill="background1"/>
          </w:tcPr>
          <w:p w14:paraId="697BFD81" w14:textId="77777777" w:rsidR="00CD54EB" w:rsidRPr="008D3BC2" w:rsidRDefault="00627FCA" w:rsidP="00655FAD">
            <w:pPr>
              <w:pStyle w:val="TableColumnHeadingLeft"/>
            </w:pPr>
            <w:r w:rsidRPr="008D3BC2">
              <w:t>Impact on affected individuals</w:t>
            </w:r>
          </w:p>
        </w:tc>
        <w:tc>
          <w:tcPr>
            <w:tcW w:w="7194" w:type="dxa"/>
            <w:tcBorders>
              <w:top w:val="single" w:sz="6" w:space="0" w:color="C00000"/>
              <w:bottom w:val="single" w:sz="6" w:space="0" w:color="C00000"/>
            </w:tcBorders>
            <w:shd w:val="clear" w:color="auto" w:fill="FFFFFF" w:themeFill="background1"/>
          </w:tcPr>
          <w:p w14:paraId="54B91CDF" w14:textId="77777777" w:rsidR="00CD54EB" w:rsidRPr="008D3BC2" w:rsidRDefault="00627FCA" w:rsidP="00627FCA">
            <w:pPr>
              <w:pStyle w:val="TableTextLeft"/>
              <w:rPr>
                <w:sz w:val="20"/>
              </w:rPr>
            </w:pPr>
            <w:r w:rsidRPr="008D3BC2">
              <w:rPr>
                <w:sz w:val="20"/>
              </w:rPr>
              <w:t>The Board’s proposal seeks to provide certainty and reduce the compliance burden for individuals and their employers that current exists.</w:t>
            </w:r>
          </w:p>
          <w:p w14:paraId="5C957D23" w14:textId="77777777" w:rsidR="00627FCA" w:rsidRPr="008D3BC2" w:rsidRDefault="00627FCA" w:rsidP="00627FCA">
            <w:pPr>
              <w:pStyle w:val="TableTextLeft"/>
              <w:rPr>
                <w:sz w:val="20"/>
              </w:rPr>
            </w:pPr>
            <w:r w:rsidRPr="008D3BC2">
              <w:rPr>
                <w:sz w:val="20"/>
              </w:rPr>
              <w:t>It is expected that the majority of individuals will be unaffected by the transition to the Board’s proposal – there will be no noticeable impact and no cost.</w:t>
            </w:r>
          </w:p>
          <w:p w14:paraId="6DEE97A8" w14:textId="77777777" w:rsidR="00627FCA" w:rsidRPr="008D3BC2" w:rsidRDefault="00627FCA" w:rsidP="00AC3343">
            <w:pPr>
              <w:pStyle w:val="TableTextLeft"/>
            </w:pPr>
            <w:r w:rsidRPr="008D3BC2">
              <w:rPr>
                <w:sz w:val="20"/>
              </w:rPr>
              <w:t>However, it is likely that there will be some individuals affected by a change in residency status</w:t>
            </w:r>
            <w:r w:rsidR="008F2A0D" w:rsidRPr="008D3BC2">
              <w:rPr>
                <w:sz w:val="20"/>
              </w:rPr>
              <w:t xml:space="preserve"> under both the proposed substantive rules and potential integrity measures</w:t>
            </w:r>
            <w:r w:rsidRPr="008D3BC2">
              <w:rPr>
                <w:sz w:val="20"/>
              </w:rPr>
              <w:t xml:space="preserve">. The Board cannot quantify this impact but it is expected to be minimal. Further, as the key changes are for inbound and outbound individuals it is expected that should the Government adopt the Board’s proposal </w:t>
            </w:r>
            <w:r w:rsidR="00AC3343" w:rsidRPr="008D3BC2">
              <w:rPr>
                <w:sz w:val="20"/>
              </w:rPr>
              <w:t>the impact will be foreshadowed without any retrospective application.</w:t>
            </w:r>
          </w:p>
        </w:tc>
      </w:tr>
      <w:tr w:rsidR="00AC3343" w:rsidRPr="008D3BC2" w14:paraId="308DAD3E" w14:textId="77777777" w:rsidTr="00655FAD">
        <w:tc>
          <w:tcPr>
            <w:tcW w:w="2660" w:type="dxa"/>
            <w:tcBorders>
              <w:top w:val="single" w:sz="6" w:space="0" w:color="C00000"/>
              <w:bottom w:val="single" w:sz="6" w:space="0" w:color="C00000"/>
            </w:tcBorders>
            <w:shd w:val="clear" w:color="auto" w:fill="FFFFFF" w:themeFill="background1"/>
          </w:tcPr>
          <w:p w14:paraId="3DD42130" w14:textId="77777777" w:rsidR="00AC3343" w:rsidRPr="008D3BC2" w:rsidRDefault="00AC3343" w:rsidP="00655FAD">
            <w:pPr>
              <w:pStyle w:val="TableColumnHeadingLeft"/>
            </w:pPr>
            <w:r w:rsidRPr="008D3BC2">
              <w:t>Other impacts</w:t>
            </w:r>
          </w:p>
        </w:tc>
        <w:tc>
          <w:tcPr>
            <w:tcW w:w="7194" w:type="dxa"/>
            <w:tcBorders>
              <w:top w:val="single" w:sz="6" w:space="0" w:color="C00000"/>
              <w:bottom w:val="single" w:sz="6" w:space="0" w:color="C00000"/>
            </w:tcBorders>
            <w:shd w:val="clear" w:color="auto" w:fill="FFFFFF" w:themeFill="background1"/>
          </w:tcPr>
          <w:p w14:paraId="0E09FF23" w14:textId="77777777" w:rsidR="00AC3343" w:rsidRPr="008D3BC2" w:rsidRDefault="00AC3343" w:rsidP="00AC3343">
            <w:pPr>
              <w:pStyle w:val="TableTextLeft"/>
              <w:rPr>
                <w:sz w:val="20"/>
              </w:rPr>
            </w:pPr>
            <w:r w:rsidRPr="008D3BC2">
              <w:rPr>
                <w:sz w:val="20"/>
              </w:rPr>
              <w:t>The Board does not expect that its proposal will have any impact on human rights or other matters required to be considered through the Government’s regulatory impact statement procedure.</w:t>
            </w:r>
          </w:p>
        </w:tc>
      </w:tr>
    </w:tbl>
    <w:p w14:paraId="463C00F5" w14:textId="77777777" w:rsidR="00147049" w:rsidRPr="008D3BC2" w:rsidRDefault="00147049" w:rsidP="00147049">
      <w:pPr>
        <w:pStyle w:val="Heading3"/>
      </w:pPr>
      <w:r w:rsidRPr="008D3BC2">
        <w:br w:type="page"/>
      </w:r>
    </w:p>
    <w:p w14:paraId="06FDA441" w14:textId="77777777" w:rsidR="006F5C93" w:rsidRPr="008D3BC2" w:rsidRDefault="006F5C93" w:rsidP="006F5C93">
      <w:pPr>
        <w:pStyle w:val="Heading1"/>
        <w:spacing w:before="0"/>
      </w:pPr>
      <w:bookmarkStart w:id="16" w:name="_Toc525312277"/>
      <w:r w:rsidRPr="008D3BC2">
        <w:t>Consultation</w:t>
      </w:r>
      <w:bookmarkEnd w:id="14"/>
      <w:r w:rsidRPr="008D3BC2">
        <w:t xml:space="preserve"> process</w:t>
      </w:r>
      <w:bookmarkEnd w:id="16"/>
    </w:p>
    <w:p w14:paraId="4B92FEA5" w14:textId="77777777" w:rsidR="006F5C93" w:rsidRPr="008D3BC2" w:rsidRDefault="006F5C93" w:rsidP="006F5C93">
      <w:pPr>
        <w:pStyle w:val="Introductionparagraph"/>
      </w:pPr>
      <w:r w:rsidRPr="008D3BC2">
        <w:t xml:space="preserve">As part of the Board’s consultation, the Board is seeking views on options to reform and the design of the Board’s proposed options from its </w:t>
      </w:r>
      <w:r w:rsidRPr="008D3BC2">
        <w:rPr>
          <w:i/>
        </w:rPr>
        <w:t xml:space="preserve">Review of the Individual Income Tax Residency Rules. </w:t>
      </w:r>
    </w:p>
    <w:p w14:paraId="613FE026" w14:textId="77777777" w:rsidR="006F5C93" w:rsidRPr="008D3BC2" w:rsidRDefault="006F5C93" w:rsidP="006F5C93">
      <w:pPr>
        <w:rPr>
          <w:color w:val="C00000"/>
          <w:sz w:val="36"/>
          <w:szCs w:val="36"/>
        </w:rPr>
      </w:pPr>
      <w:r w:rsidRPr="008D3BC2">
        <w:rPr>
          <w:color w:val="C00000"/>
          <w:sz w:val="36"/>
          <w:szCs w:val="36"/>
        </w:rPr>
        <w:t>Timetable for consultation</w:t>
      </w:r>
    </w:p>
    <w:p w14:paraId="6A86F455" w14:textId="77777777" w:rsidR="006F5C93" w:rsidRPr="008D3BC2" w:rsidRDefault="006F5C93" w:rsidP="006F5C93">
      <w:pPr>
        <w:rPr>
          <w:color w:val="C00000"/>
          <w:sz w:val="36"/>
          <w:szCs w:val="36"/>
        </w:rPr>
      </w:pPr>
      <w:r w:rsidRPr="008D3BC2">
        <w:t xml:space="preserve">The timetable below sets out an indicative timeframe for consultation. Further information will be made available at: </w:t>
      </w:r>
      <w:hyperlink r:id="rId24" w:history="1">
        <w:r w:rsidRPr="008D3BC2">
          <w:rPr>
            <w:rStyle w:val="Hyperlink"/>
          </w:rPr>
          <w:t>www.taxboard.gov.au</w:t>
        </w:r>
      </w:hyperlink>
      <w:r w:rsidRPr="008D3BC2">
        <w:t>.</w:t>
      </w:r>
    </w:p>
    <w:tbl>
      <w:tblPr>
        <w:tblStyle w:val="TableGrid"/>
        <w:tblW w:w="0" w:type="auto"/>
        <w:shd w:val="clear" w:color="auto" w:fill="FFFFFF" w:themeFill="background1"/>
        <w:tblLook w:val="04A0" w:firstRow="1" w:lastRow="0" w:firstColumn="1" w:lastColumn="0" w:noHBand="0" w:noVBand="1"/>
      </w:tblPr>
      <w:tblGrid>
        <w:gridCol w:w="2660"/>
        <w:gridCol w:w="7194"/>
      </w:tblGrid>
      <w:tr w:rsidR="006F5C93" w:rsidRPr="008D3BC2" w14:paraId="467C1558" w14:textId="77777777" w:rsidTr="00655FAD">
        <w:tc>
          <w:tcPr>
            <w:tcW w:w="2660" w:type="dxa"/>
            <w:shd w:val="clear" w:color="auto" w:fill="D9D9D9" w:themeFill="background1" w:themeFillShade="D9"/>
          </w:tcPr>
          <w:p w14:paraId="56585B9C" w14:textId="3FB9729D" w:rsidR="006F5C93" w:rsidRPr="008D3BC2" w:rsidRDefault="00073650" w:rsidP="00655FAD">
            <w:pPr>
              <w:pStyle w:val="TableColumnHeadingLeft"/>
              <w:rPr>
                <w:sz w:val="22"/>
              </w:rPr>
            </w:pPr>
            <w:r>
              <w:t>September</w:t>
            </w:r>
            <w:r w:rsidRPr="008D3BC2">
              <w:t xml:space="preserve"> </w:t>
            </w:r>
            <w:r w:rsidR="006F5C93" w:rsidRPr="008D3BC2">
              <w:t>2018</w:t>
            </w:r>
          </w:p>
        </w:tc>
        <w:tc>
          <w:tcPr>
            <w:tcW w:w="7194" w:type="dxa"/>
            <w:shd w:val="clear" w:color="auto" w:fill="D9D9D9" w:themeFill="background1" w:themeFillShade="D9"/>
          </w:tcPr>
          <w:p w14:paraId="16BF5DBF" w14:textId="77777777" w:rsidR="006F5C93" w:rsidRPr="008D3BC2" w:rsidRDefault="006F5C93" w:rsidP="00655FAD">
            <w:pPr>
              <w:pStyle w:val="TableColumnHeadingLeft"/>
              <w:rPr>
                <w:sz w:val="22"/>
              </w:rPr>
            </w:pPr>
            <w:r w:rsidRPr="008D3BC2">
              <w:t>Consultation Guide – released</w:t>
            </w:r>
          </w:p>
        </w:tc>
      </w:tr>
      <w:tr w:rsidR="006F5C93" w:rsidRPr="008D3BC2" w14:paraId="60962D46" w14:textId="77777777" w:rsidTr="00655FAD">
        <w:tc>
          <w:tcPr>
            <w:tcW w:w="2660" w:type="dxa"/>
            <w:shd w:val="clear" w:color="auto" w:fill="FFFFFF" w:themeFill="background1"/>
          </w:tcPr>
          <w:p w14:paraId="214BAA36" w14:textId="77777777" w:rsidR="006F5C93" w:rsidRPr="008D3BC2" w:rsidRDefault="006F5C93" w:rsidP="00655FAD">
            <w:pPr>
              <w:pStyle w:val="SingleParagraph"/>
              <w:rPr>
                <w:sz w:val="24"/>
                <w:szCs w:val="24"/>
              </w:rPr>
            </w:pPr>
          </w:p>
        </w:tc>
        <w:tc>
          <w:tcPr>
            <w:tcW w:w="7194" w:type="dxa"/>
            <w:shd w:val="clear" w:color="auto" w:fill="FFFFFF" w:themeFill="background1"/>
          </w:tcPr>
          <w:p w14:paraId="6ECD99E7" w14:textId="77777777" w:rsidR="006F5C93" w:rsidRPr="008D3BC2" w:rsidRDefault="006F5C93" w:rsidP="00655FAD">
            <w:pPr>
              <w:pStyle w:val="TableTextLeft"/>
              <w:rPr>
                <w:b/>
                <w:bCs/>
                <w:color w:val="44546A" w:themeColor="text2"/>
              </w:rPr>
            </w:pPr>
          </w:p>
        </w:tc>
      </w:tr>
      <w:tr w:rsidR="006F5C93" w:rsidRPr="008D3BC2" w14:paraId="149F6D49" w14:textId="77777777" w:rsidTr="00655FAD">
        <w:tc>
          <w:tcPr>
            <w:tcW w:w="2660" w:type="dxa"/>
            <w:shd w:val="clear" w:color="auto" w:fill="D9D9D9" w:themeFill="background1" w:themeFillShade="D9"/>
          </w:tcPr>
          <w:p w14:paraId="7C53C818" w14:textId="145494FE" w:rsidR="006F5C93" w:rsidRPr="008D3BC2" w:rsidRDefault="006D5801" w:rsidP="00655FAD">
            <w:pPr>
              <w:pStyle w:val="TableColumnHeadingLeft"/>
              <w:rPr>
                <w:sz w:val="22"/>
              </w:rPr>
            </w:pPr>
            <w:r w:rsidRPr="008D3BC2">
              <w:t>September</w:t>
            </w:r>
            <w:r w:rsidR="00073650">
              <w:t xml:space="preserve"> – October</w:t>
            </w:r>
            <w:r w:rsidRPr="008D3BC2">
              <w:t xml:space="preserve"> </w:t>
            </w:r>
            <w:r w:rsidR="006F5C93" w:rsidRPr="008D3BC2">
              <w:t>2018</w:t>
            </w:r>
          </w:p>
        </w:tc>
        <w:tc>
          <w:tcPr>
            <w:tcW w:w="7194" w:type="dxa"/>
            <w:shd w:val="clear" w:color="auto" w:fill="D9D9D9" w:themeFill="background1" w:themeFillShade="D9"/>
          </w:tcPr>
          <w:p w14:paraId="35302F9D" w14:textId="77777777" w:rsidR="006F5C93" w:rsidRPr="008D3BC2" w:rsidRDefault="006F5C93" w:rsidP="00655FAD">
            <w:pPr>
              <w:pStyle w:val="TableColumnHeadingLeft"/>
              <w:rPr>
                <w:bCs/>
                <w:color w:val="44546A" w:themeColor="text2"/>
                <w:sz w:val="22"/>
              </w:rPr>
            </w:pPr>
            <w:r w:rsidRPr="008D3BC2">
              <w:t>Consultation</w:t>
            </w:r>
          </w:p>
        </w:tc>
      </w:tr>
      <w:tr w:rsidR="006F5C93" w:rsidRPr="008D3BC2" w14:paraId="2F35ED22" w14:textId="77777777" w:rsidTr="00655FAD">
        <w:tc>
          <w:tcPr>
            <w:tcW w:w="2660" w:type="dxa"/>
            <w:shd w:val="clear" w:color="auto" w:fill="FFFFFF" w:themeFill="background1"/>
          </w:tcPr>
          <w:p w14:paraId="4330356D" w14:textId="77777777" w:rsidR="006F5C93" w:rsidRPr="008D3BC2" w:rsidRDefault="006F5C93" w:rsidP="00655FAD">
            <w:pPr>
              <w:pStyle w:val="SingleParagraph"/>
              <w:rPr>
                <w:sz w:val="24"/>
                <w:szCs w:val="24"/>
              </w:rPr>
            </w:pPr>
          </w:p>
        </w:tc>
        <w:tc>
          <w:tcPr>
            <w:tcW w:w="7194" w:type="dxa"/>
            <w:shd w:val="clear" w:color="auto" w:fill="FFFFFF" w:themeFill="background1"/>
          </w:tcPr>
          <w:p w14:paraId="2B7E815F" w14:textId="1052BBB1" w:rsidR="006F5C93" w:rsidRPr="008D3BC2" w:rsidRDefault="006F5C93" w:rsidP="00F924FA">
            <w:pPr>
              <w:pStyle w:val="TableTextLeft"/>
              <w:rPr>
                <w:b/>
                <w:bCs/>
                <w:color w:val="44546A" w:themeColor="text2"/>
              </w:rPr>
            </w:pPr>
            <w:r w:rsidRPr="008D3BC2">
              <w:t xml:space="preserve">Written submissions in response to the Consultation Guide may be provided to the Board until </w:t>
            </w:r>
            <w:r w:rsidR="00F924FA">
              <w:t>26 October</w:t>
            </w:r>
            <w:r w:rsidRPr="008D3BC2">
              <w:t xml:space="preserve"> 2018.</w:t>
            </w:r>
          </w:p>
        </w:tc>
      </w:tr>
      <w:tr w:rsidR="006F5C93" w:rsidRPr="008D3BC2" w14:paraId="21C94B88" w14:textId="77777777" w:rsidTr="00655FAD">
        <w:tc>
          <w:tcPr>
            <w:tcW w:w="2660" w:type="dxa"/>
            <w:shd w:val="clear" w:color="auto" w:fill="FFFFFF" w:themeFill="background1"/>
          </w:tcPr>
          <w:p w14:paraId="42D7001A" w14:textId="77777777" w:rsidR="006F5C93" w:rsidRPr="008D3BC2" w:rsidRDefault="006F5C93" w:rsidP="00655FAD">
            <w:pPr>
              <w:pStyle w:val="SingleParagraph"/>
              <w:rPr>
                <w:sz w:val="24"/>
                <w:szCs w:val="24"/>
              </w:rPr>
            </w:pPr>
          </w:p>
        </w:tc>
        <w:tc>
          <w:tcPr>
            <w:tcW w:w="7194" w:type="dxa"/>
            <w:shd w:val="clear" w:color="auto" w:fill="FFFFFF" w:themeFill="background1"/>
          </w:tcPr>
          <w:p w14:paraId="4D2BBB9D" w14:textId="77777777" w:rsidR="006F5C93" w:rsidRPr="008D3BC2" w:rsidRDefault="006F5C93" w:rsidP="00655FAD">
            <w:pPr>
              <w:pStyle w:val="TableTextLeft"/>
              <w:rPr>
                <w:b/>
                <w:bCs/>
                <w:color w:val="44546A" w:themeColor="text2"/>
              </w:rPr>
            </w:pPr>
            <w:r w:rsidRPr="008D3BC2">
              <w:t>The Board’s working group will conduct targeted consultation with interested parties.</w:t>
            </w:r>
          </w:p>
        </w:tc>
      </w:tr>
      <w:tr w:rsidR="006F5C93" w:rsidRPr="008D3BC2" w14:paraId="5BD89F37" w14:textId="77777777" w:rsidTr="00655FAD">
        <w:tc>
          <w:tcPr>
            <w:tcW w:w="2660" w:type="dxa"/>
            <w:shd w:val="clear" w:color="auto" w:fill="D9D9D9" w:themeFill="background1" w:themeFillShade="D9"/>
          </w:tcPr>
          <w:p w14:paraId="42635D8C" w14:textId="77777777" w:rsidR="006F5C93" w:rsidRPr="008D3BC2" w:rsidRDefault="006D5801" w:rsidP="006D5801">
            <w:pPr>
              <w:pStyle w:val="TableColumnHeadingLeft"/>
              <w:rPr>
                <w:bCs/>
                <w:color w:val="44546A" w:themeColor="text2"/>
                <w:sz w:val="22"/>
              </w:rPr>
            </w:pPr>
            <w:r w:rsidRPr="008D3BC2">
              <w:t xml:space="preserve">November </w:t>
            </w:r>
            <w:r w:rsidR="006F5C93" w:rsidRPr="008D3BC2">
              <w:t>2018</w:t>
            </w:r>
          </w:p>
        </w:tc>
        <w:tc>
          <w:tcPr>
            <w:tcW w:w="7194" w:type="dxa"/>
            <w:shd w:val="clear" w:color="auto" w:fill="D9D9D9" w:themeFill="background1" w:themeFillShade="D9"/>
          </w:tcPr>
          <w:p w14:paraId="7908A616" w14:textId="77777777" w:rsidR="006F5C93" w:rsidRPr="008D3BC2" w:rsidRDefault="006F5C93" w:rsidP="00655FAD">
            <w:pPr>
              <w:pStyle w:val="TableColumnHeadingLeft"/>
              <w:rPr>
                <w:bCs/>
                <w:color w:val="44546A" w:themeColor="text2"/>
                <w:sz w:val="22"/>
              </w:rPr>
            </w:pPr>
            <w:r w:rsidRPr="008D3BC2">
              <w:t>Final Report</w:t>
            </w:r>
          </w:p>
        </w:tc>
      </w:tr>
      <w:tr w:rsidR="006F5C93" w:rsidRPr="008D3BC2" w14:paraId="260E4C2A" w14:textId="77777777" w:rsidTr="00655FAD">
        <w:tc>
          <w:tcPr>
            <w:tcW w:w="2660" w:type="dxa"/>
            <w:shd w:val="clear" w:color="auto" w:fill="FFFFFF" w:themeFill="background1"/>
          </w:tcPr>
          <w:p w14:paraId="2060D92C" w14:textId="77777777" w:rsidR="006F5C93" w:rsidRPr="008D3BC2" w:rsidRDefault="006F5C93" w:rsidP="00655FAD">
            <w:pPr>
              <w:pStyle w:val="SingleParagraph"/>
              <w:rPr>
                <w:sz w:val="24"/>
                <w:szCs w:val="24"/>
              </w:rPr>
            </w:pPr>
          </w:p>
        </w:tc>
        <w:tc>
          <w:tcPr>
            <w:tcW w:w="7194" w:type="dxa"/>
            <w:shd w:val="clear" w:color="auto" w:fill="FFFFFF" w:themeFill="background1"/>
          </w:tcPr>
          <w:p w14:paraId="3E783ECE" w14:textId="77777777" w:rsidR="006F5C93" w:rsidRPr="008D3BC2" w:rsidRDefault="006F5C93" w:rsidP="006D5801">
            <w:pPr>
              <w:pStyle w:val="TableTextLeft"/>
              <w:rPr>
                <w:b/>
                <w:bCs/>
                <w:color w:val="44546A" w:themeColor="text2"/>
              </w:rPr>
            </w:pPr>
            <w:r w:rsidRPr="008D3BC2">
              <w:t xml:space="preserve">The Board will provide its final report to Government in </w:t>
            </w:r>
            <w:r w:rsidR="006D5801" w:rsidRPr="008D3BC2">
              <w:t>November</w:t>
            </w:r>
            <w:r w:rsidRPr="008D3BC2">
              <w:t>.</w:t>
            </w:r>
          </w:p>
        </w:tc>
      </w:tr>
    </w:tbl>
    <w:p w14:paraId="0D8CAD3F" w14:textId="77777777" w:rsidR="006F5C93" w:rsidRPr="008D3BC2" w:rsidRDefault="006F5C93" w:rsidP="006F5C93">
      <w:pPr>
        <w:rPr>
          <w:color w:val="C00000"/>
          <w:sz w:val="36"/>
          <w:szCs w:val="36"/>
        </w:rPr>
      </w:pPr>
      <w:bookmarkStart w:id="17" w:name="_Toc516652283"/>
      <w:r w:rsidRPr="008D3BC2">
        <w:rPr>
          <w:color w:val="C00000"/>
          <w:sz w:val="36"/>
          <w:szCs w:val="36"/>
        </w:rPr>
        <w:t>How to participate</w:t>
      </w:r>
      <w:bookmarkEnd w:id="17"/>
    </w:p>
    <w:p w14:paraId="68DEF006" w14:textId="77777777" w:rsidR="00AB22B9" w:rsidRPr="008D3BC2" w:rsidRDefault="006F5C93" w:rsidP="00AB22B9">
      <w:r w:rsidRPr="008D3BC2">
        <w:t>Interested parties may contribute to consultation through online submissions or by participating in one of the consultation sessions conducted by the Board.</w:t>
      </w:r>
    </w:p>
    <w:p w14:paraId="4BAB017A" w14:textId="77777777" w:rsidR="00AB22B9" w:rsidRPr="008D3BC2" w:rsidRDefault="00AB22B9" w:rsidP="00AB22B9">
      <w:pPr>
        <w:spacing w:after="240"/>
        <w:rPr>
          <w:b/>
          <w:color w:val="002060"/>
          <w:sz w:val="28"/>
        </w:rPr>
      </w:pPr>
      <w:r w:rsidRPr="008D3BC2">
        <w:rPr>
          <w:b/>
          <w:color w:val="002060"/>
          <w:sz w:val="28"/>
        </w:rPr>
        <w:t>Written</w:t>
      </w:r>
    </w:p>
    <w:p w14:paraId="7A64835A" w14:textId="2FF5BC0E" w:rsidR="00AB22B9" w:rsidRPr="008D3BC2" w:rsidRDefault="00AB22B9" w:rsidP="00AB22B9">
      <w:r w:rsidRPr="008D3BC2">
        <w:t xml:space="preserve">The Board invites interested parties to make written submissions until Friday </w:t>
      </w:r>
      <w:r w:rsidR="00F924FA">
        <w:t>26 October 2018</w:t>
      </w:r>
      <w:r w:rsidRPr="008D3BC2">
        <w:t>. Submissions can be made to</w:t>
      </w:r>
      <w:hyperlink r:id="rId25" w:history="1">
        <w:r w:rsidRPr="008D3BC2">
          <w:rPr>
            <w:rStyle w:val="Hyperlink"/>
          </w:rPr>
          <w:t xml:space="preserve"> taxboard@treasury.gov.au</w:t>
        </w:r>
      </w:hyperlink>
      <w:r w:rsidRPr="008D3BC2">
        <w:t xml:space="preserve"> or addressed to the Board of Taxation as follows:</w:t>
      </w:r>
    </w:p>
    <w:p w14:paraId="7D101252" w14:textId="77777777" w:rsidR="00AB22B9" w:rsidRPr="008D3BC2" w:rsidRDefault="00AB22B9" w:rsidP="00AB22B9">
      <w:pPr>
        <w:ind w:left="720"/>
      </w:pPr>
      <w:r w:rsidRPr="008D3BC2">
        <w:t>Board of Taxation Secretariat |The Treasury – Sydney Office</w:t>
      </w:r>
    </w:p>
    <w:p w14:paraId="6C9BD2F1" w14:textId="77777777" w:rsidR="00AB22B9" w:rsidRPr="008D3BC2" w:rsidRDefault="00AB22B9" w:rsidP="00AB22B9">
      <w:pPr>
        <w:ind w:left="720"/>
      </w:pPr>
      <w:r w:rsidRPr="008D3BC2">
        <w:t>Level 5, 100 Market Street</w:t>
      </w:r>
    </w:p>
    <w:p w14:paraId="30F84AD5" w14:textId="77777777" w:rsidR="00AB22B9" w:rsidRPr="008D3BC2" w:rsidRDefault="00AB22B9" w:rsidP="00AB22B9">
      <w:pPr>
        <w:ind w:left="720"/>
      </w:pPr>
      <w:r w:rsidRPr="008D3BC2">
        <w:t>Sydney NSW 2000</w:t>
      </w:r>
    </w:p>
    <w:p w14:paraId="405B9AC8" w14:textId="77777777" w:rsidR="00AB22B9" w:rsidRPr="008D3BC2" w:rsidRDefault="007D48CA" w:rsidP="00AB22B9">
      <w:pPr>
        <w:ind w:left="720"/>
      </w:pPr>
      <w:hyperlink r:id="rId26" w:history="1">
        <w:r w:rsidR="00AB22B9" w:rsidRPr="008D3BC2">
          <w:rPr>
            <w:rStyle w:val="Hyperlink"/>
          </w:rPr>
          <w:t>taxboard@treasury.gov.au</w:t>
        </w:r>
      </w:hyperlink>
    </w:p>
    <w:p w14:paraId="154DB67D" w14:textId="77777777" w:rsidR="00AB22B9" w:rsidRPr="008D3BC2" w:rsidRDefault="00AB22B9" w:rsidP="00AB22B9">
      <w:pPr>
        <w:ind w:left="720"/>
      </w:pPr>
      <w:r w:rsidRPr="008D3BC2">
        <w:t>Phone: (02) 6263 4366</w:t>
      </w:r>
    </w:p>
    <w:p w14:paraId="615E85FE" w14:textId="77777777" w:rsidR="004243CC" w:rsidRPr="008D3BC2" w:rsidRDefault="00AB22B9" w:rsidP="004243CC">
      <w:pPr>
        <w:spacing w:after="240"/>
      </w:pPr>
      <w:r w:rsidRPr="008D3BC2">
        <w:t xml:space="preserve">Submissions should address the design features and answer questions outlined in this discussion paper (a full list of questions is at Annexure A). </w:t>
      </w:r>
      <w:r w:rsidR="00E657F6" w:rsidRPr="008D3BC2">
        <w:t>While the Board’s consultation focuses on modernising the residency definition at this time, and it is not consulting on matters regarding recommendations 9 to 11, or matters it raised in Annexure B, during this consultation process, consultees may address recommendation 9.</w:t>
      </w:r>
    </w:p>
    <w:p w14:paraId="02473E0A" w14:textId="77777777" w:rsidR="006F5C93" w:rsidRPr="008D3BC2" w:rsidRDefault="006F5C93" w:rsidP="00AB22B9">
      <w:pPr>
        <w:spacing w:after="240"/>
        <w:rPr>
          <w:b/>
          <w:color w:val="002060"/>
          <w:sz w:val="28"/>
        </w:rPr>
      </w:pPr>
      <w:r w:rsidRPr="008D3BC2">
        <w:rPr>
          <w:b/>
          <w:color w:val="002060"/>
          <w:sz w:val="28"/>
        </w:rPr>
        <w:t>In person</w:t>
      </w:r>
    </w:p>
    <w:p w14:paraId="0223B42B" w14:textId="77777777" w:rsidR="00AB22B9" w:rsidRPr="008D3BC2" w:rsidRDefault="006F5C93" w:rsidP="00B71765">
      <w:r w:rsidRPr="008D3BC2">
        <w:t xml:space="preserve">Please contact the Board on the above details if you wish to be consulted. </w:t>
      </w:r>
    </w:p>
    <w:p w14:paraId="2EC38162" w14:textId="77777777" w:rsidR="00AB22B9" w:rsidRPr="008D3BC2" w:rsidRDefault="00AB22B9" w:rsidP="00AB22B9">
      <w:pPr>
        <w:spacing w:after="240"/>
        <w:rPr>
          <w:b/>
          <w:color w:val="002060"/>
          <w:sz w:val="28"/>
        </w:rPr>
      </w:pPr>
      <w:r w:rsidRPr="008D3BC2">
        <w:rPr>
          <w:b/>
          <w:color w:val="002060"/>
          <w:sz w:val="28"/>
        </w:rPr>
        <w:t xml:space="preserve">Providing a confidential response </w:t>
      </w:r>
    </w:p>
    <w:p w14:paraId="1D475A13" w14:textId="77777777" w:rsidR="00AB22B9" w:rsidRPr="008D3BC2" w:rsidRDefault="00AB22B9" w:rsidP="00AB22B9">
      <w:r w:rsidRPr="008D3BC2">
        <w:t xml:space="preserve">All information (including name and address details) contained in formal submissions will be made available to the public on the Board of Taxation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 </w:t>
      </w:r>
    </w:p>
    <w:p w14:paraId="5557560E" w14:textId="77777777" w:rsidR="00B37C6C" w:rsidRPr="008D3BC2" w:rsidRDefault="00AB22B9" w:rsidP="00AB22B9">
      <w:r w:rsidRPr="008D3BC2">
        <w:t xml:space="preserve">A request made under the </w:t>
      </w:r>
      <w:r w:rsidRPr="008D3BC2">
        <w:rPr>
          <w:i/>
        </w:rPr>
        <w:t>Freedom of Information Act 1982</w:t>
      </w:r>
      <w:r w:rsidRPr="008D3BC2">
        <w:t xml:space="preserve"> for a submission marked ‘confidential’ to be made available will be determined in accordance with that Act. </w:t>
      </w:r>
      <w:r w:rsidR="00B37C6C" w:rsidRPr="008D3BC2">
        <w:br w:type="page"/>
      </w:r>
    </w:p>
    <w:p w14:paraId="128D380C" w14:textId="77777777" w:rsidR="00043A4B" w:rsidRPr="008D3BC2" w:rsidRDefault="00AB22B9" w:rsidP="00043A4B">
      <w:pPr>
        <w:pStyle w:val="Heading1"/>
      </w:pPr>
      <w:bookmarkStart w:id="18" w:name="_Toc525312278"/>
      <w:r w:rsidRPr="008D3BC2">
        <w:t xml:space="preserve">Annexure A: </w:t>
      </w:r>
      <w:r w:rsidR="00AC3343" w:rsidRPr="008D3BC2">
        <w:t>Summary of questions</w:t>
      </w:r>
      <w:bookmarkEnd w:id="18"/>
    </w:p>
    <w:p w14:paraId="4EABD97C" w14:textId="77777777" w:rsidR="00AC3343" w:rsidRPr="008D3BC2" w:rsidRDefault="00AE60FB" w:rsidP="00C30E1F">
      <w:pPr>
        <w:pStyle w:val="OutlineNumbered1"/>
        <w:keepLines/>
        <w:numPr>
          <w:ilvl w:val="0"/>
          <w:numId w:val="0"/>
        </w:numPr>
        <w:shd w:val="clear" w:color="auto" w:fill="E7E6E6" w:themeFill="background2"/>
        <w:spacing w:after="160" w:line="259" w:lineRule="auto"/>
        <w:ind w:left="851" w:hanging="851"/>
        <w:rPr>
          <w:szCs w:val="22"/>
        </w:rPr>
      </w:pPr>
      <w:r w:rsidRPr="008D3BC2">
        <w:rPr>
          <w:i/>
          <w:szCs w:val="22"/>
        </w:rPr>
        <w:t>Policy statement</w:t>
      </w:r>
    </w:p>
    <w:p w14:paraId="31C33B92" w14:textId="77777777" w:rsidR="00AE60FB" w:rsidRPr="008D3BC2" w:rsidRDefault="00AE60FB" w:rsidP="00AE60FB">
      <w:pPr>
        <w:pStyle w:val="BoxText"/>
        <w:numPr>
          <w:ilvl w:val="0"/>
          <w:numId w:val="12"/>
        </w:numPr>
      </w:pPr>
      <w:r w:rsidRPr="008D3BC2">
        <w:t>Does the Board’s proposed wording appropriately encapsulate the policy objective of ensuring that individuals with substantial ties should be residents?</w:t>
      </w:r>
    </w:p>
    <w:p w14:paraId="29D11B7E" w14:textId="77777777" w:rsidR="00AE60FB" w:rsidRPr="008D3BC2" w:rsidRDefault="00AE60FB" w:rsidP="00AE60FB">
      <w:pPr>
        <w:pStyle w:val="BoxText"/>
        <w:numPr>
          <w:ilvl w:val="0"/>
          <w:numId w:val="12"/>
        </w:numPr>
      </w:pPr>
      <w:r w:rsidRPr="008D3BC2">
        <w:t>The Board’s report suggested that the statement should identify how the residency rules address the tax policy objectives of simplicity, equity, efficiency and integrity (in particular, the prevention of tax avoidance) to help taxpayers and the ATO understand whether taxation (or its absence) in any given context is a intended outcome or the result of tax avoidance.</w:t>
      </w:r>
    </w:p>
    <w:p w14:paraId="5618873D" w14:textId="77777777" w:rsidR="00AE60FB" w:rsidRPr="008D3BC2" w:rsidRDefault="00AE60FB" w:rsidP="00AE60FB">
      <w:pPr>
        <w:pStyle w:val="OutlineNumbered1"/>
        <w:keepLines/>
        <w:numPr>
          <w:ilvl w:val="0"/>
          <w:numId w:val="0"/>
        </w:numPr>
        <w:spacing w:after="160" w:line="259" w:lineRule="auto"/>
        <w:ind w:left="520"/>
      </w:pPr>
      <w:r w:rsidRPr="008D3BC2">
        <w:t>Do you consider that this statement achieves this standard? If not, how may it more accurately do so?</w:t>
      </w:r>
    </w:p>
    <w:p w14:paraId="06092088" w14:textId="77777777" w:rsidR="00AE60FB" w:rsidRPr="008D3BC2" w:rsidRDefault="00AE60FB" w:rsidP="00C30E1F">
      <w:pPr>
        <w:pStyle w:val="OutlineNumbered1"/>
        <w:keepLines/>
        <w:numPr>
          <w:ilvl w:val="0"/>
          <w:numId w:val="0"/>
        </w:numPr>
        <w:shd w:val="clear" w:color="auto" w:fill="E7E6E6" w:themeFill="background2"/>
        <w:spacing w:after="160" w:line="259" w:lineRule="auto"/>
        <w:ind w:left="851" w:hanging="851"/>
        <w:rPr>
          <w:i/>
          <w:szCs w:val="22"/>
        </w:rPr>
      </w:pPr>
      <w:r w:rsidRPr="008D3BC2">
        <w:rPr>
          <w:i/>
        </w:rPr>
        <w:t>Bright</w:t>
      </w:r>
      <w:r w:rsidRPr="008D3BC2">
        <w:rPr>
          <w:i/>
        </w:rPr>
        <w:noBreakHyphen/>
        <w:t>line test</w:t>
      </w:r>
    </w:p>
    <w:p w14:paraId="35F197F2" w14:textId="77777777" w:rsidR="00E266DC" w:rsidRPr="008D3BC2" w:rsidRDefault="00E266DC" w:rsidP="00E266DC">
      <w:pPr>
        <w:pStyle w:val="BoxText"/>
        <w:numPr>
          <w:ilvl w:val="0"/>
          <w:numId w:val="12"/>
        </w:numPr>
      </w:pPr>
      <w:r w:rsidRPr="008D3BC2">
        <w:t>To what extent does a bright-line test provide balance between certainty, simplicity and integrity? Are other measures needed to provide integrity – for example, those discussed under design principle 5?</w:t>
      </w:r>
    </w:p>
    <w:p w14:paraId="2731AE11" w14:textId="0EC372BA" w:rsidR="006D5801" w:rsidRPr="008D3BC2" w:rsidRDefault="006D5801" w:rsidP="006D5801">
      <w:pPr>
        <w:pStyle w:val="OutlineNumbered1"/>
        <w:keepLines/>
        <w:numPr>
          <w:ilvl w:val="0"/>
          <w:numId w:val="12"/>
        </w:numPr>
        <w:spacing w:after="160" w:line="259" w:lineRule="auto"/>
        <w:rPr>
          <w:szCs w:val="22"/>
        </w:rPr>
      </w:pPr>
      <w:r w:rsidRPr="008D3BC2">
        <w:rPr>
          <w:szCs w:val="22"/>
        </w:rPr>
        <w:t>Are there any other bright</w:t>
      </w:r>
      <w:r w:rsidRPr="008D3BC2">
        <w:rPr>
          <w:szCs w:val="22"/>
        </w:rPr>
        <w:noBreakHyphen/>
        <w:t>line tests that you think should be included</w:t>
      </w:r>
      <w:r w:rsidR="00E266DC" w:rsidRPr="008D3BC2">
        <w:t xml:space="preserve"> (whether as alternatives to a day count test, or in some form of combination)</w:t>
      </w:r>
      <w:r w:rsidRPr="008D3BC2">
        <w:rPr>
          <w:szCs w:val="22"/>
        </w:rPr>
        <w:t>? For example, should you be a resident if:</w:t>
      </w:r>
    </w:p>
    <w:p w14:paraId="37EF7F8B" w14:textId="77777777" w:rsidR="006D5801" w:rsidRPr="008D3BC2" w:rsidRDefault="006D5801" w:rsidP="006D5801">
      <w:pPr>
        <w:pStyle w:val="OutlineNumbered1"/>
        <w:keepLines/>
        <w:numPr>
          <w:ilvl w:val="1"/>
          <w:numId w:val="46"/>
        </w:numPr>
        <w:spacing w:after="160" w:line="259" w:lineRule="auto"/>
        <w:rPr>
          <w:szCs w:val="22"/>
        </w:rPr>
      </w:pPr>
      <w:r w:rsidRPr="008D3BC2">
        <w:rPr>
          <w:szCs w:val="22"/>
        </w:rPr>
        <w:t>Your only home is located in Australia; or</w:t>
      </w:r>
    </w:p>
    <w:p w14:paraId="79FCC844" w14:textId="77777777" w:rsidR="006D5801" w:rsidRPr="008D3BC2" w:rsidRDefault="006D5801" w:rsidP="006D5801">
      <w:pPr>
        <w:pStyle w:val="OutlineNumbered1"/>
        <w:keepLines/>
        <w:numPr>
          <w:ilvl w:val="1"/>
          <w:numId w:val="46"/>
        </w:numPr>
        <w:spacing w:after="160" w:line="259" w:lineRule="auto"/>
        <w:rPr>
          <w:szCs w:val="22"/>
        </w:rPr>
      </w:pPr>
      <w:r w:rsidRPr="008D3BC2">
        <w:rPr>
          <w:szCs w:val="22"/>
        </w:rPr>
        <w:t>You work full</w:t>
      </w:r>
      <w:r w:rsidRPr="008D3BC2">
        <w:rPr>
          <w:szCs w:val="22"/>
        </w:rPr>
        <w:noBreakHyphen/>
        <w:t>time in Australia.</w:t>
      </w:r>
    </w:p>
    <w:p w14:paraId="719BD18F" w14:textId="41BC244C" w:rsidR="006D5801" w:rsidRPr="008D3BC2" w:rsidRDefault="00090265" w:rsidP="00573FF9">
      <w:pPr>
        <w:pStyle w:val="OutlineNumbered1"/>
        <w:keepLines/>
        <w:numPr>
          <w:ilvl w:val="0"/>
          <w:numId w:val="12"/>
        </w:numPr>
        <w:spacing w:after="160" w:line="259" w:lineRule="auto"/>
        <w:rPr>
          <w:szCs w:val="22"/>
        </w:rPr>
      </w:pPr>
      <w:r w:rsidRPr="008D3BC2">
        <w:rPr>
          <w:szCs w:val="22"/>
        </w:rPr>
        <w:t>Should an individual spending 183 days or more in any 12</w:t>
      </w:r>
      <w:r w:rsidRPr="008D3BC2">
        <w:rPr>
          <w:szCs w:val="22"/>
        </w:rPr>
        <w:noBreakHyphen/>
        <w:t>month period spanning two income years be considered a tax resident in both periods</w:t>
      </w:r>
      <w:r w:rsidR="006D5801" w:rsidRPr="008D3BC2">
        <w:rPr>
          <w:szCs w:val="22"/>
        </w:rPr>
        <w:t xml:space="preserve">? </w:t>
      </w:r>
    </w:p>
    <w:p w14:paraId="01C35AB5" w14:textId="77777777" w:rsidR="006D5801" w:rsidRPr="008D3BC2" w:rsidRDefault="006D5801" w:rsidP="006D5801">
      <w:pPr>
        <w:pStyle w:val="OutlineNumbered1"/>
        <w:keepLines/>
        <w:numPr>
          <w:ilvl w:val="0"/>
          <w:numId w:val="12"/>
        </w:numPr>
        <w:spacing w:after="160" w:line="259" w:lineRule="auto"/>
      </w:pPr>
      <w:r w:rsidRPr="008D3BC2">
        <w:rPr>
          <w:szCs w:val="22"/>
        </w:rPr>
        <w:t>What consequences (if any) will arise for the temporary residency and working holiday maker rules if these changes were adopted? How should these issues be addressed?</w:t>
      </w:r>
    </w:p>
    <w:p w14:paraId="3E7B79B1" w14:textId="77777777" w:rsidR="006D5801" w:rsidRPr="008D3BC2" w:rsidRDefault="006D5801" w:rsidP="006D5801">
      <w:pPr>
        <w:pStyle w:val="BoxText"/>
        <w:numPr>
          <w:ilvl w:val="0"/>
          <w:numId w:val="12"/>
        </w:numPr>
      </w:pPr>
      <w:r w:rsidRPr="008D3BC2">
        <w:t>Are there any other bright</w:t>
      </w:r>
      <w:r w:rsidRPr="008D3BC2">
        <w:noBreakHyphen/>
        <w:t>line tests that you think should be included? For example, should you be a non</w:t>
      </w:r>
      <w:r w:rsidRPr="008D3BC2">
        <w:noBreakHyphen/>
        <w:t>resident if your only home is located outside of Australia?</w:t>
      </w:r>
    </w:p>
    <w:p w14:paraId="21F84E07" w14:textId="5D2B8C82" w:rsidR="006D5801" w:rsidRPr="008D3BC2" w:rsidRDefault="006D5801" w:rsidP="006D5801">
      <w:pPr>
        <w:pStyle w:val="BoxText"/>
        <w:numPr>
          <w:ilvl w:val="0"/>
          <w:numId w:val="12"/>
        </w:numPr>
      </w:pPr>
      <w:r w:rsidRPr="008D3BC2">
        <w:t>Do the proposed day</w:t>
      </w:r>
      <w:r w:rsidRPr="008D3BC2">
        <w:noBreakHyphen/>
        <w:t>count tests appropriately balance simplicity and integrity?</w:t>
      </w:r>
      <w:r w:rsidR="00E266DC" w:rsidRPr="008D3BC2">
        <w:t xml:space="preserve"> Is it too complex? Alternatively, are other measures needed to provide integrity – for example, those discussed under design principle 5?</w:t>
      </w:r>
    </w:p>
    <w:p w14:paraId="4DD61B0A" w14:textId="77777777" w:rsidR="006D5801" w:rsidRPr="008D3BC2" w:rsidRDefault="006D5801" w:rsidP="006D5801">
      <w:pPr>
        <w:pStyle w:val="BoxText"/>
        <w:numPr>
          <w:ilvl w:val="0"/>
          <w:numId w:val="12"/>
        </w:numPr>
      </w:pPr>
      <w:r w:rsidRPr="008D3BC2">
        <w:t>Should the outbound individual test apply over a 12-month period, per income year or on some other basis? Why?</w:t>
      </w:r>
    </w:p>
    <w:p w14:paraId="29D826D3" w14:textId="77777777" w:rsidR="006D5801" w:rsidRPr="008D3BC2" w:rsidRDefault="006D5801" w:rsidP="006D5801">
      <w:pPr>
        <w:pStyle w:val="OutlineNumbered1"/>
        <w:keepLines/>
        <w:numPr>
          <w:ilvl w:val="0"/>
          <w:numId w:val="12"/>
        </w:numPr>
        <w:spacing w:after="160" w:line="259" w:lineRule="auto"/>
        <w:rPr>
          <w:szCs w:val="22"/>
        </w:rPr>
      </w:pPr>
      <w:r w:rsidRPr="008D3BC2">
        <w:t xml:space="preserve">How does this test interact with the limited foreign employment income tax exemption (section 23AG of the </w:t>
      </w:r>
      <w:r w:rsidRPr="008D3BC2">
        <w:rPr>
          <w:i/>
        </w:rPr>
        <w:t>Income Tax Assessment Act 1936</w:t>
      </w:r>
      <w:r w:rsidRPr="008D3BC2">
        <w:t>)?</w:t>
      </w:r>
    </w:p>
    <w:p w14:paraId="64563E79" w14:textId="77777777" w:rsidR="00266E8F" w:rsidRPr="008D3BC2" w:rsidRDefault="00AE60FB" w:rsidP="00C30E1F">
      <w:pPr>
        <w:pStyle w:val="OutlineNumbered1"/>
        <w:keepLines/>
        <w:numPr>
          <w:ilvl w:val="0"/>
          <w:numId w:val="0"/>
        </w:numPr>
        <w:shd w:val="clear" w:color="auto" w:fill="E7E6E6" w:themeFill="background2"/>
        <w:spacing w:after="160" w:line="259" w:lineRule="auto"/>
        <w:ind w:left="851" w:hanging="851"/>
        <w:rPr>
          <w:i/>
          <w:szCs w:val="22"/>
        </w:rPr>
      </w:pPr>
      <w:r w:rsidRPr="008D3BC2">
        <w:rPr>
          <w:i/>
          <w:szCs w:val="22"/>
        </w:rPr>
        <w:t>Secondary test</w:t>
      </w:r>
    </w:p>
    <w:p w14:paraId="5BA78F48" w14:textId="56405D57" w:rsidR="00AE60FB" w:rsidRPr="008D3BC2" w:rsidRDefault="00AE60FB" w:rsidP="00AE60FB">
      <w:pPr>
        <w:pStyle w:val="OutlineNumbered1"/>
        <w:keepLines/>
        <w:numPr>
          <w:ilvl w:val="0"/>
          <w:numId w:val="12"/>
        </w:numPr>
        <w:spacing w:after="160" w:line="259" w:lineRule="auto"/>
      </w:pPr>
      <w:r w:rsidRPr="008D3BC2">
        <w:t xml:space="preserve">Are the factors </w:t>
      </w:r>
      <w:r w:rsidR="00A321BF">
        <w:t xml:space="preserve">proposed for </w:t>
      </w:r>
      <w:r w:rsidRPr="008D3BC2">
        <w:t>the secondary test</w:t>
      </w:r>
      <w:r w:rsidR="00A321BF">
        <w:t xml:space="preserve"> the most appropriate factors?</w:t>
      </w:r>
    </w:p>
    <w:p w14:paraId="4630A981" w14:textId="77777777" w:rsidR="006D5801" w:rsidRPr="008D3BC2" w:rsidRDefault="006D5801" w:rsidP="006D5801">
      <w:pPr>
        <w:pStyle w:val="OutlineNumbered1"/>
        <w:keepLines/>
        <w:numPr>
          <w:ilvl w:val="0"/>
          <w:numId w:val="12"/>
        </w:numPr>
        <w:spacing w:after="160" w:line="259" w:lineRule="auto"/>
      </w:pPr>
      <w:r w:rsidRPr="008D3BC2">
        <w:t>Are there any key matters that should be adopted in preference to, or addition to, the listed factors? For example:</w:t>
      </w:r>
    </w:p>
    <w:p w14:paraId="53E3865D" w14:textId="77777777" w:rsidR="006D5801" w:rsidRPr="008D3BC2" w:rsidRDefault="006D5801" w:rsidP="006D5801">
      <w:pPr>
        <w:pStyle w:val="OutlineNumbered1"/>
        <w:keepLines/>
        <w:numPr>
          <w:ilvl w:val="0"/>
          <w:numId w:val="47"/>
        </w:numPr>
        <w:spacing w:after="160" w:line="259" w:lineRule="auto"/>
      </w:pPr>
      <w:r w:rsidRPr="008D3BC2">
        <w:t>the length of a taxpayer’s stay in a single overseas country;</w:t>
      </w:r>
    </w:p>
    <w:p w14:paraId="5AA68915" w14:textId="77777777" w:rsidR="006D5801" w:rsidRPr="008D3BC2" w:rsidRDefault="006D5801" w:rsidP="006D5801">
      <w:pPr>
        <w:pStyle w:val="OutlineNumbered1"/>
        <w:keepLines/>
        <w:numPr>
          <w:ilvl w:val="0"/>
          <w:numId w:val="47"/>
        </w:numPr>
        <w:spacing w:after="160" w:line="259" w:lineRule="auto"/>
      </w:pPr>
      <w:r w:rsidRPr="008D3BC2">
        <w:t>the answers on immigration forms upon arriving or departing Australia;</w:t>
      </w:r>
    </w:p>
    <w:p w14:paraId="41E5C8AA" w14:textId="77777777" w:rsidR="006D5801" w:rsidRPr="008D3BC2" w:rsidRDefault="006D5801" w:rsidP="006D5801">
      <w:pPr>
        <w:pStyle w:val="OutlineNumbered1"/>
        <w:keepLines/>
        <w:numPr>
          <w:ilvl w:val="0"/>
          <w:numId w:val="47"/>
        </w:numPr>
        <w:spacing w:after="160" w:line="259" w:lineRule="auto"/>
      </w:pPr>
      <w:r w:rsidRPr="008D3BC2">
        <w:t>whether a taxpayer established a home (in the sense of dwelling, house or other shelter that is the fixed residence of a person, a family, or a household), outside Australia;</w:t>
      </w:r>
    </w:p>
    <w:p w14:paraId="274FFA06" w14:textId="77777777" w:rsidR="006D5801" w:rsidRPr="008D3BC2" w:rsidRDefault="006D5801" w:rsidP="006D5801">
      <w:pPr>
        <w:pStyle w:val="OutlineNumbered1"/>
        <w:keepLines/>
        <w:numPr>
          <w:ilvl w:val="0"/>
          <w:numId w:val="47"/>
        </w:numPr>
        <w:spacing w:after="160" w:line="259" w:lineRule="auto"/>
      </w:pPr>
      <w:r w:rsidRPr="008D3BC2">
        <w:t>the duration and continuity of a taxpayer’s presence in the overseas country outside of a single income year;</w:t>
      </w:r>
    </w:p>
    <w:p w14:paraId="423790F8" w14:textId="77777777" w:rsidR="006D5801" w:rsidRPr="008D3BC2" w:rsidRDefault="006D5801" w:rsidP="006D5801">
      <w:pPr>
        <w:pStyle w:val="OutlineNumbered1"/>
        <w:keepLines/>
        <w:numPr>
          <w:ilvl w:val="0"/>
          <w:numId w:val="47"/>
        </w:numPr>
        <w:spacing w:after="160" w:line="259" w:lineRule="auto"/>
      </w:pPr>
      <w:r w:rsidRPr="008D3BC2">
        <w:t>whether a taxpayer informs government departments such as the Department of Social Security of leaving permanently and stopping social security payments (</w:t>
      </w:r>
      <w:proofErr w:type="spellStart"/>
      <w:r w:rsidRPr="008D3BC2">
        <w:t>ie</w:t>
      </w:r>
      <w:proofErr w:type="spellEnd"/>
      <w:r w:rsidRPr="008D3BC2">
        <w:t>, family allowance payments);</w:t>
      </w:r>
    </w:p>
    <w:p w14:paraId="68C15D4C" w14:textId="77777777" w:rsidR="006D5801" w:rsidRPr="008D3BC2" w:rsidRDefault="006D5801" w:rsidP="006D5801">
      <w:pPr>
        <w:pStyle w:val="OutlineNumbered1"/>
        <w:keepLines/>
        <w:numPr>
          <w:ilvl w:val="0"/>
          <w:numId w:val="47"/>
        </w:numPr>
        <w:spacing w:after="160" w:line="259" w:lineRule="auto"/>
      </w:pPr>
      <w:proofErr w:type="gramStart"/>
      <w:r w:rsidRPr="008D3BC2">
        <w:t>whether</w:t>
      </w:r>
      <w:proofErr w:type="gramEnd"/>
      <w:r w:rsidRPr="008D3BC2">
        <w:t xml:space="preserve"> accommodation in Australia has been effectively abandoned (</w:t>
      </w:r>
      <w:proofErr w:type="spellStart"/>
      <w:r w:rsidRPr="008D3BC2">
        <w:t>ie</w:t>
      </w:r>
      <w:proofErr w:type="spellEnd"/>
      <w:r w:rsidRPr="008D3BC2">
        <w:t>, the extent to which accommodation is actually available).</w:t>
      </w:r>
    </w:p>
    <w:p w14:paraId="5D251954" w14:textId="77777777" w:rsidR="006D5801" w:rsidRPr="008D3BC2" w:rsidRDefault="006D5801" w:rsidP="006D5801">
      <w:pPr>
        <w:pStyle w:val="OutlineNumbered1"/>
        <w:keepLines/>
        <w:numPr>
          <w:ilvl w:val="0"/>
          <w:numId w:val="12"/>
        </w:numPr>
        <w:spacing w:after="160" w:line="259" w:lineRule="auto"/>
      </w:pPr>
      <w:r w:rsidRPr="008D3BC2">
        <w:t>What level of ‘economic ties’ should be necessary for the factor to be conclusively determined? For example:</w:t>
      </w:r>
    </w:p>
    <w:p w14:paraId="73499ADB" w14:textId="77777777" w:rsidR="006D5801" w:rsidRPr="008D3BC2" w:rsidRDefault="006D5801" w:rsidP="006D5801">
      <w:pPr>
        <w:pStyle w:val="OutlineNumbered1"/>
        <w:keepLines/>
        <w:numPr>
          <w:ilvl w:val="0"/>
          <w:numId w:val="48"/>
        </w:numPr>
        <w:spacing w:after="160" w:line="259" w:lineRule="auto"/>
      </w:pPr>
      <w:r w:rsidRPr="008D3BC2">
        <w:t xml:space="preserve">maintaining bank accounts in Australia; </w:t>
      </w:r>
    </w:p>
    <w:p w14:paraId="69C6C09D" w14:textId="77777777" w:rsidR="006D5801" w:rsidRPr="008D3BC2" w:rsidRDefault="006D5801" w:rsidP="006D5801">
      <w:pPr>
        <w:pStyle w:val="OutlineNumbered1"/>
        <w:keepLines/>
        <w:numPr>
          <w:ilvl w:val="0"/>
          <w:numId w:val="48"/>
        </w:numPr>
        <w:spacing w:after="160" w:line="259" w:lineRule="auto"/>
      </w:pPr>
      <w:r w:rsidRPr="008D3BC2">
        <w:t>maintaining an ABN in Australia;</w:t>
      </w:r>
    </w:p>
    <w:p w14:paraId="08D82706" w14:textId="77777777" w:rsidR="006D5801" w:rsidRPr="008D3BC2" w:rsidRDefault="006D5801" w:rsidP="006D5801">
      <w:pPr>
        <w:pStyle w:val="OutlineNumbered1"/>
        <w:keepLines/>
        <w:numPr>
          <w:ilvl w:val="0"/>
          <w:numId w:val="48"/>
        </w:numPr>
        <w:spacing w:after="160" w:line="259" w:lineRule="auto"/>
      </w:pPr>
      <w:r w:rsidRPr="008D3BC2">
        <w:t>directorship of an Australian company (or other entities such as a self</w:t>
      </w:r>
      <w:r w:rsidRPr="008D3BC2">
        <w:noBreakHyphen/>
        <w:t>managed super fund);</w:t>
      </w:r>
    </w:p>
    <w:p w14:paraId="675DB871" w14:textId="77777777" w:rsidR="006D5801" w:rsidRPr="008D3BC2" w:rsidRDefault="006D5801" w:rsidP="006D5801">
      <w:pPr>
        <w:pStyle w:val="OutlineNumbered1"/>
        <w:keepLines/>
        <w:numPr>
          <w:ilvl w:val="0"/>
          <w:numId w:val="48"/>
        </w:numPr>
        <w:spacing w:after="160" w:line="259" w:lineRule="auto"/>
      </w:pPr>
      <w:r w:rsidRPr="008D3BC2">
        <w:t>the level of investment in Australia (both passive and active);</w:t>
      </w:r>
    </w:p>
    <w:p w14:paraId="1179A7C9" w14:textId="77777777" w:rsidR="006D5801" w:rsidRPr="008D3BC2" w:rsidRDefault="006D5801" w:rsidP="006D5801">
      <w:pPr>
        <w:pStyle w:val="OutlineNumbered1"/>
        <w:keepLines/>
        <w:numPr>
          <w:ilvl w:val="0"/>
          <w:numId w:val="48"/>
        </w:numPr>
        <w:spacing w:after="160" w:line="259" w:lineRule="auto"/>
      </w:pPr>
      <w:proofErr w:type="gramStart"/>
      <w:r w:rsidRPr="008D3BC2">
        <w:t>compliance</w:t>
      </w:r>
      <w:proofErr w:type="gramEnd"/>
      <w:r w:rsidRPr="008D3BC2">
        <w:t xml:space="preserve"> with any other residency requirements for the purposes of making or maintaining investments (</w:t>
      </w:r>
      <w:proofErr w:type="spellStart"/>
      <w:r w:rsidRPr="008D3BC2">
        <w:t>ie</w:t>
      </w:r>
      <w:proofErr w:type="spellEnd"/>
      <w:r w:rsidRPr="008D3BC2">
        <w:t>, whether a foreign investment application is required by the taxpayers).</w:t>
      </w:r>
    </w:p>
    <w:p w14:paraId="2A0FD7EF" w14:textId="77777777" w:rsidR="00E266DC" w:rsidRPr="008D3BC2" w:rsidRDefault="00E266DC" w:rsidP="00E266DC">
      <w:pPr>
        <w:pStyle w:val="OutlineNumbered1"/>
        <w:keepLines/>
        <w:numPr>
          <w:ilvl w:val="0"/>
          <w:numId w:val="12"/>
        </w:numPr>
        <w:spacing w:after="160" w:line="259" w:lineRule="auto"/>
      </w:pPr>
      <w:r w:rsidRPr="008D3BC2">
        <w:t>What level of connection to accommodation should be required to satisfy the Australian accommodation factor?</w:t>
      </w:r>
    </w:p>
    <w:p w14:paraId="3CDBBD0C" w14:textId="77777777" w:rsidR="00E266DC" w:rsidRPr="008D3BC2" w:rsidRDefault="00E266DC" w:rsidP="00E266DC">
      <w:pPr>
        <w:pStyle w:val="OutlineNumbered1"/>
        <w:keepLines/>
        <w:numPr>
          <w:ilvl w:val="0"/>
          <w:numId w:val="12"/>
        </w:numPr>
        <w:spacing w:after="160" w:line="259" w:lineRule="auto"/>
      </w:pPr>
      <w:r w:rsidRPr="008D3BC2">
        <w:t>To what extent should a person’s personal and social ties be located in Australia to satisfy the Family factor?</w:t>
      </w:r>
    </w:p>
    <w:p w14:paraId="0326909B" w14:textId="69C952A5" w:rsidR="00E67F94" w:rsidRPr="008D3BC2" w:rsidRDefault="00E67F94" w:rsidP="00E67F94">
      <w:pPr>
        <w:pStyle w:val="OutlineNumbered1"/>
        <w:keepLines/>
        <w:numPr>
          <w:ilvl w:val="0"/>
          <w:numId w:val="12"/>
        </w:numPr>
        <w:spacing w:after="160" w:line="259" w:lineRule="auto"/>
      </w:pPr>
      <w:r w:rsidRPr="008D3BC2">
        <w:t>At what level should the resident and non</w:t>
      </w:r>
      <w:r w:rsidRPr="008D3BC2">
        <w:noBreakHyphen/>
        <w:t>resident ‘time spent’ factor be set (</w:t>
      </w:r>
      <w:proofErr w:type="spellStart"/>
      <w:r w:rsidRPr="008D3BC2">
        <w:t>ie</w:t>
      </w:r>
      <w:proofErr w:type="spellEnd"/>
      <w:r w:rsidRPr="008D3BC2">
        <w:t xml:space="preserve">, </w:t>
      </w:r>
      <w:r w:rsidR="00090265" w:rsidRPr="008D3BC2">
        <w:t xml:space="preserve">how </w:t>
      </w:r>
      <w:r w:rsidRPr="008D3BC2">
        <w:t xml:space="preserve">should they </w:t>
      </w:r>
      <w:r w:rsidR="00090265" w:rsidRPr="008D3BC2">
        <w:t xml:space="preserve">interact </w:t>
      </w:r>
      <w:r w:rsidRPr="008D3BC2">
        <w:t>with the primary bright-line tests)?</w:t>
      </w:r>
      <w:r w:rsidR="002217E0" w:rsidRPr="008D3BC2">
        <w:t xml:space="preserve"> Should they be spread over a medium term (</w:t>
      </w:r>
      <w:proofErr w:type="spellStart"/>
      <w:r w:rsidR="002217E0" w:rsidRPr="008D3BC2">
        <w:t>ie</w:t>
      </w:r>
      <w:proofErr w:type="spellEnd"/>
      <w:r w:rsidR="002217E0" w:rsidRPr="008D3BC2">
        <w:t>, 2 to 3 years)?</w:t>
      </w:r>
    </w:p>
    <w:p w14:paraId="798641D4" w14:textId="77777777" w:rsidR="006D5801" w:rsidRPr="008D3BC2" w:rsidRDefault="006D5801" w:rsidP="006D5801">
      <w:pPr>
        <w:pStyle w:val="OutlineNumbered1"/>
        <w:keepLines/>
        <w:numPr>
          <w:ilvl w:val="0"/>
          <w:numId w:val="12"/>
        </w:numPr>
        <w:spacing w:after="160" w:line="259" w:lineRule="auto"/>
      </w:pPr>
      <w:r w:rsidRPr="008D3BC2">
        <w:t>What should be necessary to satisfy any of the other factors?</w:t>
      </w:r>
    </w:p>
    <w:p w14:paraId="2E9852B6" w14:textId="77777777" w:rsidR="00AE60FB" w:rsidRPr="008D3BC2" w:rsidRDefault="00AE60FB" w:rsidP="00AE60FB">
      <w:pPr>
        <w:pStyle w:val="OutlineNumbered1"/>
        <w:keepLines/>
        <w:numPr>
          <w:ilvl w:val="0"/>
          <w:numId w:val="12"/>
        </w:numPr>
        <w:spacing w:after="160" w:line="259" w:lineRule="auto"/>
      </w:pPr>
      <w:r w:rsidRPr="008D3BC2">
        <w:t>Are the outcomes fair and equitable? If no, please elaborate.</w:t>
      </w:r>
    </w:p>
    <w:p w14:paraId="24A9E1B7" w14:textId="77777777" w:rsidR="00AE60FB" w:rsidRPr="008D3BC2" w:rsidRDefault="00AE60FB" w:rsidP="00AE60FB">
      <w:pPr>
        <w:pStyle w:val="OutlineNumbered1"/>
        <w:keepLines/>
        <w:numPr>
          <w:ilvl w:val="0"/>
          <w:numId w:val="12"/>
        </w:numPr>
        <w:spacing w:after="160" w:line="259" w:lineRule="auto"/>
      </w:pPr>
      <w:r w:rsidRPr="008D3BC2">
        <w:t>An individual working overseas may automatically be a non</w:t>
      </w:r>
      <w:r w:rsidRPr="008D3BC2">
        <w:noBreakHyphen/>
        <w:t>resident, but under the secondary test would likely have otherwise been a resident. Does this interaction provide appropriate results?</w:t>
      </w:r>
    </w:p>
    <w:p w14:paraId="2444FBE7" w14:textId="77777777" w:rsidR="00AE60FB" w:rsidRPr="008D3BC2" w:rsidRDefault="00AE60FB" w:rsidP="00AE60FB">
      <w:pPr>
        <w:pStyle w:val="OutlineNumbered1"/>
        <w:keepLines/>
        <w:numPr>
          <w:ilvl w:val="0"/>
          <w:numId w:val="12"/>
        </w:numPr>
        <w:spacing w:after="160" w:line="259" w:lineRule="auto"/>
      </w:pPr>
      <w:r w:rsidRPr="008D3BC2">
        <w:t xml:space="preserve">In the UK a stepped </w:t>
      </w:r>
      <w:proofErr w:type="gramStart"/>
      <w:r w:rsidRPr="008D3BC2">
        <w:t>approach</w:t>
      </w:r>
      <w:proofErr w:type="gramEnd"/>
      <w:r w:rsidRPr="008D3BC2">
        <w:t xml:space="preserve"> to ‘ties’ is adopted – the Board considers this adds additional complexity. Does the Board’s approach balance simplicity with integrity in the absence of this tiered approach?</w:t>
      </w:r>
    </w:p>
    <w:p w14:paraId="05809F45" w14:textId="77777777" w:rsidR="00AE60FB" w:rsidRPr="008D3BC2" w:rsidRDefault="00AE60FB" w:rsidP="00AE60FB">
      <w:pPr>
        <w:pStyle w:val="OutlineNumbered1"/>
        <w:keepLines/>
        <w:numPr>
          <w:ilvl w:val="0"/>
          <w:numId w:val="12"/>
        </w:numPr>
        <w:spacing w:after="160" w:line="259" w:lineRule="auto"/>
      </w:pPr>
      <w:r w:rsidRPr="008D3BC2">
        <w:t>Would a ‘points’ style approach be more easily accessible and understood? Does the different approach make a material difference?</w:t>
      </w:r>
    </w:p>
    <w:p w14:paraId="326ABF15" w14:textId="77777777" w:rsidR="00614B57" w:rsidRPr="008D3BC2" w:rsidRDefault="00614B57" w:rsidP="00AE60FB">
      <w:pPr>
        <w:pStyle w:val="OutlineNumbered1"/>
        <w:keepLines/>
        <w:numPr>
          <w:ilvl w:val="0"/>
          <w:numId w:val="12"/>
        </w:numPr>
        <w:spacing w:after="160" w:line="259" w:lineRule="auto"/>
      </w:pPr>
      <w:r w:rsidRPr="008D3BC2">
        <w:rPr>
          <w:szCs w:val="22"/>
        </w:rPr>
        <w:t>Should the new residency rules include a provision to align domestic and treaty residency for dual residents, eliminating potentially inconsistent outcomes?</w:t>
      </w:r>
    </w:p>
    <w:p w14:paraId="44315821" w14:textId="77777777" w:rsidR="004C1D28" w:rsidRPr="008D3BC2" w:rsidRDefault="004C1D28" w:rsidP="00C30E1F">
      <w:pPr>
        <w:pStyle w:val="OutlineNumbered1"/>
        <w:keepLines/>
        <w:numPr>
          <w:ilvl w:val="0"/>
          <w:numId w:val="0"/>
        </w:numPr>
        <w:shd w:val="clear" w:color="auto" w:fill="E7E6E6" w:themeFill="background2"/>
        <w:spacing w:after="160" w:line="259" w:lineRule="auto"/>
        <w:rPr>
          <w:i/>
          <w:szCs w:val="22"/>
        </w:rPr>
      </w:pPr>
      <w:r w:rsidRPr="008D3BC2">
        <w:rPr>
          <w:i/>
          <w:szCs w:val="22"/>
        </w:rPr>
        <w:t>Integrity: resident of nowhere</w:t>
      </w:r>
    </w:p>
    <w:p w14:paraId="340EB91D" w14:textId="77777777" w:rsidR="00614B57" w:rsidRPr="008D3BC2" w:rsidRDefault="00614B57" w:rsidP="00614B57">
      <w:pPr>
        <w:pStyle w:val="OutlineNumbered1"/>
        <w:keepLines/>
        <w:numPr>
          <w:ilvl w:val="0"/>
          <w:numId w:val="12"/>
        </w:numPr>
        <w:spacing w:after="160" w:line="259" w:lineRule="auto"/>
        <w:rPr>
          <w:szCs w:val="22"/>
        </w:rPr>
      </w:pPr>
      <w:r w:rsidRPr="008D3BC2">
        <w:rPr>
          <w:szCs w:val="22"/>
        </w:rPr>
        <w:t>Other than the resident of nowhere phenomenon, what other arrangements that should be taken into account when designing an integrity rule for residency?</w:t>
      </w:r>
    </w:p>
    <w:p w14:paraId="33E0602F" w14:textId="77777777" w:rsidR="00614B57" w:rsidRPr="008D3BC2" w:rsidRDefault="00614B57" w:rsidP="00614B57">
      <w:pPr>
        <w:pStyle w:val="OutlineNumbered1"/>
        <w:keepLines/>
        <w:numPr>
          <w:ilvl w:val="0"/>
          <w:numId w:val="12"/>
        </w:numPr>
        <w:spacing w:after="160" w:line="259" w:lineRule="auto"/>
        <w:rPr>
          <w:szCs w:val="22"/>
        </w:rPr>
      </w:pPr>
      <w:r w:rsidRPr="008D3BC2">
        <w:rPr>
          <w:szCs w:val="22"/>
        </w:rPr>
        <w:t xml:space="preserve">Which of the options described best guard against short-term gaming that may allow otherwise taxable </w:t>
      </w:r>
      <w:proofErr w:type="gramStart"/>
      <w:r w:rsidRPr="008D3BC2">
        <w:rPr>
          <w:szCs w:val="22"/>
        </w:rPr>
        <w:t>income,</w:t>
      </w:r>
      <w:proofErr w:type="gramEnd"/>
      <w:r w:rsidRPr="008D3BC2">
        <w:rPr>
          <w:szCs w:val="22"/>
        </w:rPr>
        <w:t xml:space="preserve"> profits or gains to become exempt from Australian tax under either the current or proposed rules?</w:t>
      </w:r>
    </w:p>
    <w:p w14:paraId="41D6ABF6" w14:textId="77777777" w:rsidR="00614B57" w:rsidRPr="008D3BC2" w:rsidRDefault="00614B57" w:rsidP="00614B57">
      <w:pPr>
        <w:pStyle w:val="OutlineNumbered1"/>
        <w:keepLines/>
        <w:numPr>
          <w:ilvl w:val="0"/>
          <w:numId w:val="12"/>
        </w:numPr>
        <w:spacing w:after="160" w:line="259" w:lineRule="auto"/>
        <w:rPr>
          <w:szCs w:val="22"/>
        </w:rPr>
      </w:pPr>
      <w:r w:rsidRPr="008D3BC2">
        <w:rPr>
          <w:szCs w:val="22"/>
        </w:rPr>
        <w:t>Are you aware of any arrangements which primarily seek to take advantage of resident</w:t>
      </w:r>
      <w:r w:rsidRPr="008D3BC2">
        <w:rPr>
          <w:szCs w:val="22"/>
        </w:rPr>
        <w:noBreakHyphen/>
        <w:t>only tax outcomes that have been legislated in recent years? If so, please explain.</w:t>
      </w:r>
    </w:p>
    <w:p w14:paraId="638FE1BE" w14:textId="77777777" w:rsidR="00614B57" w:rsidRPr="008D3BC2" w:rsidRDefault="00614B57" w:rsidP="00614B57">
      <w:pPr>
        <w:pStyle w:val="OutlineNumbered1"/>
        <w:keepLines/>
        <w:numPr>
          <w:ilvl w:val="0"/>
          <w:numId w:val="12"/>
        </w:numPr>
        <w:spacing w:after="160" w:line="259" w:lineRule="auto"/>
        <w:rPr>
          <w:szCs w:val="22"/>
        </w:rPr>
      </w:pPr>
      <w:r w:rsidRPr="008D3BC2">
        <w:rPr>
          <w:szCs w:val="22"/>
        </w:rPr>
        <w:t>Do you think that a strict citizen-based residence test or a remittance based regime would improve the income tax system and/or complement new residency rules?</w:t>
      </w:r>
    </w:p>
    <w:p w14:paraId="21D42D03" w14:textId="77777777" w:rsidR="004C1D28" w:rsidRPr="008D3BC2" w:rsidRDefault="004C1D28" w:rsidP="00C30E1F">
      <w:pPr>
        <w:pStyle w:val="OutlineNumbered1"/>
        <w:keepLines/>
        <w:numPr>
          <w:ilvl w:val="0"/>
          <w:numId w:val="0"/>
        </w:numPr>
        <w:shd w:val="clear" w:color="auto" w:fill="E7E6E6" w:themeFill="background2"/>
        <w:spacing w:after="160" w:line="259" w:lineRule="auto"/>
        <w:rPr>
          <w:i/>
        </w:rPr>
      </w:pPr>
      <w:r w:rsidRPr="008D3BC2">
        <w:rPr>
          <w:i/>
        </w:rPr>
        <w:t>The superannuation test: options for reform</w:t>
      </w:r>
    </w:p>
    <w:p w14:paraId="63CF90A6" w14:textId="77777777" w:rsidR="00695587" w:rsidRPr="008D3BC2" w:rsidRDefault="00695587" w:rsidP="00C30E1F">
      <w:pPr>
        <w:pStyle w:val="OutlineNumbered1"/>
        <w:keepLines/>
        <w:numPr>
          <w:ilvl w:val="0"/>
          <w:numId w:val="12"/>
        </w:numPr>
        <w:spacing w:after="160" w:line="259" w:lineRule="auto"/>
        <w:rPr>
          <w:szCs w:val="22"/>
        </w:rPr>
      </w:pPr>
      <w:r w:rsidRPr="008D3BC2">
        <w:rPr>
          <w:szCs w:val="22"/>
        </w:rPr>
        <w:t>Do the proposed design considerations capture the appropriate Government officials and functions? If not, what else should be considered?</w:t>
      </w:r>
    </w:p>
    <w:p w14:paraId="2CED11DD" w14:textId="77777777" w:rsidR="00695587" w:rsidRPr="008D3BC2" w:rsidRDefault="00695587" w:rsidP="00C30E1F">
      <w:pPr>
        <w:pStyle w:val="OutlineNumbered1"/>
        <w:keepLines/>
        <w:numPr>
          <w:ilvl w:val="0"/>
          <w:numId w:val="12"/>
        </w:numPr>
        <w:spacing w:after="160" w:line="259" w:lineRule="auto"/>
        <w:rPr>
          <w:szCs w:val="22"/>
        </w:rPr>
      </w:pPr>
      <w:r w:rsidRPr="008D3BC2">
        <w:rPr>
          <w:szCs w:val="22"/>
        </w:rPr>
        <w:t>Do any of the international comparisons provide a clear guide for reforming the superannuation test?</w:t>
      </w:r>
    </w:p>
    <w:p w14:paraId="1DD311CC" w14:textId="77777777" w:rsidR="00695587" w:rsidRPr="008D3BC2" w:rsidRDefault="00695587" w:rsidP="00C30E1F">
      <w:pPr>
        <w:pStyle w:val="OutlineNumbered1"/>
        <w:keepLines/>
        <w:numPr>
          <w:ilvl w:val="0"/>
          <w:numId w:val="12"/>
        </w:numPr>
        <w:spacing w:after="160" w:line="259" w:lineRule="auto"/>
        <w:rPr>
          <w:szCs w:val="22"/>
        </w:rPr>
      </w:pPr>
      <w:r w:rsidRPr="008D3BC2">
        <w:rPr>
          <w:szCs w:val="22"/>
        </w:rPr>
        <w:t>Should the residency rules continue to deem spouses and dependants of Government officials to be Australian residents?</w:t>
      </w:r>
    </w:p>
    <w:p w14:paraId="455E6FAA" w14:textId="77777777" w:rsidR="00A86620" w:rsidRPr="008D3BC2" w:rsidRDefault="00A86620" w:rsidP="00C30E1F">
      <w:pPr>
        <w:pStyle w:val="OutlineNumbered1"/>
        <w:keepLines/>
        <w:numPr>
          <w:ilvl w:val="0"/>
          <w:numId w:val="0"/>
        </w:numPr>
        <w:shd w:val="clear" w:color="auto" w:fill="E7E6E6" w:themeFill="background2"/>
        <w:spacing w:after="160" w:line="259" w:lineRule="auto"/>
        <w:ind w:left="851" w:hanging="851"/>
        <w:rPr>
          <w:i/>
        </w:rPr>
      </w:pPr>
      <w:r w:rsidRPr="008D3BC2">
        <w:rPr>
          <w:i/>
        </w:rPr>
        <w:t>Part</w:t>
      </w:r>
      <w:r w:rsidRPr="008D3BC2">
        <w:rPr>
          <w:i/>
        </w:rPr>
        <w:noBreakHyphen/>
        <w:t>year residency</w:t>
      </w:r>
    </w:p>
    <w:p w14:paraId="52EE9B35" w14:textId="77777777" w:rsidR="00C30E1F" w:rsidRPr="008D3BC2" w:rsidRDefault="00C30E1F" w:rsidP="00C30E1F">
      <w:pPr>
        <w:pStyle w:val="OutlineNumbered1"/>
        <w:keepLines/>
        <w:numPr>
          <w:ilvl w:val="0"/>
          <w:numId w:val="12"/>
        </w:numPr>
        <w:spacing w:after="160" w:line="259" w:lineRule="auto"/>
        <w:rPr>
          <w:szCs w:val="22"/>
        </w:rPr>
      </w:pPr>
      <w:r w:rsidRPr="008D3BC2">
        <w:rPr>
          <w:szCs w:val="22"/>
        </w:rPr>
        <w:t>Should the new residency rules include part</w:t>
      </w:r>
      <w:r w:rsidRPr="008D3BC2">
        <w:rPr>
          <w:szCs w:val="22"/>
        </w:rPr>
        <w:noBreakHyphen/>
        <w:t>year residency provisions?</w:t>
      </w:r>
    </w:p>
    <w:p w14:paraId="26C520EA" w14:textId="77777777" w:rsidR="00C30E1F" w:rsidRDefault="00C30E1F" w:rsidP="00C30E1F">
      <w:pPr>
        <w:pStyle w:val="OutlineNumbered1"/>
        <w:keepLines/>
        <w:numPr>
          <w:ilvl w:val="0"/>
          <w:numId w:val="12"/>
        </w:numPr>
        <w:spacing w:after="160" w:line="259" w:lineRule="auto"/>
        <w:rPr>
          <w:szCs w:val="22"/>
        </w:rPr>
      </w:pPr>
      <w:r w:rsidRPr="008D3BC2">
        <w:rPr>
          <w:szCs w:val="22"/>
        </w:rPr>
        <w:t>Do the above design features provide a reasonable mechanism to determine split year income periods?</w:t>
      </w:r>
    </w:p>
    <w:p w14:paraId="4F64DA2E" w14:textId="48C44074" w:rsidR="0003388A" w:rsidRPr="008D3BC2" w:rsidRDefault="0003388A" w:rsidP="0003388A">
      <w:pPr>
        <w:pStyle w:val="OutlineNumbered1"/>
        <w:keepLines/>
        <w:numPr>
          <w:ilvl w:val="0"/>
          <w:numId w:val="12"/>
        </w:numPr>
        <w:spacing w:after="160" w:line="259" w:lineRule="auto"/>
        <w:rPr>
          <w:szCs w:val="22"/>
        </w:rPr>
      </w:pPr>
      <w:r w:rsidRPr="0003388A">
        <w:rPr>
          <w:szCs w:val="22"/>
        </w:rPr>
        <w:t>How might part-year rules interact with Australia’s double tax treaties?</w:t>
      </w:r>
    </w:p>
    <w:p w14:paraId="738C709E" w14:textId="77777777" w:rsidR="004C1D28" w:rsidRPr="008D3BC2" w:rsidRDefault="004C1D28" w:rsidP="00C30E1F">
      <w:pPr>
        <w:pStyle w:val="OutlineNumbered1"/>
        <w:keepLines/>
        <w:numPr>
          <w:ilvl w:val="0"/>
          <w:numId w:val="0"/>
        </w:numPr>
        <w:shd w:val="clear" w:color="auto" w:fill="E7E6E6" w:themeFill="background2"/>
        <w:spacing w:after="160" w:line="259" w:lineRule="auto"/>
        <w:rPr>
          <w:i/>
        </w:rPr>
      </w:pPr>
      <w:r w:rsidRPr="008D3BC2">
        <w:rPr>
          <w:i/>
        </w:rPr>
        <w:t>Transitional rules</w:t>
      </w:r>
    </w:p>
    <w:p w14:paraId="6DC965C4" w14:textId="77777777" w:rsidR="00266E8F" w:rsidRPr="008D3BC2" w:rsidRDefault="00266E8F" w:rsidP="00C30E1F">
      <w:pPr>
        <w:pStyle w:val="OutlineNumbered1"/>
        <w:keepLines/>
        <w:numPr>
          <w:ilvl w:val="0"/>
          <w:numId w:val="12"/>
        </w:numPr>
        <w:spacing w:after="160" w:line="259" w:lineRule="auto"/>
        <w:rPr>
          <w:szCs w:val="22"/>
        </w:rPr>
      </w:pPr>
      <w:r w:rsidRPr="008D3BC2">
        <w:rPr>
          <w:szCs w:val="22"/>
        </w:rPr>
        <w:t>Should there be any transitional relief for any affected individuals?</w:t>
      </w:r>
      <w:r w:rsidR="00695587" w:rsidRPr="008D3BC2">
        <w:rPr>
          <w:szCs w:val="22"/>
        </w:rPr>
        <w:t xml:space="preserve"> If so, please identify the affected </w:t>
      </w:r>
      <w:r w:rsidR="006D5801" w:rsidRPr="008D3BC2">
        <w:rPr>
          <w:szCs w:val="22"/>
        </w:rPr>
        <w:t xml:space="preserve">type of </w:t>
      </w:r>
      <w:r w:rsidR="00695587" w:rsidRPr="008D3BC2">
        <w:rPr>
          <w:szCs w:val="22"/>
        </w:rPr>
        <w:t>individuals and relevant relief.</w:t>
      </w:r>
    </w:p>
    <w:p w14:paraId="62520085" w14:textId="77777777" w:rsidR="00B37C6C" w:rsidRDefault="00AB22B9" w:rsidP="001974B6">
      <w:pPr>
        <w:pStyle w:val="Heading1"/>
      </w:pPr>
      <w:bookmarkStart w:id="19" w:name="_Toc525312279"/>
      <w:r w:rsidRPr="008D3BC2">
        <w:t>Annexure B</w:t>
      </w:r>
      <w:r w:rsidR="00147049" w:rsidRPr="008D3BC2">
        <w:t>: flow chart of existing rules</w:t>
      </w:r>
      <w:bookmarkEnd w:id="19"/>
    </w:p>
    <w:p w14:paraId="24C44F7D" w14:textId="425B48F9" w:rsidR="00713222" w:rsidRPr="00713222" w:rsidRDefault="00713222" w:rsidP="00713222">
      <w:pPr>
        <w:pStyle w:val="Heading3"/>
      </w:pPr>
      <w:r>
        <w:t>The following flow chart offers a simplified explanation of the current income tax residency rules for individuals.</w:t>
      </w:r>
    </w:p>
    <w:p w14:paraId="7EEAD2F1" w14:textId="26A2C54A" w:rsidR="00391C21" w:rsidRPr="008D3BC2" w:rsidRDefault="00713222" w:rsidP="00C30E1F">
      <w:pPr>
        <w:jc w:val="center"/>
      </w:pPr>
      <w:r w:rsidRPr="008D3BC2">
        <w:rPr>
          <w:noProof/>
        </w:rPr>
        <w:object w:dxaOrig="5387" w:dyaOrig="7209" w14:anchorId="34E7E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5pt;height:497.25pt;mso-width-percent:0;mso-height-percent:0;mso-width-percent:0;mso-height-percent:0" o:ole="">
            <v:imagedata r:id="rId27" o:title=""/>
          </v:shape>
          <o:OLEObject Type="Embed" ProgID="PowerPoint.Slide.12" ShapeID="_x0000_i1025" DrawAspect="Content" ObjectID="_1599310962" r:id="rId28"/>
        </w:object>
      </w:r>
      <w:r w:rsidR="00391C21" w:rsidRPr="008D3BC2">
        <w:br w:type="page"/>
      </w:r>
    </w:p>
    <w:p w14:paraId="11AB6595" w14:textId="77777777" w:rsidR="001974B6" w:rsidRDefault="00AB22B9" w:rsidP="004F7258">
      <w:pPr>
        <w:pStyle w:val="Heading1"/>
      </w:pPr>
      <w:bookmarkStart w:id="20" w:name="_Toc525312280"/>
      <w:r w:rsidRPr="008D3BC2">
        <w:t>Annexure C</w:t>
      </w:r>
      <w:r w:rsidR="00391C21" w:rsidRPr="008D3BC2">
        <w:t>: international approaches to Government employees working offshore</w:t>
      </w:r>
      <w:bookmarkEnd w:id="20"/>
    </w:p>
    <w:p w14:paraId="740863E5" w14:textId="440E6A9B" w:rsidR="008D3BC2" w:rsidRPr="008D3BC2" w:rsidRDefault="008D3BC2" w:rsidP="008D3BC2">
      <w:pPr>
        <w:pStyle w:val="Heading3"/>
      </w:pPr>
      <w:r>
        <w:t>The following table provides a high level overview of the nature of individual tax residency in certain overseas jurisdictions and the way in which Government officials are treated for income tax residency purposes.</w:t>
      </w:r>
      <w:r>
        <w:rPr>
          <w:rStyle w:val="FootnoteReference"/>
        </w:rPr>
        <w:footnoteReference w:id="3"/>
      </w:r>
    </w:p>
    <w:tbl>
      <w:tblPr>
        <w:tblStyle w:val="TableList5"/>
        <w:tblW w:w="9852" w:type="dxa"/>
        <w:tblBorders>
          <w:top w:val="none" w:sz="0" w:space="0" w:color="auto"/>
          <w:left w:val="none" w:sz="0" w:space="0" w:color="auto"/>
          <w:bottom w:val="none" w:sz="0" w:space="0" w:color="auto"/>
          <w:right w:val="none" w:sz="0" w:space="0" w:color="auto"/>
          <w:insideH w:val="single" w:sz="4" w:space="0" w:color="C00000"/>
        </w:tblBorders>
        <w:tblLook w:val="04A0" w:firstRow="1" w:lastRow="0" w:firstColumn="1" w:lastColumn="0" w:noHBand="0" w:noVBand="1"/>
      </w:tblPr>
      <w:tblGrid>
        <w:gridCol w:w="2802"/>
        <w:gridCol w:w="2976"/>
        <w:gridCol w:w="4074"/>
      </w:tblGrid>
      <w:tr w:rsidR="00391C21" w:rsidRPr="008D3BC2" w14:paraId="346A44A4" w14:textId="77777777" w:rsidTr="004F72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bottom w:val="none" w:sz="0" w:space="0" w:color="auto"/>
            </w:tcBorders>
            <w:shd w:val="clear" w:color="auto" w:fill="E7E6E6" w:themeFill="background2"/>
          </w:tcPr>
          <w:p w14:paraId="7764CC88" w14:textId="77777777" w:rsidR="00391C21" w:rsidRPr="008D3BC2" w:rsidRDefault="00391C21" w:rsidP="00391C21">
            <w:pPr>
              <w:pStyle w:val="TableColumnHeadingCentred"/>
              <w:rPr>
                <w:szCs w:val="28"/>
              </w:rPr>
            </w:pPr>
            <w:r w:rsidRPr="008D3BC2">
              <w:rPr>
                <w:szCs w:val="28"/>
              </w:rPr>
              <w:t>Country</w:t>
            </w:r>
          </w:p>
        </w:tc>
        <w:tc>
          <w:tcPr>
            <w:tcW w:w="2976" w:type="dxa"/>
            <w:tcBorders>
              <w:bottom w:val="none" w:sz="0" w:space="0" w:color="auto"/>
            </w:tcBorders>
            <w:shd w:val="clear" w:color="auto" w:fill="E7E6E6" w:themeFill="background2"/>
          </w:tcPr>
          <w:p w14:paraId="71078194" w14:textId="77777777" w:rsidR="00391C21" w:rsidRPr="008D3BC2" w:rsidRDefault="00391C21" w:rsidP="00391C21">
            <w:pPr>
              <w:pStyle w:val="TableColumnHeadingCentred"/>
              <w:cnfStyle w:val="100000000000" w:firstRow="1" w:lastRow="0" w:firstColumn="0" w:lastColumn="0" w:oddVBand="0" w:evenVBand="0" w:oddHBand="0" w:evenHBand="0" w:firstRowFirstColumn="0" w:firstRowLastColumn="0" w:lastRowFirstColumn="0" w:lastRowLastColumn="0"/>
              <w:rPr>
                <w:szCs w:val="28"/>
              </w:rPr>
            </w:pPr>
            <w:r w:rsidRPr="008D3BC2">
              <w:rPr>
                <w:szCs w:val="28"/>
              </w:rPr>
              <w:t>Tax residency test</w:t>
            </w:r>
          </w:p>
        </w:tc>
        <w:tc>
          <w:tcPr>
            <w:tcW w:w="4074" w:type="dxa"/>
            <w:tcBorders>
              <w:bottom w:val="none" w:sz="0" w:space="0" w:color="auto"/>
            </w:tcBorders>
            <w:shd w:val="clear" w:color="auto" w:fill="E7E6E6" w:themeFill="background2"/>
          </w:tcPr>
          <w:p w14:paraId="4802F47D" w14:textId="77777777" w:rsidR="00391C21" w:rsidRPr="008D3BC2" w:rsidRDefault="00391C21" w:rsidP="00391C21">
            <w:pPr>
              <w:pStyle w:val="TableColumnHeadingCentred"/>
              <w:cnfStyle w:val="100000000000" w:firstRow="1" w:lastRow="0" w:firstColumn="0" w:lastColumn="0" w:oddVBand="0" w:evenVBand="0" w:oddHBand="0" w:evenHBand="0" w:firstRowFirstColumn="0" w:firstRowLastColumn="0" w:lastRowFirstColumn="0" w:lastRowLastColumn="0"/>
              <w:rPr>
                <w:szCs w:val="28"/>
              </w:rPr>
            </w:pPr>
            <w:r w:rsidRPr="008D3BC2">
              <w:rPr>
                <w:szCs w:val="28"/>
              </w:rPr>
              <w:t>Government services test</w:t>
            </w:r>
          </w:p>
        </w:tc>
      </w:tr>
      <w:tr w:rsidR="00391C21" w:rsidRPr="008D3BC2" w14:paraId="5A0E9F81" w14:textId="77777777" w:rsidTr="004F7258">
        <w:tc>
          <w:tcPr>
            <w:cnfStyle w:val="001000000000" w:firstRow="0" w:lastRow="0" w:firstColumn="1" w:lastColumn="0" w:oddVBand="0" w:evenVBand="0" w:oddHBand="0" w:evenHBand="0" w:firstRowFirstColumn="0" w:firstRowLastColumn="0" w:lastRowFirstColumn="0" w:lastRowLastColumn="0"/>
            <w:tcW w:w="9852" w:type="dxa"/>
            <w:gridSpan w:val="3"/>
            <w:shd w:val="clear" w:color="auto" w:fill="E7E6E6" w:themeFill="background2"/>
          </w:tcPr>
          <w:p w14:paraId="6BD80A43" w14:textId="77777777" w:rsidR="00391C21" w:rsidRPr="008D3BC2" w:rsidRDefault="00391C21" w:rsidP="0011668D">
            <w:pPr>
              <w:jc w:val="center"/>
              <w:rPr>
                <w:rFonts w:asciiTheme="minorHAnsi" w:hAnsiTheme="minorHAnsi"/>
                <w:i/>
                <w:sz w:val="24"/>
                <w:szCs w:val="24"/>
                <w:lang w:val="en-US"/>
              </w:rPr>
            </w:pPr>
            <w:r w:rsidRPr="008D3BC2">
              <w:rPr>
                <w:rFonts w:asciiTheme="minorHAnsi" w:hAnsiTheme="minorHAnsi"/>
                <w:bCs w:val="0"/>
                <w:i/>
                <w:sz w:val="24"/>
                <w:szCs w:val="24"/>
              </w:rPr>
              <w:t>Jurisdictions in the International Comparison of Australia’s Taxes (2006)</w:t>
            </w:r>
          </w:p>
        </w:tc>
      </w:tr>
      <w:tr w:rsidR="00391C21" w:rsidRPr="008D3BC2" w14:paraId="6E95072C"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7E09F8BE"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Canada</w:t>
            </w:r>
          </w:p>
        </w:tc>
        <w:tc>
          <w:tcPr>
            <w:tcW w:w="2976" w:type="dxa"/>
          </w:tcPr>
          <w:p w14:paraId="5F988BE7"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residential ‘ties’ (supplemented by a 183 day test)</w:t>
            </w:r>
          </w:p>
        </w:tc>
        <w:tc>
          <w:tcPr>
            <w:tcW w:w="4074" w:type="dxa"/>
          </w:tcPr>
          <w:p w14:paraId="7A3C18EC" w14:textId="7E49A5FF" w:rsidR="00391C21" w:rsidRPr="00E741EB" w:rsidRDefault="00073650"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073650">
              <w:rPr>
                <w:rFonts w:asciiTheme="minorHAnsi" w:hAnsiTheme="minorHAnsi"/>
                <w:lang w:val="en-US"/>
              </w:rPr>
              <w:t>Government services</w:t>
            </w:r>
            <w:r w:rsidR="00391C21" w:rsidRPr="00E741EB">
              <w:rPr>
                <w:rFonts w:asciiTheme="minorHAnsi" w:hAnsiTheme="minorHAnsi"/>
                <w:lang w:val="en-US"/>
              </w:rPr>
              <w:t xml:space="preserve"> posted outside Canada are usually factual residents of Canada or deemed residents of Canada for income tax purposes.</w:t>
            </w:r>
          </w:p>
        </w:tc>
      </w:tr>
      <w:tr w:rsidR="00391C21" w:rsidRPr="008D3BC2" w14:paraId="6E5F75D5"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66412356"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Ireland</w:t>
            </w:r>
          </w:p>
        </w:tc>
        <w:tc>
          <w:tcPr>
            <w:tcW w:w="2976" w:type="dxa"/>
          </w:tcPr>
          <w:p w14:paraId="6BF579EC"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–reliance on time present only (183 day test and 280 day cumulative 2-year test) or election to be tax resident</w:t>
            </w:r>
          </w:p>
        </w:tc>
        <w:tc>
          <w:tcPr>
            <w:tcW w:w="4074" w:type="dxa"/>
          </w:tcPr>
          <w:p w14:paraId="43535137" w14:textId="6A722E35" w:rsidR="00391C21" w:rsidRPr="00E741EB"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 xml:space="preserve">No specific rule (although Government pensions and income from an </w:t>
            </w:r>
            <w:r w:rsidR="00073650" w:rsidRPr="00073650">
              <w:rPr>
                <w:rFonts w:asciiTheme="minorHAnsi" w:hAnsiTheme="minorHAnsi"/>
                <w:lang w:val="en-US"/>
              </w:rPr>
              <w:t>Irish public office</w:t>
            </w:r>
            <w:r w:rsidRPr="00E741EB">
              <w:rPr>
                <w:rFonts w:asciiTheme="minorHAnsi" w:hAnsiTheme="minorHAnsi"/>
                <w:lang w:val="en-US"/>
              </w:rPr>
              <w:t xml:space="preserve"> are taxable/sourced in Ireland)</w:t>
            </w:r>
          </w:p>
        </w:tc>
      </w:tr>
      <w:tr w:rsidR="00391C21" w:rsidRPr="008D3BC2" w14:paraId="3057FA58"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5F3857D3"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Japan</w:t>
            </w:r>
          </w:p>
        </w:tc>
        <w:tc>
          <w:tcPr>
            <w:tcW w:w="2976" w:type="dxa"/>
          </w:tcPr>
          <w:p w14:paraId="0F8E25A1"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time present and domicile</w:t>
            </w:r>
          </w:p>
        </w:tc>
        <w:tc>
          <w:tcPr>
            <w:tcW w:w="4074" w:type="dxa"/>
          </w:tcPr>
          <w:p w14:paraId="5B463B26" w14:textId="396389C9" w:rsidR="00391C21" w:rsidRPr="00E741EB" w:rsidRDefault="00073650"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073650">
              <w:rPr>
                <w:rFonts w:asciiTheme="minorHAnsi" w:hAnsiTheme="minorHAnsi"/>
                <w:lang w:val="en-US"/>
              </w:rPr>
              <w:t>Individuals</w:t>
            </w:r>
            <w:r w:rsidR="00391C21" w:rsidRPr="00E741EB">
              <w:rPr>
                <w:rFonts w:asciiTheme="minorHAnsi" w:hAnsiTheme="minorHAnsi"/>
                <w:lang w:val="en-US"/>
              </w:rPr>
              <w:t xml:space="preserve"> being a national or local government official serving abroad are deemed to have a domicile in Japan as long as he or she is a Japanese national.</w:t>
            </w:r>
          </w:p>
        </w:tc>
      </w:tr>
      <w:tr w:rsidR="00391C21" w:rsidRPr="008D3BC2" w14:paraId="277691BF"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3A2BDE22"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Netherlands</w:t>
            </w:r>
          </w:p>
        </w:tc>
        <w:tc>
          <w:tcPr>
            <w:tcW w:w="2976" w:type="dxa"/>
          </w:tcPr>
          <w:p w14:paraId="3FF581DD"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residential ties</w:t>
            </w:r>
          </w:p>
        </w:tc>
        <w:tc>
          <w:tcPr>
            <w:tcW w:w="4074" w:type="dxa"/>
          </w:tcPr>
          <w:p w14:paraId="4883C803" w14:textId="3AA9B864" w:rsidR="00391C21" w:rsidRPr="00E741EB" w:rsidRDefault="00073650"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073650">
              <w:rPr>
                <w:rFonts w:asciiTheme="minorHAnsi" w:hAnsiTheme="minorHAnsi"/>
                <w:lang w:val="en-US"/>
              </w:rPr>
              <w:t>Individuals with Dutch nationality</w:t>
            </w:r>
            <w:r w:rsidR="00391C21" w:rsidRPr="00E741EB">
              <w:rPr>
                <w:rFonts w:asciiTheme="minorHAnsi" w:hAnsiTheme="minorHAnsi"/>
                <w:lang w:val="en-US"/>
              </w:rPr>
              <w:t>, employed by the Dutch government transferred abroad, are treated as tax residents.</w:t>
            </w:r>
          </w:p>
          <w:p w14:paraId="029CF4EF" w14:textId="77777777" w:rsidR="00391C21" w:rsidRPr="00E741EB"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This includes those transferred to work abroad in diplomatic functions or within the context of a tax treaty that has been concluded by the Netherlands.</w:t>
            </w:r>
          </w:p>
          <w:p w14:paraId="5A6D2022" w14:textId="77777777" w:rsidR="00391C21" w:rsidRPr="00E741EB"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This regulation also applies to partners and children of transferred persons. The children must be younger than 27 years old and supported to a considerable extent by the transferred person.</w:t>
            </w:r>
          </w:p>
        </w:tc>
      </w:tr>
      <w:tr w:rsidR="00391C21" w:rsidRPr="008D3BC2" w14:paraId="505281BD"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0AC20B41"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New Zealand</w:t>
            </w:r>
          </w:p>
        </w:tc>
        <w:tc>
          <w:tcPr>
            <w:tcW w:w="2976" w:type="dxa"/>
          </w:tcPr>
          <w:p w14:paraId="51367F4C" w14:textId="007C3C1E" w:rsidR="00391C21" w:rsidRPr="008D3BC2" w:rsidRDefault="00391C21" w:rsidP="008D3BC2">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residential ties (</w:t>
            </w:r>
            <w:r w:rsidR="008D3BC2">
              <w:rPr>
                <w:rFonts w:asciiTheme="minorHAnsi" w:hAnsiTheme="minorHAnsi"/>
              </w:rPr>
              <w:t xml:space="preserve">supplemented by a </w:t>
            </w:r>
            <w:r w:rsidRPr="008D3BC2">
              <w:rPr>
                <w:rFonts w:asciiTheme="minorHAnsi" w:hAnsiTheme="minorHAnsi"/>
              </w:rPr>
              <w:t>183 day test)</w:t>
            </w:r>
          </w:p>
        </w:tc>
        <w:tc>
          <w:tcPr>
            <w:tcW w:w="4074" w:type="dxa"/>
          </w:tcPr>
          <w:p w14:paraId="32BE79C6" w14:textId="6B815A64" w:rsidR="00391C21" w:rsidRPr="00E741EB" w:rsidRDefault="00E741EB" w:rsidP="00E741E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An individual </w:t>
            </w:r>
            <w:r w:rsidR="00391C21" w:rsidRPr="00E741EB">
              <w:rPr>
                <w:rFonts w:asciiTheme="minorHAnsi" w:hAnsiTheme="minorHAnsi"/>
                <w:lang w:val="en-US"/>
              </w:rPr>
              <w:t xml:space="preserve">sent away from New Zealand in the </w:t>
            </w:r>
            <w:r w:rsidRPr="00E741EB">
              <w:rPr>
                <w:rFonts w:asciiTheme="minorHAnsi" w:hAnsiTheme="minorHAnsi"/>
                <w:lang w:val="en-US"/>
              </w:rPr>
              <w:t>service of the government in any capacity</w:t>
            </w:r>
            <w:r w:rsidR="00391C21" w:rsidRPr="00E741EB">
              <w:rPr>
                <w:rFonts w:asciiTheme="minorHAnsi" w:hAnsiTheme="minorHAnsi"/>
                <w:lang w:val="en-US"/>
              </w:rPr>
              <w:t xml:space="preserve">, </w:t>
            </w:r>
            <w:r>
              <w:rPr>
                <w:rFonts w:asciiTheme="minorHAnsi" w:hAnsiTheme="minorHAnsi"/>
                <w:lang w:val="en-US"/>
              </w:rPr>
              <w:t xml:space="preserve">is </w:t>
            </w:r>
            <w:r w:rsidR="00391C21" w:rsidRPr="00E741EB">
              <w:rPr>
                <w:rFonts w:asciiTheme="minorHAnsi" w:hAnsiTheme="minorHAnsi"/>
                <w:lang w:val="en-US"/>
              </w:rPr>
              <w:t xml:space="preserve">considered to be a tax resident of New Zealand and liable for New Zealand tax on worldwide income. The length of absence and permanent place of abode in New Zealand </w:t>
            </w:r>
            <w:r>
              <w:rPr>
                <w:rFonts w:asciiTheme="minorHAnsi" w:hAnsiTheme="minorHAnsi"/>
                <w:lang w:val="en-US"/>
              </w:rPr>
              <w:t xml:space="preserve">do not </w:t>
            </w:r>
            <w:r w:rsidR="00391C21" w:rsidRPr="00E741EB">
              <w:rPr>
                <w:rFonts w:asciiTheme="minorHAnsi" w:hAnsiTheme="minorHAnsi"/>
                <w:lang w:val="en-US"/>
              </w:rPr>
              <w:t>matter. This rule doesn’t apply to a spouse, partner or children who may be accompanying</w:t>
            </w:r>
            <w:r>
              <w:rPr>
                <w:rFonts w:asciiTheme="minorHAnsi" w:hAnsiTheme="minorHAnsi"/>
                <w:lang w:val="en-US"/>
              </w:rPr>
              <w:t xml:space="preserve"> the individual</w:t>
            </w:r>
            <w:r w:rsidR="00391C21" w:rsidRPr="00E741EB">
              <w:rPr>
                <w:rFonts w:asciiTheme="minorHAnsi" w:hAnsiTheme="minorHAnsi"/>
                <w:lang w:val="en-US"/>
              </w:rPr>
              <w:t>.</w:t>
            </w:r>
          </w:p>
        </w:tc>
      </w:tr>
      <w:tr w:rsidR="00391C21" w:rsidRPr="008D3BC2" w14:paraId="18CBBC4A"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0847FD37"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Spain</w:t>
            </w:r>
          </w:p>
        </w:tc>
        <w:tc>
          <w:tcPr>
            <w:tcW w:w="2976" w:type="dxa"/>
          </w:tcPr>
          <w:p w14:paraId="76CBAC4D" w14:textId="1A77728B" w:rsidR="00391C21" w:rsidRPr="008D3BC2" w:rsidRDefault="00391C21" w:rsidP="00E741E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time present and residential ties (183 day test)</w:t>
            </w:r>
            <w:r w:rsidR="00E741EB">
              <w:rPr>
                <w:rFonts w:asciiTheme="minorHAnsi" w:hAnsiTheme="minorHAnsi"/>
              </w:rPr>
              <w:t xml:space="preserve">, with </w:t>
            </w:r>
            <w:r w:rsidRPr="008D3BC2">
              <w:rPr>
                <w:rFonts w:asciiTheme="minorHAnsi" w:hAnsiTheme="minorHAnsi"/>
              </w:rPr>
              <w:t>targeted tax haven integrity rules</w:t>
            </w:r>
          </w:p>
        </w:tc>
        <w:tc>
          <w:tcPr>
            <w:tcW w:w="4074" w:type="dxa"/>
          </w:tcPr>
          <w:p w14:paraId="7E9E09D8" w14:textId="77777777" w:rsidR="00391C21" w:rsidRPr="00E741EB"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Individuals with Spanish nationality carrying out official work abroad whose usual residence is abroad (</w:t>
            </w:r>
            <w:proofErr w:type="spellStart"/>
            <w:r w:rsidRPr="00E741EB">
              <w:rPr>
                <w:rFonts w:asciiTheme="minorHAnsi" w:hAnsiTheme="minorHAnsi"/>
                <w:lang w:val="en-US"/>
              </w:rPr>
              <w:t>eg</w:t>
            </w:r>
            <w:proofErr w:type="spellEnd"/>
            <w:r w:rsidRPr="00E741EB">
              <w:rPr>
                <w:rFonts w:asciiTheme="minorHAnsi" w:hAnsiTheme="minorHAnsi"/>
                <w:lang w:val="en-US"/>
              </w:rPr>
              <w:t>, members of diplomatic missions, public officers etc.), along with their spouses and children who are minors, are subject to payment of Personal Income Tax, with two exceptions:</w:t>
            </w:r>
          </w:p>
          <w:p w14:paraId="0FEC97B0" w14:textId="77777777" w:rsidR="00391C21" w:rsidRPr="00E741EB" w:rsidRDefault="00391C21" w:rsidP="00E741EB">
            <w:pPr>
              <w:pStyle w:val="ListParagraph"/>
              <w:numPr>
                <w:ilvl w:val="0"/>
                <w:numId w:val="24"/>
              </w:numPr>
              <w:tabs>
                <w:tab w:val="left" w:pos="422"/>
              </w:tabs>
              <w:spacing w:after="100" w:afterAutospacing="1"/>
              <w:ind w:left="420" w:hanging="42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Individuals who are not civil servants and whose usual residence was already abroad before any of the aforementioned circumstances arose.</w:t>
            </w:r>
          </w:p>
          <w:p w14:paraId="0283E3ED" w14:textId="77777777" w:rsidR="00391C21" w:rsidRPr="00E741EB" w:rsidRDefault="00391C21" w:rsidP="00E741EB">
            <w:pPr>
              <w:pStyle w:val="ListParagraph"/>
              <w:numPr>
                <w:ilvl w:val="0"/>
                <w:numId w:val="24"/>
              </w:numPr>
              <w:tabs>
                <w:tab w:val="left" w:pos="422"/>
              </w:tabs>
              <w:spacing w:after="100" w:afterAutospacing="1"/>
              <w:ind w:left="420" w:hanging="42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When the usual residence of their non-legally separated spouse or children who are minors was abroad before any of these circumstances arose.</w:t>
            </w:r>
          </w:p>
        </w:tc>
      </w:tr>
      <w:tr w:rsidR="00391C21" w:rsidRPr="008D3BC2" w14:paraId="3125EAAC"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5B031769"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Switzerland</w:t>
            </w:r>
          </w:p>
        </w:tc>
        <w:tc>
          <w:tcPr>
            <w:tcW w:w="2976" w:type="dxa"/>
          </w:tcPr>
          <w:p w14:paraId="20A5EE4A"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time present and residential ties (deeming rules of 30 days of gainful activity and 90 days without)</w:t>
            </w:r>
          </w:p>
        </w:tc>
        <w:tc>
          <w:tcPr>
            <w:tcW w:w="4074" w:type="dxa"/>
          </w:tcPr>
          <w:p w14:paraId="18B349E1" w14:textId="7371F245"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Government officials or individuals</w:t>
            </w:r>
            <w:r w:rsidR="00391C21" w:rsidRPr="00E741EB">
              <w:rPr>
                <w:rFonts w:asciiTheme="minorHAnsi" w:hAnsiTheme="minorHAnsi"/>
                <w:lang w:val="en-US"/>
              </w:rPr>
              <w:t xml:space="preserve"> working for a public law corporation or institution who live outside the territory of Switzerland and are in this jurisdiction subject to a partial or total income tax reduction remain liable to taxation in Switzerland.</w:t>
            </w:r>
          </w:p>
        </w:tc>
      </w:tr>
      <w:tr w:rsidR="00391C21" w:rsidRPr="008D3BC2" w14:paraId="63D54B4B"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16A8893A"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UK</w:t>
            </w:r>
          </w:p>
        </w:tc>
        <w:tc>
          <w:tcPr>
            <w:tcW w:w="2976" w:type="dxa"/>
          </w:tcPr>
          <w:p w14:paraId="5AA52726"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Statutory Residency Test – high reliance on time present and ‘ties’</w:t>
            </w:r>
          </w:p>
        </w:tc>
        <w:tc>
          <w:tcPr>
            <w:tcW w:w="4074" w:type="dxa"/>
          </w:tcPr>
          <w:p w14:paraId="0CDBB5AC" w14:textId="71C3F5E9" w:rsidR="00391C21" w:rsidRPr="00E741EB" w:rsidRDefault="00073650" w:rsidP="0007365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An </w:t>
            </w:r>
            <w:proofErr w:type="gramStart"/>
            <w:r>
              <w:rPr>
                <w:rFonts w:asciiTheme="minorHAnsi" w:hAnsiTheme="minorHAnsi"/>
                <w:lang w:val="en-US"/>
              </w:rPr>
              <w:t>individual</w:t>
            </w:r>
            <w:proofErr w:type="gramEnd"/>
            <w:r>
              <w:rPr>
                <w:rFonts w:asciiTheme="minorHAnsi" w:hAnsiTheme="minorHAnsi"/>
                <w:lang w:val="en-US"/>
              </w:rPr>
              <w:t xml:space="preserve"> who </w:t>
            </w:r>
            <w:r w:rsidR="00391C21" w:rsidRPr="00E741EB">
              <w:rPr>
                <w:rFonts w:asciiTheme="minorHAnsi" w:hAnsiTheme="minorHAnsi"/>
                <w:lang w:val="en-US"/>
              </w:rPr>
              <w:t>work</w:t>
            </w:r>
            <w:r>
              <w:rPr>
                <w:rFonts w:asciiTheme="minorHAnsi" w:hAnsiTheme="minorHAnsi"/>
                <w:lang w:val="en-US"/>
              </w:rPr>
              <w:t>s</w:t>
            </w:r>
            <w:r w:rsidR="00391C21" w:rsidRPr="00E741EB">
              <w:rPr>
                <w:rFonts w:asciiTheme="minorHAnsi" w:hAnsiTheme="minorHAnsi"/>
                <w:lang w:val="en-US"/>
              </w:rPr>
              <w:t xml:space="preserve"> abroad as a </w:t>
            </w:r>
            <w:r w:rsidR="00E741EB" w:rsidRPr="00E741EB">
              <w:rPr>
                <w:rFonts w:asciiTheme="minorHAnsi" w:hAnsiTheme="minorHAnsi"/>
                <w:lang w:val="en-US"/>
              </w:rPr>
              <w:t>Crown Servant</w:t>
            </w:r>
            <w:r w:rsidR="00391C21" w:rsidRPr="00E741EB">
              <w:rPr>
                <w:rFonts w:asciiTheme="minorHAnsi" w:hAnsiTheme="minorHAnsi"/>
                <w:lang w:val="en-US"/>
              </w:rPr>
              <w:t>, pay</w:t>
            </w:r>
            <w:r>
              <w:rPr>
                <w:rFonts w:asciiTheme="minorHAnsi" w:hAnsiTheme="minorHAnsi"/>
                <w:lang w:val="en-US"/>
              </w:rPr>
              <w:t>s</w:t>
            </w:r>
            <w:r w:rsidR="00391C21" w:rsidRPr="00E741EB">
              <w:rPr>
                <w:rFonts w:asciiTheme="minorHAnsi" w:hAnsiTheme="minorHAnsi"/>
                <w:lang w:val="en-US"/>
              </w:rPr>
              <w:t xml:space="preserve"> Income Tax in the UK on income from </w:t>
            </w:r>
            <w:r>
              <w:rPr>
                <w:rFonts w:asciiTheme="minorHAnsi" w:hAnsiTheme="minorHAnsi"/>
                <w:lang w:val="en-US"/>
              </w:rPr>
              <w:t xml:space="preserve">their </w:t>
            </w:r>
            <w:r w:rsidR="00391C21" w:rsidRPr="00E741EB">
              <w:rPr>
                <w:rFonts w:asciiTheme="minorHAnsi" w:hAnsiTheme="minorHAnsi"/>
                <w:lang w:val="en-US"/>
              </w:rPr>
              <w:t xml:space="preserve">job for the Crown as if </w:t>
            </w:r>
            <w:r>
              <w:rPr>
                <w:rFonts w:asciiTheme="minorHAnsi" w:hAnsiTheme="minorHAnsi"/>
                <w:lang w:val="en-US"/>
              </w:rPr>
              <w:t xml:space="preserve">they </w:t>
            </w:r>
            <w:r w:rsidR="00391C21" w:rsidRPr="00E741EB">
              <w:rPr>
                <w:rFonts w:asciiTheme="minorHAnsi" w:hAnsiTheme="minorHAnsi"/>
                <w:lang w:val="en-US"/>
              </w:rPr>
              <w:t xml:space="preserve">live in the UK. The rules apply regardless of </w:t>
            </w:r>
            <w:r w:rsidR="00E741EB" w:rsidRPr="00E741EB">
              <w:rPr>
                <w:rFonts w:asciiTheme="minorHAnsi" w:hAnsiTheme="minorHAnsi"/>
                <w:lang w:val="en-US"/>
              </w:rPr>
              <w:t>UK residency status for tax</w:t>
            </w:r>
            <w:r w:rsidR="00391C21" w:rsidRPr="00E741EB">
              <w:rPr>
                <w:rFonts w:asciiTheme="minorHAnsi" w:hAnsiTheme="minorHAnsi"/>
                <w:lang w:val="en-US"/>
              </w:rPr>
              <w:t xml:space="preserve">, no matter how long abroad, where </w:t>
            </w:r>
            <w:r>
              <w:rPr>
                <w:rFonts w:asciiTheme="minorHAnsi" w:hAnsiTheme="minorHAnsi"/>
                <w:lang w:val="en-US"/>
              </w:rPr>
              <w:t xml:space="preserve">they </w:t>
            </w:r>
            <w:r w:rsidR="00391C21" w:rsidRPr="00E741EB">
              <w:rPr>
                <w:rFonts w:asciiTheme="minorHAnsi" w:hAnsiTheme="minorHAnsi"/>
                <w:lang w:val="en-US"/>
              </w:rPr>
              <w:t xml:space="preserve">work or how settled </w:t>
            </w:r>
            <w:r>
              <w:rPr>
                <w:rFonts w:asciiTheme="minorHAnsi" w:hAnsiTheme="minorHAnsi"/>
                <w:lang w:val="en-US"/>
              </w:rPr>
              <w:t xml:space="preserve">they </w:t>
            </w:r>
            <w:r w:rsidR="00391C21" w:rsidRPr="00E741EB">
              <w:rPr>
                <w:rFonts w:asciiTheme="minorHAnsi" w:hAnsiTheme="minorHAnsi"/>
                <w:lang w:val="en-US"/>
              </w:rPr>
              <w:t>are.</w:t>
            </w:r>
          </w:p>
        </w:tc>
      </w:tr>
      <w:tr w:rsidR="00391C21" w:rsidRPr="008D3BC2" w14:paraId="7AD9D1F9"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08B664DA"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US</w:t>
            </w:r>
          </w:p>
        </w:tc>
        <w:tc>
          <w:tcPr>
            <w:tcW w:w="2976" w:type="dxa"/>
          </w:tcPr>
          <w:p w14:paraId="5847A230"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Citizenship and facts and circumstances – permanent residents, citizens and aliens that satisfy the ‘substantial presence test’ which is time reliant</w:t>
            </w:r>
          </w:p>
        </w:tc>
        <w:tc>
          <w:tcPr>
            <w:tcW w:w="4074" w:type="dxa"/>
          </w:tcPr>
          <w:p w14:paraId="4F25DE9B" w14:textId="05BDE269" w:rsidR="00391C21" w:rsidRPr="005A1357"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9"/>
                <w:szCs w:val="19"/>
                <w:lang w:val="en-US"/>
              </w:rPr>
            </w:pPr>
            <w:r w:rsidRPr="005A1357">
              <w:rPr>
                <w:rFonts w:asciiTheme="minorHAnsi" w:hAnsiTheme="minorHAnsi"/>
                <w:sz w:val="19"/>
                <w:szCs w:val="19"/>
                <w:lang w:val="en-US"/>
              </w:rPr>
              <w:t xml:space="preserve">Government civilian </w:t>
            </w:r>
            <w:r w:rsidR="001A78CB" w:rsidRPr="005A1357">
              <w:rPr>
                <w:rFonts w:asciiTheme="minorHAnsi" w:hAnsiTheme="minorHAnsi"/>
                <w:sz w:val="19"/>
                <w:szCs w:val="19"/>
                <w:lang w:val="en-US"/>
              </w:rPr>
              <w:t>employees’</w:t>
            </w:r>
            <w:r w:rsidR="00391C21" w:rsidRPr="005A1357">
              <w:rPr>
                <w:rFonts w:asciiTheme="minorHAnsi" w:hAnsiTheme="minorHAnsi"/>
                <w:sz w:val="19"/>
                <w:szCs w:val="19"/>
                <w:lang w:val="en-US"/>
              </w:rPr>
              <w:t xml:space="preserve"> income tax filing requirements are generally the same as those for citizens and residents living in the United States. Taxed on worldwide income but may receive certain allowances and deductions.</w:t>
            </w:r>
          </w:p>
        </w:tc>
      </w:tr>
      <w:tr w:rsidR="00391C21" w:rsidRPr="008D3BC2" w14:paraId="25074BF1" w14:textId="77777777" w:rsidTr="004F7258">
        <w:tc>
          <w:tcPr>
            <w:cnfStyle w:val="001000000000" w:firstRow="0" w:lastRow="0" w:firstColumn="1" w:lastColumn="0" w:oddVBand="0" w:evenVBand="0" w:oddHBand="0" w:evenHBand="0" w:firstRowFirstColumn="0" w:firstRowLastColumn="0" w:lastRowFirstColumn="0" w:lastRowLastColumn="0"/>
            <w:tcW w:w="9852" w:type="dxa"/>
            <w:gridSpan w:val="3"/>
            <w:shd w:val="clear" w:color="auto" w:fill="E7E6E6" w:themeFill="background2"/>
          </w:tcPr>
          <w:p w14:paraId="11592C5B" w14:textId="77777777" w:rsidR="00391C21" w:rsidRPr="008D3BC2" w:rsidRDefault="00391C21" w:rsidP="0011668D">
            <w:pPr>
              <w:jc w:val="center"/>
              <w:rPr>
                <w:rFonts w:asciiTheme="minorHAnsi" w:hAnsiTheme="minorHAnsi"/>
                <w:i/>
                <w:color w:val="004A7F"/>
                <w:sz w:val="24"/>
                <w:szCs w:val="24"/>
                <w:lang w:val="en-US"/>
              </w:rPr>
            </w:pPr>
            <w:r w:rsidRPr="008D3BC2">
              <w:rPr>
                <w:rFonts w:asciiTheme="minorHAnsi" w:hAnsiTheme="minorHAnsi"/>
                <w:bCs w:val="0"/>
                <w:i/>
                <w:color w:val="004A7F"/>
                <w:sz w:val="24"/>
                <w:szCs w:val="24"/>
              </w:rPr>
              <w:t>Other CRS jurisdictions</w:t>
            </w:r>
          </w:p>
        </w:tc>
      </w:tr>
      <w:tr w:rsidR="00391C21" w:rsidRPr="008D3BC2" w14:paraId="73D9C712"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23F92ED3"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Andorra</w:t>
            </w:r>
          </w:p>
        </w:tc>
        <w:tc>
          <w:tcPr>
            <w:tcW w:w="2976" w:type="dxa"/>
          </w:tcPr>
          <w:p w14:paraId="29861910"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high reliance on time present (183 day test and supplementary ties based test)</w:t>
            </w:r>
          </w:p>
        </w:tc>
        <w:tc>
          <w:tcPr>
            <w:tcW w:w="4074" w:type="dxa"/>
          </w:tcPr>
          <w:p w14:paraId="187C4E6F" w14:textId="60A385DF"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Natural persons with Andorran nationality</w:t>
            </w:r>
            <w:r w:rsidR="00391C21" w:rsidRPr="00E741EB">
              <w:rPr>
                <w:rFonts w:asciiTheme="minorHAnsi" w:hAnsiTheme="minorHAnsi"/>
                <w:lang w:val="en-US"/>
              </w:rPr>
              <w:t xml:space="preserve">, along with their spouses not legally separated and children under 18 years whose usual residence is abroad due to their condition of members of diplomatic missions or representatives at international </w:t>
            </w:r>
            <w:proofErr w:type="spellStart"/>
            <w:r w:rsidR="00391C21" w:rsidRPr="00E741EB">
              <w:rPr>
                <w:rFonts w:asciiTheme="minorHAnsi" w:hAnsiTheme="minorHAnsi"/>
                <w:lang w:val="en-US"/>
              </w:rPr>
              <w:t>organisations</w:t>
            </w:r>
            <w:proofErr w:type="spellEnd"/>
            <w:r w:rsidR="00391C21" w:rsidRPr="00E741EB">
              <w:rPr>
                <w:rFonts w:asciiTheme="minorHAnsi" w:hAnsiTheme="minorHAnsi"/>
                <w:lang w:val="en-US"/>
              </w:rPr>
              <w:t xml:space="preserve"> are Andorran residents.</w:t>
            </w:r>
          </w:p>
        </w:tc>
      </w:tr>
      <w:tr w:rsidR="00391C21" w:rsidRPr="008D3BC2" w14:paraId="76AD977C"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04B6FA13"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Argentina</w:t>
            </w:r>
          </w:p>
        </w:tc>
        <w:tc>
          <w:tcPr>
            <w:tcW w:w="2976" w:type="dxa"/>
          </w:tcPr>
          <w:p w14:paraId="7AA45A07"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Citizenship and facts and circumstances – citizens, permanent residents and those with a sufficient ties</w:t>
            </w:r>
          </w:p>
        </w:tc>
        <w:tc>
          <w:tcPr>
            <w:tcW w:w="4074" w:type="dxa"/>
          </w:tcPr>
          <w:p w14:paraId="0E1EC86A" w14:textId="77777777" w:rsidR="00391C21" w:rsidRPr="00E741EB" w:rsidRDefault="00391C21" w:rsidP="00E741EB">
            <w:p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 xml:space="preserve">Individuals are resident: </w:t>
            </w:r>
          </w:p>
          <w:p w14:paraId="4DFB4660" w14:textId="7C53B0E6" w:rsidR="00391C21" w:rsidRPr="00E741EB" w:rsidRDefault="00391C21" w:rsidP="00E741EB">
            <w:pPr>
              <w:pStyle w:val="ListParagraph"/>
              <w:numPr>
                <w:ilvl w:val="0"/>
                <w:numId w:val="24"/>
              </w:numPr>
              <w:tabs>
                <w:tab w:val="left" w:pos="422"/>
              </w:tabs>
              <w:spacing w:after="100" w:afterAutospacing="1"/>
              <w:ind w:left="420" w:hanging="420"/>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 xml:space="preserve">Persons of visible existence who are abroad and act as </w:t>
            </w:r>
            <w:r w:rsidR="00E741EB" w:rsidRPr="00E741EB">
              <w:rPr>
                <w:rFonts w:asciiTheme="minorHAnsi" w:hAnsiTheme="minorHAnsi"/>
                <w:lang w:val="en-US"/>
              </w:rPr>
              <w:t>official representatives</w:t>
            </w:r>
            <w:r w:rsidRPr="00E741EB">
              <w:rPr>
                <w:rFonts w:asciiTheme="minorHAnsi" w:hAnsiTheme="minorHAnsi"/>
                <w:lang w:val="en-US"/>
              </w:rPr>
              <w:t xml:space="preserve"> within the National State or in the performance of the duties entrusted by the National State, the Provinces or Municipalities or the Autonomous City of Buenos Aires. </w:t>
            </w:r>
          </w:p>
          <w:p w14:paraId="3BC7AFBC" w14:textId="77777777" w:rsidR="00391C21" w:rsidRPr="00E741EB" w:rsidRDefault="00391C21" w:rsidP="00E741EB">
            <w:pPr>
              <w:pStyle w:val="ListParagraph"/>
              <w:numPr>
                <w:ilvl w:val="0"/>
                <w:numId w:val="24"/>
              </w:numPr>
              <w:tabs>
                <w:tab w:val="left" w:pos="422"/>
              </w:tabs>
              <w:spacing w:before="100" w:beforeAutospacing="1" w:after="100" w:afterAutospacing="1"/>
              <w:ind w:left="422" w:hanging="422"/>
              <w:jc w:val="left"/>
              <w:cnfStyle w:val="000000000000" w:firstRow="0" w:lastRow="0" w:firstColumn="0" w:lastColumn="0" w:oddVBand="0" w:evenVBand="0" w:oddHBand="0" w:evenHBand="0" w:firstRowFirstColumn="0" w:firstRowLastColumn="0" w:lastRowFirstColumn="0" w:lastRowLastColumn="0"/>
              <w:rPr>
                <w:lang w:val="en-US"/>
              </w:rPr>
            </w:pPr>
            <w:r w:rsidRPr="00E741EB">
              <w:rPr>
                <w:rFonts w:asciiTheme="minorHAnsi" w:hAnsiTheme="minorHAnsi"/>
                <w:lang w:val="en-US"/>
              </w:rPr>
              <w:t>Civil servants of Argentine nationality who perform their duties at international agencies of which the Argentine Republic is a member state.</w:t>
            </w:r>
          </w:p>
        </w:tc>
      </w:tr>
      <w:tr w:rsidR="00391C21" w:rsidRPr="008D3BC2" w14:paraId="48BBC706"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7C99683A"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Bulgaria</w:t>
            </w:r>
          </w:p>
        </w:tc>
        <w:tc>
          <w:tcPr>
            <w:tcW w:w="2976" w:type="dxa"/>
          </w:tcPr>
          <w:p w14:paraId="244086C3" w14:textId="31B64F2F"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time present (183 day test)</w:t>
            </w:r>
          </w:p>
        </w:tc>
        <w:tc>
          <w:tcPr>
            <w:tcW w:w="4074" w:type="dxa"/>
          </w:tcPr>
          <w:p w14:paraId="5A7EACE6" w14:textId="3A0879A5"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Individuals</w:t>
            </w:r>
            <w:r w:rsidR="00391C21" w:rsidRPr="00E741EB">
              <w:rPr>
                <w:rFonts w:asciiTheme="minorHAnsi" w:hAnsiTheme="minorHAnsi"/>
                <w:lang w:val="en-US"/>
              </w:rPr>
              <w:t xml:space="preserve"> who reside abroad on assignment of the Bulgarian State, its authorities and/or its organizations, or Bulgarian enterprise, and also the members of his/her family</w:t>
            </w:r>
          </w:p>
        </w:tc>
      </w:tr>
      <w:tr w:rsidR="00391C21" w:rsidRPr="008D3BC2" w14:paraId="35031ECB"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66CF185B"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France</w:t>
            </w:r>
          </w:p>
        </w:tc>
        <w:tc>
          <w:tcPr>
            <w:tcW w:w="2976" w:type="dxa"/>
          </w:tcPr>
          <w:p w14:paraId="31E63978"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‘Domicile’ test – facts and circumstances test with high reliance on ties</w:t>
            </w:r>
          </w:p>
        </w:tc>
        <w:tc>
          <w:tcPr>
            <w:tcW w:w="4074" w:type="dxa"/>
          </w:tcPr>
          <w:p w14:paraId="68378556" w14:textId="722F71ED"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State agents</w:t>
            </w:r>
            <w:r w:rsidR="00391C21" w:rsidRPr="00E741EB">
              <w:rPr>
                <w:rFonts w:asciiTheme="minorHAnsi" w:hAnsiTheme="minorHAnsi"/>
                <w:lang w:val="en-US"/>
              </w:rPr>
              <w:t xml:space="preserve"> carrying out their duties or on assignment in a country where they are not liable to income tax on all their income are deemed French tax residents.</w:t>
            </w:r>
          </w:p>
        </w:tc>
      </w:tr>
      <w:tr w:rsidR="00391C21" w:rsidRPr="008D3BC2" w14:paraId="2DB8DC21"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53C11076"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Germany</w:t>
            </w:r>
          </w:p>
        </w:tc>
        <w:tc>
          <w:tcPr>
            <w:tcW w:w="2976" w:type="dxa"/>
          </w:tcPr>
          <w:p w14:paraId="30A159FB" w14:textId="213279C6"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residential ties (also a 6</w:t>
            </w:r>
            <w:r w:rsidRPr="008D3BC2">
              <w:rPr>
                <w:rFonts w:asciiTheme="minorHAnsi" w:hAnsiTheme="minorHAnsi"/>
              </w:rPr>
              <w:noBreakHyphen/>
              <w:t>month prima facie rule)</w:t>
            </w:r>
            <w:bookmarkStart w:id="21" w:name="_GoBack"/>
            <w:bookmarkEnd w:id="21"/>
          </w:p>
        </w:tc>
        <w:tc>
          <w:tcPr>
            <w:tcW w:w="4074" w:type="dxa"/>
          </w:tcPr>
          <w:p w14:paraId="3905C73A" w14:textId="28767154"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Unlimited tax liability also applies to German nationals</w:t>
            </w:r>
            <w:r w:rsidR="00391C21" w:rsidRPr="00E741EB">
              <w:rPr>
                <w:rFonts w:asciiTheme="minorHAnsi" w:hAnsiTheme="minorHAnsi"/>
                <w:lang w:val="en-US"/>
              </w:rPr>
              <w:t xml:space="preserve"> whose residence or habitual abode is not in the Federal Republic of Germany but who work as public servants and are paid wages from German public funds and who, together with the family members belonging to their household, are subject only to limited income tax liability in the country where they have their residence or habitual abode (section 1 (2) of the Income Tax Act).</w:t>
            </w:r>
          </w:p>
        </w:tc>
      </w:tr>
      <w:tr w:rsidR="00391C21" w:rsidRPr="008D3BC2" w14:paraId="0211848D" w14:textId="77777777" w:rsidTr="005A1357">
        <w:trPr>
          <w:cantSplit/>
        </w:trPr>
        <w:tc>
          <w:tcPr>
            <w:cnfStyle w:val="001000000000" w:firstRow="0" w:lastRow="0" w:firstColumn="1" w:lastColumn="0" w:oddVBand="0" w:evenVBand="0" w:oddHBand="0" w:evenHBand="0" w:firstRowFirstColumn="0" w:firstRowLastColumn="0" w:lastRowFirstColumn="0" w:lastRowLastColumn="0"/>
            <w:tcW w:w="2802" w:type="dxa"/>
          </w:tcPr>
          <w:p w14:paraId="27E1B296"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Greece</w:t>
            </w:r>
          </w:p>
        </w:tc>
        <w:tc>
          <w:tcPr>
            <w:tcW w:w="2976" w:type="dxa"/>
          </w:tcPr>
          <w:p w14:paraId="188CDABE"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reliance on residential, social and economic ties (supplementary rule similar to Australian 183 day test)</w:t>
            </w:r>
          </w:p>
        </w:tc>
        <w:tc>
          <w:tcPr>
            <w:tcW w:w="4074" w:type="dxa"/>
          </w:tcPr>
          <w:p w14:paraId="6EB071FA" w14:textId="62E67988"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Consular</w:t>
            </w:r>
            <w:r w:rsidR="00391C21" w:rsidRPr="00E741EB">
              <w:rPr>
                <w:rFonts w:asciiTheme="minorHAnsi" w:hAnsiTheme="minorHAnsi"/>
                <w:lang w:val="en-US"/>
              </w:rPr>
              <w:t xml:space="preserve"> or diplomatic or public official of similar status or public servant having the Greek nationality and serving abroad are Greek tax residents.</w:t>
            </w:r>
          </w:p>
        </w:tc>
      </w:tr>
      <w:tr w:rsidR="00391C21" w:rsidRPr="008D3BC2" w14:paraId="2254FD9C" w14:textId="77777777" w:rsidTr="004F7258">
        <w:tc>
          <w:tcPr>
            <w:cnfStyle w:val="001000000000" w:firstRow="0" w:lastRow="0" w:firstColumn="1" w:lastColumn="0" w:oddVBand="0" w:evenVBand="0" w:oddHBand="0" w:evenHBand="0" w:firstRowFirstColumn="0" w:firstRowLastColumn="0" w:lastRowFirstColumn="0" w:lastRowLastColumn="0"/>
            <w:tcW w:w="2802" w:type="dxa"/>
          </w:tcPr>
          <w:p w14:paraId="7516CAF1" w14:textId="77777777" w:rsidR="00391C21" w:rsidRPr="008D3BC2" w:rsidRDefault="00391C21" w:rsidP="0011668D">
            <w:pPr>
              <w:jc w:val="left"/>
              <w:rPr>
                <w:rFonts w:asciiTheme="minorHAnsi" w:hAnsiTheme="minorHAnsi"/>
                <w:color w:val="004A7F"/>
                <w:sz w:val="24"/>
                <w:szCs w:val="24"/>
              </w:rPr>
            </w:pPr>
            <w:r w:rsidRPr="008D3BC2">
              <w:rPr>
                <w:rFonts w:asciiTheme="minorHAnsi" w:hAnsiTheme="minorHAnsi"/>
                <w:color w:val="004A7F"/>
                <w:sz w:val="24"/>
                <w:szCs w:val="24"/>
              </w:rPr>
              <w:t>South Korea</w:t>
            </w:r>
          </w:p>
        </w:tc>
        <w:tc>
          <w:tcPr>
            <w:tcW w:w="2976" w:type="dxa"/>
          </w:tcPr>
          <w:p w14:paraId="067488D3" w14:textId="77777777" w:rsidR="00391C21" w:rsidRPr="008D3BC2" w:rsidRDefault="00391C21"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D3BC2">
              <w:rPr>
                <w:rFonts w:asciiTheme="minorHAnsi" w:hAnsiTheme="minorHAnsi"/>
              </w:rPr>
              <w:t>Facts and circumstances – high reliance on holding an address and days present.</w:t>
            </w:r>
          </w:p>
        </w:tc>
        <w:tc>
          <w:tcPr>
            <w:tcW w:w="4074" w:type="dxa"/>
          </w:tcPr>
          <w:p w14:paraId="3FB1C811" w14:textId="3ED14454" w:rsidR="00391C21" w:rsidRPr="00E741EB" w:rsidRDefault="00E741EB" w:rsidP="0011668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E741EB">
              <w:rPr>
                <w:rFonts w:asciiTheme="minorHAnsi" w:hAnsiTheme="minorHAnsi"/>
                <w:lang w:val="en-US"/>
              </w:rPr>
              <w:t>Public officials or residents</w:t>
            </w:r>
            <w:r w:rsidR="00391C21" w:rsidRPr="00E741EB">
              <w:rPr>
                <w:rFonts w:asciiTheme="minorHAnsi" w:hAnsiTheme="minorHAnsi"/>
                <w:lang w:val="en-US"/>
              </w:rPr>
              <w:t xml:space="preserve"> working overseas, or executives or employees dispatched to places of business abroad of a domestic corporation or foreign subsidiaries (limited to cases where an investing domestic corporation has invested directly or indirectly 100/100 of the total issued equity stocks or equity investment shares), etc. shall be deemed as residents (Article 3 of Enforcement Decree of the Income Tax Act)</w:t>
            </w:r>
          </w:p>
        </w:tc>
      </w:tr>
    </w:tbl>
    <w:p w14:paraId="3191FD73" w14:textId="77777777" w:rsidR="002E6A83" w:rsidRPr="008D3BC2" w:rsidRDefault="002E6A83">
      <w:pPr>
        <w:spacing w:before="0" w:after="160" w:line="259" w:lineRule="auto"/>
      </w:pPr>
    </w:p>
    <w:p w14:paraId="48B4EBF6" w14:textId="77777777" w:rsidR="002E6A83" w:rsidRPr="008D3BC2" w:rsidRDefault="002E6A83">
      <w:pPr>
        <w:spacing w:before="0" w:after="160" w:line="259" w:lineRule="auto"/>
      </w:pPr>
      <w:r w:rsidRPr="008D3BC2">
        <w:br w:type="page"/>
      </w:r>
    </w:p>
    <w:p w14:paraId="5FCD0545" w14:textId="77777777" w:rsidR="002E6A83" w:rsidRPr="008D3BC2" w:rsidRDefault="002E6A83" w:rsidP="002E6A83">
      <w:pPr>
        <w:pStyle w:val="Heading1"/>
      </w:pPr>
      <w:bookmarkStart w:id="22" w:name="_Toc525312281"/>
      <w:r w:rsidRPr="008D3BC2">
        <w:t>Annexure D: About the Board of Taxation</w:t>
      </w:r>
      <w:bookmarkEnd w:id="22"/>
    </w:p>
    <w:p w14:paraId="57501E27" w14:textId="77777777" w:rsidR="002E6A83" w:rsidRPr="008D3BC2" w:rsidRDefault="002E6A83" w:rsidP="002E6A83">
      <w:pPr>
        <w:pStyle w:val="Introductionparagraph"/>
      </w:pPr>
      <w:r w:rsidRPr="008D3BC2">
        <w:t xml:space="preserve">The Board of Taxation is an independent advisory board, charged with contributing a business and broader community perspective to improving tax policy, legislative design and the administration of Australia’s tax system. </w:t>
      </w:r>
    </w:p>
    <w:p w14:paraId="37A1A233" w14:textId="77777777" w:rsidR="002E6A83" w:rsidRPr="008D3BC2" w:rsidRDefault="002E6A83" w:rsidP="002E6A83">
      <w:pPr>
        <w:pStyle w:val="ListParagraph"/>
        <w:spacing w:after="240"/>
        <w:ind w:left="0"/>
        <w:rPr>
          <w:sz w:val="24"/>
          <w:szCs w:val="24"/>
        </w:rPr>
      </w:pPr>
      <w:r w:rsidRPr="008D3BC2">
        <w:rPr>
          <w:sz w:val="24"/>
          <w:szCs w:val="24"/>
        </w:rPr>
        <w:t xml:space="preserve">The Board also comprises three ex-officio members, being the Secretary to the Treasury, the Commissioner of Tax, and the First Parliamentary Counsel.  </w:t>
      </w:r>
    </w:p>
    <w:p w14:paraId="4ED844CF" w14:textId="039DA1BC" w:rsidR="002E6A83" w:rsidRPr="008D3BC2" w:rsidRDefault="002E6A83" w:rsidP="002E6A83">
      <w:pPr>
        <w:pStyle w:val="ListParagraph"/>
        <w:spacing w:after="240"/>
        <w:ind w:left="0"/>
        <w:rPr>
          <w:sz w:val="24"/>
          <w:szCs w:val="24"/>
        </w:rPr>
      </w:pPr>
      <w:r w:rsidRPr="008D3BC2">
        <w:rPr>
          <w:sz w:val="24"/>
          <w:szCs w:val="24"/>
        </w:rPr>
        <w:t xml:space="preserve">The Board advises the Treasurer, </w:t>
      </w:r>
      <w:r w:rsidR="008C35F9">
        <w:rPr>
          <w:sz w:val="24"/>
          <w:szCs w:val="24"/>
        </w:rPr>
        <w:t xml:space="preserve">Treasury Portfolio Ministers </w:t>
      </w:r>
      <w:r w:rsidRPr="008D3BC2">
        <w:rPr>
          <w:sz w:val="24"/>
          <w:szCs w:val="24"/>
        </w:rPr>
        <w:t>and the Treasury. It consults widely to fulfil its role as the key interface between business and community stakeholders and the Government</w:t>
      </w:r>
      <w:r w:rsidR="00005DF1" w:rsidRPr="008D3BC2">
        <w:rPr>
          <w:sz w:val="24"/>
          <w:szCs w:val="24"/>
        </w:rPr>
        <w:t xml:space="preserve"> on tax policy</w:t>
      </w:r>
      <w:r w:rsidRPr="008D3BC2">
        <w:rPr>
          <w:sz w:val="24"/>
          <w:szCs w:val="24"/>
        </w:rPr>
        <w:t>.</w:t>
      </w:r>
    </w:p>
    <w:tbl>
      <w:tblPr>
        <w:tblStyle w:val="HeadingsAboveOnly"/>
        <w:tblW w:w="0" w:type="auto"/>
        <w:tblBorders>
          <w:top w:val="none" w:sz="0" w:space="0" w:color="auto"/>
          <w:left w:val="none" w:sz="0" w:space="0" w:color="auto"/>
          <w:bottom w:val="none" w:sz="0" w:space="0" w:color="auto"/>
          <w:right w:val="none" w:sz="0" w:space="0" w:color="auto"/>
        </w:tblBorders>
        <w:tblCellMar>
          <w:left w:w="28" w:type="dxa"/>
          <w:right w:w="28" w:type="dxa"/>
        </w:tblCellMar>
        <w:tblLook w:val="04A0" w:firstRow="1" w:lastRow="0" w:firstColumn="1" w:lastColumn="0" w:noHBand="0" w:noVBand="1"/>
      </w:tblPr>
      <w:tblGrid>
        <w:gridCol w:w="1715"/>
        <w:gridCol w:w="1804"/>
        <w:gridCol w:w="1683"/>
        <w:gridCol w:w="1388"/>
        <w:gridCol w:w="1552"/>
        <w:gridCol w:w="1552"/>
      </w:tblGrid>
      <w:tr w:rsidR="002E6A83" w:rsidRPr="008D3BC2" w14:paraId="5A2C9572" w14:textId="77777777" w:rsidTr="002E6A83">
        <w:trPr>
          <w:cnfStyle w:val="100000000000" w:firstRow="1" w:lastRow="0" w:firstColumn="0" w:lastColumn="0" w:oddVBand="0" w:evenVBand="0" w:oddHBand="0" w:evenHBand="0" w:firstRowFirstColumn="0" w:firstRowLastColumn="0" w:lastRowFirstColumn="0" w:lastRowLastColumn="0"/>
        </w:trPr>
        <w:tc>
          <w:tcPr>
            <w:tcW w:w="1642" w:type="dxa"/>
            <w:shd w:val="clear" w:color="auto" w:fill="auto"/>
          </w:tcPr>
          <w:p w14:paraId="59D4A193" w14:textId="77777777" w:rsidR="002E6A83" w:rsidRPr="008D3BC2" w:rsidRDefault="002E6A83" w:rsidP="002E6A83">
            <w:pPr>
              <w:spacing w:before="0" w:after="60"/>
              <w:jc w:val="center"/>
              <w:outlineLvl w:val="4"/>
              <w:rPr>
                <w:rFonts w:asciiTheme="majorHAnsi" w:hAnsiTheme="majorHAnsi"/>
                <w:b/>
                <w:bCs/>
                <w:iCs/>
                <w:color w:val="000080"/>
                <w:sz w:val="24"/>
                <w:szCs w:val="22"/>
              </w:rPr>
            </w:pPr>
            <w:r w:rsidRPr="008D3BC2">
              <w:rPr>
                <w:rFonts w:asciiTheme="majorHAnsi" w:hAnsiTheme="majorHAnsi"/>
                <w:b/>
                <w:bCs/>
                <w:iCs/>
                <w:color w:val="000080"/>
                <w:sz w:val="24"/>
                <w:szCs w:val="22"/>
              </w:rPr>
              <w:t>Chair</w:t>
            </w:r>
          </w:p>
        </w:tc>
        <w:tc>
          <w:tcPr>
            <w:tcW w:w="1642" w:type="dxa"/>
            <w:shd w:val="clear" w:color="auto" w:fill="auto"/>
          </w:tcPr>
          <w:p w14:paraId="4D475F37" w14:textId="77777777" w:rsidR="002E6A83" w:rsidRPr="008D3BC2" w:rsidRDefault="002E6A83" w:rsidP="002E6A83">
            <w:pPr>
              <w:spacing w:before="0" w:after="60"/>
              <w:jc w:val="center"/>
              <w:outlineLvl w:val="4"/>
              <w:rPr>
                <w:rFonts w:asciiTheme="majorHAnsi" w:hAnsiTheme="majorHAnsi"/>
                <w:b/>
                <w:bCs/>
                <w:iCs/>
                <w:color w:val="000080"/>
                <w:sz w:val="24"/>
                <w:szCs w:val="22"/>
              </w:rPr>
            </w:pPr>
            <w:r w:rsidRPr="008D3BC2">
              <w:rPr>
                <w:rFonts w:asciiTheme="majorHAnsi" w:hAnsiTheme="majorHAnsi"/>
                <w:b/>
                <w:bCs/>
                <w:iCs/>
                <w:color w:val="000080"/>
                <w:sz w:val="24"/>
                <w:szCs w:val="22"/>
              </w:rPr>
              <w:t>CEO</w:t>
            </w:r>
          </w:p>
        </w:tc>
        <w:tc>
          <w:tcPr>
            <w:tcW w:w="1642" w:type="dxa"/>
            <w:shd w:val="clear" w:color="auto" w:fill="auto"/>
          </w:tcPr>
          <w:p w14:paraId="461CA084" w14:textId="77777777" w:rsidR="002E6A83" w:rsidRPr="008D3BC2" w:rsidRDefault="002E6A83" w:rsidP="002E6A83">
            <w:pPr>
              <w:spacing w:before="0" w:after="60"/>
              <w:jc w:val="center"/>
              <w:outlineLvl w:val="4"/>
              <w:rPr>
                <w:rFonts w:asciiTheme="majorHAnsi" w:hAnsiTheme="majorHAnsi"/>
                <w:b/>
                <w:bCs/>
                <w:iCs/>
                <w:color w:val="000080"/>
                <w:sz w:val="24"/>
                <w:szCs w:val="22"/>
              </w:rPr>
            </w:pPr>
          </w:p>
        </w:tc>
        <w:tc>
          <w:tcPr>
            <w:tcW w:w="4928" w:type="dxa"/>
            <w:gridSpan w:val="3"/>
            <w:shd w:val="clear" w:color="auto" w:fill="auto"/>
          </w:tcPr>
          <w:p w14:paraId="5346B222" w14:textId="77777777" w:rsidR="002E6A83" w:rsidRPr="008D3BC2" w:rsidRDefault="002E6A83" w:rsidP="002E6A83">
            <w:pPr>
              <w:spacing w:before="0" w:after="60"/>
              <w:jc w:val="center"/>
              <w:outlineLvl w:val="4"/>
              <w:rPr>
                <w:rFonts w:asciiTheme="majorHAnsi" w:hAnsiTheme="majorHAnsi"/>
                <w:b/>
                <w:bCs/>
                <w:iCs/>
                <w:color w:val="000080"/>
                <w:sz w:val="24"/>
                <w:szCs w:val="22"/>
              </w:rPr>
            </w:pPr>
            <w:r w:rsidRPr="008D3BC2">
              <w:rPr>
                <w:rFonts w:asciiTheme="majorHAnsi" w:hAnsiTheme="majorHAnsi"/>
                <w:b/>
                <w:bCs/>
                <w:iCs/>
                <w:color w:val="000080"/>
                <w:sz w:val="24"/>
                <w:szCs w:val="22"/>
              </w:rPr>
              <w:t>Ex-officio members</w:t>
            </w:r>
          </w:p>
        </w:tc>
      </w:tr>
      <w:tr w:rsidR="002E6A83" w:rsidRPr="008D3BC2" w14:paraId="186A28B8" w14:textId="77777777" w:rsidTr="002E6A83">
        <w:trPr>
          <w:trHeight w:val="1693"/>
        </w:trPr>
        <w:tc>
          <w:tcPr>
            <w:tcW w:w="1642" w:type="dxa"/>
            <w:shd w:val="clear" w:color="auto" w:fill="auto"/>
          </w:tcPr>
          <w:p w14:paraId="7B6E211C" w14:textId="77777777" w:rsidR="002E6A83" w:rsidRPr="008D3BC2" w:rsidRDefault="002E6A83" w:rsidP="002E6A83">
            <w:pPr>
              <w:spacing w:before="0" w:after="60"/>
              <w:jc w:val="both"/>
              <w:rPr>
                <w:rFonts w:asciiTheme="majorHAnsi" w:hAnsiTheme="majorHAnsi"/>
                <w:szCs w:val="22"/>
              </w:rPr>
            </w:pPr>
            <w:r w:rsidRPr="008D3BC2">
              <w:rPr>
                <w:rFonts w:asciiTheme="majorHAnsi" w:hAnsiTheme="majorHAnsi"/>
                <w:noProof/>
                <w:szCs w:val="22"/>
              </w:rPr>
              <w:drawing>
                <wp:inline distT="0" distB="0" distL="0" distR="0" wp14:anchorId="3F54C24B" wp14:editId="31AE92BC">
                  <wp:extent cx="1053659" cy="1080000"/>
                  <wp:effectExtent l="0" t="0" r="0" b="6350"/>
                  <wp:docPr id="4" name="Picture 2" descr="\\FS2\Indiv$\ADF\Desktop\Black Economy Taskforce\Michael Andr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FS2\Indiv$\ADF\Desktop\Black Economy Taskforce\Michael Andrew Photo.jpg"/>
                          <pic:cNvPicPr preferRelativeResize="0">
                            <a:picLocks noChangeAspect="1"/>
                          </pic:cNvPicPr>
                        </pic:nvPicPr>
                        <pic:blipFill rotWithShape="1">
                          <a:blip r:embed="rId29" cstate="print">
                            <a:extLst>
                              <a:ext uri="{28A0092B-C50C-407E-A947-70E740481C1C}">
                                <a14:useLocalDpi xmlns:a14="http://schemas.microsoft.com/office/drawing/2010/main" val="0"/>
                              </a:ext>
                            </a:extLst>
                          </a:blip>
                          <a:srcRect l="6673" t="4678" r="5401" b="33431"/>
                          <a:stretch/>
                        </pic:blipFill>
                        <pic:spPr bwMode="auto">
                          <a:xfrm>
                            <a:off x="0" y="0"/>
                            <a:ext cx="1053659" cy="1080000"/>
                          </a:xfrm>
                          <a:prstGeom prst="rect">
                            <a:avLst/>
                          </a:prstGeom>
                          <a:noFill/>
                          <a:extLst/>
                        </pic:spPr>
                      </pic:pic>
                    </a:graphicData>
                  </a:graphic>
                </wp:inline>
              </w:drawing>
            </w:r>
          </w:p>
        </w:tc>
        <w:tc>
          <w:tcPr>
            <w:tcW w:w="1642" w:type="dxa"/>
            <w:shd w:val="clear" w:color="auto" w:fill="auto"/>
          </w:tcPr>
          <w:p w14:paraId="4AF92230" w14:textId="77777777" w:rsidR="002E6A83" w:rsidRPr="008D3BC2" w:rsidRDefault="002E6A83" w:rsidP="002E6A83">
            <w:pPr>
              <w:spacing w:before="0" w:after="60"/>
              <w:jc w:val="both"/>
              <w:rPr>
                <w:rFonts w:asciiTheme="majorHAnsi" w:hAnsiTheme="majorHAnsi"/>
                <w:szCs w:val="22"/>
              </w:rPr>
            </w:pPr>
            <w:r w:rsidRPr="008D3BC2">
              <w:rPr>
                <w:rFonts w:asciiTheme="majorHAnsi" w:hAnsiTheme="majorHAnsi"/>
                <w:noProof/>
                <w:szCs w:val="22"/>
              </w:rPr>
              <w:drawing>
                <wp:inline distT="0" distB="0" distL="0" distR="0" wp14:anchorId="114007D2" wp14:editId="6078CEBD">
                  <wp:extent cx="1032082" cy="1080000"/>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pic:cNvPicPr>
                            <a:picLocks noChangeAspect="1"/>
                          </pic:cNvPicPr>
                        </pic:nvPicPr>
                        <pic:blipFill rotWithShape="1">
                          <a:blip r:embed="rId30" cstate="screen">
                            <a:extLst>
                              <a:ext uri="{28A0092B-C50C-407E-A947-70E740481C1C}">
                                <a14:useLocalDpi xmlns:a14="http://schemas.microsoft.com/office/drawing/2010/main" val="0"/>
                              </a:ext>
                            </a:extLst>
                          </a:blip>
                          <a:srcRect t="9126"/>
                          <a:stretch/>
                        </pic:blipFill>
                        <pic:spPr bwMode="auto">
                          <a:xfrm>
                            <a:off x="0" y="0"/>
                            <a:ext cx="1032082" cy="1080000"/>
                          </a:xfrm>
                          <a:prstGeom prst="rect">
                            <a:avLst/>
                          </a:prstGeom>
                          <a:noFill/>
                          <a:ln>
                            <a:noFill/>
                          </a:ln>
                          <a:effectLst/>
                          <a:extLst/>
                        </pic:spPr>
                      </pic:pic>
                    </a:graphicData>
                  </a:graphic>
                </wp:inline>
              </w:drawing>
            </w:r>
          </w:p>
        </w:tc>
        <w:tc>
          <w:tcPr>
            <w:tcW w:w="1642" w:type="dxa"/>
            <w:shd w:val="clear" w:color="auto" w:fill="auto"/>
          </w:tcPr>
          <w:p w14:paraId="52A15E62" w14:textId="3EEE4347" w:rsidR="002E6A83" w:rsidRPr="008D3BC2" w:rsidRDefault="004A75D0" w:rsidP="002E6A83">
            <w:pPr>
              <w:spacing w:before="0" w:after="60"/>
              <w:jc w:val="both"/>
              <w:rPr>
                <w:rFonts w:asciiTheme="majorHAnsi" w:hAnsiTheme="majorHAnsi"/>
                <w:szCs w:val="22"/>
              </w:rPr>
            </w:pPr>
            <w:r>
              <w:rPr>
                <w:rFonts w:asciiTheme="majorHAnsi" w:hAnsiTheme="majorHAnsi"/>
                <w:noProof/>
                <w:szCs w:val="22"/>
              </w:rPr>
              <w:drawing>
                <wp:anchor distT="0" distB="0" distL="114300" distR="114300" simplePos="0" relativeHeight="251659264" behindDoc="0" locked="0" layoutInCell="1" allowOverlap="1" wp14:anchorId="041AC943" wp14:editId="7B7BE6B7">
                  <wp:simplePos x="0" y="0"/>
                  <wp:positionH relativeFrom="column">
                    <wp:posOffset>934720</wp:posOffset>
                  </wp:positionH>
                  <wp:positionV relativeFrom="paragraph">
                    <wp:posOffset>13335</wp:posOffset>
                  </wp:positionV>
                  <wp:extent cx="960120" cy="10591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0120" cy="1059180"/>
                          </a:xfrm>
                          <a:prstGeom prst="rect">
                            <a:avLst/>
                          </a:prstGeom>
                          <a:noFill/>
                        </pic:spPr>
                      </pic:pic>
                    </a:graphicData>
                  </a:graphic>
                  <wp14:sizeRelH relativeFrom="page">
                    <wp14:pctWidth>0</wp14:pctWidth>
                  </wp14:sizeRelH>
                  <wp14:sizeRelV relativeFrom="page">
                    <wp14:pctHeight>0</wp14:pctHeight>
                  </wp14:sizeRelV>
                </wp:anchor>
              </w:drawing>
            </w:r>
          </w:p>
        </w:tc>
        <w:tc>
          <w:tcPr>
            <w:tcW w:w="1642" w:type="dxa"/>
            <w:shd w:val="clear" w:color="auto" w:fill="auto"/>
          </w:tcPr>
          <w:p w14:paraId="13AEB25E" w14:textId="4DE40059" w:rsidR="002E6A83" w:rsidRPr="008D3BC2" w:rsidRDefault="002E6A83" w:rsidP="002E6A83">
            <w:pPr>
              <w:spacing w:before="0" w:after="60"/>
              <w:jc w:val="both"/>
              <w:rPr>
                <w:rFonts w:asciiTheme="majorHAnsi" w:hAnsiTheme="majorHAnsi"/>
                <w:szCs w:val="22"/>
              </w:rPr>
            </w:pPr>
          </w:p>
        </w:tc>
        <w:tc>
          <w:tcPr>
            <w:tcW w:w="1643" w:type="dxa"/>
            <w:shd w:val="clear" w:color="auto" w:fill="auto"/>
          </w:tcPr>
          <w:p w14:paraId="2FFD6EAE" w14:textId="77777777" w:rsidR="002E6A83" w:rsidRPr="008D3BC2" w:rsidRDefault="002E6A83" w:rsidP="002E6A83">
            <w:pPr>
              <w:spacing w:before="0" w:after="60"/>
              <w:jc w:val="both"/>
              <w:rPr>
                <w:rFonts w:asciiTheme="majorHAnsi" w:hAnsiTheme="majorHAnsi"/>
                <w:szCs w:val="22"/>
              </w:rPr>
            </w:pPr>
            <w:r w:rsidRPr="008D3BC2">
              <w:rPr>
                <w:rFonts w:asciiTheme="majorHAnsi" w:hAnsiTheme="majorHAnsi"/>
                <w:noProof/>
                <w:szCs w:val="22"/>
              </w:rPr>
              <w:drawing>
                <wp:inline distT="0" distB="0" distL="0" distR="0" wp14:anchorId="15A0257E" wp14:editId="3BCB1DC7">
                  <wp:extent cx="886804" cy="1080000"/>
                  <wp:effectExtent l="0" t="0" r="8890" b="6350"/>
                  <wp:docPr id="7" name="Picture 2" descr="Photo of Chris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2" descr="Photo of Chris Jordan"/>
                          <pic:cNvPicPr>
                            <a:picLocks/>
                          </pic:cNvPicPr>
                        </pic:nvPicPr>
                        <pic:blipFill rotWithShape="1">
                          <a:blip r:embed="rId32">
                            <a:extLst>
                              <a:ext uri="{28A0092B-C50C-407E-A947-70E740481C1C}">
                                <a14:useLocalDpi xmlns:a14="http://schemas.microsoft.com/office/drawing/2010/main" val="0"/>
                              </a:ext>
                            </a:extLst>
                          </a:blip>
                          <a:srcRect t="8694" r="6267"/>
                          <a:stretch/>
                        </pic:blipFill>
                        <pic:spPr bwMode="auto">
                          <a:xfrm>
                            <a:off x="0" y="0"/>
                            <a:ext cx="886804" cy="1080000"/>
                          </a:xfrm>
                          <a:prstGeom prst="rect">
                            <a:avLst/>
                          </a:prstGeom>
                          <a:noFill/>
                          <a:extLst/>
                        </pic:spPr>
                      </pic:pic>
                    </a:graphicData>
                  </a:graphic>
                </wp:inline>
              </w:drawing>
            </w:r>
          </w:p>
        </w:tc>
        <w:tc>
          <w:tcPr>
            <w:tcW w:w="1643" w:type="dxa"/>
            <w:shd w:val="clear" w:color="auto" w:fill="auto"/>
          </w:tcPr>
          <w:p w14:paraId="288BDB56" w14:textId="77777777" w:rsidR="002E6A83" w:rsidRPr="008D3BC2" w:rsidRDefault="002E6A83" w:rsidP="002E6A83">
            <w:pPr>
              <w:spacing w:before="0" w:after="60"/>
              <w:jc w:val="both"/>
              <w:rPr>
                <w:rFonts w:asciiTheme="majorHAnsi" w:hAnsiTheme="majorHAnsi"/>
                <w:szCs w:val="22"/>
              </w:rPr>
            </w:pPr>
            <w:r w:rsidRPr="008D3BC2">
              <w:rPr>
                <w:rFonts w:asciiTheme="majorHAnsi" w:hAnsiTheme="majorHAnsi"/>
                <w:noProof/>
                <w:szCs w:val="22"/>
              </w:rPr>
              <w:drawing>
                <wp:inline distT="0" distB="0" distL="0" distR="0" wp14:anchorId="7A422E4F" wp14:editId="57F796CA">
                  <wp:extent cx="763200" cy="1080000"/>
                  <wp:effectExtent l="0" t="0" r="0" b="6350"/>
                  <wp:docPr id="10" name="Picture 4" descr="Photo of Peter Quiggin P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6" name="Picture 4" descr="Photo of Peter Quiggin PSM"/>
                          <pic:cNvPicPr>
                            <a:picLocks/>
                          </pic:cNvPicPr>
                        </pic:nvPicPr>
                        <pic:blipFill rotWithShape="1">
                          <a:blip r:embed="rId33" cstate="screen">
                            <a:extLst>
                              <a:ext uri="{28A0092B-C50C-407E-A947-70E740481C1C}">
                                <a14:useLocalDpi xmlns:a14="http://schemas.microsoft.com/office/drawing/2010/main" val="0"/>
                              </a:ext>
                            </a:extLst>
                          </a:blip>
                          <a:srcRect l="7400" t="837" r="5095" b="1"/>
                          <a:stretch/>
                        </pic:blipFill>
                        <pic:spPr bwMode="auto">
                          <a:xfrm>
                            <a:off x="0" y="0"/>
                            <a:ext cx="763200" cy="1080000"/>
                          </a:xfrm>
                          <a:prstGeom prst="rect">
                            <a:avLst/>
                          </a:prstGeom>
                          <a:noFill/>
                          <a:extLst/>
                        </pic:spPr>
                      </pic:pic>
                    </a:graphicData>
                  </a:graphic>
                </wp:inline>
              </w:drawing>
            </w:r>
          </w:p>
        </w:tc>
      </w:tr>
      <w:tr w:rsidR="002E6A83" w:rsidRPr="008D3BC2" w14:paraId="7847E1B7" w14:textId="77777777" w:rsidTr="002E6A83">
        <w:tc>
          <w:tcPr>
            <w:tcW w:w="1642" w:type="dxa"/>
            <w:shd w:val="clear" w:color="auto" w:fill="auto"/>
          </w:tcPr>
          <w:p w14:paraId="3BA8D058"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Michael Andrew AO</w:t>
            </w:r>
          </w:p>
          <w:p w14:paraId="564D8DF8"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Former Global Chairman</w:t>
            </w:r>
          </w:p>
          <w:p w14:paraId="784C404D"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KP</w:t>
            </w:r>
            <w:r w:rsidR="00FA40E0" w:rsidRPr="008D3BC2">
              <w:rPr>
                <w:rFonts w:asciiTheme="majorHAnsi" w:hAnsiTheme="majorHAnsi"/>
                <w:sz w:val="18"/>
                <w:szCs w:val="22"/>
              </w:rPr>
              <w:t>M</w:t>
            </w:r>
            <w:r w:rsidRPr="008D3BC2">
              <w:rPr>
                <w:rFonts w:asciiTheme="majorHAnsi" w:hAnsiTheme="majorHAnsi"/>
                <w:sz w:val="18"/>
                <w:szCs w:val="22"/>
              </w:rPr>
              <w:t>G</w:t>
            </w:r>
          </w:p>
        </w:tc>
        <w:tc>
          <w:tcPr>
            <w:tcW w:w="1642" w:type="dxa"/>
            <w:shd w:val="clear" w:color="auto" w:fill="auto"/>
          </w:tcPr>
          <w:p w14:paraId="204BC8AE"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Karen Payne</w:t>
            </w:r>
          </w:p>
          <w:p w14:paraId="165E74AF"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Former Partner Minter Ellison</w:t>
            </w:r>
          </w:p>
        </w:tc>
        <w:tc>
          <w:tcPr>
            <w:tcW w:w="1642" w:type="dxa"/>
            <w:shd w:val="clear" w:color="auto" w:fill="auto"/>
          </w:tcPr>
          <w:p w14:paraId="40AF1D43" w14:textId="77777777" w:rsidR="002E6A83" w:rsidRPr="008D3BC2" w:rsidRDefault="002E6A83" w:rsidP="002E6A83">
            <w:pPr>
              <w:spacing w:before="0" w:after="0"/>
              <w:rPr>
                <w:rFonts w:asciiTheme="majorHAnsi" w:hAnsiTheme="majorHAnsi"/>
                <w:sz w:val="18"/>
                <w:szCs w:val="22"/>
              </w:rPr>
            </w:pPr>
          </w:p>
        </w:tc>
        <w:tc>
          <w:tcPr>
            <w:tcW w:w="1642" w:type="dxa"/>
            <w:shd w:val="clear" w:color="auto" w:fill="auto"/>
          </w:tcPr>
          <w:p w14:paraId="19027C51" w14:textId="77777777" w:rsidR="002E6A83" w:rsidRPr="008D3BC2" w:rsidRDefault="00FA40E0" w:rsidP="002E6A83">
            <w:pPr>
              <w:spacing w:before="0" w:after="0"/>
              <w:rPr>
                <w:rFonts w:asciiTheme="majorHAnsi" w:hAnsiTheme="majorHAnsi"/>
                <w:b/>
                <w:sz w:val="18"/>
                <w:szCs w:val="22"/>
              </w:rPr>
            </w:pPr>
            <w:r w:rsidRPr="008D3BC2">
              <w:rPr>
                <w:rFonts w:asciiTheme="majorHAnsi" w:hAnsiTheme="majorHAnsi"/>
                <w:b/>
                <w:sz w:val="18"/>
                <w:szCs w:val="22"/>
              </w:rPr>
              <w:t>Philip Gaetjens</w:t>
            </w:r>
          </w:p>
          <w:p w14:paraId="0F67F543"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Secretary</w:t>
            </w:r>
          </w:p>
          <w:p w14:paraId="2238C9E8"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The Treasury</w:t>
            </w:r>
          </w:p>
        </w:tc>
        <w:tc>
          <w:tcPr>
            <w:tcW w:w="1643" w:type="dxa"/>
            <w:shd w:val="clear" w:color="auto" w:fill="auto"/>
          </w:tcPr>
          <w:p w14:paraId="77A69674"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Chris Jordan AO</w:t>
            </w:r>
          </w:p>
          <w:p w14:paraId="4CE6E3CA"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Commissioner</w:t>
            </w:r>
          </w:p>
          <w:p w14:paraId="50BD9BC4"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ATO</w:t>
            </w:r>
          </w:p>
        </w:tc>
        <w:tc>
          <w:tcPr>
            <w:tcW w:w="1643" w:type="dxa"/>
            <w:shd w:val="clear" w:color="auto" w:fill="auto"/>
          </w:tcPr>
          <w:p w14:paraId="150D90D0"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Peter Quiggin</w:t>
            </w:r>
          </w:p>
          <w:p w14:paraId="44793089"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First Parliamentary Counsel</w:t>
            </w:r>
          </w:p>
        </w:tc>
      </w:tr>
      <w:tr w:rsidR="002E6A83" w:rsidRPr="008D3BC2" w14:paraId="04B4D7F3" w14:textId="77777777" w:rsidTr="002E6A83">
        <w:tc>
          <w:tcPr>
            <w:tcW w:w="1642" w:type="dxa"/>
            <w:shd w:val="clear" w:color="auto" w:fill="auto"/>
          </w:tcPr>
          <w:p w14:paraId="78AB2389"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5060BA98" wp14:editId="29E332AF">
                  <wp:extent cx="979200" cy="1080000"/>
                  <wp:effectExtent l="0" t="0" r="0" b="635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1"/>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a:xfrm>
                            <a:off x="0" y="0"/>
                            <a:ext cx="979200" cy="1080000"/>
                          </a:xfrm>
                          <a:prstGeom prst="rect">
                            <a:avLst/>
                          </a:prstGeom>
                        </pic:spPr>
                      </pic:pic>
                    </a:graphicData>
                  </a:graphic>
                </wp:inline>
              </w:drawing>
            </w:r>
          </w:p>
        </w:tc>
        <w:tc>
          <w:tcPr>
            <w:tcW w:w="1642" w:type="dxa"/>
            <w:shd w:val="clear" w:color="auto" w:fill="auto"/>
          </w:tcPr>
          <w:p w14:paraId="587F3AED"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0C1C38C5" wp14:editId="31BAA533">
                  <wp:extent cx="1110122" cy="1080000"/>
                  <wp:effectExtent l="0" t="0" r="0" b="6350"/>
                  <wp:docPr id="12" name="Picture 3" descr="C:\Users\buj\AppData\Local\Microsoft\Windows\Temporary Internet Files\Content.Outlook\3TWX1PPD\J Jaques 2 Fe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3" descr="C:\Users\buj\AppData\Local\Microsoft\Windows\Temporary Internet Files\Content.Outlook\3TWX1PPD\J Jaques 2 Feb 2017.jpg"/>
                          <pic:cNvPicPr>
                            <a:picLocks noChangeAspect="1"/>
                          </pic:cNvPicPr>
                        </pic:nvPicPr>
                        <pic:blipFill rotWithShape="1">
                          <a:blip r:embed="rId35" cstate="print">
                            <a:extLst>
                              <a:ext uri="{28A0092B-C50C-407E-A947-70E740481C1C}">
                                <a14:useLocalDpi xmlns:a14="http://schemas.microsoft.com/office/drawing/2010/main" val="0"/>
                              </a:ext>
                            </a:extLst>
                          </a:blip>
                          <a:srcRect l="4856" t="10919" r="5047" b="31580"/>
                          <a:stretch/>
                        </pic:blipFill>
                        <pic:spPr bwMode="auto">
                          <a:xfrm>
                            <a:off x="0" y="0"/>
                            <a:ext cx="1110122" cy="1080000"/>
                          </a:xfrm>
                          <a:prstGeom prst="rect">
                            <a:avLst/>
                          </a:prstGeom>
                          <a:noFill/>
                          <a:extLst/>
                        </pic:spPr>
                      </pic:pic>
                    </a:graphicData>
                  </a:graphic>
                </wp:inline>
              </w:drawing>
            </w:r>
          </w:p>
        </w:tc>
        <w:tc>
          <w:tcPr>
            <w:tcW w:w="1642" w:type="dxa"/>
            <w:shd w:val="clear" w:color="auto" w:fill="auto"/>
          </w:tcPr>
          <w:p w14:paraId="24046F30"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606061E1" wp14:editId="6C97D219">
                  <wp:extent cx="1033200" cy="1080000"/>
                  <wp:effectExtent l="0" t="0" r="0" b="6350"/>
                  <wp:docPr id="14" name="Picture 6" descr="http://www.cochlear.com/wps/wcm/connect/87499b23-d601-4283-a89a-b79d3ed480e0/corporate_seniorexecutives_nevillemitchell_338x225_33.3kb.jpg?MOD=AJPERES&amp;CACHEID=87499b23-d601-4283-a89a-b79d3ed480e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6" descr="http://www.cochlear.com/wps/wcm/connect/87499b23-d601-4283-a89a-b79d3ed480e0/corporate_seniorexecutives_nevillemitchell_338x225_33.3kb.jpg?MOD=AJPERES&amp;CACHEID=87499b23-d601-4283-a89a-b79d3ed480e0">
                            <a:hlinkClick r:id="rId36"/>
                          </pic:cNvPr>
                          <pic:cNvPicPr>
                            <a:picLocks noChangeAspect="1"/>
                          </pic:cNvPicPr>
                        </pic:nvPicPr>
                        <pic:blipFill rotWithShape="1">
                          <a:blip r:embed="rId37" cstate="screen">
                            <a:extLst>
                              <a:ext uri="{28A0092B-C50C-407E-A947-70E740481C1C}">
                                <a14:useLocalDpi xmlns:a14="http://schemas.microsoft.com/office/drawing/2010/main" val="0"/>
                              </a:ext>
                            </a:extLst>
                          </a:blip>
                          <a:srcRect l="17833" t="8727" r="12094" b="-1"/>
                          <a:stretch/>
                        </pic:blipFill>
                        <pic:spPr bwMode="auto">
                          <a:xfrm>
                            <a:off x="0" y="0"/>
                            <a:ext cx="1033200" cy="1080000"/>
                          </a:xfrm>
                          <a:prstGeom prst="rect">
                            <a:avLst/>
                          </a:prstGeom>
                          <a:noFill/>
                          <a:extLst/>
                        </pic:spPr>
                      </pic:pic>
                    </a:graphicData>
                  </a:graphic>
                </wp:inline>
              </w:drawing>
            </w:r>
          </w:p>
        </w:tc>
        <w:tc>
          <w:tcPr>
            <w:tcW w:w="1642" w:type="dxa"/>
            <w:shd w:val="clear" w:color="auto" w:fill="auto"/>
          </w:tcPr>
          <w:p w14:paraId="592A5D27"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1763EF5D" wp14:editId="6FE27403">
                  <wp:extent cx="795600" cy="1080000"/>
                  <wp:effectExtent l="0" t="0" r="5080" b="6350"/>
                  <wp:docPr id="16" name="Picture 12" descr="Photo of Craig Ya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12" descr="Photo of Craig Yaxley"/>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5600" cy="1080000"/>
                          </a:xfrm>
                          <a:prstGeom prst="rect">
                            <a:avLst/>
                          </a:prstGeom>
                          <a:noFill/>
                          <a:extLst/>
                        </pic:spPr>
                      </pic:pic>
                    </a:graphicData>
                  </a:graphic>
                </wp:inline>
              </w:drawing>
            </w:r>
          </w:p>
        </w:tc>
        <w:tc>
          <w:tcPr>
            <w:tcW w:w="1643" w:type="dxa"/>
            <w:shd w:val="clear" w:color="auto" w:fill="auto"/>
          </w:tcPr>
          <w:p w14:paraId="49447D68"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5D897DE4" wp14:editId="7EAF75C2">
                  <wp:extent cx="932400" cy="1080000"/>
                  <wp:effectExtent l="0" t="0" r="127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7"/>
                          <pic:cNvPicPr>
                            <a:picLocks noChangeAspect="1"/>
                          </pic:cNvPicPr>
                        </pic:nvPicPr>
                        <pic:blipFill rotWithShape="1">
                          <a:blip r:embed="rId39" cstate="screen">
                            <a:extLst>
                              <a:ext uri="{28A0092B-C50C-407E-A947-70E740481C1C}">
                                <a14:useLocalDpi xmlns:a14="http://schemas.microsoft.com/office/drawing/2010/main" val="0"/>
                              </a:ext>
                            </a:extLst>
                          </a:blip>
                          <a:srcRect b="-2934"/>
                          <a:stretch/>
                        </pic:blipFill>
                        <pic:spPr>
                          <a:xfrm>
                            <a:off x="0" y="0"/>
                            <a:ext cx="932400" cy="1080000"/>
                          </a:xfrm>
                          <a:prstGeom prst="rect">
                            <a:avLst/>
                          </a:prstGeom>
                        </pic:spPr>
                      </pic:pic>
                    </a:graphicData>
                  </a:graphic>
                </wp:inline>
              </w:drawing>
            </w:r>
          </w:p>
        </w:tc>
        <w:tc>
          <w:tcPr>
            <w:tcW w:w="1643" w:type="dxa"/>
            <w:shd w:val="clear" w:color="auto" w:fill="auto"/>
          </w:tcPr>
          <w:p w14:paraId="638BC942" w14:textId="77777777" w:rsidR="002E6A83" w:rsidRPr="008D3BC2" w:rsidRDefault="002E6A83" w:rsidP="002E6A83">
            <w:pPr>
              <w:spacing w:before="240" w:after="60"/>
              <w:jc w:val="both"/>
              <w:rPr>
                <w:rFonts w:asciiTheme="majorHAnsi" w:hAnsiTheme="majorHAnsi"/>
                <w:szCs w:val="22"/>
              </w:rPr>
            </w:pPr>
            <w:r w:rsidRPr="008D3BC2">
              <w:rPr>
                <w:rFonts w:asciiTheme="majorHAnsi" w:hAnsiTheme="majorHAnsi"/>
                <w:noProof/>
                <w:szCs w:val="22"/>
              </w:rPr>
              <w:drawing>
                <wp:inline distT="0" distB="0" distL="0" distR="0" wp14:anchorId="2C457CD4" wp14:editId="00D29355">
                  <wp:extent cx="928800" cy="1080000"/>
                  <wp:effectExtent l="0" t="0" r="5080" b="6350"/>
                  <wp:docPr id="2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7" name="Picture 2"/>
                          <pic:cNvPicPr>
                            <a:picLocks noChangeAspect="1"/>
                          </pic:cNvPicPr>
                        </pic:nvPicPr>
                        <pic:blipFill rotWithShape="1">
                          <a:blip r:embed="rId40" cstate="print">
                            <a:extLst>
                              <a:ext uri="{28A0092B-C50C-407E-A947-70E740481C1C}">
                                <a14:useLocalDpi xmlns:a14="http://schemas.microsoft.com/office/drawing/2010/main" val="0"/>
                              </a:ext>
                            </a:extLst>
                          </a:blip>
                          <a:srcRect t="13284" r="11759"/>
                          <a:stretch/>
                        </pic:blipFill>
                        <pic:spPr bwMode="auto">
                          <a:xfrm>
                            <a:off x="0" y="0"/>
                            <a:ext cx="928800" cy="1080000"/>
                          </a:xfrm>
                          <a:prstGeom prst="rect">
                            <a:avLst/>
                          </a:prstGeom>
                          <a:noFill/>
                          <a:ln>
                            <a:noFill/>
                          </a:ln>
                          <a:effectLst/>
                          <a:extLst/>
                        </pic:spPr>
                      </pic:pic>
                    </a:graphicData>
                  </a:graphic>
                </wp:inline>
              </w:drawing>
            </w:r>
          </w:p>
        </w:tc>
      </w:tr>
      <w:tr w:rsidR="002E6A83" w:rsidRPr="002E6A83" w14:paraId="36491F61" w14:textId="77777777" w:rsidTr="002E6A83">
        <w:tc>
          <w:tcPr>
            <w:tcW w:w="1642" w:type="dxa"/>
            <w:shd w:val="clear" w:color="auto" w:fill="auto"/>
          </w:tcPr>
          <w:p w14:paraId="28CD3921"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Mark Pizzacalla</w:t>
            </w:r>
          </w:p>
          <w:p w14:paraId="64157523"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 xml:space="preserve">Senior Partner </w:t>
            </w:r>
          </w:p>
          <w:p w14:paraId="263BAADD"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BDO</w:t>
            </w:r>
          </w:p>
        </w:tc>
        <w:tc>
          <w:tcPr>
            <w:tcW w:w="1642" w:type="dxa"/>
            <w:shd w:val="clear" w:color="auto" w:fill="auto"/>
          </w:tcPr>
          <w:p w14:paraId="5A16B062"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 xml:space="preserve">Julianne </w:t>
            </w:r>
            <w:proofErr w:type="spellStart"/>
            <w:r w:rsidRPr="008D3BC2">
              <w:rPr>
                <w:rFonts w:asciiTheme="majorHAnsi" w:hAnsiTheme="majorHAnsi"/>
                <w:b/>
                <w:sz w:val="18"/>
                <w:szCs w:val="22"/>
              </w:rPr>
              <w:t>Jaques</w:t>
            </w:r>
            <w:proofErr w:type="spellEnd"/>
          </w:p>
          <w:p w14:paraId="3379801C"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Barrister</w:t>
            </w:r>
          </w:p>
          <w:p w14:paraId="57348A36"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Victorian Bar</w:t>
            </w:r>
          </w:p>
        </w:tc>
        <w:tc>
          <w:tcPr>
            <w:tcW w:w="1642" w:type="dxa"/>
            <w:shd w:val="clear" w:color="auto" w:fill="auto"/>
          </w:tcPr>
          <w:p w14:paraId="15A723DE"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Neville Mitchell</w:t>
            </w:r>
          </w:p>
          <w:p w14:paraId="4817C4DA"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Director</w:t>
            </w:r>
          </w:p>
          <w:p w14:paraId="52E7CACB"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Sonic Healthcare,</w:t>
            </w:r>
          </w:p>
          <w:p w14:paraId="215BA14B" w14:textId="77777777" w:rsidR="002E6A83" w:rsidRPr="008D3BC2" w:rsidRDefault="002E6A83" w:rsidP="002E6A83">
            <w:pPr>
              <w:spacing w:before="0" w:after="0"/>
              <w:rPr>
                <w:rFonts w:asciiTheme="majorHAnsi" w:hAnsiTheme="majorHAnsi"/>
                <w:sz w:val="18"/>
                <w:szCs w:val="22"/>
              </w:rPr>
            </w:pPr>
            <w:proofErr w:type="spellStart"/>
            <w:r w:rsidRPr="008D3BC2">
              <w:rPr>
                <w:rFonts w:asciiTheme="majorHAnsi" w:hAnsiTheme="majorHAnsi"/>
                <w:sz w:val="18"/>
                <w:szCs w:val="22"/>
              </w:rPr>
              <w:t>Sirtex</w:t>
            </w:r>
            <w:proofErr w:type="spellEnd"/>
            <w:r w:rsidRPr="008D3BC2">
              <w:rPr>
                <w:rFonts w:asciiTheme="majorHAnsi" w:hAnsiTheme="majorHAnsi"/>
                <w:sz w:val="18"/>
                <w:szCs w:val="22"/>
              </w:rPr>
              <w:t xml:space="preserve"> Medical, </w:t>
            </w:r>
          </w:p>
          <w:p w14:paraId="53478207"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Osprey Medical</w:t>
            </w:r>
          </w:p>
        </w:tc>
        <w:tc>
          <w:tcPr>
            <w:tcW w:w="1642" w:type="dxa"/>
            <w:shd w:val="clear" w:color="auto" w:fill="auto"/>
          </w:tcPr>
          <w:p w14:paraId="795420D4"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Craig Yaxley</w:t>
            </w:r>
          </w:p>
          <w:p w14:paraId="2B7C6080" w14:textId="77777777" w:rsidR="002E6A83" w:rsidRPr="008D3BC2" w:rsidRDefault="00F679C7" w:rsidP="002E6A83">
            <w:pPr>
              <w:spacing w:before="0" w:after="0"/>
              <w:rPr>
                <w:rFonts w:asciiTheme="majorHAnsi" w:hAnsiTheme="majorHAnsi"/>
                <w:sz w:val="18"/>
                <w:szCs w:val="22"/>
              </w:rPr>
            </w:pPr>
            <w:r w:rsidRPr="008D3BC2">
              <w:rPr>
                <w:rFonts w:asciiTheme="majorHAnsi" w:hAnsiTheme="majorHAnsi"/>
                <w:sz w:val="18"/>
                <w:szCs w:val="22"/>
              </w:rPr>
              <w:t>Senior Partner</w:t>
            </w:r>
          </w:p>
          <w:p w14:paraId="5D8ECF29"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KPMG</w:t>
            </w:r>
          </w:p>
        </w:tc>
        <w:tc>
          <w:tcPr>
            <w:tcW w:w="1643" w:type="dxa"/>
            <w:shd w:val="clear" w:color="auto" w:fill="auto"/>
          </w:tcPr>
          <w:p w14:paraId="4AAE4EBB"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Ann-Maree Wolff</w:t>
            </w:r>
          </w:p>
          <w:p w14:paraId="1C0F38EC"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Head of tax</w:t>
            </w:r>
          </w:p>
          <w:p w14:paraId="0F07792C" w14:textId="77777777" w:rsidR="002E6A83" w:rsidRPr="008D3BC2" w:rsidRDefault="002E6A83" w:rsidP="002E6A83">
            <w:pPr>
              <w:spacing w:before="0" w:after="0"/>
              <w:rPr>
                <w:rFonts w:asciiTheme="majorHAnsi" w:hAnsiTheme="majorHAnsi"/>
                <w:sz w:val="18"/>
                <w:szCs w:val="22"/>
              </w:rPr>
            </w:pPr>
            <w:r w:rsidRPr="008D3BC2">
              <w:rPr>
                <w:rFonts w:asciiTheme="majorHAnsi" w:hAnsiTheme="majorHAnsi"/>
                <w:sz w:val="18"/>
                <w:szCs w:val="22"/>
              </w:rPr>
              <w:t>Rio Tinto</w:t>
            </w:r>
          </w:p>
        </w:tc>
        <w:tc>
          <w:tcPr>
            <w:tcW w:w="1643" w:type="dxa"/>
            <w:shd w:val="clear" w:color="auto" w:fill="auto"/>
          </w:tcPr>
          <w:p w14:paraId="2CC052BE" w14:textId="77777777" w:rsidR="002E6A83" w:rsidRPr="008D3BC2" w:rsidRDefault="002E6A83" w:rsidP="002E6A83">
            <w:pPr>
              <w:spacing w:before="0" w:after="0"/>
              <w:rPr>
                <w:rFonts w:asciiTheme="majorHAnsi" w:hAnsiTheme="majorHAnsi"/>
                <w:b/>
                <w:sz w:val="18"/>
                <w:szCs w:val="22"/>
              </w:rPr>
            </w:pPr>
            <w:r w:rsidRPr="008D3BC2">
              <w:rPr>
                <w:rFonts w:asciiTheme="majorHAnsi" w:hAnsiTheme="majorHAnsi"/>
                <w:b/>
                <w:sz w:val="18"/>
                <w:szCs w:val="22"/>
              </w:rPr>
              <w:t>Rosheen Garnon</w:t>
            </w:r>
          </w:p>
          <w:p w14:paraId="693320FB" w14:textId="77777777" w:rsidR="002E6A83" w:rsidRPr="008D3BC2" w:rsidRDefault="00FA40E0" w:rsidP="002E6A83">
            <w:pPr>
              <w:spacing w:before="0" w:after="0"/>
              <w:rPr>
                <w:rFonts w:asciiTheme="majorHAnsi" w:hAnsiTheme="majorHAnsi"/>
                <w:sz w:val="18"/>
                <w:szCs w:val="22"/>
              </w:rPr>
            </w:pPr>
            <w:r w:rsidRPr="008D3BC2">
              <w:rPr>
                <w:rFonts w:asciiTheme="majorHAnsi" w:hAnsiTheme="majorHAnsi"/>
                <w:sz w:val="18"/>
                <w:szCs w:val="22"/>
              </w:rPr>
              <w:t>Former National Managing Partner - Tax</w:t>
            </w:r>
          </w:p>
          <w:p w14:paraId="698534D8" w14:textId="77777777" w:rsidR="002E6A83" w:rsidRPr="002E6A83" w:rsidRDefault="00FA40E0" w:rsidP="002E6A83">
            <w:pPr>
              <w:spacing w:before="0" w:after="0"/>
              <w:rPr>
                <w:rFonts w:asciiTheme="majorHAnsi" w:hAnsiTheme="majorHAnsi"/>
                <w:sz w:val="18"/>
                <w:szCs w:val="22"/>
              </w:rPr>
            </w:pPr>
            <w:r w:rsidRPr="008D3BC2">
              <w:rPr>
                <w:rFonts w:asciiTheme="majorHAnsi" w:hAnsiTheme="majorHAnsi"/>
                <w:sz w:val="18"/>
                <w:szCs w:val="22"/>
              </w:rPr>
              <w:t>KPMG</w:t>
            </w:r>
          </w:p>
        </w:tc>
      </w:tr>
    </w:tbl>
    <w:p w14:paraId="2E45AF12" w14:textId="77777777" w:rsidR="002E6A83" w:rsidRPr="002E6A83" w:rsidRDefault="002E6A83" w:rsidP="002E6A83">
      <w:pPr>
        <w:spacing w:before="0" w:after="240" w:line="300" w:lineRule="exact"/>
        <w:jc w:val="both"/>
        <w:rPr>
          <w:szCs w:val="22"/>
        </w:rPr>
      </w:pPr>
    </w:p>
    <w:p w14:paraId="425A0F6B" w14:textId="77777777" w:rsidR="002E6A83" w:rsidRDefault="002E6A83">
      <w:pPr>
        <w:spacing w:before="0" w:after="160" w:line="259" w:lineRule="auto"/>
      </w:pPr>
    </w:p>
    <w:sectPr w:rsidR="002E6A83" w:rsidSect="009F0CB6">
      <w:headerReference w:type="even" r:id="rId41"/>
      <w:pgSz w:w="11906" w:h="16838" w:code="9"/>
      <w:pgMar w:top="2835" w:right="1134" w:bottom="1418"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99C7" w14:textId="77777777" w:rsidR="00A06D95" w:rsidRDefault="00A06D95">
      <w:pPr>
        <w:spacing w:before="0" w:after="0"/>
      </w:pPr>
      <w:r>
        <w:separator/>
      </w:r>
    </w:p>
  </w:endnote>
  <w:endnote w:type="continuationSeparator" w:id="0">
    <w:p w14:paraId="3D12734F" w14:textId="77777777" w:rsidR="00A06D95" w:rsidRDefault="00A06D95">
      <w:pPr>
        <w:spacing w:before="0" w:after="0"/>
      </w:pPr>
      <w:r>
        <w:continuationSeparator/>
      </w:r>
    </w:p>
  </w:endnote>
  <w:endnote w:type="continuationNotice" w:id="1">
    <w:p w14:paraId="7DB94DFF" w14:textId="77777777" w:rsidR="00A06D95" w:rsidRDefault="00A06D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Sitka Sma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3569" w14:textId="77777777" w:rsidR="00A06D95" w:rsidRDefault="00A06D95" w:rsidP="003C24B4">
    <w:pPr>
      <w:pStyle w:val="FooterEven"/>
    </w:pPr>
    <w:r>
      <w:rPr>
        <w:noProof w:val="0"/>
      </w:rPr>
      <w:fldChar w:fldCharType="begin"/>
    </w:r>
    <w:r>
      <w:instrText xml:space="preserve"> PAGE   \* MERGEFORMAT </w:instrText>
    </w:r>
    <w:r>
      <w:rPr>
        <w:noProof w:val="0"/>
      </w:rPr>
      <w:fldChar w:fldCharType="separate"/>
    </w:r>
    <w:r>
      <w:t>7</w:t>
    </w:r>
    <w:r>
      <w:fldChar w:fldCharType="end"/>
    </w:r>
    <w:r>
      <w:t xml:space="preserve"> </w:t>
    </w:r>
    <w:r w:rsidRPr="00043A4B">
      <w:rPr>
        <w:color w:val="7F7F7F" w:themeColor="text1" w:themeTint="80"/>
      </w:rPr>
      <w:t>Consultation Guide |</w:t>
    </w:r>
    <w:r w:rsidRPr="00043A4B">
      <w:t xml:space="preserve"> Review of Small Business Tax Concessions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52E1" w14:textId="77777777" w:rsidR="00A06D95" w:rsidRDefault="00A06D95" w:rsidP="002D340B">
    <w:pPr>
      <w:pStyle w:val="Footer"/>
    </w:pPr>
    <w:r w:rsidRPr="007929CA">
      <w:rPr>
        <w:noProof/>
        <w:color w:val="7F7F7F" w:themeColor="text1" w:themeTint="80"/>
      </w:rPr>
      <mc:AlternateContent>
        <mc:Choice Requires="wps">
          <w:drawing>
            <wp:anchor distT="0" distB="0" distL="114300" distR="114300" simplePos="0" relativeHeight="251659776" behindDoc="0" locked="0" layoutInCell="1" allowOverlap="1" wp14:anchorId="5A03025E" wp14:editId="407EBA19">
              <wp:simplePos x="0" y="0"/>
              <wp:positionH relativeFrom="column">
                <wp:posOffset>467995</wp:posOffset>
              </wp:positionH>
              <wp:positionV relativeFrom="paragraph">
                <wp:posOffset>252095</wp:posOffset>
              </wp:positionV>
              <wp:extent cx="4428000" cy="412200"/>
              <wp:effectExtent l="0" t="0" r="0" b="69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412200"/>
                      </a:xfrm>
                      <a:prstGeom prst="rect">
                        <a:avLst/>
                      </a:prstGeom>
                      <a:solidFill>
                        <a:srgbClr val="FFFFFF"/>
                      </a:solidFill>
                      <a:ln w="9525">
                        <a:noFill/>
                        <a:miter lim="800000"/>
                        <a:headEnd/>
                        <a:tailEnd/>
                      </a:ln>
                    </wps:spPr>
                    <wps:txbx>
                      <w:txbxContent>
                        <w:p w14:paraId="4032F50F" w14:textId="77777777" w:rsidR="00A06D95" w:rsidRPr="00A06C86" w:rsidRDefault="00A06D95" w:rsidP="002D340B">
                          <w:pPr>
                            <w:pStyle w:val="FooterEven"/>
                            <w:rPr>
                              <w:sz w:val="20"/>
                            </w:rPr>
                          </w:pPr>
                          <w:r w:rsidRPr="00A06C86">
                            <w:rPr>
                              <w:color w:val="7F7F7F" w:themeColor="text1" w:themeTint="80"/>
                              <w:sz w:val="20"/>
                            </w:rPr>
                            <w:t>Consultation Guide |</w:t>
                          </w:r>
                          <w:r w:rsidRPr="00A06C86">
                            <w:rPr>
                              <w:sz w:val="20"/>
                            </w:rPr>
                            <w:t xml:space="preserve"> Review of the Income Tax Residency Rules for Individuals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19.85pt;width:348.65pt;height:3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" stroked="f">
              <v:textbox>
                <w:txbxContent>
                  <w:p w14:paraId="4032F50F" w14:textId="77777777" w:rsidR="00A06D95" w:rsidRPr="00A06C86" w:rsidRDefault="00A06D95" w:rsidP="002D340B">
                    <w:pPr>
                      <w:pStyle w:val="FooterEven"/>
                      <w:rPr>
                        <w:sz w:val="20"/>
                      </w:rPr>
                    </w:pPr>
                    <w:r w:rsidRPr="00A06C86">
                      <w:rPr>
                        <w:color w:val="7F7F7F" w:themeColor="text1" w:themeTint="80"/>
                        <w:sz w:val="20"/>
                      </w:rPr>
                      <w:t>Consultation Guide |</w:t>
                    </w:r>
                    <w:r w:rsidRPr="00A06C86">
                      <w:rPr>
                        <w:sz w:val="20"/>
                      </w:rPr>
                      <w:t xml:space="preserve"> Review of the Income Tax Residency Rules for Individuals</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8B624C7" wp14:editId="5EADBC02">
              <wp:simplePos x="0" y="0"/>
              <wp:positionH relativeFrom="column">
                <wp:posOffset>0</wp:posOffset>
              </wp:positionH>
              <wp:positionV relativeFrom="paragraph">
                <wp:posOffset>252095</wp:posOffset>
              </wp:positionV>
              <wp:extent cx="431280" cy="431280"/>
              <wp:effectExtent l="0" t="0" r="698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 cy="431280"/>
                      </a:xfrm>
                      <a:prstGeom prst="rect">
                        <a:avLst/>
                      </a:prstGeom>
                      <a:solidFill>
                        <a:srgbClr val="002060"/>
                      </a:solidFill>
                      <a:ln w="9525">
                        <a:noFill/>
                        <a:miter lim="800000"/>
                        <a:headEnd/>
                        <a:tailEnd/>
                      </a:ln>
                    </wps:spPr>
                    <wps:txbx>
                      <w:txbxContent>
                        <w:p w14:paraId="7F9D7582" w14:textId="77777777" w:rsidR="00A06D95" w:rsidRPr="004B2B98" w:rsidRDefault="00A06D95"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Pr>
                              <w:noProof/>
                              <w:color w:val="FFFFFF" w:themeColor="background1"/>
                              <w:szCs w:val="22"/>
                            </w:rPr>
                            <w:t>2</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9.85pt;width:33.95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" fillcolor="#002060" stroked="f">
              <v:textbox>
                <w:txbxContent>
                  <w:p w14:paraId="7F9D7582" w14:textId="77777777" w:rsidR="00A06D95" w:rsidRPr="004B2B98" w:rsidRDefault="00A06D95" w:rsidP="002D340B">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Pr>
                        <w:noProof/>
                        <w:color w:val="FFFFFF" w:themeColor="background1"/>
                        <w:szCs w:val="22"/>
                      </w:rPr>
                      <w:t>2</w:t>
                    </w:r>
                    <w:r w:rsidRPr="004B2B98">
                      <w:rPr>
                        <w:noProof/>
                        <w:color w:val="FFFFFF" w:themeColor="background1"/>
                        <w:szCs w:val="22"/>
                      </w:rPr>
                      <w:fldChar w:fldCharType="end"/>
                    </w:r>
                  </w:p>
                </w:txbxContent>
              </v:textbox>
            </v:shape>
          </w:pict>
        </mc:Fallback>
      </mc:AlternateContent>
    </w:r>
    <w:r>
      <w:rPr>
        <w:noProof/>
      </w:rPr>
      <w:drawing>
        <wp:inline distT="0" distB="0" distL="0" distR="0" wp14:anchorId="4A129123" wp14:editId="4556C195">
          <wp:extent cx="6120130" cy="1327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27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1DE6" w14:textId="77777777" w:rsidR="00A06D95" w:rsidRDefault="00A06D95" w:rsidP="00043A4B">
    <w:pPr>
      <w:pStyle w:val="FooterOdd"/>
      <w:rPr>
        <w:color w:val="7F7F7F" w:themeColor="text1" w:themeTint="80"/>
      </w:rPr>
    </w:pPr>
    <w:r w:rsidRPr="007929CA">
      <w:rPr>
        <w:noProof/>
        <w:color w:val="7F7F7F" w:themeColor="text1" w:themeTint="80"/>
      </w:rPr>
      <mc:AlternateContent>
        <mc:Choice Requires="wps">
          <w:drawing>
            <wp:anchor distT="0" distB="0" distL="114300" distR="114300" simplePos="0" relativeHeight="251657728" behindDoc="0" locked="0" layoutInCell="1" allowOverlap="1" wp14:anchorId="2C4D511D" wp14:editId="2D2D932A">
              <wp:simplePos x="0" y="0"/>
              <wp:positionH relativeFrom="column">
                <wp:posOffset>1213485</wp:posOffset>
              </wp:positionH>
              <wp:positionV relativeFrom="paragraph">
                <wp:posOffset>275590</wp:posOffset>
              </wp:positionV>
              <wp:extent cx="4429125" cy="41211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2115"/>
                      </a:xfrm>
                      <a:prstGeom prst="rect">
                        <a:avLst/>
                      </a:prstGeom>
                      <a:solidFill>
                        <a:srgbClr val="FFFFFF"/>
                      </a:solidFill>
                      <a:ln w="9525">
                        <a:noFill/>
                        <a:miter lim="800000"/>
                        <a:headEnd/>
                        <a:tailEnd/>
                      </a:ln>
                    </wps:spPr>
                    <wps:txbx>
                      <w:txbxContent>
                        <w:p w14:paraId="0408A6E7" w14:textId="77777777" w:rsidR="00A06D95" w:rsidRPr="00A06C86" w:rsidRDefault="00A06D95" w:rsidP="007929CA">
                          <w:pPr>
                            <w:pStyle w:val="FooterOdd"/>
                            <w:rPr>
                              <w:sz w:val="20"/>
                            </w:rPr>
                          </w:pPr>
                          <w:r w:rsidRPr="00A06C86">
                            <w:rPr>
                              <w:color w:val="7F7F7F" w:themeColor="text1" w:themeTint="80"/>
                              <w:sz w:val="20"/>
                            </w:rPr>
                            <w:t>Consultation Guide |</w:t>
                          </w:r>
                          <w:r w:rsidRPr="00A06C86">
                            <w:rPr>
                              <w:sz w:val="20"/>
                            </w:rPr>
                            <w:t xml:space="preserve"> Review of the Income Tax Residency Rules for Individuals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5.55pt;margin-top:21.7pt;width:348.7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" stroked="f">
              <v:textbox>
                <w:txbxContent>
                  <w:p w14:paraId="0408A6E7" w14:textId="77777777" w:rsidR="00A06D95" w:rsidRPr="00A06C86" w:rsidRDefault="00A06D95" w:rsidP="007929CA">
                    <w:pPr>
                      <w:pStyle w:val="FooterOdd"/>
                      <w:rPr>
                        <w:sz w:val="20"/>
                      </w:rPr>
                    </w:pPr>
                    <w:r w:rsidRPr="00A06C86">
                      <w:rPr>
                        <w:color w:val="7F7F7F" w:themeColor="text1" w:themeTint="80"/>
                        <w:sz w:val="20"/>
                      </w:rPr>
                      <w:t>Consultation Guide |</w:t>
                    </w:r>
                    <w:r w:rsidRPr="00A06C86">
                      <w:rPr>
                        <w:sz w:val="20"/>
                      </w:rPr>
                      <w:t xml:space="preserve"> Review of the Income Tax Residency Rules for Individuals</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8736CA0" wp14:editId="0F1B2313">
              <wp:simplePos x="0" y="0"/>
              <wp:positionH relativeFrom="column">
                <wp:posOffset>5688965</wp:posOffset>
              </wp:positionH>
              <wp:positionV relativeFrom="paragraph">
                <wp:posOffset>252095</wp:posOffset>
              </wp:positionV>
              <wp:extent cx="431640" cy="431640"/>
              <wp:effectExtent l="0" t="0"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40" cy="431640"/>
                      </a:xfrm>
                      <a:prstGeom prst="rect">
                        <a:avLst/>
                      </a:prstGeom>
                      <a:solidFill>
                        <a:srgbClr val="002060"/>
                      </a:solidFill>
                      <a:ln w="9525">
                        <a:noFill/>
                        <a:miter lim="800000"/>
                        <a:headEnd/>
                        <a:tailEnd/>
                      </a:ln>
                    </wps:spPr>
                    <wps:txbx>
                      <w:txbxContent>
                        <w:p w14:paraId="69658EF4" w14:textId="77777777" w:rsidR="00A06D95" w:rsidRPr="004B2B98" w:rsidRDefault="00A06D95" w:rsidP="009A5F0D">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7D48CA">
                            <w:rPr>
                              <w:noProof/>
                              <w:color w:val="FFFFFF" w:themeColor="background1"/>
                              <w:szCs w:val="22"/>
                            </w:rPr>
                            <w:t>37</w:t>
                          </w:r>
                          <w:r w:rsidRPr="004B2B98">
                            <w:rPr>
                              <w:noProof/>
                              <w:color w:val="FFFFFF" w:themeColor="background1"/>
                              <w:szCs w:val="2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47.95pt;margin-top:19.85pt;width:34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" fillcolor="#002060" stroked="f">
              <v:textbox>
                <w:txbxContent>
                  <w:p w14:paraId="69658EF4" w14:textId="77777777" w:rsidR="00A06D95" w:rsidRPr="004B2B98" w:rsidRDefault="00A06D95" w:rsidP="009A5F0D">
                    <w:pPr>
                      <w:jc w:val="center"/>
                      <w:rPr>
                        <w:color w:val="FFFFFF" w:themeColor="background1"/>
                        <w:szCs w:val="22"/>
                      </w:rPr>
                    </w:pPr>
                    <w:r w:rsidRPr="004B2B98">
                      <w:rPr>
                        <w:color w:val="FFFFFF" w:themeColor="background1"/>
                        <w:szCs w:val="22"/>
                      </w:rPr>
                      <w:fldChar w:fldCharType="begin"/>
                    </w:r>
                    <w:r w:rsidRPr="004B2B98">
                      <w:rPr>
                        <w:color w:val="FFFFFF" w:themeColor="background1"/>
                        <w:szCs w:val="22"/>
                      </w:rPr>
                      <w:instrText xml:space="preserve"> PAGE   \* MERGEFORMAT </w:instrText>
                    </w:r>
                    <w:r w:rsidRPr="004B2B98">
                      <w:rPr>
                        <w:color w:val="FFFFFF" w:themeColor="background1"/>
                        <w:szCs w:val="22"/>
                      </w:rPr>
                      <w:fldChar w:fldCharType="separate"/>
                    </w:r>
                    <w:r w:rsidR="007D48CA">
                      <w:rPr>
                        <w:noProof/>
                        <w:color w:val="FFFFFF" w:themeColor="background1"/>
                        <w:szCs w:val="22"/>
                      </w:rPr>
                      <w:t>37</w:t>
                    </w:r>
                    <w:r w:rsidRPr="004B2B98">
                      <w:rPr>
                        <w:noProof/>
                        <w:color w:val="FFFFFF" w:themeColor="background1"/>
                        <w:szCs w:val="22"/>
                      </w:rPr>
                      <w:fldChar w:fldCharType="end"/>
                    </w:r>
                  </w:p>
                </w:txbxContent>
              </v:textbox>
            </v:shape>
          </w:pict>
        </mc:Fallback>
      </mc:AlternateContent>
    </w:r>
    <w:r>
      <w:rPr>
        <w:noProof/>
        <w:color w:val="000000" w:themeColor="text1"/>
      </w:rPr>
      <w:drawing>
        <wp:anchor distT="0" distB="0" distL="114300" distR="114300" simplePos="0" relativeHeight="251655680" behindDoc="1" locked="0" layoutInCell="1" allowOverlap="1" wp14:anchorId="1F1D476D" wp14:editId="4149EAED">
          <wp:simplePos x="0" y="0"/>
          <wp:positionH relativeFrom="column">
            <wp:posOffset>3810</wp:posOffset>
          </wp:positionH>
          <wp:positionV relativeFrom="paragraph">
            <wp:posOffset>34925</wp:posOffset>
          </wp:positionV>
          <wp:extent cx="6119640" cy="13284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s th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640" cy="132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623A" w14:textId="77777777" w:rsidR="00A06D95" w:rsidRDefault="00A0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F837" w14:textId="77777777" w:rsidR="00A06D95" w:rsidRDefault="00A06D95">
      <w:pPr>
        <w:spacing w:before="0" w:after="0"/>
      </w:pPr>
      <w:r>
        <w:separator/>
      </w:r>
    </w:p>
  </w:footnote>
  <w:footnote w:type="continuationSeparator" w:id="0">
    <w:p w14:paraId="1D21481A" w14:textId="77777777" w:rsidR="00A06D95" w:rsidRDefault="00A06D95">
      <w:pPr>
        <w:spacing w:before="0" w:after="0"/>
      </w:pPr>
      <w:r>
        <w:continuationSeparator/>
      </w:r>
    </w:p>
  </w:footnote>
  <w:footnote w:type="continuationNotice" w:id="1">
    <w:p w14:paraId="125E34E6" w14:textId="77777777" w:rsidR="00A06D95" w:rsidRDefault="00A06D95">
      <w:pPr>
        <w:spacing w:before="0" w:after="0"/>
      </w:pPr>
    </w:p>
  </w:footnote>
  <w:footnote w:id="2">
    <w:p w14:paraId="67E1C5D0" w14:textId="77777777" w:rsidR="00A06D95" w:rsidRDefault="00A06D95" w:rsidP="0071103C">
      <w:pPr>
        <w:pStyle w:val="FootnoteText"/>
      </w:pPr>
      <w:r>
        <w:rPr>
          <w:rStyle w:val="FootnoteReference"/>
        </w:rPr>
        <w:footnoteRef/>
      </w:r>
      <w:r>
        <w:t xml:space="preserve"> For more information, see the OPC Drafting Direction No. 1.8 page 12 regarding ‘theme statements’.</w:t>
      </w:r>
    </w:p>
  </w:footnote>
  <w:footnote w:id="3">
    <w:p w14:paraId="41401CD9" w14:textId="333E2D8D" w:rsidR="00A06D95" w:rsidRDefault="00A06D95">
      <w:pPr>
        <w:pStyle w:val="FootnoteText"/>
      </w:pPr>
      <w:r>
        <w:rPr>
          <w:rStyle w:val="FootnoteReference"/>
        </w:rPr>
        <w:footnoteRef/>
      </w:r>
      <w:r>
        <w:t xml:space="preserve"> This table has been prepared based on publicly available information and OECD Common Reporting Standard submissions by relevant jurisdictions.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74955"/>
      <w:docPartObj>
        <w:docPartGallery w:val="Watermarks"/>
        <w:docPartUnique/>
      </w:docPartObj>
    </w:sdtPr>
    <w:sdtEndPr/>
    <w:sdtContent>
      <w:p w14:paraId="493228CE" w14:textId="77777777" w:rsidR="00A06D95" w:rsidRPr="00515D96" w:rsidRDefault="007D48CA" w:rsidP="00515D96">
        <w:pPr>
          <w:pStyle w:val="Header"/>
        </w:pPr>
        <w:r>
          <w:rPr>
            <w:noProof/>
            <w:lang w:val="en-US" w:eastAsia="zh-TW"/>
          </w:rPr>
          <w:pict w14:anchorId="363A7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alt="" style="position:absolute;left:0;text-align:left;margin-left:0;margin-top:0;width:412.4pt;height:247.4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3318" w14:textId="6E3B056A" w:rsidR="00A06D95" w:rsidRPr="009F0CB6" w:rsidRDefault="00A06D95" w:rsidP="009F0CB6">
    <w:pPr>
      <w:pStyle w:val="SecurityClassificationHeader"/>
    </w:pPr>
    <w:r>
      <w:fldChar w:fldCharType="begin"/>
    </w:r>
    <w:r>
      <w:instrText xml:space="preserve"> DOCPROPERTY WorkingDocStatus \* MERGEFORMAT </w:instrText>
    </w:r>
    <w:r>
      <w:fldChar w:fldCharType="end"/>
    </w:r>
  </w:p>
  <w:p w14:paraId="3E0DCEB3" w14:textId="77777777" w:rsidR="00A06D95" w:rsidRPr="001F3912" w:rsidRDefault="00A06D95" w:rsidP="00B37C6C">
    <w:r>
      <w:rPr>
        <w:noProof/>
      </w:rPr>
      <w:drawing>
        <wp:anchor distT="0" distB="0" distL="114300" distR="114300" simplePos="0" relativeHeight="251653632" behindDoc="1" locked="0" layoutInCell="1" allowOverlap="1" wp14:anchorId="7CEB2539" wp14:editId="63FFFF5B">
          <wp:simplePos x="723900" y="523875"/>
          <wp:positionH relativeFrom="page">
            <wp:align>center</wp:align>
          </wp:positionH>
          <wp:positionV relativeFrom="page">
            <wp:align>top</wp:align>
          </wp:positionV>
          <wp:extent cx="7560360" cy="181224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8327" w14:textId="77777777" w:rsidR="00A06D95" w:rsidRPr="009F0CB6" w:rsidRDefault="00A06D95" w:rsidP="009F0CB6">
    <w:pPr>
      <w:pStyle w:val="SecurityClassificationHeader"/>
    </w:pPr>
    <w:r>
      <w:rPr>
        <w:noProof/>
      </w:rPr>
      <w:drawing>
        <wp:anchor distT="0" distB="0" distL="114300" distR="114300" simplePos="0" relativeHeight="251660800" behindDoc="1" locked="0" layoutInCell="1" allowOverlap="1" wp14:anchorId="6EF42571" wp14:editId="274D42A9">
          <wp:simplePos x="0" y="0"/>
          <wp:positionH relativeFrom="page">
            <wp:posOffset>-8890</wp:posOffset>
          </wp:positionH>
          <wp:positionV relativeFrom="page">
            <wp:posOffset>15240</wp:posOffset>
          </wp:positionV>
          <wp:extent cx="7560310" cy="18116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81165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DOCPROPERTY WorkingDocStatus \* MERGEFORMAT </w:instrText>
    </w:r>
    <w:r>
      <w:fldChar w:fldCharType="end"/>
    </w:r>
  </w:p>
  <w:p w14:paraId="7F7C6B9F" w14:textId="77777777" w:rsidR="00A06D95" w:rsidRPr="009F0CB6" w:rsidRDefault="00A06D95" w:rsidP="009F0C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AB14" w14:textId="77777777" w:rsidR="00A06D95" w:rsidRPr="009F0CB6" w:rsidRDefault="00A06D95" w:rsidP="009F0C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C5F8" w14:textId="77777777" w:rsidR="00A06D95" w:rsidRPr="001F3912" w:rsidRDefault="00A06D95" w:rsidP="00B37C6C">
    <w:r>
      <w:rPr>
        <w:noProof/>
      </w:rPr>
      <w:drawing>
        <wp:anchor distT="0" distB="0" distL="114300" distR="114300" simplePos="0" relativeHeight="251656704" behindDoc="1" locked="0" layoutInCell="1" allowOverlap="1" wp14:anchorId="4BC66721" wp14:editId="156F3F72">
          <wp:simplePos x="723900" y="523875"/>
          <wp:positionH relativeFrom="page">
            <wp:align>center</wp:align>
          </wp:positionH>
          <wp:positionV relativeFrom="page">
            <wp:align>top</wp:align>
          </wp:positionV>
          <wp:extent cx="7560360" cy="181224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812240"/>
                  </a:xfrm>
                  <a:prstGeom prst="rect">
                    <a:avLst/>
                  </a:prstGeom>
                </pic:spPr>
              </pic:pic>
            </a:graphicData>
          </a:graphic>
          <wp14:sizeRelH relativeFrom="margin">
            <wp14:pctWidth>0</wp14:pctWidth>
          </wp14:sizeRelH>
          <wp14:sizeRelV relativeFrom="margin">
            <wp14:pctHeight>0</wp14:pctHeight>
          </wp14:sizeRelV>
        </wp:anchor>
      </w:drawing>
    </w:r>
    <w:r w:rsidRPr="001F391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9E1"/>
    <w:multiLevelType w:val="hybridMultilevel"/>
    <w:tmpl w:val="8D7C3CA4"/>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3607A"/>
    <w:multiLevelType w:val="hybridMultilevel"/>
    <w:tmpl w:val="05B2E9B2"/>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D293A"/>
    <w:multiLevelType w:val="multilevel"/>
    <w:tmpl w:val="94E80572"/>
    <w:lvl w:ilvl="0">
      <w:start w:val="1"/>
      <w:numFmt w:val="decimal"/>
      <w:lvlText w:val="%1."/>
      <w:lvlJc w:val="left"/>
      <w:pPr>
        <w:tabs>
          <w:tab w:val="num" w:pos="520"/>
        </w:tabs>
        <w:ind w:left="520" w:hanging="520"/>
      </w:pPr>
    </w:lvl>
    <w:lvl w:ilvl="1">
      <w:start w:val="1"/>
      <w:numFmt w:val="lowerLetter"/>
      <w:lvlText w:val="%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A40B59"/>
    <w:multiLevelType w:val="hybridMultilevel"/>
    <w:tmpl w:val="39722D30"/>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85AAE"/>
    <w:multiLevelType w:val="hybridMultilevel"/>
    <w:tmpl w:val="166A30B6"/>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CC4E5D"/>
    <w:multiLevelType w:val="multilevel"/>
    <w:tmpl w:val="D10E9CF6"/>
    <w:numStyleLink w:val="OneLevelList"/>
  </w:abstractNum>
  <w:abstractNum w:abstractNumId="8">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642893"/>
    <w:multiLevelType w:val="hybridMultilevel"/>
    <w:tmpl w:val="903A71BE"/>
    <w:lvl w:ilvl="0" w:tplc="0C090019">
      <w:start w:val="1"/>
      <w:numFmt w:val="lowerLetter"/>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0">
    <w:nsid w:val="1D143588"/>
    <w:multiLevelType w:val="hybridMultilevel"/>
    <w:tmpl w:val="9CB664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7604FF7"/>
    <w:multiLevelType w:val="hybridMultilevel"/>
    <w:tmpl w:val="8D7C3CA4"/>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08C2710"/>
    <w:multiLevelType w:val="multilevel"/>
    <w:tmpl w:val="0D723674"/>
    <w:styleLink w:val="BulletedList"/>
    <w:lvl w:ilvl="0">
      <w:start w:val="1"/>
      <w:numFmt w:val="bullet"/>
      <w:lvlRestart w:val="0"/>
      <w:pStyle w:val="Bullet"/>
      <w:lvlText w:val="•"/>
      <w:lvlJc w:val="left"/>
      <w:pPr>
        <w:tabs>
          <w:tab w:val="num" w:pos="2839"/>
        </w:tabs>
        <w:ind w:left="2839" w:hanging="283"/>
      </w:pPr>
      <w:rPr>
        <w:rFonts w:ascii="Times New Roman" w:hAnsi="Times New Roman" w:cs="Times New Roman" w:hint="default"/>
        <w:b w:val="0"/>
        <w:i w:val="0"/>
      </w:rPr>
    </w:lvl>
    <w:lvl w:ilvl="1">
      <w:start w:val="1"/>
      <w:numFmt w:val="bullet"/>
      <w:pStyle w:val="Dash"/>
      <w:lvlText w:val="–"/>
      <w:lvlJc w:val="left"/>
      <w:pPr>
        <w:tabs>
          <w:tab w:val="num" w:pos="3123"/>
        </w:tabs>
        <w:ind w:left="3123" w:hanging="284"/>
      </w:pPr>
      <w:rPr>
        <w:rFonts w:ascii="Times New Roman" w:hAnsi="Times New Roman" w:cs="Times New Roman" w:hint="default"/>
        <w:b w:val="0"/>
        <w:i w:val="0"/>
      </w:rPr>
    </w:lvl>
    <w:lvl w:ilvl="2">
      <w:start w:val="1"/>
      <w:numFmt w:val="bullet"/>
      <w:pStyle w:val="DoubleDot"/>
      <w:lvlText w:val=":"/>
      <w:lvlJc w:val="left"/>
      <w:pPr>
        <w:tabs>
          <w:tab w:val="num" w:pos="3406"/>
        </w:tabs>
        <w:ind w:left="3406" w:hanging="283"/>
      </w:pPr>
      <w:rPr>
        <w:rFonts w:ascii="Times New Roman" w:hAnsi="Times New Roman" w:cs="Times New Roman" w:hint="default"/>
        <w:b w:val="0"/>
        <w:i w:val="0"/>
      </w:rPr>
    </w:lvl>
    <w:lvl w:ilvl="3">
      <w:start w:val="1"/>
      <w:numFmt w:val="decimal"/>
      <w:lvlText w:val="(%4)"/>
      <w:lvlJc w:val="left"/>
      <w:pPr>
        <w:tabs>
          <w:tab w:val="num" w:pos="3996"/>
        </w:tabs>
        <w:ind w:left="3996" w:hanging="360"/>
      </w:pPr>
      <w:rPr>
        <w:rFonts w:hint="default"/>
        <w:b w:val="0"/>
        <w:i w:val="0"/>
      </w:rPr>
    </w:lvl>
    <w:lvl w:ilvl="4">
      <w:start w:val="1"/>
      <w:numFmt w:val="lowerLetter"/>
      <w:lvlText w:val="(%5)"/>
      <w:lvlJc w:val="left"/>
      <w:pPr>
        <w:tabs>
          <w:tab w:val="num" w:pos="4356"/>
        </w:tabs>
        <w:ind w:left="4356" w:hanging="360"/>
      </w:pPr>
      <w:rPr>
        <w:rFonts w:hint="default"/>
        <w:b w:val="0"/>
        <w:i w:val="0"/>
      </w:rPr>
    </w:lvl>
    <w:lvl w:ilvl="5">
      <w:start w:val="1"/>
      <w:numFmt w:val="lowerRoman"/>
      <w:lvlText w:val="(%6)"/>
      <w:lvlJc w:val="left"/>
      <w:pPr>
        <w:tabs>
          <w:tab w:val="num" w:pos="4716"/>
        </w:tabs>
        <w:ind w:left="4716" w:hanging="360"/>
      </w:pPr>
      <w:rPr>
        <w:rFonts w:hint="default"/>
        <w:b w:val="0"/>
        <w:i w:val="0"/>
      </w:rPr>
    </w:lvl>
    <w:lvl w:ilvl="6">
      <w:start w:val="1"/>
      <w:numFmt w:val="decimal"/>
      <w:lvlText w:val="%7."/>
      <w:lvlJc w:val="left"/>
      <w:pPr>
        <w:tabs>
          <w:tab w:val="num" w:pos="5076"/>
        </w:tabs>
        <w:ind w:left="5076" w:hanging="360"/>
      </w:pPr>
      <w:rPr>
        <w:rFonts w:hint="default"/>
        <w:b w:val="0"/>
        <w:i w:val="0"/>
      </w:rPr>
    </w:lvl>
    <w:lvl w:ilvl="7">
      <w:start w:val="1"/>
      <w:numFmt w:val="lowerLetter"/>
      <w:lvlText w:val="%8."/>
      <w:lvlJc w:val="left"/>
      <w:pPr>
        <w:tabs>
          <w:tab w:val="num" w:pos="5436"/>
        </w:tabs>
        <w:ind w:left="5436" w:hanging="360"/>
      </w:pPr>
      <w:rPr>
        <w:rFonts w:hint="default"/>
        <w:b w:val="0"/>
        <w:i w:val="0"/>
      </w:rPr>
    </w:lvl>
    <w:lvl w:ilvl="8">
      <w:start w:val="1"/>
      <w:numFmt w:val="lowerRoman"/>
      <w:lvlText w:val="%9."/>
      <w:lvlJc w:val="left"/>
      <w:pPr>
        <w:tabs>
          <w:tab w:val="num" w:pos="5796"/>
        </w:tabs>
        <w:ind w:left="5796" w:hanging="360"/>
      </w:pPr>
      <w:rPr>
        <w:rFonts w:hint="default"/>
        <w:b w:val="0"/>
        <w:i w:val="0"/>
      </w:rPr>
    </w:lvl>
  </w:abstractNum>
  <w:abstractNum w:abstractNumId="14">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1C2AE9"/>
    <w:multiLevelType w:val="hybridMultilevel"/>
    <w:tmpl w:val="A530C38A"/>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A34859"/>
    <w:multiLevelType w:val="hybridMultilevel"/>
    <w:tmpl w:val="A1968AB0"/>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D22BD"/>
    <w:multiLevelType w:val="hybridMultilevel"/>
    <w:tmpl w:val="CCCAE3F0"/>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3D7E87"/>
    <w:multiLevelType w:val="hybridMultilevel"/>
    <w:tmpl w:val="903A71BE"/>
    <w:lvl w:ilvl="0" w:tplc="0C090019">
      <w:start w:val="1"/>
      <w:numFmt w:val="lowerLetter"/>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20">
    <w:nsid w:val="48CB554A"/>
    <w:multiLevelType w:val="hybridMultilevel"/>
    <w:tmpl w:val="8D7C3CA4"/>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D568AC"/>
    <w:multiLevelType w:val="hybridMultilevel"/>
    <w:tmpl w:val="A6C8DFE4"/>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0D2021"/>
    <w:multiLevelType w:val="multilevel"/>
    <w:tmpl w:val="72F8140E"/>
    <w:numStyleLink w:val="OutlineList"/>
  </w:abstractNum>
  <w:abstractNum w:abstractNumId="23">
    <w:nsid w:val="54CB379D"/>
    <w:multiLevelType w:val="hybridMultilevel"/>
    <w:tmpl w:val="D55EF1D2"/>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B782E"/>
    <w:multiLevelType w:val="hybridMultilevel"/>
    <w:tmpl w:val="8CD8CC60"/>
    <w:lvl w:ilvl="0" w:tplc="B1EC514A">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25">
    <w:nsid w:val="5D0833ED"/>
    <w:multiLevelType w:val="hybridMultilevel"/>
    <w:tmpl w:val="9C969252"/>
    <w:lvl w:ilvl="0" w:tplc="B1EC514A">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FEC2962"/>
    <w:multiLevelType w:val="hybridMultilevel"/>
    <w:tmpl w:val="EB862A80"/>
    <w:lvl w:ilvl="0" w:tplc="9552F286">
      <w:start w:val="1"/>
      <w:numFmt w:val="decimal"/>
      <w:lvlText w:val="%1"/>
      <w:lvlJc w:val="center"/>
      <w:pPr>
        <w:ind w:left="360" w:hanging="360"/>
      </w:pPr>
      <w:rPr>
        <w:rFonts w:hint="default"/>
        <w:color w:val="002060"/>
        <w:position w:val="-6"/>
        <w:sz w:val="64"/>
        <w:szCs w:val="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0AC69A4"/>
    <w:multiLevelType w:val="multilevel"/>
    <w:tmpl w:val="EF7856BE"/>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8">
    <w:nsid w:val="65704155"/>
    <w:multiLevelType w:val="hybridMultilevel"/>
    <w:tmpl w:val="FBCC87E8"/>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904206"/>
    <w:multiLevelType w:val="hybridMultilevel"/>
    <w:tmpl w:val="61662006"/>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006CE4"/>
    <w:multiLevelType w:val="multilevel"/>
    <w:tmpl w:val="4AE46AAE"/>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780B98"/>
    <w:multiLevelType w:val="multilevel"/>
    <w:tmpl w:val="69BA62C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1C7DB6"/>
    <w:multiLevelType w:val="hybridMultilevel"/>
    <w:tmpl w:val="E7F8C074"/>
    <w:lvl w:ilvl="0" w:tplc="B1EC514A">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nsid w:val="70B47FC9"/>
    <w:multiLevelType w:val="hybridMultilevel"/>
    <w:tmpl w:val="3E301968"/>
    <w:lvl w:ilvl="0" w:tplc="B1EC5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B7525F"/>
    <w:multiLevelType w:val="hybridMultilevel"/>
    <w:tmpl w:val="39722D30"/>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540FC3"/>
    <w:multiLevelType w:val="multilevel"/>
    <w:tmpl w:val="C8E82A50"/>
    <w:lvl w:ilvl="0">
      <w:start w:val="1"/>
      <w:numFmt w:val="lowerLetter"/>
      <w:lvlText w:val="%1."/>
      <w:lvlJc w:val="left"/>
      <w:pPr>
        <w:tabs>
          <w:tab w:val="num" w:pos="1040"/>
        </w:tabs>
        <w:ind w:left="1040" w:hanging="520"/>
      </w:pPr>
    </w:lvl>
    <w:lvl w:ilvl="1">
      <w:start w:val="1"/>
      <w:numFmt w:val="decimal"/>
      <w:lvlText w:val="%1.%2."/>
      <w:lvlJc w:val="left"/>
      <w:pPr>
        <w:tabs>
          <w:tab w:val="num" w:pos="1560"/>
        </w:tabs>
        <w:ind w:left="1560" w:hanging="520"/>
      </w:pPr>
    </w:lvl>
    <w:lvl w:ilvl="2">
      <w:start w:val="1"/>
      <w:numFmt w:val="decimal"/>
      <w:lvlText w:val="%1.%2.%3."/>
      <w:lvlJc w:val="left"/>
      <w:pPr>
        <w:tabs>
          <w:tab w:val="num" w:pos="2080"/>
        </w:tabs>
        <w:ind w:left="208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36">
    <w:nsid w:val="78FD6370"/>
    <w:multiLevelType w:val="multilevel"/>
    <w:tmpl w:val="03CE6AB6"/>
    <w:lvl w:ilvl="0">
      <w:start w:val="1"/>
      <w:numFmt w:val="decimal"/>
      <w:lvlText w:val="%1."/>
      <w:lvlJc w:val="left"/>
      <w:pPr>
        <w:tabs>
          <w:tab w:val="num" w:pos="520"/>
        </w:tabs>
        <w:ind w:left="520" w:hanging="520"/>
      </w:pPr>
    </w:lvl>
    <w:lvl w:ilvl="1">
      <w:start w:val="1"/>
      <w:numFmt w:val="lowerLetter"/>
      <w:lvlText w:val="%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121B90"/>
    <w:multiLevelType w:val="hybridMultilevel"/>
    <w:tmpl w:val="D584A028"/>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6"/>
  </w:num>
  <w:num w:numId="5">
    <w:abstractNumId w:val="7"/>
  </w:num>
  <w:num w:numId="6">
    <w:abstractNumId w:val="22"/>
  </w:num>
  <w:num w:numId="7">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12"/>
  </w:num>
  <w:num w:numId="10">
    <w:abstractNumId w:val="14"/>
  </w:num>
  <w:num w:numId="11">
    <w:abstractNumId w:val="26"/>
  </w:num>
  <w:num w:numId="12">
    <w:abstractNumId w:val="30"/>
  </w:num>
  <w:num w:numId="13">
    <w:abstractNumId w:val="32"/>
  </w:num>
  <w:num w:numId="14">
    <w:abstractNumId w:val="4"/>
  </w:num>
  <w:num w:numId="15">
    <w:abstractNumId w:val="5"/>
  </w:num>
  <w:num w:numId="16">
    <w:abstractNumId w:val="17"/>
  </w:num>
  <w:num w:numId="17">
    <w:abstractNumId w:val="25"/>
  </w:num>
  <w:num w:numId="18">
    <w:abstractNumId w:val="28"/>
  </w:num>
  <w:num w:numId="19">
    <w:abstractNumId w:val="24"/>
  </w:num>
  <w:num w:numId="20">
    <w:abstractNumId w:val="1"/>
  </w:num>
  <w:num w:numId="21">
    <w:abstractNumId w:val="21"/>
  </w:num>
  <w:num w:numId="22">
    <w:abstractNumId w:val="16"/>
  </w:num>
  <w:num w:numId="23">
    <w:abstractNumId w:val="33"/>
  </w:num>
  <w:num w:numId="24">
    <w:abstractNumId w:val="29"/>
  </w:num>
  <w:num w:numId="25">
    <w:abstractNumId w:val="18"/>
  </w:num>
  <w:num w:numId="26">
    <w:abstractNumId w:val="2"/>
  </w:num>
  <w:num w:numId="27">
    <w:abstractNumId w:val="19"/>
  </w:num>
  <w:num w:numId="28">
    <w:abstractNumId w:val="9"/>
  </w:num>
  <w:num w:numId="29">
    <w:abstractNumId w:val="37"/>
  </w:num>
  <w:num w:numId="30">
    <w:abstractNumId w:val="11"/>
  </w:num>
  <w:num w:numId="31">
    <w:abstractNumId w:val="0"/>
  </w:num>
  <w:num w:numId="32">
    <w:abstractNumId w:val="22"/>
  </w:num>
  <w:num w:numId="33">
    <w:abstractNumId w:val="20"/>
  </w:num>
  <w:num w:numId="34">
    <w:abstractNumId w:val="23"/>
  </w:num>
  <w:num w:numId="35">
    <w:abstractNumId w:val="34"/>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10"/>
  </w:num>
  <w:num w:numId="46">
    <w:abstractNumId w:val="36"/>
  </w:num>
  <w:num w:numId="47">
    <w:abstractNumId w:val="35"/>
  </w:num>
  <w:num w:numId="48">
    <w:abstractNumId w:val="2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een Garnon">
    <w15:presenceInfo w15:providerId="Windows Live" w15:userId="92032c8207882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Formatting/>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3D11E7"/>
    <w:rsid w:val="00005DF1"/>
    <w:rsid w:val="00011725"/>
    <w:rsid w:val="00012C62"/>
    <w:rsid w:val="00013FF0"/>
    <w:rsid w:val="00014940"/>
    <w:rsid w:val="00015AFF"/>
    <w:rsid w:val="00020170"/>
    <w:rsid w:val="00024523"/>
    <w:rsid w:val="0002544D"/>
    <w:rsid w:val="00026D25"/>
    <w:rsid w:val="0003190B"/>
    <w:rsid w:val="0003388A"/>
    <w:rsid w:val="000371FA"/>
    <w:rsid w:val="00041F22"/>
    <w:rsid w:val="0004274D"/>
    <w:rsid w:val="00042FD8"/>
    <w:rsid w:val="00043348"/>
    <w:rsid w:val="00043A4B"/>
    <w:rsid w:val="0004483F"/>
    <w:rsid w:val="00046C42"/>
    <w:rsid w:val="0005138B"/>
    <w:rsid w:val="000522B7"/>
    <w:rsid w:val="00056307"/>
    <w:rsid w:val="00056880"/>
    <w:rsid w:val="00056B68"/>
    <w:rsid w:val="00060720"/>
    <w:rsid w:val="00062334"/>
    <w:rsid w:val="000675D1"/>
    <w:rsid w:val="00073521"/>
    <w:rsid w:val="00073650"/>
    <w:rsid w:val="000753D2"/>
    <w:rsid w:val="000775DE"/>
    <w:rsid w:val="00081CC1"/>
    <w:rsid w:val="00082082"/>
    <w:rsid w:val="00085BA0"/>
    <w:rsid w:val="00087A8B"/>
    <w:rsid w:val="00087FAF"/>
    <w:rsid w:val="00090265"/>
    <w:rsid w:val="00090A79"/>
    <w:rsid w:val="00092238"/>
    <w:rsid w:val="00095F49"/>
    <w:rsid w:val="000963E4"/>
    <w:rsid w:val="000A58DA"/>
    <w:rsid w:val="000B1A58"/>
    <w:rsid w:val="000C1844"/>
    <w:rsid w:val="000C3381"/>
    <w:rsid w:val="000C571D"/>
    <w:rsid w:val="000C5F40"/>
    <w:rsid w:val="000C69F0"/>
    <w:rsid w:val="000D03AD"/>
    <w:rsid w:val="000D564A"/>
    <w:rsid w:val="000D5C39"/>
    <w:rsid w:val="000E0229"/>
    <w:rsid w:val="000E0B74"/>
    <w:rsid w:val="000E7901"/>
    <w:rsid w:val="000F1B34"/>
    <w:rsid w:val="000F676A"/>
    <w:rsid w:val="0010478B"/>
    <w:rsid w:val="00106ACE"/>
    <w:rsid w:val="0011668D"/>
    <w:rsid w:val="001207A8"/>
    <w:rsid w:val="00120C87"/>
    <w:rsid w:val="00125D50"/>
    <w:rsid w:val="00131DC3"/>
    <w:rsid w:val="00135E4C"/>
    <w:rsid w:val="001373F5"/>
    <w:rsid w:val="00140822"/>
    <w:rsid w:val="00146F60"/>
    <w:rsid w:val="00147049"/>
    <w:rsid w:val="00152363"/>
    <w:rsid w:val="00154D0F"/>
    <w:rsid w:val="00156956"/>
    <w:rsid w:val="00157F77"/>
    <w:rsid w:val="001606CF"/>
    <w:rsid w:val="0016128D"/>
    <w:rsid w:val="001644C1"/>
    <w:rsid w:val="00164526"/>
    <w:rsid w:val="00165117"/>
    <w:rsid w:val="0016777E"/>
    <w:rsid w:val="00167D37"/>
    <w:rsid w:val="0017089D"/>
    <w:rsid w:val="00171690"/>
    <w:rsid w:val="00176154"/>
    <w:rsid w:val="001852CD"/>
    <w:rsid w:val="00187557"/>
    <w:rsid w:val="001903C3"/>
    <w:rsid w:val="00190710"/>
    <w:rsid w:val="0019101A"/>
    <w:rsid w:val="00192B67"/>
    <w:rsid w:val="00196141"/>
    <w:rsid w:val="001972D2"/>
    <w:rsid w:val="001974B6"/>
    <w:rsid w:val="001A061C"/>
    <w:rsid w:val="001A0CB7"/>
    <w:rsid w:val="001A3D44"/>
    <w:rsid w:val="001A5402"/>
    <w:rsid w:val="001A5CCC"/>
    <w:rsid w:val="001A78CB"/>
    <w:rsid w:val="001B3623"/>
    <w:rsid w:val="001B4DCE"/>
    <w:rsid w:val="001C2A3B"/>
    <w:rsid w:val="001C2CCE"/>
    <w:rsid w:val="001C358D"/>
    <w:rsid w:val="001C490F"/>
    <w:rsid w:val="001C6987"/>
    <w:rsid w:val="001D71AE"/>
    <w:rsid w:val="001E1198"/>
    <w:rsid w:val="001E2522"/>
    <w:rsid w:val="001E27C2"/>
    <w:rsid w:val="001E7049"/>
    <w:rsid w:val="001E779F"/>
    <w:rsid w:val="001F1B27"/>
    <w:rsid w:val="001F589A"/>
    <w:rsid w:val="00203F5F"/>
    <w:rsid w:val="002046C0"/>
    <w:rsid w:val="00206613"/>
    <w:rsid w:val="00206756"/>
    <w:rsid w:val="002217E0"/>
    <w:rsid w:val="00221EC0"/>
    <w:rsid w:val="00224F7B"/>
    <w:rsid w:val="00231049"/>
    <w:rsid w:val="002314D2"/>
    <w:rsid w:val="0023305C"/>
    <w:rsid w:val="00233CE8"/>
    <w:rsid w:val="00236AD3"/>
    <w:rsid w:val="00236DC1"/>
    <w:rsid w:val="0024122D"/>
    <w:rsid w:val="00241881"/>
    <w:rsid w:val="0024294C"/>
    <w:rsid w:val="00246639"/>
    <w:rsid w:val="00254B85"/>
    <w:rsid w:val="00254D20"/>
    <w:rsid w:val="0025652F"/>
    <w:rsid w:val="00261DB4"/>
    <w:rsid w:val="00263B6C"/>
    <w:rsid w:val="002651E8"/>
    <w:rsid w:val="00265506"/>
    <w:rsid w:val="00266E8F"/>
    <w:rsid w:val="00270EDF"/>
    <w:rsid w:val="00272939"/>
    <w:rsid w:val="002757FA"/>
    <w:rsid w:val="0027590B"/>
    <w:rsid w:val="00276354"/>
    <w:rsid w:val="00283A7F"/>
    <w:rsid w:val="00285969"/>
    <w:rsid w:val="00285C5A"/>
    <w:rsid w:val="00286212"/>
    <w:rsid w:val="00290C1A"/>
    <w:rsid w:val="0029556D"/>
    <w:rsid w:val="0029610C"/>
    <w:rsid w:val="00296283"/>
    <w:rsid w:val="002A0367"/>
    <w:rsid w:val="002A2683"/>
    <w:rsid w:val="002A74EF"/>
    <w:rsid w:val="002B315C"/>
    <w:rsid w:val="002B3829"/>
    <w:rsid w:val="002B7BB7"/>
    <w:rsid w:val="002C060B"/>
    <w:rsid w:val="002C22EF"/>
    <w:rsid w:val="002C251F"/>
    <w:rsid w:val="002C72B7"/>
    <w:rsid w:val="002D340B"/>
    <w:rsid w:val="002D37B2"/>
    <w:rsid w:val="002D547C"/>
    <w:rsid w:val="002D6B65"/>
    <w:rsid w:val="002D6C73"/>
    <w:rsid w:val="002E454C"/>
    <w:rsid w:val="002E5CAE"/>
    <w:rsid w:val="002E6A83"/>
    <w:rsid w:val="002E72A6"/>
    <w:rsid w:val="002E7475"/>
    <w:rsid w:val="002F617F"/>
    <w:rsid w:val="00300109"/>
    <w:rsid w:val="00305FBC"/>
    <w:rsid w:val="0030644E"/>
    <w:rsid w:val="00306894"/>
    <w:rsid w:val="00306CF6"/>
    <w:rsid w:val="003122F4"/>
    <w:rsid w:val="003143FE"/>
    <w:rsid w:val="003208DA"/>
    <w:rsid w:val="00322243"/>
    <w:rsid w:val="00323AE8"/>
    <w:rsid w:val="003268D5"/>
    <w:rsid w:val="0033165F"/>
    <w:rsid w:val="0033694B"/>
    <w:rsid w:val="003448F6"/>
    <w:rsid w:val="00350759"/>
    <w:rsid w:val="00350788"/>
    <w:rsid w:val="0035153A"/>
    <w:rsid w:val="00354D27"/>
    <w:rsid w:val="0035738A"/>
    <w:rsid w:val="00357413"/>
    <w:rsid w:val="00362EAB"/>
    <w:rsid w:val="00365E2D"/>
    <w:rsid w:val="00366A2F"/>
    <w:rsid w:val="003740A1"/>
    <w:rsid w:val="00374AC8"/>
    <w:rsid w:val="003828C2"/>
    <w:rsid w:val="003857B7"/>
    <w:rsid w:val="003858A6"/>
    <w:rsid w:val="00386715"/>
    <w:rsid w:val="00391C21"/>
    <w:rsid w:val="00392DCC"/>
    <w:rsid w:val="003A0947"/>
    <w:rsid w:val="003A58D7"/>
    <w:rsid w:val="003A5B36"/>
    <w:rsid w:val="003A6050"/>
    <w:rsid w:val="003B6D37"/>
    <w:rsid w:val="003C2116"/>
    <w:rsid w:val="003C24B4"/>
    <w:rsid w:val="003C27DD"/>
    <w:rsid w:val="003C4E06"/>
    <w:rsid w:val="003C6DA0"/>
    <w:rsid w:val="003D11E7"/>
    <w:rsid w:val="003D11E9"/>
    <w:rsid w:val="003E0391"/>
    <w:rsid w:val="003E20D6"/>
    <w:rsid w:val="003E461F"/>
    <w:rsid w:val="003E4D87"/>
    <w:rsid w:val="003E6672"/>
    <w:rsid w:val="003E687D"/>
    <w:rsid w:val="003F479F"/>
    <w:rsid w:val="003F680F"/>
    <w:rsid w:val="00401082"/>
    <w:rsid w:val="0040593B"/>
    <w:rsid w:val="00410EC5"/>
    <w:rsid w:val="00416762"/>
    <w:rsid w:val="00416E55"/>
    <w:rsid w:val="00417C26"/>
    <w:rsid w:val="004243CC"/>
    <w:rsid w:val="004246FE"/>
    <w:rsid w:val="0042518A"/>
    <w:rsid w:val="0043038D"/>
    <w:rsid w:val="00433ABA"/>
    <w:rsid w:val="00433AE0"/>
    <w:rsid w:val="00440A56"/>
    <w:rsid w:val="004415EA"/>
    <w:rsid w:val="00445265"/>
    <w:rsid w:val="004559CE"/>
    <w:rsid w:val="00460E1A"/>
    <w:rsid w:val="00462306"/>
    <w:rsid w:val="00463DF8"/>
    <w:rsid w:val="00465110"/>
    <w:rsid w:val="00466A14"/>
    <w:rsid w:val="004714F8"/>
    <w:rsid w:val="00475085"/>
    <w:rsid w:val="00476C63"/>
    <w:rsid w:val="00476CF6"/>
    <w:rsid w:val="00477693"/>
    <w:rsid w:val="00477AA8"/>
    <w:rsid w:val="0048012D"/>
    <w:rsid w:val="00492FCB"/>
    <w:rsid w:val="00495BBF"/>
    <w:rsid w:val="00496C47"/>
    <w:rsid w:val="00496C51"/>
    <w:rsid w:val="004A0F11"/>
    <w:rsid w:val="004A3EAA"/>
    <w:rsid w:val="004A46A3"/>
    <w:rsid w:val="004A5263"/>
    <w:rsid w:val="004A738F"/>
    <w:rsid w:val="004A75D0"/>
    <w:rsid w:val="004A76B9"/>
    <w:rsid w:val="004A7D97"/>
    <w:rsid w:val="004B5133"/>
    <w:rsid w:val="004B6BEA"/>
    <w:rsid w:val="004C1402"/>
    <w:rsid w:val="004C1D28"/>
    <w:rsid w:val="004C3240"/>
    <w:rsid w:val="004C41B6"/>
    <w:rsid w:val="004C68FC"/>
    <w:rsid w:val="004C7843"/>
    <w:rsid w:val="004D03A8"/>
    <w:rsid w:val="004D0713"/>
    <w:rsid w:val="004D30BC"/>
    <w:rsid w:val="004D6E37"/>
    <w:rsid w:val="004E00EA"/>
    <w:rsid w:val="004E1EFB"/>
    <w:rsid w:val="004E35AB"/>
    <w:rsid w:val="004E3706"/>
    <w:rsid w:val="004E6105"/>
    <w:rsid w:val="004F1E97"/>
    <w:rsid w:val="004F4B92"/>
    <w:rsid w:val="004F7258"/>
    <w:rsid w:val="004F7A2B"/>
    <w:rsid w:val="005044AB"/>
    <w:rsid w:val="00504865"/>
    <w:rsid w:val="00515D96"/>
    <w:rsid w:val="00516785"/>
    <w:rsid w:val="0052419D"/>
    <w:rsid w:val="005301F8"/>
    <w:rsid w:val="0053114A"/>
    <w:rsid w:val="005312FC"/>
    <w:rsid w:val="00532EDC"/>
    <w:rsid w:val="0053569E"/>
    <w:rsid w:val="00535BF9"/>
    <w:rsid w:val="0053603D"/>
    <w:rsid w:val="0053742A"/>
    <w:rsid w:val="00537806"/>
    <w:rsid w:val="00537C5E"/>
    <w:rsid w:val="00537C85"/>
    <w:rsid w:val="00541D29"/>
    <w:rsid w:val="00543D34"/>
    <w:rsid w:val="00547401"/>
    <w:rsid w:val="005629C7"/>
    <w:rsid w:val="00562F17"/>
    <w:rsid w:val="0056582C"/>
    <w:rsid w:val="0056677B"/>
    <w:rsid w:val="00570ED1"/>
    <w:rsid w:val="00571100"/>
    <w:rsid w:val="0057224E"/>
    <w:rsid w:val="00573FF9"/>
    <w:rsid w:val="00576A98"/>
    <w:rsid w:val="00577538"/>
    <w:rsid w:val="00577C1B"/>
    <w:rsid w:val="00583629"/>
    <w:rsid w:val="00584A4E"/>
    <w:rsid w:val="005868DE"/>
    <w:rsid w:val="00586B8C"/>
    <w:rsid w:val="005966B7"/>
    <w:rsid w:val="005972DA"/>
    <w:rsid w:val="005A04C7"/>
    <w:rsid w:val="005A0D92"/>
    <w:rsid w:val="005A1357"/>
    <w:rsid w:val="005A2C97"/>
    <w:rsid w:val="005B2331"/>
    <w:rsid w:val="005B5E2A"/>
    <w:rsid w:val="005B6FE2"/>
    <w:rsid w:val="005B7E8A"/>
    <w:rsid w:val="005C02A4"/>
    <w:rsid w:val="005C0689"/>
    <w:rsid w:val="005C20D2"/>
    <w:rsid w:val="005C32FE"/>
    <w:rsid w:val="005D024A"/>
    <w:rsid w:val="005D0392"/>
    <w:rsid w:val="005D4FD4"/>
    <w:rsid w:val="005D6AF9"/>
    <w:rsid w:val="005D6D64"/>
    <w:rsid w:val="005D7F1D"/>
    <w:rsid w:val="005F095C"/>
    <w:rsid w:val="005F597F"/>
    <w:rsid w:val="005F6BEA"/>
    <w:rsid w:val="005F7282"/>
    <w:rsid w:val="006000F1"/>
    <w:rsid w:val="006010CC"/>
    <w:rsid w:val="00601650"/>
    <w:rsid w:val="00605AFD"/>
    <w:rsid w:val="006123D4"/>
    <w:rsid w:val="0061445B"/>
    <w:rsid w:val="00614B25"/>
    <w:rsid w:val="00614B57"/>
    <w:rsid w:val="006235BB"/>
    <w:rsid w:val="00624C4B"/>
    <w:rsid w:val="00627FCA"/>
    <w:rsid w:val="00630CE7"/>
    <w:rsid w:val="00641106"/>
    <w:rsid w:val="00643D00"/>
    <w:rsid w:val="006532BD"/>
    <w:rsid w:val="00655FAD"/>
    <w:rsid w:val="00656A22"/>
    <w:rsid w:val="00667AB1"/>
    <w:rsid w:val="00670E21"/>
    <w:rsid w:val="00676B8D"/>
    <w:rsid w:val="00681C07"/>
    <w:rsid w:val="00685CF7"/>
    <w:rsid w:val="00686165"/>
    <w:rsid w:val="00687A72"/>
    <w:rsid w:val="00691CB5"/>
    <w:rsid w:val="00691D3C"/>
    <w:rsid w:val="006921B4"/>
    <w:rsid w:val="00693BD2"/>
    <w:rsid w:val="006943CD"/>
    <w:rsid w:val="00695587"/>
    <w:rsid w:val="006A37F5"/>
    <w:rsid w:val="006C1892"/>
    <w:rsid w:val="006C3E7E"/>
    <w:rsid w:val="006C5B73"/>
    <w:rsid w:val="006C645D"/>
    <w:rsid w:val="006C7EE6"/>
    <w:rsid w:val="006D5801"/>
    <w:rsid w:val="006D5AF7"/>
    <w:rsid w:val="006E0715"/>
    <w:rsid w:val="006E3CC3"/>
    <w:rsid w:val="006E6E19"/>
    <w:rsid w:val="006F14B4"/>
    <w:rsid w:val="006F39D9"/>
    <w:rsid w:val="006F5C93"/>
    <w:rsid w:val="007013AD"/>
    <w:rsid w:val="0070453B"/>
    <w:rsid w:val="00706A03"/>
    <w:rsid w:val="00706E8E"/>
    <w:rsid w:val="0071103C"/>
    <w:rsid w:val="0071126D"/>
    <w:rsid w:val="00713222"/>
    <w:rsid w:val="00722430"/>
    <w:rsid w:val="00722B53"/>
    <w:rsid w:val="00723B13"/>
    <w:rsid w:val="00731532"/>
    <w:rsid w:val="0073363C"/>
    <w:rsid w:val="00733A7C"/>
    <w:rsid w:val="00734B4C"/>
    <w:rsid w:val="00735DA9"/>
    <w:rsid w:val="007509DD"/>
    <w:rsid w:val="00751095"/>
    <w:rsid w:val="00763474"/>
    <w:rsid w:val="00770B37"/>
    <w:rsid w:val="00771BA2"/>
    <w:rsid w:val="00777112"/>
    <w:rsid w:val="00780057"/>
    <w:rsid w:val="0078116E"/>
    <w:rsid w:val="00781FEA"/>
    <w:rsid w:val="00784C0A"/>
    <w:rsid w:val="007860E0"/>
    <w:rsid w:val="007929CA"/>
    <w:rsid w:val="00794B40"/>
    <w:rsid w:val="00795053"/>
    <w:rsid w:val="007975BB"/>
    <w:rsid w:val="007A0B5E"/>
    <w:rsid w:val="007A1079"/>
    <w:rsid w:val="007A19DC"/>
    <w:rsid w:val="007B0083"/>
    <w:rsid w:val="007B1F22"/>
    <w:rsid w:val="007B5CF4"/>
    <w:rsid w:val="007B76AB"/>
    <w:rsid w:val="007C045A"/>
    <w:rsid w:val="007D09E5"/>
    <w:rsid w:val="007D40D1"/>
    <w:rsid w:val="007D4276"/>
    <w:rsid w:val="007D4494"/>
    <w:rsid w:val="007D48CA"/>
    <w:rsid w:val="007D592B"/>
    <w:rsid w:val="007D5AA6"/>
    <w:rsid w:val="007D7A91"/>
    <w:rsid w:val="007D7EEB"/>
    <w:rsid w:val="007E6456"/>
    <w:rsid w:val="007F262A"/>
    <w:rsid w:val="007F6208"/>
    <w:rsid w:val="0080160B"/>
    <w:rsid w:val="008039F0"/>
    <w:rsid w:val="00811943"/>
    <w:rsid w:val="008311B8"/>
    <w:rsid w:val="00833D30"/>
    <w:rsid w:val="00833EDD"/>
    <w:rsid w:val="00834243"/>
    <w:rsid w:val="00834E87"/>
    <w:rsid w:val="008367EC"/>
    <w:rsid w:val="008549ED"/>
    <w:rsid w:val="00856634"/>
    <w:rsid w:val="00857969"/>
    <w:rsid w:val="00864D21"/>
    <w:rsid w:val="00865FDB"/>
    <w:rsid w:val="00866CFF"/>
    <w:rsid w:val="00867A55"/>
    <w:rsid w:val="0087100F"/>
    <w:rsid w:val="00871C4E"/>
    <w:rsid w:val="00882CC4"/>
    <w:rsid w:val="00884272"/>
    <w:rsid w:val="008875CD"/>
    <w:rsid w:val="00894F1A"/>
    <w:rsid w:val="008A0B4D"/>
    <w:rsid w:val="008A2600"/>
    <w:rsid w:val="008A3434"/>
    <w:rsid w:val="008A6E4E"/>
    <w:rsid w:val="008A70D6"/>
    <w:rsid w:val="008B01FC"/>
    <w:rsid w:val="008B315F"/>
    <w:rsid w:val="008B4BE8"/>
    <w:rsid w:val="008B5003"/>
    <w:rsid w:val="008B6788"/>
    <w:rsid w:val="008B7302"/>
    <w:rsid w:val="008C35F9"/>
    <w:rsid w:val="008C7F34"/>
    <w:rsid w:val="008C7F71"/>
    <w:rsid w:val="008D339F"/>
    <w:rsid w:val="008D3BC2"/>
    <w:rsid w:val="008D43E9"/>
    <w:rsid w:val="008D6994"/>
    <w:rsid w:val="008E19A3"/>
    <w:rsid w:val="008E6292"/>
    <w:rsid w:val="008F0F6F"/>
    <w:rsid w:val="008F2A0D"/>
    <w:rsid w:val="008F3163"/>
    <w:rsid w:val="008F45A5"/>
    <w:rsid w:val="009001FB"/>
    <w:rsid w:val="00903CC9"/>
    <w:rsid w:val="00906C82"/>
    <w:rsid w:val="009114C3"/>
    <w:rsid w:val="00911E9D"/>
    <w:rsid w:val="0092056A"/>
    <w:rsid w:val="00925AA5"/>
    <w:rsid w:val="00933921"/>
    <w:rsid w:val="00934351"/>
    <w:rsid w:val="009343AF"/>
    <w:rsid w:val="0093540D"/>
    <w:rsid w:val="0094019D"/>
    <w:rsid w:val="009406ED"/>
    <w:rsid w:val="00942C11"/>
    <w:rsid w:val="0094351F"/>
    <w:rsid w:val="009466B5"/>
    <w:rsid w:val="00953314"/>
    <w:rsid w:val="009547F8"/>
    <w:rsid w:val="009550B1"/>
    <w:rsid w:val="00961075"/>
    <w:rsid w:val="009616F2"/>
    <w:rsid w:val="009729D4"/>
    <w:rsid w:val="009817B0"/>
    <w:rsid w:val="009821CE"/>
    <w:rsid w:val="00985D40"/>
    <w:rsid w:val="00991153"/>
    <w:rsid w:val="009911AC"/>
    <w:rsid w:val="00992BC9"/>
    <w:rsid w:val="00993CB2"/>
    <w:rsid w:val="00996EAB"/>
    <w:rsid w:val="00997FC9"/>
    <w:rsid w:val="009A066C"/>
    <w:rsid w:val="009A1CF1"/>
    <w:rsid w:val="009A277C"/>
    <w:rsid w:val="009A5202"/>
    <w:rsid w:val="009A5BE0"/>
    <w:rsid w:val="009A5F0D"/>
    <w:rsid w:val="009A658F"/>
    <w:rsid w:val="009B106F"/>
    <w:rsid w:val="009C0E2D"/>
    <w:rsid w:val="009C6248"/>
    <w:rsid w:val="009D4FA0"/>
    <w:rsid w:val="009E06F0"/>
    <w:rsid w:val="009E070F"/>
    <w:rsid w:val="009E171B"/>
    <w:rsid w:val="009E2302"/>
    <w:rsid w:val="009E7E19"/>
    <w:rsid w:val="009F0CB6"/>
    <w:rsid w:val="009F26DB"/>
    <w:rsid w:val="009F4EDE"/>
    <w:rsid w:val="00A015E8"/>
    <w:rsid w:val="00A018E9"/>
    <w:rsid w:val="00A02C8B"/>
    <w:rsid w:val="00A06C86"/>
    <w:rsid w:val="00A06D95"/>
    <w:rsid w:val="00A07D47"/>
    <w:rsid w:val="00A11153"/>
    <w:rsid w:val="00A12F62"/>
    <w:rsid w:val="00A135F6"/>
    <w:rsid w:val="00A140B5"/>
    <w:rsid w:val="00A14FE9"/>
    <w:rsid w:val="00A22B44"/>
    <w:rsid w:val="00A22B58"/>
    <w:rsid w:val="00A24FB1"/>
    <w:rsid w:val="00A26775"/>
    <w:rsid w:val="00A27B32"/>
    <w:rsid w:val="00A27E9A"/>
    <w:rsid w:val="00A321BF"/>
    <w:rsid w:val="00A32C96"/>
    <w:rsid w:val="00A3749B"/>
    <w:rsid w:val="00A37D87"/>
    <w:rsid w:val="00A41903"/>
    <w:rsid w:val="00A458D1"/>
    <w:rsid w:val="00A504E3"/>
    <w:rsid w:val="00A50D88"/>
    <w:rsid w:val="00A55E08"/>
    <w:rsid w:val="00A56923"/>
    <w:rsid w:val="00A5767B"/>
    <w:rsid w:val="00A62E42"/>
    <w:rsid w:val="00A64A71"/>
    <w:rsid w:val="00A65719"/>
    <w:rsid w:val="00A66263"/>
    <w:rsid w:val="00A72960"/>
    <w:rsid w:val="00A72D8F"/>
    <w:rsid w:val="00A7467F"/>
    <w:rsid w:val="00A81672"/>
    <w:rsid w:val="00A84E1F"/>
    <w:rsid w:val="00A86620"/>
    <w:rsid w:val="00A92791"/>
    <w:rsid w:val="00A92E98"/>
    <w:rsid w:val="00A93401"/>
    <w:rsid w:val="00A96F50"/>
    <w:rsid w:val="00AA2C5A"/>
    <w:rsid w:val="00AA56D0"/>
    <w:rsid w:val="00AA707E"/>
    <w:rsid w:val="00AB22B9"/>
    <w:rsid w:val="00AB3A72"/>
    <w:rsid w:val="00AB6653"/>
    <w:rsid w:val="00AB6D7C"/>
    <w:rsid w:val="00AC3196"/>
    <w:rsid w:val="00AC3343"/>
    <w:rsid w:val="00AD09A9"/>
    <w:rsid w:val="00AD16FF"/>
    <w:rsid w:val="00AD2191"/>
    <w:rsid w:val="00AE2C93"/>
    <w:rsid w:val="00AE2F90"/>
    <w:rsid w:val="00AE60FB"/>
    <w:rsid w:val="00AE6139"/>
    <w:rsid w:val="00AF500C"/>
    <w:rsid w:val="00B03DD6"/>
    <w:rsid w:val="00B1195E"/>
    <w:rsid w:val="00B2470A"/>
    <w:rsid w:val="00B30D2A"/>
    <w:rsid w:val="00B337B2"/>
    <w:rsid w:val="00B3583B"/>
    <w:rsid w:val="00B37A8F"/>
    <w:rsid w:val="00B37C6C"/>
    <w:rsid w:val="00B561AC"/>
    <w:rsid w:val="00B5683A"/>
    <w:rsid w:val="00B632AB"/>
    <w:rsid w:val="00B6478A"/>
    <w:rsid w:val="00B65347"/>
    <w:rsid w:val="00B65654"/>
    <w:rsid w:val="00B65D9C"/>
    <w:rsid w:val="00B66741"/>
    <w:rsid w:val="00B71765"/>
    <w:rsid w:val="00B72F60"/>
    <w:rsid w:val="00B82D02"/>
    <w:rsid w:val="00B873F4"/>
    <w:rsid w:val="00B87927"/>
    <w:rsid w:val="00B92823"/>
    <w:rsid w:val="00B95FD7"/>
    <w:rsid w:val="00B973D3"/>
    <w:rsid w:val="00BA3E67"/>
    <w:rsid w:val="00BB683F"/>
    <w:rsid w:val="00BC07DE"/>
    <w:rsid w:val="00BC0F73"/>
    <w:rsid w:val="00BC448B"/>
    <w:rsid w:val="00BC5FDE"/>
    <w:rsid w:val="00BD07AB"/>
    <w:rsid w:val="00BD19CC"/>
    <w:rsid w:val="00BD26AA"/>
    <w:rsid w:val="00BD454F"/>
    <w:rsid w:val="00BE0550"/>
    <w:rsid w:val="00BE0A52"/>
    <w:rsid w:val="00BE3B72"/>
    <w:rsid w:val="00BF26C9"/>
    <w:rsid w:val="00BF3EB8"/>
    <w:rsid w:val="00C01DCC"/>
    <w:rsid w:val="00C069D9"/>
    <w:rsid w:val="00C076B6"/>
    <w:rsid w:val="00C114D0"/>
    <w:rsid w:val="00C11D1E"/>
    <w:rsid w:val="00C146AE"/>
    <w:rsid w:val="00C165E6"/>
    <w:rsid w:val="00C2020B"/>
    <w:rsid w:val="00C202B3"/>
    <w:rsid w:val="00C20601"/>
    <w:rsid w:val="00C209E0"/>
    <w:rsid w:val="00C21EE0"/>
    <w:rsid w:val="00C23172"/>
    <w:rsid w:val="00C2588F"/>
    <w:rsid w:val="00C30297"/>
    <w:rsid w:val="00C30E1F"/>
    <w:rsid w:val="00C40C67"/>
    <w:rsid w:val="00C42165"/>
    <w:rsid w:val="00C4285B"/>
    <w:rsid w:val="00C42C02"/>
    <w:rsid w:val="00C51594"/>
    <w:rsid w:val="00C52510"/>
    <w:rsid w:val="00C539CE"/>
    <w:rsid w:val="00C57642"/>
    <w:rsid w:val="00C60ECB"/>
    <w:rsid w:val="00C61C28"/>
    <w:rsid w:val="00C66502"/>
    <w:rsid w:val="00C716EA"/>
    <w:rsid w:val="00C72318"/>
    <w:rsid w:val="00C724E6"/>
    <w:rsid w:val="00C73547"/>
    <w:rsid w:val="00C73982"/>
    <w:rsid w:val="00C747A5"/>
    <w:rsid w:val="00C85314"/>
    <w:rsid w:val="00C87721"/>
    <w:rsid w:val="00C964A6"/>
    <w:rsid w:val="00C97038"/>
    <w:rsid w:val="00C97D50"/>
    <w:rsid w:val="00CA0116"/>
    <w:rsid w:val="00CA4BC0"/>
    <w:rsid w:val="00CA5CA8"/>
    <w:rsid w:val="00CA618F"/>
    <w:rsid w:val="00CA6607"/>
    <w:rsid w:val="00CA732F"/>
    <w:rsid w:val="00CB0157"/>
    <w:rsid w:val="00CB3745"/>
    <w:rsid w:val="00CB3B62"/>
    <w:rsid w:val="00CB45C2"/>
    <w:rsid w:val="00CB5205"/>
    <w:rsid w:val="00CB78B3"/>
    <w:rsid w:val="00CC559D"/>
    <w:rsid w:val="00CC7D1D"/>
    <w:rsid w:val="00CD1450"/>
    <w:rsid w:val="00CD54EB"/>
    <w:rsid w:val="00CD654B"/>
    <w:rsid w:val="00CE223E"/>
    <w:rsid w:val="00CE3E62"/>
    <w:rsid w:val="00CF1A8F"/>
    <w:rsid w:val="00CF1F48"/>
    <w:rsid w:val="00CF3F0D"/>
    <w:rsid w:val="00CF7ACD"/>
    <w:rsid w:val="00D050E8"/>
    <w:rsid w:val="00D06DC4"/>
    <w:rsid w:val="00D10C49"/>
    <w:rsid w:val="00D1328F"/>
    <w:rsid w:val="00D145F5"/>
    <w:rsid w:val="00D15C78"/>
    <w:rsid w:val="00D16A7C"/>
    <w:rsid w:val="00D16EA8"/>
    <w:rsid w:val="00D21D50"/>
    <w:rsid w:val="00D22783"/>
    <w:rsid w:val="00D231DC"/>
    <w:rsid w:val="00D258F5"/>
    <w:rsid w:val="00D27E8E"/>
    <w:rsid w:val="00D355F0"/>
    <w:rsid w:val="00D426F2"/>
    <w:rsid w:val="00D43AC8"/>
    <w:rsid w:val="00D47AFD"/>
    <w:rsid w:val="00D50ED6"/>
    <w:rsid w:val="00D5196D"/>
    <w:rsid w:val="00D53D90"/>
    <w:rsid w:val="00D5404B"/>
    <w:rsid w:val="00D56113"/>
    <w:rsid w:val="00D62752"/>
    <w:rsid w:val="00D647CA"/>
    <w:rsid w:val="00D72ABC"/>
    <w:rsid w:val="00D7695C"/>
    <w:rsid w:val="00D82002"/>
    <w:rsid w:val="00D833D9"/>
    <w:rsid w:val="00D83BD9"/>
    <w:rsid w:val="00D84B47"/>
    <w:rsid w:val="00D8769C"/>
    <w:rsid w:val="00D94DCF"/>
    <w:rsid w:val="00D94EAE"/>
    <w:rsid w:val="00D955F9"/>
    <w:rsid w:val="00DA586F"/>
    <w:rsid w:val="00DB07A4"/>
    <w:rsid w:val="00DB08DA"/>
    <w:rsid w:val="00DB4C38"/>
    <w:rsid w:val="00DB5995"/>
    <w:rsid w:val="00DB7F09"/>
    <w:rsid w:val="00DC00E8"/>
    <w:rsid w:val="00DC1C56"/>
    <w:rsid w:val="00DC4756"/>
    <w:rsid w:val="00DC5C64"/>
    <w:rsid w:val="00DC5CF3"/>
    <w:rsid w:val="00DC6379"/>
    <w:rsid w:val="00DC77BA"/>
    <w:rsid w:val="00DD19ED"/>
    <w:rsid w:val="00DD319F"/>
    <w:rsid w:val="00DE3065"/>
    <w:rsid w:val="00DE3C77"/>
    <w:rsid w:val="00DF3238"/>
    <w:rsid w:val="00DF3F46"/>
    <w:rsid w:val="00DF6152"/>
    <w:rsid w:val="00DF6F61"/>
    <w:rsid w:val="00DF7591"/>
    <w:rsid w:val="00E0384D"/>
    <w:rsid w:val="00E06D41"/>
    <w:rsid w:val="00E101C6"/>
    <w:rsid w:val="00E15660"/>
    <w:rsid w:val="00E16226"/>
    <w:rsid w:val="00E16D39"/>
    <w:rsid w:val="00E16F9C"/>
    <w:rsid w:val="00E17851"/>
    <w:rsid w:val="00E21AC8"/>
    <w:rsid w:val="00E22D51"/>
    <w:rsid w:val="00E266DC"/>
    <w:rsid w:val="00E27F7C"/>
    <w:rsid w:val="00E306FB"/>
    <w:rsid w:val="00E33142"/>
    <w:rsid w:val="00E353D2"/>
    <w:rsid w:val="00E41948"/>
    <w:rsid w:val="00E44D45"/>
    <w:rsid w:val="00E50E7C"/>
    <w:rsid w:val="00E51370"/>
    <w:rsid w:val="00E51545"/>
    <w:rsid w:val="00E51D9E"/>
    <w:rsid w:val="00E537D1"/>
    <w:rsid w:val="00E56143"/>
    <w:rsid w:val="00E567E6"/>
    <w:rsid w:val="00E56971"/>
    <w:rsid w:val="00E61484"/>
    <w:rsid w:val="00E61BFC"/>
    <w:rsid w:val="00E656E0"/>
    <w:rsid w:val="00E657B7"/>
    <w:rsid w:val="00E657F6"/>
    <w:rsid w:val="00E67348"/>
    <w:rsid w:val="00E67F94"/>
    <w:rsid w:val="00E711D7"/>
    <w:rsid w:val="00E712D3"/>
    <w:rsid w:val="00E741EB"/>
    <w:rsid w:val="00E815E1"/>
    <w:rsid w:val="00E8296A"/>
    <w:rsid w:val="00E83DDC"/>
    <w:rsid w:val="00E85525"/>
    <w:rsid w:val="00E902B0"/>
    <w:rsid w:val="00E902E8"/>
    <w:rsid w:val="00E9412A"/>
    <w:rsid w:val="00EA23AC"/>
    <w:rsid w:val="00EA4725"/>
    <w:rsid w:val="00EA6A5C"/>
    <w:rsid w:val="00EA7C3D"/>
    <w:rsid w:val="00EB05CA"/>
    <w:rsid w:val="00EB4228"/>
    <w:rsid w:val="00EB5B49"/>
    <w:rsid w:val="00EB6878"/>
    <w:rsid w:val="00EC1E0E"/>
    <w:rsid w:val="00EC236D"/>
    <w:rsid w:val="00EC299C"/>
    <w:rsid w:val="00EC6B16"/>
    <w:rsid w:val="00ED37BD"/>
    <w:rsid w:val="00ED3A90"/>
    <w:rsid w:val="00ED4BB6"/>
    <w:rsid w:val="00ED53E0"/>
    <w:rsid w:val="00EE1447"/>
    <w:rsid w:val="00EE19D6"/>
    <w:rsid w:val="00EE39DB"/>
    <w:rsid w:val="00EE7B77"/>
    <w:rsid w:val="00EF145E"/>
    <w:rsid w:val="00EF2BBB"/>
    <w:rsid w:val="00EF6DF9"/>
    <w:rsid w:val="00EF7BB3"/>
    <w:rsid w:val="00F007D4"/>
    <w:rsid w:val="00F0082D"/>
    <w:rsid w:val="00F015AB"/>
    <w:rsid w:val="00F056F7"/>
    <w:rsid w:val="00F05CA4"/>
    <w:rsid w:val="00F06B02"/>
    <w:rsid w:val="00F07C90"/>
    <w:rsid w:val="00F10271"/>
    <w:rsid w:val="00F10B8D"/>
    <w:rsid w:val="00F14CCA"/>
    <w:rsid w:val="00F15608"/>
    <w:rsid w:val="00F15E18"/>
    <w:rsid w:val="00F166AB"/>
    <w:rsid w:val="00F167FC"/>
    <w:rsid w:val="00F21E32"/>
    <w:rsid w:val="00F26192"/>
    <w:rsid w:val="00F27B52"/>
    <w:rsid w:val="00F327F9"/>
    <w:rsid w:val="00F33973"/>
    <w:rsid w:val="00F4521C"/>
    <w:rsid w:val="00F524A5"/>
    <w:rsid w:val="00F542D1"/>
    <w:rsid w:val="00F56585"/>
    <w:rsid w:val="00F5682B"/>
    <w:rsid w:val="00F56972"/>
    <w:rsid w:val="00F56B08"/>
    <w:rsid w:val="00F57BED"/>
    <w:rsid w:val="00F6134F"/>
    <w:rsid w:val="00F628E1"/>
    <w:rsid w:val="00F679C7"/>
    <w:rsid w:val="00F70AE1"/>
    <w:rsid w:val="00F70BCA"/>
    <w:rsid w:val="00F711DF"/>
    <w:rsid w:val="00F73C84"/>
    <w:rsid w:val="00F7455A"/>
    <w:rsid w:val="00F74E14"/>
    <w:rsid w:val="00F7613A"/>
    <w:rsid w:val="00F76813"/>
    <w:rsid w:val="00F82746"/>
    <w:rsid w:val="00F836F9"/>
    <w:rsid w:val="00F845D7"/>
    <w:rsid w:val="00F873E7"/>
    <w:rsid w:val="00F878AA"/>
    <w:rsid w:val="00F92279"/>
    <w:rsid w:val="00F924FA"/>
    <w:rsid w:val="00F95D64"/>
    <w:rsid w:val="00FA2BCE"/>
    <w:rsid w:val="00FA40E0"/>
    <w:rsid w:val="00FA76E2"/>
    <w:rsid w:val="00FB1458"/>
    <w:rsid w:val="00FB4D21"/>
    <w:rsid w:val="00FB7622"/>
    <w:rsid w:val="00FB762B"/>
    <w:rsid w:val="00FC09AC"/>
    <w:rsid w:val="00FC27EF"/>
    <w:rsid w:val="00FC45F0"/>
    <w:rsid w:val="00FC6ADA"/>
    <w:rsid w:val="00FD0B3F"/>
    <w:rsid w:val="00FD3E75"/>
    <w:rsid w:val="00FE5D9E"/>
    <w:rsid w:val="00FF1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4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semiHidden/>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 w:type="table" w:styleId="TableList5">
    <w:name w:val="Table List 5"/>
    <w:basedOn w:val="TableNormal"/>
    <w:rsid w:val="00391C21"/>
    <w:pPr>
      <w:spacing w:after="240" w:line="300" w:lineRule="exact"/>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HeadingsAboveOnly">
    <w:name w:val="Headings Above Only"/>
    <w:basedOn w:val="TableNormal"/>
    <w:uiPriority w:val="99"/>
    <w:rsid w:val="002E6A83"/>
    <w:pPr>
      <w:spacing w:after="0" w:line="240" w:lineRule="auto"/>
    </w:pPr>
    <w:rPr>
      <w:rFonts w:eastAsia="Times New Roman" w:cs="Times New Roman"/>
      <w:lang w:eastAsia="en-AU"/>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sz w:val="22"/>
      </w:rPr>
      <w:tblPr/>
      <w:tcPr>
        <w:shd w:val="clear" w:color="auto" w:fill="3F6294"/>
      </w:tcPr>
    </w:tblStylePr>
  </w:style>
  <w:style w:type="paragraph" w:customStyle="1" w:styleId="Default">
    <w:name w:val="Default"/>
    <w:rsid w:val="00AB22B9"/>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643D00"/>
    <w:pPr>
      <w:spacing w:after="0" w:line="240" w:lineRule="auto"/>
    </w:pPr>
    <w:rPr>
      <w:rFonts w:ascii="Calibri" w:eastAsia="Times New Roman" w:hAnsi="Calibri" w:cs="Times New Roman"/>
      <w:szCs w:val="20"/>
      <w:lang w:eastAsia="en-AU"/>
    </w:rPr>
  </w:style>
  <w:style w:type="paragraph" w:styleId="NormalWeb">
    <w:name w:val="Normal (Web)"/>
    <w:basedOn w:val="Normal"/>
    <w:uiPriority w:val="99"/>
    <w:semiHidden/>
    <w:unhideWhenUsed/>
    <w:rsid w:val="00D050E8"/>
    <w:pPr>
      <w:spacing w:before="100" w:beforeAutospacing="1" w:after="100" w:afterAutospacing="1"/>
    </w:pPr>
    <w:rPr>
      <w:rFonts w:ascii="Times New Roman" w:eastAsiaTheme="minorEastAsia"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D9"/>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140822"/>
    <w:pPr>
      <w:spacing w:before="240"/>
      <w:outlineLvl w:val="0"/>
    </w:pPr>
    <w:rPr>
      <w:bCs w:val="0"/>
      <w:color w:val="C00000"/>
    </w:rPr>
  </w:style>
  <w:style w:type="paragraph" w:styleId="Heading2">
    <w:name w:val="heading 2"/>
    <w:basedOn w:val="HeadingBase"/>
    <w:next w:val="Normal"/>
    <w:link w:val="Heading2Char"/>
    <w:qFormat/>
    <w:rsid w:val="00043A4B"/>
    <w:pPr>
      <w:spacing w:before="360"/>
      <w:outlineLvl w:val="1"/>
    </w:pPr>
    <w:rPr>
      <w:bCs w:val="0"/>
      <w:iCs/>
      <w:color w:val="C00000"/>
      <w:sz w:val="36"/>
      <w:szCs w:val="28"/>
    </w:rPr>
  </w:style>
  <w:style w:type="paragraph" w:styleId="Heading3">
    <w:name w:val="heading 3"/>
    <w:basedOn w:val="HeadingBase"/>
    <w:next w:val="Normal"/>
    <w:link w:val="Heading3Char"/>
    <w:qFormat/>
    <w:rsid w:val="00043A4B"/>
    <w:pPr>
      <w:spacing w:before="240"/>
      <w:outlineLvl w:val="2"/>
    </w:pPr>
    <w:rPr>
      <w:bCs w:val="0"/>
      <w:color w:val="002060"/>
      <w:sz w:val="28"/>
      <w:szCs w:val="26"/>
    </w:rPr>
  </w:style>
  <w:style w:type="paragraph" w:styleId="Heading4">
    <w:name w:val="heading 4"/>
    <w:basedOn w:val="HeadingBase"/>
    <w:next w:val="Normal"/>
    <w:link w:val="Heading4Char"/>
    <w:qFormat/>
    <w:rsid w:val="00043A4B"/>
    <w:pPr>
      <w:outlineLvl w:val="3"/>
    </w:pPr>
    <w:rPr>
      <w:bCs w:val="0"/>
      <w:color w:val="002060"/>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822"/>
    <w:rPr>
      <w:rFonts w:ascii="Calibri" w:eastAsia="Times New Roman" w:hAnsi="Calibri" w:cs="Arial"/>
      <w:color w:val="C00000"/>
      <w:kern w:val="32"/>
      <w:sz w:val="48"/>
      <w:szCs w:val="36"/>
      <w:lang w:eastAsia="en-AU"/>
    </w:rPr>
  </w:style>
  <w:style w:type="character" w:customStyle="1" w:styleId="Heading2Char">
    <w:name w:val="Heading 2 Char"/>
    <w:basedOn w:val="DefaultParagraphFont"/>
    <w:link w:val="Heading2"/>
    <w:rsid w:val="00043A4B"/>
    <w:rPr>
      <w:rFonts w:ascii="Calibri" w:eastAsia="Times New Roman" w:hAnsi="Calibri" w:cs="Arial"/>
      <w:iCs/>
      <w:color w:val="C00000"/>
      <w:kern w:val="32"/>
      <w:sz w:val="36"/>
      <w:szCs w:val="28"/>
      <w:lang w:eastAsia="en-AU"/>
    </w:rPr>
  </w:style>
  <w:style w:type="character" w:customStyle="1" w:styleId="Heading3Char">
    <w:name w:val="Heading 3 Char"/>
    <w:basedOn w:val="DefaultParagraphFont"/>
    <w:link w:val="Heading3"/>
    <w:rsid w:val="00043A4B"/>
    <w:rPr>
      <w:rFonts w:ascii="Calibri" w:eastAsia="Times New Roman" w:hAnsi="Calibri" w:cs="Arial"/>
      <w:color w:val="002060"/>
      <w:kern w:val="32"/>
      <w:sz w:val="28"/>
      <w:szCs w:val="26"/>
      <w:lang w:eastAsia="en-AU"/>
    </w:rPr>
  </w:style>
  <w:style w:type="character" w:customStyle="1" w:styleId="Heading4Char">
    <w:name w:val="Heading 4 Char"/>
    <w:basedOn w:val="DefaultParagraphFont"/>
    <w:link w:val="Heading4"/>
    <w:rsid w:val="00043A4B"/>
    <w:rPr>
      <w:rFonts w:ascii="Calibri" w:eastAsia="Times New Roman" w:hAnsi="Calibri" w:cs="Arial"/>
      <w:color w:val="002060"/>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3857B7"/>
    <w:pPr>
      <w:keepNext/>
      <w:spacing w:before="0" w:after="360"/>
      <w:ind w:right="139"/>
      <w:jc w:val="right"/>
    </w:pPr>
    <w:rPr>
      <w:color w:val="FFFFFF" w:themeColor="background1"/>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43A4B"/>
    <w:pPr>
      <w:keepNext/>
      <w:tabs>
        <w:tab w:val="clear" w:pos="4513"/>
        <w:tab w:val="clear" w:pos="9026"/>
      </w:tabs>
      <w:jc w:val="left"/>
    </w:pPr>
    <w:rPr>
      <w:noProof/>
      <w:color w:val="002060"/>
      <w:sz w:val="22"/>
    </w:rPr>
  </w:style>
  <w:style w:type="paragraph" w:customStyle="1" w:styleId="FooterOdd">
    <w:name w:val="Footer Odd"/>
    <w:basedOn w:val="Footer"/>
    <w:rsid w:val="00043A4B"/>
    <w:pPr>
      <w:keepNext/>
      <w:tabs>
        <w:tab w:val="clear" w:pos="4513"/>
        <w:tab w:val="clear" w:pos="9026"/>
      </w:tabs>
      <w:jc w:val="right"/>
    </w:pPr>
    <w:rPr>
      <w:color w:val="002060"/>
      <w:sz w:val="22"/>
    </w:r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DF7591"/>
    <w:pPr>
      <w:jc w:val="center"/>
    </w:pPr>
    <w:rPr>
      <w:b/>
      <w:color w:val="C00000"/>
      <w:sz w:val="28"/>
    </w:rPr>
  </w:style>
  <w:style w:type="paragraph" w:customStyle="1" w:styleId="TableColumnHeadingLeft">
    <w:name w:val="Table Column Heading Left"/>
    <w:basedOn w:val="TableTextLeft"/>
    <w:rsid w:val="00DF7591"/>
    <w:rPr>
      <w:b/>
      <w:color w:val="002060"/>
      <w:sz w:val="24"/>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92238"/>
    <w:pPr>
      <w:jc w:val="left"/>
    </w:pPr>
    <w:rPr>
      <w:sz w:val="22"/>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B37C6C"/>
    <w:pPr>
      <w:keepNext/>
      <w:tabs>
        <w:tab w:val="right" w:leader="dot" w:pos="9072"/>
      </w:tabs>
      <w:spacing w:before="180" w:after="0"/>
      <w:ind w:right="-2"/>
    </w:pPr>
    <w:rPr>
      <w:b/>
      <w:noProof/>
      <w:color w:val="002060"/>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3857B7"/>
    <w:pPr>
      <w:spacing w:before="0"/>
      <w:contextualSpacing/>
      <w:jc w:val="right"/>
    </w:pPr>
    <w:rPr>
      <w:rFonts w:eastAsiaTheme="majorEastAsia" w:cstheme="majorBidi"/>
      <w:caps/>
      <w:color w:val="002060"/>
      <w:spacing w:val="5"/>
      <w:kern w:val="28"/>
      <w:sz w:val="64"/>
      <w:szCs w:val="52"/>
    </w:rPr>
  </w:style>
  <w:style w:type="character" w:customStyle="1" w:styleId="TitleChar">
    <w:name w:val="Title Char"/>
    <w:basedOn w:val="DefaultParagraphFont"/>
    <w:link w:val="Title"/>
    <w:uiPriority w:val="10"/>
    <w:rsid w:val="003857B7"/>
    <w:rPr>
      <w:rFonts w:ascii="Calibri" w:eastAsiaTheme="majorEastAsia" w:hAnsi="Calibri" w:cstheme="majorBidi"/>
      <w:caps/>
      <w:color w:val="002060"/>
      <w:spacing w:val="5"/>
      <w:kern w:val="28"/>
      <w:sz w:val="64"/>
      <w:szCs w:val="52"/>
      <w:lang w:eastAsia="en-AU"/>
    </w:rPr>
  </w:style>
  <w:style w:type="paragraph" w:styleId="Subtitle">
    <w:name w:val="Subtitle"/>
    <w:basedOn w:val="Normal"/>
    <w:next w:val="Normal"/>
    <w:link w:val="SubtitleChar"/>
    <w:uiPriority w:val="11"/>
    <w:qFormat/>
    <w:rsid w:val="003857B7"/>
    <w:pPr>
      <w:numPr>
        <w:ilvl w:val="1"/>
      </w:numPr>
      <w:jc w:val="right"/>
    </w:pPr>
    <w:rPr>
      <w:rFonts w:eastAsiaTheme="majorEastAsia" w:cstheme="majorBidi"/>
      <w:iCs/>
      <w:color w:val="595959" w:themeColor="text1" w:themeTint="A6"/>
      <w:sz w:val="44"/>
      <w:szCs w:val="44"/>
    </w:rPr>
  </w:style>
  <w:style w:type="character" w:customStyle="1" w:styleId="SubtitleChar">
    <w:name w:val="Subtitle Char"/>
    <w:basedOn w:val="DefaultParagraphFont"/>
    <w:link w:val="Subtitle"/>
    <w:uiPriority w:val="11"/>
    <w:rsid w:val="003857B7"/>
    <w:rPr>
      <w:rFonts w:ascii="Calibri" w:eastAsiaTheme="majorEastAsia" w:hAnsi="Calibri" w:cstheme="majorBidi"/>
      <w:iCs/>
      <w:color w:val="595959" w:themeColor="text1" w:themeTint="A6"/>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3857B7"/>
    <w:rPr>
      <w:rFonts w:ascii="Calibri" w:eastAsia="Times New Roman" w:hAnsi="Calibri" w:cs="Times New Roman"/>
      <w:color w:val="FFFFFF" w:themeColor="background1"/>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Introductionparagraph">
    <w:name w:val="Introduction paragraph"/>
    <w:basedOn w:val="Normal"/>
    <w:qFormat/>
    <w:rsid w:val="00092238"/>
    <w:pPr>
      <w:spacing w:after="240"/>
    </w:pPr>
    <w:rPr>
      <w:color w:val="002060"/>
      <w:sz w:val="28"/>
      <w:szCs w:val="32"/>
    </w:rPr>
  </w:style>
  <w:style w:type="paragraph" w:styleId="ListParagraph">
    <w:name w:val="List Paragraph"/>
    <w:basedOn w:val="Normal"/>
    <w:uiPriority w:val="34"/>
    <w:qFormat/>
    <w:rsid w:val="00A7467F"/>
    <w:pPr>
      <w:spacing w:before="0" w:after="0"/>
      <w:ind w:left="720"/>
    </w:pPr>
    <w:rPr>
      <w:szCs w:val="22"/>
      <w:lang w:eastAsia="en-US"/>
    </w:rPr>
  </w:style>
  <w:style w:type="paragraph" w:customStyle="1" w:styleId="SingleParagraph0">
    <w:name w:val="SingleParagraph"/>
    <w:basedOn w:val="Normal"/>
    <w:next w:val="Normal"/>
    <w:rsid w:val="00A7467F"/>
    <w:pPr>
      <w:keepNext/>
      <w:spacing w:before="0" w:after="0"/>
      <w:jc w:val="both"/>
    </w:pPr>
    <w:rPr>
      <w:rFonts w:ascii="Book Antiqua" w:hAnsi="Book Antiqua"/>
      <w:color w:val="000000"/>
      <w:sz w:val="20"/>
    </w:rPr>
  </w:style>
  <w:style w:type="paragraph" w:customStyle="1" w:styleId="TESHeading5">
    <w:name w:val="TES Heading 5"/>
    <w:basedOn w:val="Normal"/>
    <w:next w:val="Normal"/>
    <w:rsid w:val="00A7467F"/>
    <w:pPr>
      <w:keepNext/>
      <w:tabs>
        <w:tab w:val="left" w:pos="567"/>
      </w:tabs>
      <w:spacing w:before="240"/>
      <w:ind w:left="567" w:hanging="567"/>
    </w:pPr>
    <w:rPr>
      <w:rFonts w:ascii="Arial" w:hAnsi="Arial"/>
      <w:b/>
      <w:sz w:val="20"/>
    </w:rPr>
  </w:style>
  <w:style w:type="character" w:customStyle="1" w:styleId="BulletChar">
    <w:name w:val="Bullet Char"/>
    <w:link w:val="Bullet"/>
    <w:rsid w:val="00A7467F"/>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A7467F"/>
    <w:rPr>
      <w:sz w:val="16"/>
      <w:szCs w:val="16"/>
    </w:rPr>
  </w:style>
  <w:style w:type="paragraph" w:styleId="CommentText">
    <w:name w:val="annotation text"/>
    <w:basedOn w:val="Normal"/>
    <w:link w:val="CommentTextChar"/>
    <w:uiPriority w:val="99"/>
    <w:semiHidden/>
    <w:unhideWhenUsed/>
    <w:rsid w:val="00A7467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A7467F"/>
    <w:rPr>
      <w:sz w:val="20"/>
      <w:szCs w:val="20"/>
    </w:rPr>
  </w:style>
  <w:style w:type="paragraph" w:customStyle="1" w:styleId="SecurityClassificationHeader">
    <w:name w:val="Security Classification Header"/>
    <w:link w:val="SecurityClassificationHead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A24FB1"/>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A24FB1"/>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A24FB1"/>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A24FB1"/>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A24FB1"/>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A24FB1"/>
    <w:rPr>
      <w:rFonts w:ascii="Calibri" w:eastAsia="Times New Roman" w:hAnsi="Calibri" w:cs="Times New Roman"/>
      <w:b/>
      <w:caps/>
      <w:color w:val="004A7F"/>
      <w:sz w:val="24"/>
      <w:szCs w:val="20"/>
      <w:lang w:eastAsia="en-AU"/>
    </w:rPr>
  </w:style>
  <w:style w:type="paragraph" w:styleId="CommentSubject">
    <w:name w:val="annotation subject"/>
    <w:basedOn w:val="CommentText"/>
    <w:next w:val="CommentText"/>
    <w:link w:val="CommentSubjectChar"/>
    <w:uiPriority w:val="99"/>
    <w:semiHidden/>
    <w:unhideWhenUsed/>
    <w:rsid w:val="00F878AA"/>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878AA"/>
    <w:rPr>
      <w:rFonts w:ascii="Calibri" w:eastAsia="Times New Roman" w:hAnsi="Calibri" w:cs="Times New Roman"/>
      <w:b/>
      <w:bCs/>
      <w:sz w:val="20"/>
      <w:szCs w:val="20"/>
      <w:lang w:eastAsia="en-AU"/>
    </w:rPr>
  </w:style>
  <w:style w:type="character" w:customStyle="1" w:styleId="DashChar">
    <w:name w:val="Dash Char"/>
    <w:basedOn w:val="DefaultParagraphFont"/>
    <w:link w:val="Dash"/>
    <w:rsid w:val="007975B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7975BB"/>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140822"/>
    <w:rPr>
      <w:color w:val="954F72" w:themeColor="followedHyperlink"/>
      <w:u w:val="single"/>
    </w:rPr>
  </w:style>
  <w:style w:type="table" w:styleId="TableList5">
    <w:name w:val="Table List 5"/>
    <w:basedOn w:val="TableNormal"/>
    <w:rsid w:val="00391C21"/>
    <w:pPr>
      <w:spacing w:after="240" w:line="300" w:lineRule="exact"/>
      <w:jc w:val="both"/>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HeadingsAboveOnly">
    <w:name w:val="Headings Above Only"/>
    <w:basedOn w:val="TableNormal"/>
    <w:uiPriority w:val="99"/>
    <w:rsid w:val="002E6A83"/>
    <w:pPr>
      <w:spacing w:after="0" w:line="240" w:lineRule="auto"/>
    </w:pPr>
    <w:rPr>
      <w:rFonts w:eastAsia="Times New Roman" w:cs="Times New Roman"/>
      <w:lang w:eastAsia="en-AU"/>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sz w:val="22"/>
      </w:rPr>
      <w:tblPr/>
      <w:tcPr>
        <w:shd w:val="clear" w:color="auto" w:fill="3F6294"/>
      </w:tcPr>
    </w:tblStylePr>
  </w:style>
  <w:style w:type="paragraph" w:customStyle="1" w:styleId="Default">
    <w:name w:val="Default"/>
    <w:rsid w:val="00AB22B9"/>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643D00"/>
    <w:pPr>
      <w:spacing w:after="0" w:line="240" w:lineRule="auto"/>
    </w:pPr>
    <w:rPr>
      <w:rFonts w:ascii="Calibri" w:eastAsia="Times New Roman" w:hAnsi="Calibri" w:cs="Times New Roman"/>
      <w:szCs w:val="20"/>
      <w:lang w:eastAsia="en-AU"/>
    </w:rPr>
  </w:style>
  <w:style w:type="paragraph" w:styleId="NormalWeb">
    <w:name w:val="Normal (Web)"/>
    <w:basedOn w:val="Normal"/>
    <w:uiPriority w:val="99"/>
    <w:semiHidden/>
    <w:unhideWhenUsed/>
    <w:rsid w:val="00D050E8"/>
    <w:pPr>
      <w:spacing w:before="100" w:beforeAutospacing="1" w:after="100" w:afterAutospacing="1"/>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388">
      <w:bodyDiv w:val="1"/>
      <w:marLeft w:val="0"/>
      <w:marRight w:val="0"/>
      <w:marTop w:val="0"/>
      <w:marBottom w:val="0"/>
      <w:divBdr>
        <w:top w:val="none" w:sz="0" w:space="0" w:color="auto"/>
        <w:left w:val="none" w:sz="0" w:space="0" w:color="auto"/>
        <w:bottom w:val="none" w:sz="0" w:space="0" w:color="auto"/>
        <w:right w:val="none" w:sz="0" w:space="0" w:color="auto"/>
      </w:divBdr>
    </w:div>
    <w:div w:id="279145611">
      <w:bodyDiv w:val="1"/>
      <w:marLeft w:val="0"/>
      <w:marRight w:val="0"/>
      <w:marTop w:val="0"/>
      <w:marBottom w:val="0"/>
      <w:divBdr>
        <w:top w:val="none" w:sz="0" w:space="0" w:color="auto"/>
        <w:left w:val="none" w:sz="0" w:space="0" w:color="auto"/>
        <w:bottom w:val="none" w:sz="0" w:space="0" w:color="auto"/>
        <w:right w:val="none" w:sz="0" w:space="0" w:color="auto"/>
      </w:divBdr>
    </w:div>
    <w:div w:id="400251306">
      <w:bodyDiv w:val="1"/>
      <w:marLeft w:val="0"/>
      <w:marRight w:val="0"/>
      <w:marTop w:val="0"/>
      <w:marBottom w:val="0"/>
      <w:divBdr>
        <w:top w:val="none" w:sz="0" w:space="0" w:color="auto"/>
        <w:left w:val="none" w:sz="0" w:space="0" w:color="auto"/>
        <w:bottom w:val="none" w:sz="0" w:space="0" w:color="auto"/>
        <w:right w:val="none" w:sz="0" w:space="0" w:color="auto"/>
      </w:divBdr>
    </w:div>
    <w:div w:id="413472718">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3334356">
      <w:bodyDiv w:val="1"/>
      <w:marLeft w:val="0"/>
      <w:marRight w:val="0"/>
      <w:marTop w:val="0"/>
      <w:marBottom w:val="0"/>
      <w:divBdr>
        <w:top w:val="none" w:sz="0" w:space="0" w:color="auto"/>
        <w:left w:val="none" w:sz="0" w:space="0" w:color="auto"/>
        <w:bottom w:val="none" w:sz="0" w:space="0" w:color="auto"/>
        <w:right w:val="none" w:sz="0" w:space="0" w:color="auto"/>
      </w:divBdr>
    </w:div>
    <w:div w:id="467476162">
      <w:bodyDiv w:val="1"/>
      <w:marLeft w:val="0"/>
      <w:marRight w:val="0"/>
      <w:marTop w:val="0"/>
      <w:marBottom w:val="0"/>
      <w:divBdr>
        <w:top w:val="none" w:sz="0" w:space="0" w:color="auto"/>
        <w:left w:val="none" w:sz="0" w:space="0" w:color="auto"/>
        <w:bottom w:val="none" w:sz="0" w:space="0" w:color="auto"/>
        <w:right w:val="none" w:sz="0" w:space="0" w:color="auto"/>
      </w:divBdr>
    </w:div>
    <w:div w:id="494305023">
      <w:bodyDiv w:val="1"/>
      <w:marLeft w:val="0"/>
      <w:marRight w:val="0"/>
      <w:marTop w:val="0"/>
      <w:marBottom w:val="0"/>
      <w:divBdr>
        <w:top w:val="none" w:sz="0" w:space="0" w:color="auto"/>
        <w:left w:val="none" w:sz="0" w:space="0" w:color="auto"/>
        <w:bottom w:val="none" w:sz="0" w:space="0" w:color="auto"/>
        <w:right w:val="none" w:sz="0" w:space="0" w:color="auto"/>
      </w:divBdr>
    </w:div>
    <w:div w:id="583346807">
      <w:bodyDiv w:val="1"/>
      <w:marLeft w:val="0"/>
      <w:marRight w:val="0"/>
      <w:marTop w:val="0"/>
      <w:marBottom w:val="0"/>
      <w:divBdr>
        <w:top w:val="none" w:sz="0" w:space="0" w:color="auto"/>
        <w:left w:val="none" w:sz="0" w:space="0" w:color="auto"/>
        <w:bottom w:val="none" w:sz="0" w:space="0" w:color="auto"/>
        <w:right w:val="none" w:sz="0" w:space="0" w:color="auto"/>
      </w:divBdr>
    </w:div>
    <w:div w:id="602760344">
      <w:bodyDiv w:val="1"/>
      <w:marLeft w:val="0"/>
      <w:marRight w:val="0"/>
      <w:marTop w:val="0"/>
      <w:marBottom w:val="0"/>
      <w:divBdr>
        <w:top w:val="none" w:sz="0" w:space="0" w:color="auto"/>
        <w:left w:val="none" w:sz="0" w:space="0" w:color="auto"/>
        <w:bottom w:val="none" w:sz="0" w:space="0" w:color="auto"/>
        <w:right w:val="none" w:sz="0" w:space="0" w:color="auto"/>
      </w:divBdr>
    </w:div>
    <w:div w:id="620723956">
      <w:bodyDiv w:val="1"/>
      <w:marLeft w:val="0"/>
      <w:marRight w:val="0"/>
      <w:marTop w:val="0"/>
      <w:marBottom w:val="0"/>
      <w:divBdr>
        <w:top w:val="none" w:sz="0" w:space="0" w:color="auto"/>
        <w:left w:val="none" w:sz="0" w:space="0" w:color="auto"/>
        <w:bottom w:val="none" w:sz="0" w:space="0" w:color="auto"/>
        <w:right w:val="none" w:sz="0" w:space="0" w:color="auto"/>
      </w:divBdr>
    </w:div>
    <w:div w:id="659776274">
      <w:bodyDiv w:val="1"/>
      <w:marLeft w:val="0"/>
      <w:marRight w:val="0"/>
      <w:marTop w:val="0"/>
      <w:marBottom w:val="0"/>
      <w:divBdr>
        <w:top w:val="none" w:sz="0" w:space="0" w:color="auto"/>
        <w:left w:val="none" w:sz="0" w:space="0" w:color="auto"/>
        <w:bottom w:val="none" w:sz="0" w:space="0" w:color="auto"/>
        <w:right w:val="none" w:sz="0" w:space="0" w:color="auto"/>
      </w:divBdr>
    </w:div>
    <w:div w:id="665747447">
      <w:bodyDiv w:val="1"/>
      <w:marLeft w:val="0"/>
      <w:marRight w:val="0"/>
      <w:marTop w:val="0"/>
      <w:marBottom w:val="0"/>
      <w:divBdr>
        <w:top w:val="none" w:sz="0" w:space="0" w:color="auto"/>
        <w:left w:val="none" w:sz="0" w:space="0" w:color="auto"/>
        <w:bottom w:val="none" w:sz="0" w:space="0" w:color="auto"/>
        <w:right w:val="none" w:sz="0" w:space="0" w:color="auto"/>
      </w:divBdr>
    </w:div>
    <w:div w:id="727260887">
      <w:bodyDiv w:val="1"/>
      <w:marLeft w:val="0"/>
      <w:marRight w:val="0"/>
      <w:marTop w:val="0"/>
      <w:marBottom w:val="0"/>
      <w:divBdr>
        <w:top w:val="none" w:sz="0" w:space="0" w:color="auto"/>
        <w:left w:val="none" w:sz="0" w:space="0" w:color="auto"/>
        <w:bottom w:val="none" w:sz="0" w:space="0" w:color="auto"/>
        <w:right w:val="none" w:sz="0" w:space="0" w:color="auto"/>
      </w:divBdr>
    </w:div>
    <w:div w:id="776871881">
      <w:bodyDiv w:val="1"/>
      <w:marLeft w:val="0"/>
      <w:marRight w:val="0"/>
      <w:marTop w:val="0"/>
      <w:marBottom w:val="0"/>
      <w:divBdr>
        <w:top w:val="none" w:sz="0" w:space="0" w:color="auto"/>
        <w:left w:val="none" w:sz="0" w:space="0" w:color="auto"/>
        <w:bottom w:val="none" w:sz="0" w:space="0" w:color="auto"/>
        <w:right w:val="none" w:sz="0" w:space="0" w:color="auto"/>
      </w:divBdr>
    </w:div>
    <w:div w:id="779183629">
      <w:bodyDiv w:val="1"/>
      <w:marLeft w:val="0"/>
      <w:marRight w:val="0"/>
      <w:marTop w:val="0"/>
      <w:marBottom w:val="0"/>
      <w:divBdr>
        <w:top w:val="none" w:sz="0" w:space="0" w:color="auto"/>
        <w:left w:val="none" w:sz="0" w:space="0" w:color="auto"/>
        <w:bottom w:val="none" w:sz="0" w:space="0" w:color="auto"/>
        <w:right w:val="none" w:sz="0" w:space="0" w:color="auto"/>
      </w:divBdr>
    </w:div>
    <w:div w:id="898327663">
      <w:bodyDiv w:val="1"/>
      <w:marLeft w:val="0"/>
      <w:marRight w:val="0"/>
      <w:marTop w:val="0"/>
      <w:marBottom w:val="0"/>
      <w:divBdr>
        <w:top w:val="none" w:sz="0" w:space="0" w:color="auto"/>
        <w:left w:val="none" w:sz="0" w:space="0" w:color="auto"/>
        <w:bottom w:val="none" w:sz="0" w:space="0" w:color="auto"/>
        <w:right w:val="none" w:sz="0" w:space="0" w:color="auto"/>
      </w:divBdr>
    </w:div>
    <w:div w:id="936451555">
      <w:bodyDiv w:val="1"/>
      <w:marLeft w:val="0"/>
      <w:marRight w:val="0"/>
      <w:marTop w:val="0"/>
      <w:marBottom w:val="0"/>
      <w:divBdr>
        <w:top w:val="none" w:sz="0" w:space="0" w:color="auto"/>
        <w:left w:val="none" w:sz="0" w:space="0" w:color="auto"/>
        <w:bottom w:val="none" w:sz="0" w:space="0" w:color="auto"/>
        <w:right w:val="none" w:sz="0" w:space="0" w:color="auto"/>
      </w:divBdr>
      <w:divsChild>
        <w:div w:id="1641153994">
          <w:marLeft w:val="446"/>
          <w:marRight w:val="0"/>
          <w:marTop w:val="0"/>
          <w:marBottom w:val="0"/>
          <w:divBdr>
            <w:top w:val="none" w:sz="0" w:space="0" w:color="auto"/>
            <w:left w:val="none" w:sz="0" w:space="0" w:color="auto"/>
            <w:bottom w:val="none" w:sz="0" w:space="0" w:color="auto"/>
            <w:right w:val="none" w:sz="0" w:space="0" w:color="auto"/>
          </w:divBdr>
        </w:div>
        <w:div w:id="192694941">
          <w:marLeft w:val="446"/>
          <w:marRight w:val="0"/>
          <w:marTop w:val="0"/>
          <w:marBottom w:val="0"/>
          <w:divBdr>
            <w:top w:val="none" w:sz="0" w:space="0" w:color="auto"/>
            <w:left w:val="none" w:sz="0" w:space="0" w:color="auto"/>
            <w:bottom w:val="none" w:sz="0" w:space="0" w:color="auto"/>
            <w:right w:val="none" w:sz="0" w:space="0" w:color="auto"/>
          </w:divBdr>
        </w:div>
        <w:div w:id="587081181">
          <w:marLeft w:val="360"/>
          <w:marRight w:val="0"/>
          <w:marTop w:val="0"/>
          <w:marBottom w:val="0"/>
          <w:divBdr>
            <w:top w:val="none" w:sz="0" w:space="0" w:color="auto"/>
            <w:left w:val="none" w:sz="0" w:space="0" w:color="auto"/>
            <w:bottom w:val="none" w:sz="0" w:space="0" w:color="auto"/>
            <w:right w:val="none" w:sz="0" w:space="0" w:color="auto"/>
          </w:divBdr>
        </w:div>
        <w:div w:id="1128399306">
          <w:marLeft w:val="360"/>
          <w:marRight w:val="0"/>
          <w:marTop w:val="0"/>
          <w:marBottom w:val="0"/>
          <w:divBdr>
            <w:top w:val="none" w:sz="0" w:space="0" w:color="auto"/>
            <w:left w:val="none" w:sz="0" w:space="0" w:color="auto"/>
            <w:bottom w:val="none" w:sz="0" w:space="0" w:color="auto"/>
            <w:right w:val="none" w:sz="0" w:space="0" w:color="auto"/>
          </w:divBdr>
        </w:div>
        <w:div w:id="1508591155">
          <w:marLeft w:val="360"/>
          <w:marRight w:val="0"/>
          <w:marTop w:val="0"/>
          <w:marBottom w:val="0"/>
          <w:divBdr>
            <w:top w:val="none" w:sz="0" w:space="0" w:color="auto"/>
            <w:left w:val="none" w:sz="0" w:space="0" w:color="auto"/>
            <w:bottom w:val="none" w:sz="0" w:space="0" w:color="auto"/>
            <w:right w:val="none" w:sz="0" w:space="0" w:color="auto"/>
          </w:divBdr>
        </w:div>
        <w:div w:id="263340438">
          <w:marLeft w:val="1166"/>
          <w:marRight w:val="0"/>
          <w:marTop w:val="0"/>
          <w:marBottom w:val="0"/>
          <w:divBdr>
            <w:top w:val="none" w:sz="0" w:space="0" w:color="auto"/>
            <w:left w:val="none" w:sz="0" w:space="0" w:color="auto"/>
            <w:bottom w:val="none" w:sz="0" w:space="0" w:color="auto"/>
            <w:right w:val="none" w:sz="0" w:space="0" w:color="auto"/>
          </w:divBdr>
        </w:div>
        <w:div w:id="1803959707">
          <w:marLeft w:val="1166"/>
          <w:marRight w:val="0"/>
          <w:marTop w:val="0"/>
          <w:marBottom w:val="0"/>
          <w:divBdr>
            <w:top w:val="none" w:sz="0" w:space="0" w:color="auto"/>
            <w:left w:val="none" w:sz="0" w:space="0" w:color="auto"/>
            <w:bottom w:val="none" w:sz="0" w:space="0" w:color="auto"/>
            <w:right w:val="none" w:sz="0" w:space="0" w:color="auto"/>
          </w:divBdr>
        </w:div>
        <w:div w:id="119417726">
          <w:marLeft w:val="446"/>
          <w:marRight w:val="0"/>
          <w:marTop w:val="0"/>
          <w:marBottom w:val="0"/>
          <w:divBdr>
            <w:top w:val="none" w:sz="0" w:space="0" w:color="auto"/>
            <w:left w:val="none" w:sz="0" w:space="0" w:color="auto"/>
            <w:bottom w:val="none" w:sz="0" w:space="0" w:color="auto"/>
            <w:right w:val="none" w:sz="0" w:space="0" w:color="auto"/>
          </w:divBdr>
        </w:div>
        <w:div w:id="1090084742">
          <w:marLeft w:val="446"/>
          <w:marRight w:val="0"/>
          <w:marTop w:val="0"/>
          <w:marBottom w:val="0"/>
          <w:divBdr>
            <w:top w:val="none" w:sz="0" w:space="0" w:color="auto"/>
            <w:left w:val="none" w:sz="0" w:space="0" w:color="auto"/>
            <w:bottom w:val="none" w:sz="0" w:space="0" w:color="auto"/>
            <w:right w:val="none" w:sz="0" w:space="0" w:color="auto"/>
          </w:divBdr>
        </w:div>
      </w:divsChild>
    </w:div>
    <w:div w:id="1075736463">
      <w:bodyDiv w:val="1"/>
      <w:marLeft w:val="0"/>
      <w:marRight w:val="0"/>
      <w:marTop w:val="0"/>
      <w:marBottom w:val="0"/>
      <w:divBdr>
        <w:top w:val="none" w:sz="0" w:space="0" w:color="auto"/>
        <w:left w:val="none" w:sz="0" w:space="0" w:color="auto"/>
        <w:bottom w:val="none" w:sz="0" w:space="0" w:color="auto"/>
        <w:right w:val="none" w:sz="0" w:space="0" w:color="auto"/>
      </w:divBdr>
      <w:divsChild>
        <w:div w:id="1348405775">
          <w:marLeft w:val="446"/>
          <w:marRight w:val="0"/>
          <w:marTop w:val="0"/>
          <w:marBottom w:val="0"/>
          <w:divBdr>
            <w:top w:val="none" w:sz="0" w:space="0" w:color="auto"/>
            <w:left w:val="none" w:sz="0" w:space="0" w:color="auto"/>
            <w:bottom w:val="none" w:sz="0" w:space="0" w:color="auto"/>
            <w:right w:val="none" w:sz="0" w:space="0" w:color="auto"/>
          </w:divBdr>
        </w:div>
        <w:div w:id="1708294074">
          <w:marLeft w:val="446"/>
          <w:marRight w:val="0"/>
          <w:marTop w:val="0"/>
          <w:marBottom w:val="0"/>
          <w:divBdr>
            <w:top w:val="none" w:sz="0" w:space="0" w:color="auto"/>
            <w:left w:val="none" w:sz="0" w:space="0" w:color="auto"/>
            <w:bottom w:val="none" w:sz="0" w:space="0" w:color="auto"/>
            <w:right w:val="none" w:sz="0" w:space="0" w:color="auto"/>
          </w:divBdr>
        </w:div>
        <w:div w:id="969168706">
          <w:marLeft w:val="360"/>
          <w:marRight w:val="0"/>
          <w:marTop w:val="0"/>
          <w:marBottom w:val="0"/>
          <w:divBdr>
            <w:top w:val="none" w:sz="0" w:space="0" w:color="auto"/>
            <w:left w:val="none" w:sz="0" w:space="0" w:color="auto"/>
            <w:bottom w:val="none" w:sz="0" w:space="0" w:color="auto"/>
            <w:right w:val="none" w:sz="0" w:space="0" w:color="auto"/>
          </w:divBdr>
        </w:div>
        <w:div w:id="2103793173">
          <w:marLeft w:val="360"/>
          <w:marRight w:val="0"/>
          <w:marTop w:val="0"/>
          <w:marBottom w:val="0"/>
          <w:divBdr>
            <w:top w:val="none" w:sz="0" w:space="0" w:color="auto"/>
            <w:left w:val="none" w:sz="0" w:space="0" w:color="auto"/>
            <w:bottom w:val="none" w:sz="0" w:space="0" w:color="auto"/>
            <w:right w:val="none" w:sz="0" w:space="0" w:color="auto"/>
          </w:divBdr>
        </w:div>
        <w:div w:id="60568591">
          <w:marLeft w:val="360"/>
          <w:marRight w:val="0"/>
          <w:marTop w:val="0"/>
          <w:marBottom w:val="0"/>
          <w:divBdr>
            <w:top w:val="none" w:sz="0" w:space="0" w:color="auto"/>
            <w:left w:val="none" w:sz="0" w:space="0" w:color="auto"/>
            <w:bottom w:val="none" w:sz="0" w:space="0" w:color="auto"/>
            <w:right w:val="none" w:sz="0" w:space="0" w:color="auto"/>
          </w:divBdr>
        </w:div>
        <w:div w:id="1691030821">
          <w:marLeft w:val="1166"/>
          <w:marRight w:val="0"/>
          <w:marTop w:val="0"/>
          <w:marBottom w:val="0"/>
          <w:divBdr>
            <w:top w:val="none" w:sz="0" w:space="0" w:color="auto"/>
            <w:left w:val="none" w:sz="0" w:space="0" w:color="auto"/>
            <w:bottom w:val="none" w:sz="0" w:space="0" w:color="auto"/>
            <w:right w:val="none" w:sz="0" w:space="0" w:color="auto"/>
          </w:divBdr>
        </w:div>
        <w:div w:id="1106729164">
          <w:marLeft w:val="1166"/>
          <w:marRight w:val="0"/>
          <w:marTop w:val="0"/>
          <w:marBottom w:val="0"/>
          <w:divBdr>
            <w:top w:val="none" w:sz="0" w:space="0" w:color="auto"/>
            <w:left w:val="none" w:sz="0" w:space="0" w:color="auto"/>
            <w:bottom w:val="none" w:sz="0" w:space="0" w:color="auto"/>
            <w:right w:val="none" w:sz="0" w:space="0" w:color="auto"/>
          </w:divBdr>
        </w:div>
        <w:div w:id="1807042938">
          <w:marLeft w:val="446"/>
          <w:marRight w:val="0"/>
          <w:marTop w:val="0"/>
          <w:marBottom w:val="0"/>
          <w:divBdr>
            <w:top w:val="none" w:sz="0" w:space="0" w:color="auto"/>
            <w:left w:val="none" w:sz="0" w:space="0" w:color="auto"/>
            <w:bottom w:val="none" w:sz="0" w:space="0" w:color="auto"/>
            <w:right w:val="none" w:sz="0" w:space="0" w:color="auto"/>
          </w:divBdr>
        </w:div>
        <w:div w:id="797139786">
          <w:marLeft w:val="446"/>
          <w:marRight w:val="0"/>
          <w:marTop w:val="0"/>
          <w:marBottom w:val="0"/>
          <w:divBdr>
            <w:top w:val="none" w:sz="0" w:space="0" w:color="auto"/>
            <w:left w:val="none" w:sz="0" w:space="0" w:color="auto"/>
            <w:bottom w:val="none" w:sz="0" w:space="0" w:color="auto"/>
            <w:right w:val="none" w:sz="0" w:space="0" w:color="auto"/>
          </w:divBdr>
        </w:div>
      </w:divsChild>
    </w:div>
    <w:div w:id="1084375349">
      <w:bodyDiv w:val="1"/>
      <w:marLeft w:val="0"/>
      <w:marRight w:val="0"/>
      <w:marTop w:val="0"/>
      <w:marBottom w:val="0"/>
      <w:divBdr>
        <w:top w:val="none" w:sz="0" w:space="0" w:color="auto"/>
        <w:left w:val="none" w:sz="0" w:space="0" w:color="auto"/>
        <w:bottom w:val="none" w:sz="0" w:space="0" w:color="auto"/>
        <w:right w:val="none" w:sz="0" w:space="0" w:color="auto"/>
      </w:divBdr>
    </w:div>
    <w:div w:id="1106538248">
      <w:bodyDiv w:val="1"/>
      <w:marLeft w:val="0"/>
      <w:marRight w:val="0"/>
      <w:marTop w:val="0"/>
      <w:marBottom w:val="0"/>
      <w:divBdr>
        <w:top w:val="none" w:sz="0" w:space="0" w:color="auto"/>
        <w:left w:val="none" w:sz="0" w:space="0" w:color="auto"/>
        <w:bottom w:val="none" w:sz="0" w:space="0" w:color="auto"/>
        <w:right w:val="none" w:sz="0" w:space="0" w:color="auto"/>
      </w:divBdr>
    </w:div>
    <w:div w:id="1180387597">
      <w:bodyDiv w:val="1"/>
      <w:marLeft w:val="0"/>
      <w:marRight w:val="0"/>
      <w:marTop w:val="0"/>
      <w:marBottom w:val="0"/>
      <w:divBdr>
        <w:top w:val="none" w:sz="0" w:space="0" w:color="auto"/>
        <w:left w:val="none" w:sz="0" w:space="0" w:color="auto"/>
        <w:bottom w:val="none" w:sz="0" w:space="0" w:color="auto"/>
        <w:right w:val="none" w:sz="0" w:space="0" w:color="auto"/>
      </w:divBdr>
    </w:div>
    <w:div w:id="1230072105">
      <w:bodyDiv w:val="1"/>
      <w:marLeft w:val="0"/>
      <w:marRight w:val="0"/>
      <w:marTop w:val="0"/>
      <w:marBottom w:val="0"/>
      <w:divBdr>
        <w:top w:val="none" w:sz="0" w:space="0" w:color="auto"/>
        <w:left w:val="none" w:sz="0" w:space="0" w:color="auto"/>
        <w:bottom w:val="none" w:sz="0" w:space="0" w:color="auto"/>
        <w:right w:val="none" w:sz="0" w:space="0" w:color="auto"/>
      </w:divBdr>
    </w:div>
    <w:div w:id="1338581093">
      <w:bodyDiv w:val="1"/>
      <w:marLeft w:val="0"/>
      <w:marRight w:val="0"/>
      <w:marTop w:val="0"/>
      <w:marBottom w:val="0"/>
      <w:divBdr>
        <w:top w:val="none" w:sz="0" w:space="0" w:color="auto"/>
        <w:left w:val="none" w:sz="0" w:space="0" w:color="auto"/>
        <w:bottom w:val="none" w:sz="0" w:space="0" w:color="auto"/>
        <w:right w:val="none" w:sz="0" w:space="0" w:color="auto"/>
      </w:divBdr>
    </w:div>
    <w:div w:id="1394087336">
      <w:bodyDiv w:val="1"/>
      <w:marLeft w:val="0"/>
      <w:marRight w:val="0"/>
      <w:marTop w:val="0"/>
      <w:marBottom w:val="0"/>
      <w:divBdr>
        <w:top w:val="none" w:sz="0" w:space="0" w:color="auto"/>
        <w:left w:val="none" w:sz="0" w:space="0" w:color="auto"/>
        <w:bottom w:val="none" w:sz="0" w:space="0" w:color="auto"/>
        <w:right w:val="none" w:sz="0" w:space="0" w:color="auto"/>
      </w:divBdr>
    </w:div>
    <w:div w:id="14327730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753">
          <w:marLeft w:val="0"/>
          <w:marRight w:val="0"/>
          <w:marTop w:val="0"/>
          <w:marBottom w:val="240"/>
          <w:divBdr>
            <w:top w:val="none" w:sz="0" w:space="0" w:color="auto"/>
            <w:left w:val="none" w:sz="0" w:space="0" w:color="auto"/>
            <w:bottom w:val="none" w:sz="0" w:space="0" w:color="auto"/>
            <w:right w:val="none" w:sz="0" w:space="0" w:color="auto"/>
          </w:divBdr>
        </w:div>
        <w:div w:id="683046412">
          <w:marLeft w:val="0"/>
          <w:marRight w:val="0"/>
          <w:marTop w:val="0"/>
          <w:marBottom w:val="240"/>
          <w:divBdr>
            <w:top w:val="none" w:sz="0" w:space="0" w:color="auto"/>
            <w:left w:val="none" w:sz="0" w:space="0" w:color="auto"/>
            <w:bottom w:val="none" w:sz="0" w:space="0" w:color="auto"/>
            <w:right w:val="none" w:sz="0" w:space="0" w:color="auto"/>
          </w:divBdr>
        </w:div>
        <w:div w:id="1370447010">
          <w:marLeft w:val="0"/>
          <w:marRight w:val="0"/>
          <w:marTop w:val="0"/>
          <w:marBottom w:val="240"/>
          <w:divBdr>
            <w:top w:val="none" w:sz="0" w:space="0" w:color="auto"/>
            <w:left w:val="none" w:sz="0" w:space="0" w:color="auto"/>
            <w:bottom w:val="none" w:sz="0" w:space="0" w:color="auto"/>
            <w:right w:val="none" w:sz="0" w:space="0" w:color="auto"/>
          </w:divBdr>
        </w:div>
      </w:divsChild>
    </w:div>
    <w:div w:id="1476754975">
      <w:bodyDiv w:val="1"/>
      <w:marLeft w:val="0"/>
      <w:marRight w:val="0"/>
      <w:marTop w:val="0"/>
      <w:marBottom w:val="0"/>
      <w:divBdr>
        <w:top w:val="none" w:sz="0" w:space="0" w:color="auto"/>
        <w:left w:val="none" w:sz="0" w:space="0" w:color="auto"/>
        <w:bottom w:val="none" w:sz="0" w:space="0" w:color="auto"/>
        <w:right w:val="none" w:sz="0" w:space="0" w:color="auto"/>
      </w:divBdr>
    </w:div>
    <w:div w:id="1528257174">
      <w:bodyDiv w:val="1"/>
      <w:marLeft w:val="0"/>
      <w:marRight w:val="0"/>
      <w:marTop w:val="0"/>
      <w:marBottom w:val="0"/>
      <w:divBdr>
        <w:top w:val="none" w:sz="0" w:space="0" w:color="auto"/>
        <w:left w:val="none" w:sz="0" w:space="0" w:color="auto"/>
        <w:bottom w:val="none" w:sz="0" w:space="0" w:color="auto"/>
        <w:right w:val="none" w:sz="0" w:space="0" w:color="auto"/>
      </w:divBdr>
    </w:div>
    <w:div w:id="1571040363">
      <w:bodyDiv w:val="1"/>
      <w:marLeft w:val="0"/>
      <w:marRight w:val="0"/>
      <w:marTop w:val="0"/>
      <w:marBottom w:val="0"/>
      <w:divBdr>
        <w:top w:val="none" w:sz="0" w:space="0" w:color="auto"/>
        <w:left w:val="none" w:sz="0" w:space="0" w:color="auto"/>
        <w:bottom w:val="none" w:sz="0" w:space="0" w:color="auto"/>
        <w:right w:val="none" w:sz="0" w:space="0" w:color="auto"/>
      </w:divBdr>
    </w:div>
    <w:div w:id="1651251284">
      <w:bodyDiv w:val="1"/>
      <w:marLeft w:val="0"/>
      <w:marRight w:val="0"/>
      <w:marTop w:val="0"/>
      <w:marBottom w:val="0"/>
      <w:divBdr>
        <w:top w:val="none" w:sz="0" w:space="0" w:color="auto"/>
        <w:left w:val="none" w:sz="0" w:space="0" w:color="auto"/>
        <w:bottom w:val="none" w:sz="0" w:space="0" w:color="auto"/>
        <w:right w:val="none" w:sz="0" w:space="0" w:color="auto"/>
      </w:divBdr>
    </w:div>
    <w:div w:id="1784617244">
      <w:bodyDiv w:val="1"/>
      <w:marLeft w:val="0"/>
      <w:marRight w:val="0"/>
      <w:marTop w:val="0"/>
      <w:marBottom w:val="0"/>
      <w:divBdr>
        <w:top w:val="none" w:sz="0" w:space="0" w:color="auto"/>
        <w:left w:val="none" w:sz="0" w:space="0" w:color="auto"/>
        <w:bottom w:val="none" w:sz="0" w:space="0" w:color="auto"/>
        <w:right w:val="none" w:sz="0" w:space="0" w:color="auto"/>
      </w:divBdr>
      <w:divsChild>
        <w:div w:id="532545612">
          <w:marLeft w:val="446"/>
          <w:marRight w:val="0"/>
          <w:marTop w:val="0"/>
          <w:marBottom w:val="0"/>
          <w:divBdr>
            <w:top w:val="none" w:sz="0" w:space="0" w:color="auto"/>
            <w:left w:val="none" w:sz="0" w:space="0" w:color="auto"/>
            <w:bottom w:val="none" w:sz="0" w:space="0" w:color="auto"/>
            <w:right w:val="none" w:sz="0" w:space="0" w:color="auto"/>
          </w:divBdr>
        </w:div>
        <w:div w:id="287053664">
          <w:marLeft w:val="446"/>
          <w:marRight w:val="0"/>
          <w:marTop w:val="0"/>
          <w:marBottom w:val="0"/>
          <w:divBdr>
            <w:top w:val="none" w:sz="0" w:space="0" w:color="auto"/>
            <w:left w:val="none" w:sz="0" w:space="0" w:color="auto"/>
            <w:bottom w:val="none" w:sz="0" w:space="0" w:color="auto"/>
            <w:right w:val="none" w:sz="0" w:space="0" w:color="auto"/>
          </w:divBdr>
        </w:div>
        <w:div w:id="752432608">
          <w:marLeft w:val="360"/>
          <w:marRight w:val="0"/>
          <w:marTop w:val="0"/>
          <w:marBottom w:val="0"/>
          <w:divBdr>
            <w:top w:val="none" w:sz="0" w:space="0" w:color="auto"/>
            <w:left w:val="none" w:sz="0" w:space="0" w:color="auto"/>
            <w:bottom w:val="none" w:sz="0" w:space="0" w:color="auto"/>
            <w:right w:val="none" w:sz="0" w:space="0" w:color="auto"/>
          </w:divBdr>
        </w:div>
        <w:div w:id="261954925">
          <w:marLeft w:val="360"/>
          <w:marRight w:val="0"/>
          <w:marTop w:val="0"/>
          <w:marBottom w:val="0"/>
          <w:divBdr>
            <w:top w:val="none" w:sz="0" w:space="0" w:color="auto"/>
            <w:left w:val="none" w:sz="0" w:space="0" w:color="auto"/>
            <w:bottom w:val="none" w:sz="0" w:space="0" w:color="auto"/>
            <w:right w:val="none" w:sz="0" w:space="0" w:color="auto"/>
          </w:divBdr>
        </w:div>
        <w:div w:id="1984190961">
          <w:marLeft w:val="360"/>
          <w:marRight w:val="0"/>
          <w:marTop w:val="0"/>
          <w:marBottom w:val="0"/>
          <w:divBdr>
            <w:top w:val="none" w:sz="0" w:space="0" w:color="auto"/>
            <w:left w:val="none" w:sz="0" w:space="0" w:color="auto"/>
            <w:bottom w:val="none" w:sz="0" w:space="0" w:color="auto"/>
            <w:right w:val="none" w:sz="0" w:space="0" w:color="auto"/>
          </w:divBdr>
        </w:div>
        <w:div w:id="1416778435">
          <w:marLeft w:val="1166"/>
          <w:marRight w:val="0"/>
          <w:marTop w:val="0"/>
          <w:marBottom w:val="0"/>
          <w:divBdr>
            <w:top w:val="none" w:sz="0" w:space="0" w:color="auto"/>
            <w:left w:val="none" w:sz="0" w:space="0" w:color="auto"/>
            <w:bottom w:val="none" w:sz="0" w:space="0" w:color="auto"/>
            <w:right w:val="none" w:sz="0" w:space="0" w:color="auto"/>
          </w:divBdr>
        </w:div>
        <w:div w:id="2128772095">
          <w:marLeft w:val="1166"/>
          <w:marRight w:val="0"/>
          <w:marTop w:val="0"/>
          <w:marBottom w:val="0"/>
          <w:divBdr>
            <w:top w:val="none" w:sz="0" w:space="0" w:color="auto"/>
            <w:left w:val="none" w:sz="0" w:space="0" w:color="auto"/>
            <w:bottom w:val="none" w:sz="0" w:space="0" w:color="auto"/>
            <w:right w:val="none" w:sz="0" w:space="0" w:color="auto"/>
          </w:divBdr>
        </w:div>
        <w:div w:id="1765803684">
          <w:marLeft w:val="446"/>
          <w:marRight w:val="0"/>
          <w:marTop w:val="0"/>
          <w:marBottom w:val="0"/>
          <w:divBdr>
            <w:top w:val="none" w:sz="0" w:space="0" w:color="auto"/>
            <w:left w:val="none" w:sz="0" w:space="0" w:color="auto"/>
            <w:bottom w:val="none" w:sz="0" w:space="0" w:color="auto"/>
            <w:right w:val="none" w:sz="0" w:space="0" w:color="auto"/>
          </w:divBdr>
        </w:div>
        <w:div w:id="978997036">
          <w:marLeft w:val="446"/>
          <w:marRight w:val="0"/>
          <w:marTop w:val="0"/>
          <w:marBottom w:val="0"/>
          <w:divBdr>
            <w:top w:val="none" w:sz="0" w:space="0" w:color="auto"/>
            <w:left w:val="none" w:sz="0" w:space="0" w:color="auto"/>
            <w:bottom w:val="none" w:sz="0" w:space="0" w:color="auto"/>
            <w:right w:val="none" w:sz="0" w:space="0" w:color="auto"/>
          </w:divBdr>
        </w:div>
      </w:divsChild>
    </w:div>
    <w:div w:id="1822916495">
      <w:bodyDiv w:val="1"/>
      <w:marLeft w:val="0"/>
      <w:marRight w:val="0"/>
      <w:marTop w:val="0"/>
      <w:marBottom w:val="0"/>
      <w:divBdr>
        <w:top w:val="none" w:sz="0" w:space="0" w:color="auto"/>
        <w:left w:val="none" w:sz="0" w:space="0" w:color="auto"/>
        <w:bottom w:val="none" w:sz="0" w:space="0" w:color="auto"/>
        <w:right w:val="none" w:sz="0" w:space="0" w:color="auto"/>
      </w:divBdr>
    </w:div>
    <w:div w:id="1918589522">
      <w:bodyDiv w:val="1"/>
      <w:marLeft w:val="0"/>
      <w:marRight w:val="0"/>
      <w:marTop w:val="0"/>
      <w:marBottom w:val="0"/>
      <w:divBdr>
        <w:top w:val="none" w:sz="0" w:space="0" w:color="auto"/>
        <w:left w:val="none" w:sz="0" w:space="0" w:color="auto"/>
        <w:bottom w:val="none" w:sz="0" w:space="0" w:color="auto"/>
        <w:right w:val="none" w:sz="0" w:space="0" w:color="auto"/>
      </w:divBdr>
    </w:div>
    <w:div w:id="1969621299">
      <w:bodyDiv w:val="1"/>
      <w:marLeft w:val="0"/>
      <w:marRight w:val="0"/>
      <w:marTop w:val="0"/>
      <w:marBottom w:val="0"/>
      <w:divBdr>
        <w:top w:val="none" w:sz="0" w:space="0" w:color="auto"/>
        <w:left w:val="none" w:sz="0" w:space="0" w:color="auto"/>
        <w:bottom w:val="none" w:sz="0" w:space="0" w:color="auto"/>
        <w:right w:val="none" w:sz="0" w:space="0" w:color="auto"/>
      </w:divBdr>
    </w:div>
    <w:div w:id="2002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taxboard@treasury.gov.au" TargetMode="External"/><Relationship Id="rId39"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1.jpeg"/><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mailto:%20taxboard@treasury.gov.au" TargetMode="External"/><Relationship Id="rId33" Type="http://schemas.openxmlformats.org/officeDocument/2006/relationships/image" Target="media/image10.jpeg"/><Relationship Id="rId38"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6.jpe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axboard.gov.au" TargetMode="External"/><Relationship Id="rId32" Type="http://schemas.openxmlformats.org/officeDocument/2006/relationships/image" Target="media/image9.jpeg"/><Relationship Id="rId37" Type="http://schemas.openxmlformats.org/officeDocument/2006/relationships/image" Target="media/image13.jpeg"/><Relationship Id="rId40"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axboard.gov.au/consultation/self-initiated-review-of-the-income-tax-residency-rules-for-individuals/" TargetMode="External"/><Relationship Id="rId28" Type="http://schemas.openxmlformats.org/officeDocument/2006/relationships/package" Target="embeddings/Microsoft_PowerPoint_Slide1.sldx"/><Relationship Id="rId36" Type="http://schemas.openxmlformats.org/officeDocument/2006/relationships/hyperlink" Target="http://www.google.com.au/url?sa=i&amp;rct=j&amp;q=&amp;esrc=s&amp;frm=1&amp;source=images&amp;cd=&amp;cad=rja&amp;uact=8&amp;ved=0CAcQjRw&amp;url=http://www.cochlear.com/wps/wcm/connect/au/about/company-information/leadership-team/senior-executives&amp;ei=d6o1Vd2UIMTTmAX4gIGwBw&amp;bvm=bv.91071109,d.dGY&amp;psig=AFQjCNHvAZZU2hpB2Fi5MioGpErQIQ2cvQ&amp;ust=1429666793499622"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8.jpeg"/><Relationship Id="rId60"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_dlc_DocId xmlns="0f563589-9cf9-4143-b1eb-fb0534803d38">2018RG-355-5556</_dlc_DocId>
    <TaxCatchAll xmlns="0f563589-9cf9-4143-b1eb-fb0534803d38">
      <Value>18</Value>
    </TaxCatchAll>
    <_dlc_DocIdUrl xmlns="0f563589-9cf9-4143-b1eb-fb0534803d38">
      <Url>http://tweb/sites/rg/bots/projects/_layouts/15/DocIdRedir.aspx?ID=2018RG-355-5556</Url>
      <Description>2018RG-355-5556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4326" ma:contentTypeDescription="" ma:contentTypeScope="" ma:versionID="4c6d0f165002e1a7e2deeafb237dd472">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Boa07</b:Tag>
    <b:SourceType>Report</b:SourceType>
    <b:Guid>{8C0A7B92-1616-4964-81E5-69FDE6C642E5}</b:Guid>
    <b:Title>Scoping study of small business tax compliance costs | Report to Treasurer</b:Title>
    <b:Year>December 2007</b:Year>
    <b:Publisher>Commonwealth of Australia</b:Publisher>
    <b:Author>
      <b:Author>
        <b:Corporate>Board of Taxation</b:Corporate>
      </b:Author>
    </b:Author>
    <b:RefOrder>1</b:RefOrder>
  </b:Source>
  <b:Source>
    <b:Tag>Boa14</b:Tag>
    <b:SourceType>Report</b:SourceType>
    <b:Guid>{AFAE0FE7-41D9-4383-85F8-FD1CC36C2454}</b:Guid>
    <b:Author>
      <b:Author>
        <b:Corporate>Board of Taxation</b:Corporate>
      </b:Author>
    </b:Author>
    <b:Title>Post implementation review of Division 7A of Part III of the Income Tax Assessment Act 1936 | Report to the Assistant Treasurer </b:Title>
    <b:Year>November 2014</b:Year>
    <b:Publisher>Commonwealth of Australia</b:Publisher>
    <b:RefOrder>2</b:RefOrder>
  </b:Source>
</b:Sources>
</file>

<file path=customXml/itemProps1.xml><?xml version="1.0" encoding="utf-8"?>
<ds:datastoreItem xmlns:ds="http://schemas.openxmlformats.org/officeDocument/2006/customXml" ds:itemID="{4BE00576-36E0-41A1-A894-880D03D0FC1F}">
  <ds:schemaRefs>
    <ds:schemaRef ds:uri="office.server.policy"/>
  </ds:schemaRefs>
</ds:datastoreItem>
</file>

<file path=customXml/itemProps2.xml><?xml version="1.0" encoding="utf-8"?>
<ds:datastoreItem xmlns:ds="http://schemas.openxmlformats.org/officeDocument/2006/customXml" ds:itemID="{CA044796-D342-4E71-9E82-BBE123E51915}">
  <ds:schemaRefs>
    <ds:schemaRef ds:uri="http://schemas.microsoft.com/sharepoint/events"/>
  </ds:schemaRefs>
</ds:datastoreItem>
</file>

<file path=customXml/itemProps3.xml><?xml version="1.0" encoding="utf-8"?>
<ds:datastoreItem xmlns:ds="http://schemas.openxmlformats.org/officeDocument/2006/customXml" ds:itemID="{E693A0AA-3714-4EC9-BAAD-C5B0DDA1A3BC}">
  <ds:schemaRefs>
    <ds:schemaRef ds:uri="http://schemas.microsoft.com/sharepoint/v3/contenttype/forms"/>
  </ds:schemaRefs>
</ds:datastoreItem>
</file>

<file path=customXml/itemProps4.xml><?xml version="1.0" encoding="utf-8"?>
<ds:datastoreItem xmlns:ds="http://schemas.openxmlformats.org/officeDocument/2006/customXml" ds:itemID="{C493AB89-7EED-41B5-B94F-27DD9B6E96A7}">
  <ds:schemaRefs>
    <ds:schemaRef ds:uri="http://schemas.microsoft.com/office/infopath/2007/PartnerControls"/>
    <ds:schemaRef ds:uri="9f7bc583-7cbe-45b9-a2bd-8bbb6543b37e"/>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sharepoint/v4"/>
    <ds:schemaRef ds:uri="0f563589-9cf9-4143-b1eb-fb0534803d38"/>
    <ds:schemaRef ds:uri="http://schemas.microsoft.com/sharepoint/v3"/>
  </ds:schemaRefs>
</ds:datastoreItem>
</file>

<file path=customXml/itemProps5.xml><?xml version="1.0" encoding="utf-8"?>
<ds:datastoreItem xmlns:ds="http://schemas.openxmlformats.org/officeDocument/2006/customXml" ds:itemID="{56EE45AD-31E7-4EB6-85C5-1D69F14E6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4B6284-8DF3-4C87-93DB-07D6263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Scarano, David</dc:creator>
  <cp:lastModifiedBy>Stephen Dodshon</cp:lastModifiedBy>
  <cp:revision>6</cp:revision>
  <cp:lastPrinted>2018-09-24T06:14:00Z</cp:lastPrinted>
  <dcterms:created xsi:type="dcterms:W3CDTF">2018-09-21T06:57:00Z</dcterms:created>
  <dcterms:modified xsi:type="dcterms:W3CDTF">2018-09-24T06:14:00Z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ingDocStatus">
    <vt:lpwstr/>
  </property>
  <property fmtid="{D5CDD505-2E9C-101B-9397-08002B2CF9AE}" pid="4" name="_AdHocReviewCycleID">
    <vt:i4>-460019366</vt:i4>
  </property>
  <property fmtid="{D5CDD505-2E9C-101B-9397-08002B2CF9AE}" pid="5" name="_EmailSubject">
    <vt:lpwstr>Mockup Approval needed for: #329850. [SEC=UNCLASSIFIED]</vt:lpwstr>
  </property>
  <property fmtid="{D5CDD505-2E9C-101B-9397-08002B2CF9AE}" pid="6" name="_AuthorEmail">
    <vt:lpwstr>Paul.Atkinson@TREASURY.GOV.AU</vt:lpwstr>
  </property>
  <property fmtid="{D5CDD505-2E9C-101B-9397-08002B2CF9AE}" pid="7" name="_AuthorEmailDisplayName">
    <vt:lpwstr>Atkinson, Paul</vt:lpwstr>
  </property>
  <property fmtid="{D5CDD505-2E9C-101B-9397-08002B2CF9AE}" pid="8" name="_PreviousAdHocReviewCycleID">
    <vt:i4>262615732</vt:i4>
  </property>
  <property fmtid="{D5CDD505-2E9C-101B-9397-08002B2CF9AE}" pid="9" name="ContentTypeId">
    <vt:lpwstr>0x01010036BB8DE7EC542E42A8B2E98CC20CB697007F2E04CA2AAA104DB2D93AC73B6CBA42</vt:lpwstr>
  </property>
  <property fmtid="{D5CDD505-2E9C-101B-9397-08002B2CF9AE}" pid="10" name="TSYRecordClass">
    <vt:lpwstr>18;#GRA26-21135 - Retain as national archives|f1e1d764-3604-4ca6-bc54-6b106e291d6f</vt:lpwstr>
  </property>
  <property fmtid="{D5CDD505-2E9C-101B-9397-08002B2CF9AE}" pid="11" name="RecordPoint_WorkflowType">
    <vt:lpwstr>ActiveSubmitStub</vt:lpwstr>
  </property>
  <property fmtid="{D5CDD505-2E9C-101B-9397-08002B2CF9AE}" pid="12" name="RecordPoint_ActiveItemSiteId">
    <vt:lpwstr>{de902461-0703-410e-906b-a2e3a4f5dd57}</vt:lpwstr>
  </property>
  <property fmtid="{D5CDD505-2E9C-101B-9397-08002B2CF9AE}" pid="13" name="RecordPoint_ActiveItemListId">
    <vt:lpwstr>{1a5197ea-2690-47fd-a085-19629528b6d0}</vt:lpwstr>
  </property>
  <property fmtid="{D5CDD505-2E9C-101B-9397-08002B2CF9AE}" pid="14" name="RecordPoint_ActiveItemUniqueId">
    <vt:lpwstr>{b14bf821-de3d-46a1-bcdb-26a69724059d}</vt:lpwstr>
  </property>
  <property fmtid="{D5CDD505-2E9C-101B-9397-08002B2CF9AE}" pid="15" name="RecordPoint_ActiveItemWebId">
    <vt:lpwstr>{e237d495-0881-4849-ae62-ddc8a8132df5}</vt:lpwstr>
  </property>
  <property fmtid="{D5CDD505-2E9C-101B-9397-08002B2CF9AE}" pid="16" name="_dlc_DocIdItemGuid">
    <vt:lpwstr>12b22a2a-e726-4b60-b3b1-0877ed855177</vt:lpwstr>
  </property>
</Properties>
</file>