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word/people.xml" ContentType="application/vnd.openxmlformats-officedocument.wordprocessingml.people+xml"/>
  <Override PartName="/docProps/custom.xml" ContentType="application/vnd.openxmlformats-officedocument.custom-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8D92F2" w14:textId="77777777" w:rsidR="00E2465B" w:rsidRDefault="00E2465B" w:rsidP="00E2465B">
      <w:pPr>
        <w:spacing w:after="0"/>
        <w:ind w:left="-882" w:right="-878"/>
      </w:pPr>
    </w:p>
    <w:p w14:paraId="0F4B25BC" w14:textId="77777777" w:rsidR="00E2465B" w:rsidRDefault="00E2465B" w:rsidP="00E2465B">
      <w:pPr>
        <w:spacing w:after="0"/>
        <w:ind w:left="-882" w:right="-878"/>
        <w:jc w:val="center"/>
        <w:sectPr w:rsidR="00E2465B">
          <w:pgSz w:w="11906" w:h="16838"/>
          <w:pgMar w:top="563" w:right="1440" w:bottom="569" w:left="1440" w:header="720" w:footer="720" w:gutter="0"/>
          <w:cols w:space="720"/>
        </w:sectPr>
      </w:pPr>
      <w:r>
        <w:rPr>
          <w:noProof/>
        </w:rPr>
        <w:drawing>
          <wp:inline distT="0" distB="0" distL="0" distR="0" wp14:anchorId="1A867036" wp14:editId="328B75ED">
            <wp:extent cx="6544733" cy="9709012"/>
            <wp:effectExtent l="0" t="0" r="889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46332" cy="9711384"/>
                    </a:xfrm>
                    <a:prstGeom prst="rect">
                      <a:avLst/>
                    </a:prstGeom>
                    <a:noFill/>
                    <a:ln>
                      <a:noFill/>
                    </a:ln>
                  </pic:spPr>
                </pic:pic>
              </a:graphicData>
            </a:graphic>
          </wp:inline>
        </w:drawing>
      </w:r>
    </w:p>
    <w:p w14:paraId="50F34C47" w14:textId="77777777" w:rsidR="00E2465B" w:rsidRDefault="00E2465B" w:rsidP="00E2465B">
      <w:pPr>
        <w:spacing w:after="0"/>
        <w:ind w:left="-882" w:right="-878"/>
      </w:pPr>
    </w:p>
    <w:p w14:paraId="20C2155D" w14:textId="77777777" w:rsidR="00E2465B" w:rsidRDefault="00E2465B" w:rsidP="00E2465B">
      <w:pPr>
        <w:spacing w:after="0"/>
        <w:ind w:left="-882" w:right="-878"/>
      </w:pPr>
    </w:p>
    <w:p w14:paraId="50BA54E5" w14:textId="77777777" w:rsidR="00E2465B" w:rsidRDefault="00E2465B" w:rsidP="00E2465B">
      <w:pPr>
        <w:spacing w:after="0"/>
        <w:ind w:left="-882" w:right="-878"/>
        <w:jc w:val="center"/>
      </w:pPr>
      <w:r>
        <w:rPr>
          <w:noProof/>
        </w:rPr>
        <mc:AlternateContent>
          <mc:Choice Requires="wps">
            <w:drawing>
              <wp:anchor distT="0" distB="0" distL="114300" distR="114300" simplePos="0" relativeHeight="251659264" behindDoc="0" locked="0" layoutInCell="1" allowOverlap="1" wp14:anchorId="2B37C251" wp14:editId="15266044">
                <wp:simplePos x="0" y="0"/>
                <wp:positionH relativeFrom="column">
                  <wp:posOffset>2095501</wp:posOffset>
                </wp:positionH>
                <wp:positionV relativeFrom="paragraph">
                  <wp:posOffset>366395</wp:posOffset>
                </wp:positionV>
                <wp:extent cx="1087332" cy="309034"/>
                <wp:effectExtent l="0" t="0" r="0" b="0"/>
                <wp:wrapNone/>
                <wp:docPr id="6" name="Text Box 6"/>
                <wp:cNvGraphicFramePr/>
                <a:graphic xmlns:a="http://schemas.openxmlformats.org/drawingml/2006/main">
                  <a:graphicData uri="http://schemas.microsoft.com/office/word/2010/wordprocessingShape">
                    <wps:wsp>
                      <wps:cNvSpPr txBox="1"/>
                      <wps:spPr>
                        <a:xfrm>
                          <a:off x="0" y="0"/>
                          <a:ext cx="1087332" cy="3090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CF739B" w14:textId="77777777" w:rsidR="00E2465B" w:rsidRPr="00094AA2" w:rsidRDefault="00E2465B" w:rsidP="00E2465B">
                            <w:pPr>
                              <w:rPr>
                                <w:rFonts w:ascii="Times New Roman" w:hAnsi="Times New Roman" w:cs="Times New Roman"/>
                                <w:sz w:val="20"/>
                                <w:szCs w:val="20"/>
                              </w:rPr>
                            </w:pPr>
                            <w:r w:rsidRPr="00094AA2">
                              <w:rPr>
                                <w:rFonts w:ascii="Times New Roman" w:hAnsi="Times New Roman" w:cs="Times New Roman"/>
                                <w:sz w:val="20"/>
                                <w:szCs w:val="20"/>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65pt;margin-top:28.85pt;width:85.6pt;height:2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oQgiQIAAIoFAAAOAAAAZHJzL2Uyb0RvYy54bWysVEtv2zAMvg/YfxB0X+08+griFFmLDgOK&#10;tlg79KzIUiJMEjVJiZ39+lGy81jXS4ddbEr8SIofH9Or1miyET4osBUdnJSUCMuhVnZZ0e/Pt58u&#10;KAmR2ZppsKKiWxHo1ezjh2njJmIIK9C18ASd2DBpXEVXMbpJUQS+EoaFE3DColKCNyzi0S+L2rMG&#10;vRtdDMvyrGjA184DFyHg7U2npLPsX0rB44OUQUSiK4pvi/nr83eRvsVsyiZLz9xK8f4Z7B9eYZiy&#10;GHTv6oZFRtZe/eXKKO4hgIwnHEwBUioucg6YzaB8lc3TijmRc0FygtvTFP6fW36/efRE1RU9o8Qy&#10;gyV6Fm0kn6ElZ4mdxoUJgp4cwmKL11jl3X3Ay5R0K71Jf0yHoB553u65Tc54MiovzkejISUcdaPy&#10;shyNk5viYO18iF8EGJKEinqsXaaUbe5C7KA7SAoWQKv6VmmdD6lfxLX2ZMOw0jrmN6LzP1DakgYT&#10;HZ2W2bGFZN551ja5Eblj+nAp8y7DLMWtFgmj7TchkbGc6BuxGefC7uNndEJJDPUewx5/eNV7jLs8&#10;0CJHBhv3xkZZ8Dn7PGIHyuofO8pkh8faHOWdxNgu2r4jFlBvsSE8dAMVHL9VWLU7FuIj8zhB2AO4&#10;FeIDfqQGZB16iZIV+F9v3Sc8NjZqKWlwIisafq6ZF5TorxZb/nIwHqcRzofx6fkQD/5YszjW2LW5&#10;BmyFAe4fx7OY8FHvROnBvODymKeoqGKWY+yKxp14Hbs9gcuHi/k8g3BoHYt39snx5DrRm3ryuX1h&#10;3vWNG7Hl72E3u2zyqn87bLK0MF9HkCo3dyK4Y7UnHgc+j0e/nNJGOT5n1GGFzn4DAAD//wMAUEsD&#10;BBQABgAIAAAAIQAS9rv64QAAAAoBAAAPAAAAZHJzL2Rvd25yZXYueG1sTI/LTsMwEEX3SPyDNUhs&#10;ELXb0AaFOBVCPKTuaHiInRsPSUQ8jmI3CX/PsILlaI7uPTffzq4TIw6h9aRhuVAgkCpvW6o1vJQP&#10;l9cgQjRkTecJNXxjgG1xepKbzPqJnnHcx1pwCIXMaGhi7DMpQ9WgM2HheyT+ffrBmcjnUEs7mInD&#10;XSdXSm2kMy1xQ2N6vGuw+tofnYaPi/p9F+bH1ylZJ/3901imb7bU+vxsvr0BEXGOfzD86rM6FOx0&#10;8EeyQXQakkTxlqhhnaYgGFir5QrEgUm1uQJZ5PL/hOIHAAD//wMAUEsBAi0AFAAGAAgAAAAhALaD&#10;OJL+AAAA4QEAABMAAAAAAAAAAAAAAAAAAAAAAFtDb250ZW50X1R5cGVzXS54bWxQSwECLQAUAAYA&#10;CAAAACEAOP0h/9YAAACUAQAACwAAAAAAAAAAAAAAAAAvAQAAX3JlbHMvLnJlbHNQSwECLQAUAAYA&#10;CAAAACEAyBqEIIkCAACKBQAADgAAAAAAAAAAAAAAAAAuAgAAZHJzL2Uyb0RvYy54bWxQSwECLQAU&#10;AAYACAAAACEAEva7+uEAAAAKAQAADwAAAAAAAAAAAAAAAADjBAAAZHJzL2Rvd25yZXYueG1sUEsF&#10;BgAAAAAEAAQA8wAAAPEFAAAAAA==&#10;" fillcolor="white [3201]" stroked="f" strokeweight=".5pt">
                <v:textbox>
                  <w:txbxContent>
                    <w:p w14:paraId="07CF739B" w14:textId="77777777" w:rsidR="00E2465B" w:rsidRPr="00094AA2" w:rsidRDefault="00E2465B" w:rsidP="00E2465B">
                      <w:pPr>
                        <w:rPr>
                          <w:rFonts w:ascii="Times New Roman" w:hAnsi="Times New Roman" w:cs="Times New Roman"/>
                          <w:sz w:val="20"/>
                          <w:szCs w:val="20"/>
                        </w:rPr>
                      </w:pPr>
                      <w:r w:rsidRPr="00094AA2">
                        <w:rPr>
                          <w:rFonts w:ascii="Times New Roman" w:hAnsi="Times New Roman" w:cs="Times New Roman"/>
                          <w:sz w:val="20"/>
                          <w:szCs w:val="20"/>
                        </w:rPr>
                        <w:t>2017</w:t>
                      </w:r>
                    </w:p>
                  </w:txbxContent>
                </v:textbox>
              </v:shape>
            </w:pict>
          </mc:Fallback>
        </mc:AlternateContent>
      </w:r>
      <w:r>
        <w:rPr>
          <w:noProof/>
        </w:rPr>
        <w:drawing>
          <wp:inline distT="0" distB="0" distL="0" distR="0" wp14:anchorId="7C47C513" wp14:editId="686068D4">
            <wp:extent cx="5901266" cy="8005337"/>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0831" cy="8004746"/>
                    </a:xfrm>
                    <a:prstGeom prst="rect">
                      <a:avLst/>
                    </a:prstGeom>
                    <a:noFill/>
                    <a:ln>
                      <a:noFill/>
                    </a:ln>
                  </pic:spPr>
                </pic:pic>
              </a:graphicData>
            </a:graphic>
          </wp:inline>
        </w:drawing>
      </w:r>
    </w:p>
    <w:p w14:paraId="332412AE" w14:textId="77777777" w:rsidR="00E2465B" w:rsidRDefault="00E2465B" w:rsidP="00E2465B">
      <w:pPr>
        <w:spacing w:after="0"/>
        <w:ind w:left="-882" w:right="-878"/>
        <w:sectPr w:rsidR="00E2465B">
          <w:footerReference w:type="default" r:id="rId11"/>
          <w:pgSz w:w="11906" w:h="16838"/>
          <w:pgMar w:top="1440" w:right="1440" w:bottom="1440" w:left="1440" w:header="708" w:footer="708" w:gutter="0"/>
          <w:cols w:space="708"/>
          <w:docGrid w:linePitch="360"/>
        </w:sectPr>
      </w:pPr>
    </w:p>
    <w:p w14:paraId="00C8C117" w14:textId="77777777" w:rsidR="003C0F8D" w:rsidRDefault="003C0F8D" w:rsidP="003C0F8D">
      <w:pPr>
        <w:pStyle w:val="Heading2"/>
      </w:pPr>
      <w:bookmarkStart w:id="0" w:name="_GoBack"/>
      <w:bookmarkEnd w:id="0"/>
      <w:r>
        <w:lastRenderedPageBreak/>
        <w:t>Background</w:t>
      </w:r>
    </w:p>
    <w:p w14:paraId="30A42E9A" w14:textId="77777777" w:rsidR="00F04FEA" w:rsidRDefault="00F04FEA" w:rsidP="00526B69">
      <w:pPr>
        <w:pStyle w:val="OutlineNumbered1"/>
      </w:pPr>
      <w:r>
        <w:t xml:space="preserve">A </w:t>
      </w:r>
      <w:r w:rsidR="00B262C2">
        <w:t>key objective</w:t>
      </w:r>
      <w:r>
        <w:t xml:space="preserve"> of the Board of Taxation (the Board) is to assist the Government in reducing the regulatory burden associated with taxation. This </w:t>
      </w:r>
      <w:r w:rsidR="00B262C2">
        <w:t>objective</w:t>
      </w:r>
      <w:r>
        <w:t xml:space="preserve"> has arisen </w:t>
      </w:r>
      <w:r w:rsidR="00CD3BB1">
        <w:t xml:space="preserve">both </w:t>
      </w:r>
      <w:r>
        <w:t>from the Board’s role as the Ministerial Advisory Council (MAC) for tax matters and from its general mandate to contribute to the improvement to the general integrity and functioning of the taxation system.</w:t>
      </w:r>
    </w:p>
    <w:p w14:paraId="259C99F9" w14:textId="77777777" w:rsidR="00F04FEA" w:rsidRDefault="00F04FEA" w:rsidP="00526B69">
      <w:pPr>
        <w:pStyle w:val="OutlineNumbered1"/>
      </w:pPr>
      <w:r>
        <w:t>The Government’s regulation reform agenda includes the establishment of stakeholder consultation mechanisms, or MACs. MACs are comprised of business, not for profit and other industry stakeholders</w:t>
      </w:r>
      <w:r w:rsidR="00B262C2">
        <w:t>. T</w:t>
      </w:r>
      <w:r>
        <w:t xml:space="preserve">hey provide advice to Ministers and their respective departments on opportunities to reduce red and green tape as well as provide a broader consultation mechanism on policy matters. </w:t>
      </w:r>
    </w:p>
    <w:p w14:paraId="03CBA423" w14:textId="77777777" w:rsidR="00F04FEA" w:rsidRDefault="00F04FEA" w:rsidP="00526B69">
      <w:pPr>
        <w:pStyle w:val="OutlineNumbered1"/>
      </w:pPr>
      <w:r>
        <w:t xml:space="preserve">In fulfilling the MAC role the Board </w:t>
      </w:r>
      <w:r w:rsidR="00B262C2">
        <w:t>has been tasked to</w:t>
      </w:r>
      <w:r>
        <w:t>:</w:t>
      </w:r>
    </w:p>
    <w:p w14:paraId="3664972A" w14:textId="77777777" w:rsidR="00F04FEA" w:rsidRDefault="00F04FEA" w:rsidP="009B63BE">
      <w:pPr>
        <w:pStyle w:val="Bullet"/>
      </w:pPr>
      <w:r>
        <w:t>identify potential targets for regulatory reform (for example, areas of inefficient regulation, excessive red tape or unnecessarily high regulatory burden);</w:t>
      </w:r>
    </w:p>
    <w:p w14:paraId="4C07EA2E" w14:textId="77777777" w:rsidR="00F04FEA" w:rsidRDefault="00F04FEA" w:rsidP="009B63BE">
      <w:pPr>
        <w:pStyle w:val="Bullet"/>
      </w:pPr>
      <w:r>
        <w:t>provide a sounding board for regulatory reform or repeal proposals;</w:t>
      </w:r>
    </w:p>
    <w:p w14:paraId="66AFC69E" w14:textId="77777777" w:rsidR="00F04FEA" w:rsidRDefault="00F04FEA" w:rsidP="009B63BE">
      <w:pPr>
        <w:pStyle w:val="Bullet"/>
      </w:pPr>
      <w:r>
        <w:t xml:space="preserve">provide feedback on the progress of regulatory reform within the </w:t>
      </w:r>
      <w:r w:rsidR="00B262C2">
        <w:t xml:space="preserve">Treasury </w:t>
      </w:r>
      <w:r>
        <w:t>portfolio; and</w:t>
      </w:r>
    </w:p>
    <w:p w14:paraId="0063886C" w14:textId="77777777" w:rsidR="00F04FEA" w:rsidRDefault="00F04FEA" w:rsidP="009B63BE">
      <w:pPr>
        <w:pStyle w:val="Bullet"/>
      </w:pPr>
      <w:r>
        <w:t>advise on broader policy issues relevant to the portfolio.</w:t>
      </w:r>
    </w:p>
    <w:p w14:paraId="057555BA" w14:textId="77777777" w:rsidR="00F04FEA" w:rsidRDefault="00F04FEA" w:rsidP="00526B69">
      <w:pPr>
        <w:pStyle w:val="OutlineNumbered1"/>
      </w:pPr>
      <w:r>
        <w:t>In particular, the Board is to provide appropriate input on:</w:t>
      </w:r>
    </w:p>
    <w:p w14:paraId="016686C9" w14:textId="77777777" w:rsidR="00F04FEA" w:rsidRDefault="00F04FEA" w:rsidP="009B63BE">
      <w:pPr>
        <w:pStyle w:val="Bullet"/>
      </w:pPr>
      <w:r>
        <w:t xml:space="preserve">immediate deregulatory tasks, including the stocktake and audit of tax regulation; and </w:t>
      </w:r>
    </w:p>
    <w:p w14:paraId="554D7012" w14:textId="77777777" w:rsidR="00F04FEA" w:rsidRDefault="00F04FEA" w:rsidP="009B63BE">
      <w:pPr>
        <w:pStyle w:val="Bullet"/>
      </w:pPr>
      <w:r>
        <w:t>future regulatory reforms, that is, ideas on deregulatory opportunities and priorities that can be included in the regulatory budgeting process. This includes identifying items for future repeal days.</w:t>
      </w:r>
    </w:p>
    <w:p w14:paraId="16D14C29" w14:textId="77777777" w:rsidR="00553CAA" w:rsidRDefault="00F04FEA" w:rsidP="00526B69">
      <w:pPr>
        <w:pStyle w:val="OutlineNumbered1"/>
      </w:pPr>
      <w:r>
        <w:t>Within t</w:t>
      </w:r>
      <w:r w:rsidR="00BB35CD">
        <w:t>his context</w:t>
      </w:r>
      <w:r w:rsidR="00B262C2">
        <w:t>,</w:t>
      </w:r>
      <w:r w:rsidR="00BB35CD">
        <w:t xml:space="preserve"> the Board meets regularly with stakeholders to discuss the Board’s work and to seek feedback from stakeholders on issues of concern</w:t>
      </w:r>
      <w:r w:rsidR="00F31AB9">
        <w:t xml:space="preserve"> with</w:t>
      </w:r>
      <w:r w:rsidR="00B262C2">
        <w:t>in</w:t>
      </w:r>
      <w:r w:rsidR="00F31AB9">
        <w:t xml:space="preserve"> the tax system; including regulatory burdens. Inconsistency in core definitions</w:t>
      </w:r>
      <w:r w:rsidR="00B262C2">
        <w:t xml:space="preserve"> and </w:t>
      </w:r>
      <w:r w:rsidR="00F31AB9">
        <w:t xml:space="preserve">concepts between state, territory and federal tax laws </w:t>
      </w:r>
      <w:r w:rsidR="00B262C2">
        <w:t xml:space="preserve">has been </w:t>
      </w:r>
      <w:r w:rsidR="00F31AB9">
        <w:t xml:space="preserve">a common theme raised </w:t>
      </w:r>
      <w:r w:rsidR="00AE4784">
        <w:t xml:space="preserve">with the Board </w:t>
      </w:r>
      <w:r w:rsidR="00F31AB9">
        <w:t xml:space="preserve">by stakeholders </w:t>
      </w:r>
      <w:r w:rsidR="00B262C2">
        <w:t>in the previous twelve months</w:t>
      </w:r>
      <w:r w:rsidR="00F31AB9">
        <w:t xml:space="preserve">. </w:t>
      </w:r>
    </w:p>
    <w:p w14:paraId="76637531" w14:textId="77777777" w:rsidR="00194997" w:rsidRDefault="00194997" w:rsidP="00526B69">
      <w:pPr>
        <w:pStyle w:val="OutlineNumbered1"/>
      </w:pPr>
      <w:r>
        <w:t>Stakeholders claim that the inconsistenc</w:t>
      </w:r>
      <w:r w:rsidR="003B7DFE">
        <w:t>y</w:t>
      </w:r>
      <w:r>
        <w:t xml:space="preserve"> in core definitions and concepts in the tax laws at various levels of government </w:t>
      </w:r>
      <w:r w:rsidR="003B7DFE">
        <w:t xml:space="preserve">is </w:t>
      </w:r>
      <w:r w:rsidR="00A205DF">
        <w:t>impeding</w:t>
      </w:r>
      <w:r w:rsidR="003B7DFE">
        <w:t xml:space="preserve"> business activity. The inconsistency has led to increased compliance costs and uncertainty of treatment.</w:t>
      </w:r>
      <w:r w:rsidR="00C54EB3" w:rsidRPr="00C54EB3">
        <w:t xml:space="preserve"> </w:t>
      </w:r>
      <w:r w:rsidR="00C54EB3">
        <w:t>In particular, differences in payroll tax concepts</w:t>
      </w:r>
      <w:r w:rsidR="00C54EB3" w:rsidRPr="00DB45E2">
        <w:t xml:space="preserve"> </w:t>
      </w:r>
      <w:r w:rsidR="00C54EB3">
        <w:t>and t</w:t>
      </w:r>
      <w:r w:rsidR="00C54EB3" w:rsidRPr="00DB45E2">
        <w:t>he definition of employe</w:t>
      </w:r>
      <w:r w:rsidR="00C54EB3">
        <w:t>e and contractor were viewed as important issues to resolve.</w:t>
      </w:r>
    </w:p>
    <w:p w14:paraId="6093D0C2" w14:textId="4400426C" w:rsidR="001E74A7" w:rsidRDefault="003C0F8D" w:rsidP="00526B69">
      <w:pPr>
        <w:pStyle w:val="OutlineNumbered1"/>
      </w:pPr>
      <w:r>
        <w:lastRenderedPageBreak/>
        <w:t xml:space="preserve">In </w:t>
      </w:r>
      <w:r w:rsidR="003B7DFE">
        <w:t xml:space="preserve">response to these concerns </w:t>
      </w:r>
      <w:r>
        <w:t xml:space="preserve">the Board established a </w:t>
      </w:r>
      <w:r w:rsidR="001E74A7">
        <w:t xml:space="preserve">Working Group to investigate </w:t>
      </w:r>
      <w:r w:rsidR="009E65C1">
        <w:t xml:space="preserve">inconsistency </w:t>
      </w:r>
      <w:r w:rsidR="00AE4784">
        <w:t xml:space="preserve">in core definitions and concepts </w:t>
      </w:r>
      <w:r w:rsidR="00E51A01">
        <w:t xml:space="preserve">between state, territory </w:t>
      </w:r>
      <w:r w:rsidR="009E65C1">
        <w:t>and federal tax laws</w:t>
      </w:r>
      <w:r w:rsidR="00553CAA">
        <w:t xml:space="preserve">. </w:t>
      </w:r>
      <w:r w:rsidR="001E74A7">
        <w:t xml:space="preserve">The Working Group was chaired by Board member </w:t>
      </w:r>
      <w:r w:rsidR="00E51A01">
        <w:t xml:space="preserve">Peter Quiggin, </w:t>
      </w:r>
      <w:r w:rsidR="001E74A7">
        <w:t>with assistance from Board members John Emerson and Neville Mitchell. The Group was assisted by</w:t>
      </w:r>
      <w:r w:rsidR="00A205DF">
        <w:t xml:space="preserve"> Geoff Mann (partner of Ashurst)</w:t>
      </w:r>
      <w:r w:rsidR="001E74A7">
        <w:t xml:space="preserve"> and the Board’s secretariat.</w:t>
      </w:r>
    </w:p>
    <w:p w14:paraId="21BC9B57" w14:textId="77777777" w:rsidR="0095478F" w:rsidRDefault="00C54EB3" w:rsidP="0095478F">
      <w:pPr>
        <w:pStyle w:val="Heading2"/>
      </w:pPr>
      <w:r>
        <w:t>Purpose</w:t>
      </w:r>
      <w:r w:rsidR="0095478F">
        <w:t xml:space="preserve"> of the </w:t>
      </w:r>
      <w:r w:rsidR="00AE4784">
        <w:t>Working Group</w:t>
      </w:r>
    </w:p>
    <w:p w14:paraId="5BA00B8E" w14:textId="77777777" w:rsidR="001E74A7" w:rsidRDefault="001E74A7" w:rsidP="001E74A7">
      <w:pPr>
        <w:pStyle w:val="OutlineNumbered1"/>
      </w:pPr>
      <w:r w:rsidRPr="001E74A7">
        <w:t xml:space="preserve">The </w:t>
      </w:r>
      <w:r w:rsidR="00C54EB3">
        <w:t>purpose</w:t>
      </w:r>
      <w:r w:rsidRPr="001E74A7">
        <w:t xml:space="preserve"> of the Working Group was to identify legislative inconsistencies between core definitions and concepts within state, territory and federal tax laws, </w:t>
      </w:r>
      <w:r w:rsidR="00AE4784">
        <w:t xml:space="preserve">and to </w:t>
      </w:r>
      <w:r w:rsidRPr="001E74A7">
        <w:t>document the concerns in more detail.</w:t>
      </w:r>
    </w:p>
    <w:p w14:paraId="25E83435" w14:textId="77777777" w:rsidR="0095478F" w:rsidRDefault="00553CAA" w:rsidP="001E74A7">
      <w:pPr>
        <w:pStyle w:val="OutlineNumbered1"/>
      </w:pPr>
      <w:r>
        <w:t xml:space="preserve">It was envisaged that identifying and documenting the differences would </w:t>
      </w:r>
      <w:r w:rsidR="007D7ED0">
        <w:t xml:space="preserve">provide a </w:t>
      </w:r>
      <w:r w:rsidR="00C54EB3">
        <w:t>reference point</w:t>
      </w:r>
      <w:r w:rsidR="007D7ED0">
        <w:t xml:space="preserve"> for further </w:t>
      </w:r>
      <w:r w:rsidR="00A8200A">
        <w:t>debate around the need for greater harmonisation of core definitions</w:t>
      </w:r>
      <w:r w:rsidR="009E65C1">
        <w:t xml:space="preserve"> and </w:t>
      </w:r>
      <w:r w:rsidR="00A8200A">
        <w:t>concepts across tax laws</w:t>
      </w:r>
      <w:r w:rsidR="007D7ED0">
        <w:t xml:space="preserve"> at all levels</w:t>
      </w:r>
      <w:r w:rsidR="00A8200A">
        <w:t xml:space="preserve">. </w:t>
      </w:r>
    </w:p>
    <w:p w14:paraId="5827A520" w14:textId="77777777" w:rsidR="003C0F8D" w:rsidRDefault="00A8200A" w:rsidP="00526B69">
      <w:pPr>
        <w:pStyle w:val="OutlineNumbered1"/>
      </w:pPr>
      <w:r>
        <w:t>It is generally understood that</w:t>
      </w:r>
      <w:r w:rsidR="00A205DF">
        <w:t>,</w:t>
      </w:r>
      <w:r w:rsidR="00A414B5">
        <w:t xml:space="preserve"> in principle</w:t>
      </w:r>
      <w:r w:rsidR="009E65C1">
        <w:t>,</w:t>
      </w:r>
      <w:r>
        <w:t xml:space="preserve"> harmonisation brings many economic benefits for both business and regulators. For example, reduced costs for businesses </w:t>
      </w:r>
      <w:r w:rsidR="009E65C1">
        <w:t xml:space="preserve">operating </w:t>
      </w:r>
      <w:r>
        <w:t>across state</w:t>
      </w:r>
      <w:r w:rsidR="007D7ED0">
        <w:t xml:space="preserve"> boundaries. Similarly the cost of administration is reduced </w:t>
      </w:r>
      <w:r w:rsidR="009E65C1">
        <w:t>by</w:t>
      </w:r>
      <w:r w:rsidR="007D7ED0">
        <w:t xml:space="preserve"> having a single meaning for core concepts</w:t>
      </w:r>
      <w:r w:rsidR="00E80D02">
        <w:t>.</w:t>
      </w:r>
      <w:r w:rsidR="00A414B5">
        <w:t xml:space="preserve"> </w:t>
      </w:r>
    </w:p>
    <w:p w14:paraId="03F6AE98" w14:textId="77777777" w:rsidR="00284562" w:rsidRDefault="009E65C1" w:rsidP="00526B69">
      <w:pPr>
        <w:pStyle w:val="OutlineNumbered1"/>
      </w:pPr>
      <w:r>
        <w:t>On</w:t>
      </w:r>
      <w:r w:rsidR="00284562">
        <w:t xml:space="preserve"> the other hand potential costs associated with harmonisation are not </w:t>
      </w:r>
      <w:r w:rsidR="001E74A7">
        <w:t xml:space="preserve">always </w:t>
      </w:r>
      <w:r w:rsidR="00284562">
        <w:t>obvious.  Achieving a common standard across different levels of government is an inherently political process, involving a negotiated outcome</w:t>
      </w:r>
      <w:r w:rsidR="001E74A7">
        <w:t xml:space="preserve"> and trade</w:t>
      </w:r>
      <w:r w:rsidR="001E74A7">
        <w:noBreakHyphen/>
        <w:t>offs</w:t>
      </w:r>
      <w:r w:rsidR="00284562">
        <w:t xml:space="preserve">. Jurisdictions are likely to seek compensation before agreeing </w:t>
      </w:r>
      <w:r w:rsidR="00284562" w:rsidRPr="0095478F">
        <w:t>to harmonise to the ‘best-practice’ set of standards.</w:t>
      </w:r>
      <w:r w:rsidR="00284562">
        <w:t xml:space="preserve"> </w:t>
      </w:r>
      <w:r w:rsidR="00284562" w:rsidRPr="00496CD7">
        <w:t xml:space="preserve">Harmonisation may </w:t>
      </w:r>
      <w:r w:rsidR="001E74A7">
        <w:t xml:space="preserve">also </w:t>
      </w:r>
      <w:r w:rsidR="00284562" w:rsidRPr="00496CD7">
        <w:t>lead to sub</w:t>
      </w:r>
      <w:r w:rsidR="00284562" w:rsidRPr="00496CD7">
        <w:noBreakHyphen/>
        <w:t xml:space="preserve">optimal outcomes where </w:t>
      </w:r>
      <w:r w:rsidR="00496CD7" w:rsidRPr="00496CD7">
        <w:t xml:space="preserve">regulatory </w:t>
      </w:r>
      <w:r w:rsidR="00284562" w:rsidRPr="00496CD7">
        <w:t xml:space="preserve">competition </w:t>
      </w:r>
      <w:r w:rsidR="00496CD7" w:rsidRPr="00496CD7">
        <w:t>and innovation is lessened.</w:t>
      </w:r>
    </w:p>
    <w:p w14:paraId="2994BB43" w14:textId="77777777" w:rsidR="00CF6F40" w:rsidRDefault="00C54EB3" w:rsidP="00C8155D">
      <w:pPr>
        <w:pStyle w:val="Heading2"/>
      </w:pPr>
      <w:r>
        <w:t>Project scope</w:t>
      </w:r>
    </w:p>
    <w:p w14:paraId="49E0BC1A" w14:textId="77777777" w:rsidR="00CF6F40" w:rsidRPr="00CF6F40" w:rsidRDefault="00CF6F40" w:rsidP="00526B69">
      <w:pPr>
        <w:pStyle w:val="OutlineNumbered1"/>
      </w:pPr>
      <w:r>
        <w:t>While this paper presents information on rates of payroll tax and stamp duty this is not intended to suggest, imply or advocate for harmonisation of rates of tax or duties.</w:t>
      </w:r>
      <w:r w:rsidR="00C54EB3">
        <w:t xml:space="preserve"> To do so would be outside the scope of this project’s mandate. Moreover,</w:t>
      </w:r>
      <w:r w:rsidR="0098733D">
        <w:t xml:space="preserve"> </w:t>
      </w:r>
      <w:r w:rsidR="00C54EB3">
        <w:t>t</w:t>
      </w:r>
      <w:r w:rsidR="001E74A7">
        <w:t xml:space="preserve">he majority of stakeholders have stated that the primary concern </w:t>
      </w:r>
      <w:r w:rsidR="00224AA9">
        <w:t xml:space="preserve">is </w:t>
      </w:r>
      <w:r w:rsidR="001E74A7">
        <w:t xml:space="preserve">with the increased cost </w:t>
      </w:r>
      <w:r w:rsidR="00224AA9">
        <w:t xml:space="preserve">of conducting business </w:t>
      </w:r>
      <w:r w:rsidR="001E74A7">
        <w:t xml:space="preserve">associated with </w:t>
      </w:r>
      <w:r w:rsidR="0037318F">
        <w:t xml:space="preserve">a lack of harmonisation of core definitions and concepts </w:t>
      </w:r>
      <w:r w:rsidR="001E74A7">
        <w:t>across all levels of tax laws</w:t>
      </w:r>
      <w:r w:rsidR="00224AA9">
        <w:t xml:space="preserve"> in Australia</w:t>
      </w:r>
      <w:r w:rsidR="001E74A7">
        <w:t>.</w:t>
      </w:r>
    </w:p>
    <w:p w14:paraId="4D9D0537" w14:textId="77777777" w:rsidR="00454D6B" w:rsidRDefault="00454D6B" w:rsidP="00C8155D">
      <w:pPr>
        <w:pStyle w:val="Heading2"/>
      </w:pPr>
      <w:r>
        <w:t>Acknowledgement</w:t>
      </w:r>
    </w:p>
    <w:p w14:paraId="1BDDEBAB" w14:textId="504BD9B7" w:rsidR="00454D6B" w:rsidRDefault="00454D6B" w:rsidP="00454D6B">
      <w:pPr>
        <w:pStyle w:val="OutlineNumbered1"/>
      </w:pPr>
      <w:r>
        <w:t xml:space="preserve">The </w:t>
      </w:r>
      <w:r w:rsidR="00ED0A3E">
        <w:t>Board</w:t>
      </w:r>
      <w:r>
        <w:t xml:space="preserve"> would like to acknowledge the assistance provided by</w:t>
      </w:r>
      <w:r w:rsidR="00EF5690">
        <w:t xml:space="preserve"> Steve Batrouney and Nicholas Clifton of</w:t>
      </w:r>
      <w:r>
        <w:t xml:space="preserve"> </w:t>
      </w:r>
      <w:r w:rsidRPr="00D06754">
        <w:t xml:space="preserve">Deloitte </w:t>
      </w:r>
      <w:r w:rsidR="00EF5690" w:rsidRPr="00D06754">
        <w:t>Tax Services Pty Ltd</w:t>
      </w:r>
      <w:r w:rsidR="003B5B96" w:rsidRPr="00D06754">
        <w:t xml:space="preserve"> (Deloit</w:t>
      </w:r>
      <w:r w:rsidR="00D06754">
        <w:t>t</w:t>
      </w:r>
      <w:r w:rsidR="003B5B96" w:rsidRPr="00D06754">
        <w:t>e)</w:t>
      </w:r>
      <w:r w:rsidR="003A2683">
        <w:t xml:space="preserve"> </w:t>
      </w:r>
      <w:r>
        <w:t>in compiling the information to detail the inconsistencies in payroll tax and land tax and stamp duty</w:t>
      </w:r>
      <w:r w:rsidR="00CD7853">
        <w:t xml:space="preserve"> presented at Attachments </w:t>
      </w:r>
      <w:r w:rsidR="00EC602C" w:rsidRPr="00F9507C">
        <w:t>B</w:t>
      </w:r>
      <w:r w:rsidR="00CD7853">
        <w:t xml:space="preserve"> and </w:t>
      </w:r>
      <w:r w:rsidR="00902E59" w:rsidRPr="00F9507C">
        <w:t>C</w:t>
      </w:r>
      <w:r w:rsidR="00CD7853">
        <w:t xml:space="preserve"> respectively. </w:t>
      </w:r>
      <w:r w:rsidR="00DF4A0F">
        <w:t>The Board would also like to thank the Commissioners of the various Offices of Revenue for their assistance in verifying the information presented at Attachments A and B.</w:t>
      </w:r>
    </w:p>
    <w:p w14:paraId="2BA6CD0C" w14:textId="77777777" w:rsidR="00C8155D" w:rsidRDefault="00B95F3E" w:rsidP="00C8155D">
      <w:pPr>
        <w:pStyle w:val="Heading2"/>
      </w:pPr>
      <w:r>
        <w:lastRenderedPageBreak/>
        <w:t>Findings</w:t>
      </w:r>
    </w:p>
    <w:p w14:paraId="39151B9A" w14:textId="77777777" w:rsidR="004E1435" w:rsidRPr="004E1435" w:rsidRDefault="00B97A9E" w:rsidP="004E1435">
      <w:pPr>
        <w:pStyle w:val="Heading3"/>
      </w:pPr>
      <w:r>
        <w:t xml:space="preserve">Areas of difference </w:t>
      </w:r>
      <w:r w:rsidR="004E1435">
        <w:t>raised by stakeholders</w:t>
      </w:r>
    </w:p>
    <w:p w14:paraId="79D0BF67" w14:textId="6FC5C988" w:rsidR="00934F51" w:rsidRDefault="00C8155D" w:rsidP="00E51A01">
      <w:pPr>
        <w:pStyle w:val="OutlineNumbered1"/>
      </w:pPr>
      <w:r>
        <w:t xml:space="preserve">The </w:t>
      </w:r>
      <w:r w:rsidR="00E51A01">
        <w:t>Working Group</w:t>
      </w:r>
      <w:r>
        <w:t xml:space="preserve"> carried out a number of </w:t>
      </w:r>
      <w:r w:rsidR="00496CD7">
        <w:t xml:space="preserve">targeted </w:t>
      </w:r>
      <w:r>
        <w:t xml:space="preserve">consultations and surveyed around [60] organisations (covering </w:t>
      </w:r>
      <w:r w:rsidR="001E74A7">
        <w:t>tax managers of various companies and sectors and tax advisers from professional service firms</w:t>
      </w:r>
      <w:r>
        <w:t>) to identify areas of concern and their significance.</w:t>
      </w:r>
      <w:r w:rsidR="00134B3C">
        <w:t xml:space="preserve"> </w:t>
      </w:r>
      <w:r w:rsidR="00E51A01">
        <w:t>In addition</w:t>
      </w:r>
      <w:r w:rsidR="000B40E7">
        <w:t>,</w:t>
      </w:r>
      <w:r w:rsidR="00E51A01">
        <w:t xml:space="preserve"> the Board</w:t>
      </w:r>
      <w:r w:rsidR="00E51A01" w:rsidRPr="00E51A01">
        <w:t xml:space="preserve"> </w:t>
      </w:r>
      <w:r w:rsidR="000B40E7">
        <w:t xml:space="preserve">regularly meets with stakeholders around the country to discuss the Board’s work and to provide a forum for the tax community to discuss issues they are encountering with the tax system. </w:t>
      </w:r>
    </w:p>
    <w:p w14:paraId="584BD82A" w14:textId="77777777" w:rsidR="00C54EB3" w:rsidRDefault="000B40E7" w:rsidP="004E1435">
      <w:pPr>
        <w:pStyle w:val="OutlineNumbered1"/>
      </w:pPr>
      <w:r>
        <w:t>Broadly</w:t>
      </w:r>
      <w:r w:rsidR="00C54EB3">
        <w:t>,</w:t>
      </w:r>
      <w:r>
        <w:t xml:space="preserve"> </w:t>
      </w:r>
      <w:r w:rsidR="00F17AA2">
        <w:t xml:space="preserve">the </w:t>
      </w:r>
      <w:r>
        <w:t xml:space="preserve">common </w:t>
      </w:r>
      <w:r w:rsidR="00F17AA2">
        <w:t xml:space="preserve">areas of concern in regards to ‘inconsistencies in core definitions and concepts’ emerging from </w:t>
      </w:r>
      <w:r>
        <w:t xml:space="preserve">consultations </w:t>
      </w:r>
      <w:r w:rsidR="00F17AA2">
        <w:t>were (in order of priority)</w:t>
      </w:r>
      <w:r w:rsidR="00C54EB3">
        <w:t>:</w:t>
      </w:r>
    </w:p>
    <w:p w14:paraId="70B0A5F0" w14:textId="77777777" w:rsidR="00C54EB3" w:rsidRDefault="00134B3C" w:rsidP="009B63BE">
      <w:pPr>
        <w:pStyle w:val="Bullet"/>
      </w:pPr>
      <w:r w:rsidRPr="00134B3C">
        <w:t>differences</w:t>
      </w:r>
      <w:r>
        <w:t xml:space="preserve"> in</w:t>
      </w:r>
      <w:r w:rsidRPr="00134B3C">
        <w:t xml:space="preserve"> payroll tax concepts</w:t>
      </w:r>
      <w:r w:rsidR="00C54EB3">
        <w:t xml:space="preserve">; </w:t>
      </w:r>
    </w:p>
    <w:p w14:paraId="43DACA7E" w14:textId="77777777" w:rsidR="00C54EB3" w:rsidRDefault="000B40E7" w:rsidP="009B63BE">
      <w:pPr>
        <w:pStyle w:val="Bullet"/>
      </w:pPr>
      <w:r>
        <w:t xml:space="preserve">differences in </w:t>
      </w:r>
      <w:r w:rsidR="00134B3C">
        <w:t>the definition of employee</w:t>
      </w:r>
      <w:r w:rsidR="00C54EB3">
        <w:t>;</w:t>
      </w:r>
    </w:p>
    <w:p w14:paraId="3B97299A" w14:textId="77777777" w:rsidR="00C54EB3" w:rsidRDefault="00934F51" w:rsidP="009B63BE">
      <w:pPr>
        <w:pStyle w:val="Bullet"/>
      </w:pPr>
      <w:r>
        <w:t>differences between state and federal tax rules for ‘indirect interests in land’ (commonly referred to as ‘land rich rules’)</w:t>
      </w:r>
      <w:r w:rsidR="00C54EB3">
        <w:t>;</w:t>
      </w:r>
      <w:r w:rsidR="00400D5C">
        <w:t xml:space="preserve"> and</w:t>
      </w:r>
      <w:r w:rsidR="00C5136A">
        <w:t xml:space="preserve"> </w:t>
      </w:r>
    </w:p>
    <w:p w14:paraId="3123CD04" w14:textId="77777777" w:rsidR="004E1435" w:rsidRDefault="00C5136A" w:rsidP="009B63BE">
      <w:pPr>
        <w:pStyle w:val="Bullet"/>
      </w:pPr>
      <w:r>
        <w:t>differences between the meaning of employee for the purposes of the pay</w:t>
      </w:r>
      <w:r w:rsidR="00496CD7">
        <w:noBreakHyphen/>
      </w:r>
      <w:r>
        <w:t>as</w:t>
      </w:r>
      <w:r w:rsidR="00496CD7">
        <w:noBreakHyphen/>
      </w:r>
      <w:r>
        <w:t>you</w:t>
      </w:r>
      <w:r w:rsidR="00496CD7">
        <w:noBreakHyphen/>
      </w:r>
      <w:r>
        <w:t>go withholding and superannuation guarantee rules.</w:t>
      </w:r>
      <w:r w:rsidR="004E1435">
        <w:t xml:space="preserve"> </w:t>
      </w:r>
    </w:p>
    <w:p w14:paraId="457CE4A6" w14:textId="77777777" w:rsidR="00B95F3E" w:rsidRPr="001E74A7" w:rsidRDefault="003A7529" w:rsidP="00526B69">
      <w:pPr>
        <w:pStyle w:val="OutlineNumbered1"/>
      </w:pPr>
      <w:r w:rsidRPr="001E74A7">
        <w:t xml:space="preserve">One </w:t>
      </w:r>
      <w:r w:rsidR="003F03A0" w:rsidRPr="001E74A7">
        <w:t>stakeholder</w:t>
      </w:r>
      <w:r w:rsidR="00934F51" w:rsidRPr="001E74A7">
        <w:t xml:space="preserve"> </w:t>
      </w:r>
      <w:r w:rsidRPr="001E74A7">
        <w:t xml:space="preserve">brought to the </w:t>
      </w:r>
      <w:r w:rsidR="00F05781">
        <w:t>Board’s</w:t>
      </w:r>
      <w:r w:rsidRPr="001E74A7">
        <w:t xml:space="preserve"> attention an emerging </w:t>
      </w:r>
      <w:r w:rsidR="00400D5C" w:rsidRPr="001E74A7">
        <w:t xml:space="preserve">area of concern relating to </w:t>
      </w:r>
      <w:r w:rsidR="00934F51" w:rsidRPr="001E74A7">
        <w:t xml:space="preserve">differences between </w:t>
      </w:r>
      <w:r w:rsidR="00C3012C" w:rsidRPr="001E74A7">
        <w:t>state stamp duty surcharges on foreign persons purchasing residential real estate</w:t>
      </w:r>
      <w:r w:rsidR="001E74A7" w:rsidRPr="001E74A7">
        <w:t>.</w:t>
      </w:r>
    </w:p>
    <w:p w14:paraId="635C981B" w14:textId="11D149FD" w:rsidR="004E1435" w:rsidRDefault="000E4DC6" w:rsidP="004E1435">
      <w:pPr>
        <w:pStyle w:val="Heading4"/>
      </w:pPr>
      <w:r>
        <w:t>S</w:t>
      </w:r>
      <w:r w:rsidR="00826522">
        <w:t>urvey</w:t>
      </w:r>
      <w:r w:rsidR="00C54EB3">
        <w:t xml:space="preserve"> results</w:t>
      </w:r>
    </w:p>
    <w:p w14:paraId="724441E9" w14:textId="251031D3" w:rsidR="004E1435" w:rsidRPr="004E1435" w:rsidRDefault="004E1435" w:rsidP="004E1435">
      <w:pPr>
        <w:pStyle w:val="OutlineNumbered1"/>
      </w:pPr>
      <w:r>
        <w:t xml:space="preserve">The </w:t>
      </w:r>
      <w:r w:rsidR="000E4DC6">
        <w:t>Board</w:t>
      </w:r>
      <w:r w:rsidR="00826522">
        <w:t xml:space="preserve"> </w:t>
      </w:r>
      <w:r w:rsidRPr="00934F51">
        <w:t>survey</w:t>
      </w:r>
      <w:r w:rsidR="00826522">
        <w:t>ed around 60 organisations</w:t>
      </w:r>
      <w:r w:rsidRPr="00934F51">
        <w:t xml:space="preserve"> to identify the business community’s views on which core concepts are subject to inconsistencies in either drafting or interpretation</w:t>
      </w:r>
      <w:r w:rsidR="00400D5C">
        <w:t>,</w:t>
      </w:r>
      <w:r w:rsidRPr="00934F51">
        <w:t xml:space="preserve"> which are hindering business practices.</w:t>
      </w:r>
      <w:r>
        <w:t xml:space="preserve"> The survey also asked respondents to prioritise the top three </w:t>
      </w:r>
      <w:r w:rsidRPr="00C3012C">
        <w:t xml:space="preserve">core concepts </w:t>
      </w:r>
      <w:r>
        <w:t xml:space="preserve">they </w:t>
      </w:r>
      <w:r w:rsidRPr="00C3012C">
        <w:t xml:space="preserve">would like to see </w:t>
      </w:r>
      <w:r w:rsidR="00400D5C">
        <w:t>harmonised across all levels of tax legislation</w:t>
      </w:r>
      <w:r>
        <w:t>.</w:t>
      </w:r>
      <w:r w:rsidR="00EC602C">
        <w:t xml:space="preserve"> A copy of the survey is at Attachment </w:t>
      </w:r>
      <w:r w:rsidR="00EC602C" w:rsidRPr="00F9507C">
        <w:t>A</w:t>
      </w:r>
      <w:r w:rsidR="00EC602C">
        <w:t>.</w:t>
      </w:r>
      <w:r w:rsidR="005C362E">
        <w:t xml:space="preserve"> </w:t>
      </w:r>
    </w:p>
    <w:p w14:paraId="3FA17C62" w14:textId="2C68D915" w:rsidR="00CD7853" w:rsidRDefault="00A205DF" w:rsidP="00526B69">
      <w:pPr>
        <w:pStyle w:val="OutlineNumbered1"/>
      </w:pPr>
      <w:r>
        <w:t xml:space="preserve">The </w:t>
      </w:r>
      <w:r w:rsidR="000E4DC6">
        <w:t>Board</w:t>
      </w:r>
      <w:r>
        <w:t xml:space="preserve"> received 12 responses to the survey.</w:t>
      </w:r>
      <w:r w:rsidR="003B36B4">
        <w:t xml:space="preserve"> A</w:t>
      </w:r>
      <w:r w:rsidR="00C41EA4">
        <w:t>s a result the</w:t>
      </w:r>
      <w:r w:rsidR="009B548F">
        <w:t xml:space="preserve"> </w:t>
      </w:r>
      <w:r w:rsidR="000E4DC6">
        <w:t>Board</w:t>
      </w:r>
      <w:r w:rsidR="009B548F">
        <w:t xml:space="preserve"> is </w:t>
      </w:r>
      <w:r w:rsidR="00C54EB3">
        <w:t xml:space="preserve">mindful </w:t>
      </w:r>
      <w:r w:rsidR="009B548F">
        <w:t xml:space="preserve">of the </w:t>
      </w:r>
      <w:r w:rsidR="00C41EA4">
        <w:t xml:space="preserve">limitations </w:t>
      </w:r>
      <w:r w:rsidR="009B548F">
        <w:t xml:space="preserve">of </w:t>
      </w:r>
      <w:r w:rsidR="00C41EA4">
        <w:t xml:space="preserve">the veracity of </w:t>
      </w:r>
      <w:r w:rsidR="009B548F">
        <w:t xml:space="preserve">any </w:t>
      </w:r>
      <w:r w:rsidR="00C41EA4">
        <w:t xml:space="preserve">conclusions </w:t>
      </w:r>
      <w:r w:rsidR="009B548F">
        <w:t xml:space="preserve">which </w:t>
      </w:r>
      <w:r w:rsidR="00C41EA4">
        <w:t xml:space="preserve">may be drawn from the </w:t>
      </w:r>
      <w:r w:rsidR="009B548F">
        <w:t xml:space="preserve">survey </w:t>
      </w:r>
      <w:r w:rsidR="00C41EA4">
        <w:t>data. Nevertheless</w:t>
      </w:r>
      <w:r w:rsidR="00400D5C">
        <w:t>,</w:t>
      </w:r>
      <w:r w:rsidR="00C41EA4">
        <w:t xml:space="preserve"> the survey d</w:t>
      </w:r>
      <w:r w:rsidR="00400D5C">
        <w:t xml:space="preserve">oes provide indicative </w:t>
      </w:r>
      <w:r w:rsidR="00C41EA4">
        <w:t xml:space="preserve">insights </w:t>
      </w:r>
      <w:r w:rsidR="00400D5C">
        <w:t xml:space="preserve">into potential </w:t>
      </w:r>
      <w:r w:rsidR="00595212">
        <w:t>priorities for harmonisation across taxes</w:t>
      </w:r>
      <w:r w:rsidR="00400D5C">
        <w:t xml:space="preserve">, albeit </w:t>
      </w:r>
      <w:r w:rsidR="00794D8C">
        <w:t xml:space="preserve">with </w:t>
      </w:r>
      <w:r w:rsidR="00400D5C">
        <w:t>c</w:t>
      </w:r>
      <w:r w:rsidR="008F7030">
        <w:t xml:space="preserve">aution </w:t>
      </w:r>
      <w:r w:rsidR="00400D5C">
        <w:t>d</w:t>
      </w:r>
      <w:r w:rsidR="008F7030">
        <w:t>ue to the small sample size</w:t>
      </w:r>
      <w:r w:rsidR="00595212">
        <w:t xml:space="preserve">. </w:t>
      </w:r>
    </w:p>
    <w:p w14:paraId="312D9571" w14:textId="77777777" w:rsidR="00C41EA4" w:rsidRDefault="00595212" w:rsidP="00526B69">
      <w:pPr>
        <w:pStyle w:val="OutlineNumbered1"/>
      </w:pPr>
      <w:r>
        <w:t xml:space="preserve">The </w:t>
      </w:r>
      <w:r w:rsidR="00213771">
        <w:t xml:space="preserve">survey asked respondents to list the top three core concepts that they would like to see legislatively harmonised across taxes and in order of priority. While the response rate was low the </w:t>
      </w:r>
      <w:r w:rsidR="0099362D">
        <w:t xml:space="preserve">key priorities receiving the most support </w:t>
      </w:r>
      <w:r w:rsidR="00213771">
        <w:t xml:space="preserve">to this question </w:t>
      </w:r>
      <w:r w:rsidR="0099362D">
        <w:t>w</w:t>
      </w:r>
      <w:r>
        <w:t>ere:</w:t>
      </w:r>
    </w:p>
    <w:p w14:paraId="3CCAE1B9" w14:textId="77777777" w:rsidR="00595212" w:rsidRDefault="00595212" w:rsidP="009B63BE">
      <w:pPr>
        <w:pStyle w:val="Bullet"/>
      </w:pPr>
      <w:r w:rsidRPr="00DC0344">
        <w:rPr>
          <w:b/>
          <w:i/>
        </w:rPr>
        <w:t>Payroll Tax</w:t>
      </w:r>
      <w:r w:rsidR="0094228C">
        <w:rPr>
          <w:rStyle w:val="FootnoteReference"/>
        </w:rPr>
        <w:footnoteReference w:id="1"/>
      </w:r>
      <w:r>
        <w:t xml:space="preserve"> with the following issues specified:</w:t>
      </w:r>
    </w:p>
    <w:p w14:paraId="4E424F99" w14:textId="77777777" w:rsidR="00595212" w:rsidRDefault="00595212" w:rsidP="00EE433B">
      <w:pPr>
        <w:pStyle w:val="Dash"/>
      </w:pPr>
      <w:r>
        <w:t>Consistent payroll tax payment dates across the states;</w:t>
      </w:r>
    </w:p>
    <w:p w14:paraId="60F46ECE" w14:textId="77777777" w:rsidR="00595212" w:rsidRDefault="00595212" w:rsidP="00EE433B">
      <w:pPr>
        <w:pStyle w:val="Dash"/>
      </w:pPr>
      <w:r>
        <w:lastRenderedPageBreak/>
        <w:t>Alignment of payroll tax rates between states;</w:t>
      </w:r>
    </w:p>
    <w:p w14:paraId="1C4BC6F4" w14:textId="77777777" w:rsidR="00595212" w:rsidRDefault="00595212" w:rsidP="00A24DBC">
      <w:pPr>
        <w:pStyle w:val="Dash"/>
      </w:pPr>
      <w:r>
        <w:t>Align disclosure requirements; and</w:t>
      </w:r>
    </w:p>
    <w:p w14:paraId="221C4A9F" w14:textId="77777777" w:rsidR="00595212" w:rsidRDefault="00595212">
      <w:pPr>
        <w:pStyle w:val="Dash"/>
      </w:pPr>
      <w:r>
        <w:t>Treatment of fringe benefits, dividends, trust distributions, loans and attributed personal services income across different areas such as payroll tax and workers compensation rules.</w:t>
      </w:r>
    </w:p>
    <w:p w14:paraId="32677048" w14:textId="77777777" w:rsidR="009B5067" w:rsidRDefault="009B5067">
      <w:pPr>
        <w:pStyle w:val="Dash"/>
      </w:pPr>
      <w:r>
        <w:t>Exemptions (thresholds for business, type of business activity, type of payment in particular maternity leave).</w:t>
      </w:r>
    </w:p>
    <w:p w14:paraId="454B4EAD" w14:textId="77777777" w:rsidR="00C41EA4" w:rsidRDefault="008F7030" w:rsidP="009B63BE">
      <w:pPr>
        <w:pStyle w:val="Bullet"/>
      </w:pPr>
      <w:r>
        <w:t>I</w:t>
      </w:r>
      <w:r w:rsidR="00595212">
        <w:t xml:space="preserve">ssues related to state/territory </w:t>
      </w:r>
      <w:r w:rsidR="00595212" w:rsidRPr="00DC0344">
        <w:rPr>
          <w:b/>
          <w:i/>
        </w:rPr>
        <w:t xml:space="preserve">land </w:t>
      </w:r>
      <w:r w:rsidR="00EE3952">
        <w:rPr>
          <w:b/>
          <w:i/>
        </w:rPr>
        <w:t xml:space="preserve">tax </w:t>
      </w:r>
      <w:r w:rsidR="00595212" w:rsidRPr="00DC0344">
        <w:rPr>
          <w:b/>
          <w:i/>
        </w:rPr>
        <w:t>and duties</w:t>
      </w:r>
      <w:r w:rsidR="0099362D">
        <w:rPr>
          <w:rStyle w:val="FootnoteReference"/>
        </w:rPr>
        <w:footnoteReference w:id="2"/>
      </w:r>
      <w:r>
        <w:t xml:space="preserve"> (what constitutes </w:t>
      </w:r>
      <w:r w:rsidR="00F9476C">
        <w:t>“</w:t>
      </w:r>
      <w:r>
        <w:t>land</w:t>
      </w:r>
      <w:r w:rsidR="00F9476C">
        <w:t>”</w:t>
      </w:r>
      <w:r w:rsidR="009B5067">
        <w:t xml:space="preserve">, </w:t>
      </w:r>
      <w:r>
        <w:t xml:space="preserve">an interest in land, </w:t>
      </w:r>
      <w:r w:rsidR="005A44F8">
        <w:t xml:space="preserve">what is ‘fixed’ and what constitutes </w:t>
      </w:r>
      <w:r>
        <w:t xml:space="preserve">a </w:t>
      </w:r>
      <w:r w:rsidR="00F9476C">
        <w:t>“</w:t>
      </w:r>
      <w:r>
        <w:t>fixture</w:t>
      </w:r>
      <w:r w:rsidR="00F9476C">
        <w:t>”</w:t>
      </w:r>
      <w:r>
        <w:t xml:space="preserve"> </w:t>
      </w:r>
      <w:r w:rsidR="009B5067">
        <w:t>(several states depart from the common law definition of fixture)</w:t>
      </w:r>
      <w:r w:rsidR="00595212">
        <w:t xml:space="preserve">. </w:t>
      </w:r>
      <w:r w:rsidR="009B5067">
        <w:t>And what constitutes ‘taxable Australian property’ for capital gains tax purposes.</w:t>
      </w:r>
    </w:p>
    <w:p w14:paraId="7516187D" w14:textId="77777777" w:rsidR="00437EE2" w:rsidRDefault="003B36B4" w:rsidP="00437EE2">
      <w:pPr>
        <w:pStyle w:val="OutlineNumbered1"/>
      </w:pPr>
      <w:r>
        <w:t xml:space="preserve">The survey result </w:t>
      </w:r>
      <w:r w:rsidR="00664391">
        <w:t xml:space="preserve">and consultation meetings have both </w:t>
      </w:r>
      <w:r>
        <w:t>identif</w:t>
      </w:r>
      <w:r w:rsidR="00664391">
        <w:t>ied differences in pa</w:t>
      </w:r>
      <w:r>
        <w:t>yroll tax as the key area of concern</w:t>
      </w:r>
      <w:r w:rsidR="00664391">
        <w:t>.</w:t>
      </w:r>
      <w:r w:rsidR="00F17AA2">
        <w:t xml:space="preserve"> While respondents identified payroll tax as an area of concern there were mixed views </w:t>
      </w:r>
      <w:r w:rsidR="005131DF">
        <w:t xml:space="preserve">on the </w:t>
      </w:r>
      <w:r w:rsidR="00547598">
        <w:t xml:space="preserve">level of </w:t>
      </w:r>
      <w:r w:rsidR="005131DF">
        <w:t xml:space="preserve">significance of inconsistencies (in particular employee and contractor concepts). </w:t>
      </w:r>
      <w:r w:rsidR="00372E75">
        <w:t xml:space="preserve"> </w:t>
      </w:r>
    </w:p>
    <w:p w14:paraId="6BB664D9" w14:textId="742722BF" w:rsidR="002667F6" w:rsidRDefault="00437EE2" w:rsidP="000153D3">
      <w:pPr>
        <w:pStyle w:val="OutlineNumbered1"/>
      </w:pPr>
      <w:r>
        <w:t xml:space="preserve">The survey asked respondents to estimate </w:t>
      </w:r>
      <w:r w:rsidR="000153D3">
        <w:t xml:space="preserve">the proportion of payroll tax </w:t>
      </w:r>
      <w:r>
        <w:t xml:space="preserve">compliance costs attributed to </w:t>
      </w:r>
      <w:r w:rsidRPr="00437EE2">
        <w:t>complying with differences (</w:t>
      </w:r>
      <w:r w:rsidR="009D6836">
        <w:t xml:space="preserve">in </w:t>
      </w:r>
      <w:r w:rsidRPr="00437EE2">
        <w:t xml:space="preserve">legislative and/or administrative practice) </w:t>
      </w:r>
      <w:r w:rsidR="009D6836">
        <w:t xml:space="preserve">concerning </w:t>
      </w:r>
      <w:r w:rsidRPr="00437EE2">
        <w:t>the ‘employee/employer/contractor’ concepts</w:t>
      </w:r>
      <w:r w:rsidR="000153D3">
        <w:t xml:space="preserve">. </w:t>
      </w:r>
      <w:r>
        <w:t xml:space="preserve">Six out of the twelve </w:t>
      </w:r>
      <w:r w:rsidR="005F1739">
        <w:t xml:space="preserve">respondents </w:t>
      </w:r>
      <w:r w:rsidR="000153D3">
        <w:t xml:space="preserve">estimated the proportion of </w:t>
      </w:r>
      <w:r w:rsidR="000153D3" w:rsidRPr="000153D3">
        <w:t xml:space="preserve">payroll tax compliance costs </w:t>
      </w:r>
      <w:r w:rsidR="000153D3">
        <w:t xml:space="preserve">to be small </w:t>
      </w:r>
      <w:r>
        <w:t>(0</w:t>
      </w:r>
      <w:r>
        <w:noBreakHyphen/>
        <w:t>10 per cent)</w:t>
      </w:r>
      <w:r w:rsidR="000153D3">
        <w:t>, with four r</w:t>
      </w:r>
      <w:r>
        <w:t xml:space="preserve">espondents </w:t>
      </w:r>
      <w:r w:rsidR="000153D3">
        <w:t xml:space="preserve">estimating the proportion to be </w:t>
      </w:r>
      <w:r w:rsidR="002667E7">
        <w:t xml:space="preserve">higher at </w:t>
      </w:r>
      <w:r w:rsidR="000153D3">
        <w:t>approximately 31</w:t>
      </w:r>
      <w:r w:rsidR="000153D3">
        <w:noBreakHyphen/>
        <w:t>40 per cent</w:t>
      </w:r>
      <w:r w:rsidR="00DF4A0F">
        <w:t xml:space="preserve"> and the other two responses estimating the proportion to fall within 11</w:t>
      </w:r>
      <w:r w:rsidR="00DF4A0F">
        <w:noBreakHyphen/>
        <w:t>20 pe</w:t>
      </w:r>
      <w:r w:rsidR="001E0269">
        <w:t>r cent and 21</w:t>
      </w:r>
      <w:r w:rsidR="001E0269">
        <w:noBreakHyphen/>
        <w:t>30 per cent range respectively</w:t>
      </w:r>
      <w:r w:rsidR="000153D3">
        <w:t>.</w:t>
      </w:r>
    </w:p>
    <w:p w14:paraId="4F47D955" w14:textId="1D0C83D7" w:rsidR="00F83196" w:rsidRDefault="00036A48" w:rsidP="00F83196">
      <w:pPr>
        <w:pStyle w:val="OutlineNumbered1"/>
      </w:pPr>
      <w:r>
        <w:t xml:space="preserve">A majority of </w:t>
      </w:r>
      <w:r w:rsidR="002667F6">
        <w:t xml:space="preserve">respondents to the survey indicated that the </w:t>
      </w:r>
      <w:r w:rsidR="00F83196">
        <w:t xml:space="preserve">inconsistency in </w:t>
      </w:r>
      <w:r w:rsidR="002667F6">
        <w:t>employee and contractor concepts under payroll taxes</w:t>
      </w:r>
      <w:r w:rsidR="00CD7853">
        <w:t xml:space="preserve"> is</w:t>
      </w:r>
      <w:r w:rsidR="00F83196">
        <w:t xml:space="preserve"> caused by the difference in guidance materials and interpretations rather than differing legislation. </w:t>
      </w:r>
      <w:r w:rsidR="00107E23">
        <w:t>However,</w:t>
      </w:r>
      <w:r w:rsidR="00F83196">
        <w:t xml:space="preserve"> Western Australia’s policy setting to exclude contractors from its payroll tax base was </w:t>
      </w:r>
      <w:r w:rsidR="00107E23">
        <w:t>identified</w:t>
      </w:r>
      <w:r w:rsidR="00F83196">
        <w:t xml:space="preserve"> by respondents as a </w:t>
      </w:r>
      <w:r w:rsidR="00F05781">
        <w:t xml:space="preserve">remaining </w:t>
      </w:r>
      <w:r w:rsidR="00F83196">
        <w:t>legislative difference</w:t>
      </w:r>
      <w:r w:rsidR="00107E23">
        <w:t>.</w:t>
      </w:r>
      <w:r w:rsidR="00F83196">
        <w:rPr>
          <w:rStyle w:val="FootnoteReference"/>
        </w:rPr>
        <w:footnoteReference w:id="3"/>
      </w:r>
      <w:r>
        <w:t xml:space="preserve"> The </w:t>
      </w:r>
      <w:r w:rsidR="000E4DC6">
        <w:t>Board</w:t>
      </w:r>
      <w:r>
        <w:t xml:space="preserve"> notes that the decision by Western Australia to exclude </w:t>
      </w:r>
      <w:r w:rsidR="003F6EF7">
        <w:t>contractors is unlikely to be of concern to business.</w:t>
      </w:r>
    </w:p>
    <w:p w14:paraId="12697F81" w14:textId="042A8150" w:rsidR="00392958" w:rsidRDefault="00392958" w:rsidP="00980A13">
      <w:pPr>
        <w:pStyle w:val="Heading2"/>
      </w:pPr>
      <w:r>
        <w:t xml:space="preserve">The </w:t>
      </w:r>
      <w:r w:rsidR="000E4DC6">
        <w:t>Board’s</w:t>
      </w:r>
      <w:r>
        <w:t xml:space="preserve"> observations on the areas of concern raised by stakeholders</w:t>
      </w:r>
    </w:p>
    <w:p w14:paraId="744D215F" w14:textId="77777777" w:rsidR="008F7030" w:rsidRDefault="008F7030" w:rsidP="00980A13">
      <w:pPr>
        <w:pStyle w:val="Heading3"/>
      </w:pPr>
      <w:r>
        <w:t xml:space="preserve">Payroll tax </w:t>
      </w:r>
    </w:p>
    <w:p w14:paraId="4E062B7A" w14:textId="77777777" w:rsidR="00C5136A" w:rsidRDefault="00C5136A" w:rsidP="00526B69">
      <w:pPr>
        <w:pStyle w:val="OutlineNumbered1"/>
      </w:pPr>
      <w:r>
        <w:t>On 29 March 2007</w:t>
      </w:r>
      <w:r w:rsidR="009B548F">
        <w:t>,</w:t>
      </w:r>
      <w:r>
        <w:t xml:space="preserve"> State and Territory Treasurers announced a decision to overhaul payroll tax arrangements to achieve greater legislative and administrative harmonisation.</w:t>
      </w:r>
    </w:p>
    <w:p w14:paraId="5DBECBCC" w14:textId="77777777" w:rsidR="008F7030" w:rsidRDefault="00C5136A" w:rsidP="00526B69">
      <w:pPr>
        <w:pStyle w:val="OutlineNumbered1"/>
      </w:pPr>
      <w:r>
        <w:lastRenderedPageBreak/>
        <w:t xml:space="preserve">Payroll tax harmonisation was endorsed and continued by the Council of Australian Governments as one of 27 projects </w:t>
      </w:r>
      <w:r w:rsidR="00107E23">
        <w:t>pursued u</w:t>
      </w:r>
      <w:r>
        <w:t>nder the National Partnership Agreement to Deliver a National Seamless Economy</w:t>
      </w:r>
      <w:r w:rsidR="00107E23">
        <w:t>. Under this initiative,</w:t>
      </w:r>
      <w:r>
        <w:t xml:space="preserve"> the States and Territories were </w:t>
      </w:r>
      <w:r w:rsidR="00107E23">
        <w:t>tasked</w:t>
      </w:r>
      <w:r>
        <w:t xml:space="preserve"> to work together to produce a nationally coordinated approach in relation to payroll tax, and complete the reforms by 1 July 2012.</w:t>
      </w:r>
    </w:p>
    <w:p w14:paraId="7B9D4133" w14:textId="6DAF81FF" w:rsidR="003F03A0" w:rsidRDefault="003F03A0" w:rsidP="00526B69">
      <w:pPr>
        <w:pStyle w:val="OutlineNumbered1"/>
      </w:pPr>
      <w:r>
        <w:t xml:space="preserve">The </w:t>
      </w:r>
      <w:r w:rsidR="000E4DC6">
        <w:t>Board</w:t>
      </w:r>
      <w:r>
        <w:t xml:space="preserve"> understands that </w:t>
      </w:r>
      <w:r w:rsidR="003F6EF7">
        <w:t xml:space="preserve">this resulted in </w:t>
      </w:r>
      <w:r>
        <w:t>all Australian state and territory governments enacted legislation aligning payroll tax provisions in the following key areas:</w:t>
      </w:r>
    </w:p>
    <w:p w14:paraId="5ADB378A" w14:textId="77777777" w:rsidR="003F03A0" w:rsidRDefault="003F03A0" w:rsidP="009B63BE">
      <w:pPr>
        <w:pStyle w:val="Bullet"/>
      </w:pPr>
      <w:r>
        <w:t>timing of lodgement of returns;</w:t>
      </w:r>
    </w:p>
    <w:p w14:paraId="26EE8645" w14:textId="77777777" w:rsidR="003F03A0" w:rsidRDefault="003F03A0" w:rsidP="009B63BE">
      <w:pPr>
        <w:pStyle w:val="Bullet"/>
      </w:pPr>
      <w:r>
        <w:t>motor vehicle allowances;</w:t>
      </w:r>
    </w:p>
    <w:p w14:paraId="27A1D671" w14:textId="77777777" w:rsidR="003F03A0" w:rsidRDefault="003F03A0" w:rsidP="009B63BE">
      <w:pPr>
        <w:pStyle w:val="Bullet"/>
      </w:pPr>
      <w:r>
        <w:t>accommodation allowances;</w:t>
      </w:r>
    </w:p>
    <w:p w14:paraId="06AC6A92" w14:textId="77777777" w:rsidR="003F03A0" w:rsidRDefault="003F03A0" w:rsidP="009B63BE">
      <w:pPr>
        <w:pStyle w:val="Bullet"/>
      </w:pPr>
      <w:r>
        <w:t xml:space="preserve">a range of fringe benefits; </w:t>
      </w:r>
    </w:p>
    <w:p w14:paraId="1F811B63" w14:textId="77777777" w:rsidR="003F03A0" w:rsidRDefault="003F03A0" w:rsidP="009B63BE">
      <w:pPr>
        <w:pStyle w:val="Bullet"/>
      </w:pPr>
      <w:r>
        <w:t>work performed outside a jurisdiction;</w:t>
      </w:r>
    </w:p>
    <w:p w14:paraId="37046F38" w14:textId="77777777" w:rsidR="003F03A0" w:rsidRDefault="003F03A0" w:rsidP="009B63BE">
      <w:pPr>
        <w:pStyle w:val="Bullet"/>
      </w:pPr>
      <w:r>
        <w:t>employee share acquisition schemes;</w:t>
      </w:r>
    </w:p>
    <w:p w14:paraId="402B9168" w14:textId="77777777" w:rsidR="003F03A0" w:rsidRDefault="003F03A0" w:rsidP="009B63BE">
      <w:pPr>
        <w:pStyle w:val="Bullet"/>
      </w:pPr>
      <w:r>
        <w:t xml:space="preserve">superannuation contributions for non-working directors; and </w:t>
      </w:r>
    </w:p>
    <w:p w14:paraId="6276295B" w14:textId="77777777" w:rsidR="003F03A0" w:rsidRDefault="003F03A0" w:rsidP="009B63BE">
      <w:pPr>
        <w:pStyle w:val="Bullet"/>
      </w:pPr>
      <w:r>
        <w:t>grouping of businesses.</w:t>
      </w:r>
    </w:p>
    <w:p w14:paraId="6A1D7B72" w14:textId="77777777" w:rsidR="003F03A0" w:rsidRDefault="003F03A0" w:rsidP="00526B69">
      <w:pPr>
        <w:pStyle w:val="OutlineNumbered1"/>
      </w:pPr>
      <w:r>
        <w:t>In addition to legislative harmony, the states and territories also committed to greater administrative consistency. As a result:</w:t>
      </w:r>
    </w:p>
    <w:p w14:paraId="0815BA21" w14:textId="77777777" w:rsidR="003F03A0" w:rsidRDefault="003F03A0" w:rsidP="009B63BE">
      <w:pPr>
        <w:pStyle w:val="Bullet"/>
      </w:pPr>
      <w:r>
        <w:t>Payroll Tax Revenue Rulings/Public Rulings/Circulars have been harmonised and published. Access to these publications is provided on the Revenue Rulings page.</w:t>
      </w:r>
    </w:p>
    <w:p w14:paraId="4492452D" w14:textId="77777777" w:rsidR="003F03A0" w:rsidRDefault="003F03A0" w:rsidP="009B63BE">
      <w:pPr>
        <w:pStyle w:val="Bullet"/>
      </w:pPr>
      <w:r>
        <w:t>Where an employer operates in more than one harmonised Australian state and territory, the relevant revenue offices will consult one another and share relevant taxpayer information in determining private rulings and objections matters.</w:t>
      </w:r>
    </w:p>
    <w:p w14:paraId="3A74AA3D" w14:textId="77777777" w:rsidR="003F03A0" w:rsidRDefault="003F03A0" w:rsidP="00526B69">
      <w:pPr>
        <w:pStyle w:val="OutlineNumbered1"/>
      </w:pPr>
      <w:r>
        <w:t xml:space="preserve">Further information on state and territory payroll tax harmonisation is available at </w:t>
      </w:r>
      <w:hyperlink r:id="rId12" w:history="1">
        <w:r w:rsidRPr="0025620F">
          <w:rPr>
            <w:rStyle w:val="Hyperlink"/>
          </w:rPr>
          <w:t>www.payrolltax.gov.au/harmonisation</w:t>
        </w:r>
      </w:hyperlink>
      <w:r>
        <w:t xml:space="preserve"> </w:t>
      </w:r>
    </w:p>
    <w:p w14:paraId="28B3A64D" w14:textId="011B0CBA" w:rsidR="000E4DC6" w:rsidRDefault="0099362D" w:rsidP="00526B69">
      <w:pPr>
        <w:pStyle w:val="OutlineNumbered1"/>
      </w:pPr>
      <w:r>
        <w:t xml:space="preserve">While the </w:t>
      </w:r>
      <w:r w:rsidR="000E4DC6">
        <w:t>Board</w:t>
      </w:r>
      <w:r>
        <w:t xml:space="preserve"> acknowledges </w:t>
      </w:r>
      <w:r w:rsidR="00D845FF">
        <w:t>the significant gains made by the states and territories in harmonising the payroll tax laws and administrative practices</w:t>
      </w:r>
      <w:r w:rsidR="009B548F">
        <w:t>,</w:t>
      </w:r>
      <w:r w:rsidR="00D845FF">
        <w:t xml:space="preserve"> stakeholders continue to raise concerns about differences in the payroll tax laws </w:t>
      </w:r>
      <w:r w:rsidR="00547598">
        <w:t xml:space="preserve">and the administration </w:t>
      </w:r>
      <w:r w:rsidR="00D845FF">
        <w:t>between the states and territories.</w:t>
      </w:r>
      <w:r w:rsidR="00E84256">
        <w:t xml:space="preserve"> Furthermore, the Board is concerned that the remaining differences in the payroll tax laws and administrative practices </w:t>
      </w:r>
      <w:r w:rsidR="00FF7CCB">
        <w:t>is likely to result in increased cost of compliance for businesses operating nationally.</w:t>
      </w:r>
    </w:p>
    <w:p w14:paraId="0EFF9E09" w14:textId="77777777" w:rsidR="00526B69" w:rsidRDefault="00526B69" w:rsidP="00392958">
      <w:pPr>
        <w:pStyle w:val="Heading2"/>
      </w:pPr>
      <w:r>
        <w:t>Finding 1</w:t>
      </w:r>
    </w:p>
    <w:tbl>
      <w:tblPr>
        <w:tblStyle w:val="TableGrid"/>
        <w:tblW w:w="0" w:type="auto"/>
        <w:shd w:val="clear" w:color="auto" w:fill="D9D9D9" w:themeFill="background1" w:themeFillShade="D9"/>
        <w:tblLook w:val="04A0" w:firstRow="1" w:lastRow="0" w:firstColumn="1" w:lastColumn="0" w:noHBand="0" w:noVBand="1"/>
      </w:tblPr>
      <w:tblGrid>
        <w:gridCol w:w="9242"/>
      </w:tblGrid>
      <w:tr w:rsidR="00D845FF" w14:paraId="6470860D" w14:textId="77777777" w:rsidTr="0095478F">
        <w:tc>
          <w:tcPr>
            <w:tcW w:w="9242" w:type="dxa"/>
            <w:shd w:val="clear" w:color="auto" w:fill="D9D9D9" w:themeFill="background1" w:themeFillShade="D9"/>
          </w:tcPr>
          <w:p w14:paraId="7F5E6C5F" w14:textId="46049012" w:rsidR="00D845FF" w:rsidRPr="0095478F" w:rsidRDefault="00BC4924" w:rsidP="003B5B96">
            <w:pPr>
              <w:rPr>
                <w:b/>
              </w:rPr>
            </w:pPr>
            <w:r w:rsidRPr="0095478F">
              <w:rPr>
                <w:b/>
              </w:rPr>
              <w:t xml:space="preserve">The </w:t>
            </w:r>
            <w:r w:rsidR="000E4DC6">
              <w:rPr>
                <w:b/>
              </w:rPr>
              <w:t>Board</w:t>
            </w:r>
            <w:r w:rsidRPr="0095478F">
              <w:rPr>
                <w:b/>
              </w:rPr>
              <w:t xml:space="preserve"> has identified and documented differences in core definitions and concepts between state and territory payroll tax laws </w:t>
            </w:r>
            <w:r w:rsidR="003A2683">
              <w:rPr>
                <w:b/>
              </w:rPr>
              <w:t xml:space="preserve">and aspects of the federal tax laws </w:t>
            </w:r>
            <w:r w:rsidRPr="0095478F">
              <w:rPr>
                <w:b/>
              </w:rPr>
              <w:t xml:space="preserve">with the assistance of </w:t>
            </w:r>
            <w:r w:rsidR="003A2683" w:rsidRPr="00D06754">
              <w:rPr>
                <w:b/>
              </w:rPr>
              <w:t>Deloitte</w:t>
            </w:r>
            <w:r w:rsidRPr="0095478F">
              <w:rPr>
                <w:b/>
              </w:rPr>
              <w:t xml:space="preserve">. The </w:t>
            </w:r>
            <w:r w:rsidR="00FF7624" w:rsidRPr="0095478F">
              <w:rPr>
                <w:b/>
              </w:rPr>
              <w:t xml:space="preserve">relevant state/territory Office of Revenue has verified the differences as at </w:t>
            </w:r>
            <w:r w:rsidR="00615899" w:rsidRPr="0095478F">
              <w:rPr>
                <w:b/>
              </w:rPr>
              <w:t xml:space="preserve">30 March 2017. The document detailing the differences in the payroll tax laws is at Attachment </w:t>
            </w:r>
            <w:r w:rsidR="00EC602C" w:rsidRPr="00F9507C">
              <w:rPr>
                <w:b/>
              </w:rPr>
              <w:t>B</w:t>
            </w:r>
            <w:r w:rsidR="00615899" w:rsidRPr="0095478F">
              <w:rPr>
                <w:b/>
              </w:rPr>
              <w:t>.</w:t>
            </w:r>
            <w:r w:rsidR="00FF7624" w:rsidRPr="0095478F">
              <w:rPr>
                <w:b/>
              </w:rPr>
              <w:t xml:space="preserve"> </w:t>
            </w:r>
          </w:p>
        </w:tc>
      </w:tr>
    </w:tbl>
    <w:p w14:paraId="4BD37F35" w14:textId="77777777" w:rsidR="00D845FF" w:rsidRDefault="001E26D5" w:rsidP="00980A13">
      <w:pPr>
        <w:pStyle w:val="Heading3"/>
      </w:pPr>
      <w:r>
        <w:lastRenderedPageBreak/>
        <w:t xml:space="preserve">Stamp duty </w:t>
      </w:r>
      <w:r w:rsidR="000B41E7">
        <w:t xml:space="preserve">and land tax </w:t>
      </w:r>
    </w:p>
    <w:p w14:paraId="0BC3EFF8" w14:textId="77777777" w:rsidR="00F06BF5" w:rsidRDefault="001E26D5" w:rsidP="001E26D5">
      <w:pPr>
        <w:pStyle w:val="OutlineNumbered1"/>
      </w:pPr>
      <w:r>
        <w:t xml:space="preserve">While </w:t>
      </w:r>
      <w:r w:rsidR="00547598">
        <w:t xml:space="preserve">only a small number of respondents raised </w:t>
      </w:r>
      <w:r w:rsidR="00F06BF5">
        <w:t xml:space="preserve">land </w:t>
      </w:r>
      <w:r w:rsidR="00EE3952">
        <w:t xml:space="preserve">tax </w:t>
      </w:r>
      <w:r w:rsidR="00F06BF5">
        <w:t>and stamp duty as a priority area for legislative harmonisation, the definition of land and what constitutes a taxable interest in land (i.e. commonly referred to as land</w:t>
      </w:r>
      <w:r w:rsidR="00EE3952">
        <w:t>holder</w:t>
      </w:r>
      <w:r w:rsidR="00F06BF5">
        <w:t xml:space="preserve"> rules) were specifically identified.</w:t>
      </w:r>
    </w:p>
    <w:p w14:paraId="76D9BD28" w14:textId="3817DF0A" w:rsidR="00E235BA" w:rsidRDefault="00F06BF5" w:rsidP="001E26D5">
      <w:pPr>
        <w:pStyle w:val="OutlineNumbered1"/>
      </w:pPr>
      <w:r>
        <w:t xml:space="preserve">The </w:t>
      </w:r>
      <w:r w:rsidR="000E4DC6">
        <w:t>Board</w:t>
      </w:r>
      <w:r>
        <w:t xml:space="preserve"> </w:t>
      </w:r>
      <w:r w:rsidR="00E235BA">
        <w:t xml:space="preserve">understands that the inconsistency in what constitutes ‘land’ </w:t>
      </w:r>
      <w:r w:rsidR="002515FA">
        <w:t xml:space="preserve">is due to </w:t>
      </w:r>
      <w:r w:rsidR="00194997">
        <w:t xml:space="preserve">laws in </w:t>
      </w:r>
      <w:r w:rsidR="002515FA">
        <w:t xml:space="preserve">a number of </w:t>
      </w:r>
      <w:r w:rsidR="00E235BA">
        <w:t xml:space="preserve">states </w:t>
      </w:r>
      <w:r w:rsidR="00194997">
        <w:t xml:space="preserve">that have altered the common law concept of ‘fixture’ which feeds into the meaning of ‘land’. </w:t>
      </w:r>
      <w:r w:rsidR="00E235BA">
        <w:t>As such the difference in the statutory rules is a result of discreet policy choices by th</w:t>
      </w:r>
      <w:r w:rsidR="00194997">
        <w:t xml:space="preserve">at </w:t>
      </w:r>
      <w:r w:rsidR="00E235BA">
        <w:t>state.</w:t>
      </w:r>
    </w:p>
    <w:p w14:paraId="1A3A8CFD" w14:textId="77777777" w:rsidR="00194997" w:rsidRDefault="00194997" w:rsidP="001E26D5">
      <w:pPr>
        <w:pStyle w:val="OutlineNumbered1"/>
      </w:pPr>
      <w:r>
        <w:t>In addition</w:t>
      </w:r>
      <w:r w:rsidR="00107E23">
        <w:t>,</w:t>
      </w:r>
      <w:r>
        <w:t xml:space="preserve"> some stakeholders have raised concerns regarding the differences in administrative practices between states.</w:t>
      </w:r>
    </w:p>
    <w:p w14:paraId="533F7749" w14:textId="2EFBA5A4" w:rsidR="001E26D5" w:rsidRDefault="000D6DF8" w:rsidP="001E26D5">
      <w:pPr>
        <w:pStyle w:val="OutlineNumbered1"/>
      </w:pPr>
      <w:r>
        <w:t xml:space="preserve">The </w:t>
      </w:r>
      <w:r w:rsidR="000E4DC6">
        <w:t>Board</w:t>
      </w:r>
      <w:r w:rsidR="00E235BA">
        <w:t xml:space="preserve"> also considered the concept of ‘taxable Australian property’ </w:t>
      </w:r>
      <w:r w:rsidR="00A968CD">
        <w:t>and</w:t>
      </w:r>
      <w:r w:rsidR="00EC602C">
        <w:t xml:space="preserve"> </w:t>
      </w:r>
      <w:r w:rsidR="00A968CD">
        <w:t>‘indirect Australian real property interest’ under the capital gains and foreign residents’ rules</w:t>
      </w:r>
      <w:r>
        <w:t xml:space="preserve"> within the </w:t>
      </w:r>
      <w:r>
        <w:rPr>
          <w:i/>
        </w:rPr>
        <w:t xml:space="preserve">Income Tax Assessment Act 1997. </w:t>
      </w:r>
      <w:r>
        <w:t xml:space="preserve">The </w:t>
      </w:r>
      <w:r w:rsidR="00566883">
        <w:t>Board</w:t>
      </w:r>
      <w:r>
        <w:t xml:space="preserve"> noted that these rules </w:t>
      </w:r>
      <w:r w:rsidR="00F05781">
        <w:t xml:space="preserve">are </w:t>
      </w:r>
      <w:r>
        <w:t xml:space="preserve">broadly aligned to Australia’s </w:t>
      </w:r>
      <w:r w:rsidR="00F05781">
        <w:t xml:space="preserve">international obligations under various bilateral </w:t>
      </w:r>
      <w:r>
        <w:t>tax treat</w:t>
      </w:r>
      <w:r w:rsidR="00F05781">
        <w:t>ies. The group concluded that it is appropriate to maintain the alignment of these rules with Australia’s tax treaty obligations.</w:t>
      </w:r>
    </w:p>
    <w:p w14:paraId="44D02042" w14:textId="77777777" w:rsidR="00CD7853" w:rsidRDefault="00CD7853" w:rsidP="00CD7853">
      <w:pPr>
        <w:pStyle w:val="Heading2"/>
      </w:pPr>
      <w:r>
        <w:t>Finding 2</w:t>
      </w:r>
    </w:p>
    <w:tbl>
      <w:tblPr>
        <w:tblStyle w:val="TableGrid"/>
        <w:tblW w:w="0" w:type="auto"/>
        <w:shd w:val="clear" w:color="auto" w:fill="D9D9D9" w:themeFill="background1" w:themeFillShade="D9"/>
        <w:tblLook w:val="04A0" w:firstRow="1" w:lastRow="0" w:firstColumn="1" w:lastColumn="0" w:noHBand="0" w:noVBand="1"/>
      </w:tblPr>
      <w:tblGrid>
        <w:gridCol w:w="9242"/>
      </w:tblGrid>
      <w:tr w:rsidR="00CD7853" w14:paraId="61802CDB" w14:textId="77777777" w:rsidTr="0011223A">
        <w:tc>
          <w:tcPr>
            <w:tcW w:w="9242" w:type="dxa"/>
            <w:shd w:val="clear" w:color="auto" w:fill="D9D9D9" w:themeFill="background1" w:themeFillShade="D9"/>
          </w:tcPr>
          <w:p w14:paraId="7F725DAA" w14:textId="070E4698" w:rsidR="00CD7853" w:rsidRPr="0095478F" w:rsidRDefault="00CD7853" w:rsidP="00566883">
            <w:pPr>
              <w:rPr>
                <w:b/>
              </w:rPr>
            </w:pPr>
            <w:r w:rsidRPr="0095478F">
              <w:rPr>
                <w:b/>
              </w:rPr>
              <w:t xml:space="preserve">The </w:t>
            </w:r>
            <w:r w:rsidR="00566883">
              <w:rPr>
                <w:b/>
              </w:rPr>
              <w:t>Board</w:t>
            </w:r>
            <w:r w:rsidRPr="0095478F">
              <w:rPr>
                <w:b/>
              </w:rPr>
              <w:t xml:space="preserve"> has identified and documented differences in core definitions and concepts between state and territory </w:t>
            </w:r>
            <w:r>
              <w:rPr>
                <w:b/>
              </w:rPr>
              <w:t xml:space="preserve">stamp duty and land tax </w:t>
            </w:r>
            <w:r w:rsidRPr="0095478F">
              <w:rPr>
                <w:b/>
              </w:rPr>
              <w:t xml:space="preserve">laws with the assistance of a major accounting firm. The relevant state/territory Office of Revenue has verified the differences as at 30 March 2017. The document detailing the differences in the </w:t>
            </w:r>
            <w:r w:rsidR="00A968CD">
              <w:rPr>
                <w:b/>
              </w:rPr>
              <w:t xml:space="preserve">stamp duty and land tax </w:t>
            </w:r>
            <w:r w:rsidRPr="0095478F">
              <w:rPr>
                <w:b/>
              </w:rPr>
              <w:t xml:space="preserve">laws is at Attachment </w:t>
            </w:r>
            <w:r w:rsidR="00B80E34" w:rsidRPr="00F9507C">
              <w:rPr>
                <w:b/>
              </w:rPr>
              <w:t>C</w:t>
            </w:r>
            <w:r w:rsidRPr="0095478F">
              <w:rPr>
                <w:b/>
              </w:rPr>
              <w:t xml:space="preserve">. </w:t>
            </w:r>
          </w:p>
        </w:tc>
      </w:tr>
    </w:tbl>
    <w:p w14:paraId="0D45AF32" w14:textId="77777777" w:rsidR="00261D4E" w:rsidRDefault="00261D4E" w:rsidP="00CD7853"/>
    <w:p w14:paraId="455EB847" w14:textId="77777777" w:rsidR="00E51A01" w:rsidRDefault="000A6E3F" w:rsidP="00980A13">
      <w:pPr>
        <w:pStyle w:val="Heading3"/>
      </w:pPr>
      <w:r>
        <w:t>Concept of an e</w:t>
      </w:r>
      <w:r w:rsidR="00E51A01">
        <w:t>mployee</w:t>
      </w:r>
    </w:p>
    <w:p w14:paraId="5DD04E96" w14:textId="49B6E9AB" w:rsidR="00C21B33" w:rsidRDefault="0075517B" w:rsidP="00D460E1">
      <w:pPr>
        <w:pStyle w:val="OutlineNumbered1"/>
      </w:pPr>
      <w:r>
        <w:t xml:space="preserve">Concerns were </w:t>
      </w:r>
      <w:r w:rsidR="00D460E1">
        <w:t xml:space="preserve">raised by stakeholders </w:t>
      </w:r>
      <w:r>
        <w:t xml:space="preserve">in relation to </w:t>
      </w:r>
      <w:r w:rsidR="00D460E1" w:rsidRPr="00D460E1">
        <w:t xml:space="preserve">the </w:t>
      </w:r>
      <w:r w:rsidR="00C21B33">
        <w:t xml:space="preserve">definition and concept of an ‘employee’ </w:t>
      </w:r>
      <w:r>
        <w:t xml:space="preserve">for the purposes of </w:t>
      </w:r>
      <w:r w:rsidR="00C21B33">
        <w:t>both tax and non</w:t>
      </w:r>
      <w:r w:rsidR="00C21B33">
        <w:noBreakHyphen/>
        <w:t xml:space="preserve">tax laws. The </w:t>
      </w:r>
      <w:r w:rsidR="00566883">
        <w:t>Board</w:t>
      </w:r>
      <w:r w:rsidR="00C21B33">
        <w:t xml:space="preserve"> has found that the concern</w:t>
      </w:r>
      <w:r>
        <w:t xml:space="preserve">s articulated by stakeholders </w:t>
      </w:r>
      <w:r w:rsidR="00C21B33">
        <w:t>generally f</w:t>
      </w:r>
      <w:r>
        <w:t>ell</w:t>
      </w:r>
      <w:r w:rsidR="00C21B33">
        <w:t xml:space="preserve"> into two categories:</w:t>
      </w:r>
    </w:p>
    <w:p w14:paraId="1B63C5AF" w14:textId="77777777" w:rsidR="00C21B33" w:rsidRDefault="00C21B33" w:rsidP="009B63BE">
      <w:pPr>
        <w:pStyle w:val="Bullet"/>
      </w:pPr>
      <w:r>
        <w:t xml:space="preserve">Category 1: </w:t>
      </w:r>
      <w:r w:rsidR="0075517B">
        <w:t xml:space="preserve">Uncertainty regarding the </w:t>
      </w:r>
      <w:r w:rsidR="00786BBD">
        <w:t xml:space="preserve">interpretation of </w:t>
      </w:r>
      <w:r w:rsidR="0075517B">
        <w:t xml:space="preserve">the </w:t>
      </w:r>
      <w:r w:rsidR="00786BBD">
        <w:t>common law meaning of ‘employee’</w:t>
      </w:r>
      <w:r w:rsidR="0075517B">
        <w:t>,</w:t>
      </w:r>
      <w:r w:rsidR="00786BBD">
        <w:t xml:space="preserve"> combined with s</w:t>
      </w:r>
      <w:r>
        <w:t xml:space="preserve">pecific policy </w:t>
      </w:r>
      <w:r w:rsidR="00786BBD">
        <w:t>setting</w:t>
      </w:r>
      <w:r w:rsidR="00643F8E">
        <w:t xml:space="preserve">s expressed in the legislation that either </w:t>
      </w:r>
      <w:r w:rsidR="00786BBD">
        <w:t xml:space="preserve">expand or narrow </w:t>
      </w:r>
      <w:r>
        <w:t>the common law meaning of employee.</w:t>
      </w:r>
    </w:p>
    <w:p w14:paraId="5DA38158" w14:textId="77777777" w:rsidR="005852DE" w:rsidRDefault="005852DE" w:rsidP="00EE433B">
      <w:pPr>
        <w:pStyle w:val="Dash"/>
      </w:pPr>
      <w:r>
        <w:t xml:space="preserve">There is a general concern regarding the uncertainty that an employer encounters in determining whether a worker is an employee. This uncertainty stems from the </w:t>
      </w:r>
      <w:r w:rsidR="00643F8E">
        <w:t xml:space="preserve">fact that the </w:t>
      </w:r>
      <w:r>
        <w:t xml:space="preserve">definition of ‘employee’ </w:t>
      </w:r>
      <w:r w:rsidR="00643F8E">
        <w:t xml:space="preserve">is </w:t>
      </w:r>
      <w:r>
        <w:t>based on the common law</w:t>
      </w:r>
      <w:r w:rsidR="00643F8E">
        <w:t>, both</w:t>
      </w:r>
      <w:r>
        <w:t xml:space="preserve"> within </w:t>
      </w:r>
      <w:r w:rsidR="00643F8E">
        <w:t xml:space="preserve">a </w:t>
      </w:r>
      <w:r>
        <w:t>tax and non</w:t>
      </w:r>
      <w:r>
        <w:noBreakHyphen/>
        <w:t xml:space="preserve">tax </w:t>
      </w:r>
      <w:r w:rsidR="00643F8E">
        <w:t>context</w:t>
      </w:r>
      <w:r>
        <w:t>. As such the determination relies on the assessment of a number of factors (with no factor being determinative) and is driven by the particular facts at hand.</w:t>
      </w:r>
    </w:p>
    <w:p w14:paraId="64A604B4" w14:textId="77777777" w:rsidR="00786BBD" w:rsidRDefault="005852DE" w:rsidP="00A24DBC">
      <w:pPr>
        <w:pStyle w:val="Dash"/>
      </w:pPr>
      <w:r>
        <w:t xml:space="preserve">This general concern is heightened </w:t>
      </w:r>
      <w:r w:rsidR="0087205D">
        <w:t xml:space="preserve">by </w:t>
      </w:r>
      <w:r w:rsidR="00051207">
        <w:t xml:space="preserve">altering the common law definition under various </w:t>
      </w:r>
      <w:r>
        <w:t>tax rules</w:t>
      </w:r>
      <w:r w:rsidR="00051207">
        <w:t>.</w:t>
      </w:r>
      <w:r>
        <w:t xml:space="preserve"> </w:t>
      </w:r>
      <w:r w:rsidR="00786BBD">
        <w:t xml:space="preserve">For example, </w:t>
      </w:r>
      <w:r w:rsidR="00754F7A">
        <w:t xml:space="preserve">the common law meaning of employee is </w:t>
      </w:r>
      <w:r w:rsidR="00051207">
        <w:t xml:space="preserve">altered </w:t>
      </w:r>
      <w:r w:rsidR="00754F7A">
        <w:t>for the purposes of the superannuation guarantee rules</w:t>
      </w:r>
      <w:r w:rsidR="0011223A">
        <w:rPr>
          <w:rStyle w:val="FootnoteReference"/>
        </w:rPr>
        <w:footnoteReference w:id="4"/>
      </w:r>
      <w:r w:rsidR="00754F7A">
        <w:t xml:space="preserve"> when compared to the </w:t>
      </w:r>
      <w:r w:rsidR="00754F7A" w:rsidRPr="0011223A">
        <w:lastRenderedPageBreak/>
        <w:t>pay</w:t>
      </w:r>
      <w:r w:rsidR="00754F7A" w:rsidRPr="0011223A">
        <w:noBreakHyphen/>
        <w:t>as</w:t>
      </w:r>
      <w:r w:rsidR="00754F7A" w:rsidRPr="0011223A">
        <w:noBreakHyphen/>
        <w:t>you</w:t>
      </w:r>
      <w:r w:rsidR="00754F7A" w:rsidRPr="0011223A">
        <w:noBreakHyphen/>
        <w:t>go withholding rules</w:t>
      </w:r>
      <w:r w:rsidR="0011223A" w:rsidRPr="0011223A">
        <w:rPr>
          <w:rStyle w:val="FootnoteReference"/>
        </w:rPr>
        <w:footnoteReference w:id="5"/>
      </w:r>
      <w:r w:rsidR="00754F7A" w:rsidRPr="0011223A">
        <w:t>.</w:t>
      </w:r>
      <w:r w:rsidR="00051207">
        <w:t xml:space="preserve"> The difference between the superannuation rules and the PAYG rules are a result of a specific policy choice; namely to provide broader superannuation coverage for Australian workers to </w:t>
      </w:r>
      <w:r w:rsidR="00754F7A" w:rsidRPr="00754F7A">
        <w:t>reduc</w:t>
      </w:r>
      <w:r w:rsidR="00C64D1A">
        <w:t>e</w:t>
      </w:r>
      <w:r w:rsidR="00754F7A">
        <w:t xml:space="preserve"> the</w:t>
      </w:r>
      <w:r w:rsidR="00754F7A" w:rsidRPr="00754F7A">
        <w:t xml:space="preserve"> reliance on the Age pensio</w:t>
      </w:r>
      <w:r w:rsidR="00754F7A">
        <w:t>n system.</w:t>
      </w:r>
    </w:p>
    <w:p w14:paraId="500F5145" w14:textId="77777777" w:rsidR="00C21B33" w:rsidRDefault="00C21B33" w:rsidP="009B63BE">
      <w:pPr>
        <w:pStyle w:val="Bullet"/>
      </w:pPr>
      <w:r>
        <w:t>Category 2: The misclassification of workers as either ‘employees’ or ‘contractors’.</w:t>
      </w:r>
    </w:p>
    <w:p w14:paraId="7E4A768B" w14:textId="142F72AC" w:rsidR="00566883" w:rsidRDefault="00C64D1A" w:rsidP="00EE433B">
      <w:pPr>
        <w:pStyle w:val="Dash"/>
      </w:pPr>
      <w:r>
        <w:t>Stakeholders indicated that the misclassification of workers</w:t>
      </w:r>
      <w:r w:rsidR="0087205D">
        <w:t xml:space="preserve">, </w:t>
      </w:r>
      <w:r w:rsidR="00BF519E">
        <w:t xml:space="preserve">either </w:t>
      </w:r>
      <w:r w:rsidR="0087205D">
        <w:t>int</w:t>
      </w:r>
      <w:r w:rsidR="00BF519E">
        <w:t>entionally</w:t>
      </w:r>
      <w:r w:rsidR="0087205D">
        <w:t xml:space="preserve"> or </w:t>
      </w:r>
      <w:r w:rsidR="00BF519E">
        <w:t>through</w:t>
      </w:r>
      <w:r w:rsidR="0087205D">
        <w:t xml:space="preserve"> error,</w:t>
      </w:r>
      <w:r>
        <w:t xml:space="preserve"> may lead to significant legal risk</w:t>
      </w:r>
      <w:r w:rsidR="0087205D">
        <w:t>,</w:t>
      </w:r>
      <w:r>
        <w:t xml:space="preserve"> unexpected liabilities for employers</w:t>
      </w:r>
      <w:r w:rsidR="0087205D">
        <w:t xml:space="preserve"> and potential adverse outcomes for </w:t>
      </w:r>
      <w:r w:rsidR="003E166C">
        <w:t>workers</w:t>
      </w:r>
      <w:r w:rsidR="0087205D">
        <w:t xml:space="preserve"> (e.g</w:t>
      </w:r>
      <w:r>
        <w:t>.</w:t>
      </w:r>
      <w:r w:rsidR="0087205D">
        <w:t xml:space="preserve"> </w:t>
      </w:r>
      <w:r w:rsidR="003E166C">
        <w:t xml:space="preserve">the </w:t>
      </w:r>
      <w:r w:rsidR="0087205D">
        <w:t xml:space="preserve">reclassification </w:t>
      </w:r>
      <w:r w:rsidR="003E166C">
        <w:t xml:space="preserve">of a worker </w:t>
      </w:r>
      <w:r w:rsidR="0087205D">
        <w:t xml:space="preserve">may lead to superannuation contributions </w:t>
      </w:r>
      <w:r w:rsidR="003E166C">
        <w:t xml:space="preserve">no longer being </w:t>
      </w:r>
      <w:r w:rsidR="0087205D">
        <w:t>deductible or</w:t>
      </w:r>
      <w:r>
        <w:t xml:space="preserve"> </w:t>
      </w:r>
      <w:r w:rsidR="0087205D">
        <w:t>result in a breach of the contributions cap leading to a liability for excess contributions tax).</w:t>
      </w:r>
    </w:p>
    <w:p w14:paraId="7B4EF2F1" w14:textId="642D44BE" w:rsidR="00ED0A3E" w:rsidRDefault="00ED0A3E" w:rsidP="00980A13">
      <w:pPr>
        <w:pStyle w:val="OutlineNumbered1"/>
      </w:pPr>
      <w:r w:rsidRPr="00ED0A3E">
        <w:t xml:space="preserve">While not mentioned by survey participants, the Board notes the impact </w:t>
      </w:r>
      <w:r w:rsidR="00DF4A0F" w:rsidRPr="00ED0A3E">
        <w:t>of structural</w:t>
      </w:r>
      <w:r w:rsidRPr="00ED0A3E">
        <w:t xml:space="preserve"> change within the Australian workforce characterised by a move away from the traditional employer/employee arrangement to a business/independent contractor arrangement. This change is being driven by a number of factors and is expected to present ongoing challenges for the tax system; particularly regarding the potential for the states’ payroll tax base to be impacted negatively.</w:t>
      </w:r>
    </w:p>
    <w:p w14:paraId="09B2B300" w14:textId="77777777" w:rsidR="001060C6" w:rsidRPr="00C64D1A" w:rsidRDefault="001060C6" w:rsidP="00D63BB1">
      <w:pPr>
        <w:pStyle w:val="Heading4"/>
      </w:pPr>
      <w:r>
        <w:t>Inspector General of Taxation</w:t>
      </w:r>
      <w:r w:rsidR="000376A8">
        <w:t xml:space="preserve"> Report</w:t>
      </w:r>
    </w:p>
    <w:p w14:paraId="2789CE42" w14:textId="77777777" w:rsidR="007617F4" w:rsidRDefault="003B6D41" w:rsidP="007617F4">
      <w:pPr>
        <w:pStyle w:val="OutlineNumbered1"/>
      </w:pPr>
      <w:r>
        <w:t>Similar stakeholder concerns in relation to the concept of an employee within the context of the employee/contractor distinction were recently considered as part of t</w:t>
      </w:r>
      <w:r w:rsidR="00786BBD">
        <w:t>he</w:t>
      </w:r>
      <w:r w:rsidR="00C64D1A">
        <w:t xml:space="preserve"> Inspector General of Taxation’s </w:t>
      </w:r>
      <w:r w:rsidR="0087205D">
        <w:t xml:space="preserve">report on the Review into the Australian taxation office’s employer obligations compliance activities </w:t>
      </w:r>
      <w:r w:rsidR="000A6E3F">
        <w:t>(the IGT Report)</w:t>
      </w:r>
      <w:r w:rsidR="000A6E3F">
        <w:rPr>
          <w:rStyle w:val="FootnoteReference"/>
        </w:rPr>
        <w:footnoteReference w:id="6"/>
      </w:r>
      <w:r w:rsidR="000A6E3F">
        <w:t xml:space="preserve">. </w:t>
      </w:r>
    </w:p>
    <w:p w14:paraId="6CBA89D9" w14:textId="77777777" w:rsidR="007617F4" w:rsidRDefault="007617F4" w:rsidP="007617F4">
      <w:pPr>
        <w:pStyle w:val="OutlineNumbered1"/>
      </w:pPr>
      <w:r>
        <w:t xml:space="preserve">The IGT Report states “…the </w:t>
      </w:r>
      <w:r w:rsidRPr="007617F4">
        <w:rPr>
          <w:i/>
        </w:rPr>
        <w:t>employee/contractor distinction is the basis for determining a number of tax and non-tax employer obligations at state and federal level. Whilst, in all cases, the distinction is based on the common law definition of employee, it is altered by the governing legislation in most instances such that businesses have the burden and associated costs of determining worker status multiple times for each category of workers</w:t>
      </w:r>
      <w:r>
        <w:t>.”</w:t>
      </w:r>
    </w:p>
    <w:p w14:paraId="4B473BCC" w14:textId="77777777" w:rsidR="007617F4" w:rsidRDefault="007617F4" w:rsidP="007617F4">
      <w:pPr>
        <w:pStyle w:val="OutlineNumbered1"/>
      </w:pPr>
      <w:r w:rsidRPr="003F6EF7">
        <w:t xml:space="preserve">The IGT </w:t>
      </w:r>
      <w:r w:rsidRPr="001B7D16">
        <w:t xml:space="preserve">Report </w:t>
      </w:r>
      <w:r w:rsidR="00D74D12" w:rsidRPr="001B7D16">
        <w:t xml:space="preserve">made </w:t>
      </w:r>
      <w:r w:rsidR="00D74D12" w:rsidRPr="003F6EF7">
        <w:t>the observation that harmonisation of the definition of an employee across all tax and non</w:t>
      </w:r>
      <w:r w:rsidR="00D74D12" w:rsidRPr="003F6EF7">
        <w:noBreakHyphen/>
        <w:t>tax employer obligations</w:t>
      </w:r>
      <w:r w:rsidR="00D74D12">
        <w:t xml:space="preserve"> at federal and state levels may be more achievable than a single definition (some stakeholders suggested that the solution was to have a single definition for all obligations). In making this observation the IGT also noted that </w:t>
      </w:r>
      <w:r w:rsidR="001B7D16">
        <w:t xml:space="preserve">such a </w:t>
      </w:r>
      <w:r w:rsidR="00D74D12">
        <w:t xml:space="preserve">harmonisation </w:t>
      </w:r>
      <w:r w:rsidR="001B7D16">
        <w:t xml:space="preserve">project would </w:t>
      </w:r>
      <w:r w:rsidR="00D74D12">
        <w:t>involve a considerable undertaking</w:t>
      </w:r>
      <w:r w:rsidR="001B7D16">
        <w:t>, which was</w:t>
      </w:r>
      <w:r w:rsidR="00D74D12">
        <w:t xml:space="preserve"> beyond </w:t>
      </w:r>
      <w:r w:rsidR="001B7D16">
        <w:t>its</w:t>
      </w:r>
      <w:r w:rsidR="00D74D12">
        <w:t xml:space="preserve"> remit.</w:t>
      </w:r>
      <w:r>
        <w:t xml:space="preserve"> </w:t>
      </w:r>
    </w:p>
    <w:p w14:paraId="06CDE598" w14:textId="77777777" w:rsidR="008D71DE" w:rsidRDefault="00F47DE9" w:rsidP="008D71DE">
      <w:pPr>
        <w:pStyle w:val="OutlineNumbered1"/>
      </w:pPr>
      <w:r>
        <w:t xml:space="preserve">The IGT Report </w:t>
      </w:r>
      <w:r w:rsidR="001B7D16">
        <w:t>also</w:t>
      </w:r>
      <w:r>
        <w:t xml:space="preserve"> made</w:t>
      </w:r>
      <w:r w:rsidR="008D71DE">
        <w:t xml:space="preserve"> the following recommendation </w:t>
      </w:r>
      <w:r w:rsidR="00D63BB1">
        <w:t xml:space="preserve">(2.1) </w:t>
      </w:r>
      <w:r w:rsidR="008D71DE">
        <w:t>that the ATO:</w:t>
      </w:r>
    </w:p>
    <w:p w14:paraId="23ED9B96" w14:textId="77777777" w:rsidR="008D71DE" w:rsidRDefault="008D71DE" w:rsidP="008D71DE">
      <w:pPr>
        <w:ind w:left="520"/>
      </w:pPr>
      <w:r>
        <w:t xml:space="preserve">“(a) clarify the protection provided to those who use and rely on the (a) Employee Contractor Decision tool in good faith, promote the tool and allow it to be used by employees and </w:t>
      </w:r>
      <w:r>
        <w:lastRenderedPageBreak/>
        <w:t>contractors as well as accompanying the result with links to information outlining their respective rights and obligations; and</w:t>
      </w:r>
    </w:p>
    <w:p w14:paraId="6D769923" w14:textId="77777777" w:rsidR="00F47DE9" w:rsidRDefault="008D71DE" w:rsidP="00D63BB1">
      <w:pPr>
        <w:ind w:left="520"/>
      </w:pPr>
      <w:r>
        <w:t>(b) implement and promote a Voluntary Certification System which employers, employees and contractors may use, as soon as possible, to confirm worker status and refer them to information about their respective rights and obligations once their status has been determined.”</w:t>
      </w:r>
    </w:p>
    <w:p w14:paraId="79DDD723" w14:textId="77777777" w:rsidR="005A44F8" w:rsidRDefault="00D63BB1" w:rsidP="005A44F8">
      <w:pPr>
        <w:pStyle w:val="OutlineNumbered1"/>
      </w:pPr>
      <w:r>
        <w:t>The IGT Report provides that the ATO agreed with part (a) of this recommendation but disagreed with part (b)</w:t>
      </w:r>
      <w:r>
        <w:rPr>
          <w:rStyle w:val="FootnoteReference"/>
        </w:rPr>
        <w:footnoteReference w:id="7"/>
      </w:r>
      <w:r>
        <w:t>.</w:t>
      </w:r>
      <w:r w:rsidR="005A44F8">
        <w:t xml:space="preserve"> </w:t>
      </w:r>
    </w:p>
    <w:p w14:paraId="4E934AA2" w14:textId="77777777" w:rsidR="003B5B96" w:rsidRDefault="005A44F8" w:rsidP="00D3225C">
      <w:pPr>
        <w:pStyle w:val="OutlineNumbered1"/>
      </w:pPr>
      <w:r>
        <w:t xml:space="preserve">During consultations one stakeholder group </w:t>
      </w:r>
      <w:r w:rsidRPr="005A44F8">
        <w:t>suggested that states and territories should investigate relying on the ATO Employee Contractor Tool for payroll tax purposes as a means to cut red tape/achieve harmonisation.</w:t>
      </w:r>
    </w:p>
    <w:p w14:paraId="03A2F881" w14:textId="77777777" w:rsidR="00D06754" w:rsidRDefault="00D06754" w:rsidP="00980A13">
      <w:pPr>
        <w:pStyle w:val="Heading4"/>
      </w:pPr>
      <w:r>
        <w:t>The Board’s observation</w:t>
      </w:r>
    </w:p>
    <w:p w14:paraId="1E242390" w14:textId="77777777" w:rsidR="00E5649C" w:rsidRDefault="003B7DFE" w:rsidP="00E5649C">
      <w:pPr>
        <w:pStyle w:val="OutlineNumbered1"/>
      </w:pPr>
      <w:r>
        <w:t xml:space="preserve">The </w:t>
      </w:r>
      <w:r w:rsidR="00566883">
        <w:t>Board</w:t>
      </w:r>
      <w:r>
        <w:t xml:space="preserve"> </w:t>
      </w:r>
      <w:r w:rsidRPr="003B7DFE">
        <w:t xml:space="preserve">concluded that while the definition of employee across the various Acts is based largely on </w:t>
      </w:r>
      <w:r>
        <w:t xml:space="preserve">the </w:t>
      </w:r>
      <w:r w:rsidRPr="003B7DFE">
        <w:t>common law</w:t>
      </w:r>
      <w:r>
        <w:t xml:space="preserve">, </w:t>
      </w:r>
      <w:r w:rsidRPr="003B7DFE">
        <w:t xml:space="preserve">differences </w:t>
      </w:r>
      <w:r>
        <w:t xml:space="preserve">in the concept of an employee </w:t>
      </w:r>
      <w:r w:rsidRPr="003B7DFE">
        <w:t xml:space="preserve">reflect different policy </w:t>
      </w:r>
      <w:r>
        <w:t xml:space="preserve">choices </w:t>
      </w:r>
      <w:r w:rsidR="00C9098F">
        <w:t>made by jurisdictions.</w:t>
      </w:r>
    </w:p>
    <w:p w14:paraId="6B7515B7" w14:textId="77777777" w:rsidR="00D06754" w:rsidRDefault="00D06754" w:rsidP="00980A13">
      <w:pPr>
        <w:pStyle w:val="Heading2"/>
      </w:pPr>
      <w:r>
        <w:t xml:space="preserve">The </w:t>
      </w:r>
      <w:r w:rsidRPr="004E1B2A">
        <w:t xml:space="preserve">potential cost </w:t>
      </w:r>
      <w:r>
        <w:t>associated with the legislative inconsistencies identified in this Report</w:t>
      </w:r>
    </w:p>
    <w:p w14:paraId="1823C272" w14:textId="77777777" w:rsidR="00EE433B" w:rsidRDefault="00EE433B" w:rsidP="00EE433B">
      <w:pPr>
        <w:pStyle w:val="OutlineNumbered1"/>
      </w:pPr>
      <w:r>
        <w:t xml:space="preserve">Business and industry groups continue to raise concerns about the additional cost imposed on business associated with legislative differences in core legislative definitions and concepts; in particular the remaining differences in payroll tax and land taxes and duties. </w:t>
      </w:r>
    </w:p>
    <w:p w14:paraId="2EE74B22" w14:textId="77777777" w:rsidR="00EE433B" w:rsidRDefault="00EE433B" w:rsidP="00EE433B">
      <w:pPr>
        <w:pStyle w:val="OutlineNumbered1"/>
      </w:pPr>
      <w:r>
        <w:t>While the majority of the additional ‘cost’ identified by business could be expected to relate to compliance and administrative costs other ‘economic’ costs may also arise. For example, The Final Report Australia’s Future Tax System found that ‘exemptions in the payroll tax base introduce biases into the allocation of labour across the economy and lead to complexity in administration and compliance, particularly when the exemptions differ (even slightly) between States</w:t>
      </w:r>
      <w:r>
        <w:rPr>
          <w:rStyle w:val="FootnoteReference"/>
        </w:rPr>
        <w:footnoteReference w:id="8"/>
      </w:r>
      <w:r>
        <w:t>.</w:t>
      </w:r>
    </w:p>
    <w:p w14:paraId="7A3A2845" w14:textId="77777777" w:rsidR="00EE433B" w:rsidRDefault="00EE433B" w:rsidP="00EE433B">
      <w:pPr>
        <w:pStyle w:val="OutlineNumbered1"/>
      </w:pPr>
      <w:r>
        <w:t>The Board has not estimated the likely additional cost associated with the differences in core legislative definitions and concepts between jurisdictions discussed in this Report. However, the Board notes that the significance of these costs has been assessed previously.</w:t>
      </w:r>
    </w:p>
    <w:p w14:paraId="2427E5DD" w14:textId="77777777" w:rsidR="00EE433B" w:rsidRDefault="00EE433B" w:rsidP="00EE433B">
      <w:pPr>
        <w:pStyle w:val="OutlineNumbered1"/>
      </w:pPr>
      <w:r>
        <w:t xml:space="preserve">Following the completion of the payroll tax harmonisation program, the COAG Reform Council assessed the </w:t>
      </w:r>
      <w:r w:rsidRPr="00215077">
        <w:t xml:space="preserve">remaining differences in the payroll tax provisions and definitions </w:t>
      </w:r>
      <w:r>
        <w:t>to be minor</w:t>
      </w:r>
      <w:r>
        <w:rPr>
          <w:rStyle w:val="FootnoteReference"/>
        </w:rPr>
        <w:footnoteReference w:id="9"/>
      </w:r>
      <w:r>
        <w:t>:</w:t>
      </w:r>
    </w:p>
    <w:p w14:paraId="29AA206F" w14:textId="77777777" w:rsidR="00EE433B" w:rsidRDefault="00EE433B" w:rsidP="00EE433B">
      <w:pPr>
        <w:ind w:left="520"/>
        <w:rPr>
          <w:i/>
        </w:rPr>
      </w:pPr>
      <w:r>
        <w:t>“</w:t>
      </w:r>
      <w:r w:rsidRPr="008473DF">
        <w:rPr>
          <w:i/>
        </w:rPr>
        <w:t>The August 2011 BRCWG</w:t>
      </w:r>
      <w:r>
        <w:rPr>
          <w:rStyle w:val="FootnoteReference"/>
          <w:i/>
        </w:rPr>
        <w:footnoteReference w:id="10"/>
      </w:r>
      <w:r w:rsidRPr="008473DF">
        <w:rPr>
          <w:i/>
        </w:rPr>
        <w:t xml:space="preserve"> Report Card on progress of deregulation priorities stated that its review of payroll tax uniformity: found that common payroll tax provisions and definitions have </w:t>
      </w:r>
      <w:r w:rsidRPr="008473DF">
        <w:rPr>
          <w:i/>
        </w:rPr>
        <w:lastRenderedPageBreak/>
        <w:t>been adopted and that where there are differences, these are minor and will not impact significantly on businesses that operate across jurisdictions.</w:t>
      </w:r>
    </w:p>
    <w:p w14:paraId="6FF4A9D2" w14:textId="0D56C700" w:rsidR="00EE433B" w:rsidRPr="00EE433B" w:rsidRDefault="00EE433B" w:rsidP="00980A13">
      <w:pPr>
        <w:pStyle w:val="OutlineNumbered1"/>
      </w:pPr>
      <w:r>
        <w:t xml:space="preserve">This assessment of the </w:t>
      </w:r>
      <w:r w:rsidRPr="00D96C7A">
        <w:t xml:space="preserve">remaining differences in the payroll tax provisions and definitions </w:t>
      </w:r>
      <w:r>
        <w:t>as being minor is consistent with the Productivity Commission’s estimate of the net benefits of the COAG payroll tax harmonisation</w:t>
      </w:r>
      <w:r>
        <w:rPr>
          <w:rStyle w:val="FootnoteReference"/>
        </w:rPr>
        <w:footnoteReference w:id="11"/>
      </w:r>
      <w:r>
        <w:t>. The Commission assessed the likely net benefits from a reduction in ongoing compliance costs of payroll tax</w:t>
      </w:r>
      <w:r>
        <w:noBreakHyphen/>
        <w:t>liable businesses to be $30 million per year in perpetuity. This would amount to an average cost saving of around $300 per business liable for payroll tax.</w:t>
      </w:r>
    </w:p>
    <w:p w14:paraId="4555E720" w14:textId="5D63B149" w:rsidR="00D06754" w:rsidRPr="00D74D12" w:rsidRDefault="00D06754" w:rsidP="00980A13">
      <w:pPr>
        <w:pStyle w:val="Heading2"/>
      </w:pPr>
      <w:r>
        <w:t>The Board’s recommendation</w:t>
      </w:r>
    </w:p>
    <w:p w14:paraId="116B8088" w14:textId="5389896F" w:rsidR="00F95D89" w:rsidRDefault="00D06754" w:rsidP="00A24DBC">
      <w:pPr>
        <w:pStyle w:val="OutlineNumbered1"/>
      </w:pPr>
      <w:r w:rsidRPr="00351961">
        <w:t xml:space="preserve">The </w:t>
      </w:r>
      <w:r>
        <w:t>Board</w:t>
      </w:r>
      <w:r w:rsidRPr="00351961">
        <w:t xml:space="preserve"> recommends circulating this report to the relevant state and territory agencies responsible for tax policy.</w:t>
      </w:r>
    </w:p>
    <w:p w14:paraId="437EBCDA" w14:textId="77777777" w:rsidR="00D460E1" w:rsidRDefault="00D460E1"/>
    <w:p w14:paraId="701FCE56" w14:textId="77777777" w:rsidR="00D460E1" w:rsidRDefault="00D460E1">
      <w:pPr>
        <w:sectPr w:rsidR="00D460E1" w:rsidSect="00514C0B">
          <w:footerReference w:type="default" r:id="rId13"/>
          <w:pgSz w:w="11906" w:h="16838"/>
          <w:pgMar w:top="1440" w:right="1440" w:bottom="1440" w:left="1440" w:header="708" w:footer="708" w:gutter="0"/>
          <w:pgNumType w:start="1"/>
          <w:cols w:space="708"/>
          <w:docGrid w:linePitch="360"/>
        </w:sectPr>
      </w:pPr>
    </w:p>
    <w:p w14:paraId="0F3B9C9A" w14:textId="77777777" w:rsidR="00F9507C" w:rsidRPr="00F9507C" w:rsidRDefault="00EC602C" w:rsidP="00F9507C">
      <w:pPr>
        <w:pStyle w:val="Heading2"/>
      </w:pPr>
      <w:r>
        <w:lastRenderedPageBreak/>
        <w:t>Attachment A</w:t>
      </w:r>
      <w:r w:rsidR="00F9507C">
        <w:t xml:space="preserve">: </w:t>
      </w:r>
      <w:r w:rsidR="00F9507C" w:rsidRPr="00F9507C">
        <w:t>Survey of core concepts applied under State and Federal tax laws</w:t>
      </w:r>
    </w:p>
    <w:p w14:paraId="7CF36E06" w14:textId="77777777" w:rsidR="00F9507C" w:rsidRPr="00F9507C" w:rsidRDefault="00F9507C" w:rsidP="00F9507C">
      <w:pPr>
        <w:rPr>
          <w:b/>
        </w:rPr>
      </w:pPr>
      <w:r w:rsidRPr="00F9507C">
        <w:rPr>
          <w:b/>
        </w:rPr>
        <w:t>Background information (possibly provided in survey invite to participants)</w:t>
      </w:r>
    </w:p>
    <w:p w14:paraId="21D0D138" w14:textId="77777777" w:rsidR="00F9507C" w:rsidRPr="00507359" w:rsidRDefault="00F9507C" w:rsidP="00F9507C">
      <w:pPr>
        <w:rPr>
          <w:rFonts w:eastAsia="Calibri" w:cs="Times New Roman"/>
        </w:rPr>
      </w:pPr>
      <w:r w:rsidRPr="00507359">
        <w:t>In Australia t</w:t>
      </w:r>
      <w:r w:rsidRPr="00507359">
        <w:rPr>
          <w:rFonts w:eastAsia="Calibri" w:cs="Times New Roman"/>
        </w:rPr>
        <w:t>axes are imposed by all levels of government. Business has raised concerns about inconsistent law</w:t>
      </w:r>
      <w:r w:rsidRPr="00507359">
        <w:t xml:space="preserve"> and administrative practices in respect of core </w:t>
      </w:r>
      <w:r>
        <w:t>concept</w:t>
      </w:r>
      <w:r w:rsidRPr="00507359">
        <w:t xml:space="preserve">s across and between State, State and Federal and Federal taxes. This has led to calls for harmonisation of certain core </w:t>
      </w:r>
      <w:r>
        <w:t>concept</w:t>
      </w:r>
      <w:r w:rsidRPr="00507359">
        <w:t xml:space="preserve">s. </w:t>
      </w:r>
      <w:r w:rsidRPr="00507359">
        <w:rPr>
          <w:rFonts w:eastAsia="Calibri" w:cs="Times New Roman"/>
        </w:rPr>
        <w:t xml:space="preserve">By way of example, the first </w:t>
      </w:r>
      <w:r>
        <w:rPr>
          <w:rFonts w:eastAsia="Calibri" w:cs="Times New Roman"/>
        </w:rPr>
        <w:t>concept</w:t>
      </w:r>
      <w:r w:rsidRPr="00507359">
        <w:rPr>
          <w:rFonts w:eastAsia="Calibri" w:cs="Times New Roman"/>
        </w:rPr>
        <w:t xml:space="preserve"> the Board is examining for inconsistencies is ‘employee/employer/contractor’.</w:t>
      </w:r>
    </w:p>
    <w:p w14:paraId="62F720B1" w14:textId="77777777" w:rsidR="00F9507C" w:rsidRPr="00507359" w:rsidRDefault="00F9507C" w:rsidP="00F9507C">
      <w:r w:rsidRPr="00507359">
        <w:t xml:space="preserve">The Board is seeking to identify if the inconsistencies create material impediments for businesses and to test their relative impact. The objective of this survey is to identify the business community’s views on which core </w:t>
      </w:r>
      <w:r>
        <w:t>concepts</w:t>
      </w:r>
      <w:r w:rsidRPr="00507359">
        <w:t xml:space="preserve"> are subject to inconsistencies in either drafting or interpretation which are hindering business practices. </w:t>
      </w:r>
    </w:p>
    <w:p w14:paraId="3DAE0DDA" w14:textId="77777777" w:rsidR="00F9507C" w:rsidRPr="00507359" w:rsidRDefault="00F9507C" w:rsidP="00F9507C">
      <w:pPr>
        <w:pStyle w:val="Heading1"/>
      </w:pPr>
      <w:r w:rsidRPr="00507359">
        <w:t>Survey Questions</w:t>
      </w:r>
    </w:p>
    <w:p w14:paraId="59563F15" w14:textId="77777777" w:rsidR="00F9507C" w:rsidRPr="00507359" w:rsidRDefault="00F9507C" w:rsidP="00F9507C">
      <w:pPr>
        <w:pStyle w:val="Heading2"/>
      </w:pPr>
      <w:r w:rsidRPr="00507359">
        <w:t>Employee/r and Contractor</w:t>
      </w:r>
    </w:p>
    <w:p w14:paraId="5CBEEF21" w14:textId="77777777" w:rsidR="00F9507C" w:rsidRPr="00507359" w:rsidRDefault="00F9507C" w:rsidP="00F9507C">
      <w:pPr>
        <w:pStyle w:val="Heading3"/>
      </w:pPr>
      <w:r w:rsidRPr="00507359">
        <w:t>Under Payroll Tax</w:t>
      </w:r>
    </w:p>
    <w:p w14:paraId="23E8B169" w14:textId="77777777" w:rsidR="00F9507C" w:rsidRPr="00507359" w:rsidRDefault="00F9507C" w:rsidP="009B63BE">
      <w:pPr>
        <w:pStyle w:val="Bullet"/>
        <w:numPr>
          <w:ilvl w:val="0"/>
          <w:numId w:val="12"/>
        </w:numPr>
      </w:pPr>
      <w:r w:rsidRPr="00507359">
        <w:t xml:space="preserve">How would you rate your experience with inconsistencies in </w:t>
      </w:r>
      <w:r w:rsidRPr="00507359">
        <w:rPr>
          <w:rFonts w:eastAsia="Calibri" w:cs="Times New Roman"/>
        </w:rPr>
        <w:t>‘employee/employer/contractor’</w:t>
      </w:r>
      <w:r w:rsidRPr="00507359">
        <w:t xml:space="preserve"> </w:t>
      </w:r>
      <w:r>
        <w:t>concept</w:t>
      </w:r>
      <w:r w:rsidRPr="00507359">
        <w:t>s under state payroll tax across jurisdictions?</w:t>
      </w:r>
    </w:p>
    <w:p w14:paraId="30EADC9E" w14:textId="77777777" w:rsidR="00F9507C" w:rsidRPr="00507359" w:rsidRDefault="00F9507C" w:rsidP="00EE433B">
      <w:pPr>
        <w:pStyle w:val="Dash"/>
        <w:numPr>
          <w:ilvl w:val="1"/>
          <w:numId w:val="12"/>
        </w:numPr>
      </w:pPr>
      <w:r w:rsidRPr="00507359">
        <w:t>Extremely easy</w:t>
      </w:r>
    </w:p>
    <w:p w14:paraId="3D1E5A36" w14:textId="77777777" w:rsidR="00F9507C" w:rsidRPr="00507359" w:rsidRDefault="00F9507C" w:rsidP="00EE433B">
      <w:pPr>
        <w:pStyle w:val="Dash"/>
        <w:numPr>
          <w:ilvl w:val="1"/>
          <w:numId w:val="12"/>
        </w:numPr>
      </w:pPr>
      <w:r w:rsidRPr="00507359">
        <w:t>Very easy</w:t>
      </w:r>
    </w:p>
    <w:p w14:paraId="5077A807" w14:textId="77777777" w:rsidR="00F9507C" w:rsidRPr="00507359" w:rsidRDefault="00F9507C" w:rsidP="00EE433B">
      <w:pPr>
        <w:pStyle w:val="Dash"/>
        <w:numPr>
          <w:ilvl w:val="1"/>
          <w:numId w:val="12"/>
        </w:numPr>
      </w:pPr>
      <w:r w:rsidRPr="00507359">
        <w:t>Moderately easy</w:t>
      </w:r>
    </w:p>
    <w:p w14:paraId="1975E94A" w14:textId="77777777" w:rsidR="00F9507C" w:rsidRPr="00507359" w:rsidRDefault="00F9507C" w:rsidP="00EE433B">
      <w:pPr>
        <w:pStyle w:val="Dash"/>
        <w:numPr>
          <w:ilvl w:val="1"/>
          <w:numId w:val="12"/>
        </w:numPr>
      </w:pPr>
      <w:r w:rsidRPr="00507359">
        <w:t>Slightly hard</w:t>
      </w:r>
    </w:p>
    <w:p w14:paraId="5B838011" w14:textId="77777777" w:rsidR="00F9507C" w:rsidRPr="00507359" w:rsidRDefault="00F9507C" w:rsidP="00EE433B">
      <w:pPr>
        <w:pStyle w:val="Dash"/>
        <w:numPr>
          <w:ilvl w:val="1"/>
          <w:numId w:val="12"/>
        </w:numPr>
      </w:pPr>
      <w:r w:rsidRPr="00507359">
        <w:t>Very difficult</w:t>
      </w:r>
    </w:p>
    <w:p w14:paraId="5ED4F141" w14:textId="77777777" w:rsidR="00F9507C" w:rsidRPr="00507359" w:rsidRDefault="00F9507C" w:rsidP="009B63BE">
      <w:pPr>
        <w:pStyle w:val="Bullet"/>
        <w:numPr>
          <w:ilvl w:val="0"/>
          <w:numId w:val="12"/>
        </w:numPr>
      </w:pPr>
      <w:r w:rsidRPr="00507359">
        <w:t xml:space="preserve">Extensive harmonisation of payroll tax terms has occurred in recent years. Do you believe any remaining inconsistency in the </w:t>
      </w:r>
      <w:r w:rsidRPr="00507359">
        <w:rPr>
          <w:rFonts w:eastAsia="Calibri" w:cs="Times New Roman"/>
        </w:rPr>
        <w:t xml:space="preserve">‘employee/employer/contractor’ </w:t>
      </w:r>
      <w:r>
        <w:t>concept</w:t>
      </w:r>
      <w:r w:rsidRPr="00507359">
        <w:t xml:space="preserve"> under state payroll tax is due to differing legislation or is it due differing administrative practices? Please explain your views (Also please indicate if you believe harmonisation has been achieved).</w:t>
      </w:r>
    </w:p>
    <w:p w14:paraId="2A3825BA" w14:textId="77777777" w:rsidR="00F9507C" w:rsidRPr="00507359" w:rsidRDefault="00F9507C" w:rsidP="009B63BE">
      <w:pPr>
        <w:pStyle w:val="Bullet"/>
        <w:numPr>
          <w:ilvl w:val="0"/>
          <w:numId w:val="0"/>
        </w:numPr>
        <w:ind w:left="520"/>
      </w:pPr>
      <w:r w:rsidRPr="00507359">
        <w:t>Free Text Answer</w:t>
      </w:r>
    </w:p>
    <w:p w14:paraId="470C259D" w14:textId="77777777" w:rsidR="00D8705F" w:rsidRDefault="00D8705F">
      <w:r>
        <w:br w:type="page"/>
      </w:r>
    </w:p>
    <w:p w14:paraId="380BD818" w14:textId="77777777" w:rsidR="00F9507C" w:rsidRPr="00507359" w:rsidRDefault="00F9507C" w:rsidP="009B63BE">
      <w:pPr>
        <w:pStyle w:val="Bullet"/>
        <w:numPr>
          <w:ilvl w:val="0"/>
          <w:numId w:val="12"/>
        </w:numPr>
      </w:pPr>
      <w:r w:rsidRPr="00507359">
        <w:lastRenderedPageBreak/>
        <w:t xml:space="preserve">What proportion of your compliance costs associated with payroll tax would you attribute to complying with differences (legislative and/or administrative practice) in the </w:t>
      </w:r>
      <w:r w:rsidRPr="00507359">
        <w:rPr>
          <w:rFonts w:eastAsia="Calibri" w:cs="Times New Roman"/>
        </w:rPr>
        <w:t xml:space="preserve">‘employee/employer/contractor’ </w:t>
      </w:r>
      <w:r>
        <w:t>concept</w:t>
      </w:r>
      <w:r w:rsidRPr="00507359">
        <w:t>s under state payroll tax?</w:t>
      </w:r>
    </w:p>
    <w:p w14:paraId="396DE550" w14:textId="77777777" w:rsidR="00F9507C" w:rsidRPr="00507359" w:rsidRDefault="00F9507C" w:rsidP="00EE433B">
      <w:pPr>
        <w:pStyle w:val="Dash"/>
        <w:numPr>
          <w:ilvl w:val="1"/>
          <w:numId w:val="12"/>
        </w:numPr>
      </w:pPr>
      <w:r w:rsidRPr="00507359">
        <w:t>0-10%</w:t>
      </w:r>
    </w:p>
    <w:p w14:paraId="48030AAC" w14:textId="77777777" w:rsidR="00F9507C" w:rsidRPr="00507359" w:rsidRDefault="00F9507C" w:rsidP="00EE433B">
      <w:pPr>
        <w:pStyle w:val="Dash"/>
        <w:numPr>
          <w:ilvl w:val="1"/>
          <w:numId w:val="12"/>
        </w:numPr>
      </w:pPr>
      <w:r w:rsidRPr="00507359">
        <w:t>11-20%</w:t>
      </w:r>
    </w:p>
    <w:p w14:paraId="37BD55CE" w14:textId="77777777" w:rsidR="00F9507C" w:rsidRPr="00507359" w:rsidRDefault="00F9507C" w:rsidP="00EE433B">
      <w:pPr>
        <w:pStyle w:val="Dash"/>
        <w:numPr>
          <w:ilvl w:val="1"/>
          <w:numId w:val="12"/>
        </w:numPr>
      </w:pPr>
      <w:r w:rsidRPr="00507359">
        <w:t>21-30%</w:t>
      </w:r>
    </w:p>
    <w:p w14:paraId="75919A32" w14:textId="77777777" w:rsidR="00F9507C" w:rsidRPr="00507359" w:rsidRDefault="00F9507C" w:rsidP="00EE433B">
      <w:pPr>
        <w:pStyle w:val="Dash"/>
        <w:numPr>
          <w:ilvl w:val="1"/>
          <w:numId w:val="12"/>
        </w:numPr>
      </w:pPr>
      <w:r w:rsidRPr="00507359">
        <w:t>31-40%</w:t>
      </w:r>
    </w:p>
    <w:p w14:paraId="6DD5729D" w14:textId="77777777" w:rsidR="00F9507C" w:rsidRPr="00507359" w:rsidRDefault="00F9507C" w:rsidP="00EE433B">
      <w:pPr>
        <w:pStyle w:val="Dash"/>
        <w:numPr>
          <w:ilvl w:val="1"/>
          <w:numId w:val="12"/>
        </w:numPr>
      </w:pPr>
      <w:r w:rsidRPr="00507359">
        <w:t>41-50%</w:t>
      </w:r>
    </w:p>
    <w:p w14:paraId="309AD404" w14:textId="77777777" w:rsidR="00F9507C" w:rsidRPr="00507359" w:rsidRDefault="00F9507C" w:rsidP="00EE433B">
      <w:pPr>
        <w:pStyle w:val="Dash"/>
        <w:numPr>
          <w:ilvl w:val="1"/>
          <w:numId w:val="12"/>
        </w:numPr>
      </w:pPr>
      <w:r w:rsidRPr="00507359">
        <w:t>51-60%</w:t>
      </w:r>
    </w:p>
    <w:p w14:paraId="3EC47558" w14:textId="77777777" w:rsidR="00F9507C" w:rsidRPr="00507359" w:rsidRDefault="00F9507C" w:rsidP="00EE433B">
      <w:pPr>
        <w:pStyle w:val="Dash"/>
        <w:numPr>
          <w:ilvl w:val="1"/>
          <w:numId w:val="12"/>
        </w:numPr>
      </w:pPr>
      <w:r w:rsidRPr="00507359">
        <w:t>61-70%</w:t>
      </w:r>
    </w:p>
    <w:p w14:paraId="11D68D49" w14:textId="77777777" w:rsidR="00F9507C" w:rsidRPr="00507359" w:rsidRDefault="00F9507C" w:rsidP="00EE433B">
      <w:pPr>
        <w:pStyle w:val="Dash"/>
        <w:numPr>
          <w:ilvl w:val="1"/>
          <w:numId w:val="12"/>
        </w:numPr>
      </w:pPr>
      <w:r w:rsidRPr="00507359">
        <w:t>71-80%</w:t>
      </w:r>
    </w:p>
    <w:p w14:paraId="6EF6D49A" w14:textId="77777777" w:rsidR="00F9507C" w:rsidRPr="00507359" w:rsidRDefault="00F9507C" w:rsidP="00EE433B">
      <w:pPr>
        <w:pStyle w:val="Dash"/>
        <w:numPr>
          <w:ilvl w:val="1"/>
          <w:numId w:val="12"/>
        </w:numPr>
      </w:pPr>
      <w:r w:rsidRPr="00507359">
        <w:t>81-90%</w:t>
      </w:r>
    </w:p>
    <w:p w14:paraId="0E4702CC" w14:textId="77777777" w:rsidR="00F9507C" w:rsidRPr="00507359" w:rsidRDefault="00F9507C" w:rsidP="00EE433B">
      <w:pPr>
        <w:pStyle w:val="Dash"/>
        <w:numPr>
          <w:ilvl w:val="1"/>
          <w:numId w:val="12"/>
        </w:numPr>
      </w:pPr>
      <w:r w:rsidRPr="00507359">
        <w:t>91-100%</w:t>
      </w:r>
    </w:p>
    <w:p w14:paraId="5543007C" w14:textId="77777777" w:rsidR="00F9507C" w:rsidRPr="00507359" w:rsidRDefault="00F9507C" w:rsidP="00F9507C">
      <w:pPr>
        <w:pStyle w:val="Heading3"/>
      </w:pPr>
      <w:r w:rsidRPr="00507359">
        <w:t>Across all taxes and jurisdictions (State/State, State/Federal, Federal/Federal)</w:t>
      </w:r>
    </w:p>
    <w:p w14:paraId="06766D9E" w14:textId="77777777" w:rsidR="00F9507C" w:rsidRPr="00507359" w:rsidRDefault="00F9507C" w:rsidP="009B63BE">
      <w:pPr>
        <w:pStyle w:val="Bullet"/>
        <w:numPr>
          <w:ilvl w:val="0"/>
          <w:numId w:val="12"/>
        </w:numPr>
      </w:pPr>
      <w:r w:rsidRPr="00507359">
        <w:t xml:space="preserve">How would you rate the significance of inconsistencies in the </w:t>
      </w:r>
      <w:r w:rsidRPr="00507359">
        <w:rPr>
          <w:rFonts w:eastAsia="Calibri" w:cs="Times New Roman"/>
        </w:rPr>
        <w:t>‘employee/employer/contractor’</w:t>
      </w:r>
      <w:r w:rsidRPr="00507359">
        <w:t xml:space="preserve"> </w:t>
      </w:r>
      <w:r>
        <w:t>concept</w:t>
      </w:r>
      <w:r w:rsidRPr="00507359">
        <w:t xml:space="preserve"> across taxes and jurisdictions (including State/State, State/Federal and Federal/Federal taxes) in business practice?  </w:t>
      </w:r>
    </w:p>
    <w:p w14:paraId="0857EE57" w14:textId="77777777" w:rsidR="00F9507C" w:rsidRPr="00507359" w:rsidRDefault="00F9507C" w:rsidP="00EE433B">
      <w:pPr>
        <w:pStyle w:val="Dash"/>
        <w:numPr>
          <w:ilvl w:val="1"/>
          <w:numId w:val="12"/>
        </w:numPr>
      </w:pPr>
      <w:r w:rsidRPr="00507359">
        <w:t>Very low</w:t>
      </w:r>
    </w:p>
    <w:p w14:paraId="305F2BF7" w14:textId="77777777" w:rsidR="00F9507C" w:rsidRPr="00507359" w:rsidRDefault="00F9507C" w:rsidP="00EE433B">
      <w:pPr>
        <w:pStyle w:val="Dash"/>
        <w:numPr>
          <w:ilvl w:val="1"/>
          <w:numId w:val="12"/>
        </w:numPr>
      </w:pPr>
      <w:r w:rsidRPr="00507359">
        <w:t>Below average</w:t>
      </w:r>
    </w:p>
    <w:p w14:paraId="4E266A96" w14:textId="77777777" w:rsidR="00F9507C" w:rsidRPr="00507359" w:rsidRDefault="00F9507C" w:rsidP="00EE433B">
      <w:pPr>
        <w:pStyle w:val="Dash"/>
        <w:numPr>
          <w:ilvl w:val="1"/>
          <w:numId w:val="12"/>
        </w:numPr>
      </w:pPr>
      <w:r w:rsidRPr="00507359">
        <w:t>Average</w:t>
      </w:r>
    </w:p>
    <w:p w14:paraId="32D3DDC0" w14:textId="77777777" w:rsidR="00F9507C" w:rsidRPr="00507359" w:rsidRDefault="00F9507C" w:rsidP="00EE433B">
      <w:pPr>
        <w:pStyle w:val="Dash"/>
        <w:numPr>
          <w:ilvl w:val="1"/>
          <w:numId w:val="12"/>
        </w:numPr>
      </w:pPr>
      <w:r w:rsidRPr="00507359">
        <w:t>Above average</w:t>
      </w:r>
    </w:p>
    <w:p w14:paraId="04EEDFC0" w14:textId="77777777" w:rsidR="00F9507C" w:rsidRPr="00507359" w:rsidRDefault="00F9507C" w:rsidP="00EE433B">
      <w:pPr>
        <w:pStyle w:val="Dash"/>
        <w:numPr>
          <w:ilvl w:val="1"/>
          <w:numId w:val="12"/>
        </w:numPr>
      </w:pPr>
      <w:r w:rsidRPr="00507359">
        <w:t>Highly significant</w:t>
      </w:r>
    </w:p>
    <w:p w14:paraId="5B0A89C9" w14:textId="77777777" w:rsidR="00F9507C" w:rsidRPr="00507359" w:rsidRDefault="00F9507C" w:rsidP="009B63BE">
      <w:pPr>
        <w:pStyle w:val="Bullet"/>
        <w:numPr>
          <w:ilvl w:val="0"/>
          <w:numId w:val="12"/>
        </w:numPr>
      </w:pPr>
      <w:r w:rsidRPr="00507359">
        <w:t xml:space="preserve">Can you identify the taxes where inconsistencies in the </w:t>
      </w:r>
      <w:r w:rsidRPr="00507359">
        <w:rPr>
          <w:rFonts w:eastAsia="Calibri" w:cs="Times New Roman"/>
        </w:rPr>
        <w:t xml:space="preserve">‘employee/employer/contractor’ </w:t>
      </w:r>
      <w:r>
        <w:t>concept</w:t>
      </w:r>
      <w:r w:rsidRPr="00507359">
        <w:t xml:space="preserve"> are most significant? </w:t>
      </w:r>
    </w:p>
    <w:p w14:paraId="3E54D756" w14:textId="77777777" w:rsidR="00F9507C" w:rsidRPr="00507359" w:rsidRDefault="00F9507C" w:rsidP="00EE433B">
      <w:pPr>
        <w:pStyle w:val="Dash"/>
        <w:numPr>
          <w:ilvl w:val="0"/>
          <w:numId w:val="0"/>
        </w:numPr>
        <w:ind w:left="1040"/>
      </w:pPr>
      <w:r w:rsidRPr="00507359">
        <w:t>Free text answer</w:t>
      </w:r>
    </w:p>
    <w:p w14:paraId="57D5C69F" w14:textId="77777777" w:rsidR="00D8705F" w:rsidRDefault="00D8705F">
      <w:r>
        <w:br w:type="page"/>
      </w:r>
    </w:p>
    <w:p w14:paraId="3F31AD6F" w14:textId="77777777" w:rsidR="00F9507C" w:rsidRPr="00507359" w:rsidRDefault="00F9507C" w:rsidP="009B63BE">
      <w:pPr>
        <w:pStyle w:val="Bullet"/>
        <w:numPr>
          <w:ilvl w:val="0"/>
          <w:numId w:val="12"/>
        </w:numPr>
      </w:pPr>
      <w:r w:rsidRPr="00507359">
        <w:lastRenderedPageBreak/>
        <w:t xml:space="preserve">How often do inconsistencies in the </w:t>
      </w:r>
      <w:r w:rsidRPr="00507359">
        <w:rPr>
          <w:rFonts w:eastAsia="Calibri" w:cs="Times New Roman"/>
        </w:rPr>
        <w:t xml:space="preserve">‘employee/employer/contractor’ </w:t>
      </w:r>
      <w:r>
        <w:t>concept</w:t>
      </w:r>
      <w:r w:rsidRPr="00507359">
        <w:t xml:space="preserve"> impact your business practices?</w:t>
      </w:r>
    </w:p>
    <w:p w14:paraId="6FD755D6" w14:textId="77777777" w:rsidR="00F9507C" w:rsidRPr="00507359" w:rsidRDefault="00F9507C" w:rsidP="00EE433B">
      <w:pPr>
        <w:pStyle w:val="Dash"/>
        <w:numPr>
          <w:ilvl w:val="1"/>
          <w:numId w:val="12"/>
        </w:numPr>
      </w:pPr>
      <w:r w:rsidRPr="00507359">
        <w:t>Annually</w:t>
      </w:r>
    </w:p>
    <w:p w14:paraId="3304DCC4" w14:textId="77777777" w:rsidR="00F9507C" w:rsidRPr="00507359" w:rsidRDefault="00F9507C" w:rsidP="00EE433B">
      <w:pPr>
        <w:pStyle w:val="Dash"/>
        <w:numPr>
          <w:ilvl w:val="1"/>
          <w:numId w:val="12"/>
        </w:numPr>
      </w:pPr>
      <w:r w:rsidRPr="00507359">
        <w:t>Bi-annually</w:t>
      </w:r>
    </w:p>
    <w:p w14:paraId="5C9625F1" w14:textId="77777777" w:rsidR="00F9507C" w:rsidRPr="00507359" w:rsidRDefault="00F9507C" w:rsidP="00EE433B">
      <w:pPr>
        <w:pStyle w:val="Dash"/>
        <w:numPr>
          <w:ilvl w:val="1"/>
          <w:numId w:val="12"/>
        </w:numPr>
      </w:pPr>
      <w:r w:rsidRPr="00507359">
        <w:t>Quarterly</w:t>
      </w:r>
    </w:p>
    <w:p w14:paraId="073A671F" w14:textId="77777777" w:rsidR="00F9507C" w:rsidRPr="00507359" w:rsidRDefault="00F9507C" w:rsidP="00EE433B">
      <w:pPr>
        <w:pStyle w:val="Dash"/>
        <w:numPr>
          <w:ilvl w:val="1"/>
          <w:numId w:val="12"/>
        </w:numPr>
      </w:pPr>
      <w:r w:rsidRPr="00507359">
        <w:t>Monthly</w:t>
      </w:r>
    </w:p>
    <w:p w14:paraId="6692B832" w14:textId="77777777" w:rsidR="00F9507C" w:rsidRPr="00507359" w:rsidRDefault="00F9507C" w:rsidP="00EE433B">
      <w:pPr>
        <w:pStyle w:val="Dash"/>
        <w:numPr>
          <w:ilvl w:val="1"/>
          <w:numId w:val="12"/>
        </w:numPr>
      </w:pPr>
      <w:r w:rsidRPr="00507359">
        <w:t>Daily</w:t>
      </w:r>
    </w:p>
    <w:p w14:paraId="25B14F40" w14:textId="77777777" w:rsidR="00F9507C" w:rsidRPr="00507359" w:rsidRDefault="00F9507C" w:rsidP="009B63BE">
      <w:pPr>
        <w:pStyle w:val="Bullet"/>
        <w:numPr>
          <w:ilvl w:val="0"/>
          <w:numId w:val="12"/>
        </w:numPr>
      </w:pPr>
      <w:r w:rsidRPr="00507359">
        <w:t xml:space="preserve">Are you aware of any examples where the </w:t>
      </w:r>
      <w:r w:rsidRPr="00507359">
        <w:rPr>
          <w:rFonts w:eastAsia="Calibri" w:cs="Times New Roman"/>
        </w:rPr>
        <w:t xml:space="preserve">‘employee/employer/contractor’ </w:t>
      </w:r>
      <w:r>
        <w:t>concept</w:t>
      </w:r>
      <w:r w:rsidRPr="00507359">
        <w:t xml:space="preserve"> is harmonised legislatively but administered differently across jurisdictions? Please provide specifics including its impact on your business practices.</w:t>
      </w:r>
    </w:p>
    <w:p w14:paraId="1E3A121C" w14:textId="77777777" w:rsidR="00F9507C" w:rsidRPr="00507359" w:rsidRDefault="00F9507C" w:rsidP="00EE433B">
      <w:pPr>
        <w:pStyle w:val="Dash"/>
        <w:numPr>
          <w:ilvl w:val="0"/>
          <w:numId w:val="0"/>
        </w:numPr>
      </w:pPr>
      <w:r w:rsidRPr="00507359">
        <w:t>Free text answer</w:t>
      </w:r>
    </w:p>
    <w:p w14:paraId="34D57711" w14:textId="77777777" w:rsidR="00F9507C" w:rsidRPr="00507359" w:rsidRDefault="00F9507C" w:rsidP="00F9507C">
      <w:pPr>
        <w:pStyle w:val="Heading2"/>
      </w:pPr>
      <w:r w:rsidRPr="00507359">
        <w:t>Additional core definitional terms across all taxes and jurisdictions</w:t>
      </w:r>
    </w:p>
    <w:p w14:paraId="7C45982B" w14:textId="77777777" w:rsidR="00F9507C" w:rsidRPr="00507359" w:rsidRDefault="00F9507C" w:rsidP="009B63BE">
      <w:pPr>
        <w:pStyle w:val="Bullet"/>
        <w:numPr>
          <w:ilvl w:val="0"/>
          <w:numId w:val="12"/>
        </w:numPr>
      </w:pPr>
      <w:r w:rsidRPr="00507359">
        <w:t xml:space="preserve">List the top three core </w:t>
      </w:r>
      <w:r>
        <w:t>concepts</w:t>
      </w:r>
      <w:r w:rsidRPr="00507359">
        <w:t xml:space="preserve"> you would like to see legislatively harmonised across taxes in order of priority (please indicate both the term and taxes).</w:t>
      </w:r>
    </w:p>
    <w:p w14:paraId="14EBB763" w14:textId="77777777" w:rsidR="00F9507C" w:rsidRPr="00507359" w:rsidRDefault="00F9507C" w:rsidP="00EE433B">
      <w:pPr>
        <w:pStyle w:val="Dash"/>
        <w:numPr>
          <w:ilvl w:val="0"/>
          <w:numId w:val="0"/>
        </w:numPr>
      </w:pPr>
      <w:r w:rsidRPr="00507359">
        <w:t>Free text answer</w:t>
      </w:r>
    </w:p>
    <w:p w14:paraId="31E71DEB" w14:textId="77777777" w:rsidR="00F9507C" w:rsidRPr="00507359" w:rsidRDefault="00F9507C" w:rsidP="009B63BE">
      <w:pPr>
        <w:pStyle w:val="Bullet"/>
        <w:numPr>
          <w:ilvl w:val="0"/>
          <w:numId w:val="12"/>
        </w:numPr>
      </w:pPr>
      <w:r w:rsidRPr="00507359">
        <w:t xml:space="preserve">How often does the highest priority </w:t>
      </w:r>
      <w:r>
        <w:t>concept</w:t>
      </w:r>
      <w:r w:rsidRPr="00507359">
        <w:t xml:space="preserve"> impact your business practices?</w:t>
      </w:r>
    </w:p>
    <w:p w14:paraId="0A7388C1" w14:textId="77777777" w:rsidR="00F9507C" w:rsidRPr="00507359" w:rsidRDefault="00F9507C" w:rsidP="00EE433B">
      <w:pPr>
        <w:pStyle w:val="Dash"/>
        <w:numPr>
          <w:ilvl w:val="1"/>
          <w:numId w:val="12"/>
        </w:numPr>
      </w:pPr>
      <w:r w:rsidRPr="00507359">
        <w:t>Annually</w:t>
      </w:r>
    </w:p>
    <w:p w14:paraId="0D52196D" w14:textId="77777777" w:rsidR="00F9507C" w:rsidRPr="00507359" w:rsidRDefault="00F9507C" w:rsidP="00EE433B">
      <w:pPr>
        <w:pStyle w:val="Dash"/>
        <w:numPr>
          <w:ilvl w:val="1"/>
          <w:numId w:val="12"/>
        </w:numPr>
      </w:pPr>
      <w:r w:rsidRPr="00507359">
        <w:t>Bi-annually</w:t>
      </w:r>
    </w:p>
    <w:p w14:paraId="21A61EC0" w14:textId="77777777" w:rsidR="00F9507C" w:rsidRPr="00507359" w:rsidRDefault="00F9507C" w:rsidP="00EE433B">
      <w:pPr>
        <w:pStyle w:val="Dash"/>
        <w:numPr>
          <w:ilvl w:val="1"/>
          <w:numId w:val="12"/>
        </w:numPr>
      </w:pPr>
      <w:r w:rsidRPr="00507359">
        <w:t>Quarterly</w:t>
      </w:r>
    </w:p>
    <w:p w14:paraId="7CF66F68" w14:textId="77777777" w:rsidR="00F9507C" w:rsidRPr="00507359" w:rsidRDefault="00F9507C" w:rsidP="00EE433B">
      <w:pPr>
        <w:pStyle w:val="Dash"/>
        <w:numPr>
          <w:ilvl w:val="1"/>
          <w:numId w:val="12"/>
        </w:numPr>
      </w:pPr>
      <w:r w:rsidRPr="00507359">
        <w:t>Monthly</w:t>
      </w:r>
    </w:p>
    <w:p w14:paraId="151CE9D0" w14:textId="77777777" w:rsidR="00F9507C" w:rsidRPr="00507359" w:rsidRDefault="00F9507C" w:rsidP="00EE433B">
      <w:pPr>
        <w:pStyle w:val="Dash"/>
        <w:numPr>
          <w:ilvl w:val="1"/>
          <w:numId w:val="12"/>
        </w:numPr>
      </w:pPr>
      <w:r w:rsidRPr="00507359">
        <w:t>Daily</w:t>
      </w:r>
    </w:p>
    <w:p w14:paraId="11427BF3" w14:textId="77777777" w:rsidR="00F9507C" w:rsidRPr="00507359" w:rsidRDefault="00F9507C" w:rsidP="009B63BE">
      <w:pPr>
        <w:pStyle w:val="Bullet"/>
        <w:numPr>
          <w:ilvl w:val="0"/>
          <w:numId w:val="12"/>
        </w:numPr>
      </w:pPr>
      <w:r w:rsidRPr="00507359">
        <w:t xml:space="preserve">How would you rate the benefit of harmonising the highest priority </w:t>
      </w:r>
      <w:r>
        <w:t xml:space="preserve">concept </w:t>
      </w:r>
      <w:r w:rsidRPr="00507359">
        <w:t>to your business practices?</w:t>
      </w:r>
    </w:p>
    <w:p w14:paraId="3E99D346" w14:textId="77777777" w:rsidR="00F9507C" w:rsidRPr="00507359" w:rsidRDefault="00F9507C" w:rsidP="00EE433B">
      <w:pPr>
        <w:pStyle w:val="Dash"/>
        <w:numPr>
          <w:ilvl w:val="1"/>
          <w:numId w:val="12"/>
        </w:numPr>
      </w:pPr>
      <w:r w:rsidRPr="00507359">
        <w:t>Extremely beneficial</w:t>
      </w:r>
    </w:p>
    <w:p w14:paraId="2E4AEE89" w14:textId="77777777" w:rsidR="00F9507C" w:rsidRPr="00507359" w:rsidRDefault="00F9507C" w:rsidP="00EE433B">
      <w:pPr>
        <w:pStyle w:val="Dash"/>
        <w:numPr>
          <w:ilvl w:val="1"/>
          <w:numId w:val="12"/>
        </w:numPr>
      </w:pPr>
      <w:r w:rsidRPr="00507359">
        <w:t>Very beneficial</w:t>
      </w:r>
    </w:p>
    <w:p w14:paraId="0BADC9E6" w14:textId="77777777" w:rsidR="00F9507C" w:rsidRPr="00507359" w:rsidRDefault="00F9507C" w:rsidP="00EE433B">
      <w:pPr>
        <w:pStyle w:val="Dash"/>
        <w:numPr>
          <w:ilvl w:val="1"/>
          <w:numId w:val="12"/>
        </w:numPr>
      </w:pPr>
      <w:r w:rsidRPr="00507359">
        <w:t>Moderately beneficial</w:t>
      </w:r>
    </w:p>
    <w:p w14:paraId="25274503" w14:textId="77777777" w:rsidR="00F9507C" w:rsidRPr="00507359" w:rsidRDefault="00F9507C" w:rsidP="00EE433B">
      <w:pPr>
        <w:pStyle w:val="Dash"/>
        <w:numPr>
          <w:ilvl w:val="1"/>
          <w:numId w:val="12"/>
        </w:numPr>
      </w:pPr>
      <w:r w:rsidRPr="00507359">
        <w:t>Slightly beneficial</w:t>
      </w:r>
    </w:p>
    <w:p w14:paraId="6E8F505D" w14:textId="77777777" w:rsidR="00F9507C" w:rsidRPr="00507359" w:rsidRDefault="00F9507C" w:rsidP="00EE433B">
      <w:pPr>
        <w:pStyle w:val="Dash"/>
        <w:numPr>
          <w:ilvl w:val="1"/>
          <w:numId w:val="12"/>
        </w:numPr>
      </w:pPr>
      <w:r w:rsidRPr="00507359">
        <w:t>Not at all beneficial</w:t>
      </w:r>
    </w:p>
    <w:p w14:paraId="0B0AFC8B" w14:textId="77777777" w:rsidR="00D8705F" w:rsidRDefault="00D8705F">
      <w:r>
        <w:br w:type="page"/>
      </w:r>
    </w:p>
    <w:p w14:paraId="3F87249B" w14:textId="77777777" w:rsidR="00F9507C" w:rsidRPr="00507359" w:rsidRDefault="00F9507C" w:rsidP="009B63BE">
      <w:pPr>
        <w:pStyle w:val="Bullet"/>
        <w:numPr>
          <w:ilvl w:val="0"/>
          <w:numId w:val="12"/>
        </w:numPr>
      </w:pPr>
      <w:r w:rsidRPr="00507359">
        <w:lastRenderedPageBreak/>
        <w:t xml:space="preserve">Are you aware of a core </w:t>
      </w:r>
      <w:r>
        <w:t>concept</w:t>
      </w:r>
      <w:r w:rsidRPr="00507359">
        <w:t xml:space="preserve"> which is harmonised legislatively but administered differently across jurisdictions?</w:t>
      </w:r>
    </w:p>
    <w:p w14:paraId="3E942C6B" w14:textId="77777777" w:rsidR="00F9507C" w:rsidRPr="00507359" w:rsidRDefault="00F9507C" w:rsidP="00EE433B">
      <w:pPr>
        <w:pStyle w:val="Dash"/>
        <w:numPr>
          <w:ilvl w:val="1"/>
          <w:numId w:val="12"/>
        </w:numPr>
      </w:pPr>
      <w:r w:rsidRPr="00507359">
        <w:t>Yes</w:t>
      </w:r>
    </w:p>
    <w:p w14:paraId="5578E41B" w14:textId="77777777" w:rsidR="00F9507C" w:rsidRPr="00507359" w:rsidRDefault="00F9507C" w:rsidP="00EE433B">
      <w:pPr>
        <w:pStyle w:val="Dash"/>
        <w:numPr>
          <w:ilvl w:val="1"/>
          <w:numId w:val="12"/>
        </w:numPr>
      </w:pPr>
      <w:r w:rsidRPr="00507359">
        <w:t>No</w:t>
      </w:r>
    </w:p>
    <w:p w14:paraId="19D3B47B" w14:textId="77777777" w:rsidR="00F9507C" w:rsidRPr="00507359" w:rsidRDefault="00F9507C" w:rsidP="009B63BE">
      <w:pPr>
        <w:pStyle w:val="Bullet"/>
        <w:numPr>
          <w:ilvl w:val="0"/>
          <w:numId w:val="12"/>
        </w:numPr>
      </w:pPr>
      <w:r w:rsidRPr="00507359">
        <w:t xml:space="preserve">[Optional based on answer to previous question] If yes, please identify the </w:t>
      </w:r>
      <w:r>
        <w:t>concept</w:t>
      </w:r>
      <w:r w:rsidRPr="00507359">
        <w:t xml:space="preserve"> and the significance the impact of different administration</w:t>
      </w:r>
      <w:r>
        <w:t xml:space="preserve"> has</w:t>
      </w:r>
      <w:r w:rsidRPr="00507359">
        <w:t xml:space="preserve"> on your business practice.</w:t>
      </w:r>
    </w:p>
    <w:p w14:paraId="69BF8FE6" w14:textId="77777777" w:rsidR="00F9507C" w:rsidRPr="00514E18" w:rsidRDefault="00F9507C" w:rsidP="00EE433B">
      <w:pPr>
        <w:pStyle w:val="Dash"/>
        <w:numPr>
          <w:ilvl w:val="0"/>
          <w:numId w:val="0"/>
        </w:numPr>
        <w:ind w:left="1040"/>
      </w:pPr>
      <w:r w:rsidRPr="00507359">
        <w:t>Free text answer</w:t>
      </w:r>
    </w:p>
    <w:p w14:paraId="750053C0" w14:textId="77777777" w:rsidR="00EC602C" w:rsidRDefault="00EC602C"/>
    <w:p w14:paraId="2899EDDA" w14:textId="77777777" w:rsidR="00615899" w:rsidRDefault="00615899" w:rsidP="00305312">
      <w:pPr>
        <w:sectPr w:rsidR="00615899" w:rsidSect="00D8705F">
          <w:footerReference w:type="default" r:id="rId14"/>
          <w:pgSz w:w="11906" w:h="16838"/>
          <w:pgMar w:top="1440" w:right="1440" w:bottom="1440" w:left="1440" w:header="708" w:footer="708" w:gutter="0"/>
          <w:cols w:space="708"/>
          <w:docGrid w:linePitch="360"/>
        </w:sectPr>
      </w:pPr>
    </w:p>
    <w:p w14:paraId="34469CD6" w14:textId="77777777" w:rsidR="00305312" w:rsidRDefault="00615899" w:rsidP="00615899">
      <w:pPr>
        <w:pStyle w:val="Heading2"/>
      </w:pPr>
      <w:r>
        <w:lastRenderedPageBreak/>
        <w:t xml:space="preserve">Attachment </w:t>
      </w:r>
      <w:r w:rsidR="00EC602C">
        <w:t>B</w:t>
      </w:r>
      <w:r>
        <w:t xml:space="preserve">: </w:t>
      </w:r>
      <w:r w:rsidRPr="00615899">
        <w:t>Payroll Tax inconsistencies</w:t>
      </w:r>
      <w:r>
        <w:t xml:space="preserve"> between States and Territories as at 30 March 2017</w:t>
      </w:r>
    </w:p>
    <w:tbl>
      <w:tblPr>
        <w:tblStyle w:val="TableGrid"/>
        <w:tblW w:w="5046" w:type="pct"/>
        <w:tblLayout w:type="fixed"/>
        <w:tblLook w:val="04A0" w:firstRow="1" w:lastRow="0" w:firstColumn="1" w:lastColumn="0" w:noHBand="0" w:noVBand="1"/>
      </w:tblPr>
      <w:tblGrid>
        <w:gridCol w:w="6307"/>
        <w:gridCol w:w="1670"/>
        <w:gridCol w:w="1671"/>
        <w:gridCol w:w="1671"/>
        <w:gridCol w:w="1671"/>
        <w:gridCol w:w="1671"/>
        <w:gridCol w:w="1671"/>
        <w:gridCol w:w="1671"/>
        <w:gridCol w:w="1671"/>
        <w:gridCol w:w="1671"/>
      </w:tblGrid>
      <w:tr w:rsidR="00514C0B" w:rsidRPr="00514C0B" w14:paraId="4F6DB3A3" w14:textId="77777777" w:rsidTr="004900BB">
        <w:trPr>
          <w:cantSplit/>
          <w:tblHeader/>
        </w:trPr>
        <w:tc>
          <w:tcPr>
            <w:tcW w:w="6307" w:type="dxa"/>
            <w:shd w:val="clear" w:color="auto" w:fill="D9D9D9" w:themeFill="background1" w:themeFillShade="D9"/>
            <w:vAlign w:val="center"/>
          </w:tcPr>
          <w:p w14:paraId="13FB9303" w14:textId="77777777" w:rsidR="00514C0B" w:rsidRPr="00514C0B" w:rsidRDefault="00514C0B" w:rsidP="004900BB">
            <w:pPr>
              <w:jc w:val="center"/>
              <w:rPr>
                <w:rFonts w:cs="Arial"/>
                <w:b/>
              </w:rPr>
            </w:pPr>
            <w:r w:rsidRPr="00514C0B">
              <w:rPr>
                <w:rFonts w:cs="Arial"/>
                <w:b/>
              </w:rPr>
              <w:t>PAYROLL TAX TREATMENT</w:t>
            </w:r>
          </w:p>
        </w:tc>
        <w:tc>
          <w:tcPr>
            <w:tcW w:w="1670" w:type="dxa"/>
            <w:shd w:val="clear" w:color="auto" w:fill="D9D9D9" w:themeFill="background1" w:themeFillShade="D9"/>
            <w:vAlign w:val="center"/>
          </w:tcPr>
          <w:p w14:paraId="3543A8B1" w14:textId="77777777" w:rsidR="00514C0B" w:rsidRPr="00514C0B" w:rsidRDefault="00514C0B" w:rsidP="004900BB">
            <w:pPr>
              <w:jc w:val="center"/>
              <w:rPr>
                <w:rFonts w:cs="Arial"/>
                <w:b/>
              </w:rPr>
            </w:pPr>
            <w:r w:rsidRPr="00514C0B">
              <w:rPr>
                <w:rFonts w:cs="Arial"/>
                <w:b/>
              </w:rPr>
              <w:t>ACT</w:t>
            </w:r>
          </w:p>
        </w:tc>
        <w:tc>
          <w:tcPr>
            <w:tcW w:w="1671" w:type="dxa"/>
            <w:shd w:val="clear" w:color="auto" w:fill="D9D9D9" w:themeFill="background1" w:themeFillShade="D9"/>
            <w:vAlign w:val="center"/>
          </w:tcPr>
          <w:p w14:paraId="7FAB5687" w14:textId="77777777" w:rsidR="00514C0B" w:rsidRPr="00514C0B" w:rsidRDefault="00514C0B" w:rsidP="004900BB">
            <w:pPr>
              <w:jc w:val="center"/>
              <w:rPr>
                <w:rFonts w:cs="Arial"/>
                <w:b/>
              </w:rPr>
            </w:pPr>
            <w:r w:rsidRPr="00514C0B">
              <w:rPr>
                <w:rFonts w:cs="Arial"/>
                <w:b/>
              </w:rPr>
              <w:t>NSW</w:t>
            </w:r>
          </w:p>
        </w:tc>
        <w:tc>
          <w:tcPr>
            <w:tcW w:w="1671" w:type="dxa"/>
            <w:shd w:val="clear" w:color="auto" w:fill="D9D9D9" w:themeFill="background1" w:themeFillShade="D9"/>
            <w:vAlign w:val="center"/>
          </w:tcPr>
          <w:p w14:paraId="6B237D24" w14:textId="77777777" w:rsidR="00514C0B" w:rsidRPr="00514C0B" w:rsidRDefault="00514C0B" w:rsidP="004900BB">
            <w:pPr>
              <w:jc w:val="center"/>
              <w:rPr>
                <w:rFonts w:cs="Arial"/>
                <w:b/>
              </w:rPr>
            </w:pPr>
            <w:r w:rsidRPr="00514C0B">
              <w:rPr>
                <w:rFonts w:cs="Arial"/>
                <w:b/>
              </w:rPr>
              <w:t>NT</w:t>
            </w:r>
          </w:p>
        </w:tc>
        <w:tc>
          <w:tcPr>
            <w:tcW w:w="1671" w:type="dxa"/>
            <w:shd w:val="clear" w:color="auto" w:fill="D9D9D9" w:themeFill="background1" w:themeFillShade="D9"/>
            <w:vAlign w:val="center"/>
          </w:tcPr>
          <w:p w14:paraId="4B84B0E8" w14:textId="77777777" w:rsidR="00514C0B" w:rsidRPr="00514C0B" w:rsidRDefault="00514C0B" w:rsidP="004900BB">
            <w:pPr>
              <w:jc w:val="center"/>
              <w:rPr>
                <w:rFonts w:cs="Arial"/>
                <w:b/>
              </w:rPr>
            </w:pPr>
            <w:r w:rsidRPr="00514C0B">
              <w:rPr>
                <w:rFonts w:cs="Arial"/>
                <w:b/>
              </w:rPr>
              <w:t>QLD</w:t>
            </w:r>
          </w:p>
        </w:tc>
        <w:tc>
          <w:tcPr>
            <w:tcW w:w="1671" w:type="dxa"/>
            <w:shd w:val="clear" w:color="auto" w:fill="D9D9D9" w:themeFill="background1" w:themeFillShade="D9"/>
            <w:vAlign w:val="center"/>
          </w:tcPr>
          <w:p w14:paraId="3C83A499" w14:textId="77777777" w:rsidR="00514C0B" w:rsidRPr="00514C0B" w:rsidRDefault="00514C0B" w:rsidP="004900BB">
            <w:pPr>
              <w:jc w:val="center"/>
              <w:rPr>
                <w:rFonts w:cs="Arial"/>
                <w:b/>
              </w:rPr>
            </w:pPr>
            <w:r w:rsidRPr="00514C0B">
              <w:rPr>
                <w:rFonts w:cs="Arial"/>
                <w:b/>
              </w:rPr>
              <w:t>SA</w:t>
            </w:r>
          </w:p>
        </w:tc>
        <w:tc>
          <w:tcPr>
            <w:tcW w:w="1671" w:type="dxa"/>
            <w:shd w:val="clear" w:color="auto" w:fill="D9D9D9" w:themeFill="background1" w:themeFillShade="D9"/>
            <w:vAlign w:val="center"/>
          </w:tcPr>
          <w:p w14:paraId="214E6623" w14:textId="77777777" w:rsidR="00514C0B" w:rsidRPr="00514C0B" w:rsidRDefault="00514C0B" w:rsidP="004900BB">
            <w:pPr>
              <w:jc w:val="center"/>
              <w:rPr>
                <w:rFonts w:cs="Arial"/>
                <w:b/>
              </w:rPr>
            </w:pPr>
            <w:r w:rsidRPr="00514C0B">
              <w:rPr>
                <w:rFonts w:cs="Arial"/>
                <w:b/>
              </w:rPr>
              <w:t>TAS</w:t>
            </w:r>
          </w:p>
        </w:tc>
        <w:tc>
          <w:tcPr>
            <w:tcW w:w="1671" w:type="dxa"/>
            <w:shd w:val="clear" w:color="auto" w:fill="D9D9D9" w:themeFill="background1" w:themeFillShade="D9"/>
            <w:vAlign w:val="center"/>
          </w:tcPr>
          <w:p w14:paraId="57B11D69" w14:textId="77777777" w:rsidR="00514C0B" w:rsidRPr="00514C0B" w:rsidRDefault="00514C0B" w:rsidP="004900BB">
            <w:pPr>
              <w:jc w:val="center"/>
              <w:rPr>
                <w:rFonts w:cs="Arial"/>
                <w:b/>
              </w:rPr>
            </w:pPr>
            <w:r w:rsidRPr="00514C0B">
              <w:rPr>
                <w:rFonts w:cs="Arial"/>
                <w:b/>
              </w:rPr>
              <w:t>VIC</w:t>
            </w:r>
          </w:p>
        </w:tc>
        <w:tc>
          <w:tcPr>
            <w:tcW w:w="1671" w:type="dxa"/>
            <w:shd w:val="clear" w:color="auto" w:fill="D9D9D9" w:themeFill="background1" w:themeFillShade="D9"/>
            <w:vAlign w:val="center"/>
          </w:tcPr>
          <w:p w14:paraId="40C23709" w14:textId="77777777" w:rsidR="00514C0B" w:rsidRPr="00514C0B" w:rsidRDefault="00514C0B" w:rsidP="004900BB">
            <w:pPr>
              <w:jc w:val="center"/>
              <w:rPr>
                <w:rFonts w:cs="Arial"/>
                <w:b/>
              </w:rPr>
            </w:pPr>
            <w:r w:rsidRPr="00514C0B">
              <w:rPr>
                <w:rFonts w:cs="Arial"/>
                <w:b/>
              </w:rPr>
              <w:t>WA</w:t>
            </w:r>
          </w:p>
        </w:tc>
        <w:tc>
          <w:tcPr>
            <w:tcW w:w="1671" w:type="dxa"/>
            <w:shd w:val="clear" w:color="auto" w:fill="D9D9D9" w:themeFill="background1" w:themeFillShade="D9"/>
          </w:tcPr>
          <w:p w14:paraId="75C631B4" w14:textId="77777777" w:rsidR="00514C0B" w:rsidRPr="00514C0B" w:rsidRDefault="00C07A46" w:rsidP="00C07A46">
            <w:pPr>
              <w:jc w:val="center"/>
              <w:rPr>
                <w:rFonts w:cs="Arial"/>
                <w:b/>
              </w:rPr>
            </w:pPr>
            <w:r>
              <w:rPr>
                <w:rFonts w:cs="Arial"/>
                <w:b/>
              </w:rPr>
              <w:t>ATO</w:t>
            </w:r>
            <w:r>
              <w:rPr>
                <w:rStyle w:val="FootnoteReference"/>
                <w:rFonts w:cs="Arial"/>
                <w:b/>
              </w:rPr>
              <w:footnoteReference w:id="12"/>
            </w:r>
            <w:r w:rsidR="00514C0B" w:rsidRPr="00514C0B">
              <w:rPr>
                <w:rFonts w:cs="Arial"/>
                <w:b/>
              </w:rPr>
              <w:t>/ WorkCover</w:t>
            </w:r>
          </w:p>
        </w:tc>
      </w:tr>
      <w:tr w:rsidR="00514C0B" w:rsidRPr="00514C0B" w14:paraId="3930A6F8" w14:textId="77777777" w:rsidTr="004900BB">
        <w:tc>
          <w:tcPr>
            <w:tcW w:w="6307" w:type="dxa"/>
          </w:tcPr>
          <w:p w14:paraId="3E9147C3" w14:textId="77777777" w:rsidR="00514C0B" w:rsidRPr="00514C0B" w:rsidRDefault="00514C0B" w:rsidP="004900BB">
            <w:pPr>
              <w:rPr>
                <w:rFonts w:cs="Arial"/>
                <w:b/>
              </w:rPr>
            </w:pPr>
            <w:r w:rsidRPr="00514C0B">
              <w:rPr>
                <w:rFonts w:cs="Arial"/>
                <w:b/>
              </w:rPr>
              <w:t>Legislation</w:t>
            </w:r>
          </w:p>
        </w:tc>
        <w:tc>
          <w:tcPr>
            <w:tcW w:w="1670" w:type="dxa"/>
            <w:vAlign w:val="center"/>
          </w:tcPr>
          <w:p w14:paraId="667ACB9E" w14:textId="77777777" w:rsidR="00514C0B" w:rsidRPr="00514C0B" w:rsidRDefault="00514C0B" w:rsidP="004900BB">
            <w:pPr>
              <w:jc w:val="center"/>
              <w:rPr>
                <w:rFonts w:cs="Arial"/>
              </w:rPr>
            </w:pPr>
            <w:r w:rsidRPr="00514C0B">
              <w:rPr>
                <w:rFonts w:cs="Arial"/>
              </w:rPr>
              <w:t>Payroll Tax Act 2011</w:t>
            </w:r>
          </w:p>
        </w:tc>
        <w:tc>
          <w:tcPr>
            <w:tcW w:w="1671" w:type="dxa"/>
            <w:vAlign w:val="center"/>
          </w:tcPr>
          <w:p w14:paraId="0FE26D0E" w14:textId="77777777" w:rsidR="00514C0B" w:rsidRPr="00514C0B" w:rsidRDefault="00514C0B" w:rsidP="004900BB">
            <w:pPr>
              <w:jc w:val="center"/>
              <w:rPr>
                <w:rFonts w:cs="Arial"/>
              </w:rPr>
            </w:pPr>
            <w:r w:rsidRPr="00514C0B">
              <w:rPr>
                <w:rFonts w:cs="Arial"/>
              </w:rPr>
              <w:t xml:space="preserve">Payroll Tax Act 2007 </w:t>
            </w:r>
          </w:p>
        </w:tc>
        <w:tc>
          <w:tcPr>
            <w:tcW w:w="1671" w:type="dxa"/>
            <w:vAlign w:val="center"/>
          </w:tcPr>
          <w:p w14:paraId="7C7E60D6" w14:textId="77777777" w:rsidR="00514C0B" w:rsidRPr="00514C0B" w:rsidRDefault="00514C0B" w:rsidP="004900BB">
            <w:pPr>
              <w:jc w:val="center"/>
              <w:rPr>
                <w:rFonts w:cs="Arial"/>
              </w:rPr>
            </w:pPr>
            <w:r w:rsidRPr="00514C0B">
              <w:rPr>
                <w:rFonts w:cs="Arial"/>
              </w:rPr>
              <w:t>Payroll Tax Act 2009</w:t>
            </w:r>
          </w:p>
        </w:tc>
        <w:tc>
          <w:tcPr>
            <w:tcW w:w="1671" w:type="dxa"/>
            <w:vAlign w:val="center"/>
          </w:tcPr>
          <w:p w14:paraId="1755FF22" w14:textId="77777777" w:rsidR="00514C0B" w:rsidRPr="00514C0B" w:rsidRDefault="00514C0B" w:rsidP="004900BB">
            <w:pPr>
              <w:jc w:val="center"/>
              <w:rPr>
                <w:rFonts w:cs="Arial"/>
              </w:rPr>
            </w:pPr>
            <w:r w:rsidRPr="00514C0B">
              <w:rPr>
                <w:rFonts w:cs="Arial"/>
              </w:rPr>
              <w:t>Payroll Tax Act 1971</w:t>
            </w:r>
          </w:p>
        </w:tc>
        <w:tc>
          <w:tcPr>
            <w:tcW w:w="1671" w:type="dxa"/>
            <w:vAlign w:val="center"/>
          </w:tcPr>
          <w:p w14:paraId="59298BE6" w14:textId="77777777" w:rsidR="00514C0B" w:rsidRPr="00514C0B" w:rsidRDefault="00514C0B" w:rsidP="004900BB">
            <w:pPr>
              <w:jc w:val="center"/>
              <w:rPr>
                <w:rFonts w:cs="Arial"/>
              </w:rPr>
            </w:pPr>
            <w:r w:rsidRPr="00514C0B">
              <w:rPr>
                <w:rFonts w:cs="Arial"/>
              </w:rPr>
              <w:t>Payroll Tax Act 2009</w:t>
            </w:r>
          </w:p>
        </w:tc>
        <w:tc>
          <w:tcPr>
            <w:tcW w:w="1671" w:type="dxa"/>
            <w:vAlign w:val="center"/>
          </w:tcPr>
          <w:p w14:paraId="29E8DA83" w14:textId="77777777" w:rsidR="00514C0B" w:rsidRPr="00514C0B" w:rsidRDefault="00514C0B" w:rsidP="004900BB">
            <w:pPr>
              <w:jc w:val="center"/>
              <w:rPr>
                <w:rFonts w:cs="Arial"/>
              </w:rPr>
            </w:pPr>
            <w:r w:rsidRPr="00514C0B">
              <w:rPr>
                <w:rFonts w:cs="Arial"/>
              </w:rPr>
              <w:t>Payroll Tax Act 2008</w:t>
            </w:r>
          </w:p>
        </w:tc>
        <w:tc>
          <w:tcPr>
            <w:tcW w:w="1671" w:type="dxa"/>
            <w:vAlign w:val="center"/>
          </w:tcPr>
          <w:p w14:paraId="651392E7" w14:textId="77777777" w:rsidR="00514C0B" w:rsidRPr="00514C0B" w:rsidRDefault="00514C0B" w:rsidP="004900BB">
            <w:pPr>
              <w:jc w:val="center"/>
              <w:rPr>
                <w:rFonts w:cs="Arial"/>
              </w:rPr>
            </w:pPr>
            <w:r w:rsidRPr="00514C0B">
              <w:rPr>
                <w:rFonts w:cs="Arial"/>
              </w:rPr>
              <w:t>Payroll Tax Act 2007</w:t>
            </w:r>
          </w:p>
        </w:tc>
        <w:tc>
          <w:tcPr>
            <w:tcW w:w="1671" w:type="dxa"/>
            <w:vAlign w:val="center"/>
          </w:tcPr>
          <w:p w14:paraId="3AF7946A" w14:textId="77777777" w:rsidR="00514C0B" w:rsidRPr="00514C0B" w:rsidRDefault="00514C0B" w:rsidP="004900BB">
            <w:pPr>
              <w:jc w:val="center"/>
              <w:rPr>
                <w:rFonts w:cs="Arial"/>
              </w:rPr>
            </w:pPr>
            <w:r w:rsidRPr="00514C0B">
              <w:rPr>
                <w:rFonts w:cs="Arial"/>
              </w:rPr>
              <w:t>Payroll Tax Act 2002</w:t>
            </w:r>
          </w:p>
        </w:tc>
        <w:tc>
          <w:tcPr>
            <w:tcW w:w="1671" w:type="dxa"/>
          </w:tcPr>
          <w:p w14:paraId="470580F2" w14:textId="77777777" w:rsidR="00514C0B" w:rsidRPr="00514C0B" w:rsidRDefault="00514C0B" w:rsidP="004900BB">
            <w:pPr>
              <w:jc w:val="center"/>
              <w:rPr>
                <w:rFonts w:cs="Arial"/>
              </w:rPr>
            </w:pPr>
          </w:p>
        </w:tc>
      </w:tr>
      <w:tr w:rsidR="00514C0B" w:rsidRPr="00514C0B" w14:paraId="5F931777" w14:textId="77777777" w:rsidTr="004900BB">
        <w:tc>
          <w:tcPr>
            <w:tcW w:w="6307" w:type="dxa"/>
          </w:tcPr>
          <w:p w14:paraId="1A8256E1" w14:textId="77777777" w:rsidR="00514C0B" w:rsidRPr="00514C0B" w:rsidRDefault="00514C0B" w:rsidP="004900BB">
            <w:pPr>
              <w:rPr>
                <w:rFonts w:cs="Arial"/>
                <w:b/>
              </w:rPr>
            </w:pPr>
            <w:r w:rsidRPr="00514C0B">
              <w:rPr>
                <w:rFonts w:cs="Arial"/>
                <w:b/>
              </w:rPr>
              <w:t>Apprentices and Trainees</w:t>
            </w:r>
          </w:p>
          <w:p w14:paraId="154BC6F7" w14:textId="77777777" w:rsidR="00514C0B" w:rsidRPr="00514C0B" w:rsidRDefault="00514C0B" w:rsidP="004900BB">
            <w:pPr>
              <w:rPr>
                <w:rFonts w:cs="Arial"/>
                <w:b/>
              </w:rPr>
            </w:pPr>
          </w:p>
          <w:p w14:paraId="171CA150" w14:textId="77777777" w:rsidR="00514C0B" w:rsidRPr="00514C0B" w:rsidRDefault="00514C0B" w:rsidP="004900BB">
            <w:pPr>
              <w:rPr>
                <w:rFonts w:cs="Arial"/>
              </w:rPr>
            </w:pPr>
            <w:r w:rsidRPr="00514C0B">
              <w:rPr>
                <w:rFonts w:cs="Arial"/>
              </w:rPr>
              <w:t>Wages paid to apprentices and trainees are generally taxable unless an exemption or rebate applies.</w:t>
            </w:r>
          </w:p>
        </w:tc>
        <w:tc>
          <w:tcPr>
            <w:tcW w:w="1670" w:type="dxa"/>
          </w:tcPr>
          <w:p w14:paraId="40653AA7" w14:textId="77777777" w:rsidR="00514C0B" w:rsidRPr="00514C0B" w:rsidRDefault="00514C0B" w:rsidP="004900BB">
            <w:pPr>
              <w:jc w:val="center"/>
              <w:rPr>
                <w:rFonts w:cs="Arial"/>
              </w:rPr>
            </w:pPr>
            <w:r w:rsidRPr="00514C0B">
              <w:rPr>
                <w:rFonts w:cs="Arial"/>
              </w:rPr>
              <w:t>Taxable unless an approved group training organisation is exempt from PRT for the full term of the approved training contract.</w:t>
            </w:r>
          </w:p>
          <w:p w14:paraId="0687E22D" w14:textId="77777777" w:rsidR="00514C0B" w:rsidRPr="00514C0B" w:rsidRDefault="00514C0B" w:rsidP="004900BB">
            <w:pPr>
              <w:jc w:val="center"/>
              <w:rPr>
                <w:rFonts w:cs="Arial"/>
              </w:rPr>
            </w:pPr>
          </w:p>
          <w:p w14:paraId="25FC9318" w14:textId="77777777" w:rsidR="00514C0B" w:rsidRPr="00514C0B" w:rsidRDefault="00514C0B" w:rsidP="004900BB">
            <w:pPr>
              <w:jc w:val="center"/>
              <w:rPr>
                <w:color w:val="31849B" w:themeColor="accent5" w:themeShade="BF"/>
              </w:rPr>
            </w:pPr>
            <w:r w:rsidRPr="00514C0B">
              <w:rPr>
                <w:rFonts w:cs="Arial"/>
              </w:rPr>
              <w:t>An organisation will only be approved to be a group training organisation if it is not-for-profit</w:t>
            </w:r>
            <w:r w:rsidRPr="00514C0B">
              <w:rPr>
                <w:rFonts w:cs="Arial"/>
                <w:color w:val="31849B" w:themeColor="accent5" w:themeShade="BF"/>
              </w:rPr>
              <w:t>.</w:t>
            </w:r>
          </w:p>
        </w:tc>
        <w:tc>
          <w:tcPr>
            <w:tcW w:w="1671" w:type="dxa"/>
          </w:tcPr>
          <w:p w14:paraId="65A3C2C7" w14:textId="77777777" w:rsidR="00514C0B" w:rsidRPr="00514C0B" w:rsidRDefault="00514C0B" w:rsidP="004900BB">
            <w:pPr>
              <w:jc w:val="center"/>
              <w:rPr>
                <w:rFonts w:cs="Arial"/>
              </w:rPr>
            </w:pPr>
            <w:r w:rsidRPr="00514C0B">
              <w:rPr>
                <w:rFonts w:cs="Arial"/>
              </w:rPr>
              <w:t>Wages paid to apprentices and new entrant trainees are taxable</w:t>
            </w:r>
          </w:p>
          <w:p w14:paraId="56743BEF" w14:textId="77777777" w:rsidR="00514C0B" w:rsidRPr="00514C0B" w:rsidRDefault="00514C0B" w:rsidP="004900BB">
            <w:pPr>
              <w:jc w:val="center"/>
              <w:rPr>
                <w:rFonts w:cs="Arial"/>
              </w:rPr>
            </w:pPr>
          </w:p>
          <w:p w14:paraId="442C3264" w14:textId="77777777" w:rsidR="00514C0B" w:rsidRPr="00514C0B" w:rsidRDefault="00514C0B" w:rsidP="004900BB">
            <w:pPr>
              <w:jc w:val="center"/>
              <w:rPr>
                <w:rFonts w:cs="Arial"/>
              </w:rPr>
            </w:pPr>
            <w:r w:rsidRPr="00514C0B">
              <w:rPr>
                <w:rFonts w:cs="Arial"/>
              </w:rPr>
              <w:t>A rebate is available for the full amount of PRT payable in respect of such wages.</w:t>
            </w:r>
          </w:p>
        </w:tc>
        <w:tc>
          <w:tcPr>
            <w:tcW w:w="1671" w:type="dxa"/>
          </w:tcPr>
          <w:p w14:paraId="6E95F5C0" w14:textId="77777777" w:rsidR="00514C0B" w:rsidRPr="00514C0B" w:rsidRDefault="00514C0B" w:rsidP="004900BB">
            <w:pPr>
              <w:jc w:val="center"/>
              <w:rPr>
                <w:rFonts w:cs="Arial"/>
              </w:rPr>
            </w:pPr>
            <w:r w:rsidRPr="00514C0B">
              <w:rPr>
                <w:rFonts w:cs="Arial"/>
              </w:rPr>
              <w:t>Taxable wages</w:t>
            </w:r>
          </w:p>
        </w:tc>
        <w:tc>
          <w:tcPr>
            <w:tcW w:w="1671" w:type="dxa"/>
          </w:tcPr>
          <w:p w14:paraId="0A01B546" w14:textId="77777777" w:rsidR="00514C0B" w:rsidRPr="00514C0B" w:rsidRDefault="00514C0B" w:rsidP="004900BB">
            <w:pPr>
              <w:jc w:val="center"/>
              <w:rPr>
                <w:rFonts w:cs="Arial"/>
              </w:rPr>
            </w:pPr>
            <w:r w:rsidRPr="00514C0B">
              <w:rPr>
                <w:rFonts w:cs="Arial"/>
              </w:rPr>
              <w:t>Taxable unless:</w:t>
            </w:r>
          </w:p>
          <w:p w14:paraId="7E93EEE8" w14:textId="77777777" w:rsidR="00514C0B" w:rsidRPr="00514C0B" w:rsidRDefault="00514C0B" w:rsidP="004900BB">
            <w:pPr>
              <w:jc w:val="center"/>
              <w:rPr>
                <w:rFonts w:cs="Arial"/>
              </w:rPr>
            </w:pPr>
          </w:p>
          <w:p w14:paraId="0C412821" w14:textId="77777777" w:rsidR="00514C0B" w:rsidRPr="00514C0B" w:rsidRDefault="00514C0B" w:rsidP="004900BB">
            <w:pPr>
              <w:jc w:val="center"/>
              <w:rPr>
                <w:rFonts w:cs="Arial"/>
              </w:rPr>
            </w:pPr>
            <w:r w:rsidRPr="00514C0B">
              <w:rPr>
                <w:rFonts w:cs="Arial"/>
              </w:rPr>
              <w:t>- the training is declared to be an apprenticeship or traineeship;</w:t>
            </w:r>
          </w:p>
          <w:p w14:paraId="3AAD388E" w14:textId="77777777" w:rsidR="00514C0B" w:rsidRPr="00514C0B" w:rsidRDefault="00514C0B" w:rsidP="004900BB">
            <w:pPr>
              <w:jc w:val="center"/>
              <w:rPr>
                <w:rFonts w:cs="Arial"/>
              </w:rPr>
            </w:pPr>
          </w:p>
          <w:p w14:paraId="225F6CC4" w14:textId="77777777" w:rsidR="00514C0B" w:rsidRPr="00514C0B" w:rsidRDefault="00514C0B" w:rsidP="004900BB">
            <w:pPr>
              <w:jc w:val="center"/>
              <w:rPr>
                <w:rFonts w:cs="Arial"/>
              </w:rPr>
            </w:pPr>
            <w:r w:rsidRPr="00514C0B">
              <w:rPr>
                <w:rFonts w:cs="Arial"/>
              </w:rPr>
              <w:t>- the wages are paid in the course of the apprenticeship or traineeship</w:t>
            </w:r>
          </w:p>
          <w:p w14:paraId="41DC5220" w14:textId="77777777" w:rsidR="00514C0B" w:rsidRPr="00514C0B" w:rsidRDefault="00514C0B" w:rsidP="004900BB">
            <w:pPr>
              <w:jc w:val="center"/>
              <w:rPr>
                <w:rFonts w:cs="Arial"/>
              </w:rPr>
            </w:pPr>
          </w:p>
          <w:p w14:paraId="3C4774EF" w14:textId="77777777" w:rsidR="00514C0B" w:rsidRPr="00514C0B" w:rsidRDefault="00514C0B" w:rsidP="004900BB">
            <w:pPr>
              <w:jc w:val="center"/>
              <w:rPr>
                <w:rFonts w:cs="Arial"/>
              </w:rPr>
            </w:pPr>
            <w:r w:rsidRPr="00514C0B">
              <w:rPr>
                <w:rFonts w:cs="Arial"/>
              </w:rPr>
              <w:t>A rebate is also available for the 2017 and 2018 financial years at a rate of 50% and 25% of total apprentice and trainee wages respectively.</w:t>
            </w:r>
          </w:p>
        </w:tc>
        <w:tc>
          <w:tcPr>
            <w:tcW w:w="1671" w:type="dxa"/>
          </w:tcPr>
          <w:p w14:paraId="1C5DD077" w14:textId="77777777" w:rsidR="00514C0B" w:rsidRPr="00514C0B" w:rsidRDefault="00514C0B" w:rsidP="004900BB">
            <w:pPr>
              <w:jc w:val="center"/>
              <w:rPr>
                <w:rFonts w:cs="Arial"/>
              </w:rPr>
            </w:pPr>
            <w:r w:rsidRPr="00514C0B">
              <w:rPr>
                <w:rFonts w:cs="Arial"/>
              </w:rPr>
              <w:t>Taxable wages</w:t>
            </w:r>
          </w:p>
        </w:tc>
        <w:tc>
          <w:tcPr>
            <w:tcW w:w="1671" w:type="dxa"/>
          </w:tcPr>
          <w:p w14:paraId="56131E53" w14:textId="77777777" w:rsidR="00514C0B" w:rsidRPr="00514C0B" w:rsidRDefault="00514C0B" w:rsidP="004900BB">
            <w:pPr>
              <w:jc w:val="center"/>
              <w:rPr>
                <w:rFonts w:cs="Arial"/>
              </w:rPr>
            </w:pPr>
            <w:r w:rsidRPr="00514C0B">
              <w:rPr>
                <w:rFonts w:cs="Arial"/>
              </w:rPr>
              <w:t>Taxable unless paid to employees administering or participating in group apprenticeships or group training schemes which are exempt subject to the following conditions:</w:t>
            </w:r>
          </w:p>
          <w:p w14:paraId="367F3FBA" w14:textId="77777777" w:rsidR="00514C0B" w:rsidRPr="00514C0B" w:rsidRDefault="00514C0B" w:rsidP="004900BB">
            <w:pPr>
              <w:jc w:val="center"/>
              <w:rPr>
                <w:rFonts w:cs="Arial"/>
              </w:rPr>
            </w:pPr>
          </w:p>
          <w:p w14:paraId="4ABC99C9" w14:textId="77777777" w:rsidR="00514C0B" w:rsidRPr="00514C0B" w:rsidRDefault="00514C0B" w:rsidP="004900BB">
            <w:pPr>
              <w:jc w:val="center"/>
              <w:rPr>
                <w:rFonts w:cs="Arial"/>
              </w:rPr>
            </w:pPr>
            <w:r w:rsidRPr="00514C0B">
              <w:rPr>
                <w:rFonts w:cs="Arial"/>
              </w:rPr>
              <w:t>- wages are paid by a non-profit group training organisation; and</w:t>
            </w:r>
          </w:p>
          <w:p w14:paraId="40649E58" w14:textId="77777777" w:rsidR="00514C0B" w:rsidRPr="00514C0B" w:rsidRDefault="00514C0B" w:rsidP="004900BB">
            <w:pPr>
              <w:jc w:val="center"/>
              <w:rPr>
                <w:rFonts w:cs="Arial"/>
              </w:rPr>
            </w:pPr>
          </w:p>
          <w:p w14:paraId="6F1B6624" w14:textId="77777777" w:rsidR="00514C0B" w:rsidRPr="00514C0B" w:rsidRDefault="00514C0B" w:rsidP="004900BB">
            <w:pPr>
              <w:jc w:val="center"/>
              <w:rPr>
                <w:rFonts w:cs="Arial"/>
              </w:rPr>
            </w:pPr>
            <w:r w:rsidRPr="00514C0B">
              <w:rPr>
                <w:rFonts w:cs="Arial"/>
              </w:rPr>
              <w:t>- a non-profit group training organisation is appropriately registered.</w:t>
            </w:r>
          </w:p>
        </w:tc>
        <w:tc>
          <w:tcPr>
            <w:tcW w:w="1671" w:type="dxa"/>
          </w:tcPr>
          <w:p w14:paraId="092A5A8F" w14:textId="77777777" w:rsidR="00514C0B" w:rsidRPr="00514C0B" w:rsidRDefault="00514C0B" w:rsidP="004900BB">
            <w:pPr>
              <w:jc w:val="center"/>
              <w:rPr>
                <w:rFonts w:cs="Arial"/>
              </w:rPr>
            </w:pPr>
            <w:r w:rsidRPr="00514C0B">
              <w:rPr>
                <w:rFonts w:cs="Arial"/>
              </w:rPr>
              <w:t>Taxable unless wages are:</w:t>
            </w:r>
          </w:p>
          <w:p w14:paraId="38E0CD95" w14:textId="77777777" w:rsidR="00514C0B" w:rsidRPr="00514C0B" w:rsidRDefault="00514C0B" w:rsidP="004900BB">
            <w:pPr>
              <w:jc w:val="center"/>
              <w:rPr>
                <w:rFonts w:cs="Arial"/>
              </w:rPr>
            </w:pPr>
          </w:p>
          <w:p w14:paraId="233B985C" w14:textId="77777777" w:rsidR="00514C0B" w:rsidRPr="00514C0B" w:rsidRDefault="00514C0B" w:rsidP="004900BB">
            <w:pPr>
              <w:jc w:val="center"/>
              <w:rPr>
                <w:rFonts w:cs="Arial"/>
              </w:rPr>
            </w:pPr>
            <w:r w:rsidRPr="00514C0B">
              <w:rPr>
                <w:rFonts w:cs="Arial"/>
              </w:rPr>
              <w:t>- paid or payable to a re-employed apprentice or trainee;</w:t>
            </w:r>
          </w:p>
          <w:p w14:paraId="4050C2FC" w14:textId="77777777" w:rsidR="00514C0B" w:rsidRPr="00514C0B" w:rsidRDefault="00514C0B" w:rsidP="004900BB">
            <w:pPr>
              <w:jc w:val="center"/>
              <w:rPr>
                <w:rFonts w:cs="Arial"/>
              </w:rPr>
            </w:pPr>
          </w:p>
          <w:p w14:paraId="755514E9" w14:textId="77777777" w:rsidR="00514C0B" w:rsidRPr="00514C0B" w:rsidRDefault="00514C0B" w:rsidP="004900BB">
            <w:pPr>
              <w:jc w:val="center"/>
              <w:rPr>
                <w:rFonts w:cs="Arial"/>
              </w:rPr>
            </w:pPr>
            <w:r w:rsidRPr="00514C0B">
              <w:rPr>
                <w:rFonts w:cs="Arial"/>
              </w:rPr>
              <w:t xml:space="preserve">- paid by an approved group training organisation </w:t>
            </w:r>
            <w:r w:rsidRPr="004900BB">
              <w:rPr>
                <w:rFonts w:cs="Arial"/>
              </w:rPr>
              <w:t>to a new entrant apprentice or trainee</w:t>
            </w:r>
            <w:r w:rsidRPr="00514C0B">
              <w:rPr>
                <w:rFonts w:cs="Arial"/>
              </w:rPr>
              <w:t>.</w:t>
            </w:r>
          </w:p>
        </w:tc>
        <w:tc>
          <w:tcPr>
            <w:tcW w:w="1671" w:type="dxa"/>
            <w:vAlign w:val="center"/>
          </w:tcPr>
          <w:p w14:paraId="5C1026E7" w14:textId="77777777" w:rsidR="00514C0B" w:rsidRPr="00514C0B" w:rsidRDefault="00514C0B" w:rsidP="004900BB">
            <w:pPr>
              <w:jc w:val="center"/>
            </w:pPr>
            <w:r w:rsidRPr="00514C0B">
              <w:t>Taxable unless:</w:t>
            </w:r>
          </w:p>
          <w:p w14:paraId="72B15A49" w14:textId="77777777" w:rsidR="00514C0B" w:rsidRPr="00514C0B" w:rsidRDefault="00514C0B" w:rsidP="004900BB">
            <w:pPr>
              <w:jc w:val="center"/>
            </w:pPr>
          </w:p>
          <w:p w14:paraId="18E191B7" w14:textId="77777777" w:rsidR="00514C0B" w:rsidRPr="00514C0B" w:rsidRDefault="00514C0B" w:rsidP="004900BB">
            <w:pPr>
              <w:jc w:val="center"/>
            </w:pPr>
            <w:r w:rsidRPr="00514C0B">
              <w:t>- the employee is an apprentice;</w:t>
            </w:r>
          </w:p>
          <w:p w14:paraId="209FE23D" w14:textId="77777777" w:rsidR="00514C0B" w:rsidRPr="00514C0B" w:rsidRDefault="00514C0B" w:rsidP="004900BB">
            <w:pPr>
              <w:jc w:val="center"/>
            </w:pPr>
          </w:p>
          <w:p w14:paraId="30B6FFF3" w14:textId="77777777" w:rsidR="00514C0B" w:rsidRPr="00514C0B" w:rsidRDefault="00514C0B" w:rsidP="004900BB">
            <w:pPr>
              <w:jc w:val="center"/>
            </w:pPr>
            <w:r w:rsidRPr="00514C0B">
              <w:t>- a training contract is in place; and</w:t>
            </w:r>
          </w:p>
          <w:p w14:paraId="7785D32F" w14:textId="77777777" w:rsidR="00514C0B" w:rsidRPr="00514C0B" w:rsidRDefault="00514C0B" w:rsidP="004900BB">
            <w:pPr>
              <w:jc w:val="center"/>
            </w:pPr>
          </w:p>
          <w:p w14:paraId="64039DF8" w14:textId="77777777" w:rsidR="00514C0B" w:rsidRPr="00514C0B" w:rsidRDefault="00514C0B" w:rsidP="004900BB">
            <w:pPr>
              <w:jc w:val="center"/>
              <w:rPr>
                <w:rFonts w:cs="Arial"/>
                <w:i/>
              </w:rPr>
            </w:pPr>
            <w:r w:rsidRPr="00514C0B">
              <w:rPr>
                <w:i/>
              </w:rPr>
              <w:t>- the contract is registered</w:t>
            </w:r>
            <w:r w:rsidRPr="00514C0B">
              <w:rPr>
                <w:rFonts w:cs="Arial"/>
                <w:i/>
              </w:rPr>
              <w:t xml:space="preserve"> under the Vocational Education and Training Act 1997 Part 7 Division 2.</w:t>
            </w:r>
          </w:p>
          <w:p w14:paraId="79D02282" w14:textId="77777777" w:rsidR="00514C0B" w:rsidRPr="00514C0B" w:rsidRDefault="00514C0B" w:rsidP="004900BB">
            <w:pPr>
              <w:jc w:val="center"/>
              <w:rPr>
                <w:rFonts w:cs="Arial"/>
              </w:rPr>
            </w:pPr>
          </w:p>
          <w:p w14:paraId="40C8D940" w14:textId="77777777" w:rsidR="00514C0B" w:rsidRPr="00514C0B" w:rsidRDefault="00514C0B" w:rsidP="004900BB">
            <w:pPr>
              <w:jc w:val="center"/>
              <w:rPr>
                <w:rFonts w:cs="Arial"/>
              </w:rPr>
            </w:pPr>
            <w:r w:rsidRPr="00514C0B">
              <w:rPr>
                <w:rFonts w:cs="Arial"/>
              </w:rPr>
              <w:t>or</w:t>
            </w:r>
          </w:p>
          <w:p w14:paraId="7443482F" w14:textId="77777777" w:rsidR="00514C0B" w:rsidRPr="00514C0B" w:rsidRDefault="00514C0B" w:rsidP="004900BB">
            <w:pPr>
              <w:jc w:val="center"/>
            </w:pPr>
          </w:p>
          <w:p w14:paraId="54352E68" w14:textId="77777777" w:rsidR="00514C0B" w:rsidRPr="00514C0B" w:rsidRDefault="00514C0B" w:rsidP="004900BB">
            <w:pPr>
              <w:jc w:val="center"/>
            </w:pPr>
            <w:r w:rsidRPr="00514C0B">
              <w:t>- the</w:t>
            </w:r>
            <w:r w:rsidRPr="00514C0B">
              <w:rPr>
                <w:rFonts w:cs="Arial"/>
              </w:rPr>
              <w:t xml:space="preserve"> employee is a trainee employed under a training agreement as part of the Australia  Traineeship System established by the Governments of the Commonwealth and the State</w:t>
            </w:r>
          </w:p>
        </w:tc>
        <w:tc>
          <w:tcPr>
            <w:tcW w:w="1671" w:type="dxa"/>
            <w:tcBorders>
              <w:bottom w:val="single" w:sz="4" w:space="0" w:color="auto"/>
            </w:tcBorders>
            <w:vAlign w:val="center"/>
          </w:tcPr>
          <w:p w14:paraId="17422506" w14:textId="77777777" w:rsidR="00514C0B" w:rsidRPr="00514C0B" w:rsidRDefault="00514C0B" w:rsidP="004900BB">
            <w:pPr>
              <w:jc w:val="center"/>
              <w:rPr>
                <w:rFonts w:cs="Arial"/>
              </w:rPr>
            </w:pPr>
            <w:r w:rsidRPr="00514C0B">
              <w:rPr>
                <w:rFonts w:cs="Arial"/>
              </w:rPr>
              <w:t>N/A</w:t>
            </w:r>
          </w:p>
        </w:tc>
      </w:tr>
      <w:tr w:rsidR="00514C0B" w:rsidRPr="00514C0B" w14:paraId="2EA6EFAE" w14:textId="77777777" w:rsidTr="00C07A46">
        <w:trPr>
          <w:cantSplit/>
        </w:trPr>
        <w:tc>
          <w:tcPr>
            <w:tcW w:w="6307" w:type="dxa"/>
          </w:tcPr>
          <w:p w14:paraId="28F82A97" w14:textId="77777777" w:rsidR="00514C0B" w:rsidRPr="00514C0B" w:rsidRDefault="00514C0B" w:rsidP="004900BB">
            <w:pPr>
              <w:rPr>
                <w:rFonts w:cs="Arial"/>
                <w:b/>
              </w:rPr>
            </w:pPr>
            <w:r w:rsidRPr="00514C0B">
              <w:rPr>
                <w:rFonts w:cs="Arial"/>
                <w:b/>
              </w:rPr>
              <w:lastRenderedPageBreak/>
              <w:t>Employee Share Schemes</w:t>
            </w:r>
          </w:p>
          <w:p w14:paraId="5386AE15" w14:textId="77777777" w:rsidR="00514C0B" w:rsidRPr="00514C0B" w:rsidRDefault="00514C0B" w:rsidP="004900BB">
            <w:pPr>
              <w:rPr>
                <w:rFonts w:cs="Arial"/>
              </w:rPr>
            </w:pPr>
            <w:r w:rsidRPr="00514C0B">
              <w:rPr>
                <w:rFonts w:cs="Arial"/>
              </w:rPr>
              <w:t>The grant of a share or option to an employee that constitutes an employee share scheme (ESS) interest is taxable for PRT purposes.  Alternatively if the grant does not constitute an ESS interest, the grant is taxable as a Fringe Benefit for PRT purposes.</w:t>
            </w:r>
          </w:p>
          <w:p w14:paraId="70D1438D" w14:textId="77777777" w:rsidR="00514C0B" w:rsidRPr="00514C0B" w:rsidRDefault="00514C0B" w:rsidP="004900BB">
            <w:pPr>
              <w:rPr>
                <w:rFonts w:cs="Arial"/>
              </w:rPr>
            </w:pPr>
          </w:p>
          <w:p w14:paraId="271975F4" w14:textId="77777777" w:rsidR="00514C0B" w:rsidRPr="00514C0B" w:rsidRDefault="00514C0B" w:rsidP="004900BB">
            <w:pPr>
              <w:rPr>
                <w:rFonts w:cs="Arial"/>
                <w:b/>
              </w:rPr>
            </w:pPr>
            <w:r w:rsidRPr="00514C0B">
              <w:rPr>
                <w:rFonts w:cs="Arial"/>
              </w:rPr>
              <w:t>An ESS interest for PRT purposes must be declared on the relevant date being the first of the vesting date or seven (7) years from the grant date.</w:t>
            </w:r>
          </w:p>
        </w:tc>
        <w:tc>
          <w:tcPr>
            <w:tcW w:w="1670" w:type="dxa"/>
            <w:vAlign w:val="center"/>
          </w:tcPr>
          <w:p w14:paraId="16CEE3B1" w14:textId="77777777" w:rsidR="00514C0B" w:rsidRPr="00514C0B" w:rsidRDefault="00514C0B" w:rsidP="004900BB">
            <w:pPr>
              <w:jc w:val="center"/>
              <w:rPr>
                <w:rFonts w:cs="Arial"/>
              </w:rPr>
            </w:pPr>
            <w:r w:rsidRPr="00514C0B">
              <w:rPr>
                <w:rFonts w:cs="Arial"/>
              </w:rPr>
              <w:t>Can elect to be taxed at grant or at a deferred taxing point</w:t>
            </w:r>
          </w:p>
          <w:p w14:paraId="1A01ACCF" w14:textId="77777777" w:rsidR="00514C0B" w:rsidRPr="00514C0B" w:rsidRDefault="00514C0B" w:rsidP="004900BB">
            <w:pPr>
              <w:jc w:val="center"/>
              <w:rPr>
                <w:rFonts w:cs="Arial"/>
              </w:rPr>
            </w:pPr>
          </w:p>
          <w:p w14:paraId="4D4F3AD2" w14:textId="77777777" w:rsidR="00514C0B" w:rsidRPr="00514C0B" w:rsidRDefault="00514C0B" w:rsidP="004900BB">
            <w:pPr>
              <w:jc w:val="center"/>
              <w:rPr>
                <w:rFonts w:cs="Arial"/>
              </w:rPr>
            </w:pPr>
            <w:r w:rsidRPr="00514C0B">
              <w:rPr>
                <w:rFonts w:cs="Arial"/>
              </w:rPr>
              <w:t>Maximum deferral 7 years</w:t>
            </w:r>
          </w:p>
        </w:tc>
        <w:tc>
          <w:tcPr>
            <w:tcW w:w="1671" w:type="dxa"/>
            <w:vAlign w:val="center"/>
          </w:tcPr>
          <w:p w14:paraId="739057E9" w14:textId="77777777" w:rsidR="00514C0B" w:rsidRPr="00514C0B" w:rsidRDefault="00514C0B" w:rsidP="004900BB">
            <w:pPr>
              <w:jc w:val="center"/>
              <w:rPr>
                <w:rFonts w:cs="Arial"/>
              </w:rPr>
            </w:pPr>
            <w:r w:rsidRPr="00514C0B">
              <w:rPr>
                <w:rFonts w:cs="Arial"/>
              </w:rPr>
              <w:t>Can elect to be taxed at grant or at a deferred taxing point</w:t>
            </w:r>
          </w:p>
          <w:p w14:paraId="03898CBF" w14:textId="77777777" w:rsidR="00514C0B" w:rsidRPr="00514C0B" w:rsidRDefault="00514C0B" w:rsidP="004900BB">
            <w:pPr>
              <w:jc w:val="center"/>
              <w:rPr>
                <w:rFonts w:cs="Arial"/>
              </w:rPr>
            </w:pPr>
          </w:p>
          <w:p w14:paraId="4EE91BAE" w14:textId="77777777" w:rsidR="00514C0B" w:rsidRPr="00514C0B" w:rsidRDefault="00514C0B" w:rsidP="004900BB">
            <w:pPr>
              <w:jc w:val="center"/>
              <w:rPr>
                <w:rFonts w:cs="Arial"/>
              </w:rPr>
            </w:pPr>
            <w:r w:rsidRPr="00514C0B">
              <w:rPr>
                <w:rFonts w:cs="Arial"/>
              </w:rPr>
              <w:t>Maximum deferral 7 years</w:t>
            </w:r>
          </w:p>
        </w:tc>
        <w:tc>
          <w:tcPr>
            <w:tcW w:w="1671" w:type="dxa"/>
            <w:vAlign w:val="center"/>
          </w:tcPr>
          <w:p w14:paraId="5FD7C710" w14:textId="77777777" w:rsidR="00514C0B" w:rsidRPr="00514C0B" w:rsidRDefault="00514C0B" w:rsidP="004900BB">
            <w:pPr>
              <w:jc w:val="center"/>
              <w:rPr>
                <w:rFonts w:cs="Arial"/>
              </w:rPr>
            </w:pPr>
            <w:r w:rsidRPr="00514C0B">
              <w:rPr>
                <w:rFonts w:cs="Arial"/>
              </w:rPr>
              <w:t>Can elect to be taxed at grant or at a deferred taxing point</w:t>
            </w:r>
          </w:p>
          <w:p w14:paraId="73FC9D61" w14:textId="77777777" w:rsidR="00514C0B" w:rsidRPr="00514C0B" w:rsidRDefault="00514C0B" w:rsidP="004900BB">
            <w:pPr>
              <w:jc w:val="center"/>
              <w:rPr>
                <w:rFonts w:cs="Arial"/>
              </w:rPr>
            </w:pPr>
          </w:p>
          <w:p w14:paraId="3D2E9A02" w14:textId="77777777" w:rsidR="00514C0B" w:rsidRPr="00514C0B" w:rsidRDefault="00514C0B" w:rsidP="004900BB">
            <w:pPr>
              <w:jc w:val="center"/>
              <w:rPr>
                <w:rFonts w:cs="Arial"/>
              </w:rPr>
            </w:pPr>
            <w:r w:rsidRPr="00514C0B">
              <w:rPr>
                <w:rFonts w:cs="Arial"/>
              </w:rPr>
              <w:t>Maximum deferral 7 years</w:t>
            </w:r>
          </w:p>
        </w:tc>
        <w:tc>
          <w:tcPr>
            <w:tcW w:w="1671" w:type="dxa"/>
            <w:vAlign w:val="center"/>
          </w:tcPr>
          <w:p w14:paraId="3FD71DA9" w14:textId="77777777" w:rsidR="00514C0B" w:rsidRPr="00514C0B" w:rsidRDefault="00514C0B" w:rsidP="004900BB">
            <w:pPr>
              <w:jc w:val="center"/>
              <w:rPr>
                <w:rFonts w:cs="Arial"/>
              </w:rPr>
            </w:pPr>
            <w:r w:rsidRPr="00514C0B">
              <w:rPr>
                <w:rFonts w:cs="Arial"/>
              </w:rPr>
              <w:t>Can elect to be taxed at grant or at a deferred taxing point</w:t>
            </w:r>
          </w:p>
          <w:p w14:paraId="3A99BB8E" w14:textId="77777777" w:rsidR="00514C0B" w:rsidRPr="00514C0B" w:rsidRDefault="00514C0B" w:rsidP="004900BB">
            <w:pPr>
              <w:jc w:val="center"/>
              <w:rPr>
                <w:rFonts w:cs="Arial"/>
              </w:rPr>
            </w:pPr>
          </w:p>
          <w:p w14:paraId="36BD044A" w14:textId="77777777" w:rsidR="00514C0B" w:rsidRPr="00514C0B" w:rsidRDefault="00514C0B" w:rsidP="004900BB">
            <w:pPr>
              <w:jc w:val="center"/>
              <w:rPr>
                <w:rFonts w:cs="Arial"/>
              </w:rPr>
            </w:pPr>
            <w:r w:rsidRPr="00514C0B">
              <w:rPr>
                <w:rFonts w:cs="Arial"/>
              </w:rPr>
              <w:t>Maximum deferral 7 years</w:t>
            </w:r>
          </w:p>
        </w:tc>
        <w:tc>
          <w:tcPr>
            <w:tcW w:w="1671" w:type="dxa"/>
            <w:vAlign w:val="center"/>
          </w:tcPr>
          <w:p w14:paraId="0C5A4C39" w14:textId="77777777" w:rsidR="00514C0B" w:rsidRPr="00514C0B" w:rsidRDefault="00514C0B" w:rsidP="004900BB">
            <w:pPr>
              <w:jc w:val="center"/>
              <w:rPr>
                <w:rFonts w:cs="Arial"/>
              </w:rPr>
            </w:pPr>
            <w:r w:rsidRPr="00514C0B">
              <w:rPr>
                <w:rFonts w:cs="Arial"/>
              </w:rPr>
              <w:t>Can elect to be taxed at grant or at a deferred taxing point</w:t>
            </w:r>
          </w:p>
          <w:p w14:paraId="7F2AE92A" w14:textId="77777777" w:rsidR="00514C0B" w:rsidRPr="00514C0B" w:rsidRDefault="00514C0B" w:rsidP="004900BB">
            <w:pPr>
              <w:jc w:val="center"/>
              <w:rPr>
                <w:rFonts w:cs="Arial"/>
              </w:rPr>
            </w:pPr>
          </w:p>
          <w:p w14:paraId="2C3FF4E2" w14:textId="77777777" w:rsidR="00514C0B" w:rsidRPr="00514C0B" w:rsidRDefault="00514C0B" w:rsidP="004900BB">
            <w:pPr>
              <w:jc w:val="center"/>
              <w:rPr>
                <w:rFonts w:cs="Arial"/>
              </w:rPr>
            </w:pPr>
            <w:r w:rsidRPr="00514C0B">
              <w:rPr>
                <w:rFonts w:cs="Arial"/>
              </w:rPr>
              <w:t>Maximum deferral 7 years</w:t>
            </w:r>
          </w:p>
        </w:tc>
        <w:tc>
          <w:tcPr>
            <w:tcW w:w="1671" w:type="dxa"/>
            <w:vAlign w:val="center"/>
          </w:tcPr>
          <w:p w14:paraId="2CA2490F" w14:textId="77777777" w:rsidR="00514C0B" w:rsidRPr="00514C0B" w:rsidRDefault="00514C0B" w:rsidP="004900BB">
            <w:pPr>
              <w:jc w:val="center"/>
              <w:rPr>
                <w:rFonts w:cs="Arial"/>
              </w:rPr>
            </w:pPr>
            <w:r w:rsidRPr="00514C0B">
              <w:rPr>
                <w:rFonts w:cs="Arial"/>
              </w:rPr>
              <w:t>Can elect to be taxed at grant or at a deferred taxing point</w:t>
            </w:r>
          </w:p>
          <w:p w14:paraId="68D99ED0" w14:textId="77777777" w:rsidR="00514C0B" w:rsidRPr="00514C0B" w:rsidRDefault="00514C0B" w:rsidP="004900BB">
            <w:pPr>
              <w:jc w:val="center"/>
              <w:rPr>
                <w:rFonts w:cs="Arial"/>
              </w:rPr>
            </w:pPr>
          </w:p>
          <w:p w14:paraId="7FAE6DA5" w14:textId="77777777" w:rsidR="00514C0B" w:rsidRPr="00514C0B" w:rsidRDefault="00514C0B" w:rsidP="004900BB">
            <w:pPr>
              <w:jc w:val="center"/>
              <w:rPr>
                <w:rFonts w:cs="Arial"/>
              </w:rPr>
            </w:pPr>
            <w:r w:rsidRPr="00514C0B">
              <w:rPr>
                <w:rFonts w:cs="Arial"/>
              </w:rPr>
              <w:t>Maximum deferral 7 years</w:t>
            </w:r>
          </w:p>
        </w:tc>
        <w:tc>
          <w:tcPr>
            <w:tcW w:w="1671" w:type="dxa"/>
            <w:vAlign w:val="center"/>
          </w:tcPr>
          <w:p w14:paraId="61B15C35" w14:textId="77777777" w:rsidR="00514C0B" w:rsidRPr="00514C0B" w:rsidRDefault="00514C0B" w:rsidP="004900BB">
            <w:pPr>
              <w:jc w:val="center"/>
              <w:rPr>
                <w:rFonts w:cs="Arial"/>
              </w:rPr>
            </w:pPr>
            <w:r w:rsidRPr="00514C0B">
              <w:rPr>
                <w:rFonts w:cs="Arial"/>
              </w:rPr>
              <w:t>Can elect to be taxed at grant or at a deferred taxing point</w:t>
            </w:r>
          </w:p>
          <w:p w14:paraId="6C2B5476" w14:textId="77777777" w:rsidR="00514C0B" w:rsidRPr="00514C0B" w:rsidRDefault="00514C0B" w:rsidP="004900BB">
            <w:pPr>
              <w:jc w:val="center"/>
              <w:rPr>
                <w:rFonts w:cs="Arial"/>
              </w:rPr>
            </w:pPr>
          </w:p>
          <w:p w14:paraId="555432B2" w14:textId="77777777" w:rsidR="00514C0B" w:rsidRPr="00514C0B" w:rsidRDefault="00514C0B" w:rsidP="004900BB">
            <w:pPr>
              <w:jc w:val="center"/>
              <w:rPr>
                <w:rFonts w:cs="Arial"/>
              </w:rPr>
            </w:pPr>
            <w:r w:rsidRPr="00514C0B">
              <w:rPr>
                <w:rFonts w:cs="Arial"/>
              </w:rPr>
              <w:t>Maximum deferral 7 years</w:t>
            </w:r>
          </w:p>
        </w:tc>
        <w:tc>
          <w:tcPr>
            <w:tcW w:w="1671" w:type="dxa"/>
            <w:vAlign w:val="center"/>
          </w:tcPr>
          <w:p w14:paraId="1A29AC03" w14:textId="77777777" w:rsidR="00514C0B" w:rsidRPr="00514C0B" w:rsidRDefault="00514C0B" w:rsidP="004900BB">
            <w:pPr>
              <w:jc w:val="center"/>
              <w:rPr>
                <w:rFonts w:cs="Arial"/>
              </w:rPr>
            </w:pPr>
            <w:r w:rsidRPr="00514C0B">
              <w:rPr>
                <w:rFonts w:cs="Arial"/>
              </w:rPr>
              <w:t>Can elect to be taxed at grant or at a deferred taxing point</w:t>
            </w:r>
          </w:p>
          <w:p w14:paraId="4BB89E4B" w14:textId="77777777" w:rsidR="00514C0B" w:rsidRPr="00514C0B" w:rsidRDefault="00514C0B" w:rsidP="004900BB">
            <w:pPr>
              <w:jc w:val="center"/>
              <w:rPr>
                <w:rFonts w:cs="Arial"/>
              </w:rPr>
            </w:pPr>
          </w:p>
          <w:p w14:paraId="049D8DB9" w14:textId="77777777" w:rsidR="00514C0B" w:rsidRPr="00514C0B" w:rsidRDefault="00514C0B" w:rsidP="004900BB">
            <w:pPr>
              <w:jc w:val="center"/>
              <w:rPr>
                <w:rFonts w:cs="Arial"/>
              </w:rPr>
            </w:pPr>
            <w:r w:rsidRPr="00514C0B">
              <w:rPr>
                <w:rFonts w:cs="Arial"/>
              </w:rPr>
              <w:t>Maximum deferral 7 years</w:t>
            </w:r>
          </w:p>
        </w:tc>
        <w:tc>
          <w:tcPr>
            <w:tcW w:w="1671" w:type="dxa"/>
            <w:shd w:val="clear" w:color="auto" w:fill="FFFFFF" w:themeFill="background1"/>
            <w:vAlign w:val="center"/>
          </w:tcPr>
          <w:p w14:paraId="2B52A9F5" w14:textId="77777777" w:rsidR="00514C0B" w:rsidRPr="00514C0B" w:rsidRDefault="00514C0B" w:rsidP="004900BB">
            <w:pPr>
              <w:jc w:val="center"/>
              <w:rPr>
                <w:rFonts w:cs="Arial"/>
              </w:rPr>
            </w:pPr>
            <w:r w:rsidRPr="00514C0B">
              <w:rPr>
                <w:rFonts w:cs="Arial"/>
              </w:rPr>
              <w:t>No election available</w:t>
            </w:r>
          </w:p>
          <w:p w14:paraId="1D4ED4E0" w14:textId="77777777" w:rsidR="00514C0B" w:rsidRPr="00514C0B" w:rsidRDefault="00514C0B" w:rsidP="004900BB">
            <w:pPr>
              <w:jc w:val="center"/>
              <w:rPr>
                <w:rFonts w:cs="Arial"/>
              </w:rPr>
            </w:pPr>
          </w:p>
          <w:p w14:paraId="74496A0B" w14:textId="77777777" w:rsidR="00514C0B" w:rsidRPr="00514C0B" w:rsidRDefault="00514C0B" w:rsidP="004900BB">
            <w:pPr>
              <w:jc w:val="center"/>
              <w:rPr>
                <w:rFonts w:cs="Arial"/>
              </w:rPr>
            </w:pPr>
            <w:r w:rsidRPr="00514C0B">
              <w:rPr>
                <w:rFonts w:cs="Arial"/>
              </w:rPr>
              <w:t>Maximum deferral 15 years</w:t>
            </w:r>
          </w:p>
          <w:p w14:paraId="3F760B93" w14:textId="77777777" w:rsidR="00514C0B" w:rsidRPr="00514C0B" w:rsidRDefault="00514C0B" w:rsidP="004900BB">
            <w:pPr>
              <w:jc w:val="center"/>
              <w:rPr>
                <w:rFonts w:cs="Arial"/>
              </w:rPr>
            </w:pPr>
            <w:r w:rsidRPr="00514C0B">
              <w:rPr>
                <w:rFonts w:cs="Arial"/>
              </w:rPr>
              <w:t>WorkCover: N/A</w:t>
            </w:r>
          </w:p>
        </w:tc>
      </w:tr>
      <w:tr w:rsidR="00514C0B" w:rsidRPr="00514C0B" w14:paraId="495A9D34" w14:textId="77777777" w:rsidTr="00514C0B">
        <w:tc>
          <w:tcPr>
            <w:tcW w:w="6307" w:type="dxa"/>
          </w:tcPr>
          <w:p w14:paraId="5545A18E" w14:textId="77777777" w:rsidR="00514C0B" w:rsidRPr="00514C0B" w:rsidRDefault="00514C0B" w:rsidP="004900BB">
            <w:pPr>
              <w:rPr>
                <w:rFonts w:cs="Arial"/>
                <w:b/>
              </w:rPr>
            </w:pPr>
            <w:r w:rsidRPr="00514C0B">
              <w:rPr>
                <w:rFonts w:cs="Arial"/>
                <w:b/>
              </w:rPr>
              <w:t>Exempt organisations</w:t>
            </w:r>
          </w:p>
          <w:p w14:paraId="6B539907" w14:textId="77777777" w:rsidR="00514C0B" w:rsidRPr="00514C0B" w:rsidRDefault="00514C0B" w:rsidP="004900BB">
            <w:pPr>
              <w:rPr>
                <w:rFonts w:cs="Arial"/>
                <w:b/>
              </w:rPr>
            </w:pPr>
          </w:p>
          <w:p w14:paraId="01229696" w14:textId="77777777" w:rsidR="00514C0B" w:rsidRPr="00514C0B" w:rsidRDefault="00514C0B" w:rsidP="004900BB">
            <w:pPr>
              <w:rPr>
                <w:rFonts w:cs="Arial"/>
              </w:rPr>
            </w:pPr>
            <w:r w:rsidRPr="00514C0B">
              <w:rPr>
                <w:rFonts w:cs="Arial"/>
              </w:rPr>
              <w:t>Wages are generally exempt for PRT purposes if paid by organisations with the following characteristics:</w:t>
            </w:r>
          </w:p>
          <w:p w14:paraId="26F7A17B" w14:textId="77777777" w:rsidR="00514C0B" w:rsidRPr="00514C0B" w:rsidRDefault="00514C0B" w:rsidP="00514C0B">
            <w:pPr>
              <w:pStyle w:val="ListParagraph"/>
              <w:numPr>
                <w:ilvl w:val="0"/>
                <w:numId w:val="4"/>
              </w:numPr>
              <w:spacing w:after="0" w:line="240" w:lineRule="auto"/>
              <w:rPr>
                <w:rFonts w:cs="Arial"/>
              </w:rPr>
            </w:pPr>
            <w:r w:rsidRPr="00514C0B">
              <w:rPr>
                <w:rFonts w:cs="Arial"/>
              </w:rPr>
              <w:t>Public Benevolent Institution</w:t>
            </w:r>
          </w:p>
          <w:p w14:paraId="04FAACE0" w14:textId="77777777" w:rsidR="00514C0B" w:rsidRPr="00514C0B" w:rsidRDefault="00514C0B" w:rsidP="00514C0B">
            <w:pPr>
              <w:pStyle w:val="ListParagraph"/>
              <w:numPr>
                <w:ilvl w:val="0"/>
                <w:numId w:val="4"/>
              </w:numPr>
              <w:spacing w:after="0" w:line="240" w:lineRule="auto"/>
              <w:rPr>
                <w:rFonts w:cs="Arial"/>
              </w:rPr>
            </w:pPr>
            <w:r w:rsidRPr="00514C0B">
              <w:rPr>
                <w:rFonts w:cs="Arial"/>
              </w:rPr>
              <w:t>Religious</w:t>
            </w:r>
          </w:p>
          <w:p w14:paraId="1FC6CD67" w14:textId="77777777" w:rsidR="00514C0B" w:rsidRPr="00514C0B" w:rsidRDefault="00514C0B" w:rsidP="00514C0B">
            <w:pPr>
              <w:pStyle w:val="ListParagraph"/>
              <w:numPr>
                <w:ilvl w:val="0"/>
                <w:numId w:val="4"/>
              </w:numPr>
              <w:spacing w:after="0" w:line="240" w:lineRule="auto"/>
              <w:rPr>
                <w:rFonts w:cs="Arial"/>
              </w:rPr>
            </w:pPr>
            <w:r w:rsidRPr="00514C0B">
              <w:rPr>
                <w:rFonts w:cs="Arial"/>
              </w:rPr>
              <w:t>Charitable</w:t>
            </w:r>
          </w:p>
          <w:p w14:paraId="28C2B735" w14:textId="77777777" w:rsidR="00514C0B" w:rsidRPr="00514C0B" w:rsidRDefault="00514C0B" w:rsidP="00514C0B">
            <w:pPr>
              <w:pStyle w:val="ListParagraph"/>
              <w:numPr>
                <w:ilvl w:val="0"/>
                <w:numId w:val="4"/>
              </w:numPr>
              <w:spacing w:after="0" w:line="240" w:lineRule="auto"/>
              <w:rPr>
                <w:rFonts w:cs="Arial"/>
              </w:rPr>
            </w:pPr>
            <w:r w:rsidRPr="00514C0B">
              <w:rPr>
                <w:rFonts w:cs="Arial"/>
              </w:rPr>
              <w:t>Public hospitals</w:t>
            </w:r>
          </w:p>
        </w:tc>
        <w:tc>
          <w:tcPr>
            <w:tcW w:w="1670" w:type="dxa"/>
          </w:tcPr>
          <w:p w14:paraId="50FB32B9" w14:textId="77777777" w:rsidR="00514C0B" w:rsidRPr="00514C0B" w:rsidRDefault="00514C0B" w:rsidP="004900BB">
            <w:pPr>
              <w:jc w:val="center"/>
              <w:rPr>
                <w:rFonts w:cs="Arial"/>
              </w:rPr>
            </w:pPr>
            <w:r w:rsidRPr="00514C0B">
              <w:rPr>
                <w:rFonts w:cs="Arial"/>
              </w:rPr>
              <w:t>The following organisations are specifically not exempt:</w:t>
            </w:r>
          </w:p>
          <w:p w14:paraId="4FD5C9D2" w14:textId="77777777" w:rsidR="00514C0B" w:rsidRPr="00514C0B" w:rsidRDefault="00514C0B" w:rsidP="004900BB">
            <w:pPr>
              <w:jc w:val="center"/>
              <w:rPr>
                <w:rFonts w:cs="Arial"/>
              </w:rPr>
            </w:pPr>
          </w:p>
          <w:p w14:paraId="57AC60F1" w14:textId="77777777" w:rsidR="00514C0B" w:rsidRPr="00514C0B" w:rsidRDefault="00514C0B" w:rsidP="004900BB">
            <w:pPr>
              <w:jc w:val="center"/>
              <w:rPr>
                <w:rFonts w:cs="Arial"/>
              </w:rPr>
            </w:pPr>
            <w:r w:rsidRPr="00514C0B">
              <w:rPr>
                <w:rFonts w:cs="Arial"/>
              </w:rPr>
              <w:t>- charitable organisations with an educational purpose (above secondary level)</w:t>
            </w:r>
          </w:p>
        </w:tc>
        <w:tc>
          <w:tcPr>
            <w:tcW w:w="1671" w:type="dxa"/>
          </w:tcPr>
          <w:p w14:paraId="0B0FEDB9" w14:textId="77777777" w:rsidR="00514C0B" w:rsidRPr="00514C0B" w:rsidRDefault="00514C0B" w:rsidP="004900BB">
            <w:pPr>
              <w:jc w:val="center"/>
              <w:rPr>
                <w:rFonts w:cs="Arial"/>
              </w:rPr>
            </w:pPr>
            <w:r w:rsidRPr="00514C0B">
              <w:rPr>
                <w:rFonts w:cs="Arial"/>
              </w:rPr>
              <w:t>The following organisations are specifically not exempt:</w:t>
            </w:r>
          </w:p>
          <w:p w14:paraId="7D1F8275" w14:textId="77777777" w:rsidR="00514C0B" w:rsidRPr="00514C0B" w:rsidRDefault="00514C0B" w:rsidP="004900BB">
            <w:pPr>
              <w:jc w:val="center"/>
              <w:rPr>
                <w:rFonts w:cs="Arial"/>
              </w:rPr>
            </w:pPr>
          </w:p>
          <w:p w14:paraId="3CDCC1CF" w14:textId="77777777" w:rsidR="00514C0B" w:rsidRPr="00514C0B" w:rsidRDefault="00514C0B" w:rsidP="004900BB">
            <w:pPr>
              <w:jc w:val="center"/>
              <w:rPr>
                <w:rFonts w:cs="Arial"/>
              </w:rPr>
            </w:pPr>
            <w:r w:rsidRPr="00514C0B">
              <w:rPr>
                <w:rFonts w:cs="Arial"/>
              </w:rPr>
              <w:t>- certain schools</w:t>
            </w:r>
          </w:p>
          <w:p w14:paraId="7C03ED0D" w14:textId="77777777" w:rsidR="00514C0B" w:rsidRPr="00514C0B" w:rsidRDefault="00514C0B" w:rsidP="004900BB">
            <w:pPr>
              <w:jc w:val="center"/>
              <w:rPr>
                <w:rFonts w:cs="Arial"/>
              </w:rPr>
            </w:pPr>
          </w:p>
          <w:p w14:paraId="3DA9F72C" w14:textId="77777777" w:rsidR="00514C0B" w:rsidRPr="00514C0B" w:rsidRDefault="00514C0B" w:rsidP="004900BB">
            <w:pPr>
              <w:jc w:val="center"/>
              <w:rPr>
                <w:rFonts w:cs="Arial"/>
              </w:rPr>
            </w:pPr>
            <w:r w:rsidRPr="00514C0B">
              <w:rPr>
                <w:rFonts w:cs="Arial"/>
              </w:rPr>
              <w:t>- educational institutions (above secondary level)</w:t>
            </w:r>
          </w:p>
          <w:p w14:paraId="3C7C18BE" w14:textId="77777777" w:rsidR="00514C0B" w:rsidRPr="00514C0B" w:rsidRDefault="00514C0B" w:rsidP="004900BB">
            <w:pPr>
              <w:jc w:val="center"/>
              <w:rPr>
                <w:rFonts w:cs="Arial"/>
              </w:rPr>
            </w:pPr>
          </w:p>
          <w:p w14:paraId="7FCE0EFB" w14:textId="77777777" w:rsidR="00514C0B" w:rsidRPr="00514C0B" w:rsidRDefault="00514C0B" w:rsidP="004900BB">
            <w:pPr>
              <w:jc w:val="center"/>
              <w:rPr>
                <w:rFonts w:cs="Arial"/>
                <w:highlight w:val="yellow"/>
              </w:rPr>
            </w:pPr>
            <w:r w:rsidRPr="00514C0B">
              <w:rPr>
                <w:rFonts w:cs="Arial"/>
              </w:rPr>
              <w:t>- educational companies (above secondary level)</w:t>
            </w:r>
          </w:p>
          <w:p w14:paraId="1F21AAD9" w14:textId="77777777" w:rsidR="00514C0B" w:rsidRPr="00514C0B" w:rsidRDefault="00514C0B" w:rsidP="004900BB">
            <w:pPr>
              <w:jc w:val="center"/>
              <w:rPr>
                <w:rFonts w:cs="Arial"/>
              </w:rPr>
            </w:pPr>
          </w:p>
          <w:p w14:paraId="69A3FD74" w14:textId="77777777" w:rsidR="00514C0B" w:rsidRPr="00514C0B" w:rsidRDefault="00514C0B" w:rsidP="004900BB">
            <w:pPr>
              <w:jc w:val="center"/>
              <w:rPr>
                <w:rFonts w:cs="Arial"/>
                <w:highlight w:val="yellow"/>
              </w:rPr>
            </w:pPr>
            <w:r w:rsidRPr="00514C0B">
              <w:rPr>
                <w:rFonts w:cs="Arial"/>
              </w:rPr>
              <w:t>- an instrumentality of the State</w:t>
            </w:r>
          </w:p>
        </w:tc>
        <w:tc>
          <w:tcPr>
            <w:tcW w:w="1671" w:type="dxa"/>
          </w:tcPr>
          <w:p w14:paraId="533F34F0" w14:textId="77777777" w:rsidR="00514C0B" w:rsidRPr="00514C0B" w:rsidRDefault="00514C0B" w:rsidP="004900BB">
            <w:pPr>
              <w:jc w:val="center"/>
              <w:rPr>
                <w:rFonts w:cs="Arial"/>
              </w:rPr>
            </w:pPr>
            <w:r w:rsidRPr="00514C0B">
              <w:rPr>
                <w:rFonts w:cs="Arial"/>
              </w:rPr>
              <w:t>The following organisations are specifically not exempt:</w:t>
            </w:r>
          </w:p>
          <w:p w14:paraId="3ADEC74F" w14:textId="77777777" w:rsidR="00514C0B" w:rsidRPr="00514C0B" w:rsidRDefault="00514C0B" w:rsidP="004900BB">
            <w:pPr>
              <w:jc w:val="center"/>
              <w:rPr>
                <w:rFonts w:cs="Arial"/>
              </w:rPr>
            </w:pPr>
          </w:p>
          <w:p w14:paraId="0F90FFAA" w14:textId="77777777" w:rsidR="00514C0B" w:rsidRPr="00514C0B" w:rsidRDefault="00514C0B" w:rsidP="004900BB">
            <w:pPr>
              <w:jc w:val="center"/>
            </w:pPr>
            <w:r w:rsidRPr="00514C0B">
              <w:rPr>
                <w:rFonts w:cs="Arial"/>
              </w:rPr>
              <w:t>- entities who pay wages to employees engaged in commercial or business activities</w:t>
            </w:r>
          </w:p>
        </w:tc>
        <w:tc>
          <w:tcPr>
            <w:tcW w:w="1671" w:type="dxa"/>
          </w:tcPr>
          <w:p w14:paraId="48ACC7B1" w14:textId="77777777" w:rsidR="00514C0B" w:rsidRPr="00514C0B" w:rsidRDefault="00514C0B" w:rsidP="004900BB">
            <w:pPr>
              <w:jc w:val="center"/>
              <w:rPr>
                <w:rFonts w:cs="Arial"/>
              </w:rPr>
            </w:pPr>
            <w:r w:rsidRPr="00514C0B">
              <w:rPr>
                <w:rFonts w:cs="Arial"/>
              </w:rPr>
              <w:t>The following organisations are specifically not exempt:</w:t>
            </w:r>
          </w:p>
          <w:p w14:paraId="2775AE37" w14:textId="77777777" w:rsidR="00514C0B" w:rsidRPr="00514C0B" w:rsidRDefault="00514C0B" w:rsidP="004900BB">
            <w:pPr>
              <w:jc w:val="center"/>
              <w:rPr>
                <w:rFonts w:cs="Arial"/>
              </w:rPr>
            </w:pPr>
          </w:p>
          <w:p w14:paraId="68A93072" w14:textId="77777777" w:rsidR="00514C0B" w:rsidRPr="00514C0B" w:rsidRDefault="00514C0B" w:rsidP="004900BB">
            <w:pPr>
              <w:jc w:val="center"/>
              <w:rPr>
                <w:rFonts w:cs="Arial"/>
                <w:highlight w:val="yellow"/>
              </w:rPr>
            </w:pPr>
            <w:r w:rsidRPr="00514C0B">
              <w:rPr>
                <w:rFonts w:cs="Arial"/>
              </w:rPr>
              <w:t>- tertiary education providers</w:t>
            </w:r>
          </w:p>
        </w:tc>
        <w:tc>
          <w:tcPr>
            <w:tcW w:w="1671" w:type="dxa"/>
          </w:tcPr>
          <w:p w14:paraId="3DB475A8" w14:textId="77777777" w:rsidR="00514C0B" w:rsidRPr="00514C0B" w:rsidRDefault="00514C0B" w:rsidP="004900BB">
            <w:pPr>
              <w:jc w:val="center"/>
              <w:rPr>
                <w:rFonts w:cs="Arial"/>
              </w:rPr>
            </w:pPr>
            <w:r w:rsidRPr="00514C0B">
              <w:rPr>
                <w:rFonts w:cs="Arial"/>
              </w:rPr>
              <w:t>Wages paid by some kindergartens, child care centres and film production companies are exempt subject to conditions.</w:t>
            </w:r>
          </w:p>
          <w:p w14:paraId="4F128B9E" w14:textId="77777777" w:rsidR="00514C0B" w:rsidRPr="00514C0B" w:rsidRDefault="00514C0B" w:rsidP="004900BB">
            <w:pPr>
              <w:jc w:val="center"/>
              <w:rPr>
                <w:rFonts w:cs="Arial"/>
              </w:rPr>
            </w:pPr>
          </w:p>
          <w:p w14:paraId="15830138" w14:textId="77777777" w:rsidR="00514C0B" w:rsidRPr="00514C0B" w:rsidRDefault="00514C0B" w:rsidP="004900BB">
            <w:pPr>
              <w:jc w:val="center"/>
              <w:rPr>
                <w:rFonts w:cs="Arial"/>
              </w:rPr>
            </w:pPr>
            <w:r w:rsidRPr="00514C0B">
              <w:rPr>
                <w:rFonts w:cs="Arial"/>
              </w:rPr>
              <w:t>The following organisations are specifically not exempt:</w:t>
            </w:r>
          </w:p>
          <w:p w14:paraId="5DD28C7F" w14:textId="77777777" w:rsidR="00514C0B" w:rsidRPr="00514C0B" w:rsidRDefault="00514C0B" w:rsidP="004900BB">
            <w:pPr>
              <w:rPr>
                <w:rFonts w:cs="Arial"/>
              </w:rPr>
            </w:pPr>
          </w:p>
          <w:p w14:paraId="7164C517" w14:textId="77777777" w:rsidR="00514C0B" w:rsidRPr="00514C0B" w:rsidRDefault="00514C0B" w:rsidP="004900BB">
            <w:pPr>
              <w:jc w:val="center"/>
              <w:rPr>
                <w:rFonts w:cs="Arial"/>
              </w:rPr>
            </w:pPr>
            <w:r w:rsidRPr="00514C0B">
              <w:rPr>
                <w:rFonts w:cs="Arial"/>
              </w:rPr>
              <w:t>- schools (for profit)</w:t>
            </w:r>
          </w:p>
          <w:p w14:paraId="41EA0535" w14:textId="77777777" w:rsidR="00514C0B" w:rsidRPr="00514C0B" w:rsidRDefault="00514C0B" w:rsidP="004900BB">
            <w:pPr>
              <w:jc w:val="center"/>
              <w:rPr>
                <w:rFonts w:cs="Arial"/>
              </w:rPr>
            </w:pPr>
          </w:p>
          <w:p w14:paraId="49D693DA" w14:textId="77777777" w:rsidR="00514C0B" w:rsidRPr="00514C0B" w:rsidRDefault="00514C0B" w:rsidP="004900BB">
            <w:pPr>
              <w:jc w:val="center"/>
              <w:rPr>
                <w:rFonts w:cs="Arial"/>
              </w:rPr>
            </w:pPr>
            <w:r w:rsidRPr="00514C0B">
              <w:rPr>
                <w:rFonts w:cs="Arial"/>
              </w:rPr>
              <w:t>- colleges (for profit)</w:t>
            </w:r>
          </w:p>
          <w:p w14:paraId="47F2E49E" w14:textId="77777777" w:rsidR="00514C0B" w:rsidRPr="00514C0B" w:rsidRDefault="00514C0B" w:rsidP="004900BB">
            <w:pPr>
              <w:jc w:val="center"/>
              <w:rPr>
                <w:rFonts w:cs="Arial"/>
              </w:rPr>
            </w:pPr>
          </w:p>
          <w:p w14:paraId="4C3953BF" w14:textId="77777777" w:rsidR="00514C0B" w:rsidRPr="00514C0B" w:rsidRDefault="00514C0B" w:rsidP="004900BB">
            <w:pPr>
              <w:jc w:val="center"/>
              <w:rPr>
                <w:rFonts w:cs="Arial"/>
              </w:rPr>
            </w:pPr>
            <w:r w:rsidRPr="00514C0B">
              <w:rPr>
                <w:rFonts w:cs="Arial"/>
              </w:rPr>
              <w:t>- educational institutions other than those affiliated with the University of Adelaide or Flinders University of SA</w:t>
            </w:r>
          </w:p>
          <w:p w14:paraId="4E4E91C4" w14:textId="77777777" w:rsidR="00514C0B" w:rsidRPr="00514C0B" w:rsidRDefault="00514C0B" w:rsidP="004900BB">
            <w:pPr>
              <w:jc w:val="center"/>
              <w:rPr>
                <w:rFonts w:cs="Arial"/>
              </w:rPr>
            </w:pPr>
          </w:p>
          <w:p w14:paraId="373ADBB4" w14:textId="77777777" w:rsidR="00514C0B" w:rsidRPr="00514C0B" w:rsidRDefault="00514C0B" w:rsidP="004900BB">
            <w:pPr>
              <w:jc w:val="center"/>
              <w:rPr>
                <w:rFonts w:cs="Arial"/>
              </w:rPr>
            </w:pPr>
            <w:r w:rsidRPr="00514C0B">
              <w:rPr>
                <w:rFonts w:cs="Arial"/>
              </w:rPr>
              <w:t>- educational companies (above secondary level)</w:t>
            </w:r>
          </w:p>
          <w:p w14:paraId="680B5783" w14:textId="77777777" w:rsidR="00514C0B" w:rsidRPr="00514C0B" w:rsidRDefault="00514C0B" w:rsidP="004900BB">
            <w:pPr>
              <w:jc w:val="center"/>
              <w:rPr>
                <w:rFonts w:cs="Arial"/>
              </w:rPr>
            </w:pPr>
          </w:p>
          <w:p w14:paraId="1629359A" w14:textId="77777777" w:rsidR="00514C0B" w:rsidRPr="00514C0B" w:rsidRDefault="00514C0B" w:rsidP="004900BB">
            <w:pPr>
              <w:jc w:val="center"/>
              <w:rPr>
                <w:rFonts w:cs="Arial"/>
              </w:rPr>
            </w:pPr>
            <w:r w:rsidRPr="00514C0B">
              <w:rPr>
                <w:rFonts w:cs="Arial"/>
              </w:rPr>
              <w:t>- an instrumentality of the State</w:t>
            </w:r>
          </w:p>
        </w:tc>
        <w:tc>
          <w:tcPr>
            <w:tcW w:w="1671" w:type="dxa"/>
          </w:tcPr>
          <w:p w14:paraId="45FA15D5" w14:textId="77777777" w:rsidR="00514C0B" w:rsidRPr="00514C0B" w:rsidRDefault="00514C0B" w:rsidP="004900BB">
            <w:pPr>
              <w:jc w:val="center"/>
              <w:rPr>
                <w:rFonts w:cs="Arial"/>
              </w:rPr>
            </w:pPr>
            <w:r w:rsidRPr="00514C0B">
              <w:rPr>
                <w:rFonts w:cs="Arial"/>
              </w:rPr>
              <w:t>The following organisations are specifically not exempt:</w:t>
            </w:r>
          </w:p>
          <w:p w14:paraId="262471C2" w14:textId="77777777" w:rsidR="00514C0B" w:rsidRPr="00514C0B" w:rsidRDefault="00514C0B" w:rsidP="004900BB">
            <w:pPr>
              <w:jc w:val="center"/>
              <w:rPr>
                <w:rFonts w:cs="Arial"/>
              </w:rPr>
            </w:pPr>
          </w:p>
          <w:p w14:paraId="5F2CF019" w14:textId="77777777" w:rsidR="00514C0B" w:rsidRPr="00514C0B" w:rsidRDefault="00514C0B" w:rsidP="004900BB">
            <w:pPr>
              <w:jc w:val="center"/>
              <w:rPr>
                <w:rFonts w:cs="Arial"/>
              </w:rPr>
            </w:pPr>
            <w:r w:rsidRPr="00514C0B">
              <w:rPr>
                <w:rFonts w:cs="Arial"/>
              </w:rPr>
              <w:t>- schools (save those who provide education at or below the secondary level (s49 &amp; Div 1, Part 3, Sched 2)</w:t>
            </w:r>
          </w:p>
          <w:p w14:paraId="5A03DA01" w14:textId="77777777" w:rsidR="00514C0B" w:rsidRPr="00514C0B" w:rsidRDefault="00514C0B" w:rsidP="004900BB">
            <w:pPr>
              <w:jc w:val="center"/>
              <w:rPr>
                <w:rFonts w:cs="Arial"/>
              </w:rPr>
            </w:pPr>
          </w:p>
          <w:p w14:paraId="60CF39EB" w14:textId="77777777" w:rsidR="00514C0B" w:rsidRPr="00514C0B" w:rsidRDefault="00514C0B" w:rsidP="004900BB">
            <w:pPr>
              <w:jc w:val="center"/>
              <w:rPr>
                <w:rFonts w:cs="Arial"/>
              </w:rPr>
            </w:pPr>
            <w:r w:rsidRPr="00514C0B">
              <w:rPr>
                <w:rFonts w:cs="Arial"/>
              </w:rPr>
              <w:t>- educational institutions (above secondary level)</w:t>
            </w:r>
          </w:p>
          <w:p w14:paraId="08EDD93F" w14:textId="77777777" w:rsidR="00514C0B" w:rsidRPr="00514C0B" w:rsidRDefault="00514C0B" w:rsidP="004900BB">
            <w:pPr>
              <w:jc w:val="center"/>
              <w:rPr>
                <w:rFonts w:cs="Arial"/>
              </w:rPr>
            </w:pPr>
          </w:p>
          <w:p w14:paraId="27B3F671" w14:textId="77777777" w:rsidR="00514C0B" w:rsidRPr="00514C0B" w:rsidRDefault="00514C0B" w:rsidP="004900BB">
            <w:pPr>
              <w:jc w:val="center"/>
              <w:rPr>
                <w:rFonts w:cs="Arial"/>
              </w:rPr>
            </w:pPr>
            <w:r w:rsidRPr="00514C0B">
              <w:rPr>
                <w:rFonts w:cs="Arial"/>
              </w:rPr>
              <w:t>- educational companies (above secondary level)</w:t>
            </w:r>
          </w:p>
          <w:p w14:paraId="3E021B80" w14:textId="77777777" w:rsidR="00514C0B" w:rsidRPr="00514C0B" w:rsidRDefault="00514C0B" w:rsidP="004900BB">
            <w:pPr>
              <w:jc w:val="center"/>
              <w:rPr>
                <w:rFonts w:cs="Arial"/>
              </w:rPr>
            </w:pPr>
          </w:p>
          <w:p w14:paraId="71E5DE28" w14:textId="77777777" w:rsidR="00514C0B" w:rsidRPr="00514C0B" w:rsidRDefault="00514C0B" w:rsidP="004900BB">
            <w:pPr>
              <w:jc w:val="center"/>
              <w:rPr>
                <w:rFonts w:cs="Arial"/>
              </w:rPr>
            </w:pPr>
            <w:r w:rsidRPr="00514C0B">
              <w:rPr>
                <w:rFonts w:cs="Arial"/>
              </w:rPr>
              <w:t>- an instrumentality of the State</w:t>
            </w:r>
          </w:p>
          <w:p w14:paraId="1A888A83" w14:textId="77777777" w:rsidR="00514C0B" w:rsidRPr="00514C0B" w:rsidRDefault="00514C0B" w:rsidP="004900BB">
            <w:pPr>
              <w:jc w:val="center"/>
              <w:rPr>
                <w:rFonts w:cs="Arial"/>
              </w:rPr>
            </w:pPr>
          </w:p>
          <w:p w14:paraId="03367F50" w14:textId="77777777" w:rsidR="00514C0B" w:rsidRPr="00514C0B" w:rsidRDefault="00514C0B" w:rsidP="004900BB">
            <w:pPr>
              <w:jc w:val="center"/>
              <w:rPr>
                <w:rFonts w:cs="Arial"/>
                <w:highlight w:val="yellow"/>
              </w:rPr>
            </w:pPr>
            <w:r w:rsidRPr="00514C0B">
              <w:rPr>
                <w:rFonts w:cs="Arial"/>
              </w:rPr>
              <w:t>- technical schools and colleges</w:t>
            </w:r>
          </w:p>
        </w:tc>
        <w:tc>
          <w:tcPr>
            <w:tcW w:w="1671" w:type="dxa"/>
          </w:tcPr>
          <w:p w14:paraId="5CBECA9F" w14:textId="77777777" w:rsidR="00514C0B" w:rsidRPr="00514C0B" w:rsidRDefault="00514C0B" w:rsidP="004900BB">
            <w:pPr>
              <w:jc w:val="center"/>
              <w:rPr>
                <w:rFonts w:cs="Arial"/>
              </w:rPr>
            </w:pPr>
            <w:r w:rsidRPr="00514C0B">
              <w:rPr>
                <w:rFonts w:cs="Arial"/>
              </w:rPr>
              <w:t>The following organisations are specifically not exempt:</w:t>
            </w:r>
          </w:p>
          <w:p w14:paraId="1E701633" w14:textId="77777777" w:rsidR="00514C0B" w:rsidRPr="00514C0B" w:rsidRDefault="00514C0B" w:rsidP="004900BB">
            <w:pPr>
              <w:jc w:val="center"/>
              <w:rPr>
                <w:rFonts w:cs="Arial"/>
              </w:rPr>
            </w:pPr>
          </w:p>
          <w:p w14:paraId="4D10643D" w14:textId="77777777" w:rsidR="00514C0B" w:rsidRPr="00514C0B" w:rsidRDefault="00514C0B" w:rsidP="004900BB">
            <w:pPr>
              <w:jc w:val="center"/>
              <w:rPr>
                <w:rFonts w:cs="Arial"/>
              </w:rPr>
            </w:pPr>
            <w:r w:rsidRPr="00514C0B">
              <w:rPr>
                <w:rFonts w:cs="Arial"/>
              </w:rPr>
              <w:t>- certain schools</w:t>
            </w:r>
          </w:p>
          <w:p w14:paraId="08E25D78" w14:textId="77777777" w:rsidR="00514C0B" w:rsidRPr="00514C0B" w:rsidRDefault="00514C0B" w:rsidP="004900BB">
            <w:pPr>
              <w:jc w:val="center"/>
              <w:rPr>
                <w:rFonts w:cs="Arial"/>
              </w:rPr>
            </w:pPr>
          </w:p>
          <w:p w14:paraId="6F2867E2" w14:textId="77777777" w:rsidR="00514C0B" w:rsidRPr="00514C0B" w:rsidRDefault="00514C0B" w:rsidP="004900BB">
            <w:pPr>
              <w:jc w:val="center"/>
              <w:rPr>
                <w:rFonts w:cs="Arial"/>
              </w:rPr>
            </w:pPr>
            <w:r w:rsidRPr="00514C0B">
              <w:rPr>
                <w:rFonts w:cs="Arial"/>
              </w:rPr>
              <w:t>- educational institutions (above secondary level)</w:t>
            </w:r>
          </w:p>
          <w:p w14:paraId="7C263824" w14:textId="77777777" w:rsidR="00514C0B" w:rsidRPr="00514C0B" w:rsidRDefault="00514C0B" w:rsidP="004900BB">
            <w:pPr>
              <w:jc w:val="center"/>
              <w:rPr>
                <w:rFonts w:cs="Arial"/>
              </w:rPr>
            </w:pPr>
          </w:p>
          <w:p w14:paraId="6144C4C6" w14:textId="77777777" w:rsidR="00514C0B" w:rsidRPr="00514C0B" w:rsidRDefault="00514C0B" w:rsidP="004900BB">
            <w:pPr>
              <w:jc w:val="center"/>
              <w:rPr>
                <w:rFonts w:cs="Arial"/>
                <w:highlight w:val="yellow"/>
              </w:rPr>
            </w:pPr>
            <w:r w:rsidRPr="00514C0B">
              <w:rPr>
                <w:rFonts w:cs="Arial"/>
              </w:rPr>
              <w:t>- educational companies (above secondary level)</w:t>
            </w:r>
          </w:p>
          <w:p w14:paraId="263DB7F9" w14:textId="77777777" w:rsidR="00514C0B" w:rsidRPr="00514C0B" w:rsidRDefault="00514C0B" w:rsidP="004900BB">
            <w:pPr>
              <w:jc w:val="center"/>
              <w:rPr>
                <w:rFonts w:cs="Arial"/>
              </w:rPr>
            </w:pPr>
          </w:p>
          <w:p w14:paraId="28C78F58" w14:textId="77777777" w:rsidR="00514C0B" w:rsidRPr="00514C0B" w:rsidRDefault="00514C0B" w:rsidP="004900BB">
            <w:pPr>
              <w:jc w:val="center"/>
              <w:rPr>
                <w:rFonts w:cs="Arial"/>
                <w:highlight w:val="yellow"/>
              </w:rPr>
            </w:pPr>
            <w:r w:rsidRPr="00514C0B">
              <w:rPr>
                <w:rFonts w:cs="Arial"/>
              </w:rPr>
              <w:t>- an instrumentality of the State</w:t>
            </w:r>
          </w:p>
        </w:tc>
        <w:tc>
          <w:tcPr>
            <w:tcW w:w="1671" w:type="dxa"/>
          </w:tcPr>
          <w:p w14:paraId="0AD2EC2D" w14:textId="77777777" w:rsidR="00514C0B" w:rsidRPr="00514C0B" w:rsidRDefault="00514C0B" w:rsidP="004900BB">
            <w:pPr>
              <w:jc w:val="center"/>
            </w:pPr>
            <w:r w:rsidRPr="00514C0B">
              <w:t>The following organisations are specifically not exempt:</w:t>
            </w:r>
          </w:p>
          <w:p w14:paraId="58BB3F95" w14:textId="77777777" w:rsidR="00514C0B" w:rsidRPr="00514C0B" w:rsidRDefault="00514C0B" w:rsidP="004900BB">
            <w:pPr>
              <w:jc w:val="center"/>
            </w:pPr>
          </w:p>
          <w:p w14:paraId="22830AAD" w14:textId="77777777" w:rsidR="00514C0B" w:rsidRPr="00514C0B" w:rsidRDefault="00514C0B" w:rsidP="004900BB">
            <w:pPr>
              <w:jc w:val="center"/>
            </w:pPr>
            <w:r w:rsidRPr="00514C0B">
              <w:t>- tertiary education providers;</w:t>
            </w:r>
          </w:p>
          <w:p w14:paraId="183D56A2" w14:textId="77777777" w:rsidR="00514C0B" w:rsidRPr="00514C0B" w:rsidRDefault="00514C0B" w:rsidP="004900BB">
            <w:pPr>
              <w:jc w:val="center"/>
            </w:pPr>
          </w:p>
          <w:p w14:paraId="043138C8" w14:textId="77777777" w:rsidR="00514C0B" w:rsidRPr="00514C0B" w:rsidRDefault="00514C0B" w:rsidP="004900BB">
            <w:pPr>
              <w:jc w:val="center"/>
              <w:rPr>
                <w:rFonts w:cs="Arial"/>
                <w:i/>
              </w:rPr>
            </w:pPr>
            <w:r w:rsidRPr="00514C0B">
              <w:rPr>
                <w:rFonts w:cs="Arial"/>
              </w:rPr>
              <w:t xml:space="preserve">-, which is,  a professional association a  college or other vocational education and training institution under the </w:t>
            </w:r>
            <w:r w:rsidRPr="00514C0B">
              <w:rPr>
                <w:rFonts w:cs="Arial"/>
                <w:i/>
              </w:rPr>
              <w:t>Vocational Education and Training Act 1996;</w:t>
            </w:r>
          </w:p>
          <w:p w14:paraId="6F5BFF69" w14:textId="77777777" w:rsidR="00514C0B" w:rsidRPr="00514C0B" w:rsidRDefault="00514C0B" w:rsidP="004900BB">
            <w:pPr>
              <w:jc w:val="center"/>
              <w:rPr>
                <w:rFonts w:cs="Arial"/>
              </w:rPr>
            </w:pPr>
            <w:r w:rsidRPr="00514C0B">
              <w:rPr>
                <w:i/>
              </w:rPr>
              <w:t xml:space="preserve">- </w:t>
            </w:r>
            <w:r w:rsidRPr="00514C0B">
              <w:rPr>
                <w:rFonts w:cs="Arial"/>
              </w:rPr>
              <w:t>a charitable organisation that is a relevant body *, political party, an industrial association or a 4</w:t>
            </w:r>
            <w:r w:rsidRPr="00514C0B">
              <w:rPr>
                <w:rFonts w:cs="Arial"/>
                <w:vertAlign w:val="superscript"/>
              </w:rPr>
              <w:t>th</w:t>
            </w:r>
            <w:r w:rsidRPr="00514C0B">
              <w:rPr>
                <w:rFonts w:cs="Arial"/>
              </w:rPr>
              <w:t xml:space="preserve"> limb charity* that has as a purpose the promotion of trade, industry or commerce.</w:t>
            </w:r>
          </w:p>
          <w:p w14:paraId="3762462C" w14:textId="77777777" w:rsidR="00514C0B" w:rsidRPr="00514C0B" w:rsidRDefault="00514C0B" w:rsidP="004900BB">
            <w:pPr>
              <w:jc w:val="center"/>
              <w:rPr>
                <w:rFonts w:cs="Arial"/>
              </w:rPr>
            </w:pPr>
            <w:r w:rsidRPr="00514C0B">
              <w:rPr>
                <w:rFonts w:cs="Arial"/>
              </w:rPr>
              <w:t>*the Minister has the power to reinstate the exemption.</w:t>
            </w:r>
          </w:p>
          <w:p w14:paraId="502AD688" w14:textId="77777777" w:rsidR="00514C0B" w:rsidRPr="00514C0B" w:rsidRDefault="00514C0B" w:rsidP="00514C0B">
            <w:pPr>
              <w:jc w:val="center"/>
            </w:pPr>
            <w:r w:rsidRPr="00514C0B">
              <w:rPr>
                <w:rFonts w:cs="Arial"/>
              </w:rPr>
              <w:t xml:space="preserve">- wages paid by </w:t>
            </w:r>
            <w:r w:rsidRPr="00514C0B">
              <w:rPr>
                <w:rFonts w:cs="Arial"/>
              </w:rPr>
              <w:lastRenderedPageBreak/>
              <w:t>a Health Service Provider in connection</w:t>
            </w:r>
            <w:r w:rsidRPr="00514C0B">
              <w:t xml:space="preserve"> with a commercial </w:t>
            </w:r>
            <w:r w:rsidRPr="00514C0B">
              <w:rPr>
                <w:rFonts w:cs="Arial"/>
              </w:rPr>
              <w:t>activity</w:t>
            </w:r>
            <w:r w:rsidRPr="00514C0B">
              <w:t xml:space="preserve"> as </w:t>
            </w:r>
            <w:r w:rsidRPr="00514C0B">
              <w:rPr>
                <w:rFonts w:cs="Arial"/>
              </w:rPr>
              <w:t>set out</w:t>
            </w:r>
            <w:r w:rsidRPr="00514C0B">
              <w:t xml:space="preserve"> in </w:t>
            </w:r>
            <w:r w:rsidRPr="00514C0B">
              <w:rPr>
                <w:rFonts w:cs="Arial"/>
              </w:rPr>
              <w:t xml:space="preserve">section 35 of </w:t>
            </w:r>
            <w:r w:rsidRPr="00514C0B">
              <w:t xml:space="preserve">the </w:t>
            </w:r>
            <w:r w:rsidRPr="00514C0B">
              <w:rPr>
                <w:i/>
              </w:rPr>
              <w:t>Health Services Act 2016</w:t>
            </w:r>
          </w:p>
        </w:tc>
        <w:tc>
          <w:tcPr>
            <w:tcW w:w="1671" w:type="dxa"/>
          </w:tcPr>
          <w:p w14:paraId="1675035D" w14:textId="77777777" w:rsidR="00514C0B" w:rsidRPr="00514C0B" w:rsidRDefault="00514C0B" w:rsidP="004900BB">
            <w:pPr>
              <w:jc w:val="center"/>
              <w:rPr>
                <w:rFonts w:cs="Arial"/>
              </w:rPr>
            </w:pPr>
            <w:r w:rsidRPr="00514C0B">
              <w:rPr>
                <w:rFonts w:cs="Arial"/>
              </w:rPr>
              <w:lastRenderedPageBreak/>
              <w:t>ATO: NCAC registration</w:t>
            </w:r>
          </w:p>
          <w:p w14:paraId="220EC61A" w14:textId="77777777" w:rsidR="00514C0B" w:rsidRPr="00514C0B" w:rsidRDefault="00514C0B" w:rsidP="004900BB">
            <w:pPr>
              <w:jc w:val="center"/>
              <w:rPr>
                <w:rFonts w:cs="Arial"/>
              </w:rPr>
            </w:pPr>
          </w:p>
          <w:p w14:paraId="2BD29994" w14:textId="77777777" w:rsidR="00514C0B" w:rsidRPr="00514C0B" w:rsidRDefault="00514C0B" w:rsidP="004900BB">
            <w:pPr>
              <w:jc w:val="center"/>
              <w:rPr>
                <w:rFonts w:cs="Arial"/>
              </w:rPr>
            </w:pPr>
            <w:r w:rsidRPr="00514C0B">
              <w:rPr>
                <w:rFonts w:cs="Arial"/>
              </w:rPr>
              <w:t>WorkCover: N/A</w:t>
            </w:r>
          </w:p>
        </w:tc>
      </w:tr>
      <w:tr w:rsidR="00514C0B" w:rsidRPr="00514C0B" w14:paraId="24A5DFA7" w14:textId="77777777" w:rsidTr="00514C0B">
        <w:trPr>
          <w:trHeight w:val="7007"/>
        </w:trPr>
        <w:tc>
          <w:tcPr>
            <w:tcW w:w="6307" w:type="dxa"/>
          </w:tcPr>
          <w:p w14:paraId="344DB6F2" w14:textId="77777777" w:rsidR="00514C0B" w:rsidRPr="00514C0B" w:rsidRDefault="00514C0B" w:rsidP="004900BB">
            <w:pPr>
              <w:rPr>
                <w:rFonts w:cs="Arial"/>
                <w:b/>
              </w:rPr>
            </w:pPr>
            <w:r w:rsidRPr="00514C0B">
              <w:rPr>
                <w:rFonts w:cs="Arial"/>
                <w:b/>
              </w:rPr>
              <w:lastRenderedPageBreak/>
              <w:t>Fringe Benefits Tax</w:t>
            </w:r>
          </w:p>
          <w:p w14:paraId="247040B3" w14:textId="77777777" w:rsidR="00514C0B" w:rsidRPr="00514C0B" w:rsidRDefault="00514C0B" w:rsidP="004900BB">
            <w:pPr>
              <w:rPr>
                <w:rFonts w:cs="Arial"/>
                <w:b/>
              </w:rPr>
            </w:pPr>
          </w:p>
          <w:p w14:paraId="016EE441" w14:textId="77777777" w:rsidR="00514C0B" w:rsidRPr="00514C0B" w:rsidRDefault="00514C0B" w:rsidP="004900BB">
            <w:pPr>
              <w:rPr>
                <w:rFonts w:cs="Arial"/>
              </w:rPr>
            </w:pPr>
            <w:r w:rsidRPr="00514C0B">
              <w:rPr>
                <w:rFonts w:cs="Arial"/>
              </w:rPr>
              <w:t>Taxability of Fringe Benefits is generally determined in accordance with the Fringe Benefits Tax Assessment Act 1986 (Cth) grossed-up using the Type 2 rate of 1.9608.</w:t>
            </w:r>
          </w:p>
          <w:p w14:paraId="16374132" w14:textId="77777777" w:rsidR="00514C0B" w:rsidRPr="00514C0B" w:rsidRDefault="00514C0B" w:rsidP="004900BB">
            <w:pPr>
              <w:rPr>
                <w:rFonts w:cs="Arial"/>
              </w:rPr>
            </w:pPr>
          </w:p>
          <w:p w14:paraId="60CCDBC0" w14:textId="77777777" w:rsidR="00514C0B" w:rsidRPr="00514C0B" w:rsidRDefault="00514C0B" w:rsidP="004900BB">
            <w:pPr>
              <w:rPr>
                <w:rFonts w:cs="Arial"/>
              </w:rPr>
            </w:pPr>
            <w:r w:rsidRPr="00514C0B">
              <w:rPr>
                <w:rFonts w:cs="Arial"/>
              </w:rPr>
              <w:t>Although exempt for FBT purposes under the Fringe Benefits Tax Assessment Act 1986, deposits under the Small Superannuation Accounts Act 1995 are not exempt for PRT purposes.</w:t>
            </w:r>
          </w:p>
        </w:tc>
        <w:tc>
          <w:tcPr>
            <w:tcW w:w="1670" w:type="dxa"/>
          </w:tcPr>
          <w:p w14:paraId="2E17501F" w14:textId="77777777" w:rsidR="00514C0B" w:rsidRPr="00514C0B" w:rsidRDefault="00514C0B" w:rsidP="004900BB">
            <w:pPr>
              <w:jc w:val="center"/>
              <w:rPr>
                <w:rFonts w:cs="Arial"/>
              </w:rPr>
            </w:pPr>
            <w:r w:rsidRPr="00514C0B">
              <w:rPr>
                <w:rFonts w:cs="Arial"/>
              </w:rPr>
              <w:t>Taxable unless a benefit is:</w:t>
            </w:r>
          </w:p>
          <w:p w14:paraId="4F697EB1" w14:textId="77777777" w:rsidR="00514C0B" w:rsidRPr="00514C0B" w:rsidRDefault="00514C0B" w:rsidP="004900BB">
            <w:pPr>
              <w:jc w:val="center"/>
              <w:rPr>
                <w:rFonts w:cs="Arial"/>
              </w:rPr>
            </w:pPr>
          </w:p>
          <w:p w14:paraId="1D2E2671" w14:textId="77777777" w:rsidR="00514C0B" w:rsidRPr="00514C0B" w:rsidRDefault="00514C0B" w:rsidP="004900BB">
            <w:pPr>
              <w:jc w:val="center"/>
              <w:rPr>
                <w:rFonts w:cs="Arial"/>
              </w:rPr>
            </w:pPr>
            <w:r w:rsidRPr="00514C0B">
              <w:rPr>
                <w:rFonts w:cs="Arial"/>
              </w:rPr>
              <w:t>- exempt for FBT purposes;</w:t>
            </w:r>
          </w:p>
          <w:p w14:paraId="0E85843C" w14:textId="77777777" w:rsidR="00514C0B" w:rsidRPr="00514C0B" w:rsidRDefault="00514C0B" w:rsidP="004900BB">
            <w:pPr>
              <w:jc w:val="center"/>
              <w:rPr>
                <w:rFonts w:cs="Arial"/>
              </w:rPr>
            </w:pPr>
          </w:p>
          <w:p w14:paraId="332EBAB4" w14:textId="77777777" w:rsidR="00514C0B" w:rsidRPr="00514C0B" w:rsidRDefault="00514C0B" w:rsidP="004900BB">
            <w:pPr>
              <w:jc w:val="center"/>
              <w:rPr>
                <w:rFonts w:cs="Arial"/>
              </w:rPr>
            </w:pPr>
            <w:r w:rsidRPr="00514C0B">
              <w:rPr>
                <w:rFonts w:cs="Arial"/>
              </w:rPr>
              <w:t>- a tax-exempt body entertainment fringe benefit</w:t>
            </w:r>
          </w:p>
        </w:tc>
        <w:tc>
          <w:tcPr>
            <w:tcW w:w="1671" w:type="dxa"/>
          </w:tcPr>
          <w:p w14:paraId="22BD5B1E" w14:textId="77777777" w:rsidR="00514C0B" w:rsidRPr="00514C0B" w:rsidRDefault="00514C0B" w:rsidP="004900BB">
            <w:pPr>
              <w:jc w:val="center"/>
              <w:rPr>
                <w:rFonts w:cs="Arial"/>
              </w:rPr>
            </w:pPr>
            <w:r w:rsidRPr="00514C0B">
              <w:rPr>
                <w:rFonts w:cs="Arial"/>
              </w:rPr>
              <w:t>Taxable unless a benefit is:</w:t>
            </w:r>
          </w:p>
          <w:p w14:paraId="555D4B90" w14:textId="77777777" w:rsidR="00514C0B" w:rsidRPr="00514C0B" w:rsidRDefault="00514C0B" w:rsidP="004900BB">
            <w:pPr>
              <w:jc w:val="center"/>
              <w:rPr>
                <w:rFonts w:cs="Arial"/>
              </w:rPr>
            </w:pPr>
          </w:p>
          <w:p w14:paraId="7728BFF5" w14:textId="77777777" w:rsidR="00514C0B" w:rsidRPr="00514C0B" w:rsidRDefault="00514C0B" w:rsidP="004900BB">
            <w:pPr>
              <w:jc w:val="center"/>
              <w:rPr>
                <w:rFonts w:cs="Arial"/>
              </w:rPr>
            </w:pPr>
            <w:r w:rsidRPr="00514C0B">
              <w:rPr>
                <w:rFonts w:cs="Arial"/>
              </w:rPr>
              <w:t>- exempt for FBT purposes;</w:t>
            </w:r>
          </w:p>
          <w:p w14:paraId="71590260" w14:textId="77777777" w:rsidR="00514C0B" w:rsidRPr="00514C0B" w:rsidRDefault="00514C0B" w:rsidP="004900BB">
            <w:pPr>
              <w:jc w:val="center"/>
              <w:rPr>
                <w:rFonts w:cs="Arial"/>
              </w:rPr>
            </w:pPr>
          </w:p>
          <w:p w14:paraId="7EBD1E1F" w14:textId="77777777" w:rsidR="00514C0B" w:rsidRPr="00514C0B" w:rsidRDefault="00514C0B" w:rsidP="004900BB">
            <w:pPr>
              <w:jc w:val="center"/>
              <w:rPr>
                <w:rFonts w:cs="Arial"/>
              </w:rPr>
            </w:pPr>
            <w:r w:rsidRPr="00514C0B">
              <w:rPr>
                <w:rFonts w:cs="Arial"/>
              </w:rPr>
              <w:t>- a tax-exempt body entertainment fringe benefit</w:t>
            </w:r>
          </w:p>
        </w:tc>
        <w:tc>
          <w:tcPr>
            <w:tcW w:w="1671" w:type="dxa"/>
          </w:tcPr>
          <w:p w14:paraId="38399834" w14:textId="77777777" w:rsidR="00514C0B" w:rsidRPr="00514C0B" w:rsidRDefault="00514C0B" w:rsidP="004900BB">
            <w:pPr>
              <w:jc w:val="center"/>
              <w:rPr>
                <w:rFonts w:cs="Arial"/>
              </w:rPr>
            </w:pPr>
            <w:r w:rsidRPr="00514C0B">
              <w:rPr>
                <w:rFonts w:cs="Arial"/>
              </w:rPr>
              <w:t>Taxable unless a benefit is exempt for FBT purposes.</w:t>
            </w:r>
          </w:p>
        </w:tc>
        <w:tc>
          <w:tcPr>
            <w:tcW w:w="1671" w:type="dxa"/>
          </w:tcPr>
          <w:p w14:paraId="1490CFFF" w14:textId="77777777" w:rsidR="00514C0B" w:rsidRPr="00514C0B" w:rsidRDefault="00514C0B" w:rsidP="004900BB">
            <w:pPr>
              <w:jc w:val="center"/>
              <w:rPr>
                <w:rFonts w:cs="Arial"/>
              </w:rPr>
            </w:pPr>
            <w:r w:rsidRPr="00514C0B">
              <w:rPr>
                <w:rFonts w:cs="Arial"/>
              </w:rPr>
              <w:t>Taxable unless a benefit is:</w:t>
            </w:r>
          </w:p>
          <w:p w14:paraId="12881998" w14:textId="77777777" w:rsidR="00514C0B" w:rsidRPr="00514C0B" w:rsidRDefault="00514C0B" w:rsidP="004900BB">
            <w:pPr>
              <w:jc w:val="center"/>
              <w:rPr>
                <w:rFonts w:cs="Arial"/>
              </w:rPr>
            </w:pPr>
          </w:p>
          <w:p w14:paraId="0A4A994A" w14:textId="77777777" w:rsidR="00514C0B" w:rsidRPr="00514C0B" w:rsidRDefault="00514C0B" w:rsidP="004900BB">
            <w:pPr>
              <w:jc w:val="center"/>
              <w:rPr>
                <w:rFonts w:cs="Arial"/>
              </w:rPr>
            </w:pPr>
            <w:r w:rsidRPr="00514C0B">
              <w:rPr>
                <w:rFonts w:cs="Arial"/>
              </w:rPr>
              <w:t>- exempt for FBT purposes;</w:t>
            </w:r>
          </w:p>
          <w:p w14:paraId="6AE760C8" w14:textId="77777777" w:rsidR="00514C0B" w:rsidRPr="00514C0B" w:rsidRDefault="00514C0B" w:rsidP="004900BB">
            <w:pPr>
              <w:jc w:val="center"/>
              <w:rPr>
                <w:rFonts w:cs="Arial"/>
              </w:rPr>
            </w:pPr>
          </w:p>
          <w:p w14:paraId="4978BBA3" w14:textId="77777777" w:rsidR="00514C0B" w:rsidRPr="00514C0B" w:rsidRDefault="00514C0B" w:rsidP="004900BB">
            <w:pPr>
              <w:jc w:val="center"/>
              <w:rPr>
                <w:rFonts w:cs="Arial"/>
              </w:rPr>
            </w:pPr>
            <w:r w:rsidRPr="00514C0B">
              <w:rPr>
                <w:rFonts w:cs="Arial"/>
              </w:rPr>
              <w:t>- a car parking benefit that is not paid through a salary sacrifice arrangement;</w:t>
            </w:r>
          </w:p>
          <w:p w14:paraId="37C3341B" w14:textId="77777777" w:rsidR="00514C0B" w:rsidRPr="00514C0B" w:rsidRDefault="00514C0B" w:rsidP="004900BB">
            <w:pPr>
              <w:jc w:val="center"/>
              <w:rPr>
                <w:rFonts w:cs="Arial"/>
              </w:rPr>
            </w:pPr>
          </w:p>
          <w:p w14:paraId="56B2CC1F" w14:textId="77777777" w:rsidR="00514C0B" w:rsidRPr="00514C0B" w:rsidRDefault="00514C0B" w:rsidP="004900BB">
            <w:pPr>
              <w:jc w:val="center"/>
              <w:rPr>
                <w:rFonts w:cs="Arial"/>
              </w:rPr>
            </w:pPr>
            <w:r w:rsidRPr="00514C0B">
              <w:rPr>
                <w:rFonts w:cs="Arial"/>
              </w:rPr>
              <w:t>- a tax-exempt body entertainment fringe benefit</w:t>
            </w:r>
          </w:p>
          <w:p w14:paraId="244D92B6" w14:textId="77777777" w:rsidR="00514C0B" w:rsidRPr="00514C0B" w:rsidRDefault="00514C0B" w:rsidP="004900BB">
            <w:pPr>
              <w:jc w:val="center"/>
              <w:rPr>
                <w:rFonts w:cs="Arial"/>
              </w:rPr>
            </w:pPr>
          </w:p>
          <w:p w14:paraId="4F02149A" w14:textId="77777777" w:rsidR="00514C0B" w:rsidRPr="00514C0B" w:rsidRDefault="00514C0B" w:rsidP="004900BB">
            <w:pPr>
              <w:jc w:val="center"/>
              <w:rPr>
                <w:rFonts w:cs="Arial"/>
              </w:rPr>
            </w:pPr>
            <w:r w:rsidRPr="00514C0B">
              <w:rPr>
                <w:rFonts w:cs="Arial"/>
              </w:rPr>
              <w:t>- Employee salary-sacrificed superannuation contributions do not reduce the taxable value for PRT purposes</w:t>
            </w:r>
          </w:p>
        </w:tc>
        <w:tc>
          <w:tcPr>
            <w:tcW w:w="1671" w:type="dxa"/>
          </w:tcPr>
          <w:p w14:paraId="1DDD3289" w14:textId="77777777" w:rsidR="00514C0B" w:rsidRPr="00514C0B" w:rsidRDefault="00514C0B" w:rsidP="004900BB">
            <w:pPr>
              <w:jc w:val="center"/>
              <w:rPr>
                <w:rFonts w:cs="Arial"/>
              </w:rPr>
            </w:pPr>
            <w:r w:rsidRPr="00514C0B">
              <w:rPr>
                <w:rFonts w:cs="Arial"/>
              </w:rPr>
              <w:t>Taxable unless a benefit is:</w:t>
            </w:r>
          </w:p>
          <w:p w14:paraId="49E87C66" w14:textId="77777777" w:rsidR="00514C0B" w:rsidRPr="00514C0B" w:rsidRDefault="00514C0B" w:rsidP="004900BB">
            <w:pPr>
              <w:jc w:val="center"/>
              <w:rPr>
                <w:rFonts w:cs="Arial"/>
              </w:rPr>
            </w:pPr>
          </w:p>
          <w:p w14:paraId="76F92B98" w14:textId="77777777" w:rsidR="00514C0B" w:rsidRPr="00514C0B" w:rsidRDefault="00514C0B" w:rsidP="004900BB">
            <w:pPr>
              <w:jc w:val="center"/>
              <w:rPr>
                <w:rFonts w:cs="Arial"/>
              </w:rPr>
            </w:pPr>
            <w:r w:rsidRPr="00514C0B">
              <w:rPr>
                <w:rFonts w:cs="Arial"/>
              </w:rPr>
              <w:t>- exempt for FBT purposes;</w:t>
            </w:r>
          </w:p>
          <w:p w14:paraId="500A5E8E" w14:textId="77777777" w:rsidR="00514C0B" w:rsidRPr="00514C0B" w:rsidRDefault="00514C0B" w:rsidP="004900BB">
            <w:pPr>
              <w:jc w:val="center"/>
              <w:rPr>
                <w:rFonts w:cs="Arial"/>
              </w:rPr>
            </w:pPr>
          </w:p>
          <w:p w14:paraId="38DA3CA3" w14:textId="77777777" w:rsidR="00514C0B" w:rsidRPr="00514C0B" w:rsidRDefault="00514C0B" w:rsidP="004900BB">
            <w:pPr>
              <w:jc w:val="center"/>
              <w:rPr>
                <w:rFonts w:cs="Arial"/>
              </w:rPr>
            </w:pPr>
            <w:r w:rsidRPr="00514C0B">
              <w:rPr>
                <w:rFonts w:cs="Arial"/>
              </w:rPr>
              <w:t>- a tax-exempt body entertainment fringe benefit</w:t>
            </w:r>
          </w:p>
        </w:tc>
        <w:tc>
          <w:tcPr>
            <w:tcW w:w="1671" w:type="dxa"/>
          </w:tcPr>
          <w:p w14:paraId="275504E5" w14:textId="77777777" w:rsidR="00514C0B" w:rsidRPr="00514C0B" w:rsidRDefault="00514C0B" w:rsidP="004900BB">
            <w:pPr>
              <w:jc w:val="center"/>
              <w:rPr>
                <w:rFonts w:cs="Arial"/>
              </w:rPr>
            </w:pPr>
            <w:r w:rsidRPr="00514C0B">
              <w:rPr>
                <w:rFonts w:cs="Arial"/>
              </w:rPr>
              <w:t>Taxable unless a benefit is:</w:t>
            </w:r>
          </w:p>
          <w:p w14:paraId="03A98A34" w14:textId="77777777" w:rsidR="00514C0B" w:rsidRPr="00514C0B" w:rsidRDefault="00514C0B" w:rsidP="004900BB">
            <w:pPr>
              <w:jc w:val="center"/>
              <w:rPr>
                <w:rFonts w:cs="Arial"/>
              </w:rPr>
            </w:pPr>
          </w:p>
          <w:p w14:paraId="1A27AB89" w14:textId="77777777" w:rsidR="00514C0B" w:rsidRPr="00514C0B" w:rsidRDefault="00514C0B" w:rsidP="004900BB">
            <w:pPr>
              <w:jc w:val="center"/>
              <w:rPr>
                <w:rFonts w:cs="Arial"/>
              </w:rPr>
            </w:pPr>
            <w:r w:rsidRPr="00514C0B">
              <w:rPr>
                <w:rFonts w:cs="Arial"/>
              </w:rPr>
              <w:t>- exempt for FBT purposes;</w:t>
            </w:r>
          </w:p>
          <w:p w14:paraId="7EEC548C" w14:textId="77777777" w:rsidR="00514C0B" w:rsidRPr="00514C0B" w:rsidRDefault="00514C0B" w:rsidP="004900BB">
            <w:pPr>
              <w:jc w:val="center"/>
              <w:rPr>
                <w:rFonts w:cs="Arial"/>
              </w:rPr>
            </w:pPr>
          </w:p>
          <w:p w14:paraId="4B747E63" w14:textId="77777777" w:rsidR="00514C0B" w:rsidRPr="00514C0B" w:rsidRDefault="00514C0B" w:rsidP="004900BB">
            <w:pPr>
              <w:jc w:val="center"/>
              <w:rPr>
                <w:rFonts w:cs="Arial"/>
              </w:rPr>
            </w:pPr>
            <w:r w:rsidRPr="00514C0B">
              <w:rPr>
                <w:rFonts w:cs="Arial"/>
              </w:rPr>
              <w:t>- a tax-exempt body entertainment fringe benefit</w:t>
            </w:r>
          </w:p>
        </w:tc>
        <w:tc>
          <w:tcPr>
            <w:tcW w:w="1671" w:type="dxa"/>
          </w:tcPr>
          <w:p w14:paraId="4F217BCC" w14:textId="77777777" w:rsidR="00514C0B" w:rsidRPr="00514C0B" w:rsidRDefault="00514C0B" w:rsidP="004900BB">
            <w:pPr>
              <w:jc w:val="center"/>
              <w:rPr>
                <w:rFonts w:cs="Arial"/>
              </w:rPr>
            </w:pPr>
            <w:r w:rsidRPr="00514C0B">
              <w:rPr>
                <w:rFonts w:cs="Arial"/>
              </w:rPr>
              <w:t>Taxable unless a benefit is:</w:t>
            </w:r>
          </w:p>
          <w:p w14:paraId="52972729" w14:textId="77777777" w:rsidR="00514C0B" w:rsidRPr="00514C0B" w:rsidRDefault="00514C0B" w:rsidP="004900BB">
            <w:pPr>
              <w:jc w:val="center"/>
              <w:rPr>
                <w:rFonts w:cs="Arial"/>
              </w:rPr>
            </w:pPr>
          </w:p>
          <w:p w14:paraId="0BC638DF" w14:textId="77777777" w:rsidR="00514C0B" w:rsidRPr="00514C0B" w:rsidRDefault="00514C0B" w:rsidP="004900BB">
            <w:pPr>
              <w:jc w:val="center"/>
              <w:rPr>
                <w:rFonts w:cs="Arial"/>
              </w:rPr>
            </w:pPr>
            <w:r w:rsidRPr="00514C0B">
              <w:rPr>
                <w:rFonts w:cs="Arial"/>
              </w:rPr>
              <w:t>- exempt for FBT purposes;</w:t>
            </w:r>
          </w:p>
          <w:p w14:paraId="4E8088D8" w14:textId="77777777" w:rsidR="00514C0B" w:rsidRPr="00514C0B" w:rsidRDefault="00514C0B" w:rsidP="004900BB">
            <w:pPr>
              <w:jc w:val="center"/>
              <w:rPr>
                <w:rFonts w:cs="Arial"/>
              </w:rPr>
            </w:pPr>
          </w:p>
          <w:p w14:paraId="340EAB66" w14:textId="77777777" w:rsidR="00514C0B" w:rsidRPr="00514C0B" w:rsidRDefault="00514C0B" w:rsidP="004900BB">
            <w:pPr>
              <w:jc w:val="center"/>
              <w:rPr>
                <w:rFonts w:cs="Arial"/>
              </w:rPr>
            </w:pPr>
            <w:r w:rsidRPr="00514C0B">
              <w:rPr>
                <w:rFonts w:cs="Arial"/>
              </w:rPr>
              <w:t>- a tax-exempt body entertainment fringe benefit</w:t>
            </w:r>
          </w:p>
        </w:tc>
        <w:tc>
          <w:tcPr>
            <w:tcW w:w="1671" w:type="dxa"/>
          </w:tcPr>
          <w:p w14:paraId="31D2353B" w14:textId="77777777" w:rsidR="00514C0B" w:rsidRPr="00514C0B" w:rsidRDefault="00514C0B" w:rsidP="004900BB">
            <w:pPr>
              <w:jc w:val="center"/>
            </w:pPr>
            <w:r w:rsidRPr="00514C0B">
              <w:t>Taxable unless:</w:t>
            </w:r>
          </w:p>
          <w:p w14:paraId="6850F5B8" w14:textId="77777777" w:rsidR="00514C0B" w:rsidRPr="00514C0B" w:rsidRDefault="00514C0B" w:rsidP="004900BB">
            <w:pPr>
              <w:jc w:val="center"/>
            </w:pPr>
          </w:p>
          <w:p w14:paraId="04EF7328" w14:textId="77777777" w:rsidR="00514C0B" w:rsidRPr="00514C0B" w:rsidRDefault="00514C0B" w:rsidP="004900BB">
            <w:pPr>
              <w:jc w:val="center"/>
            </w:pPr>
            <w:r w:rsidRPr="00514C0B">
              <w:t>- a benefit is exempt for FBT purposes;</w:t>
            </w:r>
          </w:p>
          <w:p w14:paraId="71217ACD" w14:textId="77777777" w:rsidR="00514C0B" w:rsidRPr="00514C0B" w:rsidRDefault="00514C0B" w:rsidP="004900BB">
            <w:pPr>
              <w:jc w:val="center"/>
            </w:pPr>
          </w:p>
          <w:p w14:paraId="2C71104C" w14:textId="77777777" w:rsidR="00514C0B" w:rsidRPr="00514C0B" w:rsidRDefault="00514C0B" w:rsidP="004900BB">
            <w:pPr>
              <w:jc w:val="center"/>
              <w:rPr>
                <w:rFonts w:cs="Arial"/>
              </w:rPr>
            </w:pPr>
            <w:r w:rsidRPr="00514C0B">
              <w:rPr>
                <w:rFonts w:cs="Arial"/>
              </w:rPr>
              <w:t xml:space="preserve">- </w:t>
            </w:r>
          </w:p>
          <w:p w14:paraId="088AF6F9" w14:textId="77777777" w:rsidR="00514C0B" w:rsidRPr="00514C0B" w:rsidRDefault="00514C0B" w:rsidP="004900BB">
            <w:pPr>
              <w:jc w:val="center"/>
              <w:rPr>
                <w:rFonts w:cs="Arial"/>
              </w:rPr>
            </w:pPr>
          </w:p>
          <w:p w14:paraId="56316D3F" w14:textId="77777777" w:rsidR="00514C0B" w:rsidRPr="00514C0B" w:rsidRDefault="00514C0B" w:rsidP="004900BB">
            <w:pPr>
              <w:jc w:val="center"/>
            </w:pPr>
            <w:r w:rsidRPr="00514C0B">
              <w:rPr>
                <w:rFonts w:cs="Arial"/>
              </w:rPr>
              <w:t xml:space="preserve">- certain </w:t>
            </w:r>
            <w:r w:rsidRPr="00514C0B">
              <w:t xml:space="preserve"> remote area fringe </w:t>
            </w:r>
            <w:r w:rsidRPr="00514C0B">
              <w:rPr>
                <w:rFonts w:cs="Arial"/>
              </w:rPr>
              <w:t xml:space="preserve">benefits relating to </w:t>
            </w:r>
            <w:r w:rsidRPr="00514C0B">
              <w:t>residential fuel, housing assistance, domestic water, holiday transport* and/or education costs*</w:t>
            </w:r>
          </w:p>
          <w:p w14:paraId="4138EBF8" w14:textId="77777777" w:rsidR="00514C0B" w:rsidRPr="00514C0B" w:rsidRDefault="00514C0B" w:rsidP="004900BB">
            <w:pPr>
              <w:jc w:val="center"/>
            </w:pPr>
          </w:p>
          <w:p w14:paraId="3FC15A04" w14:textId="77777777" w:rsidR="00514C0B" w:rsidRPr="00514C0B" w:rsidRDefault="00514C0B" w:rsidP="004900BB">
            <w:pPr>
              <w:jc w:val="center"/>
            </w:pPr>
            <w:r w:rsidRPr="00514C0B">
              <w:t>* subject to limitations.</w:t>
            </w:r>
          </w:p>
        </w:tc>
        <w:tc>
          <w:tcPr>
            <w:tcW w:w="1671" w:type="dxa"/>
          </w:tcPr>
          <w:p w14:paraId="77A72BE2" w14:textId="77777777" w:rsidR="00514C0B" w:rsidRPr="00514C0B" w:rsidRDefault="00514C0B" w:rsidP="004900BB">
            <w:pPr>
              <w:jc w:val="center"/>
              <w:rPr>
                <w:rFonts w:cs="Arial"/>
              </w:rPr>
            </w:pPr>
            <w:r w:rsidRPr="00514C0B">
              <w:rPr>
                <w:rFonts w:cs="Arial"/>
              </w:rPr>
              <w:t>ATO: N/A</w:t>
            </w:r>
          </w:p>
          <w:p w14:paraId="634B7489" w14:textId="77777777" w:rsidR="00514C0B" w:rsidRPr="00514C0B" w:rsidRDefault="00514C0B" w:rsidP="004900BB">
            <w:pPr>
              <w:jc w:val="center"/>
              <w:rPr>
                <w:rFonts w:cs="Arial"/>
              </w:rPr>
            </w:pPr>
          </w:p>
          <w:p w14:paraId="60C29A49" w14:textId="77777777" w:rsidR="00514C0B" w:rsidRPr="00514C0B" w:rsidRDefault="00514C0B" w:rsidP="004900BB">
            <w:pPr>
              <w:jc w:val="center"/>
              <w:rPr>
                <w:rFonts w:cs="Arial"/>
              </w:rPr>
            </w:pPr>
            <w:r w:rsidRPr="00514C0B">
              <w:rPr>
                <w:rFonts w:cs="Arial"/>
              </w:rPr>
              <w:t>WorkCover: No differences</w:t>
            </w:r>
          </w:p>
        </w:tc>
      </w:tr>
      <w:tr w:rsidR="00514C0B" w:rsidRPr="00514C0B" w14:paraId="1928B301" w14:textId="77777777" w:rsidTr="00514C0B">
        <w:trPr>
          <w:trHeight w:val="3550"/>
        </w:trPr>
        <w:tc>
          <w:tcPr>
            <w:tcW w:w="6307" w:type="dxa"/>
          </w:tcPr>
          <w:p w14:paraId="0A81CA2F" w14:textId="77777777" w:rsidR="00514C0B" w:rsidRPr="00514C0B" w:rsidRDefault="004900BB" w:rsidP="004900BB">
            <w:pPr>
              <w:rPr>
                <w:rFonts w:cs="Arial"/>
              </w:rPr>
            </w:pPr>
            <w:r>
              <w:rPr>
                <w:rFonts w:cs="Arial"/>
                <w:b/>
              </w:rPr>
              <w:t>Maternity, Parental, Adoption and</w:t>
            </w:r>
            <w:r w:rsidR="00514C0B" w:rsidRPr="00514C0B">
              <w:rPr>
                <w:rFonts w:cs="Arial"/>
                <w:b/>
              </w:rPr>
              <w:t xml:space="preserve"> Surrogacy Leave</w:t>
            </w:r>
          </w:p>
        </w:tc>
        <w:tc>
          <w:tcPr>
            <w:tcW w:w="1670" w:type="dxa"/>
          </w:tcPr>
          <w:p w14:paraId="30362F9D" w14:textId="77777777" w:rsidR="00514C0B" w:rsidRPr="00514C0B" w:rsidRDefault="00514C0B" w:rsidP="004900BB">
            <w:pPr>
              <w:jc w:val="center"/>
              <w:rPr>
                <w:rFonts w:cs="Arial"/>
              </w:rPr>
            </w:pPr>
            <w:r w:rsidRPr="00514C0B">
              <w:rPr>
                <w:rFonts w:cs="Arial"/>
              </w:rPr>
              <w:t>Maternity &amp; paternity leave for females / males is exempt for up to 14 weeks.</w:t>
            </w:r>
          </w:p>
          <w:p w14:paraId="29CD58E7" w14:textId="77777777" w:rsidR="00514C0B" w:rsidRPr="00514C0B" w:rsidRDefault="00514C0B" w:rsidP="004900BB">
            <w:pPr>
              <w:jc w:val="center"/>
              <w:rPr>
                <w:rFonts w:cs="Arial"/>
              </w:rPr>
            </w:pPr>
          </w:p>
          <w:p w14:paraId="45D8589B" w14:textId="77777777" w:rsidR="00514C0B" w:rsidRPr="00514C0B" w:rsidRDefault="00514C0B" w:rsidP="004900BB">
            <w:pPr>
              <w:jc w:val="center"/>
              <w:rPr>
                <w:rFonts w:cs="Arial"/>
              </w:rPr>
            </w:pPr>
            <w:r w:rsidRPr="00514C0B">
              <w:rPr>
                <w:rFonts w:cs="Arial"/>
              </w:rPr>
              <w:t>Adoption leave is exempt for all employees for up to 14 weeks</w:t>
            </w:r>
          </w:p>
        </w:tc>
        <w:tc>
          <w:tcPr>
            <w:tcW w:w="1671" w:type="dxa"/>
          </w:tcPr>
          <w:p w14:paraId="17CBFF1D" w14:textId="77777777" w:rsidR="00514C0B" w:rsidRPr="00514C0B" w:rsidRDefault="00514C0B" w:rsidP="004900BB">
            <w:pPr>
              <w:jc w:val="center"/>
              <w:rPr>
                <w:rFonts w:cs="Arial"/>
              </w:rPr>
            </w:pPr>
            <w:r w:rsidRPr="00514C0B">
              <w:rPr>
                <w:rFonts w:cs="Arial"/>
              </w:rPr>
              <w:t>Maternity &amp; paternity leave for females / males is exempt for up to 14 weeks.</w:t>
            </w:r>
          </w:p>
          <w:p w14:paraId="0806B5FC" w14:textId="77777777" w:rsidR="00514C0B" w:rsidRPr="00514C0B" w:rsidRDefault="00514C0B" w:rsidP="004900BB">
            <w:pPr>
              <w:jc w:val="center"/>
              <w:rPr>
                <w:rFonts w:cs="Arial"/>
              </w:rPr>
            </w:pPr>
          </w:p>
          <w:p w14:paraId="04802BBD" w14:textId="77777777" w:rsidR="00514C0B" w:rsidRPr="00514C0B" w:rsidRDefault="00514C0B" w:rsidP="004900BB">
            <w:pPr>
              <w:jc w:val="center"/>
              <w:rPr>
                <w:rFonts w:cs="Arial"/>
              </w:rPr>
            </w:pPr>
            <w:r w:rsidRPr="00514C0B">
              <w:rPr>
                <w:rFonts w:cs="Arial"/>
              </w:rPr>
              <w:t>Adoption leave is exempt for all employees for up to 14 weeks</w:t>
            </w:r>
          </w:p>
        </w:tc>
        <w:tc>
          <w:tcPr>
            <w:tcW w:w="1671" w:type="dxa"/>
          </w:tcPr>
          <w:p w14:paraId="441AA510" w14:textId="77777777" w:rsidR="00514C0B" w:rsidRPr="00514C0B" w:rsidRDefault="00514C0B" w:rsidP="004900BB">
            <w:pPr>
              <w:jc w:val="center"/>
              <w:rPr>
                <w:rFonts w:cs="Arial"/>
              </w:rPr>
            </w:pPr>
            <w:r w:rsidRPr="00514C0B">
              <w:rPr>
                <w:rFonts w:cs="Arial"/>
              </w:rPr>
              <w:t>Maternity &amp; paternity leave for females / males is exempt for up to 14 weeks.</w:t>
            </w:r>
          </w:p>
          <w:p w14:paraId="4D3B2184" w14:textId="77777777" w:rsidR="00514C0B" w:rsidRPr="00514C0B" w:rsidRDefault="00514C0B" w:rsidP="004900BB">
            <w:pPr>
              <w:jc w:val="center"/>
              <w:rPr>
                <w:rFonts w:cs="Arial"/>
              </w:rPr>
            </w:pPr>
          </w:p>
          <w:p w14:paraId="7081A276" w14:textId="77777777" w:rsidR="00514C0B" w:rsidRPr="00514C0B" w:rsidRDefault="00514C0B" w:rsidP="004900BB">
            <w:pPr>
              <w:jc w:val="center"/>
              <w:rPr>
                <w:rFonts w:cs="Arial"/>
              </w:rPr>
            </w:pPr>
            <w:r w:rsidRPr="00514C0B">
              <w:rPr>
                <w:rFonts w:cs="Arial"/>
              </w:rPr>
              <w:t>Adoption leave is exempt for all employees for up to 14 weeks</w:t>
            </w:r>
          </w:p>
        </w:tc>
        <w:tc>
          <w:tcPr>
            <w:tcW w:w="1671" w:type="dxa"/>
          </w:tcPr>
          <w:p w14:paraId="38427D15" w14:textId="77777777" w:rsidR="00514C0B" w:rsidRPr="00514C0B" w:rsidRDefault="00514C0B" w:rsidP="004900BB">
            <w:pPr>
              <w:jc w:val="center"/>
              <w:rPr>
                <w:rFonts w:cs="Arial"/>
              </w:rPr>
            </w:pPr>
            <w:r w:rsidRPr="00514C0B">
              <w:rPr>
                <w:rFonts w:cs="Arial"/>
              </w:rPr>
              <w:t>Maternity &amp; paternity leave for females / males is exempt for up to 14 weeks.</w:t>
            </w:r>
          </w:p>
          <w:p w14:paraId="69C55DFA" w14:textId="77777777" w:rsidR="00514C0B" w:rsidRPr="00514C0B" w:rsidRDefault="00514C0B" w:rsidP="004900BB">
            <w:pPr>
              <w:jc w:val="center"/>
              <w:rPr>
                <w:rFonts w:cs="Arial"/>
              </w:rPr>
            </w:pPr>
          </w:p>
          <w:p w14:paraId="53B3275F" w14:textId="77777777" w:rsidR="00514C0B" w:rsidRPr="00514C0B" w:rsidRDefault="00514C0B" w:rsidP="004900BB">
            <w:pPr>
              <w:jc w:val="center"/>
              <w:rPr>
                <w:rFonts w:cs="Arial"/>
              </w:rPr>
            </w:pPr>
            <w:r w:rsidRPr="00514C0B">
              <w:rPr>
                <w:rFonts w:cs="Arial"/>
              </w:rPr>
              <w:t>Adoption leave is exempt for all employees for up to 14 weeks.</w:t>
            </w:r>
          </w:p>
          <w:p w14:paraId="1AFA4267" w14:textId="77777777" w:rsidR="00514C0B" w:rsidRPr="00514C0B" w:rsidRDefault="00514C0B" w:rsidP="004900BB">
            <w:pPr>
              <w:jc w:val="center"/>
              <w:rPr>
                <w:rFonts w:cs="Arial"/>
              </w:rPr>
            </w:pPr>
          </w:p>
          <w:p w14:paraId="0DD2298F" w14:textId="77777777" w:rsidR="00514C0B" w:rsidRPr="00514C0B" w:rsidRDefault="00514C0B" w:rsidP="004900BB">
            <w:pPr>
              <w:jc w:val="center"/>
              <w:rPr>
                <w:rFonts w:cs="Arial"/>
              </w:rPr>
            </w:pPr>
            <w:r w:rsidRPr="00514C0B">
              <w:rPr>
                <w:rFonts w:cs="Arial"/>
              </w:rPr>
              <w:t xml:space="preserve">Surrogacy leave is exempt for all </w:t>
            </w:r>
            <w:r w:rsidRPr="00514C0B">
              <w:rPr>
                <w:rFonts w:cs="Arial"/>
              </w:rPr>
              <w:lastRenderedPageBreak/>
              <w:t>employees for up to 14 weeks.</w:t>
            </w:r>
          </w:p>
        </w:tc>
        <w:tc>
          <w:tcPr>
            <w:tcW w:w="1671" w:type="dxa"/>
          </w:tcPr>
          <w:p w14:paraId="52911902" w14:textId="77777777" w:rsidR="00514C0B" w:rsidRPr="00514C0B" w:rsidRDefault="00514C0B" w:rsidP="004900BB">
            <w:pPr>
              <w:jc w:val="center"/>
              <w:rPr>
                <w:rFonts w:cs="Arial"/>
              </w:rPr>
            </w:pPr>
            <w:r w:rsidRPr="00514C0B">
              <w:rPr>
                <w:rFonts w:cs="Arial"/>
              </w:rPr>
              <w:lastRenderedPageBreak/>
              <w:t>Maternity leave for females is exempt for up to 14 weeks.</w:t>
            </w:r>
          </w:p>
          <w:p w14:paraId="23793533" w14:textId="77777777" w:rsidR="00514C0B" w:rsidRDefault="00514C0B" w:rsidP="004900BB">
            <w:pPr>
              <w:jc w:val="center"/>
              <w:rPr>
                <w:rFonts w:cs="Arial"/>
              </w:rPr>
            </w:pPr>
          </w:p>
          <w:p w14:paraId="7BFAA656" w14:textId="77777777" w:rsidR="004900BB" w:rsidRDefault="004900BB" w:rsidP="004900BB">
            <w:pPr>
              <w:jc w:val="center"/>
              <w:rPr>
                <w:rFonts w:cs="Arial"/>
              </w:rPr>
            </w:pPr>
          </w:p>
          <w:p w14:paraId="59CC3604" w14:textId="77777777" w:rsidR="004900BB" w:rsidRPr="00514C0B" w:rsidRDefault="004900BB" w:rsidP="004900BB">
            <w:pPr>
              <w:jc w:val="center"/>
              <w:rPr>
                <w:rFonts w:cs="Arial"/>
              </w:rPr>
            </w:pPr>
          </w:p>
          <w:p w14:paraId="0A410C33" w14:textId="77777777" w:rsidR="00514C0B" w:rsidRPr="00514C0B" w:rsidRDefault="00514C0B" w:rsidP="004900BB">
            <w:pPr>
              <w:jc w:val="center"/>
              <w:rPr>
                <w:rFonts w:cs="Arial"/>
              </w:rPr>
            </w:pPr>
            <w:r w:rsidRPr="00514C0B">
              <w:rPr>
                <w:rFonts w:cs="Arial"/>
              </w:rPr>
              <w:t>Adoption leave is exempt for all employees for up to 14 weeks</w:t>
            </w:r>
          </w:p>
        </w:tc>
        <w:tc>
          <w:tcPr>
            <w:tcW w:w="1671" w:type="dxa"/>
          </w:tcPr>
          <w:p w14:paraId="7C7DC4B5" w14:textId="77777777" w:rsidR="00514C0B" w:rsidRPr="00514C0B" w:rsidRDefault="00514C0B" w:rsidP="004900BB">
            <w:pPr>
              <w:jc w:val="center"/>
              <w:rPr>
                <w:rFonts w:cs="Arial"/>
              </w:rPr>
            </w:pPr>
            <w:r w:rsidRPr="00514C0B">
              <w:rPr>
                <w:rFonts w:cs="Arial"/>
              </w:rPr>
              <w:t>Maternity leave for females is exempt for up to 14 weeks (or equivalent period at reduced pay).</w:t>
            </w:r>
          </w:p>
          <w:p w14:paraId="7FF05F31" w14:textId="77777777" w:rsidR="00514C0B" w:rsidRPr="00514C0B" w:rsidRDefault="00514C0B" w:rsidP="004900BB">
            <w:pPr>
              <w:jc w:val="center"/>
              <w:rPr>
                <w:rFonts w:cs="Arial"/>
              </w:rPr>
            </w:pPr>
            <w:r w:rsidRPr="00514C0B">
              <w:rPr>
                <w:rFonts w:cs="Arial"/>
              </w:rPr>
              <w:t xml:space="preserve">Adoption leave is exempt for all employees for up to 14 weeks </w:t>
            </w:r>
            <w:r w:rsidRPr="00514C0B">
              <w:rPr>
                <w:rFonts w:cs="Arial"/>
                <w:u w:val="single"/>
              </w:rPr>
              <w:t>(</w:t>
            </w:r>
            <w:r w:rsidRPr="00514C0B">
              <w:rPr>
                <w:rFonts w:cs="Arial"/>
              </w:rPr>
              <w:t>or equivalent period at reduced pay)</w:t>
            </w:r>
          </w:p>
        </w:tc>
        <w:tc>
          <w:tcPr>
            <w:tcW w:w="1671" w:type="dxa"/>
          </w:tcPr>
          <w:p w14:paraId="4380DC5A" w14:textId="77777777" w:rsidR="00514C0B" w:rsidRPr="00514C0B" w:rsidRDefault="00514C0B" w:rsidP="004900BB">
            <w:pPr>
              <w:jc w:val="center"/>
              <w:rPr>
                <w:rFonts w:cs="Arial"/>
              </w:rPr>
            </w:pPr>
            <w:r w:rsidRPr="00514C0B">
              <w:rPr>
                <w:rFonts w:cs="Arial"/>
              </w:rPr>
              <w:t>Maternity leave for females is exempt for up to 14 weeks.</w:t>
            </w:r>
          </w:p>
          <w:p w14:paraId="419244C8" w14:textId="77777777" w:rsidR="00514C0B" w:rsidRDefault="00514C0B" w:rsidP="004900BB">
            <w:pPr>
              <w:jc w:val="center"/>
              <w:rPr>
                <w:rFonts w:cs="Arial"/>
              </w:rPr>
            </w:pPr>
          </w:p>
          <w:p w14:paraId="23658F90" w14:textId="77777777" w:rsidR="004900BB" w:rsidRDefault="004900BB" w:rsidP="004900BB">
            <w:pPr>
              <w:jc w:val="center"/>
              <w:rPr>
                <w:rFonts w:cs="Arial"/>
              </w:rPr>
            </w:pPr>
          </w:p>
          <w:p w14:paraId="0A41582A" w14:textId="77777777" w:rsidR="004900BB" w:rsidRPr="00514C0B" w:rsidRDefault="004900BB" w:rsidP="004900BB">
            <w:pPr>
              <w:jc w:val="center"/>
              <w:rPr>
                <w:rFonts w:cs="Arial"/>
              </w:rPr>
            </w:pPr>
          </w:p>
          <w:p w14:paraId="07DFF65D" w14:textId="77777777" w:rsidR="00514C0B" w:rsidRPr="00514C0B" w:rsidRDefault="00514C0B" w:rsidP="004900BB">
            <w:pPr>
              <w:jc w:val="center"/>
              <w:rPr>
                <w:rFonts w:cs="Arial"/>
              </w:rPr>
            </w:pPr>
            <w:r w:rsidRPr="00514C0B">
              <w:rPr>
                <w:rFonts w:cs="Arial"/>
              </w:rPr>
              <w:t>Adoption leave is exempt for all employees for up to 14 weeks</w:t>
            </w:r>
          </w:p>
        </w:tc>
        <w:tc>
          <w:tcPr>
            <w:tcW w:w="1671" w:type="dxa"/>
          </w:tcPr>
          <w:p w14:paraId="35FAFC9E" w14:textId="77777777" w:rsidR="00514C0B" w:rsidRPr="00514C0B" w:rsidRDefault="00514C0B" w:rsidP="004900BB">
            <w:pPr>
              <w:jc w:val="center"/>
            </w:pPr>
            <w:r w:rsidRPr="00514C0B">
              <w:t>Maternity leave for females is exempt for up to 14 weeks.</w:t>
            </w:r>
          </w:p>
          <w:p w14:paraId="78BA0107" w14:textId="77777777" w:rsidR="00514C0B" w:rsidRDefault="00514C0B" w:rsidP="004900BB">
            <w:pPr>
              <w:jc w:val="center"/>
            </w:pPr>
          </w:p>
          <w:p w14:paraId="12C65C43" w14:textId="77777777" w:rsidR="004900BB" w:rsidRDefault="004900BB" w:rsidP="004900BB">
            <w:pPr>
              <w:jc w:val="center"/>
            </w:pPr>
          </w:p>
          <w:p w14:paraId="5ECE2D69" w14:textId="77777777" w:rsidR="004900BB" w:rsidRPr="00514C0B" w:rsidRDefault="004900BB" w:rsidP="004900BB">
            <w:pPr>
              <w:jc w:val="center"/>
            </w:pPr>
          </w:p>
          <w:p w14:paraId="26B10264" w14:textId="77777777" w:rsidR="00514C0B" w:rsidRPr="00514C0B" w:rsidRDefault="00514C0B" w:rsidP="004900BB">
            <w:pPr>
              <w:jc w:val="center"/>
            </w:pPr>
            <w:r w:rsidRPr="00514C0B">
              <w:t xml:space="preserve">Adoption </w:t>
            </w:r>
            <w:r w:rsidRPr="00514C0B">
              <w:rPr>
                <w:rFonts w:cs="Arial"/>
              </w:rPr>
              <w:t xml:space="preserve">and Parental </w:t>
            </w:r>
            <w:r w:rsidRPr="00514C0B">
              <w:t>leave is exempt for all employees for up to 14 weeks</w:t>
            </w:r>
          </w:p>
        </w:tc>
        <w:tc>
          <w:tcPr>
            <w:tcW w:w="1671" w:type="dxa"/>
          </w:tcPr>
          <w:p w14:paraId="6FB589B9" w14:textId="77777777" w:rsidR="00514C0B" w:rsidRPr="00514C0B" w:rsidRDefault="00514C0B" w:rsidP="004900BB">
            <w:pPr>
              <w:jc w:val="center"/>
              <w:rPr>
                <w:rFonts w:cs="Arial"/>
              </w:rPr>
            </w:pPr>
            <w:r w:rsidRPr="00514C0B">
              <w:rPr>
                <w:rFonts w:cs="Arial"/>
              </w:rPr>
              <w:t>ATO: N/A</w:t>
            </w:r>
          </w:p>
          <w:p w14:paraId="22715E6B" w14:textId="77777777" w:rsidR="00514C0B" w:rsidRPr="00514C0B" w:rsidRDefault="00514C0B" w:rsidP="004900BB">
            <w:pPr>
              <w:jc w:val="center"/>
              <w:rPr>
                <w:rFonts w:cs="Arial"/>
              </w:rPr>
            </w:pPr>
          </w:p>
          <w:p w14:paraId="723FEB09" w14:textId="77777777" w:rsidR="00514C0B" w:rsidRPr="00514C0B" w:rsidRDefault="00514C0B" w:rsidP="004900BB">
            <w:pPr>
              <w:jc w:val="center"/>
              <w:rPr>
                <w:rFonts w:cs="Arial"/>
              </w:rPr>
            </w:pPr>
            <w:r w:rsidRPr="00514C0B">
              <w:rPr>
                <w:rFonts w:cs="Arial"/>
              </w:rPr>
              <w:t>WorkCover: N/A</w:t>
            </w:r>
          </w:p>
        </w:tc>
      </w:tr>
      <w:tr w:rsidR="00514C0B" w:rsidRPr="00514C0B" w14:paraId="62AD298F" w14:textId="77777777" w:rsidTr="00514C0B">
        <w:trPr>
          <w:trHeight w:val="3550"/>
        </w:trPr>
        <w:tc>
          <w:tcPr>
            <w:tcW w:w="6307" w:type="dxa"/>
          </w:tcPr>
          <w:p w14:paraId="4967F538" w14:textId="77777777" w:rsidR="00514C0B" w:rsidRPr="00514C0B" w:rsidRDefault="00514C0B" w:rsidP="004900BB">
            <w:pPr>
              <w:rPr>
                <w:rFonts w:cs="Arial"/>
                <w:b/>
              </w:rPr>
            </w:pPr>
            <w:r w:rsidRPr="00514C0B">
              <w:rPr>
                <w:rFonts w:cs="Arial"/>
                <w:b/>
              </w:rPr>
              <w:lastRenderedPageBreak/>
              <w:t>Legal process</w:t>
            </w:r>
          </w:p>
        </w:tc>
        <w:tc>
          <w:tcPr>
            <w:tcW w:w="1670" w:type="dxa"/>
          </w:tcPr>
          <w:p w14:paraId="3437469A" w14:textId="77777777" w:rsidR="00514C0B" w:rsidRPr="00514C0B" w:rsidRDefault="00514C0B" w:rsidP="004900BB">
            <w:pPr>
              <w:jc w:val="center"/>
              <w:rPr>
                <w:rFonts w:cs="Arial"/>
              </w:rPr>
            </w:pPr>
            <w:r w:rsidRPr="00514C0B">
              <w:rPr>
                <w:rFonts w:cs="Arial"/>
              </w:rPr>
              <w:t>To refer a matter to the ACAT, a written application must be lodged within 28 days of receiving the notice of determination.</w:t>
            </w:r>
          </w:p>
        </w:tc>
        <w:tc>
          <w:tcPr>
            <w:tcW w:w="1671" w:type="dxa"/>
          </w:tcPr>
          <w:p w14:paraId="479C52F1" w14:textId="77777777" w:rsidR="00514C0B" w:rsidRPr="00514C0B" w:rsidRDefault="00514C0B" w:rsidP="004900BB">
            <w:pPr>
              <w:jc w:val="center"/>
              <w:rPr>
                <w:rFonts w:cs="Arial"/>
              </w:rPr>
            </w:pPr>
            <w:r w:rsidRPr="00514C0B">
              <w:rPr>
                <w:rFonts w:cs="Arial"/>
              </w:rPr>
              <w:t>An appeal must be made to the NSW CAT / Supreme Court within 60 days of receiving the notice of determination of an objection.</w:t>
            </w:r>
          </w:p>
        </w:tc>
        <w:tc>
          <w:tcPr>
            <w:tcW w:w="1671" w:type="dxa"/>
          </w:tcPr>
          <w:p w14:paraId="5326CEF3" w14:textId="77777777" w:rsidR="00514C0B" w:rsidRPr="00514C0B" w:rsidRDefault="00514C0B" w:rsidP="004900BB">
            <w:pPr>
              <w:jc w:val="center"/>
              <w:rPr>
                <w:rFonts w:cs="Arial"/>
              </w:rPr>
            </w:pPr>
            <w:r w:rsidRPr="00514C0B">
              <w:rPr>
                <w:rFonts w:cs="Arial"/>
              </w:rPr>
              <w:t xml:space="preserve">To refer a matter to NCAT or instigate a hearing in the Supreme Court, a written appeal must be commenced within 60 days after the date of notice of determination of an objection. </w:t>
            </w:r>
          </w:p>
        </w:tc>
        <w:tc>
          <w:tcPr>
            <w:tcW w:w="1671" w:type="dxa"/>
          </w:tcPr>
          <w:p w14:paraId="12DE3398" w14:textId="77777777" w:rsidR="00514C0B" w:rsidRPr="00514C0B" w:rsidRDefault="00514C0B" w:rsidP="004900BB">
            <w:pPr>
              <w:jc w:val="center"/>
              <w:rPr>
                <w:rFonts w:cs="Arial"/>
              </w:rPr>
            </w:pPr>
            <w:r w:rsidRPr="00514C0B">
              <w:rPr>
                <w:rFonts w:cs="Arial"/>
              </w:rPr>
              <w:t>An appeal must be made to the QCAT or Supreme Court within 60 days of receiving the notice of determination of an objection.  100% of tax and late payment interest payable must be paid before appeal can be lodged.</w:t>
            </w:r>
          </w:p>
        </w:tc>
        <w:tc>
          <w:tcPr>
            <w:tcW w:w="1671" w:type="dxa"/>
          </w:tcPr>
          <w:p w14:paraId="716E1699" w14:textId="77777777" w:rsidR="00514C0B" w:rsidRPr="00514C0B" w:rsidRDefault="00514C0B" w:rsidP="004900BB">
            <w:pPr>
              <w:jc w:val="center"/>
              <w:rPr>
                <w:rFonts w:cs="Arial"/>
              </w:rPr>
            </w:pPr>
            <w:r w:rsidRPr="00514C0B">
              <w:rPr>
                <w:rFonts w:cs="Arial"/>
              </w:rPr>
              <w:t>An appeal must be made to the Supreme Court within 60 days of receiving the notice of determination.</w:t>
            </w:r>
          </w:p>
          <w:p w14:paraId="2765D741" w14:textId="77777777" w:rsidR="00514C0B" w:rsidRPr="00514C0B" w:rsidRDefault="00514C0B" w:rsidP="004900BB">
            <w:pPr>
              <w:jc w:val="center"/>
              <w:rPr>
                <w:rFonts w:cs="Arial"/>
              </w:rPr>
            </w:pPr>
          </w:p>
          <w:p w14:paraId="08FFB335" w14:textId="77777777" w:rsidR="00514C0B" w:rsidRPr="00514C0B" w:rsidRDefault="00514C0B" w:rsidP="004900BB">
            <w:pPr>
              <w:jc w:val="center"/>
              <w:rPr>
                <w:rFonts w:cs="Arial"/>
              </w:rPr>
            </w:pPr>
            <w:r w:rsidRPr="00514C0B">
              <w:rPr>
                <w:rFonts w:cs="Arial"/>
              </w:rPr>
              <w:t>50% of the tax must be paid before an appeal can be lodged.</w:t>
            </w:r>
          </w:p>
        </w:tc>
        <w:tc>
          <w:tcPr>
            <w:tcW w:w="1671" w:type="dxa"/>
          </w:tcPr>
          <w:p w14:paraId="548A9C85" w14:textId="77777777" w:rsidR="00514C0B" w:rsidRPr="00514C0B" w:rsidRDefault="00514C0B" w:rsidP="004900BB">
            <w:pPr>
              <w:jc w:val="center"/>
              <w:rPr>
                <w:rFonts w:cs="Arial"/>
                <w:highlight w:val="yellow"/>
              </w:rPr>
            </w:pPr>
            <w:r w:rsidRPr="00514C0B">
              <w:rPr>
                <w:rFonts w:cs="Arial"/>
              </w:rPr>
              <w:t>An appeal may be made to the Administrative Appeals Division of the Magistrates Court or to the Supreme Court within 60 days of receiving the notice of determination.</w:t>
            </w:r>
          </w:p>
        </w:tc>
        <w:tc>
          <w:tcPr>
            <w:tcW w:w="1671" w:type="dxa"/>
          </w:tcPr>
          <w:p w14:paraId="64A370DB" w14:textId="77777777" w:rsidR="00514C0B" w:rsidRPr="00514C0B" w:rsidRDefault="00514C0B" w:rsidP="004900BB">
            <w:pPr>
              <w:jc w:val="center"/>
              <w:rPr>
                <w:rFonts w:cs="Arial"/>
              </w:rPr>
            </w:pPr>
            <w:r w:rsidRPr="00514C0B">
              <w:rPr>
                <w:rFonts w:cs="Arial"/>
              </w:rPr>
              <w:t>TAA 1997 (Vic)</w:t>
            </w:r>
          </w:p>
          <w:p w14:paraId="6D2D79E4" w14:textId="77777777" w:rsidR="00514C0B" w:rsidRPr="00514C0B" w:rsidRDefault="00514C0B" w:rsidP="004900BB">
            <w:pPr>
              <w:jc w:val="center"/>
              <w:rPr>
                <w:rFonts w:cs="Arial"/>
                <w:highlight w:val="yellow"/>
              </w:rPr>
            </w:pPr>
            <w:r w:rsidRPr="00514C0B">
              <w:rPr>
                <w:rFonts w:cs="Arial"/>
              </w:rPr>
              <w:t>Indirect referral model: A request for referral to VCAT / review by the Supreme Court must be made to the CSR within 60 days of service of the notice of determination of an objection (or the date on which the determination was due). CSR must refer it within 60 days (with provision for time to stop to obtain further particulars from applicant)</w:t>
            </w:r>
          </w:p>
        </w:tc>
        <w:tc>
          <w:tcPr>
            <w:tcW w:w="1671" w:type="dxa"/>
          </w:tcPr>
          <w:p w14:paraId="04AA1518" w14:textId="77777777" w:rsidR="00514C0B" w:rsidRPr="00514C0B" w:rsidRDefault="00514C0B" w:rsidP="004900BB">
            <w:pPr>
              <w:jc w:val="center"/>
              <w:rPr>
                <w:highlight w:val="yellow"/>
              </w:rPr>
            </w:pPr>
            <w:r w:rsidRPr="00514C0B">
              <w:rPr>
                <w:rFonts w:cs="Arial"/>
              </w:rPr>
              <w:t>An application for review must be made</w:t>
            </w:r>
            <w:r w:rsidRPr="00514C0B">
              <w:rPr>
                <w:rFonts w:cs="Arial"/>
                <w:u w:val="single"/>
              </w:rPr>
              <w:t xml:space="preserve"> </w:t>
            </w:r>
            <w:r w:rsidRPr="00514C0B">
              <w:t>to the State Administrative Tribunal</w:t>
            </w:r>
            <w:r w:rsidRPr="00514C0B">
              <w:rPr>
                <w:rFonts w:cs="Arial"/>
              </w:rPr>
              <w:t xml:space="preserve">, </w:t>
            </w:r>
            <w:r w:rsidRPr="00514C0B">
              <w:t>within 60 days after the notice of determination</w:t>
            </w:r>
            <w:r w:rsidRPr="00514C0B">
              <w:rPr>
                <w:rFonts w:cs="Arial"/>
              </w:rPr>
              <w:t xml:space="preserve"> of an objection</w:t>
            </w:r>
            <w:r w:rsidRPr="00514C0B">
              <w:t>.</w:t>
            </w:r>
          </w:p>
        </w:tc>
        <w:tc>
          <w:tcPr>
            <w:tcW w:w="1671" w:type="dxa"/>
          </w:tcPr>
          <w:p w14:paraId="0BF7F78A" w14:textId="77777777" w:rsidR="00514C0B" w:rsidRPr="00514C0B" w:rsidRDefault="00514C0B" w:rsidP="004900BB">
            <w:pPr>
              <w:jc w:val="center"/>
              <w:rPr>
                <w:rFonts w:cs="Arial"/>
              </w:rPr>
            </w:pPr>
            <w:r w:rsidRPr="00514C0B">
              <w:rPr>
                <w:rFonts w:cs="Arial"/>
              </w:rPr>
              <w:t>ATO: Appeal to AAT / Federal Court must be made within 28 or 60 days</w:t>
            </w:r>
          </w:p>
          <w:p w14:paraId="42E016FD" w14:textId="77777777" w:rsidR="00514C0B" w:rsidRPr="00514C0B" w:rsidRDefault="00514C0B" w:rsidP="004900BB">
            <w:pPr>
              <w:jc w:val="center"/>
              <w:rPr>
                <w:rFonts w:cs="Arial"/>
              </w:rPr>
            </w:pPr>
          </w:p>
          <w:p w14:paraId="29DEC80B" w14:textId="77777777" w:rsidR="00514C0B" w:rsidRPr="00514C0B" w:rsidRDefault="00514C0B" w:rsidP="004900BB">
            <w:pPr>
              <w:jc w:val="center"/>
              <w:rPr>
                <w:rFonts w:cs="Arial"/>
              </w:rPr>
            </w:pPr>
            <w:r w:rsidRPr="00514C0B">
              <w:rPr>
                <w:rFonts w:cs="Arial"/>
              </w:rPr>
              <w:t>WorkCover: various</w:t>
            </w:r>
          </w:p>
        </w:tc>
      </w:tr>
      <w:tr w:rsidR="00514C0B" w:rsidRPr="00514C0B" w14:paraId="70D947A7" w14:textId="77777777" w:rsidTr="00C07A46">
        <w:trPr>
          <w:cantSplit/>
          <w:trHeight w:val="982"/>
        </w:trPr>
        <w:tc>
          <w:tcPr>
            <w:tcW w:w="6307" w:type="dxa"/>
          </w:tcPr>
          <w:p w14:paraId="28202B71" w14:textId="77777777" w:rsidR="00514C0B" w:rsidRPr="00514C0B" w:rsidRDefault="00514C0B" w:rsidP="004900BB">
            <w:pPr>
              <w:rPr>
                <w:rFonts w:cs="Arial"/>
                <w:b/>
              </w:rPr>
            </w:pPr>
            <w:r w:rsidRPr="00514C0B">
              <w:rPr>
                <w:rFonts w:cs="Arial"/>
                <w:b/>
              </w:rPr>
              <w:lastRenderedPageBreak/>
              <w:t>Assessments</w:t>
            </w:r>
          </w:p>
        </w:tc>
        <w:tc>
          <w:tcPr>
            <w:tcW w:w="1670" w:type="dxa"/>
          </w:tcPr>
          <w:p w14:paraId="752F5561" w14:textId="77777777" w:rsidR="00514C0B" w:rsidRPr="00514C0B" w:rsidRDefault="00514C0B" w:rsidP="004900BB">
            <w:pPr>
              <w:jc w:val="center"/>
              <w:rPr>
                <w:rFonts w:cs="Arial"/>
              </w:rPr>
            </w:pPr>
            <w:r w:rsidRPr="00514C0B">
              <w:rPr>
                <w:rFonts w:cs="Arial"/>
              </w:rPr>
              <w:t xml:space="preserve">No </w:t>
            </w:r>
            <w:r w:rsidR="00A968CD" w:rsidRPr="00514C0B">
              <w:rPr>
                <w:rFonts w:cs="Arial"/>
              </w:rPr>
              <w:t>self-assessment</w:t>
            </w:r>
            <w:r w:rsidRPr="00514C0B">
              <w:rPr>
                <w:rFonts w:cs="Arial"/>
              </w:rPr>
              <w:t xml:space="preserve"> provisions.</w:t>
            </w:r>
          </w:p>
          <w:p w14:paraId="33EB6772" w14:textId="77777777" w:rsidR="00514C0B" w:rsidRPr="00514C0B" w:rsidRDefault="00514C0B" w:rsidP="004900BB">
            <w:pPr>
              <w:jc w:val="center"/>
              <w:rPr>
                <w:rFonts w:cs="Arial"/>
              </w:rPr>
            </w:pPr>
          </w:p>
          <w:p w14:paraId="68EC47F8" w14:textId="77777777" w:rsidR="00514C0B" w:rsidRPr="00514C0B" w:rsidRDefault="00514C0B" w:rsidP="004900BB">
            <w:pPr>
              <w:jc w:val="center"/>
              <w:rPr>
                <w:rFonts w:cs="Arial"/>
              </w:rPr>
            </w:pPr>
            <w:r w:rsidRPr="00514C0B">
              <w:rPr>
                <w:rFonts w:cs="Arial"/>
              </w:rPr>
              <w:t>Lodgement of a return or payment of tax does not constitute an assessment.</w:t>
            </w:r>
          </w:p>
        </w:tc>
        <w:tc>
          <w:tcPr>
            <w:tcW w:w="1671" w:type="dxa"/>
          </w:tcPr>
          <w:p w14:paraId="4B91E0D7" w14:textId="77777777" w:rsidR="00514C0B" w:rsidRPr="00514C0B" w:rsidRDefault="00514C0B" w:rsidP="004900BB">
            <w:pPr>
              <w:jc w:val="center"/>
              <w:rPr>
                <w:rFonts w:cs="Arial"/>
              </w:rPr>
            </w:pPr>
            <w:r w:rsidRPr="00514C0B">
              <w:rPr>
                <w:rFonts w:cs="Arial"/>
              </w:rPr>
              <w:t xml:space="preserve">Basic </w:t>
            </w:r>
            <w:r w:rsidR="00A968CD" w:rsidRPr="00514C0B">
              <w:rPr>
                <w:rFonts w:cs="Arial"/>
              </w:rPr>
              <w:t>self-assessment</w:t>
            </w:r>
            <w:r w:rsidRPr="00514C0B">
              <w:rPr>
                <w:rFonts w:cs="Arial"/>
              </w:rPr>
              <w:t xml:space="preserve"> provisions exist.</w:t>
            </w:r>
          </w:p>
          <w:p w14:paraId="366B7997" w14:textId="77777777" w:rsidR="00514C0B" w:rsidRPr="00514C0B" w:rsidRDefault="00514C0B" w:rsidP="004900BB">
            <w:pPr>
              <w:rPr>
                <w:rFonts w:cs="Arial"/>
              </w:rPr>
            </w:pPr>
          </w:p>
        </w:tc>
        <w:tc>
          <w:tcPr>
            <w:tcW w:w="1671" w:type="dxa"/>
          </w:tcPr>
          <w:p w14:paraId="54245565" w14:textId="77777777" w:rsidR="00514C0B" w:rsidRPr="00514C0B" w:rsidRDefault="00514C0B" w:rsidP="004900BB">
            <w:pPr>
              <w:jc w:val="center"/>
              <w:rPr>
                <w:rFonts w:cs="Arial"/>
              </w:rPr>
            </w:pPr>
            <w:r w:rsidRPr="00514C0B">
              <w:rPr>
                <w:rFonts w:cs="Arial"/>
              </w:rPr>
              <w:t>No self-assessment provisions.</w:t>
            </w:r>
          </w:p>
          <w:p w14:paraId="10ECDEBC" w14:textId="77777777" w:rsidR="00514C0B" w:rsidRPr="00514C0B" w:rsidRDefault="00514C0B" w:rsidP="004900BB">
            <w:pPr>
              <w:jc w:val="center"/>
              <w:rPr>
                <w:rFonts w:cs="Arial"/>
              </w:rPr>
            </w:pPr>
          </w:p>
          <w:p w14:paraId="6A297A02" w14:textId="77777777" w:rsidR="00514C0B" w:rsidRPr="00514C0B" w:rsidRDefault="00514C0B" w:rsidP="004900BB">
            <w:pPr>
              <w:jc w:val="center"/>
              <w:rPr>
                <w:rFonts w:cs="Arial"/>
              </w:rPr>
            </w:pPr>
            <w:r w:rsidRPr="00514C0B">
              <w:rPr>
                <w:rFonts w:cs="Arial"/>
              </w:rPr>
              <w:t>Lodgement of a return or payment of tax does not constitute an assessment.</w:t>
            </w:r>
          </w:p>
        </w:tc>
        <w:tc>
          <w:tcPr>
            <w:tcW w:w="1671" w:type="dxa"/>
          </w:tcPr>
          <w:p w14:paraId="543A82E8" w14:textId="77777777" w:rsidR="00514C0B" w:rsidRPr="00514C0B" w:rsidRDefault="00514C0B" w:rsidP="004900BB">
            <w:pPr>
              <w:jc w:val="center"/>
              <w:rPr>
                <w:rFonts w:cs="Arial"/>
              </w:rPr>
            </w:pPr>
            <w:r w:rsidRPr="00514C0B">
              <w:rPr>
                <w:rFonts w:cs="Arial"/>
              </w:rPr>
              <w:t xml:space="preserve">Basic </w:t>
            </w:r>
            <w:r w:rsidR="00A968CD" w:rsidRPr="00514C0B">
              <w:rPr>
                <w:rFonts w:cs="Arial"/>
              </w:rPr>
              <w:t>self-assessment</w:t>
            </w:r>
            <w:r w:rsidRPr="00514C0B">
              <w:rPr>
                <w:rFonts w:cs="Arial"/>
              </w:rPr>
              <w:t xml:space="preserve"> provisions exist</w:t>
            </w:r>
          </w:p>
        </w:tc>
        <w:tc>
          <w:tcPr>
            <w:tcW w:w="1671" w:type="dxa"/>
          </w:tcPr>
          <w:p w14:paraId="63BCD280" w14:textId="77777777" w:rsidR="00514C0B" w:rsidRPr="00514C0B" w:rsidRDefault="00514C0B" w:rsidP="004900BB">
            <w:pPr>
              <w:jc w:val="center"/>
              <w:rPr>
                <w:rFonts w:cs="Arial"/>
              </w:rPr>
            </w:pPr>
            <w:r w:rsidRPr="00514C0B">
              <w:rPr>
                <w:rFonts w:cs="Arial"/>
              </w:rPr>
              <w:t xml:space="preserve">No </w:t>
            </w:r>
            <w:r w:rsidR="00A968CD" w:rsidRPr="00514C0B">
              <w:rPr>
                <w:rFonts w:cs="Arial"/>
              </w:rPr>
              <w:t>self-assessment</w:t>
            </w:r>
            <w:r w:rsidRPr="00514C0B">
              <w:rPr>
                <w:rFonts w:cs="Arial"/>
              </w:rPr>
              <w:t xml:space="preserve"> provisions.</w:t>
            </w:r>
          </w:p>
          <w:p w14:paraId="5DE458A2" w14:textId="77777777" w:rsidR="00514C0B" w:rsidRPr="00514C0B" w:rsidRDefault="00514C0B" w:rsidP="004900BB">
            <w:pPr>
              <w:jc w:val="center"/>
              <w:rPr>
                <w:rFonts w:cs="Arial"/>
              </w:rPr>
            </w:pPr>
          </w:p>
          <w:p w14:paraId="1C291A6B" w14:textId="77777777" w:rsidR="00514C0B" w:rsidRPr="00514C0B" w:rsidRDefault="00514C0B" w:rsidP="004900BB">
            <w:pPr>
              <w:jc w:val="center"/>
              <w:rPr>
                <w:rFonts w:cs="Arial"/>
              </w:rPr>
            </w:pPr>
            <w:r w:rsidRPr="00514C0B">
              <w:rPr>
                <w:rFonts w:cs="Arial"/>
              </w:rPr>
              <w:t>Lodgement of a return or payment of tax does not constitute an assessment.</w:t>
            </w:r>
          </w:p>
        </w:tc>
        <w:tc>
          <w:tcPr>
            <w:tcW w:w="1671" w:type="dxa"/>
          </w:tcPr>
          <w:p w14:paraId="6FE72CFF" w14:textId="77777777" w:rsidR="00514C0B" w:rsidRPr="00514C0B" w:rsidRDefault="00514C0B" w:rsidP="004900BB">
            <w:pPr>
              <w:jc w:val="center"/>
              <w:rPr>
                <w:rFonts w:cs="Arial"/>
              </w:rPr>
            </w:pPr>
            <w:r w:rsidRPr="00514C0B">
              <w:rPr>
                <w:rFonts w:cs="Arial"/>
              </w:rPr>
              <w:t xml:space="preserve">No </w:t>
            </w:r>
            <w:r w:rsidR="00A968CD" w:rsidRPr="00514C0B">
              <w:rPr>
                <w:rFonts w:cs="Arial"/>
              </w:rPr>
              <w:t>self-assessment</w:t>
            </w:r>
            <w:r w:rsidRPr="00514C0B">
              <w:rPr>
                <w:rFonts w:cs="Arial"/>
              </w:rPr>
              <w:t xml:space="preserve"> provisions.</w:t>
            </w:r>
          </w:p>
          <w:p w14:paraId="12B62056" w14:textId="77777777" w:rsidR="00514C0B" w:rsidRPr="00514C0B" w:rsidRDefault="00514C0B" w:rsidP="004900BB">
            <w:pPr>
              <w:jc w:val="center"/>
              <w:rPr>
                <w:rFonts w:cs="Arial"/>
              </w:rPr>
            </w:pPr>
          </w:p>
          <w:p w14:paraId="700333B8" w14:textId="77777777" w:rsidR="00514C0B" w:rsidRPr="00514C0B" w:rsidRDefault="00514C0B" w:rsidP="004900BB">
            <w:pPr>
              <w:jc w:val="center"/>
              <w:rPr>
                <w:rFonts w:cs="Arial"/>
              </w:rPr>
            </w:pPr>
            <w:r w:rsidRPr="00514C0B">
              <w:rPr>
                <w:rFonts w:cs="Arial"/>
              </w:rPr>
              <w:t>Lodgement of a return or payment of tax does not constitute an assessment.</w:t>
            </w:r>
          </w:p>
        </w:tc>
        <w:tc>
          <w:tcPr>
            <w:tcW w:w="1671" w:type="dxa"/>
          </w:tcPr>
          <w:p w14:paraId="45E407B0" w14:textId="77777777" w:rsidR="00514C0B" w:rsidRPr="00514C0B" w:rsidRDefault="00514C0B" w:rsidP="004900BB">
            <w:pPr>
              <w:jc w:val="center"/>
              <w:rPr>
                <w:rFonts w:cs="Arial"/>
              </w:rPr>
            </w:pPr>
            <w:r w:rsidRPr="00514C0B">
              <w:rPr>
                <w:rFonts w:cs="Arial"/>
              </w:rPr>
              <w:t xml:space="preserve">No </w:t>
            </w:r>
            <w:r w:rsidR="00A968CD" w:rsidRPr="00514C0B">
              <w:rPr>
                <w:rFonts w:cs="Arial"/>
              </w:rPr>
              <w:t>self-assessment</w:t>
            </w:r>
            <w:r w:rsidRPr="00514C0B">
              <w:rPr>
                <w:rFonts w:cs="Arial"/>
              </w:rPr>
              <w:t xml:space="preserve"> provisions.</w:t>
            </w:r>
          </w:p>
          <w:p w14:paraId="5807CFDD" w14:textId="77777777" w:rsidR="00514C0B" w:rsidRPr="00514C0B" w:rsidRDefault="00514C0B" w:rsidP="004900BB">
            <w:pPr>
              <w:jc w:val="center"/>
              <w:rPr>
                <w:rFonts w:cs="Arial"/>
              </w:rPr>
            </w:pPr>
          </w:p>
          <w:p w14:paraId="3EBE44D3" w14:textId="77777777" w:rsidR="004900BB" w:rsidRPr="00514C0B" w:rsidRDefault="00514C0B" w:rsidP="00C07A46">
            <w:pPr>
              <w:jc w:val="center"/>
              <w:rPr>
                <w:rFonts w:cs="Arial"/>
              </w:rPr>
            </w:pPr>
            <w:r w:rsidRPr="00514C0B">
              <w:rPr>
                <w:rFonts w:cs="Arial"/>
              </w:rPr>
              <w:t>Lodgement of a return or payment of tax does not constitute an assessment. NB: lodgements via Duties Online are ‘deemed assessments’.</w:t>
            </w:r>
          </w:p>
        </w:tc>
        <w:tc>
          <w:tcPr>
            <w:tcW w:w="1671" w:type="dxa"/>
          </w:tcPr>
          <w:p w14:paraId="24632FF1" w14:textId="77777777" w:rsidR="00514C0B" w:rsidRPr="00514C0B" w:rsidRDefault="00A968CD" w:rsidP="004900BB">
            <w:pPr>
              <w:jc w:val="center"/>
            </w:pPr>
            <w:r w:rsidRPr="00514C0B">
              <w:t>Self-assessment</w:t>
            </w:r>
            <w:r w:rsidR="00514C0B" w:rsidRPr="00514C0B">
              <w:t xml:space="preserve"> </w:t>
            </w:r>
            <w:r w:rsidR="00514C0B" w:rsidRPr="00514C0B">
              <w:rPr>
                <w:rFonts w:cs="Arial"/>
              </w:rPr>
              <w:t xml:space="preserve">regime </w:t>
            </w:r>
            <w:r w:rsidR="00514C0B" w:rsidRPr="00514C0B">
              <w:t xml:space="preserve">is </w:t>
            </w:r>
            <w:r w:rsidR="00514C0B" w:rsidRPr="00514C0B">
              <w:rPr>
                <w:rFonts w:cs="Arial"/>
              </w:rPr>
              <w:t>in place.</w:t>
            </w:r>
          </w:p>
          <w:p w14:paraId="0C32E980" w14:textId="77777777" w:rsidR="00514C0B" w:rsidRPr="00514C0B" w:rsidRDefault="00514C0B" w:rsidP="004900BB">
            <w:pPr>
              <w:jc w:val="center"/>
            </w:pPr>
          </w:p>
          <w:p w14:paraId="183488C7" w14:textId="77777777" w:rsidR="00514C0B" w:rsidRPr="00514C0B" w:rsidRDefault="00514C0B" w:rsidP="004900BB">
            <w:pPr>
              <w:jc w:val="center"/>
            </w:pPr>
            <w:r w:rsidRPr="00514C0B">
              <w:rPr>
                <w:rFonts w:cs="Arial"/>
              </w:rPr>
              <w:t>Lodgement</w:t>
            </w:r>
            <w:r w:rsidRPr="00514C0B">
              <w:t xml:space="preserve"> of a return </w:t>
            </w:r>
            <w:r w:rsidRPr="00514C0B">
              <w:rPr>
                <w:rFonts w:cs="Arial"/>
              </w:rPr>
              <w:t>constitutes a self-</w:t>
            </w:r>
            <w:r w:rsidRPr="00514C0B">
              <w:t>assessment.</w:t>
            </w:r>
          </w:p>
        </w:tc>
        <w:tc>
          <w:tcPr>
            <w:tcW w:w="1671" w:type="dxa"/>
          </w:tcPr>
          <w:p w14:paraId="326FF364" w14:textId="77777777" w:rsidR="00514C0B" w:rsidRPr="00514C0B" w:rsidRDefault="00514C0B" w:rsidP="004900BB">
            <w:pPr>
              <w:jc w:val="center"/>
              <w:rPr>
                <w:rFonts w:cs="Arial"/>
              </w:rPr>
            </w:pPr>
            <w:r w:rsidRPr="00514C0B">
              <w:rPr>
                <w:rFonts w:cs="Arial"/>
              </w:rPr>
              <w:t xml:space="preserve">ATO: formal </w:t>
            </w:r>
            <w:r w:rsidR="00A968CD" w:rsidRPr="00514C0B">
              <w:rPr>
                <w:rFonts w:cs="Arial"/>
              </w:rPr>
              <w:t>self-assessment</w:t>
            </w:r>
          </w:p>
          <w:p w14:paraId="0BD9068B" w14:textId="77777777" w:rsidR="00514C0B" w:rsidRPr="00514C0B" w:rsidRDefault="00514C0B" w:rsidP="004900BB">
            <w:pPr>
              <w:jc w:val="center"/>
              <w:rPr>
                <w:rFonts w:cs="Arial"/>
              </w:rPr>
            </w:pPr>
          </w:p>
          <w:p w14:paraId="1FDCB35A" w14:textId="77777777" w:rsidR="00514C0B" w:rsidRPr="00514C0B" w:rsidRDefault="00514C0B" w:rsidP="004900BB">
            <w:pPr>
              <w:jc w:val="center"/>
              <w:rPr>
                <w:rFonts w:cs="Arial"/>
              </w:rPr>
            </w:pPr>
            <w:r w:rsidRPr="00514C0B">
              <w:rPr>
                <w:rFonts w:cs="Arial"/>
              </w:rPr>
              <w:t>WorkCover: N/A</w:t>
            </w:r>
          </w:p>
        </w:tc>
      </w:tr>
      <w:tr w:rsidR="00514C0B" w:rsidRPr="00514C0B" w14:paraId="5D902DD0" w14:textId="77777777" w:rsidTr="00514C0B">
        <w:trPr>
          <w:trHeight w:val="982"/>
        </w:trPr>
        <w:tc>
          <w:tcPr>
            <w:tcW w:w="6307" w:type="dxa"/>
          </w:tcPr>
          <w:p w14:paraId="5A9EC834" w14:textId="77777777" w:rsidR="00514C0B" w:rsidRPr="00514C0B" w:rsidRDefault="00514C0B" w:rsidP="004900BB">
            <w:pPr>
              <w:rPr>
                <w:rFonts w:cs="Arial"/>
                <w:b/>
              </w:rPr>
            </w:pPr>
            <w:r w:rsidRPr="00514C0B">
              <w:rPr>
                <w:rFonts w:cs="Arial"/>
                <w:b/>
              </w:rPr>
              <w:t>Refunds and reassessments</w:t>
            </w:r>
          </w:p>
          <w:p w14:paraId="18735A85" w14:textId="77777777" w:rsidR="00514C0B" w:rsidRPr="00514C0B" w:rsidRDefault="00514C0B" w:rsidP="004900BB">
            <w:pPr>
              <w:rPr>
                <w:rFonts w:cs="Arial"/>
                <w:b/>
              </w:rPr>
            </w:pPr>
          </w:p>
          <w:p w14:paraId="1C645BD0" w14:textId="77777777" w:rsidR="00514C0B" w:rsidRPr="00514C0B" w:rsidRDefault="00514C0B" w:rsidP="004900BB">
            <w:pPr>
              <w:rPr>
                <w:rFonts w:cs="Arial"/>
              </w:rPr>
            </w:pPr>
            <w:r w:rsidRPr="00514C0B">
              <w:rPr>
                <w:rFonts w:cs="Arial"/>
              </w:rPr>
              <w:t>The period of time allowed for the Commissioner to make a reassessment and/or allow for a refund to be claimed.</w:t>
            </w:r>
          </w:p>
        </w:tc>
        <w:tc>
          <w:tcPr>
            <w:tcW w:w="1670" w:type="dxa"/>
          </w:tcPr>
          <w:p w14:paraId="5122F694" w14:textId="77777777" w:rsidR="00514C0B" w:rsidRPr="00514C0B" w:rsidRDefault="00514C0B" w:rsidP="004900BB">
            <w:pPr>
              <w:jc w:val="center"/>
              <w:rPr>
                <w:rFonts w:cs="Arial"/>
              </w:rPr>
            </w:pPr>
            <w:r w:rsidRPr="00514C0B">
              <w:rPr>
                <w:rFonts w:cs="Arial"/>
              </w:rPr>
              <w:t>5 years from the date of assessment (if any).</w:t>
            </w:r>
          </w:p>
        </w:tc>
        <w:tc>
          <w:tcPr>
            <w:tcW w:w="1671" w:type="dxa"/>
          </w:tcPr>
          <w:p w14:paraId="455A7890" w14:textId="77777777" w:rsidR="00514C0B" w:rsidRPr="00514C0B" w:rsidRDefault="00514C0B" w:rsidP="004900BB">
            <w:pPr>
              <w:jc w:val="center"/>
              <w:rPr>
                <w:rFonts w:cs="Arial"/>
              </w:rPr>
            </w:pPr>
            <w:r w:rsidRPr="00514C0B">
              <w:rPr>
                <w:rFonts w:cs="Arial"/>
              </w:rPr>
              <w:t>5 years from the date of assessment.</w:t>
            </w:r>
          </w:p>
        </w:tc>
        <w:tc>
          <w:tcPr>
            <w:tcW w:w="1671" w:type="dxa"/>
          </w:tcPr>
          <w:p w14:paraId="3ACFFC43" w14:textId="77777777" w:rsidR="00514C0B" w:rsidRPr="00514C0B" w:rsidRDefault="00514C0B" w:rsidP="004900BB">
            <w:pPr>
              <w:jc w:val="center"/>
              <w:rPr>
                <w:rFonts w:cs="Arial"/>
              </w:rPr>
            </w:pPr>
            <w:r w:rsidRPr="00514C0B">
              <w:rPr>
                <w:rFonts w:cs="Arial"/>
              </w:rPr>
              <w:t>5 years from the date of assessment (if any).</w:t>
            </w:r>
          </w:p>
        </w:tc>
        <w:tc>
          <w:tcPr>
            <w:tcW w:w="1671" w:type="dxa"/>
          </w:tcPr>
          <w:p w14:paraId="580D68E9" w14:textId="77777777" w:rsidR="00514C0B" w:rsidRPr="00514C0B" w:rsidRDefault="00514C0B" w:rsidP="004900BB">
            <w:pPr>
              <w:jc w:val="center"/>
              <w:rPr>
                <w:rFonts w:cs="Arial"/>
              </w:rPr>
            </w:pPr>
            <w:r w:rsidRPr="00514C0B">
              <w:rPr>
                <w:rFonts w:cs="Arial"/>
              </w:rPr>
              <w:t>Generally 5 years from the date of assessment.</w:t>
            </w:r>
          </w:p>
        </w:tc>
        <w:tc>
          <w:tcPr>
            <w:tcW w:w="1671" w:type="dxa"/>
          </w:tcPr>
          <w:p w14:paraId="157E92EE" w14:textId="77777777" w:rsidR="00514C0B" w:rsidRPr="00514C0B" w:rsidRDefault="00514C0B" w:rsidP="004900BB">
            <w:pPr>
              <w:jc w:val="center"/>
              <w:rPr>
                <w:rFonts w:cs="Arial"/>
              </w:rPr>
            </w:pPr>
            <w:r w:rsidRPr="00514C0B">
              <w:rPr>
                <w:rFonts w:cs="Arial"/>
              </w:rPr>
              <w:t xml:space="preserve">Reassessments: 5 years – (with some statutory exceptions) from the date of </w:t>
            </w:r>
            <w:r w:rsidRPr="00514C0B">
              <w:rPr>
                <w:rFonts w:cs="Arial"/>
                <w:u w:val="single"/>
              </w:rPr>
              <w:t>the initial</w:t>
            </w:r>
            <w:r w:rsidRPr="00514C0B">
              <w:rPr>
                <w:rFonts w:cs="Arial"/>
              </w:rPr>
              <w:t xml:space="preserve"> assessment.</w:t>
            </w:r>
          </w:p>
          <w:p w14:paraId="33D77799" w14:textId="77777777" w:rsidR="00514C0B" w:rsidRPr="00514C0B" w:rsidRDefault="00514C0B" w:rsidP="004900BB">
            <w:pPr>
              <w:jc w:val="center"/>
              <w:rPr>
                <w:rFonts w:cs="Arial"/>
                <w:highlight w:val="yellow"/>
              </w:rPr>
            </w:pPr>
            <w:r w:rsidRPr="00514C0B">
              <w:rPr>
                <w:rFonts w:cs="Arial"/>
              </w:rPr>
              <w:t>Refund applications: 5 years from date of payment</w:t>
            </w:r>
          </w:p>
        </w:tc>
        <w:tc>
          <w:tcPr>
            <w:tcW w:w="1671" w:type="dxa"/>
          </w:tcPr>
          <w:p w14:paraId="6C13F8D4" w14:textId="77777777" w:rsidR="00514C0B" w:rsidRPr="00514C0B" w:rsidRDefault="00514C0B" w:rsidP="004900BB">
            <w:pPr>
              <w:jc w:val="center"/>
              <w:rPr>
                <w:rFonts w:cs="Arial"/>
                <w:highlight w:val="yellow"/>
              </w:rPr>
            </w:pPr>
            <w:r w:rsidRPr="00514C0B">
              <w:rPr>
                <w:rFonts w:cs="Arial"/>
                <w:u w:val="single"/>
              </w:rPr>
              <w:t>5</w:t>
            </w:r>
            <w:r w:rsidRPr="00514C0B">
              <w:rPr>
                <w:rFonts w:cs="Arial"/>
              </w:rPr>
              <w:t xml:space="preserve"> years from the date of assessment (if any).</w:t>
            </w:r>
          </w:p>
        </w:tc>
        <w:tc>
          <w:tcPr>
            <w:tcW w:w="1671" w:type="dxa"/>
          </w:tcPr>
          <w:p w14:paraId="553DCB75" w14:textId="77777777" w:rsidR="00514C0B" w:rsidRPr="00514C0B" w:rsidRDefault="00514C0B" w:rsidP="004900BB">
            <w:pPr>
              <w:jc w:val="center"/>
              <w:rPr>
                <w:rFonts w:cs="Arial"/>
              </w:rPr>
            </w:pPr>
            <w:r w:rsidRPr="00514C0B">
              <w:rPr>
                <w:rFonts w:cs="Arial"/>
              </w:rPr>
              <w:t>Reassessments: 5 years – (with some statutory exceptions</w:t>
            </w:r>
            <w:r w:rsidRPr="00514C0B">
              <w:rPr>
                <w:rFonts w:cs="Arial"/>
                <w:u w:val="single"/>
              </w:rPr>
              <w:t>)</w:t>
            </w:r>
            <w:r w:rsidRPr="00514C0B">
              <w:rPr>
                <w:rFonts w:cs="Arial"/>
              </w:rPr>
              <w:t xml:space="preserve"> from the date of </w:t>
            </w:r>
            <w:r w:rsidRPr="00514C0B">
              <w:rPr>
                <w:rFonts w:cs="Arial"/>
                <w:u w:val="single"/>
              </w:rPr>
              <w:t xml:space="preserve">the initial </w:t>
            </w:r>
            <w:r w:rsidRPr="00514C0B">
              <w:rPr>
                <w:rFonts w:cs="Arial"/>
              </w:rPr>
              <w:t>assessment</w:t>
            </w:r>
          </w:p>
          <w:p w14:paraId="3EB33DD1" w14:textId="77777777" w:rsidR="00514C0B" w:rsidRPr="00514C0B" w:rsidRDefault="00514C0B" w:rsidP="004900BB">
            <w:pPr>
              <w:jc w:val="center"/>
              <w:rPr>
                <w:rFonts w:cs="Arial"/>
              </w:rPr>
            </w:pPr>
            <w:r w:rsidRPr="00514C0B">
              <w:rPr>
                <w:rFonts w:cs="Arial"/>
              </w:rPr>
              <w:t>Refund applications: 5 years from date of payment</w:t>
            </w:r>
          </w:p>
        </w:tc>
        <w:tc>
          <w:tcPr>
            <w:tcW w:w="1671" w:type="dxa"/>
          </w:tcPr>
          <w:p w14:paraId="7D574D7E" w14:textId="77777777" w:rsidR="00514C0B" w:rsidRPr="00514C0B" w:rsidRDefault="00514C0B" w:rsidP="004900BB">
            <w:pPr>
              <w:jc w:val="center"/>
            </w:pPr>
            <w:r w:rsidRPr="00514C0B">
              <w:t xml:space="preserve">5 </w:t>
            </w:r>
            <w:r w:rsidRPr="00514C0B">
              <w:rPr>
                <w:rFonts w:cs="Arial"/>
              </w:rPr>
              <w:t xml:space="preserve">financial </w:t>
            </w:r>
            <w:r w:rsidRPr="00514C0B">
              <w:t xml:space="preserve">years </w:t>
            </w:r>
            <w:r w:rsidRPr="00514C0B">
              <w:rPr>
                <w:rFonts w:cs="Arial"/>
              </w:rPr>
              <w:t>that precede</w:t>
            </w:r>
            <w:r w:rsidRPr="00514C0B">
              <w:t xml:space="preserve"> the </w:t>
            </w:r>
            <w:r w:rsidRPr="00514C0B">
              <w:rPr>
                <w:rFonts w:cs="Arial"/>
              </w:rPr>
              <w:t xml:space="preserve">financial year in which the reassessment is made  </w:t>
            </w:r>
          </w:p>
        </w:tc>
        <w:tc>
          <w:tcPr>
            <w:tcW w:w="1671" w:type="dxa"/>
          </w:tcPr>
          <w:p w14:paraId="1944E16C" w14:textId="77777777" w:rsidR="00514C0B" w:rsidRPr="00514C0B" w:rsidRDefault="00514C0B" w:rsidP="004900BB">
            <w:pPr>
              <w:jc w:val="center"/>
              <w:rPr>
                <w:rFonts w:cs="Arial"/>
              </w:rPr>
            </w:pPr>
            <w:r w:rsidRPr="00514C0B">
              <w:rPr>
                <w:rFonts w:cs="Arial"/>
              </w:rPr>
              <w:t>ATO: various</w:t>
            </w:r>
          </w:p>
          <w:p w14:paraId="0288AF73" w14:textId="77777777" w:rsidR="00514C0B" w:rsidRPr="00514C0B" w:rsidRDefault="00514C0B" w:rsidP="004900BB">
            <w:pPr>
              <w:jc w:val="center"/>
              <w:rPr>
                <w:rFonts w:cs="Arial"/>
              </w:rPr>
            </w:pPr>
          </w:p>
          <w:p w14:paraId="50BF7FA1" w14:textId="77777777" w:rsidR="00514C0B" w:rsidRPr="00514C0B" w:rsidRDefault="00514C0B" w:rsidP="004900BB">
            <w:pPr>
              <w:jc w:val="center"/>
              <w:rPr>
                <w:rFonts w:cs="Arial"/>
              </w:rPr>
            </w:pPr>
            <w:r w:rsidRPr="00514C0B">
              <w:rPr>
                <w:rFonts w:cs="Arial"/>
              </w:rPr>
              <w:t>WorkCover: various</w:t>
            </w:r>
          </w:p>
        </w:tc>
      </w:tr>
      <w:tr w:rsidR="00514C0B" w:rsidRPr="00514C0B" w14:paraId="5678C731" w14:textId="77777777" w:rsidTr="00514C0B">
        <w:trPr>
          <w:trHeight w:val="6861"/>
        </w:trPr>
        <w:tc>
          <w:tcPr>
            <w:tcW w:w="6307" w:type="dxa"/>
          </w:tcPr>
          <w:p w14:paraId="7F3A6BBC" w14:textId="77777777" w:rsidR="00514C0B" w:rsidRPr="00514C0B" w:rsidRDefault="00514C0B" w:rsidP="004900BB">
            <w:pPr>
              <w:rPr>
                <w:rFonts w:cs="Arial"/>
                <w:b/>
              </w:rPr>
            </w:pPr>
            <w:r w:rsidRPr="00514C0B">
              <w:rPr>
                <w:rFonts w:cs="Arial"/>
                <w:b/>
              </w:rPr>
              <w:lastRenderedPageBreak/>
              <w:t>Relevant contracts</w:t>
            </w:r>
          </w:p>
          <w:p w14:paraId="7F441011" w14:textId="77777777" w:rsidR="00514C0B" w:rsidRPr="00514C0B" w:rsidRDefault="00514C0B" w:rsidP="004900BB">
            <w:pPr>
              <w:rPr>
                <w:rFonts w:cs="Arial"/>
              </w:rPr>
            </w:pPr>
            <w:r w:rsidRPr="00514C0B">
              <w:rPr>
                <w:rFonts w:cs="Arial"/>
              </w:rPr>
              <w:t>A contract is deemed to be a relevant contract where:</w:t>
            </w:r>
          </w:p>
          <w:p w14:paraId="71295748" w14:textId="77777777" w:rsidR="00514C0B" w:rsidRPr="00514C0B" w:rsidRDefault="00514C0B" w:rsidP="00514C0B">
            <w:pPr>
              <w:pStyle w:val="ListParagraph"/>
              <w:numPr>
                <w:ilvl w:val="0"/>
                <w:numId w:val="2"/>
              </w:numPr>
              <w:spacing w:after="0" w:line="240" w:lineRule="auto"/>
              <w:rPr>
                <w:rFonts w:cs="Arial"/>
              </w:rPr>
            </w:pPr>
            <w:r w:rsidRPr="00514C0B">
              <w:rPr>
                <w:rFonts w:cs="Arial"/>
              </w:rPr>
              <w:t>A contractor supplies services to the principal for or in relation to performance of work;</w:t>
            </w:r>
          </w:p>
          <w:p w14:paraId="5A064FC7" w14:textId="77777777" w:rsidR="00514C0B" w:rsidRPr="00514C0B" w:rsidRDefault="00514C0B" w:rsidP="00514C0B">
            <w:pPr>
              <w:pStyle w:val="ListParagraph"/>
              <w:numPr>
                <w:ilvl w:val="0"/>
                <w:numId w:val="2"/>
              </w:numPr>
              <w:spacing w:after="0" w:line="240" w:lineRule="auto"/>
              <w:rPr>
                <w:rFonts w:cs="Arial"/>
              </w:rPr>
            </w:pPr>
            <w:r w:rsidRPr="00514C0B">
              <w:rPr>
                <w:rFonts w:cs="Arial"/>
              </w:rPr>
              <w:t>The principal supplies services of persons to the contractor for or in relation to the performance of work; or</w:t>
            </w:r>
          </w:p>
          <w:p w14:paraId="3F2F716A" w14:textId="77777777" w:rsidR="00514C0B" w:rsidRPr="00514C0B" w:rsidRDefault="00514C0B" w:rsidP="00514C0B">
            <w:pPr>
              <w:pStyle w:val="ListParagraph"/>
              <w:numPr>
                <w:ilvl w:val="0"/>
                <w:numId w:val="2"/>
              </w:numPr>
              <w:spacing w:after="0" w:line="240" w:lineRule="auto"/>
              <w:rPr>
                <w:rFonts w:cs="Arial"/>
              </w:rPr>
            </w:pPr>
            <w:r w:rsidRPr="00514C0B">
              <w:rPr>
                <w:rFonts w:cs="Arial"/>
              </w:rPr>
              <w:t>The contractor is supplied goods by the principal to perform work on those goods and then re-supply the goods back to the engaging entity</w:t>
            </w:r>
          </w:p>
          <w:p w14:paraId="1A1ECD78" w14:textId="77777777" w:rsidR="00514C0B" w:rsidRPr="00514C0B" w:rsidRDefault="00514C0B" w:rsidP="004900BB">
            <w:pPr>
              <w:rPr>
                <w:rFonts w:cs="Arial"/>
              </w:rPr>
            </w:pPr>
            <w:r w:rsidRPr="00514C0B">
              <w:rPr>
                <w:rFonts w:cs="Arial"/>
              </w:rPr>
              <w:t>Services or fees paid under a relevant contract are treated as taxable wages for PRT unless an exemption applies.</w:t>
            </w:r>
          </w:p>
          <w:p w14:paraId="2ABD45E4" w14:textId="77777777" w:rsidR="00514C0B" w:rsidRPr="00514C0B" w:rsidRDefault="00514C0B" w:rsidP="004900BB">
            <w:pPr>
              <w:rPr>
                <w:rFonts w:cs="Arial"/>
              </w:rPr>
            </w:pPr>
          </w:p>
          <w:p w14:paraId="3A2F18BD" w14:textId="77777777" w:rsidR="00514C0B" w:rsidRPr="00514C0B" w:rsidRDefault="00514C0B" w:rsidP="004900BB">
            <w:pPr>
              <w:rPr>
                <w:rFonts w:cs="Arial"/>
              </w:rPr>
            </w:pPr>
            <w:r w:rsidRPr="00514C0B">
              <w:rPr>
                <w:rFonts w:cs="Arial"/>
              </w:rPr>
              <w:t>Exempt contracts include contracts whereby:</w:t>
            </w:r>
          </w:p>
          <w:p w14:paraId="3BD4ED7E" w14:textId="77777777" w:rsidR="00514C0B" w:rsidRPr="00514C0B" w:rsidRDefault="00514C0B" w:rsidP="00514C0B">
            <w:pPr>
              <w:pStyle w:val="ListParagraph"/>
              <w:numPr>
                <w:ilvl w:val="0"/>
                <w:numId w:val="3"/>
              </w:numPr>
              <w:spacing w:after="0" w:line="240" w:lineRule="auto"/>
              <w:rPr>
                <w:rFonts w:cs="Arial"/>
              </w:rPr>
            </w:pPr>
            <w:r w:rsidRPr="00514C0B">
              <w:rPr>
                <w:rFonts w:cs="Arial"/>
              </w:rPr>
              <w:t>The service is provided to one designated person for 90 days or less in a financial year</w:t>
            </w:r>
          </w:p>
          <w:p w14:paraId="72A7C4A6" w14:textId="77777777" w:rsidR="00514C0B" w:rsidRPr="00514C0B" w:rsidRDefault="00514C0B" w:rsidP="00514C0B">
            <w:pPr>
              <w:pStyle w:val="ListParagraph"/>
              <w:numPr>
                <w:ilvl w:val="0"/>
                <w:numId w:val="3"/>
              </w:numPr>
              <w:spacing w:after="0" w:line="240" w:lineRule="auto"/>
              <w:rPr>
                <w:rFonts w:cs="Arial"/>
              </w:rPr>
            </w:pPr>
            <w:r w:rsidRPr="00514C0B">
              <w:rPr>
                <w:rFonts w:cs="Arial"/>
              </w:rPr>
              <w:t>2 or more persons perform wok under the contract</w:t>
            </w:r>
          </w:p>
          <w:p w14:paraId="29301841" w14:textId="77777777" w:rsidR="00514C0B" w:rsidRPr="00514C0B" w:rsidRDefault="00514C0B" w:rsidP="00514C0B">
            <w:pPr>
              <w:pStyle w:val="ListParagraph"/>
              <w:numPr>
                <w:ilvl w:val="0"/>
                <w:numId w:val="3"/>
              </w:numPr>
              <w:spacing w:after="0" w:line="240" w:lineRule="auto"/>
              <w:rPr>
                <w:rFonts w:cs="Arial"/>
              </w:rPr>
            </w:pPr>
            <w:r w:rsidRPr="00514C0B">
              <w:rPr>
                <w:rFonts w:cs="Arial"/>
              </w:rPr>
              <w:t>The provision of services is secondary to the supply of materials and/or equipment</w:t>
            </w:r>
          </w:p>
          <w:p w14:paraId="351F4A82" w14:textId="77777777" w:rsidR="00514C0B" w:rsidRPr="00514C0B" w:rsidRDefault="00514C0B" w:rsidP="00514C0B">
            <w:pPr>
              <w:pStyle w:val="ListParagraph"/>
              <w:numPr>
                <w:ilvl w:val="0"/>
                <w:numId w:val="3"/>
              </w:numPr>
              <w:spacing w:after="0" w:line="240" w:lineRule="auto"/>
              <w:rPr>
                <w:rFonts w:cs="Arial"/>
              </w:rPr>
            </w:pPr>
            <w:r w:rsidRPr="00514C0B">
              <w:rPr>
                <w:rFonts w:cs="Arial"/>
              </w:rPr>
              <w:t>The service is only required by the principal for less than 180 days in a financial year</w:t>
            </w:r>
          </w:p>
          <w:p w14:paraId="0C7A2F5A" w14:textId="77777777" w:rsidR="00514C0B" w:rsidRPr="00514C0B" w:rsidRDefault="00514C0B" w:rsidP="00514C0B">
            <w:pPr>
              <w:pStyle w:val="ListParagraph"/>
              <w:numPr>
                <w:ilvl w:val="0"/>
                <w:numId w:val="3"/>
              </w:numPr>
              <w:spacing w:after="0" w:line="240" w:lineRule="auto"/>
              <w:rPr>
                <w:rFonts w:cs="Arial"/>
              </w:rPr>
            </w:pPr>
            <w:r w:rsidRPr="00514C0B">
              <w:rPr>
                <w:rFonts w:cs="Arial"/>
              </w:rPr>
              <w:t>The Commissioner is satisfied that the contractor provides the services to the public at large</w:t>
            </w:r>
          </w:p>
          <w:p w14:paraId="4677462B" w14:textId="77777777" w:rsidR="00514C0B" w:rsidRPr="00514C0B" w:rsidRDefault="00514C0B" w:rsidP="00514C0B">
            <w:pPr>
              <w:pStyle w:val="ListParagraph"/>
              <w:numPr>
                <w:ilvl w:val="0"/>
                <w:numId w:val="3"/>
              </w:numPr>
              <w:spacing w:after="0" w:line="240" w:lineRule="auto"/>
              <w:rPr>
                <w:rFonts w:cs="Arial"/>
              </w:rPr>
            </w:pPr>
            <w:r w:rsidRPr="00514C0B">
              <w:rPr>
                <w:rFonts w:cs="Arial"/>
              </w:rPr>
              <w:t>The contractor transports goods in a vehicle provided by the contractor (an owner-driver)</w:t>
            </w:r>
          </w:p>
          <w:p w14:paraId="68CBBB7B" w14:textId="77777777" w:rsidR="00514C0B" w:rsidRPr="00514C0B" w:rsidRDefault="00514C0B" w:rsidP="00514C0B">
            <w:pPr>
              <w:pStyle w:val="ListParagraph"/>
              <w:numPr>
                <w:ilvl w:val="0"/>
                <w:numId w:val="3"/>
              </w:numPr>
              <w:spacing w:after="0" w:line="240" w:lineRule="auto"/>
              <w:rPr>
                <w:rFonts w:cs="Arial"/>
              </w:rPr>
            </w:pPr>
            <w:r w:rsidRPr="00514C0B">
              <w:rPr>
                <w:rFonts w:cs="Arial"/>
              </w:rPr>
              <w:t>The contractor provides services as an insurance agent (holder or authorised representative of a AFS license)</w:t>
            </w:r>
          </w:p>
          <w:p w14:paraId="6AE4520C" w14:textId="77777777" w:rsidR="00514C0B" w:rsidRPr="00514C0B" w:rsidRDefault="00514C0B" w:rsidP="00514C0B">
            <w:pPr>
              <w:pStyle w:val="ListParagraph"/>
              <w:numPr>
                <w:ilvl w:val="0"/>
                <w:numId w:val="3"/>
              </w:numPr>
              <w:spacing w:after="0" w:line="240" w:lineRule="auto"/>
              <w:rPr>
                <w:rFonts w:cs="Arial"/>
              </w:rPr>
            </w:pPr>
            <w:r w:rsidRPr="00514C0B">
              <w:rPr>
                <w:rFonts w:cs="Arial"/>
              </w:rPr>
              <w:t>The contractor provides services for or in relation to the door-to-door sale of goods solely for domestic purposes</w:t>
            </w:r>
          </w:p>
          <w:p w14:paraId="542C7392" w14:textId="77777777" w:rsidR="00514C0B" w:rsidRPr="00514C0B" w:rsidRDefault="00514C0B" w:rsidP="00514C0B">
            <w:pPr>
              <w:pStyle w:val="ListParagraph"/>
              <w:numPr>
                <w:ilvl w:val="0"/>
                <w:numId w:val="3"/>
              </w:numPr>
              <w:spacing w:after="0" w:line="240" w:lineRule="auto"/>
              <w:rPr>
                <w:rFonts w:cs="Arial"/>
              </w:rPr>
            </w:pPr>
            <w:r w:rsidRPr="00514C0B">
              <w:rPr>
                <w:rFonts w:cs="Arial"/>
              </w:rPr>
              <w:t>The contract is an ‘employment agency contract’</w:t>
            </w:r>
          </w:p>
          <w:p w14:paraId="485A8061" w14:textId="77777777" w:rsidR="00514C0B" w:rsidRPr="00514C0B" w:rsidRDefault="00514C0B" w:rsidP="004900BB">
            <w:pPr>
              <w:rPr>
                <w:rFonts w:cs="Arial"/>
              </w:rPr>
            </w:pPr>
          </w:p>
          <w:p w14:paraId="52FBE8FF" w14:textId="77777777" w:rsidR="00514C0B" w:rsidRPr="00514C0B" w:rsidRDefault="00514C0B" w:rsidP="004900BB">
            <w:pPr>
              <w:rPr>
                <w:rFonts w:cs="Arial"/>
              </w:rPr>
            </w:pPr>
            <w:r w:rsidRPr="00514C0B">
              <w:rPr>
                <w:rFonts w:cs="Arial"/>
              </w:rPr>
              <w:t>Deductions from gross payments to contractors are available for certain types of contractors.</w:t>
            </w:r>
          </w:p>
        </w:tc>
        <w:tc>
          <w:tcPr>
            <w:tcW w:w="1670" w:type="dxa"/>
          </w:tcPr>
          <w:p w14:paraId="25265DB9" w14:textId="77777777" w:rsidR="00514C0B" w:rsidRPr="00514C0B" w:rsidRDefault="00514C0B" w:rsidP="004900BB">
            <w:pPr>
              <w:jc w:val="center"/>
              <w:rPr>
                <w:rFonts w:cs="Arial"/>
              </w:rPr>
            </w:pPr>
            <w:r w:rsidRPr="00514C0B">
              <w:rPr>
                <w:rFonts w:cs="Arial"/>
              </w:rPr>
              <w:t>Exemptions 1, 2, 4, 7 and 8 do not apply.</w:t>
            </w:r>
          </w:p>
        </w:tc>
        <w:tc>
          <w:tcPr>
            <w:tcW w:w="1671" w:type="dxa"/>
          </w:tcPr>
          <w:p w14:paraId="4BE648F0" w14:textId="77777777" w:rsidR="00514C0B" w:rsidRPr="00514C0B" w:rsidRDefault="00514C0B" w:rsidP="004900BB">
            <w:pPr>
              <w:jc w:val="center"/>
              <w:rPr>
                <w:rFonts w:cs="Arial"/>
                <w:highlight w:val="yellow"/>
              </w:rPr>
            </w:pPr>
            <w:r w:rsidRPr="00514C0B">
              <w:rPr>
                <w:rFonts w:cs="Arial"/>
              </w:rPr>
              <w:t>Exemptions 7 and 8 do not apply.</w:t>
            </w:r>
          </w:p>
        </w:tc>
        <w:tc>
          <w:tcPr>
            <w:tcW w:w="1671" w:type="dxa"/>
          </w:tcPr>
          <w:p w14:paraId="5C890B02" w14:textId="77777777" w:rsidR="00514C0B" w:rsidRPr="00514C0B" w:rsidRDefault="00514C0B" w:rsidP="004900BB">
            <w:pPr>
              <w:jc w:val="center"/>
              <w:rPr>
                <w:rFonts w:cs="Arial"/>
                <w:highlight w:val="yellow"/>
              </w:rPr>
            </w:pPr>
            <w:r w:rsidRPr="00514C0B">
              <w:rPr>
                <w:rFonts w:cs="Arial"/>
              </w:rPr>
              <w:t>Exemptions 7 and 8 do not apply.</w:t>
            </w:r>
          </w:p>
        </w:tc>
        <w:tc>
          <w:tcPr>
            <w:tcW w:w="1671" w:type="dxa"/>
          </w:tcPr>
          <w:p w14:paraId="1078342E" w14:textId="77777777" w:rsidR="00514C0B" w:rsidRPr="00514C0B" w:rsidRDefault="00514C0B" w:rsidP="004900BB">
            <w:pPr>
              <w:jc w:val="center"/>
              <w:rPr>
                <w:rFonts w:cs="Arial"/>
                <w:highlight w:val="yellow"/>
              </w:rPr>
            </w:pPr>
            <w:r w:rsidRPr="00514C0B">
              <w:rPr>
                <w:rFonts w:cs="Arial"/>
              </w:rPr>
              <w:t>All listed exemptions are available.</w:t>
            </w:r>
          </w:p>
        </w:tc>
        <w:tc>
          <w:tcPr>
            <w:tcW w:w="1671" w:type="dxa"/>
          </w:tcPr>
          <w:p w14:paraId="6E768420" w14:textId="77777777" w:rsidR="00514C0B" w:rsidRPr="00514C0B" w:rsidRDefault="00514C0B" w:rsidP="004900BB">
            <w:pPr>
              <w:jc w:val="center"/>
              <w:rPr>
                <w:rFonts w:cs="Arial"/>
              </w:rPr>
            </w:pPr>
            <w:r w:rsidRPr="00514C0B">
              <w:rPr>
                <w:rFonts w:cs="Arial"/>
              </w:rPr>
              <w:t>All listed exemptions are available.</w:t>
            </w:r>
          </w:p>
        </w:tc>
        <w:tc>
          <w:tcPr>
            <w:tcW w:w="1671" w:type="dxa"/>
          </w:tcPr>
          <w:p w14:paraId="53B7C166" w14:textId="77777777" w:rsidR="00514C0B" w:rsidRPr="00514C0B" w:rsidRDefault="00514C0B" w:rsidP="004900BB">
            <w:pPr>
              <w:jc w:val="center"/>
              <w:rPr>
                <w:rFonts w:cs="Arial"/>
              </w:rPr>
            </w:pPr>
            <w:r w:rsidRPr="00514C0B">
              <w:rPr>
                <w:rFonts w:cs="Arial"/>
              </w:rPr>
              <w:t>Exemptions for insurance and door-to-door sellers was removed effective 31 October 2016 (and owner-driver exemption tightened) but all other listed exemptions are available.</w:t>
            </w:r>
          </w:p>
        </w:tc>
        <w:tc>
          <w:tcPr>
            <w:tcW w:w="1671" w:type="dxa"/>
          </w:tcPr>
          <w:p w14:paraId="4B8356F9" w14:textId="77777777" w:rsidR="00514C0B" w:rsidRPr="00514C0B" w:rsidRDefault="00514C0B" w:rsidP="004900BB">
            <w:pPr>
              <w:jc w:val="center"/>
              <w:rPr>
                <w:rFonts w:cs="Arial"/>
                <w:highlight w:val="yellow"/>
              </w:rPr>
            </w:pPr>
            <w:r w:rsidRPr="00514C0B">
              <w:rPr>
                <w:rFonts w:cs="Arial"/>
              </w:rPr>
              <w:t>All listed exemptions are available.</w:t>
            </w:r>
          </w:p>
        </w:tc>
        <w:tc>
          <w:tcPr>
            <w:tcW w:w="1671" w:type="dxa"/>
          </w:tcPr>
          <w:p w14:paraId="08AC5E09" w14:textId="77777777" w:rsidR="00514C0B" w:rsidRPr="00514C0B" w:rsidRDefault="00514C0B" w:rsidP="004900BB">
            <w:pPr>
              <w:jc w:val="center"/>
              <w:rPr>
                <w:highlight w:val="yellow"/>
              </w:rPr>
            </w:pPr>
            <w:r w:rsidRPr="00514C0B">
              <w:rPr>
                <w:rFonts w:cs="Arial"/>
              </w:rPr>
              <w:t>WA does not have relevant contractor provisions. For a liability to apply there must generally be an employer/employee relationship.</w:t>
            </w:r>
          </w:p>
        </w:tc>
        <w:tc>
          <w:tcPr>
            <w:tcW w:w="1671" w:type="dxa"/>
          </w:tcPr>
          <w:p w14:paraId="57A02EFF" w14:textId="77777777" w:rsidR="00514C0B" w:rsidRPr="00514C0B" w:rsidRDefault="00514C0B" w:rsidP="004900BB">
            <w:pPr>
              <w:jc w:val="center"/>
              <w:rPr>
                <w:rFonts w:cs="Arial"/>
              </w:rPr>
            </w:pPr>
            <w:r w:rsidRPr="00514C0B">
              <w:rPr>
                <w:rFonts w:cs="Arial"/>
              </w:rPr>
              <w:t>SG – payments to individual contractors can be deemed to be subject to SG.</w:t>
            </w:r>
          </w:p>
          <w:p w14:paraId="3737E187" w14:textId="77777777" w:rsidR="00514C0B" w:rsidRPr="00514C0B" w:rsidRDefault="00514C0B" w:rsidP="004900BB">
            <w:pPr>
              <w:jc w:val="center"/>
              <w:rPr>
                <w:rFonts w:cs="Arial"/>
              </w:rPr>
            </w:pPr>
          </w:p>
          <w:p w14:paraId="75D3B94D" w14:textId="77777777" w:rsidR="00514C0B" w:rsidRPr="00514C0B" w:rsidRDefault="00514C0B" w:rsidP="004900BB">
            <w:pPr>
              <w:jc w:val="center"/>
              <w:rPr>
                <w:rFonts w:cs="Arial"/>
              </w:rPr>
            </w:pPr>
            <w:r w:rsidRPr="00514C0B">
              <w:rPr>
                <w:rFonts w:cs="Arial"/>
              </w:rPr>
              <w:t>WorkCover: various</w:t>
            </w:r>
          </w:p>
        </w:tc>
      </w:tr>
    </w:tbl>
    <w:p w14:paraId="727E8554" w14:textId="77777777" w:rsidR="008A7109" w:rsidRDefault="008A7109" w:rsidP="00615899"/>
    <w:p w14:paraId="7ACDE23F" w14:textId="77777777" w:rsidR="008A7109" w:rsidRDefault="008A7109">
      <w:r>
        <w:br w:type="page"/>
      </w:r>
    </w:p>
    <w:tbl>
      <w:tblPr>
        <w:tblStyle w:val="TableGrid"/>
        <w:tblW w:w="5046" w:type="pct"/>
        <w:tblLayout w:type="fixed"/>
        <w:tblLook w:val="04A0" w:firstRow="1" w:lastRow="0" w:firstColumn="1" w:lastColumn="0" w:noHBand="0" w:noVBand="1"/>
      </w:tblPr>
      <w:tblGrid>
        <w:gridCol w:w="6307"/>
        <w:gridCol w:w="1670"/>
        <w:gridCol w:w="1671"/>
        <w:gridCol w:w="1671"/>
        <w:gridCol w:w="1671"/>
        <w:gridCol w:w="1671"/>
        <w:gridCol w:w="1671"/>
        <w:gridCol w:w="1671"/>
        <w:gridCol w:w="1671"/>
        <w:gridCol w:w="1671"/>
      </w:tblGrid>
      <w:tr w:rsidR="008A7109" w:rsidRPr="008A7109" w14:paraId="149127AE" w14:textId="77777777" w:rsidTr="009E65C1">
        <w:tc>
          <w:tcPr>
            <w:tcW w:w="6307" w:type="dxa"/>
            <w:shd w:val="clear" w:color="auto" w:fill="D9D9D9" w:themeFill="background1" w:themeFillShade="D9"/>
            <w:vAlign w:val="center"/>
          </w:tcPr>
          <w:p w14:paraId="476D791B" w14:textId="77777777" w:rsidR="008A7109" w:rsidRPr="008A7109" w:rsidRDefault="008A7109" w:rsidP="009E65C1">
            <w:pPr>
              <w:jc w:val="center"/>
              <w:rPr>
                <w:rFonts w:cs="Arial"/>
                <w:b/>
              </w:rPr>
            </w:pPr>
            <w:r w:rsidRPr="008A7109">
              <w:rPr>
                <w:rFonts w:cs="Arial"/>
                <w:b/>
              </w:rPr>
              <w:lastRenderedPageBreak/>
              <w:t>PAYROLL TAX TREATMENT</w:t>
            </w:r>
          </w:p>
        </w:tc>
        <w:tc>
          <w:tcPr>
            <w:tcW w:w="1670" w:type="dxa"/>
            <w:shd w:val="clear" w:color="auto" w:fill="D9D9D9" w:themeFill="background1" w:themeFillShade="D9"/>
            <w:vAlign w:val="center"/>
          </w:tcPr>
          <w:p w14:paraId="4DCBE224" w14:textId="77777777" w:rsidR="008A7109" w:rsidRPr="008A7109" w:rsidRDefault="008A7109" w:rsidP="009E65C1">
            <w:pPr>
              <w:jc w:val="center"/>
              <w:rPr>
                <w:rFonts w:cs="Arial"/>
                <w:b/>
              </w:rPr>
            </w:pPr>
            <w:r w:rsidRPr="008A7109">
              <w:rPr>
                <w:rFonts w:cs="Arial"/>
                <w:b/>
              </w:rPr>
              <w:t>ACT</w:t>
            </w:r>
          </w:p>
        </w:tc>
        <w:tc>
          <w:tcPr>
            <w:tcW w:w="1671" w:type="dxa"/>
            <w:shd w:val="clear" w:color="auto" w:fill="D9D9D9" w:themeFill="background1" w:themeFillShade="D9"/>
            <w:vAlign w:val="center"/>
          </w:tcPr>
          <w:p w14:paraId="21AF570C" w14:textId="77777777" w:rsidR="008A7109" w:rsidRPr="008A7109" w:rsidRDefault="008A7109" w:rsidP="009E65C1">
            <w:pPr>
              <w:jc w:val="center"/>
              <w:rPr>
                <w:rFonts w:cs="Arial"/>
                <w:b/>
              </w:rPr>
            </w:pPr>
            <w:r w:rsidRPr="008A7109">
              <w:rPr>
                <w:rFonts w:cs="Arial"/>
                <w:b/>
              </w:rPr>
              <w:t>NSW</w:t>
            </w:r>
          </w:p>
        </w:tc>
        <w:tc>
          <w:tcPr>
            <w:tcW w:w="1671" w:type="dxa"/>
            <w:shd w:val="clear" w:color="auto" w:fill="D9D9D9" w:themeFill="background1" w:themeFillShade="D9"/>
            <w:vAlign w:val="center"/>
          </w:tcPr>
          <w:p w14:paraId="5EAB2446" w14:textId="77777777" w:rsidR="008A7109" w:rsidRPr="008A7109" w:rsidRDefault="008A7109" w:rsidP="009E65C1">
            <w:pPr>
              <w:jc w:val="center"/>
              <w:rPr>
                <w:rFonts w:cs="Arial"/>
                <w:b/>
              </w:rPr>
            </w:pPr>
            <w:r w:rsidRPr="008A7109">
              <w:rPr>
                <w:rFonts w:cs="Arial"/>
                <w:b/>
              </w:rPr>
              <w:t>NT</w:t>
            </w:r>
          </w:p>
        </w:tc>
        <w:tc>
          <w:tcPr>
            <w:tcW w:w="1671" w:type="dxa"/>
            <w:shd w:val="clear" w:color="auto" w:fill="D9D9D9" w:themeFill="background1" w:themeFillShade="D9"/>
            <w:vAlign w:val="center"/>
          </w:tcPr>
          <w:p w14:paraId="669B851E" w14:textId="77777777" w:rsidR="008A7109" w:rsidRPr="008A7109" w:rsidRDefault="008A7109" w:rsidP="009E65C1">
            <w:pPr>
              <w:jc w:val="center"/>
              <w:rPr>
                <w:rFonts w:cs="Arial"/>
                <w:b/>
              </w:rPr>
            </w:pPr>
            <w:r w:rsidRPr="008A7109">
              <w:rPr>
                <w:rFonts w:cs="Arial"/>
                <w:b/>
              </w:rPr>
              <w:t>QLD</w:t>
            </w:r>
          </w:p>
        </w:tc>
        <w:tc>
          <w:tcPr>
            <w:tcW w:w="1671" w:type="dxa"/>
            <w:shd w:val="clear" w:color="auto" w:fill="D9D9D9" w:themeFill="background1" w:themeFillShade="D9"/>
            <w:vAlign w:val="center"/>
          </w:tcPr>
          <w:p w14:paraId="774EBB1E" w14:textId="77777777" w:rsidR="008A7109" w:rsidRPr="008A7109" w:rsidRDefault="008A7109" w:rsidP="009E65C1">
            <w:pPr>
              <w:jc w:val="center"/>
              <w:rPr>
                <w:rFonts w:cs="Arial"/>
                <w:b/>
              </w:rPr>
            </w:pPr>
            <w:r w:rsidRPr="008A7109">
              <w:rPr>
                <w:rFonts w:cs="Arial"/>
                <w:b/>
              </w:rPr>
              <w:t>SA</w:t>
            </w:r>
          </w:p>
        </w:tc>
        <w:tc>
          <w:tcPr>
            <w:tcW w:w="1671" w:type="dxa"/>
            <w:shd w:val="clear" w:color="auto" w:fill="D9D9D9" w:themeFill="background1" w:themeFillShade="D9"/>
            <w:vAlign w:val="center"/>
          </w:tcPr>
          <w:p w14:paraId="226D6B55" w14:textId="77777777" w:rsidR="008A7109" w:rsidRPr="008A7109" w:rsidRDefault="008A7109" w:rsidP="009E65C1">
            <w:pPr>
              <w:jc w:val="center"/>
              <w:rPr>
                <w:rFonts w:cs="Arial"/>
                <w:b/>
              </w:rPr>
            </w:pPr>
            <w:r w:rsidRPr="008A7109">
              <w:rPr>
                <w:rFonts w:cs="Arial"/>
                <w:b/>
              </w:rPr>
              <w:t>TAS</w:t>
            </w:r>
          </w:p>
        </w:tc>
        <w:tc>
          <w:tcPr>
            <w:tcW w:w="1671" w:type="dxa"/>
            <w:shd w:val="clear" w:color="auto" w:fill="D9D9D9" w:themeFill="background1" w:themeFillShade="D9"/>
            <w:vAlign w:val="center"/>
          </w:tcPr>
          <w:p w14:paraId="5ABB520D" w14:textId="77777777" w:rsidR="008A7109" w:rsidRPr="008A7109" w:rsidRDefault="008A7109" w:rsidP="009E65C1">
            <w:pPr>
              <w:jc w:val="center"/>
              <w:rPr>
                <w:rFonts w:cs="Arial"/>
                <w:b/>
              </w:rPr>
            </w:pPr>
            <w:r w:rsidRPr="008A7109">
              <w:rPr>
                <w:rFonts w:cs="Arial"/>
                <w:b/>
              </w:rPr>
              <w:t>VIC</w:t>
            </w:r>
          </w:p>
        </w:tc>
        <w:tc>
          <w:tcPr>
            <w:tcW w:w="1671" w:type="dxa"/>
            <w:shd w:val="clear" w:color="auto" w:fill="D9D9D9" w:themeFill="background1" w:themeFillShade="D9"/>
            <w:vAlign w:val="center"/>
          </w:tcPr>
          <w:p w14:paraId="5F47A313" w14:textId="77777777" w:rsidR="008A7109" w:rsidRPr="008A7109" w:rsidRDefault="008A7109" w:rsidP="009E65C1">
            <w:pPr>
              <w:jc w:val="center"/>
              <w:rPr>
                <w:rFonts w:cs="Arial"/>
                <w:b/>
              </w:rPr>
            </w:pPr>
            <w:r w:rsidRPr="008A7109">
              <w:rPr>
                <w:rFonts w:cs="Arial"/>
                <w:b/>
              </w:rPr>
              <w:t>WA</w:t>
            </w:r>
          </w:p>
        </w:tc>
        <w:tc>
          <w:tcPr>
            <w:tcW w:w="1671" w:type="dxa"/>
            <w:shd w:val="clear" w:color="auto" w:fill="D9D9D9" w:themeFill="background1" w:themeFillShade="D9"/>
          </w:tcPr>
          <w:p w14:paraId="5A47EE63" w14:textId="77777777" w:rsidR="008A7109" w:rsidRPr="008A7109" w:rsidRDefault="008A7109" w:rsidP="009E65C1">
            <w:pPr>
              <w:jc w:val="center"/>
              <w:rPr>
                <w:rFonts w:cs="Arial"/>
                <w:b/>
              </w:rPr>
            </w:pPr>
            <w:r w:rsidRPr="008A7109">
              <w:rPr>
                <w:rFonts w:cs="Arial"/>
                <w:b/>
              </w:rPr>
              <w:t>ATO / WorkCover</w:t>
            </w:r>
          </w:p>
        </w:tc>
      </w:tr>
      <w:tr w:rsidR="008A7109" w:rsidRPr="008A7109" w14:paraId="5D133952" w14:textId="77777777" w:rsidTr="008A7109">
        <w:tc>
          <w:tcPr>
            <w:tcW w:w="6307" w:type="dxa"/>
          </w:tcPr>
          <w:p w14:paraId="1FABFE47" w14:textId="77777777" w:rsidR="008A7109" w:rsidRPr="008A7109" w:rsidRDefault="008A7109" w:rsidP="008A7109">
            <w:pPr>
              <w:rPr>
                <w:rFonts w:cs="Arial"/>
              </w:rPr>
            </w:pPr>
            <w:r w:rsidRPr="008A7109">
              <w:rPr>
                <w:rFonts w:cs="Arial"/>
                <w:b/>
              </w:rPr>
              <w:t>Tax-free thresholds and rates for the 2017 Financial Year</w:t>
            </w:r>
          </w:p>
        </w:tc>
        <w:tc>
          <w:tcPr>
            <w:tcW w:w="1670" w:type="dxa"/>
          </w:tcPr>
          <w:p w14:paraId="2446A8E2" w14:textId="77777777" w:rsidR="008A7109" w:rsidRPr="008A7109" w:rsidRDefault="008A7109" w:rsidP="008A7109">
            <w:pPr>
              <w:jc w:val="center"/>
              <w:rPr>
                <w:rFonts w:cs="Arial"/>
              </w:rPr>
            </w:pPr>
            <w:r w:rsidRPr="008A7109">
              <w:rPr>
                <w:rFonts w:cs="Arial"/>
              </w:rPr>
              <w:t>Annual threshold:</w:t>
            </w:r>
          </w:p>
          <w:p w14:paraId="45C9BDB1" w14:textId="77777777" w:rsidR="008A7109" w:rsidRPr="008A7109" w:rsidRDefault="008A7109" w:rsidP="008A7109">
            <w:pPr>
              <w:jc w:val="center"/>
              <w:rPr>
                <w:rFonts w:cs="Arial"/>
              </w:rPr>
            </w:pPr>
            <w:r w:rsidRPr="008A7109">
              <w:rPr>
                <w:rFonts w:cs="Arial"/>
              </w:rPr>
              <w:t>$2,000,000</w:t>
            </w:r>
          </w:p>
          <w:p w14:paraId="677F161A" w14:textId="77777777" w:rsidR="008A7109" w:rsidRPr="008A7109" w:rsidRDefault="008A7109" w:rsidP="008A7109">
            <w:pPr>
              <w:jc w:val="center"/>
              <w:rPr>
                <w:rFonts w:cs="Arial"/>
              </w:rPr>
            </w:pPr>
          </w:p>
          <w:p w14:paraId="117FC561" w14:textId="77777777" w:rsidR="008A7109" w:rsidRPr="008A7109" w:rsidRDefault="008A7109" w:rsidP="008A7109">
            <w:pPr>
              <w:jc w:val="center"/>
              <w:rPr>
                <w:rFonts w:cs="Arial"/>
              </w:rPr>
            </w:pPr>
            <w:r w:rsidRPr="008A7109">
              <w:rPr>
                <w:rFonts w:cs="Arial"/>
              </w:rPr>
              <w:t>PRT rate:</w:t>
            </w:r>
          </w:p>
          <w:p w14:paraId="6DC3DD39" w14:textId="77777777" w:rsidR="008A7109" w:rsidRPr="008A7109" w:rsidRDefault="008A7109" w:rsidP="008A7109">
            <w:pPr>
              <w:jc w:val="center"/>
              <w:rPr>
                <w:rFonts w:cs="Arial"/>
              </w:rPr>
            </w:pPr>
            <w:r w:rsidRPr="008A7109">
              <w:rPr>
                <w:rFonts w:cs="Arial"/>
              </w:rPr>
              <w:t>6.85%</w:t>
            </w:r>
          </w:p>
        </w:tc>
        <w:tc>
          <w:tcPr>
            <w:tcW w:w="1671" w:type="dxa"/>
          </w:tcPr>
          <w:p w14:paraId="0E0ABC63" w14:textId="77777777" w:rsidR="008A7109" w:rsidRPr="008A7109" w:rsidRDefault="008A7109" w:rsidP="008A7109">
            <w:pPr>
              <w:jc w:val="center"/>
              <w:rPr>
                <w:rFonts w:cs="Arial"/>
              </w:rPr>
            </w:pPr>
            <w:r w:rsidRPr="008A7109">
              <w:rPr>
                <w:rFonts w:cs="Arial"/>
              </w:rPr>
              <w:t>Annual threshold:</w:t>
            </w:r>
          </w:p>
          <w:p w14:paraId="4CE9CC00" w14:textId="77777777" w:rsidR="008A7109" w:rsidRPr="008A7109" w:rsidRDefault="008A7109" w:rsidP="008A7109">
            <w:pPr>
              <w:jc w:val="center"/>
              <w:rPr>
                <w:rFonts w:cs="Arial"/>
              </w:rPr>
            </w:pPr>
            <w:r w:rsidRPr="008A7109">
              <w:rPr>
                <w:rFonts w:cs="Arial"/>
              </w:rPr>
              <w:t>$750,000</w:t>
            </w:r>
          </w:p>
          <w:p w14:paraId="4043F205" w14:textId="77777777" w:rsidR="008A7109" w:rsidRPr="008A7109" w:rsidRDefault="008A7109" w:rsidP="008A7109">
            <w:pPr>
              <w:jc w:val="center"/>
              <w:rPr>
                <w:rFonts w:cs="Arial"/>
              </w:rPr>
            </w:pPr>
          </w:p>
          <w:p w14:paraId="09A87160" w14:textId="77777777" w:rsidR="008A7109" w:rsidRPr="008A7109" w:rsidRDefault="008A7109" w:rsidP="008A7109">
            <w:pPr>
              <w:jc w:val="center"/>
              <w:rPr>
                <w:rFonts w:cs="Arial"/>
              </w:rPr>
            </w:pPr>
            <w:r w:rsidRPr="008A7109">
              <w:rPr>
                <w:rFonts w:cs="Arial"/>
              </w:rPr>
              <w:t>PRT rate:</w:t>
            </w:r>
          </w:p>
          <w:p w14:paraId="1E123543" w14:textId="77777777" w:rsidR="008A7109" w:rsidRPr="008A7109" w:rsidRDefault="008A7109" w:rsidP="008A7109">
            <w:pPr>
              <w:jc w:val="center"/>
              <w:rPr>
                <w:rFonts w:cs="Arial"/>
              </w:rPr>
            </w:pPr>
            <w:r w:rsidRPr="008A7109">
              <w:rPr>
                <w:rFonts w:cs="Arial"/>
              </w:rPr>
              <w:t>5.45%</w:t>
            </w:r>
          </w:p>
        </w:tc>
        <w:tc>
          <w:tcPr>
            <w:tcW w:w="1671" w:type="dxa"/>
          </w:tcPr>
          <w:p w14:paraId="3B920675" w14:textId="77777777" w:rsidR="008A7109" w:rsidRPr="008A7109" w:rsidRDefault="008A7109" w:rsidP="008A7109">
            <w:pPr>
              <w:jc w:val="center"/>
              <w:rPr>
                <w:rFonts w:cs="Arial"/>
              </w:rPr>
            </w:pPr>
            <w:r w:rsidRPr="008A7109">
              <w:rPr>
                <w:rFonts w:cs="Arial"/>
              </w:rPr>
              <w:t>Annual threshold:</w:t>
            </w:r>
          </w:p>
          <w:p w14:paraId="6C0E9C67" w14:textId="77777777" w:rsidR="008A7109" w:rsidRPr="008A7109" w:rsidRDefault="008A7109" w:rsidP="008A7109">
            <w:pPr>
              <w:jc w:val="center"/>
              <w:rPr>
                <w:rFonts w:cs="Arial"/>
              </w:rPr>
            </w:pPr>
            <w:r w:rsidRPr="008A7109">
              <w:rPr>
                <w:rFonts w:cs="Arial"/>
              </w:rPr>
              <w:t>$1,500,000</w:t>
            </w:r>
          </w:p>
          <w:p w14:paraId="07931CD3" w14:textId="77777777" w:rsidR="008A7109" w:rsidRPr="008A7109" w:rsidRDefault="008A7109" w:rsidP="008A7109">
            <w:pPr>
              <w:jc w:val="center"/>
              <w:rPr>
                <w:rFonts w:cs="Arial"/>
              </w:rPr>
            </w:pPr>
          </w:p>
          <w:p w14:paraId="31C57271" w14:textId="77777777" w:rsidR="008A7109" w:rsidRPr="008A7109" w:rsidRDefault="008A7109" w:rsidP="008A7109">
            <w:pPr>
              <w:jc w:val="center"/>
              <w:rPr>
                <w:rFonts w:cs="Arial"/>
              </w:rPr>
            </w:pPr>
            <w:r w:rsidRPr="008A7109">
              <w:rPr>
                <w:rFonts w:cs="Arial"/>
              </w:rPr>
              <w:t>PRT rate:</w:t>
            </w:r>
          </w:p>
          <w:p w14:paraId="7EC41DD5" w14:textId="77777777" w:rsidR="008A7109" w:rsidRPr="008A7109" w:rsidRDefault="008A7109" w:rsidP="008A7109">
            <w:pPr>
              <w:jc w:val="center"/>
              <w:rPr>
                <w:rFonts w:cs="Arial"/>
              </w:rPr>
            </w:pPr>
            <w:r w:rsidRPr="008A7109">
              <w:rPr>
                <w:rFonts w:cs="Arial"/>
              </w:rPr>
              <w:t>5.50%</w:t>
            </w:r>
          </w:p>
        </w:tc>
        <w:tc>
          <w:tcPr>
            <w:tcW w:w="1671" w:type="dxa"/>
            <w:vAlign w:val="center"/>
          </w:tcPr>
          <w:p w14:paraId="44B96AD7" w14:textId="77777777" w:rsidR="008A7109" w:rsidRPr="008A7109" w:rsidRDefault="008A7109" w:rsidP="009E65C1">
            <w:pPr>
              <w:jc w:val="center"/>
              <w:rPr>
                <w:rFonts w:cs="Arial"/>
              </w:rPr>
            </w:pPr>
            <w:r w:rsidRPr="008A7109">
              <w:rPr>
                <w:rFonts w:cs="Arial"/>
              </w:rPr>
              <w:t>Annual threshold:</w:t>
            </w:r>
          </w:p>
          <w:p w14:paraId="18449AB1" w14:textId="77777777" w:rsidR="008A7109" w:rsidRPr="008A7109" w:rsidRDefault="008A7109" w:rsidP="009E65C1">
            <w:pPr>
              <w:jc w:val="center"/>
              <w:rPr>
                <w:rFonts w:cs="Arial"/>
              </w:rPr>
            </w:pPr>
            <w:r w:rsidRPr="008A7109">
              <w:rPr>
                <w:rFonts w:cs="Arial"/>
              </w:rPr>
              <w:t>$1,100,000</w:t>
            </w:r>
          </w:p>
          <w:p w14:paraId="1AEF30F3" w14:textId="77777777" w:rsidR="008A7109" w:rsidRPr="008A7109" w:rsidRDefault="008A7109" w:rsidP="009E65C1">
            <w:pPr>
              <w:jc w:val="center"/>
              <w:rPr>
                <w:rFonts w:cs="Arial"/>
              </w:rPr>
            </w:pPr>
          </w:p>
          <w:p w14:paraId="65359A0A" w14:textId="77777777" w:rsidR="008A7109" w:rsidRPr="008A7109" w:rsidRDefault="008A7109" w:rsidP="009E65C1">
            <w:pPr>
              <w:jc w:val="center"/>
              <w:rPr>
                <w:rFonts w:cs="Arial"/>
              </w:rPr>
            </w:pPr>
            <w:r w:rsidRPr="008A7109">
              <w:rPr>
                <w:rFonts w:cs="Arial"/>
              </w:rPr>
              <w:t>A diminishing deduction threshold is applied to those employers with taxable wages between $1,100,000 to $5,500,000</w:t>
            </w:r>
          </w:p>
          <w:p w14:paraId="54636193" w14:textId="77777777" w:rsidR="008A7109" w:rsidRPr="008A7109" w:rsidRDefault="008A7109" w:rsidP="009E65C1">
            <w:pPr>
              <w:jc w:val="center"/>
              <w:rPr>
                <w:rFonts w:cs="Arial"/>
              </w:rPr>
            </w:pPr>
          </w:p>
          <w:p w14:paraId="03A32C7B" w14:textId="77777777" w:rsidR="008A7109" w:rsidRPr="008A7109" w:rsidRDefault="008A7109" w:rsidP="009E65C1">
            <w:pPr>
              <w:jc w:val="center"/>
              <w:rPr>
                <w:rFonts w:cs="Arial"/>
              </w:rPr>
            </w:pPr>
            <w:r w:rsidRPr="008A7109">
              <w:rPr>
                <w:rFonts w:cs="Arial"/>
              </w:rPr>
              <w:t>No deductions are available to those employers with taxable wages greater than or equal to $5,500,000</w:t>
            </w:r>
          </w:p>
          <w:p w14:paraId="25EE29A0" w14:textId="77777777" w:rsidR="008A7109" w:rsidRPr="008A7109" w:rsidRDefault="008A7109" w:rsidP="009E65C1">
            <w:pPr>
              <w:jc w:val="center"/>
              <w:rPr>
                <w:rFonts w:cs="Arial"/>
              </w:rPr>
            </w:pPr>
          </w:p>
          <w:p w14:paraId="3CBFA8C8" w14:textId="77777777" w:rsidR="008A7109" w:rsidRPr="008A7109" w:rsidRDefault="008A7109" w:rsidP="009E65C1">
            <w:pPr>
              <w:jc w:val="center"/>
              <w:rPr>
                <w:rFonts w:cs="Arial"/>
              </w:rPr>
            </w:pPr>
            <w:r w:rsidRPr="008A7109">
              <w:rPr>
                <w:rFonts w:cs="Arial"/>
              </w:rPr>
              <w:t>PRT rate:</w:t>
            </w:r>
          </w:p>
          <w:p w14:paraId="1FBAC957" w14:textId="77777777" w:rsidR="008A7109" w:rsidRPr="008A7109" w:rsidRDefault="008A7109" w:rsidP="009E65C1">
            <w:pPr>
              <w:jc w:val="center"/>
              <w:rPr>
                <w:rFonts w:cs="Arial"/>
              </w:rPr>
            </w:pPr>
            <w:r w:rsidRPr="008A7109">
              <w:rPr>
                <w:rFonts w:cs="Arial"/>
              </w:rPr>
              <w:t>4.75%</w:t>
            </w:r>
          </w:p>
        </w:tc>
        <w:tc>
          <w:tcPr>
            <w:tcW w:w="1671" w:type="dxa"/>
          </w:tcPr>
          <w:p w14:paraId="5BCAC96C" w14:textId="77777777" w:rsidR="008A7109" w:rsidRPr="008A7109" w:rsidRDefault="008A7109" w:rsidP="008A7109">
            <w:pPr>
              <w:jc w:val="center"/>
              <w:rPr>
                <w:rFonts w:cs="Arial"/>
              </w:rPr>
            </w:pPr>
            <w:r w:rsidRPr="008A7109">
              <w:rPr>
                <w:rFonts w:cs="Arial"/>
              </w:rPr>
              <w:t>Annual threshold:</w:t>
            </w:r>
          </w:p>
          <w:p w14:paraId="0D9E24A1" w14:textId="77777777" w:rsidR="008A7109" w:rsidRPr="008A7109" w:rsidRDefault="008A7109" w:rsidP="008A7109">
            <w:pPr>
              <w:jc w:val="center"/>
              <w:rPr>
                <w:rFonts w:cs="Arial"/>
              </w:rPr>
            </w:pPr>
            <w:r w:rsidRPr="008A7109">
              <w:rPr>
                <w:rFonts w:cs="Arial"/>
              </w:rPr>
              <w:t>$600,000</w:t>
            </w:r>
          </w:p>
          <w:p w14:paraId="06EFF9A7" w14:textId="77777777" w:rsidR="008A7109" w:rsidRPr="008A7109" w:rsidRDefault="008A7109" w:rsidP="008A7109">
            <w:pPr>
              <w:jc w:val="center"/>
              <w:rPr>
                <w:rFonts w:cs="Arial"/>
              </w:rPr>
            </w:pPr>
          </w:p>
          <w:p w14:paraId="3F4921E2" w14:textId="77777777" w:rsidR="008A7109" w:rsidRPr="008A7109" w:rsidRDefault="008A7109" w:rsidP="008A7109">
            <w:pPr>
              <w:jc w:val="center"/>
              <w:rPr>
                <w:rFonts w:cs="Arial"/>
              </w:rPr>
            </w:pPr>
            <w:r w:rsidRPr="008A7109">
              <w:rPr>
                <w:rFonts w:cs="Arial"/>
              </w:rPr>
              <w:t>PRT rate:</w:t>
            </w:r>
          </w:p>
          <w:p w14:paraId="73A5A700" w14:textId="77777777" w:rsidR="008A7109" w:rsidRPr="008A7109" w:rsidRDefault="008A7109" w:rsidP="008A7109">
            <w:pPr>
              <w:jc w:val="center"/>
              <w:rPr>
                <w:rFonts w:cs="Arial"/>
              </w:rPr>
            </w:pPr>
            <w:r w:rsidRPr="008A7109">
              <w:rPr>
                <w:rFonts w:cs="Arial"/>
              </w:rPr>
              <w:t>4.95%</w:t>
            </w:r>
          </w:p>
        </w:tc>
        <w:tc>
          <w:tcPr>
            <w:tcW w:w="1671" w:type="dxa"/>
          </w:tcPr>
          <w:p w14:paraId="3504AB47" w14:textId="77777777" w:rsidR="008A7109" w:rsidRPr="008A7109" w:rsidRDefault="008A7109" w:rsidP="008A7109">
            <w:pPr>
              <w:jc w:val="center"/>
              <w:rPr>
                <w:rFonts w:cs="Arial"/>
              </w:rPr>
            </w:pPr>
            <w:r w:rsidRPr="008A7109">
              <w:rPr>
                <w:rFonts w:cs="Arial"/>
              </w:rPr>
              <w:t>Annual threshold:</w:t>
            </w:r>
          </w:p>
          <w:p w14:paraId="0F2B9B70" w14:textId="77777777" w:rsidR="008A7109" w:rsidRPr="008A7109" w:rsidRDefault="008A7109" w:rsidP="008A7109">
            <w:pPr>
              <w:jc w:val="center"/>
              <w:rPr>
                <w:rFonts w:cs="Arial"/>
              </w:rPr>
            </w:pPr>
            <w:r w:rsidRPr="008A7109">
              <w:rPr>
                <w:rFonts w:cs="Arial"/>
              </w:rPr>
              <w:t>$1,250,000</w:t>
            </w:r>
          </w:p>
          <w:p w14:paraId="16F6C698" w14:textId="77777777" w:rsidR="008A7109" w:rsidRPr="008A7109" w:rsidRDefault="008A7109" w:rsidP="008A7109">
            <w:pPr>
              <w:jc w:val="center"/>
              <w:rPr>
                <w:rFonts w:cs="Arial"/>
              </w:rPr>
            </w:pPr>
          </w:p>
          <w:p w14:paraId="142D83D2" w14:textId="77777777" w:rsidR="008A7109" w:rsidRPr="008A7109" w:rsidRDefault="008A7109" w:rsidP="008A7109">
            <w:pPr>
              <w:jc w:val="center"/>
              <w:rPr>
                <w:rFonts w:cs="Arial"/>
              </w:rPr>
            </w:pPr>
            <w:r w:rsidRPr="008A7109">
              <w:rPr>
                <w:rFonts w:cs="Arial"/>
              </w:rPr>
              <w:t>PRT rate:</w:t>
            </w:r>
          </w:p>
          <w:p w14:paraId="3126D785" w14:textId="77777777" w:rsidR="008A7109" w:rsidRPr="008A7109" w:rsidRDefault="008A7109" w:rsidP="008A7109">
            <w:pPr>
              <w:jc w:val="center"/>
              <w:rPr>
                <w:rFonts w:cs="Arial"/>
              </w:rPr>
            </w:pPr>
            <w:r w:rsidRPr="008A7109">
              <w:rPr>
                <w:rFonts w:cs="Arial"/>
              </w:rPr>
              <w:t>6.10%</w:t>
            </w:r>
          </w:p>
        </w:tc>
        <w:tc>
          <w:tcPr>
            <w:tcW w:w="1671" w:type="dxa"/>
          </w:tcPr>
          <w:p w14:paraId="3A26E70D" w14:textId="77777777" w:rsidR="008A7109" w:rsidRPr="008A7109" w:rsidRDefault="008A7109" w:rsidP="008A7109">
            <w:pPr>
              <w:jc w:val="center"/>
              <w:rPr>
                <w:rFonts w:cs="Arial"/>
              </w:rPr>
            </w:pPr>
            <w:r w:rsidRPr="008A7109">
              <w:rPr>
                <w:rFonts w:cs="Arial"/>
              </w:rPr>
              <w:t>Annual threshold:</w:t>
            </w:r>
          </w:p>
          <w:p w14:paraId="017AC07B" w14:textId="77777777" w:rsidR="008A7109" w:rsidRPr="008A7109" w:rsidRDefault="008A7109" w:rsidP="008A7109">
            <w:pPr>
              <w:jc w:val="center"/>
              <w:rPr>
                <w:rFonts w:cs="Arial"/>
              </w:rPr>
            </w:pPr>
            <w:r w:rsidRPr="008A7109">
              <w:rPr>
                <w:rFonts w:cs="Arial"/>
              </w:rPr>
              <w:t>$575,000</w:t>
            </w:r>
          </w:p>
          <w:p w14:paraId="5D36F198" w14:textId="77777777" w:rsidR="008A7109" w:rsidRPr="008A7109" w:rsidRDefault="008A7109" w:rsidP="008A7109">
            <w:pPr>
              <w:jc w:val="center"/>
              <w:rPr>
                <w:rFonts w:cs="Arial"/>
              </w:rPr>
            </w:pPr>
          </w:p>
          <w:p w14:paraId="1FDF35EE" w14:textId="77777777" w:rsidR="008A7109" w:rsidRPr="008A7109" w:rsidRDefault="008A7109" w:rsidP="008A7109">
            <w:pPr>
              <w:jc w:val="center"/>
              <w:rPr>
                <w:rFonts w:cs="Arial"/>
              </w:rPr>
            </w:pPr>
            <w:r w:rsidRPr="008A7109">
              <w:rPr>
                <w:rFonts w:cs="Arial"/>
              </w:rPr>
              <w:t>PRT rate:</w:t>
            </w:r>
          </w:p>
          <w:p w14:paraId="5124A501" w14:textId="77777777" w:rsidR="008A7109" w:rsidRPr="008A7109" w:rsidRDefault="008A7109" w:rsidP="008A7109">
            <w:pPr>
              <w:jc w:val="center"/>
              <w:rPr>
                <w:rFonts w:cs="Arial"/>
              </w:rPr>
            </w:pPr>
            <w:r w:rsidRPr="008A7109">
              <w:rPr>
                <w:rFonts w:cs="Arial"/>
              </w:rPr>
              <w:t>4.85%</w:t>
            </w:r>
          </w:p>
        </w:tc>
        <w:tc>
          <w:tcPr>
            <w:tcW w:w="1671" w:type="dxa"/>
            <w:vAlign w:val="center"/>
          </w:tcPr>
          <w:p w14:paraId="05DB0463" w14:textId="77777777" w:rsidR="008A7109" w:rsidRPr="008A7109" w:rsidRDefault="008A7109" w:rsidP="009E65C1">
            <w:pPr>
              <w:jc w:val="center"/>
              <w:rPr>
                <w:rFonts w:cs="Arial"/>
              </w:rPr>
            </w:pPr>
            <w:r w:rsidRPr="008A7109">
              <w:rPr>
                <w:rFonts w:cs="Arial"/>
              </w:rPr>
              <w:t>Annual threshold:</w:t>
            </w:r>
          </w:p>
          <w:p w14:paraId="3E440875" w14:textId="77777777" w:rsidR="008A7109" w:rsidRPr="008A7109" w:rsidRDefault="008A7109" w:rsidP="009E65C1">
            <w:pPr>
              <w:jc w:val="center"/>
              <w:rPr>
                <w:rFonts w:cs="Arial"/>
              </w:rPr>
            </w:pPr>
            <w:r w:rsidRPr="008A7109">
              <w:rPr>
                <w:rFonts w:cs="Arial"/>
              </w:rPr>
              <w:t>$850,000</w:t>
            </w:r>
          </w:p>
          <w:p w14:paraId="530536B6" w14:textId="77777777" w:rsidR="008A7109" w:rsidRPr="008A7109" w:rsidRDefault="008A7109" w:rsidP="009E65C1">
            <w:pPr>
              <w:jc w:val="center"/>
              <w:rPr>
                <w:rFonts w:cs="Arial"/>
              </w:rPr>
            </w:pPr>
          </w:p>
          <w:p w14:paraId="0A10C587" w14:textId="77777777" w:rsidR="008A7109" w:rsidRPr="008A7109" w:rsidRDefault="008A7109" w:rsidP="009E65C1">
            <w:pPr>
              <w:jc w:val="center"/>
              <w:rPr>
                <w:rFonts w:cs="Arial"/>
              </w:rPr>
            </w:pPr>
            <w:r w:rsidRPr="008A7109">
              <w:rPr>
                <w:rFonts w:cs="Arial"/>
              </w:rPr>
              <w:t>A diminishing threshold is applied to those employers with taxable wages between $850,000 to $7,500,000</w:t>
            </w:r>
          </w:p>
          <w:p w14:paraId="4076849D" w14:textId="77777777" w:rsidR="008A7109" w:rsidRPr="008A7109" w:rsidRDefault="008A7109" w:rsidP="009E65C1">
            <w:pPr>
              <w:jc w:val="center"/>
              <w:rPr>
                <w:rFonts w:cs="Arial"/>
              </w:rPr>
            </w:pPr>
          </w:p>
          <w:p w14:paraId="1DCA5A32" w14:textId="77777777" w:rsidR="008A7109" w:rsidRPr="008A7109" w:rsidRDefault="008A7109" w:rsidP="009E65C1">
            <w:pPr>
              <w:jc w:val="center"/>
              <w:rPr>
                <w:rFonts w:cs="Arial"/>
              </w:rPr>
            </w:pPr>
            <w:r w:rsidRPr="008A7109">
              <w:rPr>
                <w:rFonts w:cs="Arial"/>
              </w:rPr>
              <w:t>No threshold is available to those employers with taxable wages greater than or equal to $7,500,000</w:t>
            </w:r>
          </w:p>
          <w:p w14:paraId="76F2FDDD" w14:textId="77777777" w:rsidR="008A7109" w:rsidRPr="008A7109" w:rsidRDefault="008A7109" w:rsidP="009E65C1">
            <w:pPr>
              <w:jc w:val="center"/>
              <w:rPr>
                <w:rFonts w:cs="Arial"/>
              </w:rPr>
            </w:pPr>
          </w:p>
          <w:p w14:paraId="6301EEFC" w14:textId="77777777" w:rsidR="008A7109" w:rsidRPr="008A7109" w:rsidRDefault="008A7109" w:rsidP="009E65C1">
            <w:pPr>
              <w:jc w:val="center"/>
              <w:rPr>
                <w:rFonts w:cs="Arial"/>
              </w:rPr>
            </w:pPr>
            <w:r w:rsidRPr="008A7109">
              <w:rPr>
                <w:rFonts w:cs="Arial"/>
              </w:rPr>
              <w:t>PRT rate:</w:t>
            </w:r>
          </w:p>
          <w:p w14:paraId="5C3A225F" w14:textId="77777777" w:rsidR="008A7109" w:rsidRPr="008A7109" w:rsidRDefault="008A7109" w:rsidP="009E65C1">
            <w:pPr>
              <w:jc w:val="center"/>
              <w:rPr>
                <w:rFonts w:cs="Arial"/>
              </w:rPr>
            </w:pPr>
            <w:r w:rsidRPr="008A7109">
              <w:rPr>
                <w:rFonts w:cs="Arial"/>
              </w:rPr>
              <w:t>5.50%</w:t>
            </w:r>
          </w:p>
        </w:tc>
        <w:tc>
          <w:tcPr>
            <w:tcW w:w="1671" w:type="dxa"/>
          </w:tcPr>
          <w:p w14:paraId="3D4574C6" w14:textId="77777777" w:rsidR="008A7109" w:rsidRPr="008A7109" w:rsidRDefault="008A7109" w:rsidP="008A7109">
            <w:pPr>
              <w:jc w:val="center"/>
              <w:rPr>
                <w:rFonts w:cs="Arial"/>
              </w:rPr>
            </w:pPr>
            <w:r w:rsidRPr="008A7109">
              <w:rPr>
                <w:rFonts w:cs="Arial"/>
              </w:rPr>
              <w:t>ATO: N/A</w:t>
            </w:r>
          </w:p>
          <w:p w14:paraId="2C9D96BD" w14:textId="77777777" w:rsidR="008A7109" w:rsidRPr="008A7109" w:rsidRDefault="008A7109" w:rsidP="008A7109">
            <w:pPr>
              <w:jc w:val="center"/>
              <w:rPr>
                <w:rFonts w:cs="Arial"/>
              </w:rPr>
            </w:pPr>
          </w:p>
          <w:p w14:paraId="34AC9D17" w14:textId="77777777" w:rsidR="008A7109" w:rsidRPr="008A7109" w:rsidRDefault="008A7109" w:rsidP="008A7109">
            <w:pPr>
              <w:jc w:val="center"/>
              <w:rPr>
                <w:rFonts w:cs="Arial"/>
              </w:rPr>
            </w:pPr>
            <w:r w:rsidRPr="008A7109">
              <w:rPr>
                <w:rFonts w:cs="Arial"/>
              </w:rPr>
              <w:t>WorkCover: various</w:t>
            </w:r>
          </w:p>
        </w:tc>
      </w:tr>
    </w:tbl>
    <w:p w14:paraId="458AE0F2" w14:textId="77777777" w:rsidR="008A7109" w:rsidRDefault="008A7109" w:rsidP="00615899">
      <w:pPr>
        <w:sectPr w:rsidR="008A7109" w:rsidSect="00615899">
          <w:pgSz w:w="23814" w:h="16840" w:orient="landscape" w:code="8"/>
          <w:pgMar w:top="1440" w:right="1440" w:bottom="1440" w:left="1440" w:header="709" w:footer="709" w:gutter="0"/>
          <w:cols w:space="708"/>
          <w:docGrid w:linePitch="360"/>
        </w:sectPr>
      </w:pPr>
    </w:p>
    <w:p w14:paraId="7BE47BCD" w14:textId="77777777" w:rsidR="00615899" w:rsidRDefault="00B97A9E" w:rsidP="00B97A9E">
      <w:pPr>
        <w:pStyle w:val="Heading2"/>
      </w:pPr>
      <w:r>
        <w:lastRenderedPageBreak/>
        <w:t xml:space="preserve">Attachment </w:t>
      </w:r>
      <w:r w:rsidR="00B80E34">
        <w:t>C</w:t>
      </w:r>
      <w:r>
        <w:t>:</w:t>
      </w:r>
      <w:r w:rsidR="000B6207">
        <w:t xml:space="preserve"> </w:t>
      </w:r>
      <w:r w:rsidR="00880AFC">
        <w:t>stamp duty and land t</w:t>
      </w:r>
      <w:r w:rsidR="000B6207" w:rsidRPr="000B6207">
        <w:t>ax inconsistencies between States and Territories as at 30 March 2017</w:t>
      </w:r>
    </w:p>
    <w:tbl>
      <w:tblPr>
        <w:tblStyle w:val="TableGrid"/>
        <w:tblW w:w="4651" w:type="pct"/>
        <w:tblLayout w:type="fixed"/>
        <w:tblLook w:val="04A0" w:firstRow="1" w:lastRow="0" w:firstColumn="1" w:lastColumn="0" w:noHBand="0" w:noVBand="1"/>
      </w:tblPr>
      <w:tblGrid>
        <w:gridCol w:w="6307"/>
        <w:gridCol w:w="1670"/>
        <w:gridCol w:w="1671"/>
        <w:gridCol w:w="1671"/>
        <w:gridCol w:w="1671"/>
        <w:gridCol w:w="1671"/>
        <w:gridCol w:w="1671"/>
        <w:gridCol w:w="1671"/>
        <w:gridCol w:w="1671"/>
      </w:tblGrid>
      <w:tr w:rsidR="000B6207" w:rsidRPr="00A40BD6" w14:paraId="22E6D4BC" w14:textId="77777777" w:rsidTr="001E74A7">
        <w:trPr>
          <w:tblHeader/>
        </w:trPr>
        <w:tc>
          <w:tcPr>
            <w:tcW w:w="6307" w:type="dxa"/>
            <w:shd w:val="clear" w:color="auto" w:fill="D9D9D9" w:themeFill="background1" w:themeFillShade="D9"/>
            <w:vAlign w:val="center"/>
          </w:tcPr>
          <w:p w14:paraId="076E6A27" w14:textId="77777777" w:rsidR="008B360D" w:rsidRDefault="008B360D" w:rsidP="001E74A7">
            <w:pPr>
              <w:jc w:val="center"/>
              <w:rPr>
                <w:rFonts w:ascii="Arial" w:hAnsi="Arial" w:cs="Arial"/>
                <w:b/>
              </w:rPr>
            </w:pPr>
          </w:p>
          <w:p w14:paraId="31EB0541" w14:textId="77777777" w:rsidR="000B6207" w:rsidRDefault="000B6207" w:rsidP="001E74A7">
            <w:pPr>
              <w:jc w:val="center"/>
              <w:rPr>
                <w:rFonts w:ascii="Arial" w:hAnsi="Arial" w:cs="Arial"/>
                <w:b/>
              </w:rPr>
            </w:pPr>
            <w:r>
              <w:rPr>
                <w:rFonts w:ascii="Arial" w:hAnsi="Arial" w:cs="Arial"/>
                <w:b/>
              </w:rPr>
              <w:t xml:space="preserve">STAMP DUTY </w:t>
            </w:r>
            <w:r w:rsidRPr="00A40BD6">
              <w:rPr>
                <w:rFonts w:ascii="Arial" w:hAnsi="Arial" w:cs="Arial"/>
                <w:b/>
              </w:rPr>
              <w:t>TREATMENT</w:t>
            </w:r>
          </w:p>
          <w:p w14:paraId="2035531A" w14:textId="77777777" w:rsidR="000B6207" w:rsidRPr="00A40BD6" w:rsidRDefault="000B6207" w:rsidP="001E74A7">
            <w:pPr>
              <w:rPr>
                <w:rFonts w:ascii="Arial" w:hAnsi="Arial" w:cs="Arial"/>
                <w:b/>
              </w:rPr>
            </w:pPr>
          </w:p>
        </w:tc>
        <w:tc>
          <w:tcPr>
            <w:tcW w:w="1670" w:type="dxa"/>
            <w:shd w:val="clear" w:color="auto" w:fill="D9D9D9" w:themeFill="background1" w:themeFillShade="D9"/>
            <w:vAlign w:val="center"/>
          </w:tcPr>
          <w:p w14:paraId="38C1C0AC" w14:textId="77777777" w:rsidR="000B6207" w:rsidRPr="00A40BD6" w:rsidRDefault="000B6207" w:rsidP="001E74A7">
            <w:pPr>
              <w:jc w:val="center"/>
              <w:rPr>
                <w:rFonts w:ascii="Arial" w:hAnsi="Arial" w:cs="Arial"/>
                <w:b/>
              </w:rPr>
            </w:pPr>
            <w:r w:rsidRPr="00A40BD6">
              <w:rPr>
                <w:rFonts w:ascii="Arial" w:hAnsi="Arial" w:cs="Arial"/>
                <w:b/>
              </w:rPr>
              <w:t>ACT</w:t>
            </w:r>
          </w:p>
        </w:tc>
        <w:tc>
          <w:tcPr>
            <w:tcW w:w="1671" w:type="dxa"/>
            <w:shd w:val="clear" w:color="auto" w:fill="D9D9D9" w:themeFill="background1" w:themeFillShade="D9"/>
            <w:vAlign w:val="center"/>
          </w:tcPr>
          <w:p w14:paraId="7C09511C" w14:textId="77777777" w:rsidR="000B6207" w:rsidRPr="00A40BD6" w:rsidRDefault="000B6207" w:rsidP="001E74A7">
            <w:pPr>
              <w:jc w:val="center"/>
              <w:rPr>
                <w:rFonts w:ascii="Arial" w:hAnsi="Arial" w:cs="Arial"/>
                <w:b/>
              </w:rPr>
            </w:pPr>
            <w:r w:rsidRPr="00A40BD6">
              <w:rPr>
                <w:rFonts w:ascii="Arial" w:hAnsi="Arial" w:cs="Arial"/>
                <w:b/>
              </w:rPr>
              <w:t>NSW</w:t>
            </w:r>
          </w:p>
        </w:tc>
        <w:tc>
          <w:tcPr>
            <w:tcW w:w="1671" w:type="dxa"/>
            <w:shd w:val="clear" w:color="auto" w:fill="D9D9D9" w:themeFill="background1" w:themeFillShade="D9"/>
            <w:vAlign w:val="center"/>
          </w:tcPr>
          <w:p w14:paraId="0C799C15" w14:textId="77777777" w:rsidR="000B6207" w:rsidRPr="00A40BD6" w:rsidRDefault="000B6207" w:rsidP="001E74A7">
            <w:pPr>
              <w:jc w:val="center"/>
              <w:rPr>
                <w:rFonts w:ascii="Arial" w:hAnsi="Arial" w:cs="Arial"/>
                <w:b/>
              </w:rPr>
            </w:pPr>
            <w:r w:rsidRPr="00A40BD6">
              <w:rPr>
                <w:rFonts w:ascii="Arial" w:hAnsi="Arial" w:cs="Arial"/>
                <w:b/>
              </w:rPr>
              <w:t>NT</w:t>
            </w:r>
          </w:p>
        </w:tc>
        <w:tc>
          <w:tcPr>
            <w:tcW w:w="1671" w:type="dxa"/>
            <w:shd w:val="clear" w:color="auto" w:fill="D9D9D9" w:themeFill="background1" w:themeFillShade="D9"/>
            <w:vAlign w:val="center"/>
          </w:tcPr>
          <w:p w14:paraId="30657D50" w14:textId="77777777" w:rsidR="000B6207" w:rsidRPr="00A40BD6" w:rsidRDefault="000B6207" w:rsidP="001E74A7">
            <w:pPr>
              <w:jc w:val="center"/>
              <w:rPr>
                <w:rFonts w:ascii="Arial" w:hAnsi="Arial" w:cs="Arial"/>
                <w:b/>
              </w:rPr>
            </w:pPr>
            <w:r w:rsidRPr="00A40BD6">
              <w:rPr>
                <w:rFonts w:ascii="Arial" w:hAnsi="Arial" w:cs="Arial"/>
                <w:b/>
              </w:rPr>
              <w:t>QLD</w:t>
            </w:r>
          </w:p>
        </w:tc>
        <w:tc>
          <w:tcPr>
            <w:tcW w:w="1671" w:type="dxa"/>
            <w:shd w:val="clear" w:color="auto" w:fill="D9D9D9" w:themeFill="background1" w:themeFillShade="D9"/>
            <w:vAlign w:val="center"/>
          </w:tcPr>
          <w:p w14:paraId="40853BEE" w14:textId="77777777" w:rsidR="000B6207" w:rsidRPr="00A40BD6" w:rsidRDefault="000B6207" w:rsidP="001E74A7">
            <w:pPr>
              <w:jc w:val="center"/>
              <w:rPr>
                <w:rFonts w:ascii="Arial" w:hAnsi="Arial" w:cs="Arial"/>
                <w:b/>
              </w:rPr>
            </w:pPr>
            <w:r w:rsidRPr="00A40BD6">
              <w:rPr>
                <w:rFonts w:ascii="Arial" w:hAnsi="Arial" w:cs="Arial"/>
                <w:b/>
              </w:rPr>
              <w:t>SA</w:t>
            </w:r>
          </w:p>
        </w:tc>
        <w:tc>
          <w:tcPr>
            <w:tcW w:w="1671" w:type="dxa"/>
            <w:shd w:val="clear" w:color="auto" w:fill="D9D9D9" w:themeFill="background1" w:themeFillShade="D9"/>
            <w:vAlign w:val="center"/>
          </w:tcPr>
          <w:p w14:paraId="5258F971" w14:textId="77777777" w:rsidR="000B6207" w:rsidRPr="00A40BD6" w:rsidRDefault="000B6207" w:rsidP="001E74A7">
            <w:pPr>
              <w:jc w:val="center"/>
              <w:rPr>
                <w:rFonts w:ascii="Arial" w:hAnsi="Arial" w:cs="Arial"/>
                <w:b/>
              </w:rPr>
            </w:pPr>
            <w:r w:rsidRPr="00A40BD6">
              <w:rPr>
                <w:rFonts w:ascii="Arial" w:hAnsi="Arial" w:cs="Arial"/>
                <w:b/>
              </w:rPr>
              <w:t>TAS</w:t>
            </w:r>
          </w:p>
        </w:tc>
        <w:tc>
          <w:tcPr>
            <w:tcW w:w="1671" w:type="dxa"/>
            <w:shd w:val="clear" w:color="auto" w:fill="D9D9D9" w:themeFill="background1" w:themeFillShade="D9"/>
            <w:vAlign w:val="center"/>
          </w:tcPr>
          <w:p w14:paraId="3A66580A" w14:textId="77777777" w:rsidR="000B6207" w:rsidRPr="00A40BD6" w:rsidRDefault="000B6207" w:rsidP="001E74A7">
            <w:pPr>
              <w:jc w:val="center"/>
              <w:rPr>
                <w:rFonts w:ascii="Arial" w:hAnsi="Arial" w:cs="Arial"/>
                <w:b/>
              </w:rPr>
            </w:pPr>
            <w:r w:rsidRPr="00A40BD6">
              <w:rPr>
                <w:rFonts w:ascii="Arial" w:hAnsi="Arial" w:cs="Arial"/>
                <w:b/>
              </w:rPr>
              <w:t>VIC</w:t>
            </w:r>
          </w:p>
        </w:tc>
        <w:tc>
          <w:tcPr>
            <w:tcW w:w="1671" w:type="dxa"/>
            <w:shd w:val="clear" w:color="auto" w:fill="D9D9D9" w:themeFill="background1" w:themeFillShade="D9"/>
            <w:vAlign w:val="center"/>
          </w:tcPr>
          <w:p w14:paraId="034C585F" w14:textId="77777777" w:rsidR="000B6207" w:rsidRPr="00A40BD6" w:rsidRDefault="000B6207" w:rsidP="001E74A7">
            <w:pPr>
              <w:jc w:val="center"/>
              <w:rPr>
                <w:rFonts w:ascii="Arial" w:hAnsi="Arial" w:cs="Arial"/>
                <w:b/>
              </w:rPr>
            </w:pPr>
            <w:r w:rsidRPr="00A40BD6">
              <w:rPr>
                <w:rFonts w:ascii="Arial" w:hAnsi="Arial" w:cs="Arial"/>
                <w:b/>
              </w:rPr>
              <w:t>WA</w:t>
            </w:r>
          </w:p>
        </w:tc>
      </w:tr>
      <w:tr w:rsidR="000B6207" w:rsidRPr="00A40BD6" w14:paraId="54F2E1E7" w14:textId="77777777" w:rsidTr="001E74A7">
        <w:tc>
          <w:tcPr>
            <w:tcW w:w="6307" w:type="dxa"/>
          </w:tcPr>
          <w:p w14:paraId="0C7BE7D3" w14:textId="77777777" w:rsidR="000B6207" w:rsidRPr="00A40BD6" w:rsidRDefault="000B6207" w:rsidP="001E74A7">
            <w:pPr>
              <w:rPr>
                <w:rFonts w:ascii="Arial" w:hAnsi="Arial" w:cs="Arial"/>
                <w:b/>
              </w:rPr>
            </w:pPr>
            <w:r>
              <w:rPr>
                <w:rFonts w:ascii="Arial" w:hAnsi="Arial" w:cs="Arial"/>
                <w:b/>
              </w:rPr>
              <w:t>Legislation</w:t>
            </w:r>
          </w:p>
        </w:tc>
        <w:tc>
          <w:tcPr>
            <w:tcW w:w="1670" w:type="dxa"/>
            <w:vAlign w:val="center"/>
          </w:tcPr>
          <w:p w14:paraId="087944A0" w14:textId="77777777" w:rsidR="000B6207" w:rsidRPr="00686C65" w:rsidRDefault="000B6207" w:rsidP="001E74A7">
            <w:pPr>
              <w:jc w:val="center"/>
              <w:rPr>
                <w:rFonts w:ascii="Arial" w:hAnsi="Arial" w:cs="Arial"/>
              </w:rPr>
            </w:pPr>
            <w:r w:rsidRPr="00686C65">
              <w:rPr>
                <w:rFonts w:ascii="Arial" w:hAnsi="Arial" w:cs="Arial"/>
              </w:rPr>
              <w:t>Duties Act 1999</w:t>
            </w:r>
          </w:p>
        </w:tc>
        <w:tc>
          <w:tcPr>
            <w:tcW w:w="1671" w:type="dxa"/>
            <w:vAlign w:val="center"/>
          </w:tcPr>
          <w:p w14:paraId="2F4A5FBB" w14:textId="77777777" w:rsidR="000B6207" w:rsidRPr="00686C65" w:rsidRDefault="000B6207" w:rsidP="001E74A7">
            <w:pPr>
              <w:jc w:val="center"/>
              <w:rPr>
                <w:rFonts w:ascii="Arial" w:hAnsi="Arial" w:cs="Arial"/>
              </w:rPr>
            </w:pPr>
            <w:r w:rsidRPr="00686C65">
              <w:rPr>
                <w:rFonts w:ascii="Arial" w:hAnsi="Arial" w:cs="Arial"/>
              </w:rPr>
              <w:t>Duties Act 1997</w:t>
            </w:r>
          </w:p>
        </w:tc>
        <w:tc>
          <w:tcPr>
            <w:tcW w:w="1671" w:type="dxa"/>
            <w:vAlign w:val="center"/>
          </w:tcPr>
          <w:p w14:paraId="534745D9" w14:textId="77777777" w:rsidR="000B6207" w:rsidRPr="00686C65" w:rsidRDefault="000B6207" w:rsidP="001E74A7">
            <w:pPr>
              <w:jc w:val="center"/>
              <w:rPr>
                <w:rFonts w:ascii="Arial" w:hAnsi="Arial" w:cs="Arial"/>
              </w:rPr>
            </w:pPr>
            <w:r w:rsidRPr="00686C65">
              <w:rPr>
                <w:rFonts w:ascii="Arial" w:hAnsi="Arial" w:cs="Arial"/>
              </w:rPr>
              <w:t>Stamp Duty Act</w:t>
            </w:r>
          </w:p>
        </w:tc>
        <w:tc>
          <w:tcPr>
            <w:tcW w:w="1671" w:type="dxa"/>
            <w:vAlign w:val="center"/>
          </w:tcPr>
          <w:p w14:paraId="704F8985" w14:textId="77777777" w:rsidR="000B6207" w:rsidRPr="00686C65" w:rsidRDefault="000B6207" w:rsidP="001E74A7">
            <w:pPr>
              <w:jc w:val="center"/>
              <w:rPr>
                <w:rFonts w:ascii="Arial" w:hAnsi="Arial" w:cs="Arial"/>
              </w:rPr>
            </w:pPr>
            <w:r w:rsidRPr="00686C65">
              <w:rPr>
                <w:rFonts w:ascii="Arial" w:hAnsi="Arial" w:cs="Arial"/>
              </w:rPr>
              <w:t>Duties Act 2001</w:t>
            </w:r>
          </w:p>
        </w:tc>
        <w:tc>
          <w:tcPr>
            <w:tcW w:w="1671" w:type="dxa"/>
            <w:vAlign w:val="center"/>
          </w:tcPr>
          <w:p w14:paraId="365B9E8A" w14:textId="77777777" w:rsidR="000B6207" w:rsidRPr="00686C65" w:rsidRDefault="000B6207" w:rsidP="001E74A7">
            <w:pPr>
              <w:jc w:val="center"/>
              <w:rPr>
                <w:rFonts w:ascii="Arial" w:hAnsi="Arial" w:cs="Arial"/>
              </w:rPr>
            </w:pPr>
            <w:r w:rsidRPr="00686C65">
              <w:rPr>
                <w:rFonts w:ascii="Arial" w:hAnsi="Arial" w:cs="Arial"/>
              </w:rPr>
              <w:t>Stamp Duties Act 1923</w:t>
            </w:r>
          </w:p>
        </w:tc>
        <w:tc>
          <w:tcPr>
            <w:tcW w:w="1671" w:type="dxa"/>
            <w:vAlign w:val="center"/>
          </w:tcPr>
          <w:p w14:paraId="73DDEB46" w14:textId="77777777" w:rsidR="000B6207" w:rsidRPr="00686C65" w:rsidRDefault="000B6207" w:rsidP="001E74A7">
            <w:pPr>
              <w:jc w:val="center"/>
              <w:rPr>
                <w:rFonts w:ascii="Arial" w:hAnsi="Arial" w:cs="Arial"/>
              </w:rPr>
            </w:pPr>
            <w:r w:rsidRPr="00686C65">
              <w:rPr>
                <w:rFonts w:ascii="Arial" w:hAnsi="Arial" w:cs="Arial"/>
              </w:rPr>
              <w:t>Duties Act 2001</w:t>
            </w:r>
          </w:p>
        </w:tc>
        <w:tc>
          <w:tcPr>
            <w:tcW w:w="1671" w:type="dxa"/>
            <w:vAlign w:val="center"/>
          </w:tcPr>
          <w:p w14:paraId="2397BFC9" w14:textId="77777777" w:rsidR="000B6207" w:rsidRPr="00686C65" w:rsidRDefault="000B6207" w:rsidP="001E74A7">
            <w:pPr>
              <w:jc w:val="center"/>
              <w:rPr>
                <w:rFonts w:ascii="Arial" w:hAnsi="Arial" w:cs="Arial"/>
              </w:rPr>
            </w:pPr>
            <w:r w:rsidRPr="00686C65">
              <w:rPr>
                <w:rFonts w:ascii="Arial" w:hAnsi="Arial" w:cs="Arial"/>
              </w:rPr>
              <w:t>Duties Act 2000</w:t>
            </w:r>
          </w:p>
        </w:tc>
        <w:tc>
          <w:tcPr>
            <w:tcW w:w="1671" w:type="dxa"/>
            <w:vAlign w:val="center"/>
          </w:tcPr>
          <w:p w14:paraId="0FA55678" w14:textId="77777777" w:rsidR="000B6207" w:rsidRPr="00686C65" w:rsidRDefault="000B6207" w:rsidP="001E74A7">
            <w:pPr>
              <w:jc w:val="center"/>
              <w:rPr>
                <w:rFonts w:ascii="Arial" w:hAnsi="Arial" w:cs="Arial"/>
              </w:rPr>
            </w:pPr>
            <w:r w:rsidRPr="00686C65">
              <w:rPr>
                <w:rFonts w:ascii="Arial" w:hAnsi="Arial" w:cs="Arial"/>
              </w:rPr>
              <w:t>Duties Act 2008</w:t>
            </w:r>
          </w:p>
        </w:tc>
      </w:tr>
      <w:tr w:rsidR="000B6207" w:rsidRPr="00A40BD6" w14:paraId="197CDFAA" w14:textId="77777777" w:rsidTr="001E74A7">
        <w:tc>
          <w:tcPr>
            <w:tcW w:w="6307" w:type="dxa"/>
          </w:tcPr>
          <w:p w14:paraId="04D1507C" w14:textId="77777777" w:rsidR="000B6207" w:rsidRDefault="000B6207" w:rsidP="001E74A7">
            <w:pPr>
              <w:rPr>
                <w:rFonts w:ascii="Arial" w:hAnsi="Arial" w:cs="Arial"/>
                <w:b/>
              </w:rPr>
            </w:pPr>
            <w:r>
              <w:rPr>
                <w:rFonts w:ascii="Arial" w:hAnsi="Arial" w:cs="Arial"/>
                <w:b/>
              </w:rPr>
              <w:t>Max Duty Rate (commercial property)</w:t>
            </w:r>
          </w:p>
        </w:tc>
        <w:tc>
          <w:tcPr>
            <w:tcW w:w="1670" w:type="dxa"/>
            <w:vAlign w:val="center"/>
          </w:tcPr>
          <w:p w14:paraId="6D09584C" w14:textId="77777777" w:rsidR="000B6207" w:rsidRDefault="000B6207" w:rsidP="001E74A7">
            <w:pPr>
              <w:jc w:val="center"/>
              <w:rPr>
                <w:rFonts w:ascii="Arial" w:hAnsi="Arial" w:cs="Arial"/>
              </w:rPr>
            </w:pPr>
            <w:r>
              <w:rPr>
                <w:rFonts w:ascii="Arial" w:hAnsi="Arial" w:cs="Arial"/>
              </w:rPr>
              <w:t>5.09%</w:t>
            </w:r>
          </w:p>
        </w:tc>
        <w:tc>
          <w:tcPr>
            <w:tcW w:w="1671" w:type="dxa"/>
            <w:vAlign w:val="center"/>
          </w:tcPr>
          <w:p w14:paraId="1A8D3EBE" w14:textId="77777777" w:rsidR="000B6207" w:rsidRDefault="000B6207" w:rsidP="001E74A7">
            <w:pPr>
              <w:jc w:val="center"/>
              <w:rPr>
                <w:rFonts w:ascii="Arial" w:hAnsi="Arial" w:cs="Arial"/>
              </w:rPr>
            </w:pPr>
            <w:r>
              <w:rPr>
                <w:rFonts w:ascii="Arial" w:hAnsi="Arial" w:cs="Arial"/>
              </w:rPr>
              <w:t>5.5%</w:t>
            </w:r>
          </w:p>
        </w:tc>
        <w:tc>
          <w:tcPr>
            <w:tcW w:w="1671" w:type="dxa"/>
            <w:vAlign w:val="center"/>
          </w:tcPr>
          <w:p w14:paraId="37ACBE7D" w14:textId="77777777" w:rsidR="000B6207" w:rsidRDefault="000B6207" w:rsidP="001E74A7">
            <w:pPr>
              <w:jc w:val="center"/>
              <w:rPr>
                <w:rFonts w:ascii="Arial" w:hAnsi="Arial" w:cs="Arial"/>
              </w:rPr>
            </w:pPr>
            <w:r>
              <w:rPr>
                <w:rFonts w:ascii="Arial" w:hAnsi="Arial" w:cs="Arial"/>
              </w:rPr>
              <w:t>5.45%</w:t>
            </w:r>
          </w:p>
        </w:tc>
        <w:tc>
          <w:tcPr>
            <w:tcW w:w="1671" w:type="dxa"/>
            <w:vAlign w:val="center"/>
          </w:tcPr>
          <w:p w14:paraId="7914957A" w14:textId="77777777" w:rsidR="000B6207" w:rsidRDefault="000B6207" w:rsidP="001E74A7">
            <w:pPr>
              <w:jc w:val="center"/>
              <w:rPr>
                <w:rFonts w:ascii="Arial" w:hAnsi="Arial" w:cs="Arial"/>
              </w:rPr>
            </w:pPr>
            <w:r>
              <w:rPr>
                <w:rFonts w:ascii="Arial" w:hAnsi="Arial" w:cs="Arial"/>
              </w:rPr>
              <w:t>5.75%</w:t>
            </w:r>
          </w:p>
        </w:tc>
        <w:tc>
          <w:tcPr>
            <w:tcW w:w="1671" w:type="dxa"/>
            <w:vAlign w:val="center"/>
          </w:tcPr>
          <w:p w14:paraId="25B761E2" w14:textId="77777777" w:rsidR="000B6207" w:rsidRDefault="000B6207" w:rsidP="001E74A7">
            <w:pPr>
              <w:jc w:val="center"/>
              <w:rPr>
                <w:rFonts w:ascii="Arial" w:hAnsi="Arial" w:cs="Arial"/>
              </w:rPr>
            </w:pPr>
            <w:r>
              <w:rPr>
                <w:rFonts w:ascii="Arial" w:hAnsi="Arial" w:cs="Arial"/>
              </w:rPr>
              <w:t>3.67%</w:t>
            </w:r>
          </w:p>
        </w:tc>
        <w:tc>
          <w:tcPr>
            <w:tcW w:w="1671" w:type="dxa"/>
            <w:vAlign w:val="center"/>
          </w:tcPr>
          <w:p w14:paraId="0732D89F" w14:textId="77777777" w:rsidR="000B6207" w:rsidRDefault="000B6207" w:rsidP="001E74A7">
            <w:pPr>
              <w:jc w:val="center"/>
              <w:rPr>
                <w:rFonts w:ascii="Arial" w:hAnsi="Arial" w:cs="Arial"/>
              </w:rPr>
            </w:pPr>
            <w:r>
              <w:rPr>
                <w:rFonts w:ascii="Arial" w:hAnsi="Arial" w:cs="Arial"/>
              </w:rPr>
              <w:t xml:space="preserve">4.5% </w:t>
            </w:r>
            <w:r w:rsidRPr="0098193F">
              <w:rPr>
                <w:rFonts w:ascii="Arial" w:hAnsi="Arial" w:cs="Arial"/>
              </w:rPr>
              <w:t>(on all property)</w:t>
            </w:r>
          </w:p>
        </w:tc>
        <w:tc>
          <w:tcPr>
            <w:tcW w:w="1671" w:type="dxa"/>
            <w:vAlign w:val="center"/>
          </w:tcPr>
          <w:p w14:paraId="44AD041C" w14:textId="77777777" w:rsidR="000B6207" w:rsidRDefault="000B6207" w:rsidP="001E74A7">
            <w:pPr>
              <w:jc w:val="center"/>
              <w:rPr>
                <w:rFonts w:ascii="Arial" w:hAnsi="Arial" w:cs="Arial"/>
              </w:rPr>
            </w:pPr>
            <w:r>
              <w:rPr>
                <w:rFonts w:ascii="Arial" w:hAnsi="Arial" w:cs="Arial"/>
              </w:rPr>
              <w:t>5.5%</w:t>
            </w:r>
          </w:p>
        </w:tc>
        <w:tc>
          <w:tcPr>
            <w:tcW w:w="1671" w:type="dxa"/>
            <w:vAlign w:val="center"/>
          </w:tcPr>
          <w:p w14:paraId="3C83706D" w14:textId="77777777" w:rsidR="000B6207" w:rsidRDefault="000B6207" w:rsidP="001E74A7">
            <w:pPr>
              <w:jc w:val="center"/>
              <w:rPr>
                <w:rFonts w:ascii="Arial" w:hAnsi="Arial" w:cs="Arial"/>
              </w:rPr>
            </w:pPr>
            <w:r>
              <w:rPr>
                <w:rFonts w:ascii="Arial" w:hAnsi="Arial" w:cs="Arial"/>
              </w:rPr>
              <w:t>5.15%</w:t>
            </w:r>
          </w:p>
        </w:tc>
      </w:tr>
      <w:tr w:rsidR="000B6207" w:rsidRPr="00A40BD6" w14:paraId="090C61CD" w14:textId="77777777" w:rsidTr="001E74A7">
        <w:tc>
          <w:tcPr>
            <w:tcW w:w="6307" w:type="dxa"/>
          </w:tcPr>
          <w:p w14:paraId="669D3CF8" w14:textId="77777777" w:rsidR="000B6207" w:rsidRDefault="000B6207" w:rsidP="001E74A7">
            <w:pPr>
              <w:rPr>
                <w:rFonts w:ascii="Arial" w:hAnsi="Arial" w:cs="Arial"/>
                <w:b/>
              </w:rPr>
            </w:pPr>
            <w:r>
              <w:rPr>
                <w:rFonts w:ascii="Arial" w:hAnsi="Arial" w:cs="Arial"/>
                <w:b/>
              </w:rPr>
              <w:t>Full abolition of stamp duty</w:t>
            </w:r>
          </w:p>
        </w:tc>
        <w:tc>
          <w:tcPr>
            <w:tcW w:w="1670" w:type="dxa"/>
            <w:vAlign w:val="center"/>
          </w:tcPr>
          <w:p w14:paraId="3938E97C" w14:textId="77777777" w:rsidR="000B6207" w:rsidRDefault="000B6207" w:rsidP="001E74A7">
            <w:pPr>
              <w:jc w:val="center"/>
              <w:rPr>
                <w:rFonts w:ascii="Arial" w:hAnsi="Arial" w:cs="Arial"/>
              </w:rPr>
            </w:pPr>
            <w:r>
              <w:rPr>
                <w:rFonts w:ascii="Arial" w:hAnsi="Arial" w:cs="Arial"/>
              </w:rPr>
              <w:t>20 year timeframe</w:t>
            </w:r>
          </w:p>
        </w:tc>
        <w:tc>
          <w:tcPr>
            <w:tcW w:w="1671" w:type="dxa"/>
            <w:vAlign w:val="center"/>
          </w:tcPr>
          <w:p w14:paraId="57620965" w14:textId="77777777" w:rsidR="000B6207" w:rsidRDefault="000B6207" w:rsidP="001E74A7">
            <w:pPr>
              <w:jc w:val="center"/>
              <w:rPr>
                <w:rFonts w:ascii="Arial" w:hAnsi="Arial" w:cs="Arial"/>
              </w:rPr>
            </w:pPr>
          </w:p>
        </w:tc>
        <w:tc>
          <w:tcPr>
            <w:tcW w:w="1671" w:type="dxa"/>
            <w:vAlign w:val="center"/>
          </w:tcPr>
          <w:p w14:paraId="670F4F3E" w14:textId="77777777" w:rsidR="000B6207" w:rsidRDefault="000B6207" w:rsidP="001E74A7">
            <w:pPr>
              <w:jc w:val="center"/>
              <w:rPr>
                <w:rFonts w:ascii="Arial" w:hAnsi="Arial" w:cs="Arial"/>
              </w:rPr>
            </w:pPr>
          </w:p>
        </w:tc>
        <w:tc>
          <w:tcPr>
            <w:tcW w:w="1671" w:type="dxa"/>
            <w:vAlign w:val="center"/>
          </w:tcPr>
          <w:p w14:paraId="515FD869" w14:textId="77777777" w:rsidR="000B6207" w:rsidRDefault="000B6207" w:rsidP="001E74A7">
            <w:pPr>
              <w:jc w:val="center"/>
              <w:rPr>
                <w:rFonts w:ascii="Arial" w:hAnsi="Arial" w:cs="Arial"/>
              </w:rPr>
            </w:pPr>
          </w:p>
        </w:tc>
        <w:tc>
          <w:tcPr>
            <w:tcW w:w="1671" w:type="dxa"/>
            <w:vAlign w:val="center"/>
          </w:tcPr>
          <w:p w14:paraId="64FE1AA5" w14:textId="77777777" w:rsidR="000B6207" w:rsidRDefault="000B6207" w:rsidP="001E74A7">
            <w:pPr>
              <w:jc w:val="center"/>
              <w:rPr>
                <w:rFonts w:ascii="Arial" w:hAnsi="Arial" w:cs="Arial"/>
              </w:rPr>
            </w:pPr>
            <w:r w:rsidRPr="0098193F">
              <w:rPr>
                <w:rFonts w:ascii="Arial" w:hAnsi="Arial" w:cs="Arial"/>
                <w:color w:val="000000"/>
              </w:rPr>
              <w:t xml:space="preserve">Phased </w:t>
            </w:r>
            <w:r w:rsidRPr="0098193F">
              <w:rPr>
                <w:rFonts w:ascii="Arial" w:hAnsi="Arial" w:cs="Arial"/>
              </w:rPr>
              <w:t>abolition</w:t>
            </w:r>
            <w:r>
              <w:rPr>
                <w:rFonts w:ascii="Arial" w:hAnsi="Arial" w:cs="Arial"/>
              </w:rPr>
              <w:t xml:space="preserve"> of duty on commercial property </w:t>
            </w:r>
            <w:r w:rsidRPr="00673F73">
              <w:rPr>
                <w:rFonts w:ascii="Arial" w:hAnsi="Arial" w:cs="Arial"/>
              </w:rPr>
              <w:t xml:space="preserve">- </w:t>
            </w:r>
            <w:r w:rsidRPr="0098193F">
              <w:rPr>
                <w:rFonts w:ascii="Arial" w:hAnsi="Arial" w:cs="Arial"/>
                <w:color w:val="000000"/>
              </w:rPr>
              <w:t>duty rates reduced by a third from 7 December 2015, will reduce by a further third from 1 July 2017, before the duty is abolished from</w:t>
            </w:r>
            <w:r w:rsidRPr="00852360">
              <w:rPr>
                <w:rFonts w:ascii="Arial" w:hAnsi="Arial" w:cs="Arial"/>
                <w:color w:val="000000"/>
              </w:rPr>
              <w:t xml:space="preserve"> </w:t>
            </w:r>
            <w:r w:rsidRPr="00E00278">
              <w:rPr>
                <w:rFonts w:ascii="Arial" w:hAnsi="Arial"/>
                <w:color w:val="000000"/>
              </w:rPr>
              <w:t>1 July 2018</w:t>
            </w:r>
            <w:r>
              <w:rPr>
                <w:rFonts w:ascii="Arial" w:hAnsi="Arial" w:cs="Arial"/>
              </w:rPr>
              <w:t xml:space="preserve"> (excludes residential and primary production)</w:t>
            </w:r>
          </w:p>
        </w:tc>
        <w:tc>
          <w:tcPr>
            <w:tcW w:w="1671" w:type="dxa"/>
            <w:vAlign w:val="center"/>
          </w:tcPr>
          <w:p w14:paraId="0351185E" w14:textId="77777777" w:rsidR="000B6207" w:rsidRDefault="000B6207" w:rsidP="001E74A7">
            <w:pPr>
              <w:jc w:val="center"/>
              <w:rPr>
                <w:rFonts w:ascii="Arial" w:hAnsi="Arial" w:cs="Arial"/>
              </w:rPr>
            </w:pPr>
            <w:r>
              <w:rPr>
                <w:rFonts w:ascii="Arial" w:hAnsi="Arial" w:cs="Arial"/>
              </w:rPr>
              <w:t>.</w:t>
            </w:r>
          </w:p>
        </w:tc>
        <w:tc>
          <w:tcPr>
            <w:tcW w:w="1671" w:type="dxa"/>
            <w:vAlign w:val="center"/>
          </w:tcPr>
          <w:p w14:paraId="59207B41" w14:textId="77777777" w:rsidR="000B6207" w:rsidRDefault="000B6207" w:rsidP="001E74A7">
            <w:pPr>
              <w:jc w:val="center"/>
              <w:rPr>
                <w:rFonts w:ascii="Arial" w:hAnsi="Arial" w:cs="Arial"/>
              </w:rPr>
            </w:pPr>
          </w:p>
        </w:tc>
        <w:tc>
          <w:tcPr>
            <w:tcW w:w="1671" w:type="dxa"/>
            <w:vAlign w:val="center"/>
          </w:tcPr>
          <w:p w14:paraId="4E2553CB" w14:textId="77777777" w:rsidR="000B6207" w:rsidRDefault="000B6207" w:rsidP="001E74A7">
            <w:pPr>
              <w:jc w:val="center"/>
              <w:rPr>
                <w:rFonts w:ascii="Arial" w:hAnsi="Arial" w:cs="Arial"/>
              </w:rPr>
            </w:pPr>
          </w:p>
        </w:tc>
      </w:tr>
      <w:tr w:rsidR="000B6207" w:rsidRPr="00A40BD6" w14:paraId="763FCE81" w14:textId="77777777" w:rsidTr="001E74A7">
        <w:tc>
          <w:tcPr>
            <w:tcW w:w="6307" w:type="dxa"/>
          </w:tcPr>
          <w:p w14:paraId="3B109ACA" w14:textId="77777777" w:rsidR="000B6207" w:rsidRDefault="000B6207" w:rsidP="001E74A7">
            <w:pPr>
              <w:rPr>
                <w:rFonts w:ascii="Arial" w:hAnsi="Arial" w:cs="Arial"/>
                <w:b/>
              </w:rPr>
            </w:pPr>
            <w:r>
              <w:rPr>
                <w:rFonts w:ascii="Arial" w:hAnsi="Arial" w:cs="Arial"/>
                <w:b/>
              </w:rPr>
              <w:t>Additional taxes on foreign property</w:t>
            </w:r>
          </w:p>
        </w:tc>
        <w:tc>
          <w:tcPr>
            <w:tcW w:w="1670" w:type="dxa"/>
            <w:vAlign w:val="center"/>
          </w:tcPr>
          <w:p w14:paraId="070EFC65" w14:textId="77777777" w:rsidR="000B6207" w:rsidRDefault="000B6207" w:rsidP="001E74A7">
            <w:pPr>
              <w:jc w:val="center"/>
              <w:rPr>
                <w:rFonts w:ascii="Arial" w:hAnsi="Arial" w:cs="Arial"/>
              </w:rPr>
            </w:pPr>
          </w:p>
        </w:tc>
        <w:tc>
          <w:tcPr>
            <w:tcW w:w="1671" w:type="dxa"/>
            <w:vAlign w:val="center"/>
          </w:tcPr>
          <w:p w14:paraId="64F56D54" w14:textId="77777777" w:rsidR="000B6207" w:rsidRDefault="000B6207" w:rsidP="001E74A7">
            <w:pPr>
              <w:jc w:val="center"/>
              <w:rPr>
                <w:rFonts w:ascii="Arial" w:hAnsi="Arial" w:cs="Arial"/>
              </w:rPr>
            </w:pPr>
            <w:r>
              <w:rPr>
                <w:rFonts w:ascii="Arial" w:hAnsi="Arial" w:cs="Arial"/>
              </w:rPr>
              <w:t>9.5% surcharge rate on foreign purchases of residential land</w:t>
            </w:r>
          </w:p>
          <w:p w14:paraId="36702A06" w14:textId="77777777" w:rsidR="000B6207" w:rsidRDefault="000B6207" w:rsidP="001E74A7">
            <w:pPr>
              <w:jc w:val="center"/>
              <w:rPr>
                <w:rFonts w:ascii="Arial" w:hAnsi="Arial" w:cs="Arial"/>
              </w:rPr>
            </w:pPr>
          </w:p>
          <w:p w14:paraId="08090159" w14:textId="77777777" w:rsidR="000B6207" w:rsidRDefault="000B6207" w:rsidP="008B360D">
            <w:pPr>
              <w:jc w:val="center"/>
              <w:rPr>
                <w:rFonts w:ascii="Arial" w:hAnsi="Arial" w:cs="Arial"/>
              </w:rPr>
            </w:pPr>
            <w:r>
              <w:rPr>
                <w:rFonts w:ascii="Arial" w:hAnsi="Arial" w:cs="Arial"/>
              </w:rPr>
              <w:t>2.75% land tax for foreign owned residential land (ordinary 2%)</w:t>
            </w:r>
          </w:p>
        </w:tc>
        <w:tc>
          <w:tcPr>
            <w:tcW w:w="1671" w:type="dxa"/>
            <w:vAlign w:val="center"/>
          </w:tcPr>
          <w:p w14:paraId="5C856CA7" w14:textId="77777777" w:rsidR="000B6207" w:rsidRDefault="000B6207" w:rsidP="001E74A7">
            <w:pPr>
              <w:jc w:val="center"/>
              <w:rPr>
                <w:rFonts w:ascii="Arial" w:hAnsi="Arial" w:cs="Arial"/>
              </w:rPr>
            </w:pPr>
          </w:p>
        </w:tc>
        <w:tc>
          <w:tcPr>
            <w:tcW w:w="1671" w:type="dxa"/>
            <w:vAlign w:val="center"/>
          </w:tcPr>
          <w:p w14:paraId="05A61ACA" w14:textId="77777777" w:rsidR="000B6207" w:rsidRDefault="000B6207" w:rsidP="001E74A7">
            <w:pPr>
              <w:jc w:val="center"/>
              <w:rPr>
                <w:rFonts w:ascii="Arial" w:hAnsi="Arial" w:cs="Arial"/>
              </w:rPr>
            </w:pPr>
            <w:r>
              <w:rPr>
                <w:rFonts w:ascii="Arial" w:hAnsi="Arial" w:cs="Arial"/>
              </w:rPr>
              <w:t xml:space="preserve"> </w:t>
            </w:r>
            <w:r w:rsidRPr="0098193F">
              <w:rPr>
                <w:rFonts w:ascii="Arial" w:hAnsi="Arial" w:cs="Arial"/>
              </w:rPr>
              <w:t>3% additional duty</w:t>
            </w:r>
            <w:r>
              <w:rPr>
                <w:rFonts w:ascii="Arial" w:hAnsi="Arial" w:cs="Arial"/>
              </w:rPr>
              <w:t xml:space="preserve"> on </w:t>
            </w:r>
            <w:r w:rsidRPr="0098193F">
              <w:rPr>
                <w:rFonts w:ascii="Arial" w:hAnsi="Arial" w:cs="Arial"/>
              </w:rPr>
              <w:t>the dutiable value of</w:t>
            </w:r>
            <w:r>
              <w:rPr>
                <w:rFonts w:ascii="Arial" w:hAnsi="Arial" w:cs="Arial"/>
              </w:rPr>
              <w:t xml:space="preserve"> foreign purchases of residential land</w:t>
            </w:r>
          </w:p>
        </w:tc>
        <w:tc>
          <w:tcPr>
            <w:tcW w:w="1671" w:type="dxa"/>
            <w:vAlign w:val="center"/>
          </w:tcPr>
          <w:p w14:paraId="505E5BDF" w14:textId="77777777" w:rsidR="000B6207" w:rsidRDefault="000B6207" w:rsidP="001E74A7">
            <w:pPr>
              <w:jc w:val="center"/>
              <w:rPr>
                <w:rFonts w:ascii="Arial" w:hAnsi="Arial" w:cs="Arial"/>
              </w:rPr>
            </w:pPr>
          </w:p>
        </w:tc>
        <w:tc>
          <w:tcPr>
            <w:tcW w:w="1671" w:type="dxa"/>
            <w:vAlign w:val="center"/>
          </w:tcPr>
          <w:p w14:paraId="4EF76575" w14:textId="77777777" w:rsidR="000B6207" w:rsidRPr="0098193F" w:rsidRDefault="000B6207" w:rsidP="001E74A7">
            <w:pPr>
              <w:jc w:val="center"/>
              <w:rPr>
                <w:rFonts w:ascii="Arial" w:hAnsi="Arial" w:cs="Arial"/>
              </w:rPr>
            </w:pPr>
            <w:r w:rsidRPr="0098193F">
              <w:rPr>
                <w:rFonts w:ascii="Arial" w:hAnsi="Arial" w:cs="Arial"/>
              </w:rPr>
              <w:t>N/A</w:t>
            </w:r>
          </w:p>
        </w:tc>
        <w:tc>
          <w:tcPr>
            <w:tcW w:w="1671" w:type="dxa"/>
            <w:vAlign w:val="center"/>
          </w:tcPr>
          <w:p w14:paraId="03FC257B" w14:textId="77777777" w:rsidR="000B6207" w:rsidRDefault="000B6207" w:rsidP="008B360D">
            <w:pPr>
              <w:jc w:val="center"/>
              <w:rPr>
                <w:rFonts w:ascii="Arial" w:hAnsi="Arial" w:cs="Arial"/>
              </w:rPr>
            </w:pPr>
            <w:r w:rsidRPr="0098193F">
              <w:rPr>
                <w:rFonts w:ascii="Arial" w:hAnsi="Arial" w:cs="Arial"/>
              </w:rPr>
              <w:t>7% additional duty on the dutiable value of land</w:t>
            </w:r>
            <w:r>
              <w:rPr>
                <w:rFonts w:ascii="Arial" w:hAnsi="Arial" w:cs="Arial"/>
              </w:rPr>
              <w:t xml:space="preserve"> on foreign purchases of residential land</w:t>
            </w:r>
          </w:p>
        </w:tc>
        <w:tc>
          <w:tcPr>
            <w:tcW w:w="1671" w:type="dxa"/>
            <w:vAlign w:val="center"/>
          </w:tcPr>
          <w:p w14:paraId="7B368957" w14:textId="77777777" w:rsidR="000B6207" w:rsidRDefault="000B6207" w:rsidP="001E74A7">
            <w:pPr>
              <w:jc w:val="center"/>
              <w:rPr>
                <w:rFonts w:ascii="Arial" w:hAnsi="Arial" w:cs="Arial"/>
              </w:rPr>
            </w:pPr>
          </w:p>
        </w:tc>
      </w:tr>
      <w:tr w:rsidR="000B6207" w:rsidRPr="00A40BD6" w14:paraId="6963C2F7" w14:textId="77777777" w:rsidTr="001E74A7">
        <w:tc>
          <w:tcPr>
            <w:tcW w:w="6307" w:type="dxa"/>
          </w:tcPr>
          <w:p w14:paraId="08E22D78" w14:textId="77777777" w:rsidR="000B6207" w:rsidRDefault="000B6207" w:rsidP="001E74A7">
            <w:pPr>
              <w:rPr>
                <w:rFonts w:ascii="Arial" w:hAnsi="Arial" w:cs="Arial"/>
                <w:b/>
              </w:rPr>
            </w:pPr>
            <w:r>
              <w:rPr>
                <w:rFonts w:ascii="Arial" w:hAnsi="Arial" w:cs="Arial"/>
                <w:b/>
              </w:rPr>
              <w:t>Premium property duty</w:t>
            </w:r>
          </w:p>
        </w:tc>
        <w:tc>
          <w:tcPr>
            <w:tcW w:w="1670" w:type="dxa"/>
            <w:vAlign w:val="center"/>
          </w:tcPr>
          <w:p w14:paraId="67F6F8C8" w14:textId="77777777" w:rsidR="000B6207" w:rsidRDefault="000B6207" w:rsidP="001E74A7">
            <w:pPr>
              <w:jc w:val="center"/>
              <w:rPr>
                <w:rFonts w:ascii="Arial" w:hAnsi="Arial" w:cs="Arial"/>
              </w:rPr>
            </w:pPr>
          </w:p>
        </w:tc>
        <w:tc>
          <w:tcPr>
            <w:tcW w:w="1671" w:type="dxa"/>
            <w:vAlign w:val="center"/>
          </w:tcPr>
          <w:p w14:paraId="08B30699" w14:textId="77777777" w:rsidR="000B6207" w:rsidRDefault="000B6207" w:rsidP="001E74A7">
            <w:pPr>
              <w:jc w:val="center"/>
              <w:rPr>
                <w:rFonts w:ascii="Arial" w:hAnsi="Arial" w:cs="Arial"/>
              </w:rPr>
            </w:pPr>
            <w:r>
              <w:rPr>
                <w:rFonts w:ascii="Arial" w:hAnsi="Arial" w:cs="Arial"/>
              </w:rPr>
              <w:t>7% duty on houses above $3m</w:t>
            </w:r>
          </w:p>
          <w:p w14:paraId="5710CB4F" w14:textId="77777777" w:rsidR="008B360D" w:rsidRDefault="008B360D" w:rsidP="008B360D">
            <w:pPr>
              <w:jc w:val="center"/>
              <w:rPr>
                <w:rFonts w:ascii="Arial" w:hAnsi="Arial" w:cs="Arial"/>
              </w:rPr>
            </w:pPr>
          </w:p>
          <w:p w14:paraId="3A548A97" w14:textId="77777777" w:rsidR="008B360D" w:rsidRDefault="000B6207" w:rsidP="00C07A46">
            <w:pPr>
              <w:jc w:val="center"/>
              <w:rPr>
                <w:rFonts w:ascii="Arial" w:hAnsi="Arial" w:cs="Arial"/>
              </w:rPr>
            </w:pPr>
            <w:r>
              <w:rPr>
                <w:rFonts w:ascii="Arial" w:hAnsi="Arial" w:cs="Arial"/>
              </w:rPr>
              <w:t>11% for foreigners</w:t>
            </w:r>
          </w:p>
        </w:tc>
        <w:tc>
          <w:tcPr>
            <w:tcW w:w="1671" w:type="dxa"/>
            <w:vAlign w:val="center"/>
          </w:tcPr>
          <w:p w14:paraId="5855841E" w14:textId="77777777" w:rsidR="000B6207" w:rsidRDefault="000B6207" w:rsidP="001E74A7">
            <w:pPr>
              <w:jc w:val="center"/>
              <w:rPr>
                <w:rFonts w:ascii="Arial" w:hAnsi="Arial" w:cs="Arial"/>
              </w:rPr>
            </w:pPr>
          </w:p>
        </w:tc>
        <w:tc>
          <w:tcPr>
            <w:tcW w:w="1671" w:type="dxa"/>
            <w:vAlign w:val="center"/>
          </w:tcPr>
          <w:p w14:paraId="63BA54C1" w14:textId="77777777" w:rsidR="000B6207" w:rsidRDefault="000B6207" w:rsidP="001E74A7">
            <w:pPr>
              <w:jc w:val="center"/>
              <w:rPr>
                <w:rFonts w:ascii="Arial" w:hAnsi="Arial" w:cs="Arial"/>
              </w:rPr>
            </w:pPr>
          </w:p>
        </w:tc>
        <w:tc>
          <w:tcPr>
            <w:tcW w:w="1671" w:type="dxa"/>
            <w:vAlign w:val="center"/>
          </w:tcPr>
          <w:p w14:paraId="7E52527E" w14:textId="77777777" w:rsidR="000B6207" w:rsidRDefault="000B6207" w:rsidP="001E74A7">
            <w:pPr>
              <w:jc w:val="center"/>
              <w:rPr>
                <w:rFonts w:ascii="Arial" w:hAnsi="Arial" w:cs="Arial"/>
              </w:rPr>
            </w:pPr>
          </w:p>
        </w:tc>
        <w:tc>
          <w:tcPr>
            <w:tcW w:w="1671" w:type="dxa"/>
            <w:vAlign w:val="center"/>
          </w:tcPr>
          <w:p w14:paraId="37339892" w14:textId="77777777" w:rsidR="000B6207" w:rsidRPr="00E00278" w:rsidRDefault="000B6207" w:rsidP="001E74A7">
            <w:pPr>
              <w:jc w:val="center"/>
              <w:rPr>
                <w:rFonts w:ascii="Arial" w:hAnsi="Arial" w:cs="Arial"/>
                <w:u w:val="single"/>
              </w:rPr>
            </w:pPr>
            <w:r w:rsidRPr="00E00278">
              <w:rPr>
                <w:rFonts w:ascii="Arial" w:hAnsi="Arial" w:cs="Arial"/>
                <w:u w:val="single"/>
              </w:rPr>
              <w:t>N/A</w:t>
            </w:r>
          </w:p>
        </w:tc>
        <w:tc>
          <w:tcPr>
            <w:tcW w:w="1671" w:type="dxa"/>
            <w:vAlign w:val="center"/>
          </w:tcPr>
          <w:p w14:paraId="5170E8FD" w14:textId="77777777" w:rsidR="000B6207" w:rsidRDefault="000B6207" w:rsidP="001E74A7">
            <w:pPr>
              <w:jc w:val="center"/>
              <w:rPr>
                <w:rFonts w:ascii="Arial" w:hAnsi="Arial" w:cs="Arial"/>
              </w:rPr>
            </w:pPr>
          </w:p>
        </w:tc>
        <w:tc>
          <w:tcPr>
            <w:tcW w:w="1671" w:type="dxa"/>
            <w:vAlign w:val="center"/>
          </w:tcPr>
          <w:p w14:paraId="73A7047A" w14:textId="77777777" w:rsidR="000B6207" w:rsidRDefault="000B6207" w:rsidP="001E74A7">
            <w:pPr>
              <w:jc w:val="center"/>
              <w:rPr>
                <w:rFonts w:ascii="Arial" w:hAnsi="Arial" w:cs="Arial"/>
              </w:rPr>
            </w:pPr>
          </w:p>
        </w:tc>
      </w:tr>
      <w:tr w:rsidR="000B6207" w:rsidRPr="00A40BD6" w14:paraId="2F00274A" w14:textId="77777777" w:rsidTr="00C07A46">
        <w:trPr>
          <w:cantSplit/>
        </w:trPr>
        <w:tc>
          <w:tcPr>
            <w:tcW w:w="6307" w:type="dxa"/>
          </w:tcPr>
          <w:p w14:paraId="333B674E" w14:textId="77777777" w:rsidR="000B6207" w:rsidRPr="00A079FA" w:rsidRDefault="000B6207" w:rsidP="001E74A7">
            <w:pPr>
              <w:rPr>
                <w:rFonts w:ascii="Arial" w:hAnsi="Arial" w:cs="Arial"/>
                <w:b/>
              </w:rPr>
            </w:pPr>
            <w:r>
              <w:rPr>
                <w:rFonts w:ascii="Arial" w:hAnsi="Arial" w:cs="Arial"/>
                <w:b/>
              </w:rPr>
              <w:lastRenderedPageBreak/>
              <w:t>Acquisitions in entities</w:t>
            </w:r>
          </w:p>
          <w:p w14:paraId="08F6F28E" w14:textId="77777777" w:rsidR="000B6207" w:rsidRPr="00A079FA" w:rsidRDefault="000B6207" w:rsidP="001E74A7">
            <w:pPr>
              <w:rPr>
                <w:rFonts w:ascii="Arial" w:hAnsi="Arial" w:cs="Arial"/>
                <w:b/>
              </w:rPr>
            </w:pPr>
          </w:p>
          <w:p w14:paraId="04C3F58D" w14:textId="77777777" w:rsidR="000B6207" w:rsidRDefault="000B6207" w:rsidP="001E74A7">
            <w:pPr>
              <w:rPr>
                <w:rFonts w:ascii="Arial" w:hAnsi="Arial" w:cs="Arial"/>
              </w:rPr>
            </w:pPr>
            <w:r>
              <w:rPr>
                <w:rFonts w:ascii="Arial" w:hAnsi="Arial" w:cs="Arial"/>
              </w:rPr>
              <w:t>Different treatment of companies and unit trusts for landholder duty purposes and different rules and thresholds between States</w:t>
            </w:r>
          </w:p>
          <w:p w14:paraId="6CAFCC08" w14:textId="77777777" w:rsidR="000B6207" w:rsidRDefault="000B6207" w:rsidP="001E74A7">
            <w:pPr>
              <w:rPr>
                <w:rFonts w:ascii="Arial" w:hAnsi="Arial" w:cs="Arial"/>
              </w:rPr>
            </w:pPr>
          </w:p>
          <w:p w14:paraId="2F333662" w14:textId="77777777" w:rsidR="000B6207" w:rsidRPr="00A079FA" w:rsidRDefault="000B6207" w:rsidP="001E74A7">
            <w:pPr>
              <w:rPr>
                <w:rFonts w:ascii="Arial" w:hAnsi="Arial" w:cs="Arial"/>
              </w:rPr>
            </w:pPr>
            <w:r>
              <w:rPr>
                <w:rFonts w:ascii="Arial" w:hAnsi="Arial" w:cs="Arial"/>
              </w:rPr>
              <w:t>Acquisition thresholds:</w:t>
            </w:r>
          </w:p>
        </w:tc>
        <w:tc>
          <w:tcPr>
            <w:tcW w:w="1670" w:type="dxa"/>
            <w:vAlign w:val="center"/>
          </w:tcPr>
          <w:p w14:paraId="5ABA2198" w14:textId="77777777" w:rsidR="000B6207" w:rsidRPr="00A079FA" w:rsidRDefault="000B6207" w:rsidP="001E74A7">
            <w:pPr>
              <w:jc w:val="center"/>
              <w:rPr>
                <w:rFonts w:ascii="Arial" w:hAnsi="Arial" w:cs="Arial"/>
              </w:rPr>
            </w:pPr>
            <w:r>
              <w:rPr>
                <w:rFonts w:ascii="Arial" w:hAnsi="Arial" w:cs="Arial"/>
              </w:rPr>
              <w:t>Company and trusts – 50%</w:t>
            </w:r>
          </w:p>
        </w:tc>
        <w:tc>
          <w:tcPr>
            <w:tcW w:w="1671" w:type="dxa"/>
            <w:vAlign w:val="center"/>
          </w:tcPr>
          <w:p w14:paraId="31A7B5D0" w14:textId="77777777" w:rsidR="000B6207" w:rsidRPr="00A079FA" w:rsidRDefault="000B6207" w:rsidP="001E74A7">
            <w:pPr>
              <w:jc w:val="center"/>
              <w:rPr>
                <w:rFonts w:ascii="Arial" w:hAnsi="Arial" w:cs="Arial"/>
              </w:rPr>
            </w:pPr>
            <w:r>
              <w:rPr>
                <w:rFonts w:ascii="Arial" w:hAnsi="Arial" w:cs="Arial"/>
              </w:rPr>
              <w:t>Company and trusts – 50%</w:t>
            </w:r>
          </w:p>
        </w:tc>
        <w:tc>
          <w:tcPr>
            <w:tcW w:w="1671" w:type="dxa"/>
            <w:vAlign w:val="center"/>
          </w:tcPr>
          <w:p w14:paraId="09F6AE21" w14:textId="77777777" w:rsidR="000B6207" w:rsidRPr="0098193F" w:rsidRDefault="000B6207" w:rsidP="001E74A7">
            <w:pPr>
              <w:jc w:val="center"/>
              <w:rPr>
                <w:rFonts w:ascii="Arial" w:hAnsi="Arial" w:cs="Arial"/>
              </w:rPr>
            </w:pPr>
            <w:r w:rsidRPr="0098193F">
              <w:rPr>
                <w:rFonts w:ascii="Arial" w:hAnsi="Arial" w:cs="Arial"/>
              </w:rPr>
              <w:t>Listed corporation or listed unit trust scheme – 90%</w:t>
            </w:r>
          </w:p>
          <w:p w14:paraId="5782D8FE" w14:textId="77777777" w:rsidR="000B6207" w:rsidRPr="00686C65" w:rsidRDefault="000B6207" w:rsidP="001E74A7">
            <w:pPr>
              <w:jc w:val="center"/>
              <w:rPr>
                <w:rFonts w:ascii="Arial" w:hAnsi="Arial" w:cs="Arial"/>
              </w:rPr>
            </w:pPr>
            <w:r w:rsidRPr="0098193F">
              <w:rPr>
                <w:rFonts w:ascii="Arial" w:hAnsi="Arial" w:cs="Arial"/>
              </w:rPr>
              <w:t>All other</w:t>
            </w:r>
            <w:r w:rsidRPr="00E00278">
              <w:rPr>
                <w:rFonts w:ascii="Arial" w:hAnsi="Arial" w:cs="Arial"/>
                <w:u w:val="single"/>
              </w:rPr>
              <w:t xml:space="preserve"> entities</w:t>
            </w:r>
            <w:r w:rsidRPr="00686C65">
              <w:rPr>
                <w:rFonts w:ascii="Arial" w:hAnsi="Arial" w:cs="Arial"/>
              </w:rPr>
              <w:t xml:space="preserve"> 50%</w:t>
            </w:r>
          </w:p>
        </w:tc>
        <w:tc>
          <w:tcPr>
            <w:tcW w:w="1671" w:type="dxa"/>
            <w:vAlign w:val="center"/>
          </w:tcPr>
          <w:p w14:paraId="51CB5A2B" w14:textId="77777777" w:rsidR="000B6207" w:rsidRPr="0098193F" w:rsidRDefault="000B6207" w:rsidP="001E74A7">
            <w:pPr>
              <w:jc w:val="center"/>
              <w:rPr>
                <w:rFonts w:ascii="Arial" w:hAnsi="Arial" w:cs="Arial"/>
              </w:rPr>
            </w:pPr>
            <w:r w:rsidRPr="0098193F">
              <w:rPr>
                <w:rFonts w:ascii="Arial" w:hAnsi="Arial" w:cs="Arial"/>
              </w:rPr>
              <w:t>Public landholders (listed corporations and listed unit trusts): 90%</w:t>
            </w:r>
          </w:p>
          <w:p w14:paraId="014F11EB" w14:textId="77777777" w:rsidR="000B6207" w:rsidRPr="00E00278" w:rsidRDefault="000B6207" w:rsidP="001E74A7">
            <w:pPr>
              <w:jc w:val="center"/>
              <w:rPr>
                <w:rFonts w:ascii="Arial" w:hAnsi="Arial" w:cs="Arial"/>
                <w:u w:val="single"/>
              </w:rPr>
            </w:pPr>
          </w:p>
          <w:p w14:paraId="516F263B" w14:textId="77777777" w:rsidR="000B6207" w:rsidRPr="00686C65" w:rsidRDefault="000B6207" w:rsidP="008B360D">
            <w:pPr>
              <w:jc w:val="center"/>
              <w:rPr>
                <w:rFonts w:ascii="Arial" w:hAnsi="Arial" w:cs="Arial"/>
              </w:rPr>
            </w:pPr>
            <w:r w:rsidRPr="0098193F">
              <w:rPr>
                <w:rFonts w:ascii="Arial" w:hAnsi="Arial" w:cs="Arial"/>
              </w:rPr>
              <w:t xml:space="preserve">Private landholders (unlisted corporations): 50% </w:t>
            </w:r>
          </w:p>
        </w:tc>
        <w:tc>
          <w:tcPr>
            <w:tcW w:w="1671" w:type="dxa"/>
            <w:vAlign w:val="center"/>
          </w:tcPr>
          <w:p w14:paraId="301A98AD" w14:textId="77777777" w:rsidR="000B6207" w:rsidRDefault="000B6207" w:rsidP="001E74A7">
            <w:pPr>
              <w:jc w:val="center"/>
              <w:rPr>
                <w:rFonts w:ascii="Arial" w:hAnsi="Arial" w:cs="Arial"/>
              </w:rPr>
            </w:pPr>
            <w:r w:rsidRPr="0098193F">
              <w:rPr>
                <w:rFonts w:ascii="Arial" w:hAnsi="Arial" w:cs="Arial"/>
              </w:rPr>
              <w:t>Private landholders (private companies or</w:t>
            </w:r>
            <w:r w:rsidRPr="00686C65">
              <w:rPr>
                <w:rFonts w:ascii="Arial" w:hAnsi="Arial" w:cs="Arial"/>
              </w:rPr>
              <w:t xml:space="preserve"> trusts</w:t>
            </w:r>
            <w:r>
              <w:rPr>
                <w:rFonts w:ascii="Arial" w:hAnsi="Arial" w:cs="Arial"/>
              </w:rPr>
              <w:t>):</w:t>
            </w:r>
            <w:r w:rsidRPr="00686C65">
              <w:rPr>
                <w:rFonts w:ascii="Arial" w:hAnsi="Arial" w:cs="Arial"/>
              </w:rPr>
              <w:t xml:space="preserve"> 50%</w:t>
            </w:r>
            <w:r>
              <w:rPr>
                <w:rFonts w:ascii="Arial" w:hAnsi="Arial" w:cs="Arial"/>
              </w:rPr>
              <w:t xml:space="preserve"> </w:t>
            </w:r>
          </w:p>
          <w:p w14:paraId="075FF1BA" w14:textId="77777777" w:rsidR="000B6207" w:rsidRDefault="000B6207" w:rsidP="001E74A7">
            <w:pPr>
              <w:jc w:val="center"/>
              <w:rPr>
                <w:rFonts w:ascii="Arial" w:hAnsi="Arial" w:cs="Arial"/>
              </w:rPr>
            </w:pPr>
          </w:p>
          <w:p w14:paraId="06C92DFD" w14:textId="77777777" w:rsidR="000B6207" w:rsidRDefault="000B6207" w:rsidP="001E74A7">
            <w:pPr>
              <w:jc w:val="center"/>
              <w:rPr>
                <w:rFonts w:ascii="Arial" w:hAnsi="Arial" w:cs="Arial"/>
              </w:rPr>
            </w:pPr>
          </w:p>
          <w:p w14:paraId="6EF5E5F9" w14:textId="77777777" w:rsidR="000B6207" w:rsidRDefault="000B6207" w:rsidP="001E74A7">
            <w:pPr>
              <w:jc w:val="center"/>
              <w:rPr>
                <w:rFonts w:ascii="Arial" w:hAnsi="Arial" w:cs="Arial"/>
              </w:rPr>
            </w:pPr>
          </w:p>
          <w:p w14:paraId="6A8481F5" w14:textId="77777777" w:rsidR="000B6207" w:rsidRPr="0098193F" w:rsidRDefault="000B6207" w:rsidP="001E74A7">
            <w:pPr>
              <w:jc w:val="center"/>
              <w:rPr>
                <w:rFonts w:ascii="Arial" w:hAnsi="Arial" w:cs="Arial"/>
              </w:rPr>
            </w:pPr>
            <w:r w:rsidRPr="0098193F">
              <w:rPr>
                <w:rFonts w:ascii="Arial" w:hAnsi="Arial" w:cs="Arial"/>
              </w:rPr>
              <w:t>Public landholders (listed companies or public unit trust schemes): 90%</w:t>
            </w:r>
          </w:p>
          <w:p w14:paraId="787A819F" w14:textId="77777777" w:rsidR="000B6207" w:rsidRPr="00686C65" w:rsidRDefault="000B6207" w:rsidP="001E74A7">
            <w:pPr>
              <w:rPr>
                <w:rFonts w:ascii="Arial" w:hAnsi="Arial" w:cs="Arial"/>
              </w:rPr>
            </w:pPr>
          </w:p>
          <w:p w14:paraId="0ECBA700" w14:textId="77777777" w:rsidR="000B6207" w:rsidRPr="00686C65" w:rsidRDefault="000B6207" w:rsidP="008B360D">
            <w:pPr>
              <w:jc w:val="center"/>
              <w:rPr>
                <w:rFonts w:ascii="Arial" w:hAnsi="Arial" w:cs="Arial"/>
                <w:i/>
              </w:rPr>
            </w:pPr>
            <w:r w:rsidRPr="00686C65">
              <w:rPr>
                <w:rFonts w:ascii="Arial" w:hAnsi="Arial" w:cs="Arial"/>
              </w:rPr>
              <w:t xml:space="preserve">Separate treatment of “voluntary disposition </w:t>
            </w:r>
            <w:r w:rsidRPr="00686C65">
              <w:rPr>
                <w:rFonts w:ascii="Arial" w:hAnsi="Arial" w:cs="Arial"/>
                <w:i/>
              </w:rPr>
              <w:t xml:space="preserve">inter vivos” </w:t>
            </w:r>
            <w:r w:rsidRPr="00686C65">
              <w:rPr>
                <w:rFonts w:ascii="Arial" w:hAnsi="Arial" w:cs="Arial"/>
              </w:rPr>
              <w:t>for unit trusts – no threshold</w:t>
            </w:r>
          </w:p>
        </w:tc>
        <w:tc>
          <w:tcPr>
            <w:tcW w:w="1671" w:type="dxa"/>
            <w:vAlign w:val="center"/>
          </w:tcPr>
          <w:p w14:paraId="35D276C1" w14:textId="77777777" w:rsidR="000B6207" w:rsidRDefault="000B6207" w:rsidP="001E74A7">
            <w:pPr>
              <w:jc w:val="center"/>
              <w:rPr>
                <w:rFonts w:ascii="Arial" w:hAnsi="Arial" w:cs="Arial"/>
              </w:rPr>
            </w:pPr>
            <w:r w:rsidRPr="0098193F">
              <w:rPr>
                <w:rFonts w:ascii="Arial" w:hAnsi="Arial" w:cs="Arial"/>
              </w:rPr>
              <w:t>Private companies</w:t>
            </w:r>
            <w:r w:rsidRPr="00686C65">
              <w:rPr>
                <w:rFonts w:ascii="Arial" w:hAnsi="Arial" w:cs="Arial"/>
              </w:rPr>
              <w:t xml:space="preserve"> and </w:t>
            </w:r>
            <w:r w:rsidRPr="0098193F">
              <w:rPr>
                <w:rFonts w:ascii="Arial" w:hAnsi="Arial" w:cs="Arial"/>
              </w:rPr>
              <w:t>unit trust schemes</w:t>
            </w:r>
            <w:r w:rsidRPr="00686C65">
              <w:rPr>
                <w:rFonts w:ascii="Arial" w:hAnsi="Arial" w:cs="Arial"/>
              </w:rPr>
              <w:t xml:space="preserve"> – 50%</w:t>
            </w:r>
          </w:p>
          <w:p w14:paraId="66229617" w14:textId="77777777" w:rsidR="000B6207" w:rsidRDefault="000B6207" w:rsidP="001E74A7">
            <w:pPr>
              <w:jc w:val="center"/>
              <w:rPr>
                <w:rFonts w:ascii="Arial" w:hAnsi="Arial" w:cs="Arial"/>
              </w:rPr>
            </w:pPr>
          </w:p>
          <w:p w14:paraId="57E4D13D" w14:textId="77777777" w:rsidR="000B6207" w:rsidRPr="00AD459B" w:rsidRDefault="000B6207" w:rsidP="001E74A7">
            <w:pPr>
              <w:jc w:val="center"/>
              <w:rPr>
                <w:rFonts w:ascii="Arial" w:hAnsi="Arial" w:cs="Arial"/>
                <w:u w:val="single"/>
              </w:rPr>
            </w:pPr>
            <w:r w:rsidRPr="00AD459B">
              <w:rPr>
                <w:rFonts w:ascii="Arial" w:hAnsi="Arial" w:cs="Arial"/>
                <w:u w:val="single"/>
              </w:rPr>
              <w:t xml:space="preserve">Listed  </w:t>
            </w:r>
            <w:r w:rsidRPr="0098193F">
              <w:rPr>
                <w:rFonts w:ascii="Arial" w:hAnsi="Arial" w:cs="Arial"/>
              </w:rPr>
              <w:t>companies and public unit trust schemes – 90%</w:t>
            </w:r>
            <w:r w:rsidRPr="00AD459B">
              <w:rPr>
                <w:rFonts w:ascii="Arial" w:hAnsi="Arial" w:cs="Arial"/>
                <w:u w:val="single"/>
              </w:rPr>
              <w:t xml:space="preserve"> </w:t>
            </w:r>
          </w:p>
        </w:tc>
        <w:tc>
          <w:tcPr>
            <w:tcW w:w="1671" w:type="dxa"/>
            <w:vAlign w:val="center"/>
          </w:tcPr>
          <w:p w14:paraId="003BE5AF" w14:textId="77777777" w:rsidR="000B6207" w:rsidRDefault="000B6207" w:rsidP="001E74A7">
            <w:pPr>
              <w:jc w:val="center"/>
              <w:rPr>
                <w:rFonts w:ascii="Arial" w:hAnsi="Arial" w:cs="Arial"/>
              </w:rPr>
            </w:pPr>
            <w:r w:rsidRPr="0098193F">
              <w:rPr>
                <w:rFonts w:ascii="Arial" w:hAnsi="Arial" w:cs="Arial"/>
              </w:rPr>
              <w:t>Private unit trusts</w:t>
            </w:r>
            <w:r w:rsidRPr="00686C65">
              <w:rPr>
                <w:rFonts w:ascii="Arial" w:hAnsi="Arial" w:cs="Arial"/>
              </w:rPr>
              <w:t xml:space="preserve"> – 20%</w:t>
            </w:r>
          </w:p>
          <w:p w14:paraId="14E719DB" w14:textId="77777777" w:rsidR="000B6207" w:rsidRPr="0098193F" w:rsidRDefault="000B6207" w:rsidP="001E74A7">
            <w:pPr>
              <w:jc w:val="center"/>
              <w:rPr>
                <w:rFonts w:ascii="Arial" w:hAnsi="Arial" w:cs="Arial"/>
              </w:rPr>
            </w:pPr>
            <w:r w:rsidRPr="0098193F">
              <w:rPr>
                <w:rFonts w:ascii="Arial" w:hAnsi="Arial" w:cs="Arial"/>
              </w:rPr>
              <w:t>Private company and wholesale unit trust – 50%</w:t>
            </w:r>
          </w:p>
          <w:p w14:paraId="00D7B1A4" w14:textId="77777777" w:rsidR="000B6207" w:rsidRPr="00686C65" w:rsidRDefault="000B6207" w:rsidP="001E74A7">
            <w:pPr>
              <w:jc w:val="center"/>
              <w:rPr>
                <w:rFonts w:ascii="Arial" w:hAnsi="Arial" w:cs="Arial"/>
              </w:rPr>
            </w:pPr>
            <w:r w:rsidRPr="00AD459B">
              <w:rPr>
                <w:rFonts w:ascii="Arial" w:hAnsi="Arial" w:cs="Arial"/>
                <w:u w:val="single"/>
              </w:rPr>
              <w:t xml:space="preserve">Public </w:t>
            </w:r>
            <w:r w:rsidRPr="0098193F">
              <w:rPr>
                <w:rFonts w:ascii="Arial" w:hAnsi="Arial" w:cs="Arial"/>
              </w:rPr>
              <w:t>landholder (listed companies and public unit trusts) - 90%</w:t>
            </w:r>
            <w:r>
              <w:rPr>
                <w:rFonts w:ascii="Arial" w:hAnsi="Arial" w:cs="Arial"/>
              </w:rPr>
              <w:t xml:space="preserve"> </w:t>
            </w:r>
          </w:p>
        </w:tc>
        <w:tc>
          <w:tcPr>
            <w:tcW w:w="1671" w:type="dxa"/>
            <w:vAlign w:val="center"/>
          </w:tcPr>
          <w:p w14:paraId="6DC6A292" w14:textId="77777777" w:rsidR="000B6207" w:rsidRPr="00AD459B" w:rsidRDefault="000B6207" w:rsidP="001E74A7">
            <w:pPr>
              <w:jc w:val="center"/>
              <w:rPr>
                <w:rFonts w:ascii="Arial" w:hAnsi="Arial" w:cs="Arial"/>
                <w:sz w:val="20"/>
                <w:szCs w:val="20"/>
                <w:u w:val="single"/>
              </w:rPr>
            </w:pPr>
            <w:r w:rsidRPr="0098193F">
              <w:rPr>
                <w:rFonts w:ascii="Arial" w:hAnsi="Arial" w:cs="Arial"/>
                <w:sz w:val="20"/>
                <w:szCs w:val="20"/>
              </w:rPr>
              <w:t>Listed company</w:t>
            </w:r>
            <w:r w:rsidRPr="00AD459B">
              <w:rPr>
                <w:rFonts w:ascii="Arial" w:hAnsi="Arial"/>
                <w:sz w:val="20"/>
              </w:rPr>
              <w:t xml:space="preserve"> and </w:t>
            </w:r>
            <w:r w:rsidRPr="0098193F">
              <w:rPr>
                <w:rFonts w:ascii="Arial" w:hAnsi="Arial" w:cs="Arial"/>
                <w:sz w:val="20"/>
                <w:szCs w:val="20"/>
              </w:rPr>
              <w:t>trust 90%</w:t>
            </w:r>
          </w:p>
          <w:p w14:paraId="78579DB3" w14:textId="77777777" w:rsidR="000B6207" w:rsidRPr="00AD459B" w:rsidRDefault="000B6207" w:rsidP="001E74A7">
            <w:pPr>
              <w:jc w:val="center"/>
              <w:rPr>
                <w:rFonts w:ascii="Arial" w:hAnsi="Arial" w:cs="Arial"/>
                <w:sz w:val="20"/>
                <w:szCs w:val="20"/>
                <w:u w:val="single"/>
              </w:rPr>
            </w:pPr>
          </w:p>
          <w:p w14:paraId="5449D1BD" w14:textId="77777777" w:rsidR="000B6207" w:rsidRPr="00AD459B" w:rsidRDefault="000B6207" w:rsidP="001E74A7">
            <w:pPr>
              <w:jc w:val="center"/>
              <w:rPr>
                <w:rFonts w:ascii="Arial" w:hAnsi="Arial"/>
                <w:sz w:val="20"/>
              </w:rPr>
            </w:pPr>
            <w:r w:rsidRPr="0098193F">
              <w:rPr>
                <w:rFonts w:ascii="Arial" w:hAnsi="Arial" w:cs="Arial"/>
                <w:sz w:val="20"/>
                <w:szCs w:val="20"/>
              </w:rPr>
              <w:t>Private company and trust</w:t>
            </w:r>
            <w:r w:rsidRPr="00AD459B">
              <w:rPr>
                <w:rFonts w:ascii="Arial" w:hAnsi="Arial"/>
                <w:sz w:val="20"/>
              </w:rPr>
              <w:t xml:space="preserve"> – 50%</w:t>
            </w:r>
          </w:p>
        </w:tc>
      </w:tr>
      <w:tr w:rsidR="000B6207" w:rsidRPr="00A40BD6" w14:paraId="552FD4B0" w14:textId="77777777" w:rsidTr="001E74A7">
        <w:tc>
          <w:tcPr>
            <w:tcW w:w="6307" w:type="dxa"/>
          </w:tcPr>
          <w:p w14:paraId="33EFFD60" w14:textId="77777777" w:rsidR="000B6207" w:rsidRPr="00322993" w:rsidRDefault="000B6207" w:rsidP="008B360D">
            <w:pPr>
              <w:rPr>
                <w:rFonts w:ascii="Arial" w:hAnsi="Arial" w:cs="Arial"/>
              </w:rPr>
            </w:pPr>
            <w:r w:rsidRPr="00322993">
              <w:rPr>
                <w:rFonts w:ascii="Arial" w:hAnsi="Arial" w:cs="Arial"/>
              </w:rPr>
              <w:t>Landholding threshold</w:t>
            </w:r>
          </w:p>
        </w:tc>
        <w:tc>
          <w:tcPr>
            <w:tcW w:w="1670" w:type="dxa"/>
            <w:vAlign w:val="center"/>
          </w:tcPr>
          <w:p w14:paraId="18D82E42" w14:textId="77777777" w:rsidR="000B6207" w:rsidRPr="00322993" w:rsidRDefault="000B6207" w:rsidP="001E74A7">
            <w:pPr>
              <w:jc w:val="center"/>
              <w:rPr>
                <w:rFonts w:ascii="Arial" w:hAnsi="Arial" w:cs="Arial"/>
              </w:rPr>
            </w:pPr>
            <w:r>
              <w:rPr>
                <w:rFonts w:ascii="Arial" w:hAnsi="Arial" w:cs="Arial"/>
              </w:rPr>
              <w:t>No minimum</w:t>
            </w:r>
          </w:p>
        </w:tc>
        <w:tc>
          <w:tcPr>
            <w:tcW w:w="1671" w:type="dxa"/>
            <w:vAlign w:val="center"/>
          </w:tcPr>
          <w:p w14:paraId="38736069" w14:textId="77777777" w:rsidR="000B6207" w:rsidRPr="00322993" w:rsidRDefault="000B6207" w:rsidP="001E74A7">
            <w:pPr>
              <w:jc w:val="center"/>
              <w:rPr>
                <w:rFonts w:ascii="Arial" w:hAnsi="Arial" w:cs="Arial"/>
              </w:rPr>
            </w:pPr>
            <w:r>
              <w:rPr>
                <w:rFonts w:ascii="Arial" w:hAnsi="Arial" w:cs="Arial"/>
              </w:rPr>
              <w:t>$2m of land</w:t>
            </w:r>
          </w:p>
        </w:tc>
        <w:tc>
          <w:tcPr>
            <w:tcW w:w="1671" w:type="dxa"/>
            <w:vAlign w:val="center"/>
          </w:tcPr>
          <w:p w14:paraId="3D466C18" w14:textId="77777777" w:rsidR="000B6207" w:rsidRPr="00322993" w:rsidRDefault="000B6207" w:rsidP="001E74A7">
            <w:pPr>
              <w:jc w:val="center"/>
              <w:rPr>
                <w:rFonts w:ascii="Arial" w:hAnsi="Arial" w:cs="Arial"/>
              </w:rPr>
            </w:pPr>
            <w:r>
              <w:rPr>
                <w:rFonts w:ascii="Arial" w:hAnsi="Arial" w:cs="Arial"/>
              </w:rPr>
              <w:t>$500,000 of land</w:t>
            </w:r>
          </w:p>
        </w:tc>
        <w:tc>
          <w:tcPr>
            <w:tcW w:w="1671" w:type="dxa"/>
            <w:vAlign w:val="center"/>
          </w:tcPr>
          <w:p w14:paraId="51ADA74A" w14:textId="77777777" w:rsidR="000B6207" w:rsidRDefault="000B6207" w:rsidP="001E74A7">
            <w:pPr>
              <w:jc w:val="center"/>
              <w:rPr>
                <w:rFonts w:ascii="Arial" w:hAnsi="Arial" w:cs="Arial"/>
              </w:rPr>
            </w:pPr>
            <w:r>
              <w:rPr>
                <w:rFonts w:ascii="Arial" w:hAnsi="Arial" w:cs="Arial"/>
              </w:rPr>
              <w:t xml:space="preserve">$2m of land </w:t>
            </w:r>
          </w:p>
          <w:p w14:paraId="0DF7A22B" w14:textId="77777777" w:rsidR="000B6207" w:rsidRPr="00322993" w:rsidRDefault="000B6207" w:rsidP="001E74A7">
            <w:pPr>
              <w:jc w:val="center"/>
              <w:rPr>
                <w:rFonts w:ascii="Arial" w:hAnsi="Arial" w:cs="Arial"/>
              </w:rPr>
            </w:pPr>
          </w:p>
        </w:tc>
        <w:tc>
          <w:tcPr>
            <w:tcW w:w="1671" w:type="dxa"/>
            <w:vAlign w:val="center"/>
          </w:tcPr>
          <w:p w14:paraId="70150EC1" w14:textId="77777777" w:rsidR="000B6207" w:rsidRPr="00322993" w:rsidRDefault="000B6207" w:rsidP="001E74A7">
            <w:pPr>
              <w:jc w:val="center"/>
              <w:rPr>
                <w:rFonts w:ascii="Arial" w:hAnsi="Arial" w:cs="Arial"/>
              </w:rPr>
            </w:pPr>
            <w:r>
              <w:rPr>
                <w:rFonts w:ascii="Arial" w:hAnsi="Arial" w:cs="Arial"/>
              </w:rPr>
              <w:t xml:space="preserve">$1m of land </w:t>
            </w:r>
            <w:r w:rsidRPr="0098193F">
              <w:rPr>
                <w:rFonts w:ascii="Arial" w:hAnsi="Arial" w:cs="Arial"/>
              </w:rPr>
              <w:t>until 30 June 2018. No minimum from 1 July 2018</w:t>
            </w:r>
          </w:p>
        </w:tc>
        <w:tc>
          <w:tcPr>
            <w:tcW w:w="1671" w:type="dxa"/>
            <w:vAlign w:val="center"/>
          </w:tcPr>
          <w:p w14:paraId="72E3F8B9" w14:textId="77777777" w:rsidR="000B6207" w:rsidRDefault="000B6207" w:rsidP="001E74A7">
            <w:pPr>
              <w:jc w:val="center"/>
              <w:rPr>
                <w:rFonts w:ascii="Arial" w:hAnsi="Arial" w:cs="Arial"/>
              </w:rPr>
            </w:pPr>
            <w:r>
              <w:rPr>
                <w:rFonts w:ascii="Arial" w:hAnsi="Arial" w:cs="Arial"/>
              </w:rPr>
              <w:t>$500,000 of land</w:t>
            </w:r>
          </w:p>
          <w:p w14:paraId="2EC9BFBA" w14:textId="77777777" w:rsidR="000B6207" w:rsidRPr="00322993" w:rsidRDefault="000B6207" w:rsidP="001E74A7">
            <w:pPr>
              <w:jc w:val="center"/>
              <w:rPr>
                <w:rFonts w:ascii="Arial" w:hAnsi="Arial" w:cs="Arial"/>
              </w:rPr>
            </w:pPr>
          </w:p>
        </w:tc>
        <w:tc>
          <w:tcPr>
            <w:tcW w:w="1671" w:type="dxa"/>
            <w:vAlign w:val="center"/>
          </w:tcPr>
          <w:p w14:paraId="0CCD196A" w14:textId="77777777" w:rsidR="000B6207" w:rsidRPr="00322993" w:rsidRDefault="000B6207" w:rsidP="001E74A7">
            <w:pPr>
              <w:jc w:val="center"/>
              <w:rPr>
                <w:rFonts w:ascii="Arial" w:hAnsi="Arial" w:cs="Arial"/>
              </w:rPr>
            </w:pPr>
            <w:r>
              <w:rPr>
                <w:rFonts w:ascii="Arial" w:hAnsi="Arial" w:cs="Arial"/>
              </w:rPr>
              <w:t>$1m of land</w:t>
            </w:r>
          </w:p>
        </w:tc>
        <w:tc>
          <w:tcPr>
            <w:tcW w:w="1671" w:type="dxa"/>
            <w:vAlign w:val="center"/>
          </w:tcPr>
          <w:p w14:paraId="3354BEFE" w14:textId="77777777" w:rsidR="000B6207" w:rsidRPr="00AD459B" w:rsidRDefault="000B6207" w:rsidP="001E74A7">
            <w:pPr>
              <w:jc w:val="center"/>
              <w:rPr>
                <w:rFonts w:ascii="Arial" w:hAnsi="Arial"/>
                <w:sz w:val="20"/>
              </w:rPr>
            </w:pPr>
            <w:r w:rsidRPr="00AD459B">
              <w:rPr>
                <w:rFonts w:ascii="Arial" w:hAnsi="Arial"/>
                <w:sz w:val="20"/>
              </w:rPr>
              <w:t>$</w:t>
            </w:r>
            <w:r w:rsidRPr="0098193F">
              <w:rPr>
                <w:rFonts w:ascii="Arial" w:hAnsi="Arial" w:cs="Arial"/>
                <w:sz w:val="20"/>
                <w:szCs w:val="20"/>
              </w:rPr>
              <w:t>2m</w:t>
            </w:r>
            <w:r w:rsidRPr="00AD459B">
              <w:rPr>
                <w:rFonts w:ascii="Arial" w:hAnsi="Arial"/>
                <w:sz w:val="20"/>
              </w:rPr>
              <w:t xml:space="preserve"> of land</w:t>
            </w:r>
          </w:p>
        </w:tc>
      </w:tr>
      <w:tr w:rsidR="000B6207" w:rsidRPr="00A40BD6" w14:paraId="4A9667A5" w14:textId="77777777" w:rsidTr="001E74A7">
        <w:tc>
          <w:tcPr>
            <w:tcW w:w="6307" w:type="dxa"/>
          </w:tcPr>
          <w:p w14:paraId="26FF498B" w14:textId="77777777" w:rsidR="000B6207" w:rsidRPr="00322993" w:rsidRDefault="000B6207" w:rsidP="001E74A7">
            <w:pPr>
              <w:rPr>
                <w:rFonts w:ascii="Arial" w:hAnsi="Arial" w:cs="Arial"/>
              </w:rPr>
            </w:pPr>
            <w:r>
              <w:rPr>
                <w:rFonts w:ascii="Arial" w:hAnsi="Arial" w:cs="Arial"/>
              </w:rPr>
              <w:t>Tracing threshold for land of subsidiaries</w:t>
            </w:r>
          </w:p>
        </w:tc>
        <w:tc>
          <w:tcPr>
            <w:tcW w:w="1670" w:type="dxa"/>
            <w:vAlign w:val="center"/>
          </w:tcPr>
          <w:p w14:paraId="2AB518AA" w14:textId="77777777" w:rsidR="000B6207" w:rsidRDefault="000B6207" w:rsidP="008B360D">
            <w:pPr>
              <w:jc w:val="center"/>
              <w:rPr>
                <w:rFonts w:ascii="Arial" w:hAnsi="Arial" w:cs="Arial"/>
              </w:rPr>
            </w:pPr>
            <w:r>
              <w:rPr>
                <w:rFonts w:ascii="Arial" w:hAnsi="Arial" w:cs="Arial"/>
              </w:rPr>
              <w:t>50% ownership</w:t>
            </w:r>
          </w:p>
        </w:tc>
        <w:tc>
          <w:tcPr>
            <w:tcW w:w="1671" w:type="dxa"/>
            <w:vAlign w:val="center"/>
          </w:tcPr>
          <w:p w14:paraId="007FE9F5" w14:textId="77777777" w:rsidR="000B6207" w:rsidRPr="00686C65" w:rsidRDefault="000B6207" w:rsidP="008B360D">
            <w:pPr>
              <w:jc w:val="center"/>
              <w:rPr>
                <w:rFonts w:ascii="Arial" w:hAnsi="Arial" w:cs="Arial"/>
              </w:rPr>
            </w:pPr>
            <w:r w:rsidRPr="00686C65">
              <w:rPr>
                <w:rFonts w:ascii="Arial" w:hAnsi="Arial" w:cs="Arial"/>
              </w:rPr>
              <w:t>50% ownership</w:t>
            </w:r>
          </w:p>
        </w:tc>
        <w:tc>
          <w:tcPr>
            <w:tcW w:w="1671" w:type="dxa"/>
            <w:vAlign w:val="center"/>
          </w:tcPr>
          <w:p w14:paraId="463F1852" w14:textId="77777777" w:rsidR="000B6207" w:rsidRPr="00686C65" w:rsidRDefault="000B6207" w:rsidP="00C07A46">
            <w:pPr>
              <w:jc w:val="center"/>
              <w:rPr>
                <w:rFonts w:ascii="Arial" w:hAnsi="Arial" w:cs="Arial"/>
              </w:rPr>
            </w:pPr>
            <w:r w:rsidRPr="00686C65">
              <w:rPr>
                <w:rFonts w:ascii="Arial" w:hAnsi="Arial" w:cs="Arial"/>
              </w:rPr>
              <w:t>20% ownership</w:t>
            </w:r>
          </w:p>
        </w:tc>
        <w:tc>
          <w:tcPr>
            <w:tcW w:w="1671" w:type="dxa"/>
            <w:vAlign w:val="center"/>
          </w:tcPr>
          <w:p w14:paraId="7D94E418" w14:textId="77777777" w:rsidR="000B6207" w:rsidRPr="00AD459B" w:rsidRDefault="000B6207" w:rsidP="001E74A7">
            <w:pPr>
              <w:jc w:val="center"/>
              <w:rPr>
                <w:rFonts w:ascii="Arial" w:hAnsi="Arial" w:cs="Arial"/>
                <w:u w:val="single"/>
              </w:rPr>
            </w:pPr>
            <w:r w:rsidRPr="0098193F">
              <w:rPr>
                <w:rFonts w:ascii="Arial" w:hAnsi="Arial" w:cs="Arial"/>
              </w:rPr>
              <w:t xml:space="preserve">Corporations / listed unit trusts: if a subsidiary under the </w:t>
            </w:r>
            <w:r w:rsidRPr="0098193F">
              <w:rPr>
                <w:rFonts w:ascii="Arial" w:hAnsi="Arial" w:cs="Arial"/>
                <w:i/>
              </w:rPr>
              <w:t>Corporations Act 2001</w:t>
            </w:r>
            <w:r w:rsidRPr="00AD459B">
              <w:rPr>
                <w:rFonts w:ascii="Arial" w:hAnsi="Arial" w:cs="Arial"/>
                <w:i/>
                <w:u w:val="single"/>
              </w:rPr>
              <w:t xml:space="preserve">. </w:t>
            </w:r>
          </w:p>
          <w:p w14:paraId="53FF5E02" w14:textId="77777777" w:rsidR="000B6207" w:rsidRPr="00AD459B" w:rsidRDefault="000B6207" w:rsidP="001E74A7">
            <w:pPr>
              <w:jc w:val="center"/>
              <w:rPr>
                <w:rFonts w:ascii="Arial" w:hAnsi="Arial" w:cs="Arial"/>
                <w:u w:val="single"/>
              </w:rPr>
            </w:pPr>
          </w:p>
          <w:p w14:paraId="06C66525" w14:textId="77777777" w:rsidR="000B6207" w:rsidRPr="00686C65" w:rsidRDefault="000B6207" w:rsidP="001E74A7">
            <w:pPr>
              <w:jc w:val="center"/>
              <w:rPr>
                <w:rFonts w:ascii="Arial" w:hAnsi="Arial" w:cs="Arial"/>
              </w:rPr>
            </w:pPr>
            <w:r w:rsidRPr="0098193F">
              <w:rPr>
                <w:rFonts w:ascii="Arial" w:hAnsi="Arial" w:cs="Arial"/>
              </w:rPr>
              <w:t>Corporate</w:t>
            </w:r>
            <w:r w:rsidRPr="00686C65">
              <w:rPr>
                <w:rFonts w:ascii="Arial" w:hAnsi="Arial" w:cs="Arial"/>
              </w:rPr>
              <w:t xml:space="preserve"> beneficiaries: </w:t>
            </w:r>
            <w:r w:rsidRPr="0098193F">
              <w:rPr>
                <w:rFonts w:ascii="Arial" w:hAnsi="Arial" w:cs="Arial"/>
              </w:rPr>
              <w:t>50% or more.</w:t>
            </w:r>
          </w:p>
          <w:p w14:paraId="0422FDEF" w14:textId="77777777" w:rsidR="008B360D" w:rsidRPr="00686C65" w:rsidRDefault="000B6207" w:rsidP="008B360D">
            <w:pPr>
              <w:jc w:val="center"/>
              <w:rPr>
                <w:rFonts w:ascii="Arial" w:hAnsi="Arial" w:cs="Arial"/>
              </w:rPr>
            </w:pPr>
            <w:r w:rsidRPr="00686C65">
              <w:rPr>
                <w:rFonts w:ascii="Arial" w:hAnsi="Arial" w:cs="Arial"/>
              </w:rPr>
              <w:t>Trustees</w:t>
            </w:r>
            <w:r w:rsidRPr="00F77099">
              <w:rPr>
                <w:rFonts w:ascii="Arial" w:hAnsi="Arial" w:cs="Arial"/>
              </w:rPr>
              <w:t xml:space="preserve">: </w:t>
            </w:r>
            <w:r w:rsidRPr="00686C65">
              <w:rPr>
                <w:rFonts w:ascii="Arial" w:hAnsi="Arial" w:cs="Arial"/>
              </w:rPr>
              <w:t xml:space="preserve">any </w:t>
            </w:r>
            <w:r w:rsidRPr="0098193F">
              <w:rPr>
                <w:rFonts w:ascii="Arial" w:hAnsi="Arial" w:cs="Arial"/>
              </w:rPr>
              <w:t>beneficial</w:t>
            </w:r>
            <w:r w:rsidRPr="00F77099">
              <w:rPr>
                <w:rFonts w:ascii="Arial" w:hAnsi="Arial" w:cs="Arial"/>
              </w:rPr>
              <w:t xml:space="preserve"> </w:t>
            </w:r>
            <w:r w:rsidRPr="00686C65">
              <w:rPr>
                <w:rFonts w:ascii="Arial" w:hAnsi="Arial" w:cs="Arial"/>
              </w:rPr>
              <w:t>interest</w:t>
            </w:r>
            <w:r>
              <w:rPr>
                <w:rFonts w:ascii="Arial" w:hAnsi="Arial" w:cs="Arial"/>
              </w:rPr>
              <w:t>.</w:t>
            </w:r>
          </w:p>
        </w:tc>
        <w:tc>
          <w:tcPr>
            <w:tcW w:w="1671" w:type="dxa"/>
            <w:vAlign w:val="center"/>
          </w:tcPr>
          <w:p w14:paraId="4D7463DC" w14:textId="77777777" w:rsidR="000B6207" w:rsidRPr="00686C65" w:rsidRDefault="000B6207" w:rsidP="001E74A7">
            <w:pPr>
              <w:jc w:val="center"/>
              <w:rPr>
                <w:rFonts w:ascii="Arial" w:hAnsi="Arial" w:cs="Arial"/>
              </w:rPr>
            </w:pPr>
            <w:r w:rsidRPr="00686C65">
              <w:rPr>
                <w:rFonts w:ascii="Arial" w:hAnsi="Arial" w:cs="Arial"/>
              </w:rPr>
              <w:t>50% ownership</w:t>
            </w:r>
          </w:p>
        </w:tc>
        <w:tc>
          <w:tcPr>
            <w:tcW w:w="1671" w:type="dxa"/>
            <w:vAlign w:val="center"/>
          </w:tcPr>
          <w:p w14:paraId="0527C4F2" w14:textId="77777777" w:rsidR="000B6207" w:rsidRPr="00686C65" w:rsidRDefault="000B6207" w:rsidP="008B360D">
            <w:pPr>
              <w:jc w:val="center"/>
              <w:rPr>
                <w:rFonts w:ascii="Arial" w:hAnsi="Arial" w:cs="Arial"/>
              </w:rPr>
            </w:pPr>
            <w:r w:rsidRPr="0098193F">
              <w:rPr>
                <w:rFonts w:ascii="Arial" w:hAnsi="Arial" w:cs="Arial"/>
              </w:rPr>
              <w:t>50% entitlement to property distributed</w:t>
            </w:r>
          </w:p>
        </w:tc>
        <w:tc>
          <w:tcPr>
            <w:tcW w:w="1671" w:type="dxa"/>
            <w:vAlign w:val="center"/>
          </w:tcPr>
          <w:p w14:paraId="61BB191B" w14:textId="77777777" w:rsidR="000B6207" w:rsidRPr="00686C65" w:rsidRDefault="000B6207" w:rsidP="008B360D">
            <w:pPr>
              <w:jc w:val="center"/>
              <w:rPr>
                <w:rFonts w:ascii="Arial" w:hAnsi="Arial" w:cs="Arial"/>
              </w:rPr>
            </w:pPr>
            <w:r w:rsidRPr="00686C65">
              <w:rPr>
                <w:rFonts w:ascii="Arial" w:hAnsi="Arial" w:cs="Arial"/>
              </w:rPr>
              <w:t>20% ownership</w:t>
            </w:r>
          </w:p>
        </w:tc>
        <w:tc>
          <w:tcPr>
            <w:tcW w:w="1671" w:type="dxa"/>
            <w:vAlign w:val="center"/>
          </w:tcPr>
          <w:p w14:paraId="61BF0C8E" w14:textId="77777777" w:rsidR="000B6207" w:rsidRPr="0098193F" w:rsidRDefault="000B6207" w:rsidP="001E74A7">
            <w:pPr>
              <w:jc w:val="center"/>
              <w:rPr>
                <w:rFonts w:ascii="Arial" w:hAnsi="Arial" w:cs="Arial"/>
                <w:sz w:val="20"/>
                <w:szCs w:val="20"/>
              </w:rPr>
            </w:pPr>
            <w:r w:rsidRPr="0098193F">
              <w:rPr>
                <w:rFonts w:ascii="Arial" w:hAnsi="Arial" w:cs="Arial"/>
                <w:sz w:val="20"/>
                <w:szCs w:val="20"/>
              </w:rPr>
              <w:t xml:space="preserve">Listed entities – 90% ownership </w:t>
            </w:r>
          </w:p>
          <w:p w14:paraId="79518511" w14:textId="77777777" w:rsidR="000B6207" w:rsidRPr="0098193F" w:rsidRDefault="000B6207" w:rsidP="001E74A7">
            <w:pPr>
              <w:jc w:val="center"/>
              <w:rPr>
                <w:rFonts w:ascii="Arial" w:hAnsi="Arial" w:cs="Arial"/>
                <w:sz w:val="20"/>
                <w:szCs w:val="20"/>
              </w:rPr>
            </w:pPr>
          </w:p>
          <w:p w14:paraId="476AC314" w14:textId="77777777" w:rsidR="000B6207" w:rsidRPr="0098193F" w:rsidRDefault="000B6207" w:rsidP="001E74A7">
            <w:pPr>
              <w:jc w:val="center"/>
              <w:rPr>
                <w:rFonts w:ascii="Arial" w:hAnsi="Arial"/>
                <w:sz w:val="20"/>
              </w:rPr>
            </w:pPr>
            <w:r w:rsidRPr="0098193F">
              <w:rPr>
                <w:rFonts w:ascii="Arial" w:hAnsi="Arial" w:cs="Arial"/>
                <w:sz w:val="20"/>
                <w:szCs w:val="20"/>
              </w:rPr>
              <w:t>Unlisted entities -</w:t>
            </w:r>
            <w:r w:rsidRPr="0098193F">
              <w:rPr>
                <w:rFonts w:ascii="Arial" w:hAnsi="Arial"/>
                <w:sz w:val="20"/>
              </w:rPr>
              <w:t>50% ownership</w:t>
            </w:r>
          </w:p>
          <w:p w14:paraId="65CAB14D" w14:textId="77777777" w:rsidR="000B6207" w:rsidRPr="0098193F" w:rsidRDefault="000B6207" w:rsidP="001E74A7">
            <w:pPr>
              <w:jc w:val="center"/>
              <w:rPr>
                <w:rFonts w:ascii="Arial" w:hAnsi="Arial" w:cs="Arial"/>
                <w:sz w:val="20"/>
                <w:szCs w:val="20"/>
              </w:rPr>
            </w:pPr>
          </w:p>
          <w:p w14:paraId="2C00CB6A" w14:textId="77777777" w:rsidR="000B6207" w:rsidRPr="0098193F" w:rsidRDefault="000B6207" w:rsidP="001E74A7">
            <w:pPr>
              <w:jc w:val="center"/>
              <w:rPr>
                <w:rFonts w:ascii="Arial" w:hAnsi="Arial" w:cs="Arial"/>
                <w:sz w:val="20"/>
                <w:szCs w:val="20"/>
              </w:rPr>
            </w:pPr>
            <w:r w:rsidRPr="0098193F">
              <w:rPr>
                <w:rFonts w:ascii="Arial" w:hAnsi="Arial" w:cs="Arial"/>
                <w:sz w:val="20"/>
                <w:szCs w:val="20"/>
              </w:rPr>
              <w:t>Discretionary trustee – entity is potential beneficiary</w:t>
            </w:r>
          </w:p>
          <w:p w14:paraId="35885F53" w14:textId="77777777" w:rsidR="000B6207" w:rsidRPr="0098193F" w:rsidRDefault="000B6207" w:rsidP="001E74A7">
            <w:pPr>
              <w:jc w:val="center"/>
              <w:rPr>
                <w:rFonts w:ascii="Arial" w:hAnsi="Arial" w:cs="Arial"/>
                <w:sz w:val="20"/>
                <w:szCs w:val="20"/>
              </w:rPr>
            </w:pPr>
          </w:p>
          <w:p w14:paraId="4BBDC75F" w14:textId="77777777" w:rsidR="000B6207" w:rsidRPr="00AD459B" w:rsidRDefault="000B6207" w:rsidP="001E74A7">
            <w:pPr>
              <w:rPr>
                <w:rFonts w:ascii="Arial" w:hAnsi="Arial"/>
                <w:sz w:val="20"/>
              </w:rPr>
            </w:pPr>
            <w:r w:rsidRPr="0098193F">
              <w:rPr>
                <w:rFonts w:ascii="Arial" w:hAnsi="Arial" w:cs="Arial"/>
                <w:sz w:val="20"/>
                <w:szCs w:val="20"/>
              </w:rPr>
              <w:t>Partnership – 50% contribution / losses</w:t>
            </w:r>
          </w:p>
        </w:tc>
      </w:tr>
      <w:tr w:rsidR="000B6207" w:rsidRPr="00A40BD6" w14:paraId="03713FD4" w14:textId="77777777" w:rsidTr="001E74A7">
        <w:tc>
          <w:tcPr>
            <w:tcW w:w="6307" w:type="dxa"/>
          </w:tcPr>
          <w:p w14:paraId="07130082" w14:textId="77777777" w:rsidR="000B6207" w:rsidRDefault="000B6207" w:rsidP="001E74A7">
            <w:pPr>
              <w:rPr>
                <w:rFonts w:ascii="Arial" w:hAnsi="Arial" w:cs="Arial"/>
              </w:rPr>
            </w:pPr>
            <w:r>
              <w:rPr>
                <w:rFonts w:ascii="Arial" w:hAnsi="Arial" w:cs="Arial"/>
              </w:rPr>
              <w:t>Inconsistent duty base for landholder duty</w:t>
            </w:r>
          </w:p>
          <w:p w14:paraId="7F072D5A" w14:textId="77777777" w:rsidR="000B6207" w:rsidRDefault="000B6207" w:rsidP="001E74A7">
            <w:pPr>
              <w:rPr>
                <w:rFonts w:ascii="Arial" w:hAnsi="Arial" w:cs="Arial"/>
              </w:rPr>
            </w:pPr>
          </w:p>
          <w:p w14:paraId="5163C364" w14:textId="77777777" w:rsidR="000B6207" w:rsidRPr="003C0E5D" w:rsidRDefault="000B6207" w:rsidP="001E74A7">
            <w:pPr>
              <w:rPr>
                <w:rFonts w:ascii="Arial" w:hAnsi="Arial" w:cs="Arial"/>
              </w:rPr>
            </w:pPr>
            <w:r>
              <w:rPr>
                <w:rFonts w:ascii="Arial" w:hAnsi="Arial" w:cs="Arial"/>
              </w:rPr>
              <w:t>Duty is payable on:</w:t>
            </w:r>
          </w:p>
        </w:tc>
        <w:tc>
          <w:tcPr>
            <w:tcW w:w="1670" w:type="dxa"/>
            <w:vAlign w:val="center"/>
          </w:tcPr>
          <w:p w14:paraId="7B4BAA2B" w14:textId="77777777" w:rsidR="000B6207" w:rsidRPr="00686C65" w:rsidRDefault="000B6207" w:rsidP="001E74A7">
            <w:pPr>
              <w:jc w:val="center"/>
              <w:rPr>
                <w:rFonts w:ascii="Arial" w:hAnsi="Arial" w:cs="Arial"/>
              </w:rPr>
            </w:pPr>
            <w:r w:rsidRPr="00686C65">
              <w:rPr>
                <w:rFonts w:ascii="Arial" w:hAnsi="Arial" w:cs="Arial"/>
              </w:rPr>
              <w:t>Land only</w:t>
            </w:r>
          </w:p>
        </w:tc>
        <w:tc>
          <w:tcPr>
            <w:tcW w:w="1671" w:type="dxa"/>
            <w:vAlign w:val="center"/>
          </w:tcPr>
          <w:p w14:paraId="20CC2178" w14:textId="77777777" w:rsidR="000B6207" w:rsidRPr="00686C65" w:rsidRDefault="000B6207" w:rsidP="001E74A7">
            <w:pPr>
              <w:jc w:val="center"/>
              <w:rPr>
                <w:rFonts w:ascii="Arial" w:hAnsi="Arial" w:cs="Arial"/>
              </w:rPr>
            </w:pPr>
            <w:r w:rsidRPr="00686C65">
              <w:rPr>
                <w:rFonts w:ascii="Arial" w:hAnsi="Arial" w:cs="Arial"/>
              </w:rPr>
              <w:t>Land and P&amp;E</w:t>
            </w:r>
          </w:p>
        </w:tc>
        <w:tc>
          <w:tcPr>
            <w:tcW w:w="1671" w:type="dxa"/>
            <w:vAlign w:val="center"/>
          </w:tcPr>
          <w:p w14:paraId="522CB728" w14:textId="77777777" w:rsidR="000B6207" w:rsidRPr="00686C65" w:rsidRDefault="000B6207" w:rsidP="001E74A7">
            <w:pPr>
              <w:jc w:val="center"/>
              <w:rPr>
                <w:rFonts w:ascii="Arial" w:hAnsi="Arial" w:cs="Arial"/>
              </w:rPr>
            </w:pPr>
            <w:r w:rsidRPr="00686C65">
              <w:rPr>
                <w:rFonts w:ascii="Arial" w:hAnsi="Arial" w:cs="Arial"/>
              </w:rPr>
              <w:t>Land only</w:t>
            </w:r>
          </w:p>
        </w:tc>
        <w:tc>
          <w:tcPr>
            <w:tcW w:w="1671" w:type="dxa"/>
            <w:vAlign w:val="center"/>
          </w:tcPr>
          <w:p w14:paraId="187B6D13" w14:textId="77777777" w:rsidR="000B6207" w:rsidRPr="00686C65" w:rsidRDefault="000B6207" w:rsidP="008B360D">
            <w:pPr>
              <w:jc w:val="center"/>
              <w:rPr>
                <w:rFonts w:ascii="Arial" w:hAnsi="Arial" w:cs="Arial"/>
              </w:rPr>
            </w:pPr>
            <w:r w:rsidRPr="00686C65">
              <w:rPr>
                <w:rFonts w:ascii="Arial" w:hAnsi="Arial" w:cs="Arial"/>
              </w:rPr>
              <w:t xml:space="preserve">: </w:t>
            </w:r>
            <w:r w:rsidRPr="0098193F">
              <w:rPr>
                <w:rFonts w:ascii="Arial" w:hAnsi="Arial" w:cs="Arial"/>
              </w:rPr>
              <w:t xml:space="preserve">Land-holdings, which include anything fixed on the land that may be separately owned and </w:t>
            </w:r>
            <w:r w:rsidRPr="0098193F">
              <w:rPr>
                <w:rFonts w:ascii="Arial" w:hAnsi="Arial" w:cs="Arial"/>
              </w:rPr>
              <w:lastRenderedPageBreak/>
              <w:t>certain rights or interests in the land.</w:t>
            </w:r>
            <w:r>
              <w:rPr>
                <w:rFonts w:ascii="Arial" w:hAnsi="Arial" w:cs="Arial"/>
              </w:rPr>
              <w:t xml:space="preserve"> </w:t>
            </w:r>
          </w:p>
        </w:tc>
        <w:tc>
          <w:tcPr>
            <w:tcW w:w="1671" w:type="dxa"/>
            <w:vAlign w:val="center"/>
          </w:tcPr>
          <w:p w14:paraId="521428D3" w14:textId="77777777" w:rsidR="000B6207" w:rsidRPr="0098193F" w:rsidRDefault="000B6207" w:rsidP="001E74A7">
            <w:pPr>
              <w:jc w:val="center"/>
              <w:rPr>
                <w:rFonts w:ascii="Arial" w:hAnsi="Arial" w:cs="Arial"/>
              </w:rPr>
            </w:pPr>
            <w:r w:rsidRPr="0098193F">
              <w:rPr>
                <w:rFonts w:ascii="Arial" w:hAnsi="Arial" w:cs="Arial"/>
              </w:rPr>
              <w:lastRenderedPageBreak/>
              <w:t xml:space="preserve">Land and land assets which includes anything fixed on the land that may be separately owned and </w:t>
            </w:r>
            <w:r w:rsidRPr="0098193F">
              <w:rPr>
                <w:rFonts w:ascii="Arial" w:hAnsi="Arial" w:cs="Arial"/>
              </w:rPr>
              <w:lastRenderedPageBreak/>
              <w:t>certain rights or interests in the land</w:t>
            </w:r>
          </w:p>
        </w:tc>
        <w:tc>
          <w:tcPr>
            <w:tcW w:w="1671" w:type="dxa"/>
            <w:vAlign w:val="center"/>
          </w:tcPr>
          <w:p w14:paraId="6A6F05F5" w14:textId="77777777" w:rsidR="000B6207" w:rsidRPr="00686C65" w:rsidRDefault="000B6207" w:rsidP="001E74A7">
            <w:pPr>
              <w:jc w:val="center"/>
              <w:rPr>
                <w:rFonts w:ascii="Arial" w:hAnsi="Arial" w:cs="Arial"/>
              </w:rPr>
            </w:pPr>
            <w:r w:rsidRPr="00686C65">
              <w:rPr>
                <w:rFonts w:ascii="Arial" w:hAnsi="Arial" w:cs="Arial"/>
              </w:rPr>
              <w:lastRenderedPageBreak/>
              <w:t xml:space="preserve">Land and </w:t>
            </w:r>
            <w:r w:rsidRPr="0098193F">
              <w:rPr>
                <w:rFonts w:ascii="Arial" w:hAnsi="Arial" w:cs="Arial"/>
              </w:rPr>
              <w:t>goods</w:t>
            </w:r>
          </w:p>
        </w:tc>
        <w:tc>
          <w:tcPr>
            <w:tcW w:w="1671" w:type="dxa"/>
            <w:vAlign w:val="center"/>
          </w:tcPr>
          <w:p w14:paraId="40448A01" w14:textId="77777777" w:rsidR="000B6207" w:rsidRPr="0098193F" w:rsidRDefault="000B6207" w:rsidP="001E74A7">
            <w:pPr>
              <w:jc w:val="center"/>
              <w:rPr>
                <w:rFonts w:ascii="Arial" w:hAnsi="Arial" w:cs="Arial"/>
              </w:rPr>
            </w:pPr>
            <w:r w:rsidRPr="0098193F">
              <w:rPr>
                <w:rFonts w:ascii="Arial" w:hAnsi="Arial" w:cs="Arial"/>
              </w:rPr>
              <w:t xml:space="preserve">Land, which includes anything fixed to the land whether or not the item is a fixture at law, owned </w:t>
            </w:r>
            <w:r w:rsidRPr="0098193F">
              <w:rPr>
                <w:rFonts w:ascii="Arial" w:hAnsi="Arial" w:cs="Arial"/>
              </w:rPr>
              <w:lastRenderedPageBreak/>
              <w:t>separately from the land or considered to be legally separate to</w:t>
            </w:r>
            <w:r w:rsidRPr="00AD459B">
              <w:rPr>
                <w:rFonts w:ascii="Arial" w:hAnsi="Arial" w:cs="Arial"/>
                <w:u w:val="single"/>
              </w:rPr>
              <w:t xml:space="preserve"> </w:t>
            </w:r>
            <w:r w:rsidRPr="0098193F">
              <w:rPr>
                <w:rFonts w:ascii="Arial" w:hAnsi="Arial" w:cs="Arial"/>
              </w:rPr>
              <w:t>the land.</w:t>
            </w:r>
          </w:p>
          <w:p w14:paraId="206F27D3" w14:textId="77777777" w:rsidR="000B6207" w:rsidRPr="00686C65" w:rsidRDefault="000B6207" w:rsidP="008B360D">
            <w:pPr>
              <w:jc w:val="center"/>
              <w:rPr>
                <w:rFonts w:ascii="Arial" w:hAnsi="Arial" w:cs="Arial"/>
              </w:rPr>
            </w:pPr>
            <w:r w:rsidRPr="0098193F">
              <w:rPr>
                <w:rFonts w:ascii="Arial" w:hAnsi="Arial" w:cs="Arial"/>
              </w:rPr>
              <w:t>(Discretion to ignore the fixed item in certain circumstances</w:t>
            </w:r>
            <w:r>
              <w:rPr>
                <w:rFonts w:ascii="Arial" w:hAnsi="Arial" w:cs="Arial"/>
              </w:rPr>
              <w:t>)</w:t>
            </w:r>
          </w:p>
        </w:tc>
        <w:tc>
          <w:tcPr>
            <w:tcW w:w="1671" w:type="dxa"/>
            <w:vAlign w:val="center"/>
          </w:tcPr>
          <w:p w14:paraId="63578CDC" w14:textId="77777777" w:rsidR="000B6207" w:rsidRPr="00DE2754" w:rsidRDefault="000B6207" w:rsidP="001E74A7">
            <w:pPr>
              <w:jc w:val="center"/>
              <w:rPr>
                <w:rFonts w:ascii="Arial" w:hAnsi="Arial" w:cs="Arial"/>
                <w:sz w:val="20"/>
                <w:szCs w:val="20"/>
              </w:rPr>
            </w:pPr>
            <w:r w:rsidRPr="00AD459B">
              <w:rPr>
                <w:rFonts w:ascii="Arial" w:hAnsi="Arial"/>
                <w:sz w:val="20"/>
              </w:rPr>
              <w:lastRenderedPageBreak/>
              <w:t>Land and P&amp;E</w:t>
            </w:r>
          </w:p>
          <w:p w14:paraId="30C3D181" w14:textId="77777777" w:rsidR="000B6207" w:rsidRPr="00DE2754" w:rsidRDefault="000B6207" w:rsidP="001E74A7">
            <w:pPr>
              <w:jc w:val="center"/>
              <w:rPr>
                <w:rFonts w:ascii="Arial" w:hAnsi="Arial" w:cs="Arial"/>
                <w:sz w:val="20"/>
                <w:szCs w:val="20"/>
              </w:rPr>
            </w:pPr>
          </w:p>
          <w:p w14:paraId="634905D2" w14:textId="77777777" w:rsidR="000B6207" w:rsidRPr="00AD459B" w:rsidRDefault="000B6207" w:rsidP="001E74A7">
            <w:pPr>
              <w:jc w:val="center"/>
              <w:rPr>
                <w:rFonts w:ascii="Arial" w:hAnsi="Arial"/>
                <w:sz w:val="20"/>
              </w:rPr>
            </w:pPr>
            <w:r w:rsidRPr="00DE2754">
              <w:rPr>
                <w:rFonts w:ascii="Arial" w:hAnsi="Arial" w:cs="Arial"/>
                <w:sz w:val="20"/>
                <w:szCs w:val="20"/>
              </w:rPr>
              <w:t>*</w:t>
            </w:r>
            <w:r w:rsidRPr="0098193F">
              <w:rPr>
                <w:rFonts w:ascii="Arial" w:hAnsi="Arial" w:cs="Arial"/>
                <w:sz w:val="20"/>
                <w:szCs w:val="20"/>
              </w:rPr>
              <w:t>Certain P&amp;E are exempt</w:t>
            </w:r>
          </w:p>
        </w:tc>
      </w:tr>
      <w:tr w:rsidR="000B6207" w:rsidRPr="00A40BD6" w14:paraId="1032F2DA" w14:textId="77777777" w:rsidTr="001E74A7">
        <w:tc>
          <w:tcPr>
            <w:tcW w:w="6307" w:type="dxa"/>
          </w:tcPr>
          <w:p w14:paraId="2AAA6921" w14:textId="77777777" w:rsidR="000B6207" w:rsidRDefault="000B6207" w:rsidP="001E74A7">
            <w:pPr>
              <w:rPr>
                <w:rFonts w:ascii="Arial" w:hAnsi="Arial" w:cs="Arial"/>
                <w:b/>
              </w:rPr>
            </w:pPr>
            <w:r>
              <w:rPr>
                <w:rFonts w:ascii="Arial" w:hAnsi="Arial" w:cs="Arial"/>
                <w:b/>
              </w:rPr>
              <w:lastRenderedPageBreak/>
              <w:t>Corporate Reconstruction Relief</w:t>
            </w:r>
          </w:p>
          <w:p w14:paraId="668FEAE8" w14:textId="77777777" w:rsidR="000B6207" w:rsidRDefault="000B6207" w:rsidP="001E74A7">
            <w:pPr>
              <w:rPr>
                <w:rFonts w:ascii="Arial" w:hAnsi="Arial" w:cs="Arial"/>
              </w:rPr>
            </w:pPr>
            <w:r>
              <w:rPr>
                <w:rFonts w:ascii="Arial" w:hAnsi="Arial" w:cs="Arial"/>
              </w:rPr>
              <w:t>Inconsistent treatment of unit trusts and requirements to keep group in place in some jurisdictions</w:t>
            </w:r>
          </w:p>
          <w:p w14:paraId="3A33B0E8" w14:textId="77777777" w:rsidR="000B6207" w:rsidRDefault="000B6207" w:rsidP="001E74A7">
            <w:pPr>
              <w:rPr>
                <w:rFonts w:ascii="Arial" w:hAnsi="Arial" w:cs="Arial"/>
              </w:rPr>
            </w:pPr>
          </w:p>
          <w:p w14:paraId="6C1679F6" w14:textId="77777777" w:rsidR="000B6207" w:rsidRPr="00A40BD6" w:rsidRDefault="000B6207" w:rsidP="001E74A7">
            <w:pPr>
              <w:rPr>
                <w:rFonts w:ascii="Arial" w:hAnsi="Arial" w:cs="Arial"/>
                <w:b/>
              </w:rPr>
            </w:pPr>
            <w:r>
              <w:rPr>
                <w:rFonts w:ascii="Arial" w:hAnsi="Arial" w:cs="Arial"/>
              </w:rPr>
              <w:t>Relief extends to unit trusts:</w:t>
            </w:r>
          </w:p>
        </w:tc>
        <w:tc>
          <w:tcPr>
            <w:tcW w:w="1670" w:type="dxa"/>
            <w:vAlign w:val="center"/>
          </w:tcPr>
          <w:p w14:paraId="3551CFB9" w14:textId="77777777" w:rsidR="000B6207" w:rsidRPr="00A40BD6" w:rsidRDefault="000B6207" w:rsidP="001E74A7">
            <w:pPr>
              <w:jc w:val="center"/>
              <w:rPr>
                <w:rFonts w:ascii="Arial" w:hAnsi="Arial" w:cs="Arial"/>
              </w:rPr>
            </w:pPr>
            <w:r>
              <w:rPr>
                <w:rFonts w:ascii="Arial" w:hAnsi="Arial" w:cs="Arial"/>
              </w:rPr>
              <w:t>Yes</w:t>
            </w:r>
          </w:p>
        </w:tc>
        <w:tc>
          <w:tcPr>
            <w:tcW w:w="1671" w:type="dxa"/>
            <w:vAlign w:val="center"/>
          </w:tcPr>
          <w:p w14:paraId="1E9AC1B4" w14:textId="77777777" w:rsidR="000B6207" w:rsidRPr="00686C65" w:rsidRDefault="000B6207" w:rsidP="001E74A7">
            <w:pPr>
              <w:jc w:val="center"/>
              <w:rPr>
                <w:rFonts w:ascii="Arial" w:hAnsi="Arial" w:cs="Arial"/>
              </w:rPr>
            </w:pPr>
            <w:r w:rsidRPr="00686C65">
              <w:rPr>
                <w:rFonts w:ascii="Arial" w:hAnsi="Arial" w:cs="Arial"/>
              </w:rPr>
              <w:t>Yes</w:t>
            </w:r>
          </w:p>
        </w:tc>
        <w:tc>
          <w:tcPr>
            <w:tcW w:w="1671" w:type="dxa"/>
            <w:vAlign w:val="center"/>
          </w:tcPr>
          <w:p w14:paraId="3205D389" w14:textId="77777777" w:rsidR="000B6207" w:rsidRPr="00686C65" w:rsidRDefault="000B6207" w:rsidP="001E74A7">
            <w:pPr>
              <w:jc w:val="center"/>
              <w:rPr>
                <w:rFonts w:ascii="Arial" w:hAnsi="Arial" w:cs="Arial"/>
              </w:rPr>
            </w:pPr>
            <w:r w:rsidRPr="00686C65">
              <w:rPr>
                <w:rFonts w:ascii="Arial" w:hAnsi="Arial" w:cs="Arial"/>
              </w:rPr>
              <w:t>Companies only</w:t>
            </w:r>
          </w:p>
        </w:tc>
        <w:tc>
          <w:tcPr>
            <w:tcW w:w="1671" w:type="dxa"/>
            <w:vAlign w:val="center"/>
          </w:tcPr>
          <w:p w14:paraId="2490EAA4" w14:textId="77777777" w:rsidR="000B6207" w:rsidRPr="00686C65" w:rsidRDefault="000B6207" w:rsidP="001E74A7">
            <w:pPr>
              <w:jc w:val="center"/>
              <w:rPr>
                <w:rFonts w:ascii="Arial" w:hAnsi="Arial" w:cs="Arial"/>
              </w:rPr>
            </w:pPr>
            <w:r w:rsidRPr="00686C65">
              <w:rPr>
                <w:rFonts w:ascii="Arial" w:hAnsi="Arial" w:cs="Arial"/>
              </w:rPr>
              <w:t>Companies</w:t>
            </w:r>
            <w:r w:rsidRPr="00AD459B">
              <w:rPr>
                <w:rFonts w:ascii="Arial" w:hAnsi="Arial" w:cs="Arial"/>
                <w:u w:val="single"/>
              </w:rPr>
              <w:t xml:space="preserve">, </w:t>
            </w:r>
            <w:r w:rsidRPr="0098193F">
              <w:rPr>
                <w:rFonts w:ascii="Arial" w:hAnsi="Arial" w:cs="Arial"/>
              </w:rPr>
              <w:t>but a limited exemption for fixed trusts</w:t>
            </w:r>
            <w:r w:rsidRPr="00686C65">
              <w:rPr>
                <w:rFonts w:ascii="Arial" w:hAnsi="Arial" w:cs="Arial"/>
              </w:rPr>
              <w:t xml:space="preserve"> only</w:t>
            </w:r>
          </w:p>
        </w:tc>
        <w:tc>
          <w:tcPr>
            <w:tcW w:w="1671" w:type="dxa"/>
            <w:vAlign w:val="center"/>
          </w:tcPr>
          <w:p w14:paraId="66864E12" w14:textId="77777777" w:rsidR="000B6207" w:rsidRPr="00686C65" w:rsidRDefault="000B6207" w:rsidP="001E74A7">
            <w:pPr>
              <w:jc w:val="center"/>
              <w:rPr>
                <w:rFonts w:ascii="Arial" w:hAnsi="Arial" w:cs="Arial"/>
              </w:rPr>
            </w:pPr>
            <w:r w:rsidRPr="00686C65">
              <w:rPr>
                <w:rFonts w:ascii="Arial" w:hAnsi="Arial" w:cs="Arial"/>
              </w:rPr>
              <w:t>Yes</w:t>
            </w:r>
          </w:p>
        </w:tc>
        <w:tc>
          <w:tcPr>
            <w:tcW w:w="1671" w:type="dxa"/>
            <w:vAlign w:val="center"/>
          </w:tcPr>
          <w:p w14:paraId="496E0718" w14:textId="77777777" w:rsidR="000B6207" w:rsidRPr="00686C65" w:rsidRDefault="000B6207" w:rsidP="001E74A7">
            <w:pPr>
              <w:jc w:val="center"/>
              <w:rPr>
                <w:rFonts w:ascii="Arial" w:hAnsi="Arial" w:cs="Arial"/>
              </w:rPr>
            </w:pPr>
            <w:r w:rsidRPr="00686C65">
              <w:rPr>
                <w:rFonts w:ascii="Arial" w:hAnsi="Arial" w:cs="Arial"/>
              </w:rPr>
              <w:t>Yes</w:t>
            </w:r>
          </w:p>
        </w:tc>
        <w:tc>
          <w:tcPr>
            <w:tcW w:w="1671" w:type="dxa"/>
            <w:vAlign w:val="center"/>
          </w:tcPr>
          <w:p w14:paraId="1D12F58B" w14:textId="77777777" w:rsidR="000B6207" w:rsidRPr="00686C65" w:rsidRDefault="000B6207" w:rsidP="001E74A7">
            <w:pPr>
              <w:jc w:val="center"/>
              <w:rPr>
                <w:rFonts w:ascii="Arial" w:hAnsi="Arial" w:cs="Arial"/>
              </w:rPr>
            </w:pPr>
            <w:r w:rsidRPr="00686C65">
              <w:rPr>
                <w:rFonts w:ascii="Arial" w:hAnsi="Arial" w:cs="Arial"/>
              </w:rPr>
              <w:t>Yes</w:t>
            </w:r>
          </w:p>
        </w:tc>
        <w:tc>
          <w:tcPr>
            <w:tcW w:w="1671" w:type="dxa"/>
            <w:vAlign w:val="center"/>
          </w:tcPr>
          <w:p w14:paraId="7B629675" w14:textId="77777777" w:rsidR="000B6207" w:rsidRPr="00A40BD6" w:rsidRDefault="000B6207" w:rsidP="001E74A7">
            <w:pPr>
              <w:jc w:val="center"/>
              <w:rPr>
                <w:rFonts w:ascii="Arial" w:hAnsi="Arial" w:cs="Arial"/>
              </w:rPr>
            </w:pPr>
            <w:r>
              <w:rPr>
                <w:rFonts w:ascii="Arial" w:hAnsi="Arial" w:cs="Arial"/>
              </w:rPr>
              <w:t>Yes</w:t>
            </w:r>
          </w:p>
        </w:tc>
      </w:tr>
      <w:tr w:rsidR="000B6207" w:rsidRPr="00686C65" w14:paraId="7215DE2F" w14:textId="77777777" w:rsidTr="001E74A7">
        <w:tc>
          <w:tcPr>
            <w:tcW w:w="6307" w:type="dxa"/>
          </w:tcPr>
          <w:p w14:paraId="0D9B61DA" w14:textId="77777777" w:rsidR="000B6207" w:rsidRPr="003C0E5D" w:rsidRDefault="000B6207" w:rsidP="001E74A7">
            <w:pPr>
              <w:rPr>
                <w:rFonts w:ascii="Arial" w:hAnsi="Arial" w:cs="Arial"/>
              </w:rPr>
            </w:pPr>
            <w:r>
              <w:rPr>
                <w:rFonts w:ascii="Arial" w:hAnsi="Arial" w:cs="Arial"/>
              </w:rPr>
              <w:t>Inconsistent pre or post-association tests that limit availability where groups have not been in place</w:t>
            </w:r>
          </w:p>
        </w:tc>
        <w:tc>
          <w:tcPr>
            <w:tcW w:w="1670" w:type="dxa"/>
            <w:vAlign w:val="center"/>
          </w:tcPr>
          <w:p w14:paraId="1D0594B5" w14:textId="77777777" w:rsidR="000B6207" w:rsidRPr="00686C65" w:rsidRDefault="000B6207" w:rsidP="001E74A7">
            <w:pPr>
              <w:jc w:val="center"/>
              <w:rPr>
                <w:rFonts w:ascii="Arial" w:hAnsi="Arial" w:cs="Arial"/>
              </w:rPr>
            </w:pPr>
            <w:r w:rsidRPr="00686C65">
              <w:rPr>
                <w:rFonts w:ascii="Arial" w:hAnsi="Arial" w:cs="Arial"/>
              </w:rPr>
              <w:t>12 month pre- and post-association tests</w:t>
            </w:r>
          </w:p>
        </w:tc>
        <w:tc>
          <w:tcPr>
            <w:tcW w:w="1671" w:type="dxa"/>
            <w:vAlign w:val="center"/>
          </w:tcPr>
          <w:p w14:paraId="7A26932E" w14:textId="77777777" w:rsidR="000B6207" w:rsidRPr="00686C65" w:rsidRDefault="000B6207" w:rsidP="001E74A7">
            <w:pPr>
              <w:jc w:val="center"/>
              <w:rPr>
                <w:rFonts w:ascii="Arial" w:hAnsi="Arial" w:cs="Arial"/>
              </w:rPr>
            </w:pPr>
            <w:r w:rsidRPr="00686C65">
              <w:rPr>
                <w:rFonts w:ascii="Arial" w:hAnsi="Arial" w:cs="Arial"/>
              </w:rPr>
              <w:t>None</w:t>
            </w:r>
          </w:p>
        </w:tc>
        <w:tc>
          <w:tcPr>
            <w:tcW w:w="1671" w:type="dxa"/>
            <w:vAlign w:val="center"/>
          </w:tcPr>
          <w:p w14:paraId="34E94B17" w14:textId="77777777" w:rsidR="000B6207" w:rsidRPr="00686C65" w:rsidRDefault="000B6207" w:rsidP="001E74A7">
            <w:pPr>
              <w:jc w:val="center"/>
              <w:rPr>
                <w:rFonts w:ascii="Arial" w:hAnsi="Arial" w:cs="Arial"/>
              </w:rPr>
            </w:pPr>
            <w:r w:rsidRPr="00686C65">
              <w:rPr>
                <w:rFonts w:ascii="Arial" w:hAnsi="Arial" w:cs="Arial"/>
              </w:rPr>
              <w:t>3 years pre- and post-association tests</w:t>
            </w:r>
          </w:p>
        </w:tc>
        <w:tc>
          <w:tcPr>
            <w:tcW w:w="1671" w:type="dxa"/>
            <w:vAlign w:val="center"/>
          </w:tcPr>
          <w:p w14:paraId="74F28319" w14:textId="77777777" w:rsidR="000B6207" w:rsidRPr="00686C65" w:rsidRDefault="000B6207" w:rsidP="001E74A7">
            <w:pPr>
              <w:jc w:val="center"/>
              <w:rPr>
                <w:rFonts w:ascii="Arial" w:hAnsi="Arial" w:cs="Arial"/>
              </w:rPr>
            </w:pPr>
            <w:r w:rsidRPr="00686C65">
              <w:rPr>
                <w:rFonts w:ascii="Arial" w:hAnsi="Arial" w:cs="Arial"/>
              </w:rPr>
              <w:t>3 years pre- and post-association tests</w:t>
            </w:r>
          </w:p>
          <w:p w14:paraId="169C5CCE" w14:textId="77777777" w:rsidR="000B6207" w:rsidRPr="00686C65" w:rsidRDefault="000B6207" w:rsidP="001E74A7">
            <w:pPr>
              <w:jc w:val="center"/>
              <w:rPr>
                <w:rFonts w:ascii="Arial" w:hAnsi="Arial" w:cs="Arial"/>
              </w:rPr>
            </w:pPr>
          </w:p>
        </w:tc>
        <w:tc>
          <w:tcPr>
            <w:tcW w:w="1671" w:type="dxa"/>
            <w:vAlign w:val="center"/>
          </w:tcPr>
          <w:p w14:paraId="07A11518" w14:textId="77777777" w:rsidR="000B6207" w:rsidRPr="00686C65" w:rsidRDefault="000B6207" w:rsidP="001E74A7">
            <w:pPr>
              <w:jc w:val="center"/>
              <w:rPr>
                <w:rFonts w:ascii="Arial" w:hAnsi="Arial" w:cs="Arial"/>
              </w:rPr>
            </w:pPr>
            <w:r w:rsidRPr="00686C65">
              <w:rPr>
                <w:rFonts w:ascii="Arial" w:hAnsi="Arial" w:cs="Arial"/>
              </w:rPr>
              <w:t>None</w:t>
            </w:r>
          </w:p>
        </w:tc>
        <w:tc>
          <w:tcPr>
            <w:tcW w:w="1671" w:type="dxa"/>
            <w:vAlign w:val="center"/>
          </w:tcPr>
          <w:p w14:paraId="49B2ED6B" w14:textId="77777777" w:rsidR="000B6207" w:rsidRPr="00686C65" w:rsidRDefault="000B6207" w:rsidP="001E74A7">
            <w:pPr>
              <w:jc w:val="center"/>
              <w:rPr>
                <w:rFonts w:ascii="Arial" w:hAnsi="Arial" w:cs="Arial"/>
              </w:rPr>
            </w:pPr>
            <w:r w:rsidRPr="00686C65">
              <w:rPr>
                <w:rFonts w:ascii="Arial" w:hAnsi="Arial" w:cs="Arial"/>
              </w:rPr>
              <w:t>12 month pre- and post-association tests</w:t>
            </w:r>
          </w:p>
        </w:tc>
        <w:tc>
          <w:tcPr>
            <w:tcW w:w="1671" w:type="dxa"/>
            <w:vAlign w:val="center"/>
          </w:tcPr>
          <w:p w14:paraId="704B0872" w14:textId="77777777" w:rsidR="000B6207" w:rsidRPr="00686C65" w:rsidRDefault="000B6207" w:rsidP="001E74A7">
            <w:pPr>
              <w:jc w:val="center"/>
              <w:rPr>
                <w:rFonts w:ascii="Arial" w:hAnsi="Arial" w:cs="Arial"/>
              </w:rPr>
            </w:pPr>
            <w:r w:rsidRPr="00686C65">
              <w:rPr>
                <w:rFonts w:ascii="Arial" w:hAnsi="Arial" w:cs="Arial"/>
              </w:rPr>
              <w:t>3 year post-association test</w:t>
            </w:r>
          </w:p>
        </w:tc>
        <w:tc>
          <w:tcPr>
            <w:tcW w:w="1671" w:type="dxa"/>
            <w:vAlign w:val="center"/>
          </w:tcPr>
          <w:p w14:paraId="098FF0CF" w14:textId="77777777" w:rsidR="000B6207" w:rsidRPr="00686C65" w:rsidRDefault="000B6207" w:rsidP="001E74A7">
            <w:pPr>
              <w:jc w:val="center"/>
              <w:rPr>
                <w:rFonts w:ascii="Arial" w:hAnsi="Arial" w:cs="Arial"/>
              </w:rPr>
            </w:pPr>
            <w:r w:rsidRPr="00686C65">
              <w:rPr>
                <w:rFonts w:ascii="Arial" w:hAnsi="Arial" w:cs="Arial"/>
              </w:rPr>
              <w:t>None</w:t>
            </w:r>
          </w:p>
        </w:tc>
      </w:tr>
      <w:tr w:rsidR="000B6207" w:rsidRPr="00A40BD6" w14:paraId="05D90F89" w14:textId="77777777" w:rsidTr="001E74A7">
        <w:tc>
          <w:tcPr>
            <w:tcW w:w="6307" w:type="dxa"/>
          </w:tcPr>
          <w:p w14:paraId="4BF998A0" w14:textId="77777777" w:rsidR="000B6207" w:rsidRDefault="000B6207" w:rsidP="001E74A7">
            <w:pPr>
              <w:rPr>
                <w:rFonts w:ascii="Arial" w:hAnsi="Arial" w:cs="Arial"/>
              </w:rPr>
            </w:pPr>
            <w:r>
              <w:rPr>
                <w:rFonts w:ascii="Arial" w:hAnsi="Arial" w:cs="Arial"/>
              </w:rPr>
              <w:t>Top hatting/consolidation relief for interposing entity between shareholders and existing entity</w:t>
            </w:r>
          </w:p>
        </w:tc>
        <w:tc>
          <w:tcPr>
            <w:tcW w:w="1670" w:type="dxa"/>
            <w:vAlign w:val="center"/>
          </w:tcPr>
          <w:p w14:paraId="41610D2A" w14:textId="77777777" w:rsidR="000B6207" w:rsidRPr="00686C65" w:rsidRDefault="000B6207" w:rsidP="001E74A7">
            <w:pPr>
              <w:jc w:val="center"/>
              <w:rPr>
                <w:rFonts w:ascii="Arial" w:hAnsi="Arial" w:cs="Arial"/>
              </w:rPr>
            </w:pPr>
            <w:r w:rsidRPr="00686C65">
              <w:rPr>
                <w:rFonts w:ascii="Arial" w:hAnsi="Arial" w:cs="Arial"/>
              </w:rPr>
              <w:t>None</w:t>
            </w:r>
          </w:p>
        </w:tc>
        <w:tc>
          <w:tcPr>
            <w:tcW w:w="1671" w:type="dxa"/>
            <w:vAlign w:val="center"/>
          </w:tcPr>
          <w:p w14:paraId="4342D255" w14:textId="77777777" w:rsidR="000B6207" w:rsidRPr="00686C65" w:rsidRDefault="000B6207" w:rsidP="001E74A7">
            <w:pPr>
              <w:jc w:val="center"/>
              <w:rPr>
                <w:rFonts w:ascii="Arial" w:hAnsi="Arial" w:cs="Arial"/>
              </w:rPr>
            </w:pPr>
            <w:r w:rsidRPr="00686C65">
              <w:rPr>
                <w:rFonts w:ascii="Arial" w:hAnsi="Arial" w:cs="Arial"/>
              </w:rPr>
              <w:t>Yes</w:t>
            </w:r>
          </w:p>
        </w:tc>
        <w:tc>
          <w:tcPr>
            <w:tcW w:w="1671" w:type="dxa"/>
            <w:vAlign w:val="center"/>
          </w:tcPr>
          <w:p w14:paraId="758BEB0E" w14:textId="77777777" w:rsidR="000B6207" w:rsidRPr="00686C65" w:rsidRDefault="000B6207" w:rsidP="001E74A7">
            <w:pPr>
              <w:jc w:val="center"/>
              <w:rPr>
                <w:rFonts w:ascii="Arial" w:hAnsi="Arial" w:cs="Arial"/>
              </w:rPr>
            </w:pPr>
            <w:r w:rsidRPr="00686C65">
              <w:rPr>
                <w:rFonts w:ascii="Arial" w:hAnsi="Arial" w:cs="Arial"/>
              </w:rPr>
              <w:t>Yes</w:t>
            </w:r>
          </w:p>
        </w:tc>
        <w:tc>
          <w:tcPr>
            <w:tcW w:w="1671" w:type="dxa"/>
            <w:vAlign w:val="center"/>
          </w:tcPr>
          <w:p w14:paraId="13C572AC" w14:textId="77777777" w:rsidR="000B6207" w:rsidRPr="00686C65" w:rsidRDefault="000B6207" w:rsidP="008B360D">
            <w:pPr>
              <w:jc w:val="center"/>
              <w:rPr>
                <w:rFonts w:ascii="Arial" w:hAnsi="Arial" w:cs="Arial"/>
              </w:rPr>
            </w:pPr>
            <w:r w:rsidRPr="00686C65">
              <w:rPr>
                <w:rFonts w:ascii="Arial" w:hAnsi="Arial" w:cs="Arial"/>
              </w:rPr>
              <w:t>Yes</w:t>
            </w:r>
            <w:r w:rsidRPr="00F77099">
              <w:rPr>
                <w:rFonts w:ascii="Arial" w:hAnsi="Arial" w:cs="Arial"/>
              </w:rPr>
              <w:t>,</w:t>
            </w:r>
            <w:r w:rsidRPr="00686C65">
              <w:rPr>
                <w:rFonts w:ascii="Arial" w:hAnsi="Arial" w:cs="Arial"/>
              </w:rPr>
              <w:t xml:space="preserve"> companies </w:t>
            </w:r>
            <w:r w:rsidRPr="008F1907">
              <w:rPr>
                <w:rFonts w:ascii="Arial" w:hAnsi="Arial" w:cs="Arial"/>
              </w:rPr>
              <w:t>and listed unit trusts and widely held unit trusts</w:t>
            </w:r>
            <w:r w:rsidRPr="00F77099">
              <w:rPr>
                <w:rFonts w:ascii="Arial" w:hAnsi="Arial" w:cs="Arial"/>
              </w:rPr>
              <w:t xml:space="preserve"> </w:t>
            </w:r>
            <w:r w:rsidRPr="00686C65">
              <w:rPr>
                <w:rFonts w:ascii="Arial" w:hAnsi="Arial" w:cs="Arial"/>
              </w:rPr>
              <w:t>only</w:t>
            </w:r>
          </w:p>
        </w:tc>
        <w:tc>
          <w:tcPr>
            <w:tcW w:w="1671" w:type="dxa"/>
            <w:vAlign w:val="center"/>
          </w:tcPr>
          <w:p w14:paraId="18CCEA42" w14:textId="77777777" w:rsidR="000B6207" w:rsidRPr="008F1907" w:rsidRDefault="000B6207" w:rsidP="001E74A7">
            <w:pPr>
              <w:jc w:val="center"/>
              <w:rPr>
                <w:rFonts w:ascii="Arial" w:hAnsi="Arial" w:cs="Arial"/>
              </w:rPr>
            </w:pPr>
            <w:r w:rsidRPr="008F1907">
              <w:rPr>
                <w:rFonts w:ascii="Arial" w:hAnsi="Arial" w:cs="Arial"/>
              </w:rPr>
              <w:t xml:space="preserve">Limited relief via </w:t>
            </w:r>
            <w:r w:rsidRPr="008F1907">
              <w:rPr>
                <w:rFonts w:ascii="Arial" w:hAnsi="Arial" w:cs="Arial"/>
                <w:i/>
              </w:rPr>
              <w:t>ex gratia</w:t>
            </w:r>
            <w:r w:rsidRPr="008F1907">
              <w:rPr>
                <w:rFonts w:ascii="Arial" w:hAnsi="Arial" w:cs="Arial"/>
              </w:rPr>
              <w:t xml:space="preserve"> (refer to Information Circular 35)</w:t>
            </w:r>
          </w:p>
        </w:tc>
        <w:tc>
          <w:tcPr>
            <w:tcW w:w="1671" w:type="dxa"/>
            <w:vAlign w:val="center"/>
          </w:tcPr>
          <w:p w14:paraId="08439B2E" w14:textId="77777777" w:rsidR="000B6207" w:rsidRPr="00686C65" w:rsidRDefault="000B6207" w:rsidP="001E74A7">
            <w:pPr>
              <w:jc w:val="center"/>
              <w:rPr>
                <w:rFonts w:ascii="Arial" w:hAnsi="Arial" w:cs="Arial"/>
              </w:rPr>
            </w:pPr>
            <w:r w:rsidRPr="00686C65">
              <w:rPr>
                <w:rFonts w:ascii="Arial" w:hAnsi="Arial" w:cs="Arial"/>
              </w:rPr>
              <w:t>Yes</w:t>
            </w:r>
          </w:p>
        </w:tc>
        <w:tc>
          <w:tcPr>
            <w:tcW w:w="1671" w:type="dxa"/>
            <w:vAlign w:val="center"/>
          </w:tcPr>
          <w:p w14:paraId="24A4E5D7" w14:textId="77777777" w:rsidR="000B6207" w:rsidRPr="00686C65" w:rsidRDefault="000B6207" w:rsidP="001E74A7">
            <w:pPr>
              <w:jc w:val="center"/>
              <w:rPr>
                <w:rFonts w:ascii="Arial" w:hAnsi="Arial" w:cs="Arial"/>
              </w:rPr>
            </w:pPr>
            <w:r w:rsidRPr="00686C65">
              <w:rPr>
                <w:rFonts w:ascii="Arial" w:hAnsi="Arial" w:cs="Arial"/>
              </w:rPr>
              <w:t>Limited relief</w:t>
            </w:r>
          </w:p>
        </w:tc>
        <w:tc>
          <w:tcPr>
            <w:tcW w:w="1671" w:type="dxa"/>
            <w:vAlign w:val="center"/>
          </w:tcPr>
          <w:p w14:paraId="6512306F" w14:textId="77777777" w:rsidR="000B6207" w:rsidRDefault="000B6207" w:rsidP="001E74A7">
            <w:pPr>
              <w:jc w:val="center"/>
              <w:rPr>
                <w:rFonts w:ascii="Arial" w:hAnsi="Arial" w:cs="Arial"/>
              </w:rPr>
            </w:pPr>
            <w:r>
              <w:rPr>
                <w:rFonts w:ascii="Arial" w:hAnsi="Arial" w:cs="Arial"/>
              </w:rPr>
              <w:t>Yes</w:t>
            </w:r>
          </w:p>
        </w:tc>
      </w:tr>
      <w:tr w:rsidR="000B6207" w:rsidRPr="00A40BD6" w14:paraId="229467C1" w14:textId="77777777" w:rsidTr="001E74A7">
        <w:tc>
          <w:tcPr>
            <w:tcW w:w="6307" w:type="dxa"/>
          </w:tcPr>
          <w:p w14:paraId="73359BE3" w14:textId="77777777" w:rsidR="000B6207" w:rsidRDefault="000B6207" w:rsidP="001E74A7">
            <w:pPr>
              <w:rPr>
                <w:rFonts w:ascii="Arial" w:hAnsi="Arial" w:cs="Arial"/>
                <w:b/>
              </w:rPr>
            </w:pPr>
            <w:r>
              <w:rPr>
                <w:rFonts w:ascii="Arial" w:hAnsi="Arial" w:cs="Arial"/>
                <w:b/>
              </w:rPr>
              <w:t>Duty on business property</w:t>
            </w:r>
          </w:p>
          <w:p w14:paraId="6AAA383E" w14:textId="77777777" w:rsidR="000B6207" w:rsidRPr="00F9109D" w:rsidRDefault="000B6207" w:rsidP="001E74A7">
            <w:pPr>
              <w:rPr>
                <w:rFonts w:ascii="Arial" w:hAnsi="Arial" w:cs="Arial"/>
              </w:rPr>
            </w:pPr>
            <w:r>
              <w:rPr>
                <w:rFonts w:ascii="Arial" w:hAnsi="Arial" w:cs="Arial"/>
              </w:rPr>
              <w:t xml:space="preserve">Retained duty on </w:t>
            </w:r>
            <w:r w:rsidRPr="00F9109D">
              <w:rPr>
                <w:rFonts w:ascii="Arial" w:hAnsi="Arial" w:cs="Arial"/>
              </w:rPr>
              <w:t>goodwill</w:t>
            </w:r>
            <w:r>
              <w:rPr>
                <w:rFonts w:ascii="Arial" w:hAnsi="Arial" w:cs="Arial"/>
              </w:rPr>
              <w:t>, IP and P&amp;E transferred with business</w:t>
            </w:r>
          </w:p>
        </w:tc>
        <w:tc>
          <w:tcPr>
            <w:tcW w:w="1670" w:type="dxa"/>
            <w:vAlign w:val="center"/>
          </w:tcPr>
          <w:p w14:paraId="1F3C8834" w14:textId="77777777" w:rsidR="000B6207" w:rsidRDefault="000B6207" w:rsidP="001E74A7">
            <w:pPr>
              <w:jc w:val="center"/>
              <w:rPr>
                <w:rFonts w:ascii="Arial" w:hAnsi="Arial" w:cs="Arial"/>
              </w:rPr>
            </w:pPr>
          </w:p>
        </w:tc>
        <w:tc>
          <w:tcPr>
            <w:tcW w:w="1671" w:type="dxa"/>
            <w:vAlign w:val="center"/>
          </w:tcPr>
          <w:p w14:paraId="7041F905" w14:textId="77777777" w:rsidR="000B6207" w:rsidRPr="008F1907" w:rsidRDefault="000B6207" w:rsidP="001E74A7">
            <w:pPr>
              <w:jc w:val="center"/>
              <w:rPr>
                <w:rFonts w:ascii="Arial" w:hAnsi="Arial" w:cs="Arial"/>
              </w:rPr>
            </w:pPr>
            <w:r w:rsidRPr="008F1907">
              <w:rPr>
                <w:rFonts w:ascii="Arial" w:hAnsi="Arial" w:cs="Arial"/>
              </w:rPr>
              <w:t>P&amp;E only</w:t>
            </w:r>
          </w:p>
        </w:tc>
        <w:tc>
          <w:tcPr>
            <w:tcW w:w="1671" w:type="dxa"/>
            <w:vAlign w:val="center"/>
          </w:tcPr>
          <w:p w14:paraId="2DFB359F" w14:textId="77777777" w:rsidR="000B6207" w:rsidRDefault="000B6207" w:rsidP="001E74A7">
            <w:pPr>
              <w:jc w:val="center"/>
              <w:rPr>
                <w:rFonts w:ascii="Arial" w:hAnsi="Arial" w:cs="Arial"/>
              </w:rPr>
            </w:pPr>
            <w:r>
              <w:rPr>
                <w:rFonts w:ascii="Arial" w:hAnsi="Arial" w:cs="Arial"/>
              </w:rPr>
              <w:t>Goodwill, IP, P&amp;E</w:t>
            </w:r>
          </w:p>
        </w:tc>
        <w:tc>
          <w:tcPr>
            <w:tcW w:w="1671" w:type="dxa"/>
            <w:vAlign w:val="center"/>
          </w:tcPr>
          <w:p w14:paraId="1944D188" w14:textId="77777777" w:rsidR="000B6207" w:rsidRPr="00686C65" w:rsidRDefault="000B6207" w:rsidP="008B360D">
            <w:pPr>
              <w:jc w:val="center"/>
              <w:rPr>
                <w:rFonts w:ascii="Arial" w:hAnsi="Arial" w:cs="Arial"/>
              </w:rPr>
            </w:pPr>
            <w:r w:rsidRPr="00686C65">
              <w:rPr>
                <w:rFonts w:ascii="Arial" w:hAnsi="Arial" w:cs="Arial"/>
              </w:rPr>
              <w:t>Goodwill, IP, P&amp;E + trading stock and debts</w:t>
            </w:r>
          </w:p>
        </w:tc>
        <w:tc>
          <w:tcPr>
            <w:tcW w:w="1671" w:type="dxa"/>
            <w:vAlign w:val="center"/>
          </w:tcPr>
          <w:p w14:paraId="00270DCD" w14:textId="77777777" w:rsidR="000B6207" w:rsidRPr="00686C65" w:rsidRDefault="000B6207" w:rsidP="001E74A7">
            <w:pPr>
              <w:jc w:val="center"/>
              <w:rPr>
                <w:rFonts w:ascii="Arial" w:hAnsi="Arial" w:cs="Arial"/>
              </w:rPr>
            </w:pPr>
          </w:p>
        </w:tc>
        <w:tc>
          <w:tcPr>
            <w:tcW w:w="1671" w:type="dxa"/>
            <w:vAlign w:val="center"/>
          </w:tcPr>
          <w:p w14:paraId="75491835" w14:textId="77777777" w:rsidR="000B6207" w:rsidRPr="00AD459B" w:rsidRDefault="000B6207" w:rsidP="001E74A7">
            <w:pPr>
              <w:jc w:val="center"/>
              <w:rPr>
                <w:rFonts w:ascii="Arial" w:hAnsi="Arial" w:cs="Arial"/>
                <w:u w:val="single"/>
              </w:rPr>
            </w:pPr>
            <w:r w:rsidRPr="008F1907">
              <w:rPr>
                <w:rFonts w:ascii="Arial" w:hAnsi="Arial" w:cs="Arial"/>
              </w:rPr>
              <w:t>Duty on goodwill and intellectual property abolished 1 July 2008. No specific exemption for P&amp;E and duty payable on certain goods transferred as part of a transaction involving dutiable</w:t>
            </w:r>
            <w:r w:rsidRPr="00AD459B">
              <w:rPr>
                <w:rFonts w:ascii="Arial" w:hAnsi="Arial" w:cs="Arial"/>
                <w:u w:val="single"/>
              </w:rPr>
              <w:t xml:space="preserve"> property.</w:t>
            </w:r>
          </w:p>
        </w:tc>
        <w:tc>
          <w:tcPr>
            <w:tcW w:w="1671" w:type="dxa"/>
            <w:vAlign w:val="center"/>
          </w:tcPr>
          <w:p w14:paraId="1032A5F0" w14:textId="77777777" w:rsidR="000B6207" w:rsidRPr="008F1907" w:rsidRDefault="000B6207" w:rsidP="001E74A7">
            <w:pPr>
              <w:jc w:val="center"/>
              <w:rPr>
                <w:rFonts w:ascii="Arial" w:hAnsi="Arial" w:cs="Arial"/>
              </w:rPr>
            </w:pPr>
            <w:r w:rsidRPr="008F1907">
              <w:rPr>
                <w:rFonts w:ascii="Arial" w:hAnsi="Arial" w:cs="Arial"/>
              </w:rPr>
              <w:t>P &amp; E only if transferred together with land.</w:t>
            </w:r>
          </w:p>
          <w:p w14:paraId="0214B3A5" w14:textId="77777777" w:rsidR="000B6207" w:rsidRDefault="000B6207" w:rsidP="001E74A7">
            <w:pPr>
              <w:jc w:val="center"/>
              <w:rPr>
                <w:rFonts w:ascii="Arial" w:hAnsi="Arial" w:cs="Arial"/>
              </w:rPr>
            </w:pPr>
            <w:r w:rsidRPr="008F1907">
              <w:rPr>
                <w:rFonts w:ascii="Arial" w:hAnsi="Arial" w:cs="Arial"/>
              </w:rPr>
              <w:t>Duty not charged on goodwill or IP</w:t>
            </w:r>
            <w:r>
              <w:rPr>
                <w:rFonts w:ascii="Arial" w:hAnsi="Arial" w:cs="Arial"/>
              </w:rPr>
              <w:t>.</w:t>
            </w:r>
          </w:p>
        </w:tc>
        <w:tc>
          <w:tcPr>
            <w:tcW w:w="1671" w:type="dxa"/>
            <w:vAlign w:val="center"/>
          </w:tcPr>
          <w:p w14:paraId="6F3C710B" w14:textId="77777777" w:rsidR="000B6207" w:rsidRPr="00DE2754" w:rsidRDefault="000B6207" w:rsidP="001E74A7">
            <w:pPr>
              <w:jc w:val="center"/>
              <w:rPr>
                <w:rFonts w:ascii="Arial" w:hAnsi="Arial" w:cs="Arial"/>
                <w:sz w:val="20"/>
                <w:szCs w:val="20"/>
              </w:rPr>
            </w:pPr>
            <w:r w:rsidRPr="00AD459B">
              <w:rPr>
                <w:rFonts w:ascii="Arial" w:hAnsi="Arial"/>
                <w:sz w:val="20"/>
              </w:rPr>
              <w:t>Goodwill, IP, P&amp;E</w:t>
            </w:r>
            <w:r w:rsidRPr="00DE2754">
              <w:rPr>
                <w:rFonts w:ascii="Arial" w:hAnsi="Arial" w:cs="Arial"/>
                <w:sz w:val="20"/>
                <w:szCs w:val="20"/>
              </w:rPr>
              <w:t>*</w:t>
            </w:r>
          </w:p>
          <w:p w14:paraId="7CC9A45D" w14:textId="77777777" w:rsidR="000B6207" w:rsidRPr="00DE2754" w:rsidRDefault="000B6207" w:rsidP="001E74A7">
            <w:pPr>
              <w:jc w:val="center"/>
              <w:rPr>
                <w:rFonts w:ascii="Arial" w:hAnsi="Arial" w:cs="Arial"/>
                <w:sz w:val="20"/>
                <w:szCs w:val="20"/>
              </w:rPr>
            </w:pPr>
          </w:p>
          <w:p w14:paraId="5EB36DCF" w14:textId="77777777" w:rsidR="000B6207" w:rsidRPr="008F1907" w:rsidRDefault="000B6207" w:rsidP="001E74A7">
            <w:pPr>
              <w:jc w:val="center"/>
              <w:rPr>
                <w:rFonts w:ascii="Arial" w:hAnsi="Arial" w:cs="Arial"/>
                <w:sz w:val="20"/>
                <w:szCs w:val="20"/>
              </w:rPr>
            </w:pPr>
            <w:r>
              <w:rPr>
                <w:rFonts w:ascii="Arial" w:hAnsi="Arial" w:cs="Arial"/>
                <w:sz w:val="20"/>
                <w:szCs w:val="20"/>
              </w:rPr>
              <w:t>*</w:t>
            </w:r>
            <w:r w:rsidRPr="008F1907">
              <w:rPr>
                <w:rFonts w:ascii="Arial" w:hAnsi="Arial" w:cs="Arial"/>
                <w:sz w:val="20"/>
                <w:szCs w:val="20"/>
              </w:rPr>
              <w:t>Certain P&amp;E are exempt</w:t>
            </w:r>
          </w:p>
          <w:p w14:paraId="248878F0" w14:textId="77777777" w:rsidR="000B6207" w:rsidRPr="00AD459B" w:rsidRDefault="000B6207" w:rsidP="001E74A7">
            <w:pPr>
              <w:jc w:val="center"/>
              <w:rPr>
                <w:rFonts w:ascii="Arial" w:hAnsi="Arial"/>
                <w:sz w:val="20"/>
              </w:rPr>
            </w:pPr>
          </w:p>
        </w:tc>
      </w:tr>
    </w:tbl>
    <w:p w14:paraId="325D256A" w14:textId="77777777" w:rsidR="00B97A9E" w:rsidRPr="00615899" w:rsidRDefault="00B97A9E" w:rsidP="00615899"/>
    <w:sectPr w:rsidR="00B97A9E" w:rsidRPr="00615899" w:rsidSect="00261D4E">
      <w:pgSz w:w="23814" w:h="16840" w:orient="landscape" w:code="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70583C" w14:textId="77777777" w:rsidR="00EE433B" w:rsidRDefault="00EE433B" w:rsidP="0094228C">
      <w:pPr>
        <w:spacing w:after="0" w:line="240" w:lineRule="auto"/>
      </w:pPr>
      <w:r>
        <w:separator/>
      </w:r>
    </w:p>
  </w:endnote>
  <w:endnote w:type="continuationSeparator" w:id="0">
    <w:p w14:paraId="08B8CE15" w14:textId="77777777" w:rsidR="00EE433B" w:rsidRDefault="00EE433B" w:rsidP="00942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93F1F9" w14:textId="77777777" w:rsidR="00EE433B" w:rsidRDefault="00EE433B">
    <w:pPr>
      <w:pStyle w:val="Footer"/>
      <w:jc w:val="center"/>
    </w:pPr>
  </w:p>
  <w:p w14:paraId="2AB6B2E0" w14:textId="77777777" w:rsidR="00EE433B" w:rsidRDefault="00EE43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172C00" w14:textId="77777777" w:rsidR="00EE433B" w:rsidRDefault="00EE433B">
    <w:pPr>
      <w:pStyle w:val="Footer"/>
      <w:jc w:val="center"/>
    </w:pPr>
    <w:r>
      <w:t xml:space="preserve">Page - </w:t>
    </w:r>
    <w:sdt>
      <w:sdtPr>
        <w:id w:val="-207634456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66385">
          <w:rPr>
            <w:noProof/>
          </w:rPr>
          <w:t>1</w:t>
        </w:r>
        <w:r>
          <w:rPr>
            <w:noProof/>
          </w:rPr>
          <w:fldChar w:fldCharType="end"/>
        </w:r>
      </w:sdtContent>
    </w:sdt>
  </w:p>
  <w:p w14:paraId="4BFFB41F" w14:textId="77777777" w:rsidR="00EE433B" w:rsidRDefault="00EE433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60AE2" w14:textId="77777777" w:rsidR="00EE433B" w:rsidRDefault="00EE433B">
    <w:pPr>
      <w:pStyle w:val="Footer"/>
      <w:jc w:val="center"/>
    </w:pPr>
    <w:r>
      <w:t xml:space="preserve">Page - </w:t>
    </w:r>
    <w:sdt>
      <w:sdtPr>
        <w:id w:val="-57119510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2465B">
          <w:rPr>
            <w:noProof/>
          </w:rPr>
          <w:t>23</w:t>
        </w:r>
        <w:r>
          <w:rPr>
            <w:noProof/>
          </w:rPr>
          <w:fldChar w:fldCharType="end"/>
        </w:r>
      </w:sdtContent>
    </w:sdt>
  </w:p>
  <w:p w14:paraId="394C658E" w14:textId="77777777" w:rsidR="00EE433B" w:rsidRDefault="00EE43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6C757D" w14:textId="77777777" w:rsidR="00EE433B" w:rsidRDefault="00EE433B" w:rsidP="0094228C">
      <w:pPr>
        <w:spacing w:after="0" w:line="240" w:lineRule="auto"/>
      </w:pPr>
      <w:r>
        <w:separator/>
      </w:r>
    </w:p>
  </w:footnote>
  <w:footnote w:type="continuationSeparator" w:id="0">
    <w:p w14:paraId="37F41E63" w14:textId="77777777" w:rsidR="00EE433B" w:rsidRDefault="00EE433B" w:rsidP="0094228C">
      <w:pPr>
        <w:spacing w:after="0" w:line="240" w:lineRule="auto"/>
      </w:pPr>
      <w:r>
        <w:continuationSeparator/>
      </w:r>
    </w:p>
  </w:footnote>
  <w:footnote w:id="1">
    <w:p w14:paraId="07C6D4BD" w14:textId="77777777" w:rsidR="00EE433B" w:rsidRDefault="00EE433B">
      <w:pPr>
        <w:pStyle w:val="FootnoteText"/>
      </w:pPr>
      <w:r>
        <w:rPr>
          <w:rStyle w:val="FootnoteReference"/>
        </w:rPr>
        <w:footnoteRef/>
      </w:r>
      <w:r>
        <w:t xml:space="preserve"> Payroll tax was mentioned in four survey responses to this question</w:t>
      </w:r>
    </w:p>
  </w:footnote>
  <w:footnote w:id="2">
    <w:p w14:paraId="71DC19A5" w14:textId="77777777" w:rsidR="00EE433B" w:rsidRDefault="00EE433B">
      <w:pPr>
        <w:pStyle w:val="FootnoteText"/>
      </w:pPr>
      <w:r>
        <w:rPr>
          <w:rStyle w:val="FootnoteReference"/>
        </w:rPr>
        <w:footnoteRef/>
      </w:r>
      <w:r>
        <w:t xml:space="preserve"> State and territory land tax and duties </w:t>
      </w:r>
      <w:r w:rsidRPr="0099362D">
        <w:t>w</w:t>
      </w:r>
      <w:r>
        <w:t>ere mentioned in two</w:t>
      </w:r>
      <w:r w:rsidRPr="0099362D">
        <w:t xml:space="preserve"> survey responses to this question</w:t>
      </w:r>
    </w:p>
  </w:footnote>
  <w:footnote w:id="3">
    <w:p w14:paraId="23D0B79E" w14:textId="77777777" w:rsidR="00EE433B" w:rsidRDefault="00EE433B">
      <w:pPr>
        <w:pStyle w:val="FootnoteText"/>
      </w:pPr>
      <w:r>
        <w:rPr>
          <w:rStyle w:val="FootnoteReference"/>
        </w:rPr>
        <w:footnoteRef/>
      </w:r>
      <w:r>
        <w:t xml:space="preserve"> Under the Western Australian payroll tax system a liability generally only arises where there is an employee employer relationship.</w:t>
      </w:r>
    </w:p>
  </w:footnote>
  <w:footnote w:id="4">
    <w:p w14:paraId="1920F8CD" w14:textId="77777777" w:rsidR="00EE433B" w:rsidRPr="0011223A" w:rsidRDefault="00EE433B">
      <w:pPr>
        <w:pStyle w:val="FootnoteText"/>
        <w:rPr>
          <w:i/>
        </w:rPr>
      </w:pPr>
      <w:r>
        <w:rPr>
          <w:rStyle w:val="FootnoteReference"/>
        </w:rPr>
        <w:footnoteRef/>
      </w:r>
      <w:r>
        <w:t xml:space="preserve"> See section 12 of the </w:t>
      </w:r>
      <w:r>
        <w:rPr>
          <w:i/>
        </w:rPr>
        <w:t>Superannuation Guarantee (Administration) Act 1992</w:t>
      </w:r>
    </w:p>
  </w:footnote>
  <w:footnote w:id="5">
    <w:p w14:paraId="20F58021" w14:textId="77777777" w:rsidR="00EE433B" w:rsidRPr="0011223A" w:rsidRDefault="00EE433B">
      <w:pPr>
        <w:pStyle w:val="FootnoteText"/>
        <w:rPr>
          <w:i/>
        </w:rPr>
      </w:pPr>
      <w:r>
        <w:rPr>
          <w:rStyle w:val="FootnoteReference"/>
        </w:rPr>
        <w:footnoteRef/>
      </w:r>
      <w:r>
        <w:t xml:space="preserve"> See section12</w:t>
      </w:r>
      <w:r>
        <w:noBreakHyphen/>
        <w:t xml:space="preserve">35 of the </w:t>
      </w:r>
      <w:r>
        <w:rPr>
          <w:i/>
        </w:rPr>
        <w:t>Taxation Administration Act 1953</w:t>
      </w:r>
    </w:p>
  </w:footnote>
  <w:footnote w:id="6">
    <w:p w14:paraId="0541398C" w14:textId="77777777" w:rsidR="00EE433B" w:rsidRDefault="00EE433B">
      <w:pPr>
        <w:pStyle w:val="FootnoteText"/>
      </w:pPr>
      <w:r>
        <w:rPr>
          <w:rStyle w:val="FootnoteReference"/>
        </w:rPr>
        <w:footnoteRef/>
      </w:r>
      <w:r>
        <w:t xml:space="preserve"> See Chapter 2 of the Inspector General of Taxation’s report </w:t>
      </w:r>
      <w:r w:rsidRPr="000A6E3F">
        <w:t>on the Review into the Australian taxation office’s employer obligations compliance activities</w:t>
      </w:r>
      <w:r>
        <w:t>, dated December 2016</w:t>
      </w:r>
    </w:p>
  </w:footnote>
  <w:footnote w:id="7">
    <w:p w14:paraId="3249753E" w14:textId="77777777" w:rsidR="00EE433B" w:rsidRDefault="00EE433B">
      <w:pPr>
        <w:pStyle w:val="FootnoteText"/>
      </w:pPr>
      <w:r>
        <w:rPr>
          <w:rStyle w:val="FootnoteReference"/>
        </w:rPr>
        <w:footnoteRef/>
      </w:r>
      <w:r>
        <w:t xml:space="preserve"> Details of the ATO response to the IGT Report recommendation 2.1 may be found at page 33 of the Report.</w:t>
      </w:r>
    </w:p>
  </w:footnote>
  <w:footnote w:id="8">
    <w:p w14:paraId="03C37BB0" w14:textId="77777777" w:rsidR="00EE433B" w:rsidRDefault="00EE433B" w:rsidP="00EE433B">
      <w:pPr>
        <w:pStyle w:val="FootnoteText"/>
      </w:pPr>
      <w:r>
        <w:rPr>
          <w:rStyle w:val="FootnoteReference"/>
        </w:rPr>
        <w:footnoteRef/>
      </w:r>
      <w:r>
        <w:t xml:space="preserve"> </w:t>
      </w:r>
      <w:r w:rsidRPr="00681653">
        <w:rPr>
          <w:i/>
        </w:rPr>
        <w:t>Australia’s future tax system: Report to the Treasurer</w:t>
      </w:r>
      <w:r>
        <w:t xml:space="preserve"> December 2009, Volume 1 at page 300.</w:t>
      </w:r>
    </w:p>
  </w:footnote>
  <w:footnote w:id="9">
    <w:p w14:paraId="7D6CB1C7" w14:textId="77777777" w:rsidR="00EE433B" w:rsidRDefault="00EE433B" w:rsidP="00EE433B">
      <w:pPr>
        <w:pStyle w:val="FootnoteText"/>
      </w:pPr>
      <w:r>
        <w:rPr>
          <w:rStyle w:val="FootnoteReference"/>
        </w:rPr>
        <w:footnoteRef/>
      </w:r>
      <w:r>
        <w:t xml:space="preserve"> COAG Reform Council 23 December 2011, </w:t>
      </w:r>
      <w:r w:rsidRPr="008473DF">
        <w:rPr>
          <w:i/>
        </w:rPr>
        <w:t>Seamless National Economy: Report on Performance</w:t>
      </w:r>
      <w:r>
        <w:rPr>
          <w:i/>
        </w:rPr>
        <w:t xml:space="preserve"> – see page 48</w:t>
      </w:r>
    </w:p>
  </w:footnote>
  <w:footnote w:id="10">
    <w:p w14:paraId="4DED0AE4" w14:textId="77777777" w:rsidR="00EE433B" w:rsidRDefault="00EE433B" w:rsidP="00EE433B">
      <w:pPr>
        <w:pStyle w:val="FootnoteText"/>
      </w:pPr>
      <w:r>
        <w:rPr>
          <w:rStyle w:val="FootnoteReference"/>
        </w:rPr>
        <w:footnoteRef/>
      </w:r>
      <w:r>
        <w:t xml:space="preserve"> Business Regulation and Competition Working Group</w:t>
      </w:r>
    </w:p>
  </w:footnote>
  <w:footnote w:id="11">
    <w:p w14:paraId="19C7A060" w14:textId="77777777" w:rsidR="00EE433B" w:rsidRDefault="00EE433B" w:rsidP="00EE433B">
      <w:pPr>
        <w:pStyle w:val="FootnoteText"/>
      </w:pPr>
      <w:r>
        <w:rPr>
          <w:rStyle w:val="FootnoteReference"/>
        </w:rPr>
        <w:footnoteRef/>
      </w:r>
      <w:r>
        <w:t xml:space="preserve"> Productivity Commission April 2012, </w:t>
      </w:r>
      <w:r w:rsidRPr="008473DF">
        <w:rPr>
          <w:i/>
        </w:rPr>
        <w:t>Impacts of COAG Reforms: Business Regulation and VET, Productivity Commission Research Report Volume 2 – Business Regulation</w:t>
      </w:r>
    </w:p>
  </w:footnote>
  <w:footnote w:id="12">
    <w:p w14:paraId="422C8A43" w14:textId="77777777" w:rsidR="00EE433B" w:rsidRDefault="00EE433B">
      <w:pPr>
        <w:pStyle w:val="FootnoteText"/>
      </w:pPr>
      <w:r>
        <w:rPr>
          <w:rStyle w:val="FootnoteReference"/>
        </w:rPr>
        <w:footnoteRef/>
      </w:r>
      <w:r>
        <w:t xml:space="preserve"> ATO refers to Federal income tax laws.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8F1DA8"/>
    <w:multiLevelType w:val="hybridMultilevel"/>
    <w:tmpl w:val="EE9A4EF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601578"/>
    <w:multiLevelType w:val="multilevel"/>
    <w:tmpl w:val="5C8AAFA8"/>
    <w:lvl w:ilvl="0">
      <w:start w:val="1"/>
      <w:numFmt w:val="decimal"/>
      <w:lvlText w:val="%1)"/>
      <w:lvlJc w:val="left"/>
      <w:pPr>
        <w:tabs>
          <w:tab w:val="num" w:pos="520"/>
        </w:tabs>
        <w:ind w:left="520" w:hanging="520"/>
      </w:p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3554228C"/>
    <w:multiLevelType w:val="hybridMultilevel"/>
    <w:tmpl w:val="1FA2C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79877F2"/>
    <w:multiLevelType w:val="hybridMultilevel"/>
    <w:tmpl w:val="8AAC5EF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D5D47C9"/>
    <w:multiLevelType w:val="hybridMultilevel"/>
    <w:tmpl w:val="8780AF6C"/>
    <w:lvl w:ilvl="0" w:tplc="FD10F90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3A2048"/>
    <w:multiLevelType w:val="hybridMultilevel"/>
    <w:tmpl w:val="8A86C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641E22E4"/>
    <w:multiLevelType w:val="multilevel"/>
    <w:tmpl w:val="B6902738"/>
    <w:name w:val="StandardNumberedList"/>
    <w:lvl w:ilvl="0">
      <w:start w:val="1"/>
      <w:numFmt w:val="decimal"/>
      <w:pStyle w:val="OutlineNumbered1"/>
      <w:lvlText w:val="%1."/>
      <w:lvlJc w:val="left"/>
      <w:pPr>
        <w:tabs>
          <w:tab w:val="num" w:pos="520"/>
        </w:tabs>
        <w:ind w:left="520" w:hanging="520"/>
      </w:pPr>
    </w:lvl>
    <w:lvl w:ilvl="1">
      <w:start w:val="1"/>
      <w:numFmt w:val="decimal"/>
      <w:pStyle w:val="OutlineNumbered2"/>
      <w:lvlText w:val="%1.%2."/>
      <w:lvlJc w:val="left"/>
      <w:pPr>
        <w:tabs>
          <w:tab w:val="num" w:pos="1040"/>
        </w:tabs>
        <w:ind w:left="1040" w:hanging="520"/>
      </w:pPr>
    </w:lvl>
    <w:lvl w:ilvl="2">
      <w:start w:val="1"/>
      <w:numFmt w:val="decimal"/>
      <w:pStyle w:val="OutlineNumbered3"/>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7E6417A5"/>
    <w:multiLevelType w:val="multilevel"/>
    <w:tmpl w:val="60A0578C"/>
    <w:name w:val="StandardBulletedList"/>
    <w:lvl w:ilvl="0">
      <w:start w:val="1"/>
      <w:numFmt w:val="bullet"/>
      <w:pStyle w:val="Bullet"/>
      <w:lvlText w:val="•"/>
      <w:lvlJc w:val="left"/>
      <w:pPr>
        <w:tabs>
          <w:tab w:val="num" w:pos="1040"/>
        </w:tabs>
        <w:ind w:left="1040" w:hanging="520"/>
      </w:pPr>
      <w:rPr>
        <w:rFonts w:ascii="Times New Roman" w:hAnsi="Times New Roman" w:cs="Times New Roman"/>
      </w:rPr>
    </w:lvl>
    <w:lvl w:ilvl="1">
      <w:start w:val="1"/>
      <w:numFmt w:val="bullet"/>
      <w:pStyle w:val="Dash"/>
      <w:lvlText w:val="–"/>
      <w:lvlJc w:val="left"/>
      <w:pPr>
        <w:tabs>
          <w:tab w:val="num" w:pos="1560"/>
        </w:tabs>
        <w:ind w:left="1560" w:hanging="520"/>
      </w:pPr>
      <w:rPr>
        <w:rFonts w:ascii="Times New Roman" w:hAnsi="Times New Roman" w:cs="Times New Roman"/>
      </w:rPr>
    </w:lvl>
    <w:lvl w:ilvl="2">
      <w:start w:val="1"/>
      <w:numFmt w:val="bullet"/>
      <w:pStyle w:val="DoubleDot"/>
      <w:lvlText w:val=":"/>
      <w:lvlJc w:val="left"/>
      <w:pPr>
        <w:tabs>
          <w:tab w:val="num" w:pos="2080"/>
        </w:tabs>
        <w:ind w:left="2080" w:hanging="520"/>
      </w:pPr>
      <w:rPr>
        <w:rFonts w:ascii="Times New Roman" w:hAnsi="Times New Roman" w:cs="Times New Roman"/>
      </w:rPr>
    </w:lvl>
    <w:lvl w:ilvl="3">
      <w:start w:val="1"/>
      <w:numFmt w:val="decimal"/>
      <w:lvlText w:val="(%4)"/>
      <w:lvlJc w:val="left"/>
      <w:pPr>
        <w:ind w:left="1960" w:hanging="360"/>
      </w:pPr>
    </w:lvl>
    <w:lvl w:ilvl="4">
      <w:start w:val="1"/>
      <w:numFmt w:val="lowerLetter"/>
      <w:lvlText w:val="(%5)"/>
      <w:lvlJc w:val="left"/>
      <w:pPr>
        <w:ind w:left="2320" w:hanging="360"/>
      </w:pPr>
    </w:lvl>
    <w:lvl w:ilvl="5">
      <w:start w:val="1"/>
      <w:numFmt w:val="lowerRoman"/>
      <w:lvlText w:val="(%6)"/>
      <w:lvlJc w:val="left"/>
      <w:pPr>
        <w:ind w:left="2680" w:hanging="360"/>
      </w:pPr>
    </w:lvl>
    <w:lvl w:ilvl="6">
      <w:start w:val="1"/>
      <w:numFmt w:val="decimal"/>
      <w:lvlText w:val="%7."/>
      <w:lvlJc w:val="left"/>
      <w:pPr>
        <w:ind w:left="3040" w:hanging="360"/>
      </w:pPr>
    </w:lvl>
    <w:lvl w:ilvl="7">
      <w:start w:val="1"/>
      <w:numFmt w:val="lowerLetter"/>
      <w:lvlText w:val="%8."/>
      <w:lvlJc w:val="left"/>
      <w:pPr>
        <w:ind w:left="3400" w:hanging="360"/>
      </w:pPr>
    </w:lvl>
    <w:lvl w:ilvl="8">
      <w:start w:val="1"/>
      <w:numFmt w:val="lowerRoman"/>
      <w:lvlText w:val="%9."/>
      <w:lvlJc w:val="left"/>
      <w:pPr>
        <w:ind w:left="3760" w:hanging="360"/>
      </w:pPr>
    </w:lvl>
  </w:abstractNum>
  <w:num w:numId="1">
    <w:abstractNumId w:val="7"/>
  </w:num>
  <w:num w:numId="2">
    <w:abstractNumId w:val="2"/>
  </w:num>
  <w:num w:numId="3">
    <w:abstractNumId w:val="3"/>
  </w:num>
  <w:num w:numId="4">
    <w:abstractNumId w:val="5"/>
  </w:num>
  <w:num w:numId="5">
    <w:abstractNumId w:val="6"/>
  </w:num>
  <w:num w:numId="6">
    <w:abstractNumId w:val="6"/>
  </w:num>
  <w:num w:numId="7">
    <w:abstractNumId w:val="6"/>
  </w:num>
  <w:num w:numId="8">
    <w:abstractNumId w:val="6"/>
  </w:num>
  <w:num w:numId="9">
    <w:abstractNumId w:val="6"/>
  </w:num>
  <w:num w:numId="10">
    <w:abstractNumId w:val="6"/>
  </w:num>
  <w:num w:numId="11">
    <w:abstractNumId w:val="4"/>
  </w:num>
  <w:num w:numId="12">
    <w:abstractNumId w:val="1"/>
  </w:num>
  <w:num w:numId="13">
    <w:abstractNumId w:val="7"/>
  </w:num>
  <w:num w:numId="14">
    <w:abstractNumId w:val="0"/>
  </w:num>
  <w:num w:numId="15">
    <w:abstractNumId w:val="7"/>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linda Robilliard">
    <w15:presenceInfo w15:providerId="None" w15:userId="Belinda Robilliar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0F8D"/>
    <w:rsid w:val="000153D3"/>
    <w:rsid w:val="00036A48"/>
    <w:rsid w:val="000376A8"/>
    <w:rsid w:val="00051207"/>
    <w:rsid w:val="0005565F"/>
    <w:rsid w:val="00065440"/>
    <w:rsid w:val="00094536"/>
    <w:rsid w:val="000A67AB"/>
    <w:rsid w:val="000A6E3F"/>
    <w:rsid w:val="000B40E7"/>
    <w:rsid w:val="000B41E7"/>
    <w:rsid w:val="000B6207"/>
    <w:rsid w:val="000C1FB0"/>
    <w:rsid w:val="000D6DF8"/>
    <w:rsid w:val="000E4DC6"/>
    <w:rsid w:val="000E580A"/>
    <w:rsid w:val="000F675E"/>
    <w:rsid w:val="001060C6"/>
    <w:rsid w:val="00107E23"/>
    <w:rsid w:val="0011223A"/>
    <w:rsid w:val="001128F7"/>
    <w:rsid w:val="00134B3C"/>
    <w:rsid w:val="00194997"/>
    <w:rsid w:val="001B7D16"/>
    <w:rsid w:val="001D2071"/>
    <w:rsid w:val="001E0269"/>
    <w:rsid w:val="001E26D5"/>
    <w:rsid w:val="001E74A7"/>
    <w:rsid w:val="0020496F"/>
    <w:rsid w:val="00213771"/>
    <w:rsid w:val="00215077"/>
    <w:rsid w:val="00224AA9"/>
    <w:rsid w:val="00246E39"/>
    <w:rsid w:val="002515FA"/>
    <w:rsid w:val="00261D4E"/>
    <w:rsid w:val="00263666"/>
    <w:rsid w:val="002667E7"/>
    <w:rsid w:val="002667F6"/>
    <w:rsid w:val="00284562"/>
    <w:rsid w:val="002F529F"/>
    <w:rsid w:val="00305312"/>
    <w:rsid w:val="00314AF6"/>
    <w:rsid w:val="00351961"/>
    <w:rsid w:val="003677A4"/>
    <w:rsid w:val="00372E75"/>
    <w:rsid w:val="0037318F"/>
    <w:rsid w:val="00392958"/>
    <w:rsid w:val="0039519E"/>
    <w:rsid w:val="003A2683"/>
    <w:rsid w:val="003A7529"/>
    <w:rsid w:val="003B36B4"/>
    <w:rsid w:val="003B5B96"/>
    <w:rsid w:val="003B6D41"/>
    <w:rsid w:val="003B7DFE"/>
    <w:rsid w:val="003C0F8D"/>
    <w:rsid w:val="003E166C"/>
    <w:rsid w:val="003F03A0"/>
    <w:rsid w:val="003F6EF7"/>
    <w:rsid w:val="00400D5C"/>
    <w:rsid w:val="00404933"/>
    <w:rsid w:val="00411733"/>
    <w:rsid w:val="00435727"/>
    <w:rsid w:val="00437EE2"/>
    <w:rsid w:val="00454D6B"/>
    <w:rsid w:val="004900BB"/>
    <w:rsid w:val="00492B36"/>
    <w:rsid w:val="00496CD7"/>
    <w:rsid w:val="004A2673"/>
    <w:rsid w:val="004B346F"/>
    <w:rsid w:val="004B74E5"/>
    <w:rsid w:val="004E1435"/>
    <w:rsid w:val="004E1B2A"/>
    <w:rsid w:val="005131DF"/>
    <w:rsid w:val="00514C0B"/>
    <w:rsid w:val="00526B69"/>
    <w:rsid w:val="00547598"/>
    <w:rsid w:val="00553CAA"/>
    <w:rsid w:val="00554408"/>
    <w:rsid w:val="00566883"/>
    <w:rsid w:val="0056790D"/>
    <w:rsid w:val="00574B2B"/>
    <w:rsid w:val="005852DE"/>
    <w:rsid w:val="00595212"/>
    <w:rsid w:val="005A44F8"/>
    <w:rsid w:val="005A5541"/>
    <w:rsid w:val="005C362E"/>
    <w:rsid w:val="005F1739"/>
    <w:rsid w:val="005F1EFC"/>
    <w:rsid w:val="00615899"/>
    <w:rsid w:val="00643F8E"/>
    <w:rsid w:val="006470B6"/>
    <w:rsid w:val="006478C6"/>
    <w:rsid w:val="00663C8C"/>
    <w:rsid w:val="00664391"/>
    <w:rsid w:val="006914F1"/>
    <w:rsid w:val="00695BAE"/>
    <w:rsid w:val="00696E8F"/>
    <w:rsid w:val="006E7931"/>
    <w:rsid w:val="007234F4"/>
    <w:rsid w:val="007437ED"/>
    <w:rsid w:val="00754F7A"/>
    <w:rsid w:val="0075517B"/>
    <w:rsid w:val="007617F4"/>
    <w:rsid w:val="00781FA9"/>
    <w:rsid w:val="00786BBD"/>
    <w:rsid w:val="007906A9"/>
    <w:rsid w:val="00794D8C"/>
    <w:rsid w:val="007D7ED0"/>
    <w:rsid w:val="00826522"/>
    <w:rsid w:val="0087205D"/>
    <w:rsid w:val="00880AFC"/>
    <w:rsid w:val="00880E21"/>
    <w:rsid w:val="00881354"/>
    <w:rsid w:val="008A7109"/>
    <w:rsid w:val="008B360D"/>
    <w:rsid w:val="008D71DE"/>
    <w:rsid w:val="008F7030"/>
    <w:rsid w:val="00902E59"/>
    <w:rsid w:val="00934F51"/>
    <w:rsid w:val="0094228C"/>
    <w:rsid w:val="0095478F"/>
    <w:rsid w:val="00961B83"/>
    <w:rsid w:val="00980A13"/>
    <w:rsid w:val="0098733D"/>
    <w:rsid w:val="0099362D"/>
    <w:rsid w:val="009B5067"/>
    <w:rsid w:val="009B548F"/>
    <w:rsid w:val="009B59C7"/>
    <w:rsid w:val="009B63BE"/>
    <w:rsid w:val="009D59B5"/>
    <w:rsid w:val="009D6836"/>
    <w:rsid w:val="009E65C1"/>
    <w:rsid w:val="009F39F7"/>
    <w:rsid w:val="00A023D7"/>
    <w:rsid w:val="00A112BC"/>
    <w:rsid w:val="00A205DF"/>
    <w:rsid w:val="00A24DBC"/>
    <w:rsid w:val="00A34AE0"/>
    <w:rsid w:val="00A414B5"/>
    <w:rsid w:val="00A56199"/>
    <w:rsid w:val="00A8200A"/>
    <w:rsid w:val="00A968CD"/>
    <w:rsid w:val="00AA3A84"/>
    <w:rsid w:val="00AC6B8C"/>
    <w:rsid w:val="00AD7A64"/>
    <w:rsid w:val="00AE2CB7"/>
    <w:rsid w:val="00AE4784"/>
    <w:rsid w:val="00B152DD"/>
    <w:rsid w:val="00B262C2"/>
    <w:rsid w:val="00B346B1"/>
    <w:rsid w:val="00B66B33"/>
    <w:rsid w:val="00B80E34"/>
    <w:rsid w:val="00B95F3E"/>
    <w:rsid w:val="00B97A9E"/>
    <w:rsid w:val="00BB35CD"/>
    <w:rsid w:val="00BC4924"/>
    <w:rsid w:val="00BF519E"/>
    <w:rsid w:val="00C07A46"/>
    <w:rsid w:val="00C10096"/>
    <w:rsid w:val="00C12CAB"/>
    <w:rsid w:val="00C21B33"/>
    <w:rsid w:val="00C3012C"/>
    <w:rsid w:val="00C41EA4"/>
    <w:rsid w:val="00C5136A"/>
    <w:rsid w:val="00C54EB3"/>
    <w:rsid w:val="00C64D1A"/>
    <w:rsid w:val="00C8155D"/>
    <w:rsid w:val="00C81FA2"/>
    <w:rsid w:val="00C82D77"/>
    <w:rsid w:val="00C9098F"/>
    <w:rsid w:val="00C92F13"/>
    <w:rsid w:val="00CA5CC2"/>
    <w:rsid w:val="00CD3BB1"/>
    <w:rsid w:val="00CD7853"/>
    <w:rsid w:val="00CF6F40"/>
    <w:rsid w:val="00D06754"/>
    <w:rsid w:val="00D17D6A"/>
    <w:rsid w:val="00D312EB"/>
    <w:rsid w:val="00D3225C"/>
    <w:rsid w:val="00D460E1"/>
    <w:rsid w:val="00D57487"/>
    <w:rsid w:val="00D63BB1"/>
    <w:rsid w:val="00D74D12"/>
    <w:rsid w:val="00D845FF"/>
    <w:rsid w:val="00D8705F"/>
    <w:rsid w:val="00D96C7A"/>
    <w:rsid w:val="00DB0263"/>
    <w:rsid w:val="00DB45E2"/>
    <w:rsid w:val="00DC0344"/>
    <w:rsid w:val="00DC3D3F"/>
    <w:rsid w:val="00DF4A0F"/>
    <w:rsid w:val="00E00C0F"/>
    <w:rsid w:val="00E14F13"/>
    <w:rsid w:val="00E235BA"/>
    <w:rsid w:val="00E2465B"/>
    <w:rsid w:val="00E51A01"/>
    <w:rsid w:val="00E525D3"/>
    <w:rsid w:val="00E5649C"/>
    <w:rsid w:val="00E6556D"/>
    <w:rsid w:val="00E66385"/>
    <w:rsid w:val="00E80D02"/>
    <w:rsid w:val="00E84256"/>
    <w:rsid w:val="00EB7A02"/>
    <w:rsid w:val="00EC4E8F"/>
    <w:rsid w:val="00EC602C"/>
    <w:rsid w:val="00ED0A3E"/>
    <w:rsid w:val="00EE36C6"/>
    <w:rsid w:val="00EE3952"/>
    <w:rsid w:val="00EE433B"/>
    <w:rsid w:val="00EF5690"/>
    <w:rsid w:val="00F04FEA"/>
    <w:rsid w:val="00F05781"/>
    <w:rsid w:val="00F06BF5"/>
    <w:rsid w:val="00F17AA2"/>
    <w:rsid w:val="00F31AB9"/>
    <w:rsid w:val="00F4656D"/>
    <w:rsid w:val="00F47DE9"/>
    <w:rsid w:val="00F82EC7"/>
    <w:rsid w:val="00F83196"/>
    <w:rsid w:val="00F9476C"/>
    <w:rsid w:val="00F9507C"/>
    <w:rsid w:val="00F95D89"/>
    <w:rsid w:val="00FF7624"/>
    <w:rsid w:val="00FF7C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BA35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5478F"/>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094536"/>
    <w:pPr>
      <w:keepNext/>
      <w:keepLines/>
      <w:spacing w:before="240" w:after="240" w:line="240" w:lineRule="auto"/>
      <w:outlineLvl w:val="1"/>
    </w:pPr>
    <w:rPr>
      <w:rFonts w:asciiTheme="majorHAnsi" w:eastAsiaTheme="majorEastAsia" w:hAnsiTheme="majorHAnsi" w:cstheme="majorBidi"/>
      <w:b/>
      <w:bCs/>
      <w:color w:val="548DD4" w:themeColor="text2" w:themeTint="99"/>
      <w:sz w:val="26"/>
      <w:szCs w:val="26"/>
    </w:rPr>
  </w:style>
  <w:style w:type="paragraph" w:styleId="Heading3">
    <w:name w:val="heading 3"/>
    <w:basedOn w:val="Heading2"/>
    <w:next w:val="Normal"/>
    <w:link w:val="Heading3Char"/>
    <w:uiPriority w:val="9"/>
    <w:unhideWhenUsed/>
    <w:qFormat/>
    <w:rsid w:val="00094536"/>
    <w:pPr>
      <w:spacing w:before="120" w:after="120"/>
      <w:outlineLvl w:val="2"/>
    </w:pPr>
    <w:rPr>
      <w:bCs w:val="0"/>
      <w:i/>
      <w:sz w:val="24"/>
    </w:rPr>
  </w:style>
  <w:style w:type="paragraph" w:styleId="Heading4">
    <w:name w:val="heading 4"/>
    <w:basedOn w:val="Heading3"/>
    <w:next w:val="Normal"/>
    <w:link w:val="Heading4Char"/>
    <w:uiPriority w:val="9"/>
    <w:unhideWhenUsed/>
    <w:qFormat/>
    <w:rsid w:val="00094536"/>
    <w:pPr>
      <w:spacing w:before="240"/>
      <w:outlineLvl w:val="3"/>
    </w:pPr>
    <w:rPr>
      <w:b w:val="0"/>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94536"/>
    <w:rPr>
      <w:rFonts w:asciiTheme="majorHAnsi" w:eastAsiaTheme="majorEastAsia" w:hAnsiTheme="majorHAnsi" w:cstheme="majorBidi"/>
      <w:b/>
      <w:bCs/>
      <w:color w:val="548DD4" w:themeColor="text2" w:themeTint="99"/>
      <w:sz w:val="26"/>
      <w:szCs w:val="26"/>
    </w:rPr>
  </w:style>
  <w:style w:type="paragraph" w:customStyle="1" w:styleId="Bullet">
    <w:name w:val="Bullet"/>
    <w:basedOn w:val="Normal"/>
    <w:link w:val="BulletChar"/>
    <w:autoRedefine/>
    <w:rsid w:val="009B63BE"/>
    <w:pPr>
      <w:numPr>
        <w:numId w:val="1"/>
      </w:numPr>
    </w:pPr>
  </w:style>
  <w:style w:type="character" w:customStyle="1" w:styleId="BulletChar">
    <w:name w:val="Bullet Char"/>
    <w:basedOn w:val="DefaultParagraphFont"/>
    <w:link w:val="Bullet"/>
    <w:rsid w:val="009B63BE"/>
  </w:style>
  <w:style w:type="paragraph" w:customStyle="1" w:styleId="Dash">
    <w:name w:val="Dash"/>
    <w:basedOn w:val="Normal"/>
    <w:link w:val="DashChar"/>
    <w:autoRedefine/>
    <w:rsid w:val="00EE433B"/>
    <w:pPr>
      <w:numPr>
        <w:ilvl w:val="1"/>
        <w:numId w:val="1"/>
      </w:numPr>
    </w:pPr>
  </w:style>
  <w:style w:type="character" w:customStyle="1" w:styleId="DashChar">
    <w:name w:val="Dash Char"/>
    <w:basedOn w:val="DefaultParagraphFont"/>
    <w:link w:val="Dash"/>
    <w:rsid w:val="00EE433B"/>
  </w:style>
  <w:style w:type="paragraph" w:customStyle="1" w:styleId="DoubleDot">
    <w:name w:val="Double Dot"/>
    <w:basedOn w:val="Normal"/>
    <w:link w:val="DoubleDotChar"/>
    <w:rsid w:val="00F04FEA"/>
    <w:pPr>
      <w:numPr>
        <w:ilvl w:val="2"/>
        <w:numId w:val="1"/>
      </w:numPr>
    </w:pPr>
  </w:style>
  <w:style w:type="character" w:customStyle="1" w:styleId="DoubleDotChar">
    <w:name w:val="Double Dot Char"/>
    <w:basedOn w:val="DefaultParagraphFont"/>
    <w:link w:val="DoubleDot"/>
    <w:rsid w:val="00F04FEA"/>
  </w:style>
  <w:style w:type="character" w:customStyle="1" w:styleId="Heading3Char">
    <w:name w:val="Heading 3 Char"/>
    <w:basedOn w:val="DefaultParagraphFont"/>
    <w:link w:val="Heading3"/>
    <w:uiPriority w:val="9"/>
    <w:rsid w:val="00094536"/>
    <w:rPr>
      <w:rFonts w:asciiTheme="majorHAnsi" w:eastAsiaTheme="majorEastAsia" w:hAnsiTheme="majorHAnsi" w:cstheme="majorBidi"/>
      <w:b/>
      <w:i/>
      <w:color w:val="548DD4" w:themeColor="text2" w:themeTint="99"/>
      <w:sz w:val="24"/>
      <w:szCs w:val="26"/>
    </w:rPr>
  </w:style>
  <w:style w:type="paragraph" w:styleId="Title">
    <w:name w:val="Title"/>
    <w:basedOn w:val="Normal"/>
    <w:next w:val="Normal"/>
    <w:link w:val="TitleChar"/>
    <w:uiPriority w:val="10"/>
    <w:qFormat/>
    <w:rsid w:val="008F7030"/>
    <w:pPr>
      <w:pBdr>
        <w:bottom w:val="single" w:sz="8" w:space="4" w:color="4F81BD" w:themeColor="accent1"/>
      </w:pBdr>
      <w:spacing w:after="300" w:line="240" w:lineRule="auto"/>
      <w:contextualSpacing/>
      <w:jc w:val="both"/>
    </w:pPr>
    <w:rPr>
      <w:rFonts w:asciiTheme="majorHAnsi" w:eastAsiaTheme="majorEastAsia" w:hAnsiTheme="majorHAnsi" w:cstheme="majorBidi"/>
      <w:color w:val="17365D" w:themeColor="text2" w:themeShade="BF"/>
      <w:spacing w:val="5"/>
      <w:kern w:val="28"/>
      <w:sz w:val="52"/>
      <w:szCs w:val="52"/>
      <w:lang w:eastAsia="en-AU"/>
    </w:rPr>
  </w:style>
  <w:style w:type="character" w:customStyle="1" w:styleId="TitleChar">
    <w:name w:val="Title Char"/>
    <w:basedOn w:val="DefaultParagraphFont"/>
    <w:link w:val="Title"/>
    <w:uiPriority w:val="10"/>
    <w:rsid w:val="008F7030"/>
    <w:rPr>
      <w:rFonts w:asciiTheme="majorHAnsi" w:eastAsiaTheme="majorEastAsia" w:hAnsiTheme="majorHAnsi" w:cstheme="majorBidi"/>
      <w:color w:val="17365D" w:themeColor="text2" w:themeShade="BF"/>
      <w:spacing w:val="5"/>
      <w:kern w:val="28"/>
      <w:sz w:val="52"/>
      <w:szCs w:val="52"/>
      <w:lang w:eastAsia="en-AU"/>
    </w:rPr>
  </w:style>
  <w:style w:type="character" w:styleId="Hyperlink">
    <w:name w:val="Hyperlink"/>
    <w:basedOn w:val="DefaultParagraphFont"/>
    <w:uiPriority w:val="99"/>
    <w:unhideWhenUsed/>
    <w:rsid w:val="003F03A0"/>
    <w:rPr>
      <w:color w:val="0000FF" w:themeColor="hyperlink"/>
      <w:u w:val="single"/>
    </w:rPr>
  </w:style>
  <w:style w:type="character" w:customStyle="1" w:styleId="Heading4Char">
    <w:name w:val="Heading 4 Char"/>
    <w:basedOn w:val="DefaultParagraphFont"/>
    <w:link w:val="Heading4"/>
    <w:uiPriority w:val="9"/>
    <w:rsid w:val="00094536"/>
    <w:rPr>
      <w:rFonts w:asciiTheme="majorHAnsi" w:eastAsiaTheme="majorEastAsia" w:hAnsiTheme="majorHAnsi" w:cstheme="majorBidi"/>
      <w:bCs/>
      <w:i/>
      <w:iCs/>
      <w:color w:val="548DD4" w:themeColor="text2" w:themeTint="99"/>
      <w:sz w:val="24"/>
      <w:szCs w:val="26"/>
    </w:rPr>
  </w:style>
  <w:style w:type="table" w:styleId="TableGrid">
    <w:name w:val="Table Grid"/>
    <w:basedOn w:val="TableNormal"/>
    <w:uiPriority w:val="39"/>
    <w:rsid w:val="00DC3D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94228C"/>
    <w:pPr>
      <w:spacing w:after="0" w:line="240" w:lineRule="auto"/>
    </w:pPr>
    <w:rPr>
      <w:sz w:val="20"/>
      <w:szCs w:val="20"/>
    </w:rPr>
  </w:style>
  <w:style w:type="character" w:customStyle="1" w:styleId="FootnoteTextChar">
    <w:name w:val="Footnote Text Char"/>
    <w:basedOn w:val="DefaultParagraphFont"/>
    <w:link w:val="FootnoteText"/>
    <w:uiPriority w:val="99"/>
    <w:rsid w:val="0094228C"/>
    <w:rPr>
      <w:sz w:val="20"/>
      <w:szCs w:val="20"/>
    </w:rPr>
  </w:style>
  <w:style w:type="character" w:styleId="FootnoteReference">
    <w:name w:val="footnote reference"/>
    <w:basedOn w:val="DefaultParagraphFont"/>
    <w:uiPriority w:val="99"/>
    <w:unhideWhenUsed/>
    <w:rsid w:val="0094228C"/>
    <w:rPr>
      <w:vertAlign w:val="superscript"/>
    </w:rPr>
  </w:style>
  <w:style w:type="paragraph" w:styleId="ListParagraph">
    <w:name w:val="List Paragraph"/>
    <w:basedOn w:val="Normal"/>
    <w:uiPriority w:val="34"/>
    <w:qFormat/>
    <w:rsid w:val="00514C0B"/>
    <w:pPr>
      <w:spacing w:after="160" w:line="259" w:lineRule="auto"/>
      <w:ind w:left="720"/>
      <w:contextualSpacing/>
    </w:pPr>
  </w:style>
  <w:style w:type="paragraph" w:styleId="Header">
    <w:name w:val="header"/>
    <w:basedOn w:val="Normal"/>
    <w:link w:val="HeaderChar"/>
    <w:uiPriority w:val="99"/>
    <w:unhideWhenUsed/>
    <w:rsid w:val="00514C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4C0B"/>
  </w:style>
  <w:style w:type="paragraph" w:styleId="Footer">
    <w:name w:val="footer"/>
    <w:basedOn w:val="Normal"/>
    <w:link w:val="FooterChar"/>
    <w:uiPriority w:val="99"/>
    <w:unhideWhenUsed/>
    <w:rsid w:val="00514C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4C0B"/>
  </w:style>
  <w:style w:type="character" w:customStyle="1" w:styleId="Heading1Char">
    <w:name w:val="Heading 1 Char"/>
    <w:basedOn w:val="DefaultParagraphFont"/>
    <w:link w:val="Heading1"/>
    <w:uiPriority w:val="9"/>
    <w:rsid w:val="0095478F"/>
    <w:rPr>
      <w:rFonts w:asciiTheme="majorHAnsi" w:eastAsiaTheme="majorEastAsia" w:hAnsiTheme="majorHAnsi" w:cstheme="majorBidi"/>
      <w:b/>
      <w:bCs/>
      <w:sz w:val="28"/>
      <w:szCs w:val="28"/>
    </w:rPr>
  </w:style>
  <w:style w:type="paragraph" w:customStyle="1" w:styleId="OutlineNumbered1">
    <w:name w:val="Outline Numbered 1"/>
    <w:basedOn w:val="Normal"/>
    <w:link w:val="OutlineNumbered1Char"/>
    <w:rsid w:val="00F83196"/>
    <w:pPr>
      <w:keepLines/>
      <w:numPr>
        <w:numId w:val="5"/>
      </w:numPr>
    </w:pPr>
  </w:style>
  <w:style w:type="character" w:customStyle="1" w:styleId="OutlineNumbered1Char">
    <w:name w:val="Outline Numbered 1 Char"/>
    <w:basedOn w:val="DefaultParagraphFont"/>
    <w:link w:val="OutlineNumbered1"/>
    <w:rsid w:val="00F83196"/>
  </w:style>
  <w:style w:type="paragraph" w:customStyle="1" w:styleId="OutlineNumbered2">
    <w:name w:val="Outline Numbered 2"/>
    <w:basedOn w:val="Normal"/>
    <w:link w:val="OutlineNumbered2Char"/>
    <w:rsid w:val="0095478F"/>
    <w:pPr>
      <w:numPr>
        <w:ilvl w:val="1"/>
        <w:numId w:val="5"/>
      </w:numPr>
    </w:pPr>
  </w:style>
  <w:style w:type="character" w:customStyle="1" w:styleId="OutlineNumbered2Char">
    <w:name w:val="Outline Numbered 2 Char"/>
    <w:basedOn w:val="DefaultParagraphFont"/>
    <w:link w:val="OutlineNumbered2"/>
    <w:rsid w:val="0095478F"/>
  </w:style>
  <w:style w:type="paragraph" w:customStyle="1" w:styleId="OutlineNumbered3">
    <w:name w:val="Outline Numbered 3"/>
    <w:basedOn w:val="Normal"/>
    <w:link w:val="OutlineNumbered3Char"/>
    <w:rsid w:val="0095478F"/>
    <w:pPr>
      <w:numPr>
        <w:ilvl w:val="2"/>
        <w:numId w:val="5"/>
      </w:numPr>
    </w:pPr>
  </w:style>
  <w:style w:type="character" w:customStyle="1" w:styleId="OutlineNumbered3Char">
    <w:name w:val="Outline Numbered 3 Char"/>
    <w:basedOn w:val="DefaultParagraphFont"/>
    <w:link w:val="OutlineNumbered3"/>
    <w:rsid w:val="0095478F"/>
  </w:style>
  <w:style w:type="paragraph" w:styleId="BalloonText">
    <w:name w:val="Balloon Text"/>
    <w:basedOn w:val="Normal"/>
    <w:link w:val="BalloonTextChar"/>
    <w:uiPriority w:val="99"/>
    <w:semiHidden/>
    <w:unhideWhenUsed/>
    <w:rsid w:val="009B54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548F"/>
    <w:rPr>
      <w:rFonts w:ascii="Tahoma" w:hAnsi="Tahoma" w:cs="Tahoma"/>
      <w:sz w:val="16"/>
      <w:szCs w:val="16"/>
    </w:rPr>
  </w:style>
  <w:style w:type="character" w:styleId="CommentReference">
    <w:name w:val="annotation reference"/>
    <w:basedOn w:val="DefaultParagraphFont"/>
    <w:uiPriority w:val="99"/>
    <w:semiHidden/>
    <w:unhideWhenUsed/>
    <w:rsid w:val="00C54EB3"/>
    <w:rPr>
      <w:sz w:val="18"/>
      <w:szCs w:val="18"/>
    </w:rPr>
  </w:style>
  <w:style w:type="paragraph" w:styleId="CommentText">
    <w:name w:val="annotation text"/>
    <w:basedOn w:val="Normal"/>
    <w:link w:val="CommentTextChar"/>
    <w:uiPriority w:val="99"/>
    <w:semiHidden/>
    <w:unhideWhenUsed/>
    <w:rsid w:val="00C54EB3"/>
    <w:pPr>
      <w:spacing w:line="240" w:lineRule="auto"/>
    </w:pPr>
    <w:rPr>
      <w:sz w:val="24"/>
      <w:szCs w:val="24"/>
    </w:rPr>
  </w:style>
  <w:style w:type="character" w:customStyle="1" w:styleId="CommentTextChar">
    <w:name w:val="Comment Text Char"/>
    <w:basedOn w:val="DefaultParagraphFont"/>
    <w:link w:val="CommentText"/>
    <w:uiPriority w:val="99"/>
    <w:semiHidden/>
    <w:rsid w:val="00C54EB3"/>
    <w:rPr>
      <w:sz w:val="24"/>
      <w:szCs w:val="24"/>
    </w:rPr>
  </w:style>
  <w:style w:type="paragraph" w:styleId="CommentSubject">
    <w:name w:val="annotation subject"/>
    <w:basedOn w:val="CommentText"/>
    <w:next w:val="CommentText"/>
    <w:link w:val="CommentSubjectChar"/>
    <w:uiPriority w:val="99"/>
    <w:semiHidden/>
    <w:unhideWhenUsed/>
    <w:rsid w:val="00C54EB3"/>
    <w:rPr>
      <w:b/>
      <w:bCs/>
      <w:sz w:val="20"/>
      <w:szCs w:val="20"/>
    </w:rPr>
  </w:style>
  <w:style w:type="character" w:customStyle="1" w:styleId="CommentSubjectChar">
    <w:name w:val="Comment Subject Char"/>
    <w:basedOn w:val="CommentTextChar"/>
    <w:link w:val="CommentSubject"/>
    <w:uiPriority w:val="99"/>
    <w:semiHidden/>
    <w:rsid w:val="00C54EB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5478F"/>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094536"/>
    <w:pPr>
      <w:keepNext/>
      <w:keepLines/>
      <w:spacing w:before="240" w:after="240" w:line="240" w:lineRule="auto"/>
      <w:outlineLvl w:val="1"/>
    </w:pPr>
    <w:rPr>
      <w:rFonts w:asciiTheme="majorHAnsi" w:eastAsiaTheme="majorEastAsia" w:hAnsiTheme="majorHAnsi" w:cstheme="majorBidi"/>
      <w:b/>
      <w:bCs/>
      <w:color w:val="548DD4" w:themeColor="text2" w:themeTint="99"/>
      <w:sz w:val="26"/>
      <w:szCs w:val="26"/>
    </w:rPr>
  </w:style>
  <w:style w:type="paragraph" w:styleId="Heading3">
    <w:name w:val="heading 3"/>
    <w:basedOn w:val="Heading2"/>
    <w:next w:val="Normal"/>
    <w:link w:val="Heading3Char"/>
    <w:uiPriority w:val="9"/>
    <w:unhideWhenUsed/>
    <w:qFormat/>
    <w:rsid w:val="00094536"/>
    <w:pPr>
      <w:spacing w:before="120" w:after="120"/>
      <w:outlineLvl w:val="2"/>
    </w:pPr>
    <w:rPr>
      <w:bCs w:val="0"/>
      <w:i/>
      <w:sz w:val="24"/>
    </w:rPr>
  </w:style>
  <w:style w:type="paragraph" w:styleId="Heading4">
    <w:name w:val="heading 4"/>
    <w:basedOn w:val="Heading3"/>
    <w:next w:val="Normal"/>
    <w:link w:val="Heading4Char"/>
    <w:uiPriority w:val="9"/>
    <w:unhideWhenUsed/>
    <w:qFormat/>
    <w:rsid w:val="00094536"/>
    <w:pPr>
      <w:spacing w:before="240"/>
      <w:outlineLvl w:val="3"/>
    </w:pPr>
    <w:rPr>
      <w:b w:val="0"/>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94536"/>
    <w:rPr>
      <w:rFonts w:asciiTheme="majorHAnsi" w:eastAsiaTheme="majorEastAsia" w:hAnsiTheme="majorHAnsi" w:cstheme="majorBidi"/>
      <w:b/>
      <w:bCs/>
      <w:color w:val="548DD4" w:themeColor="text2" w:themeTint="99"/>
      <w:sz w:val="26"/>
      <w:szCs w:val="26"/>
    </w:rPr>
  </w:style>
  <w:style w:type="paragraph" w:customStyle="1" w:styleId="Bullet">
    <w:name w:val="Bullet"/>
    <w:basedOn w:val="Normal"/>
    <w:link w:val="BulletChar"/>
    <w:autoRedefine/>
    <w:rsid w:val="009B63BE"/>
    <w:pPr>
      <w:numPr>
        <w:numId w:val="1"/>
      </w:numPr>
    </w:pPr>
  </w:style>
  <w:style w:type="character" w:customStyle="1" w:styleId="BulletChar">
    <w:name w:val="Bullet Char"/>
    <w:basedOn w:val="DefaultParagraphFont"/>
    <w:link w:val="Bullet"/>
    <w:rsid w:val="009B63BE"/>
  </w:style>
  <w:style w:type="paragraph" w:customStyle="1" w:styleId="Dash">
    <w:name w:val="Dash"/>
    <w:basedOn w:val="Normal"/>
    <w:link w:val="DashChar"/>
    <w:autoRedefine/>
    <w:rsid w:val="00EE433B"/>
    <w:pPr>
      <w:numPr>
        <w:ilvl w:val="1"/>
        <w:numId w:val="1"/>
      </w:numPr>
    </w:pPr>
  </w:style>
  <w:style w:type="character" w:customStyle="1" w:styleId="DashChar">
    <w:name w:val="Dash Char"/>
    <w:basedOn w:val="DefaultParagraphFont"/>
    <w:link w:val="Dash"/>
    <w:rsid w:val="00EE433B"/>
  </w:style>
  <w:style w:type="paragraph" w:customStyle="1" w:styleId="DoubleDot">
    <w:name w:val="Double Dot"/>
    <w:basedOn w:val="Normal"/>
    <w:link w:val="DoubleDotChar"/>
    <w:rsid w:val="00F04FEA"/>
    <w:pPr>
      <w:numPr>
        <w:ilvl w:val="2"/>
        <w:numId w:val="1"/>
      </w:numPr>
    </w:pPr>
  </w:style>
  <w:style w:type="character" w:customStyle="1" w:styleId="DoubleDotChar">
    <w:name w:val="Double Dot Char"/>
    <w:basedOn w:val="DefaultParagraphFont"/>
    <w:link w:val="DoubleDot"/>
    <w:rsid w:val="00F04FEA"/>
  </w:style>
  <w:style w:type="character" w:customStyle="1" w:styleId="Heading3Char">
    <w:name w:val="Heading 3 Char"/>
    <w:basedOn w:val="DefaultParagraphFont"/>
    <w:link w:val="Heading3"/>
    <w:uiPriority w:val="9"/>
    <w:rsid w:val="00094536"/>
    <w:rPr>
      <w:rFonts w:asciiTheme="majorHAnsi" w:eastAsiaTheme="majorEastAsia" w:hAnsiTheme="majorHAnsi" w:cstheme="majorBidi"/>
      <w:b/>
      <w:i/>
      <w:color w:val="548DD4" w:themeColor="text2" w:themeTint="99"/>
      <w:sz w:val="24"/>
      <w:szCs w:val="26"/>
    </w:rPr>
  </w:style>
  <w:style w:type="paragraph" w:styleId="Title">
    <w:name w:val="Title"/>
    <w:basedOn w:val="Normal"/>
    <w:next w:val="Normal"/>
    <w:link w:val="TitleChar"/>
    <w:uiPriority w:val="10"/>
    <w:qFormat/>
    <w:rsid w:val="008F7030"/>
    <w:pPr>
      <w:pBdr>
        <w:bottom w:val="single" w:sz="8" w:space="4" w:color="4F81BD" w:themeColor="accent1"/>
      </w:pBdr>
      <w:spacing w:after="300" w:line="240" w:lineRule="auto"/>
      <w:contextualSpacing/>
      <w:jc w:val="both"/>
    </w:pPr>
    <w:rPr>
      <w:rFonts w:asciiTheme="majorHAnsi" w:eastAsiaTheme="majorEastAsia" w:hAnsiTheme="majorHAnsi" w:cstheme="majorBidi"/>
      <w:color w:val="17365D" w:themeColor="text2" w:themeShade="BF"/>
      <w:spacing w:val="5"/>
      <w:kern w:val="28"/>
      <w:sz w:val="52"/>
      <w:szCs w:val="52"/>
      <w:lang w:eastAsia="en-AU"/>
    </w:rPr>
  </w:style>
  <w:style w:type="character" w:customStyle="1" w:styleId="TitleChar">
    <w:name w:val="Title Char"/>
    <w:basedOn w:val="DefaultParagraphFont"/>
    <w:link w:val="Title"/>
    <w:uiPriority w:val="10"/>
    <w:rsid w:val="008F7030"/>
    <w:rPr>
      <w:rFonts w:asciiTheme="majorHAnsi" w:eastAsiaTheme="majorEastAsia" w:hAnsiTheme="majorHAnsi" w:cstheme="majorBidi"/>
      <w:color w:val="17365D" w:themeColor="text2" w:themeShade="BF"/>
      <w:spacing w:val="5"/>
      <w:kern w:val="28"/>
      <w:sz w:val="52"/>
      <w:szCs w:val="52"/>
      <w:lang w:eastAsia="en-AU"/>
    </w:rPr>
  </w:style>
  <w:style w:type="character" w:styleId="Hyperlink">
    <w:name w:val="Hyperlink"/>
    <w:basedOn w:val="DefaultParagraphFont"/>
    <w:uiPriority w:val="99"/>
    <w:unhideWhenUsed/>
    <w:rsid w:val="003F03A0"/>
    <w:rPr>
      <w:color w:val="0000FF" w:themeColor="hyperlink"/>
      <w:u w:val="single"/>
    </w:rPr>
  </w:style>
  <w:style w:type="character" w:customStyle="1" w:styleId="Heading4Char">
    <w:name w:val="Heading 4 Char"/>
    <w:basedOn w:val="DefaultParagraphFont"/>
    <w:link w:val="Heading4"/>
    <w:uiPriority w:val="9"/>
    <w:rsid w:val="00094536"/>
    <w:rPr>
      <w:rFonts w:asciiTheme="majorHAnsi" w:eastAsiaTheme="majorEastAsia" w:hAnsiTheme="majorHAnsi" w:cstheme="majorBidi"/>
      <w:bCs/>
      <w:i/>
      <w:iCs/>
      <w:color w:val="548DD4" w:themeColor="text2" w:themeTint="99"/>
      <w:sz w:val="24"/>
      <w:szCs w:val="26"/>
    </w:rPr>
  </w:style>
  <w:style w:type="table" w:styleId="TableGrid">
    <w:name w:val="Table Grid"/>
    <w:basedOn w:val="TableNormal"/>
    <w:uiPriority w:val="39"/>
    <w:rsid w:val="00DC3D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94228C"/>
    <w:pPr>
      <w:spacing w:after="0" w:line="240" w:lineRule="auto"/>
    </w:pPr>
    <w:rPr>
      <w:sz w:val="20"/>
      <w:szCs w:val="20"/>
    </w:rPr>
  </w:style>
  <w:style w:type="character" w:customStyle="1" w:styleId="FootnoteTextChar">
    <w:name w:val="Footnote Text Char"/>
    <w:basedOn w:val="DefaultParagraphFont"/>
    <w:link w:val="FootnoteText"/>
    <w:uiPriority w:val="99"/>
    <w:rsid w:val="0094228C"/>
    <w:rPr>
      <w:sz w:val="20"/>
      <w:szCs w:val="20"/>
    </w:rPr>
  </w:style>
  <w:style w:type="character" w:styleId="FootnoteReference">
    <w:name w:val="footnote reference"/>
    <w:basedOn w:val="DefaultParagraphFont"/>
    <w:uiPriority w:val="99"/>
    <w:unhideWhenUsed/>
    <w:rsid w:val="0094228C"/>
    <w:rPr>
      <w:vertAlign w:val="superscript"/>
    </w:rPr>
  </w:style>
  <w:style w:type="paragraph" w:styleId="ListParagraph">
    <w:name w:val="List Paragraph"/>
    <w:basedOn w:val="Normal"/>
    <w:uiPriority w:val="34"/>
    <w:qFormat/>
    <w:rsid w:val="00514C0B"/>
    <w:pPr>
      <w:spacing w:after="160" w:line="259" w:lineRule="auto"/>
      <w:ind w:left="720"/>
      <w:contextualSpacing/>
    </w:pPr>
  </w:style>
  <w:style w:type="paragraph" w:styleId="Header">
    <w:name w:val="header"/>
    <w:basedOn w:val="Normal"/>
    <w:link w:val="HeaderChar"/>
    <w:uiPriority w:val="99"/>
    <w:unhideWhenUsed/>
    <w:rsid w:val="00514C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4C0B"/>
  </w:style>
  <w:style w:type="paragraph" w:styleId="Footer">
    <w:name w:val="footer"/>
    <w:basedOn w:val="Normal"/>
    <w:link w:val="FooterChar"/>
    <w:uiPriority w:val="99"/>
    <w:unhideWhenUsed/>
    <w:rsid w:val="00514C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4C0B"/>
  </w:style>
  <w:style w:type="character" w:customStyle="1" w:styleId="Heading1Char">
    <w:name w:val="Heading 1 Char"/>
    <w:basedOn w:val="DefaultParagraphFont"/>
    <w:link w:val="Heading1"/>
    <w:uiPriority w:val="9"/>
    <w:rsid w:val="0095478F"/>
    <w:rPr>
      <w:rFonts w:asciiTheme="majorHAnsi" w:eastAsiaTheme="majorEastAsia" w:hAnsiTheme="majorHAnsi" w:cstheme="majorBidi"/>
      <w:b/>
      <w:bCs/>
      <w:sz w:val="28"/>
      <w:szCs w:val="28"/>
    </w:rPr>
  </w:style>
  <w:style w:type="paragraph" w:customStyle="1" w:styleId="OutlineNumbered1">
    <w:name w:val="Outline Numbered 1"/>
    <w:basedOn w:val="Normal"/>
    <w:link w:val="OutlineNumbered1Char"/>
    <w:rsid w:val="00F83196"/>
    <w:pPr>
      <w:keepLines/>
      <w:numPr>
        <w:numId w:val="5"/>
      </w:numPr>
    </w:pPr>
  </w:style>
  <w:style w:type="character" w:customStyle="1" w:styleId="OutlineNumbered1Char">
    <w:name w:val="Outline Numbered 1 Char"/>
    <w:basedOn w:val="DefaultParagraphFont"/>
    <w:link w:val="OutlineNumbered1"/>
    <w:rsid w:val="00F83196"/>
  </w:style>
  <w:style w:type="paragraph" w:customStyle="1" w:styleId="OutlineNumbered2">
    <w:name w:val="Outline Numbered 2"/>
    <w:basedOn w:val="Normal"/>
    <w:link w:val="OutlineNumbered2Char"/>
    <w:rsid w:val="0095478F"/>
    <w:pPr>
      <w:numPr>
        <w:ilvl w:val="1"/>
        <w:numId w:val="5"/>
      </w:numPr>
    </w:pPr>
  </w:style>
  <w:style w:type="character" w:customStyle="1" w:styleId="OutlineNumbered2Char">
    <w:name w:val="Outline Numbered 2 Char"/>
    <w:basedOn w:val="DefaultParagraphFont"/>
    <w:link w:val="OutlineNumbered2"/>
    <w:rsid w:val="0095478F"/>
  </w:style>
  <w:style w:type="paragraph" w:customStyle="1" w:styleId="OutlineNumbered3">
    <w:name w:val="Outline Numbered 3"/>
    <w:basedOn w:val="Normal"/>
    <w:link w:val="OutlineNumbered3Char"/>
    <w:rsid w:val="0095478F"/>
    <w:pPr>
      <w:numPr>
        <w:ilvl w:val="2"/>
        <w:numId w:val="5"/>
      </w:numPr>
    </w:pPr>
  </w:style>
  <w:style w:type="character" w:customStyle="1" w:styleId="OutlineNumbered3Char">
    <w:name w:val="Outline Numbered 3 Char"/>
    <w:basedOn w:val="DefaultParagraphFont"/>
    <w:link w:val="OutlineNumbered3"/>
    <w:rsid w:val="0095478F"/>
  </w:style>
  <w:style w:type="paragraph" w:styleId="BalloonText">
    <w:name w:val="Balloon Text"/>
    <w:basedOn w:val="Normal"/>
    <w:link w:val="BalloonTextChar"/>
    <w:uiPriority w:val="99"/>
    <w:semiHidden/>
    <w:unhideWhenUsed/>
    <w:rsid w:val="009B54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548F"/>
    <w:rPr>
      <w:rFonts w:ascii="Tahoma" w:hAnsi="Tahoma" w:cs="Tahoma"/>
      <w:sz w:val="16"/>
      <w:szCs w:val="16"/>
    </w:rPr>
  </w:style>
  <w:style w:type="character" w:styleId="CommentReference">
    <w:name w:val="annotation reference"/>
    <w:basedOn w:val="DefaultParagraphFont"/>
    <w:uiPriority w:val="99"/>
    <w:semiHidden/>
    <w:unhideWhenUsed/>
    <w:rsid w:val="00C54EB3"/>
    <w:rPr>
      <w:sz w:val="18"/>
      <w:szCs w:val="18"/>
    </w:rPr>
  </w:style>
  <w:style w:type="paragraph" w:styleId="CommentText">
    <w:name w:val="annotation text"/>
    <w:basedOn w:val="Normal"/>
    <w:link w:val="CommentTextChar"/>
    <w:uiPriority w:val="99"/>
    <w:semiHidden/>
    <w:unhideWhenUsed/>
    <w:rsid w:val="00C54EB3"/>
    <w:pPr>
      <w:spacing w:line="240" w:lineRule="auto"/>
    </w:pPr>
    <w:rPr>
      <w:sz w:val="24"/>
      <w:szCs w:val="24"/>
    </w:rPr>
  </w:style>
  <w:style w:type="character" w:customStyle="1" w:styleId="CommentTextChar">
    <w:name w:val="Comment Text Char"/>
    <w:basedOn w:val="DefaultParagraphFont"/>
    <w:link w:val="CommentText"/>
    <w:uiPriority w:val="99"/>
    <w:semiHidden/>
    <w:rsid w:val="00C54EB3"/>
    <w:rPr>
      <w:sz w:val="24"/>
      <w:szCs w:val="24"/>
    </w:rPr>
  </w:style>
  <w:style w:type="paragraph" w:styleId="CommentSubject">
    <w:name w:val="annotation subject"/>
    <w:basedOn w:val="CommentText"/>
    <w:next w:val="CommentText"/>
    <w:link w:val="CommentSubjectChar"/>
    <w:uiPriority w:val="99"/>
    <w:semiHidden/>
    <w:unhideWhenUsed/>
    <w:rsid w:val="00C54EB3"/>
    <w:rPr>
      <w:b/>
      <w:bCs/>
      <w:sz w:val="20"/>
      <w:szCs w:val="20"/>
    </w:rPr>
  </w:style>
  <w:style w:type="character" w:customStyle="1" w:styleId="CommentSubjectChar">
    <w:name w:val="Comment Subject Char"/>
    <w:basedOn w:val="CommentTextChar"/>
    <w:link w:val="CommentSubject"/>
    <w:uiPriority w:val="99"/>
    <w:semiHidden/>
    <w:rsid w:val="00C54EB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customXml" Target="../customXml/item5.xml"/><Relationship Id="rId7" Type="http://schemas.openxmlformats.org/officeDocument/2006/relationships/footnotes" Target="footnotes.xml"/><Relationship Id="rId12" Type="http://schemas.openxmlformats.org/officeDocument/2006/relationships/hyperlink" Target="http://www.payrolltax.gov.au/harmonisation" TargetMode="Externa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theme" Target="theme/theme1.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3.xml"/><Relationship Id="rId22"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Treasury Document" ma:contentTypeID="0x01010036BB8DE7EC542E42A8B2E98CC20CB697007F2E04CA2AAA104DB2D93AC73B6CBA42" ma:contentTypeVersion="6421" ma:contentTypeDescription="" ma:contentTypeScope="" ma:versionID="02b9a911cca2495ddb319b91b617807c">
  <xsd:schema xmlns:xsd="http://www.w3.org/2001/XMLSchema" xmlns:xs="http://www.w3.org/2001/XMLSchema" xmlns:p="http://schemas.microsoft.com/office/2006/metadata/properties" xmlns:ns1="http://schemas.microsoft.com/sharepoint/v3" xmlns:ns2="9f7bc583-7cbe-45b9-a2bd-8bbb6543b37e" xmlns:ns4="http://schemas.microsoft.com/sharepoint/v4" targetNamespace="http://schemas.microsoft.com/office/2006/metadata/properties" ma:root="true" ma:fieldsID="38431cb0f8e40174b0b05233ed2e9f6e" ns1:_="" ns2:_="" ns4:_="">
    <xsd:import namespace="http://schemas.microsoft.com/sharepoint/v3"/>
    <xsd:import namespace="9f7bc583-7cbe-45b9-a2bd-8bbb6543b37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lb508a4dc5e84436a0fe496b536466aa" minOccurs="0"/>
                <xsd:element ref="ns2:TaxCatchAll" minOccurs="0"/>
                <xsd:element ref="ns2:TaxCatchAllLabel" minOccurs="0"/>
                <xsd:element ref="ns1:_dlc_Exempt"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7bc583-7cbe-45b9-a2bd-8bbb6543b37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b508a4dc5e84436a0fe496b536466aa" ma:index="11" nillable="true" ma:taxonomy="true" ma:internalName="lb508a4dc5e84436a0fe496b536466aa" ma:taxonomyFieldName="TSYRecordClass" ma:displayName="Record Class" ma:readOnly="false" ma:default="18;#GRA26-21135 - Retain as national archives|f1e1d764-3604-4ca6-bc54-6b106e291d6f"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5426e91-c895-42ba-91bf-fe5e23c4f0ec}" ma:internalName="TaxCatchAll" ma:showField="CatchAllData" ma:web="9f7bc583-7cbe-45b9-a2bd-8bbb6543b37e">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5426e91-c895-42ba-91bf-fe5e23c4f0ec}" ma:internalName="TaxCatchAllLabel" ma:readOnly="true" ma:showField="CatchAllDataLabel" ma:web="9f7bc583-7cbe-45b9-a2bd-8bbb6543b37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4.xml><?xml version="1.0" encoding="utf-8"?>
<?mso-contentType ?>
<p:Policy xmlns:p="office.server.policy" id="" local="true">
  <p:Name>Treasury Document</p:Name>
  <p:Description/>
  <p:Statement/>
  <p:PolicyItems>
    <p:PolicyItem featureId="Microsoft.Office.RecordsManagement.PolicyFeatures.PolicyAudit" staticId="0x01010036BB8DE7EC542E42A8B2E98CC20CB697|1757814118" UniqueId="eb9354fb-4177-4e01-8c43-989761893d04">
      <p:Name>Auditing</p:Name>
      <p:Description>Audits user actions on documents and list items to the Audit Log.</p:Description>
      <p:CustomData>
        <Audit>
          <Update/>
          <DeleteRestore/>
        </Audit>
      </p:CustomData>
    </p:PolicyItem>
  </p:PolicyItems>
</p:Policy>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lb508a4dc5e84436a0fe496b536466aa xmlns="9f7bc583-7cbe-45b9-a2bd-8bbb6543b37e">
      <Terms xmlns="http://schemas.microsoft.com/office/infopath/2007/PartnerControls">
        <TermInfo xmlns="http://schemas.microsoft.com/office/infopath/2007/PartnerControls">
          <TermName xmlns="http://schemas.microsoft.com/office/infopath/2007/PartnerControls">GRA26-21135 - Retain as national archives</TermName>
          <TermId xmlns="http://schemas.microsoft.com/office/infopath/2007/PartnerControls">f1e1d764-3604-4ca6-bc54-6b106e291d6f</TermId>
        </TermInfo>
      </Terms>
    </lb508a4dc5e84436a0fe496b536466aa>
    <_dlc_DocId xmlns="9f7bc583-7cbe-45b9-a2bd-8bbb6543b37e">2017RG-355-3655</_dlc_DocId>
    <TaxCatchAll xmlns="9f7bc583-7cbe-45b9-a2bd-8bbb6543b37e">
      <Value>18</Value>
    </TaxCatchAll>
    <_dlc_DocIdUrl xmlns="9f7bc583-7cbe-45b9-a2bd-8bbb6543b37e">
      <Url>http://tweb/sites/rg/bots/projects/_layouts/15/DocIdRedir.aspx?ID=2017RG-355-3655</Url>
      <Description>2017RG-355-3655</Description>
    </_dlc_DocIdUrl>
    <IconOverlay xmlns="http://schemas.microsoft.com/sharepoint/v4" xsi:nil="true"/>
  </documentManagement>
</p:properties>
</file>

<file path=customXml/itemProps1.xml><?xml version="1.0" encoding="utf-8"?>
<ds:datastoreItem xmlns:ds="http://schemas.openxmlformats.org/officeDocument/2006/customXml" ds:itemID="{E8941D93-75F7-4B0F-865C-4EC7664B6231}">
  <ds:schemaRefs>
    <ds:schemaRef ds:uri="http://schemas.openxmlformats.org/officeDocument/2006/bibliography"/>
  </ds:schemaRefs>
</ds:datastoreItem>
</file>

<file path=customXml/itemProps2.xml><?xml version="1.0" encoding="utf-8"?>
<ds:datastoreItem xmlns:ds="http://schemas.openxmlformats.org/officeDocument/2006/customXml" ds:itemID="{CCA27DCA-E138-479E-8044-CBA70BA2A6BC}"/>
</file>

<file path=customXml/itemProps3.xml><?xml version="1.0" encoding="utf-8"?>
<ds:datastoreItem xmlns:ds="http://schemas.openxmlformats.org/officeDocument/2006/customXml" ds:itemID="{C577D981-3FAF-4FB9-A10F-8F851F44D06D}"/>
</file>

<file path=customXml/itemProps4.xml><?xml version="1.0" encoding="utf-8"?>
<ds:datastoreItem xmlns:ds="http://schemas.openxmlformats.org/officeDocument/2006/customXml" ds:itemID="{1C4FB920-6BA2-48A3-B898-6754C1625BA0}"/>
</file>

<file path=customXml/itemProps5.xml><?xml version="1.0" encoding="utf-8"?>
<ds:datastoreItem xmlns:ds="http://schemas.openxmlformats.org/officeDocument/2006/customXml" ds:itemID="{3CB88788-8558-42D4-AC2D-05BF49E8533E}"/>
</file>

<file path=customXml/itemProps6.xml><?xml version="1.0" encoding="utf-8"?>
<ds:datastoreItem xmlns:ds="http://schemas.openxmlformats.org/officeDocument/2006/customXml" ds:itemID="{D42A251F-B0E6-4EE0-8FFD-29900D41A746}"/>
</file>

<file path=docProps/app.xml><?xml version="1.0" encoding="utf-8"?>
<Properties xmlns="http://schemas.openxmlformats.org/officeDocument/2006/extended-properties" xmlns:vt="http://schemas.openxmlformats.org/officeDocument/2006/docPropsVTypes">
  <Template>Normal.dotm</Template>
  <TotalTime>9</TotalTime>
  <Pages>25</Pages>
  <Words>6540</Words>
  <Characters>37284</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Australian Government - The Treasury</Company>
  <LinksUpToDate>false</LinksUpToDate>
  <CharactersWithSpaces>43737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Atfield, Michael</dc:creator>
  <cp:lastModifiedBy>Atfield, Michael</cp:lastModifiedBy>
  <cp:revision>5</cp:revision>
  <cp:lastPrinted>2017-08-03T07:06:00Z</cp:lastPrinted>
  <dcterms:created xsi:type="dcterms:W3CDTF">2017-08-11T04:06:00Z</dcterms:created>
  <dcterms:modified xsi:type="dcterms:W3CDTF">2017-08-11T04:13:00Z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2117816031</vt:i4>
  </property>
  <property fmtid="{D5CDD505-2E9C-101B-9397-08002B2CF9AE}" pid="3" name="_NewReviewCycle">
    <vt:lpwstr/>
  </property>
  <property fmtid="{D5CDD505-2E9C-101B-9397-08002B2CF9AE}" pid="4" name="_EmailSubject">
    <vt:lpwstr>Board of Taxation: state federal tax project report - for approval</vt:lpwstr>
  </property>
  <property fmtid="{D5CDD505-2E9C-101B-9397-08002B2CF9AE}" pid="5" name="_AuthorEmail">
    <vt:lpwstr>Michael.Atfield@TREASURY.GOV.AU</vt:lpwstr>
  </property>
  <property fmtid="{D5CDD505-2E9C-101B-9397-08002B2CF9AE}" pid="6" name="_AuthorEmailDisplayName">
    <vt:lpwstr>Atfield, Michael</vt:lpwstr>
  </property>
  <property fmtid="{D5CDD505-2E9C-101B-9397-08002B2CF9AE}" pid="7" name="_dlc_DocIdItemGuid">
    <vt:lpwstr>220ae365-3051-4b1b-a734-fa46dc72dc1f</vt:lpwstr>
  </property>
  <property fmtid="{D5CDD505-2E9C-101B-9397-08002B2CF9AE}" pid="8" name="ContentTypeId">
    <vt:lpwstr>0x01010036BB8DE7EC542E42A8B2E98CC20CB697007F2E04CA2AAA104DB2D93AC73B6CBA42</vt:lpwstr>
  </property>
  <property fmtid="{D5CDD505-2E9C-101B-9397-08002B2CF9AE}" pid="9" name="TSYRecordClass">
    <vt:lpwstr>18;#GRA26-21135 - Retain as national archives|f1e1d764-3604-4ca6-bc54-6b106e291d6f</vt:lpwstr>
  </property>
</Properties>
</file>