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241693" w14:textId="1ADAB2C7" w:rsidR="00DD2135" w:rsidRDefault="001A64B9" w:rsidP="00296A76">
      <w:pPr>
        <w:pStyle w:val="CoverTitleMain"/>
      </w:pPr>
      <w:r>
        <w:t>REVIEW O</w:t>
      </w:r>
      <w:bookmarkStart w:id="0" w:name="_GoBack"/>
      <w:bookmarkEnd w:id="0"/>
      <w:r>
        <w:t xml:space="preserve">F THE DEBT AND EQUITY TAX RULES – </w:t>
      </w:r>
    </w:p>
    <w:p w14:paraId="6682CFF4" w14:textId="19E2571D" w:rsidR="004E068E" w:rsidRDefault="00DD2135" w:rsidP="00296A76">
      <w:pPr>
        <w:pStyle w:val="CoverTitleMain"/>
      </w:pPr>
      <w:r>
        <w:t xml:space="preserve">THE RELATED SCHEME </w:t>
      </w:r>
      <w:r w:rsidR="001A64B9">
        <w:t>AND</w:t>
      </w:r>
      <w:r w:rsidR="00517341">
        <w:t xml:space="preserve"> </w:t>
      </w:r>
      <w:r w:rsidR="00187F11">
        <w:t>EQUITY OVERRIDE</w:t>
      </w:r>
      <w:r w:rsidR="009C51D3">
        <w:t xml:space="preserve"> </w:t>
      </w:r>
      <w:r w:rsidR="001A64B9">
        <w:t>INTEGRITY PROVISION</w:t>
      </w:r>
      <w:r w:rsidR="000C1220">
        <w:t>S</w:t>
      </w:r>
      <w:r w:rsidR="001A64B9">
        <w:t xml:space="preserve"> </w:t>
      </w:r>
    </w:p>
    <w:p w14:paraId="4370B994" w14:textId="77777777" w:rsidR="001E12D5" w:rsidRDefault="001E12D5" w:rsidP="001E12D5">
      <w:pPr>
        <w:pStyle w:val="CoverTitleSub"/>
      </w:pPr>
      <w:r>
        <w:t xml:space="preserve">A Report to the </w:t>
      </w:r>
      <w:r w:rsidR="002F67E7">
        <w:t>Government</w:t>
      </w:r>
    </w:p>
    <w:p w14:paraId="568C38DB" w14:textId="77777777" w:rsidR="004E068E" w:rsidRDefault="004E068E">
      <w:pPr>
        <w:pStyle w:val="CoverTitleSub"/>
      </w:pPr>
    </w:p>
    <w:p w14:paraId="5C6E1E72" w14:textId="77777777" w:rsidR="004E068E" w:rsidRDefault="004E068E">
      <w:pPr>
        <w:pStyle w:val="CoverTitleSub"/>
      </w:pPr>
    </w:p>
    <w:p w14:paraId="0792E30B" w14:textId="77777777" w:rsidR="004E068E" w:rsidRDefault="004E068E">
      <w:pPr>
        <w:pStyle w:val="CoverTitleSub"/>
      </w:pPr>
      <w:r>
        <w:t>Board of Taxation</w:t>
      </w:r>
    </w:p>
    <w:p w14:paraId="6212D32D" w14:textId="689C76B2" w:rsidR="00134E34" w:rsidRDefault="00290FA8">
      <w:pPr>
        <w:pStyle w:val="CoverTitleSub"/>
      </w:pPr>
      <w:r>
        <w:t>December</w:t>
      </w:r>
      <w:r w:rsidR="001A64B9">
        <w:t xml:space="preserve"> </w:t>
      </w:r>
      <w:r w:rsidR="00210B68">
        <w:t>2014</w:t>
      </w:r>
    </w:p>
    <w:p w14:paraId="073C5BAA" w14:textId="77777777" w:rsidR="004E068E" w:rsidRDefault="004E068E">
      <w:pPr>
        <w:sectPr w:rsidR="004E068E" w:rsidSect="006644FB">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851" w:footer="851" w:gutter="0"/>
          <w:cols w:space="708"/>
          <w:vAlign w:val="center"/>
          <w:titlePg/>
          <w:docGrid w:linePitch="360"/>
        </w:sectPr>
      </w:pPr>
    </w:p>
    <w:p w14:paraId="319534F7" w14:textId="77777777" w:rsidR="004E068E" w:rsidRPr="001D4124" w:rsidRDefault="004E068E" w:rsidP="004C7802">
      <w:pPr>
        <w:pStyle w:val="SingleParagraph"/>
        <w:spacing w:after="240"/>
      </w:pPr>
      <w:r w:rsidRPr="001D4124">
        <w:lastRenderedPageBreak/>
        <w:sym w:font="Symbol" w:char="F0D3"/>
      </w:r>
      <w:r>
        <w:t xml:space="preserve"> Commonwealth of Australia </w:t>
      </w:r>
      <w:r w:rsidR="00C85A68">
        <w:t>2014</w:t>
      </w:r>
    </w:p>
    <w:p w14:paraId="441DC803" w14:textId="17DE201D" w:rsidR="004E068E" w:rsidRDefault="00194753" w:rsidP="00933D43">
      <w:r>
        <w:t xml:space="preserve">ISBN </w:t>
      </w:r>
      <w:r w:rsidR="00AF6AF1" w:rsidRPr="00AF6AF1">
        <w:t xml:space="preserve">978-1-925220-28-5 </w:t>
      </w:r>
    </w:p>
    <w:p w14:paraId="458F0497" w14:textId="77777777" w:rsidR="004E068E" w:rsidRPr="007F14CF" w:rsidRDefault="004E068E" w:rsidP="00933D43">
      <w:pPr>
        <w:rPr>
          <w:b/>
        </w:rPr>
      </w:pPr>
      <w:r w:rsidRPr="007F14CF">
        <w:rPr>
          <w:b/>
        </w:rPr>
        <w:t>Ownership of intellectual property rights in this publication</w:t>
      </w:r>
    </w:p>
    <w:p w14:paraId="1AAFE51B" w14:textId="77777777" w:rsidR="004E068E" w:rsidRDefault="004E068E" w:rsidP="00933D43">
      <w:r>
        <w:t xml:space="preserve">Unless otherwise noted, copyright (and any other intellectual property rights, if any) in this publication is owned by the Commonwealth of Australia (referred to below as the Commonwealth). </w:t>
      </w:r>
    </w:p>
    <w:p w14:paraId="68F504E3" w14:textId="77777777" w:rsidR="004E068E" w:rsidRPr="007F14CF" w:rsidRDefault="004E068E" w:rsidP="00933D43">
      <w:pPr>
        <w:rPr>
          <w:b/>
        </w:rPr>
      </w:pPr>
      <w:proofErr w:type="gramStart"/>
      <w:r w:rsidRPr="007F14CF">
        <w:rPr>
          <w:b/>
        </w:rPr>
        <w:t>Creative Commons</w:t>
      </w:r>
      <w:proofErr w:type="gramEnd"/>
      <w:r w:rsidRPr="007F14CF">
        <w:rPr>
          <w:b/>
        </w:rPr>
        <w:t xml:space="preserve"> licence</w:t>
      </w:r>
    </w:p>
    <w:p w14:paraId="1AC96EA1" w14:textId="77777777" w:rsidR="004E068E" w:rsidRDefault="00B54272" w:rsidP="00BD168B">
      <w:pPr>
        <w:pStyle w:val="TableGraphic"/>
      </w:pPr>
      <w:r>
        <w:rPr>
          <w:rFonts w:cs="Calibri"/>
          <w:noProof/>
          <w:color w:val="000000"/>
          <w:sz w:val="24"/>
          <w:szCs w:val="24"/>
          <w:lang w:val="en-US" w:eastAsia="en-US"/>
        </w:rPr>
        <w:drawing>
          <wp:inline distT="0" distB="0" distL="0" distR="0" wp14:anchorId="0D761014" wp14:editId="0553854B">
            <wp:extent cx="800100" cy="285750"/>
            <wp:effectExtent l="0" t="0" r="0" b="0"/>
            <wp:docPr id="1" name="Picture 1" descr="Description: 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 by_gr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p>
    <w:p w14:paraId="3CA5DB20" w14:textId="77777777" w:rsidR="004E068E" w:rsidRDefault="004E068E" w:rsidP="00933D43">
      <w:r w:rsidRPr="005B0FA2">
        <w:t>With the exception of the Coat of Arms (see below) and all third party material as attributed in this document, this publication is licensed under a Creative Commons Attribution 3.0 Australia Licence.</w:t>
      </w:r>
    </w:p>
    <w:p w14:paraId="41D41CC9" w14:textId="77777777" w:rsidR="004E068E" w:rsidRDefault="004E068E" w:rsidP="00933D43">
      <w:r>
        <w:t xml:space="preserve">Creative Commons Attribution 3.0 Australia Licence is a standard form licence agreement that allows you to copy, distribute, transmit and adapt this publication provided that you attribute the work. A summary of the licence terms is available from http://creativecommons.org/licenses/by/3.0/au/deed.en. The full licence terms are available from http://creativecommons.org/licenses/by/3.0/au/legalcode. </w:t>
      </w:r>
    </w:p>
    <w:p w14:paraId="016133C6" w14:textId="77777777" w:rsidR="004E068E" w:rsidRDefault="004E068E" w:rsidP="00933D43">
      <w:r>
        <w:t>The Commonwealth</w:t>
      </w:r>
      <w:r w:rsidR="00F17969">
        <w:t>’</w:t>
      </w:r>
      <w:r>
        <w:t>s preference is that you attribute this publication (and any material sourced from it) using the following wording:</w:t>
      </w:r>
    </w:p>
    <w:p w14:paraId="090BE3DD" w14:textId="22977A2B" w:rsidR="004E068E" w:rsidRPr="00232C6E" w:rsidRDefault="004E068E" w:rsidP="00933D43">
      <w:pPr>
        <w:pStyle w:val="NormalIndent"/>
        <w:rPr>
          <w:i/>
          <w:sz w:val="22"/>
        </w:rPr>
      </w:pPr>
      <w:r w:rsidRPr="001A6015">
        <w:rPr>
          <w:sz w:val="22"/>
        </w:rPr>
        <w:t xml:space="preserve">Source: Board of Taxation, </w:t>
      </w:r>
      <w:r w:rsidR="009C51D3" w:rsidRPr="001A6015">
        <w:rPr>
          <w:i/>
          <w:sz w:val="22"/>
        </w:rPr>
        <w:t>Review of the Debt and Equity Tax Rules – The Related Scheme and Equity Override Integrity Provisions</w:t>
      </w:r>
      <w:r w:rsidR="009C51D3" w:rsidRPr="001A6015">
        <w:rPr>
          <w:sz w:val="22"/>
        </w:rPr>
        <w:t xml:space="preserve"> (2014). </w:t>
      </w:r>
      <w:r w:rsidRPr="001A6015">
        <w:rPr>
          <w:i/>
          <w:sz w:val="22"/>
        </w:rPr>
        <w:t xml:space="preserve"> </w:t>
      </w:r>
    </w:p>
    <w:p w14:paraId="283139DA" w14:textId="77777777" w:rsidR="004E068E" w:rsidRPr="007F14CF" w:rsidRDefault="004E068E" w:rsidP="00933D43">
      <w:pPr>
        <w:rPr>
          <w:b/>
        </w:rPr>
      </w:pPr>
      <w:r w:rsidRPr="007F14CF">
        <w:rPr>
          <w:b/>
        </w:rPr>
        <w:t>Use of the Coat of Arms</w:t>
      </w:r>
    </w:p>
    <w:p w14:paraId="038537C1" w14:textId="77777777" w:rsidR="004E068E" w:rsidRDefault="004E068E" w:rsidP="00933D43">
      <w:r>
        <w:t xml:space="preserve">The </w:t>
      </w:r>
      <w:r w:rsidRPr="00210B68">
        <w:rPr>
          <w:color w:val="auto"/>
        </w:rPr>
        <w:t>terms under which the Coat of Arms can be used are set out on the It</w:t>
      </w:r>
      <w:r w:rsidR="00F17969">
        <w:rPr>
          <w:color w:val="auto"/>
        </w:rPr>
        <w:t>’</w:t>
      </w:r>
      <w:r w:rsidRPr="00210B68">
        <w:rPr>
          <w:color w:val="auto"/>
        </w:rPr>
        <w:t xml:space="preserve">s an Honour website (see </w:t>
      </w:r>
      <w:hyperlink r:id="rId16" w:history="1">
        <w:r w:rsidRPr="00210B68">
          <w:rPr>
            <w:rStyle w:val="Hyperlink"/>
            <w:color w:val="auto"/>
            <w:u w:val="none"/>
          </w:rPr>
          <w:t>www.itsanhonour.gov.au</w:t>
        </w:r>
      </w:hyperlink>
      <w:r w:rsidR="00210B68">
        <w:t>).</w:t>
      </w:r>
    </w:p>
    <w:p w14:paraId="28B890E3" w14:textId="77777777" w:rsidR="004E068E" w:rsidRDefault="004E068E"/>
    <w:p w14:paraId="4B9B2546" w14:textId="77777777" w:rsidR="004E068E" w:rsidRDefault="004E068E">
      <w:pPr>
        <w:sectPr w:rsidR="004E068E" w:rsidSect="00CB42B3">
          <w:pgSz w:w="11906" w:h="16838" w:code="9"/>
          <w:pgMar w:top="1701" w:right="1701" w:bottom="1701" w:left="1701" w:header="851" w:footer="851" w:gutter="0"/>
          <w:cols w:space="708"/>
          <w:titlePg/>
          <w:docGrid w:linePitch="360"/>
        </w:sectPr>
      </w:pPr>
    </w:p>
    <w:p w14:paraId="19F1D798" w14:textId="77777777" w:rsidR="004E068E" w:rsidRDefault="004E068E">
      <w:pPr>
        <w:pStyle w:val="ContentsHeading"/>
      </w:pPr>
      <w:r>
        <w:lastRenderedPageBreak/>
        <w:t>Contents</w:t>
      </w:r>
    </w:p>
    <w:p w14:paraId="3835BD44" w14:textId="77777777" w:rsidR="00F9517B" w:rsidRDefault="006644FB">
      <w:pPr>
        <w:pStyle w:val="TOC1"/>
        <w:rPr>
          <w:rFonts w:asciiTheme="minorHAnsi" w:eastAsiaTheme="minorEastAsia" w:hAnsiTheme="minorHAnsi" w:cstheme="minorBidi"/>
          <w:b w:val="0"/>
          <w:smallCaps w:val="0"/>
          <w:noProof/>
          <w:color w:val="auto"/>
        </w:rPr>
      </w:pPr>
      <w:r>
        <w:fldChar w:fldCharType="begin"/>
      </w:r>
      <w:r>
        <w:instrText xml:space="preserve"> TOC \o "1-2" \t "ChapterHeading,1,Appendix Heading,1" </w:instrText>
      </w:r>
      <w:r>
        <w:fldChar w:fldCharType="separate"/>
      </w:r>
      <w:r w:rsidR="00F9517B">
        <w:rPr>
          <w:noProof/>
        </w:rPr>
        <w:t>Foreword</w:t>
      </w:r>
      <w:r w:rsidR="00F9517B">
        <w:rPr>
          <w:noProof/>
        </w:rPr>
        <w:tab/>
      </w:r>
      <w:r w:rsidR="00F9517B">
        <w:rPr>
          <w:noProof/>
        </w:rPr>
        <w:fldChar w:fldCharType="begin"/>
      </w:r>
      <w:r w:rsidR="00F9517B">
        <w:rPr>
          <w:noProof/>
        </w:rPr>
        <w:instrText xml:space="preserve"> PAGEREF _Toc406769439 \h </w:instrText>
      </w:r>
      <w:r w:rsidR="00F9517B">
        <w:rPr>
          <w:noProof/>
        </w:rPr>
      </w:r>
      <w:r w:rsidR="00F9517B">
        <w:rPr>
          <w:noProof/>
        </w:rPr>
        <w:fldChar w:fldCharType="separate"/>
      </w:r>
      <w:r w:rsidR="00F9517B">
        <w:rPr>
          <w:noProof/>
        </w:rPr>
        <w:t>iii</w:t>
      </w:r>
      <w:r w:rsidR="00F9517B">
        <w:rPr>
          <w:noProof/>
        </w:rPr>
        <w:fldChar w:fldCharType="end"/>
      </w:r>
    </w:p>
    <w:p w14:paraId="00AAA2C3" w14:textId="77777777" w:rsidR="00F9517B" w:rsidRDefault="00F9517B">
      <w:pPr>
        <w:pStyle w:val="TOC1"/>
        <w:rPr>
          <w:rFonts w:asciiTheme="minorHAnsi" w:eastAsiaTheme="minorEastAsia" w:hAnsiTheme="minorHAnsi" w:cstheme="minorBidi"/>
          <w:b w:val="0"/>
          <w:smallCaps w:val="0"/>
          <w:noProof/>
          <w:color w:val="auto"/>
        </w:rPr>
      </w:pPr>
      <w:r>
        <w:rPr>
          <w:noProof/>
        </w:rPr>
        <w:t>Glossary</w:t>
      </w:r>
      <w:r>
        <w:rPr>
          <w:noProof/>
        </w:rPr>
        <w:tab/>
      </w:r>
      <w:r>
        <w:rPr>
          <w:noProof/>
        </w:rPr>
        <w:fldChar w:fldCharType="begin"/>
      </w:r>
      <w:r>
        <w:rPr>
          <w:noProof/>
        </w:rPr>
        <w:instrText xml:space="preserve"> PAGEREF _Toc406769440 \h </w:instrText>
      </w:r>
      <w:r>
        <w:rPr>
          <w:noProof/>
        </w:rPr>
      </w:r>
      <w:r>
        <w:rPr>
          <w:noProof/>
        </w:rPr>
        <w:fldChar w:fldCharType="separate"/>
      </w:r>
      <w:r>
        <w:rPr>
          <w:noProof/>
        </w:rPr>
        <w:t>v</w:t>
      </w:r>
      <w:r>
        <w:rPr>
          <w:noProof/>
        </w:rPr>
        <w:fldChar w:fldCharType="end"/>
      </w:r>
    </w:p>
    <w:p w14:paraId="2D32CA23" w14:textId="77777777" w:rsidR="00F9517B" w:rsidRDefault="00F9517B">
      <w:pPr>
        <w:pStyle w:val="TOC1"/>
        <w:rPr>
          <w:rFonts w:asciiTheme="minorHAnsi" w:eastAsiaTheme="minorEastAsia" w:hAnsiTheme="minorHAnsi" w:cstheme="minorBidi"/>
          <w:b w:val="0"/>
          <w:smallCaps w:val="0"/>
          <w:noProof/>
          <w:color w:val="auto"/>
        </w:rPr>
      </w:pPr>
      <w:r>
        <w:rPr>
          <w:noProof/>
        </w:rPr>
        <w:t>Executive summary</w:t>
      </w:r>
      <w:r>
        <w:rPr>
          <w:noProof/>
        </w:rPr>
        <w:tab/>
      </w:r>
      <w:r>
        <w:rPr>
          <w:noProof/>
        </w:rPr>
        <w:fldChar w:fldCharType="begin"/>
      </w:r>
      <w:r>
        <w:rPr>
          <w:noProof/>
        </w:rPr>
        <w:instrText xml:space="preserve"> PAGEREF _Toc406769441 \h </w:instrText>
      </w:r>
      <w:r>
        <w:rPr>
          <w:noProof/>
        </w:rPr>
      </w:r>
      <w:r>
        <w:rPr>
          <w:noProof/>
        </w:rPr>
        <w:fldChar w:fldCharType="separate"/>
      </w:r>
      <w:r>
        <w:rPr>
          <w:noProof/>
        </w:rPr>
        <w:t>vi</w:t>
      </w:r>
      <w:r>
        <w:rPr>
          <w:noProof/>
        </w:rPr>
        <w:fldChar w:fldCharType="end"/>
      </w:r>
    </w:p>
    <w:p w14:paraId="10817C82" w14:textId="77777777" w:rsidR="00F9517B" w:rsidRDefault="00F9517B">
      <w:pPr>
        <w:pStyle w:val="TOC1"/>
        <w:rPr>
          <w:rFonts w:asciiTheme="minorHAnsi" w:eastAsiaTheme="minorEastAsia" w:hAnsiTheme="minorHAnsi" w:cstheme="minorBidi"/>
          <w:b w:val="0"/>
          <w:smallCaps w:val="0"/>
          <w:noProof/>
          <w:color w:val="auto"/>
        </w:rPr>
      </w:pPr>
      <w:r>
        <w:rPr>
          <w:noProof/>
        </w:rPr>
        <w:t>Chapter 1: Introduction</w:t>
      </w:r>
      <w:r>
        <w:rPr>
          <w:noProof/>
        </w:rPr>
        <w:tab/>
      </w:r>
      <w:r>
        <w:rPr>
          <w:noProof/>
        </w:rPr>
        <w:fldChar w:fldCharType="begin"/>
      </w:r>
      <w:r>
        <w:rPr>
          <w:noProof/>
        </w:rPr>
        <w:instrText xml:space="preserve"> PAGEREF _Toc406769442 \h </w:instrText>
      </w:r>
      <w:r>
        <w:rPr>
          <w:noProof/>
        </w:rPr>
      </w:r>
      <w:r>
        <w:rPr>
          <w:noProof/>
        </w:rPr>
        <w:fldChar w:fldCharType="separate"/>
      </w:r>
      <w:r>
        <w:rPr>
          <w:noProof/>
        </w:rPr>
        <w:t>1</w:t>
      </w:r>
      <w:r>
        <w:rPr>
          <w:noProof/>
        </w:rPr>
        <w:fldChar w:fldCharType="end"/>
      </w:r>
    </w:p>
    <w:p w14:paraId="52923365" w14:textId="77777777" w:rsidR="00F9517B" w:rsidRDefault="00F9517B">
      <w:pPr>
        <w:pStyle w:val="TOC2"/>
        <w:rPr>
          <w:rFonts w:asciiTheme="minorHAnsi" w:eastAsiaTheme="minorEastAsia" w:hAnsiTheme="minorHAnsi" w:cstheme="minorBidi"/>
          <w:noProof/>
          <w:color w:val="auto"/>
          <w:sz w:val="22"/>
          <w:szCs w:val="22"/>
        </w:rPr>
      </w:pPr>
      <w:r>
        <w:rPr>
          <w:noProof/>
        </w:rPr>
        <w:t>Background</w:t>
      </w:r>
      <w:r>
        <w:rPr>
          <w:noProof/>
        </w:rPr>
        <w:tab/>
      </w:r>
      <w:r>
        <w:rPr>
          <w:noProof/>
        </w:rPr>
        <w:fldChar w:fldCharType="begin"/>
      </w:r>
      <w:r>
        <w:rPr>
          <w:noProof/>
        </w:rPr>
        <w:instrText xml:space="preserve"> PAGEREF _Toc406769443 \h </w:instrText>
      </w:r>
      <w:r>
        <w:rPr>
          <w:noProof/>
        </w:rPr>
      </w:r>
      <w:r>
        <w:rPr>
          <w:noProof/>
        </w:rPr>
        <w:fldChar w:fldCharType="separate"/>
      </w:r>
      <w:r>
        <w:rPr>
          <w:noProof/>
        </w:rPr>
        <w:t>1</w:t>
      </w:r>
      <w:r>
        <w:rPr>
          <w:noProof/>
        </w:rPr>
        <w:fldChar w:fldCharType="end"/>
      </w:r>
    </w:p>
    <w:p w14:paraId="4DCA99AC" w14:textId="77777777" w:rsidR="00F9517B" w:rsidRDefault="00F9517B">
      <w:pPr>
        <w:pStyle w:val="TOC2"/>
        <w:rPr>
          <w:rFonts w:asciiTheme="minorHAnsi" w:eastAsiaTheme="minorEastAsia" w:hAnsiTheme="minorHAnsi" w:cstheme="minorBidi"/>
          <w:noProof/>
          <w:color w:val="auto"/>
          <w:sz w:val="22"/>
          <w:szCs w:val="22"/>
        </w:rPr>
      </w:pPr>
      <w:r>
        <w:rPr>
          <w:noProof/>
        </w:rPr>
        <w:t>Terms of reference</w:t>
      </w:r>
      <w:r>
        <w:rPr>
          <w:noProof/>
        </w:rPr>
        <w:tab/>
      </w:r>
      <w:r>
        <w:rPr>
          <w:noProof/>
        </w:rPr>
        <w:fldChar w:fldCharType="begin"/>
      </w:r>
      <w:r>
        <w:rPr>
          <w:noProof/>
        </w:rPr>
        <w:instrText xml:space="preserve"> PAGEREF _Toc406769444 \h </w:instrText>
      </w:r>
      <w:r>
        <w:rPr>
          <w:noProof/>
        </w:rPr>
      </w:r>
      <w:r>
        <w:rPr>
          <w:noProof/>
        </w:rPr>
        <w:fldChar w:fldCharType="separate"/>
      </w:r>
      <w:r>
        <w:rPr>
          <w:noProof/>
        </w:rPr>
        <w:t>1</w:t>
      </w:r>
      <w:r>
        <w:rPr>
          <w:noProof/>
        </w:rPr>
        <w:fldChar w:fldCharType="end"/>
      </w:r>
    </w:p>
    <w:p w14:paraId="707633E6" w14:textId="77777777" w:rsidR="00F9517B" w:rsidRDefault="00F9517B">
      <w:pPr>
        <w:pStyle w:val="TOC2"/>
        <w:rPr>
          <w:rFonts w:asciiTheme="minorHAnsi" w:eastAsiaTheme="minorEastAsia" w:hAnsiTheme="minorHAnsi" w:cstheme="minorBidi"/>
          <w:noProof/>
          <w:color w:val="auto"/>
          <w:sz w:val="22"/>
          <w:szCs w:val="22"/>
        </w:rPr>
      </w:pPr>
      <w:r>
        <w:rPr>
          <w:noProof/>
        </w:rPr>
        <w:t>Review processes</w:t>
      </w:r>
      <w:r>
        <w:rPr>
          <w:noProof/>
        </w:rPr>
        <w:tab/>
      </w:r>
      <w:r>
        <w:rPr>
          <w:noProof/>
        </w:rPr>
        <w:fldChar w:fldCharType="begin"/>
      </w:r>
      <w:r>
        <w:rPr>
          <w:noProof/>
        </w:rPr>
        <w:instrText xml:space="preserve"> PAGEREF _Toc406769445 \h </w:instrText>
      </w:r>
      <w:r>
        <w:rPr>
          <w:noProof/>
        </w:rPr>
      </w:r>
      <w:r>
        <w:rPr>
          <w:noProof/>
        </w:rPr>
        <w:fldChar w:fldCharType="separate"/>
      </w:r>
      <w:r>
        <w:rPr>
          <w:noProof/>
        </w:rPr>
        <w:t>2</w:t>
      </w:r>
      <w:r>
        <w:rPr>
          <w:noProof/>
        </w:rPr>
        <w:fldChar w:fldCharType="end"/>
      </w:r>
    </w:p>
    <w:p w14:paraId="01B1E549" w14:textId="77777777" w:rsidR="00F9517B" w:rsidRDefault="00F9517B">
      <w:pPr>
        <w:pStyle w:val="TOC1"/>
        <w:rPr>
          <w:rFonts w:asciiTheme="minorHAnsi" w:eastAsiaTheme="minorEastAsia" w:hAnsiTheme="minorHAnsi" w:cstheme="minorBidi"/>
          <w:b w:val="0"/>
          <w:smallCaps w:val="0"/>
          <w:noProof/>
          <w:color w:val="auto"/>
        </w:rPr>
      </w:pPr>
      <w:r>
        <w:rPr>
          <w:noProof/>
        </w:rPr>
        <w:t>Chapter 2: Overview and Reflections of the Board</w:t>
      </w:r>
      <w:r>
        <w:rPr>
          <w:noProof/>
        </w:rPr>
        <w:tab/>
      </w:r>
      <w:r>
        <w:rPr>
          <w:noProof/>
        </w:rPr>
        <w:fldChar w:fldCharType="begin"/>
      </w:r>
      <w:r>
        <w:rPr>
          <w:noProof/>
        </w:rPr>
        <w:instrText xml:space="preserve"> PAGEREF _Toc406769446 \h </w:instrText>
      </w:r>
      <w:r>
        <w:rPr>
          <w:noProof/>
        </w:rPr>
      </w:r>
      <w:r>
        <w:rPr>
          <w:noProof/>
        </w:rPr>
        <w:fldChar w:fldCharType="separate"/>
      </w:r>
      <w:r>
        <w:rPr>
          <w:noProof/>
        </w:rPr>
        <w:t>5</w:t>
      </w:r>
      <w:r>
        <w:rPr>
          <w:noProof/>
        </w:rPr>
        <w:fldChar w:fldCharType="end"/>
      </w:r>
    </w:p>
    <w:p w14:paraId="20B5D632" w14:textId="77777777" w:rsidR="00F9517B" w:rsidRDefault="00F9517B">
      <w:pPr>
        <w:pStyle w:val="TOC2"/>
        <w:rPr>
          <w:rFonts w:asciiTheme="minorHAnsi" w:eastAsiaTheme="minorEastAsia" w:hAnsiTheme="minorHAnsi" w:cstheme="minorBidi"/>
          <w:noProof/>
          <w:color w:val="auto"/>
          <w:sz w:val="22"/>
          <w:szCs w:val="22"/>
        </w:rPr>
      </w:pPr>
      <w:r>
        <w:rPr>
          <w:noProof/>
        </w:rPr>
        <w:t>Background</w:t>
      </w:r>
      <w:r>
        <w:rPr>
          <w:noProof/>
        </w:rPr>
        <w:tab/>
      </w:r>
      <w:r>
        <w:rPr>
          <w:noProof/>
        </w:rPr>
        <w:fldChar w:fldCharType="begin"/>
      </w:r>
      <w:r>
        <w:rPr>
          <w:noProof/>
        </w:rPr>
        <w:instrText xml:space="preserve"> PAGEREF _Toc406769447 \h </w:instrText>
      </w:r>
      <w:r>
        <w:rPr>
          <w:noProof/>
        </w:rPr>
      </w:r>
      <w:r>
        <w:rPr>
          <w:noProof/>
        </w:rPr>
        <w:fldChar w:fldCharType="separate"/>
      </w:r>
      <w:r>
        <w:rPr>
          <w:noProof/>
        </w:rPr>
        <w:t>5</w:t>
      </w:r>
      <w:r>
        <w:rPr>
          <w:noProof/>
        </w:rPr>
        <w:fldChar w:fldCharType="end"/>
      </w:r>
    </w:p>
    <w:p w14:paraId="7AE70A3D" w14:textId="77777777" w:rsidR="00F9517B" w:rsidRDefault="00F9517B">
      <w:pPr>
        <w:pStyle w:val="TOC2"/>
        <w:rPr>
          <w:rFonts w:asciiTheme="minorHAnsi" w:eastAsiaTheme="minorEastAsia" w:hAnsiTheme="minorHAnsi" w:cstheme="minorBidi"/>
          <w:noProof/>
          <w:color w:val="auto"/>
          <w:sz w:val="22"/>
          <w:szCs w:val="22"/>
        </w:rPr>
      </w:pPr>
      <w:r>
        <w:rPr>
          <w:noProof/>
        </w:rPr>
        <w:t>Operation and purpose of the related scheme provisions</w:t>
      </w:r>
      <w:r>
        <w:rPr>
          <w:noProof/>
        </w:rPr>
        <w:tab/>
      </w:r>
      <w:r>
        <w:rPr>
          <w:noProof/>
        </w:rPr>
        <w:fldChar w:fldCharType="begin"/>
      </w:r>
      <w:r>
        <w:rPr>
          <w:noProof/>
        </w:rPr>
        <w:instrText xml:space="preserve"> PAGEREF _Toc406769448 \h </w:instrText>
      </w:r>
      <w:r>
        <w:rPr>
          <w:noProof/>
        </w:rPr>
      </w:r>
      <w:r>
        <w:rPr>
          <w:noProof/>
        </w:rPr>
        <w:fldChar w:fldCharType="separate"/>
      </w:r>
      <w:r>
        <w:rPr>
          <w:noProof/>
        </w:rPr>
        <w:t>6</w:t>
      </w:r>
      <w:r>
        <w:rPr>
          <w:noProof/>
        </w:rPr>
        <w:fldChar w:fldCharType="end"/>
      </w:r>
    </w:p>
    <w:p w14:paraId="0C80C159" w14:textId="77777777" w:rsidR="00F9517B" w:rsidRDefault="00F9517B">
      <w:pPr>
        <w:pStyle w:val="TOC2"/>
        <w:rPr>
          <w:rFonts w:asciiTheme="minorHAnsi" w:eastAsiaTheme="minorEastAsia" w:hAnsiTheme="minorHAnsi" w:cstheme="minorBidi"/>
          <w:noProof/>
          <w:color w:val="auto"/>
          <w:sz w:val="22"/>
          <w:szCs w:val="22"/>
        </w:rPr>
      </w:pPr>
      <w:r>
        <w:rPr>
          <w:noProof/>
        </w:rPr>
        <w:t>Operation and purpose of section 974-80</w:t>
      </w:r>
      <w:r>
        <w:rPr>
          <w:noProof/>
        </w:rPr>
        <w:tab/>
      </w:r>
      <w:r>
        <w:rPr>
          <w:noProof/>
        </w:rPr>
        <w:fldChar w:fldCharType="begin"/>
      </w:r>
      <w:r>
        <w:rPr>
          <w:noProof/>
        </w:rPr>
        <w:instrText xml:space="preserve"> PAGEREF _Toc406769449 \h </w:instrText>
      </w:r>
      <w:r>
        <w:rPr>
          <w:noProof/>
        </w:rPr>
      </w:r>
      <w:r>
        <w:rPr>
          <w:noProof/>
        </w:rPr>
        <w:fldChar w:fldCharType="separate"/>
      </w:r>
      <w:r>
        <w:rPr>
          <w:noProof/>
        </w:rPr>
        <w:t>7</w:t>
      </w:r>
      <w:r>
        <w:rPr>
          <w:noProof/>
        </w:rPr>
        <w:fldChar w:fldCharType="end"/>
      </w:r>
    </w:p>
    <w:p w14:paraId="4286181F" w14:textId="77777777" w:rsidR="00F9517B" w:rsidRDefault="00F9517B">
      <w:pPr>
        <w:pStyle w:val="TOC1"/>
        <w:rPr>
          <w:rFonts w:asciiTheme="minorHAnsi" w:eastAsiaTheme="minorEastAsia" w:hAnsiTheme="minorHAnsi" w:cstheme="minorBidi"/>
          <w:b w:val="0"/>
          <w:smallCaps w:val="0"/>
          <w:noProof/>
          <w:color w:val="auto"/>
        </w:rPr>
      </w:pPr>
      <w:r>
        <w:rPr>
          <w:noProof/>
        </w:rPr>
        <w:t>Chapter 3: The Board’s proposal for a new integrated rule</w:t>
      </w:r>
      <w:r>
        <w:rPr>
          <w:noProof/>
        </w:rPr>
        <w:tab/>
      </w:r>
      <w:r>
        <w:rPr>
          <w:noProof/>
        </w:rPr>
        <w:fldChar w:fldCharType="begin"/>
      </w:r>
      <w:r>
        <w:rPr>
          <w:noProof/>
        </w:rPr>
        <w:instrText xml:space="preserve"> PAGEREF _Toc406769450 \h </w:instrText>
      </w:r>
      <w:r>
        <w:rPr>
          <w:noProof/>
        </w:rPr>
      </w:r>
      <w:r>
        <w:rPr>
          <w:noProof/>
        </w:rPr>
        <w:fldChar w:fldCharType="separate"/>
      </w:r>
      <w:r>
        <w:rPr>
          <w:noProof/>
        </w:rPr>
        <w:t>11</w:t>
      </w:r>
      <w:r>
        <w:rPr>
          <w:noProof/>
        </w:rPr>
        <w:fldChar w:fldCharType="end"/>
      </w:r>
    </w:p>
    <w:p w14:paraId="2D583E38" w14:textId="77777777" w:rsidR="00F9517B" w:rsidRDefault="00F9517B">
      <w:pPr>
        <w:pStyle w:val="TOC2"/>
        <w:rPr>
          <w:rFonts w:asciiTheme="minorHAnsi" w:eastAsiaTheme="minorEastAsia" w:hAnsiTheme="minorHAnsi" w:cstheme="minorBidi"/>
          <w:noProof/>
          <w:color w:val="auto"/>
          <w:sz w:val="22"/>
          <w:szCs w:val="22"/>
        </w:rPr>
      </w:pPr>
      <w:r>
        <w:rPr>
          <w:noProof/>
        </w:rPr>
        <w:t>Overview of the Board’s proposal</w:t>
      </w:r>
      <w:r>
        <w:rPr>
          <w:noProof/>
        </w:rPr>
        <w:tab/>
      </w:r>
      <w:r>
        <w:rPr>
          <w:noProof/>
        </w:rPr>
        <w:fldChar w:fldCharType="begin"/>
      </w:r>
      <w:r>
        <w:rPr>
          <w:noProof/>
        </w:rPr>
        <w:instrText xml:space="preserve"> PAGEREF _Toc406769451 \h </w:instrText>
      </w:r>
      <w:r>
        <w:rPr>
          <w:noProof/>
        </w:rPr>
      </w:r>
      <w:r>
        <w:rPr>
          <w:noProof/>
        </w:rPr>
        <w:fldChar w:fldCharType="separate"/>
      </w:r>
      <w:r>
        <w:rPr>
          <w:noProof/>
        </w:rPr>
        <w:t>11</w:t>
      </w:r>
      <w:r>
        <w:rPr>
          <w:noProof/>
        </w:rPr>
        <w:fldChar w:fldCharType="end"/>
      </w:r>
    </w:p>
    <w:p w14:paraId="2D57C5D5" w14:textId="77777777" w:rsidR="00F9517B" w:rsidRDefault="00F9517B">
      <w:pPr>
        <w:pStyle w:val="TOC2"/>
        <w:rPr>
          <w:rFonts w:asciiTheme="minorHAnsi" w:eastAsiaTheme="minorEastAsia" w:hAnsiTheme="minorHAnsi" w:cstheme="minorBidi"/>
          <w:noProof/>
          <w:color w:val="auto"/>
          <w:sz w:val="22"/>
          <w:szCs w:val="22"/>
        </w:rPr>
      </w:pPr>
      <w:r>
        <w:rPr>
          <w:noProof/>
        </w:rPr>
        <w:t>The proposed new principles</w:t>
      </w:r>
      <w:r>
        <w:rPr>
          <w:noProof/>
        </w:rPr>
        <w:tab/>
      </w:r>
      <w:r>
        <w:rPr>
          <w:noProof/>
        </w:rPr>
        <w:fldChar w:fldCharType="begin"/>
      </w:r>
      <w:r>
        <w:rPr>
          <w:noProof/>
        </w:rPr>
        <w:instrText xml:space="preserve"> PAGEREF _Toc406769452 \h </w:instrText>
      </w:r>
      <w:r>
        <w:rPr>
          <w:noProof/>
        </w:rPr>
      </w:r>
      <w:r>
        <w:rPr>
          <w:noProof/>
        </w:rPr>
        <w:fldChar w:fldCharType="separate"/>
      </w:r>
      <w:r>
        <w:rPr>
          <w:noProof/>
        </w:rPr>
        <w:t>13</w:t>
      </w:r>
      <w:r>
        <w:rPr>
          <w:noProof/>
        </w:rPr>
        <w:fldChar w:fldCharType="end"/>
      </w:r>
    </w:p>
    <w:p w14:paraId="1B4D4DE7" w14:textId="77777777" w:rsidR="00F9517B" w:rsidRDefault="00F9517B">
      <w:pPr>
        <w:pStyle w:val="TOC2"/>
        <w:rPr>
          <w:rFonts w:asciiTheme="minorHAnsi" w:eastAsiaTheme="minorEastAsia" w:hAnsiTheme="minorHAnsi" w:cstheme="minorBidi"/>
          <w:noProof/>
          <w:color w:val="auto"/>
          <w:sz w:val="22"/>
          <w:szCs w:val="22"/>
        </w:rPr>
      </w:pPr>
      <w:r>
        <w:rPr>
          <w:noProof/>
        </w:rPr>
        <w:t>Examples to be included in the Legislative instrument</w:t>
      </w:r>
      <w:r>
        <w:rPr>
          <w:noProof/>
        </w:rPr>
        <w:tab/>
      </w:r>
      <w:r>
        <w:rPr>
          <w:noProof/>
        </w:rPr>
        <w:fldChar w:fldCharType="begin"/>
      </w:r>
      <w:r>
        <w:rPr>
          <w:noProof/>
        </w:rPr>
        <w:instrText xml:space="preserve"> PAGEREF _Toc406769453 \h </w:instrText>
      </w:r>
      <w:r>
        <w:rPr>
          <w:noProof/>
        </w:rPr>
      </w:r>
      <w:r>
        <w:rPr>
          <w:noProof/>
        </w:rPr>
        <w:fldChar w:fldCharType="separate"/>
      </w:r>
      <w:r>
        <w:rPr>
          <w:noProof/>
        </w:rPr>
        <w:t>18</w:t>
      </w:r>
      <w:r>
        <w:rPr>
          <w:noProof/>
        </w:rPr>
        <w:fldChar w:fldCharType="end"/>
      </w:r>
    </w:p>
    <w:p w14:paraId="7FB2625E" w14:textId="77777777" w:rsidR="00F9517B" w:rsidRDefault="00F9517B">
      <w:pPr>
        <w:pStyle w:val="TOC1"/>
        <w:rPr>
          <w:rFonts w:asciiTheme="minorHAnsi" w:eastAsiaTheme="minorEastAsia" w:hAnsiTheme="minorHAnsi" w:cstheme="minorBidi"/>
          <w:b w:val="0"/>
          <w:smallCaps w:val="0"/>
          <w:noProof/>
          <w:color w:val="auto"/>
        </w:rPr>
      </w:pPr>
      <w:r>
        <w:rPr>
          <w:noProof/>
        </w:rPr>
        <w:t>Chapter 4: Alternative solutions not recommended by the Board</w:t>
      </w:r>
      <w:r>
        <w:rPr>
          <w:noProof/>
        </w:rPr>
        <w:tab/>
      </w:r>
      <w:r>
        <w:rPr>
          <w:noProof/>
        </w:rPr>
        <w:fldChar w:fldCharType="begin"/>
      </w:r>
      <w:r>
        <w:rPr>
          <w:noProof/>
        </w:rPr>
        <w:instrText xml:space="preserve"> PAGEREF _Toc406769454 \h </w:instrText>
      </w:r>
      <w:r>
        <w:rPr>
          <w:noProof/>
        </w:rPr>
      </w:r>
      <w:r>
        <w:rPr>
          <w:noProof/>
        </w:rPr>
        <w:fldChar w:fldCharType="separate"/>
      </w:r>
      <w:r>
        <w:rPr>
          <w:noProof/>
        </w:rPr>
        <w:t>41</w:t>
      </w:r>
      <w:r>
        <w:rPr>
          <w:noProof/>
        </w:rPr>
        <w:fldChar w:fldCharType="end"/>
      </w:r>
    </w:p>
    <w:p w14:paraId="7974ACFA" w14:textId="77777777" w:rsidR="00F9517B" w:rsidRDefault="00F9517B">
      <w:pPr>
        <w:pStyle w:val="TOC2"/>
        <w:rPr>
          <w:rFonts w:asciiTheme="minorHAnsi" w:eastAsiaTheme="minorEastAsia" w:hAnsiTheme="minorHAnsi" w:cstheme="minorBidi"/>
          <w:noProof/>
          <w:color w:val="auto"/>
          <w:sz w:val="22"/>
          <w:szCs w:val="22"/>
        </w:rPr>
      </w:pPr>
      <w:r>
        <w:rPr>
          <w:noProof/>
        </w:rPr>
        <w:t>Introduction</w:t>
      </w:r>
      <w:r>
        <w:rPr>
          <w:noProof/>
        </w:rPr>
        <w:tab/>
      </w:r>
      <w:r>
        <w:rPr>
          <w:noProof/>
        </w:rPr>
        <w:fldChar w:fldCharType="begin"/>
      </w:r>
      <w:r>
        <w:rPr>
          <w:noProof/>
        </w:rPr>
        <w:instrText xml:space="preserve"> PAGEREF _Toc406769455 \h </w:instrText>
      </w:r>
      <w:r>
        <w:rPr>
          <w:noProof/>
        </w:rPr>
      </w:r>
      <w:r>
        <w:rPr>
          <w:noProof/>
        </w:rPr>
        <w:fldChar w:fldCharType="separate"/>
      </w:r>
      <w:r>
        <w:rPr>
          <w:noProof/>
        </w:rPr>
        <w:t>41</w:t>
      </w:r>
      <w:r>
        <w:rPr>
          <w:noProof/>
        </w:rPr>
        <w:fldChar w:fldCharType="end"/>
      </w:r>
    </w:p>
    <w:p w14:paraId="0C1CE431" w14:textId="77777777" w:rsidR="00F9517B" w:rsidRDefault="00F9517B">
      <w:pPr>
        <w:pStyle w:val="TOC1"/>
        <w:rPr>
          <w:rFonts w:asciiTheme="minorHAnsi" w:eastAsiaTheme="minorEastAsia" w:hAnsiTheme="minorHAnsi" w:cstheme="minorBidi"/>
          <w:b w:val="0"/>
          <w:smallCaps w:val="0"/>
          <w:noProof/>
          <w:color w:val="auto"/>
        </w:rPr>
      </w:pPr>
      <w:r>
        <w:rPr>
          <w:noProof/>
        </w:rPr>
        <w:t>Appendix A: List of public submissions</w:t>
      </w:r>
      <w:r>
        <w:rPr>
          <w:noProof/>
        </w:rPr>
        <w:tab/>
      </w:r>
      <w:r>
        <w:rPr>
          <w:noProof/>
        </w:rPr>
        <w:fldChar w:fldCharType="begin"/>
      </w:r>
      <w:r>
        <w:rPr>
          <w:noProof/>
        </w:rPr>
        <w:instrText xml:space="preserve"> PAGEREF _Toc406769456 \h </w:instrText>
      </w:r>
      <w:r>
        <w:rPr>
          <w:noProof/>
        </w:rPr>
      </w:r>
      <w:r>
        <w:rPr>
          <w:noProof/>
        </w:rPr>
        <w:fldChar w:fldCharType="separate"/>
      </w:r>
      <w:r>
        <w:rPr>
          <w:noProof/>
        </w:rPr>
        <w:t>47</w:t>
      </w:r>
      <w:r>
        <w:rPr>
          <w:noProof/>
        </w:rPr>
        <w:fldChar w:fldCharType="end"/>
      </w:r>
    </w:p>
    <w:p w14:paraId="16D51355" w14:textId="0DCDE513" w:rsidR="004E068E" w:rsidRDefault="006644FB">
      <w:r>
        <w:rPr>
          <w:rFonts w:ascii="Arial Bold" w:hAnsi="Arial Bold"/>
          <w:color w:val="000080"/>
        </w:rPr>
        <w:fldChar w:fldCharType="end"/>
      </w:r>
    </w:p>
    <w:p w14:paraId="07536E36" w14:textId="77777777" w:rsidR="004E068E" w:rsidRDefault="004E068E">
      <w:pPr>
        <w:sectPr w:rsidR="004E068E" w:rsidSect="00F9517B">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1701" w:right="1701" w:bottom="1701" w:left="1701" w:header="851" w:footer="851" w:gutter="0"/>
          <w:pgNumType w:fmt="lowerRoman" w:start="1"/>
          <w:cols w:space="708"/>
          <w:titlePg/>
          <w:docGrid w:linePitch="360"/>
        </w:sectPr>
      </w:pPr>
    </w:p>
    <w:p w14:paraId="26B7C84A" w14:textId="77777777" w:rsidR="004E068E" w:rsidRDefault="004E068E" w:rsidP="00664AC1">
      <w:pPr>
        <w:pStyle w:val="Heading1"/>
      </w:pPr>
      <w:bookmarkStart w:id="1" w:name="_Toc291777393"/>
      <w:bookmarkStart w:id="2" w:name="_Toc394560485"/>
      <w:bookmarkStart w:id="3" w:name="_Toc394585083"/>
      <w:bookmarkStart w:id="4" w:name="_Toc395714426"/>
      <w:bookmarkStart w:id="5" w:name="_Toc397009264"/>
      <w:bookmarkStart w:id="6" w:name="_Toc397092154"/>
      <w:bookmarkStart w:id="7" w:name="_Toc406769439"/>
      <w:r>
        <w:lastRenderedPageBreak/>
        <w:t>Foreword</w:t>
      </w:r>
      <w:bookmarkEnd w:id="1"/>
      <w:bookmarkEnd w:id="2"/>
      <w:bookmarkEnd w:id="3"/>
      <w:bookmarkEnd w:id="4"/>
      <w:bookmarkEnd w:id="5"/>
      <w:bookmarkEnd w:id="6"/>
      <w:bookmarkEnd w:id="7"/>
    </w:p>
    <w:p w14:paraId="738B7AF9" w14:textId="71DA9A2C" w:rsidR="001A64B9" w:rsidRDefault="001A64B9" w:rsidP="00296A76">
      <w:r>
        <w:t>The Board of Taxation is pleased to submit this accelerated report to the Acting</w:t>
      </w:r>
      <w:r w:rsidR="00F23A7E">
        <w:t> </w:t>
      </w:r>
      <w:r>
        <w:t xml:space="preserve">Assistant Treasurer </w:t>
      </w:r>
      <w:r w:rsidR="00CB220C">
        <w:t>having</w:t>
      </w:r>
      <w:r w:rsidR="00FC7EE9">
        <w:t xml:space="preserve"> complet</w:t>
      </w:r>
      <w:r w:rsidR="00CB220C">
        <w:t>ed</w:t>
      </w:r>
      <w:r>
        <w:t xml:space="preserve"> a component of the review of</w:t>
      </w:r>
      <w:r w:rsidR="00821B1B">
        <w:t xml:space="preserve"> the debt and equity tax rules.</w:t>
      </w:r>
    </w:p>
    <w:p w14:paraId="48F99639" w14:textId="0ECD5394" w:rsidR="001A64B9" w:rsidRDefault="001A64B9" w:rsidP="00210B68">
      <w:r>
        <w:t xml:space="preserve">The Board established a Working Group of its members to oversee the review. The members of the Working Group are Teresa Dyson (Chair of the Working Group) and John Emerson. The Board issued a discussion paper, </w:t>
      </w:r>
      <w:r w:rsidR="00CB220C">
        <w:t xml:space="preserve">and </w:t>
      </w:r>
      <w:r>
        <w:t>held discussions and targeted consultation meetings with a range of stakeholders, both before and after the release of the discussion</w:t>
      </w:r>
      <w:r w:rsidR="00535722">
        <w:t xml:space="preserve"> paper</w:t>
      </w:r>
      <w:r w:rsidR="00CB220C">
        <w:t>.</w:t>
      </w:r>
      <w:r>
        <w:t xml:space="preserve"> </w:t>
      </w:r>
      <w:r w:rsidR="00CB220C">
        <w:t>It</w:t>
      </w:r>
      <w:r>
        <w:t xml:space="preserve"> received </w:t>
      </w:r>
      <w:r w:rsidR="004928E0">
        <w:t>11</w:t>
      </w:r>
      <w:r>
        <w:t xml:space="preserve"> submissions, one of which was confidential. The Board would like to thank all those who so readily contributed information and time to assist </w:t>
      </w:r>
      <w:r w:rsidR="00CB220C">
        <w:t xml:space="preserve">with </w:t>
      </w:r>
      <w:r>
        <w:t>the review.</w:t>
      </w:r>
    </w:p>
    <w:p w14:paraId="2A04D49C" w14:textId="05A7C4FD" w:rsidR="001A64B9" w:rsidRDefault="001A64B9" w:rsidP="00210B68">
      <w:r>
        <w:t xml:space="preserve">The Board would also like to express its appreciation for the assistance </w:t>
      </w:r>
      <w:r w:rsidR="00CB220C">
        <w:t xml:space="preserve">of </w:t>
      </w:r>
      <w:r>
        <w:t>Patrick</w:t>
      </w:r>
      <w:r w:rsidR="00ED0171">
        <w:t> </w:t>
      </w:r>
      <w:proofErr w:type="spellStart"/>
      <w:r>
        <w:t>Broughan</w:t>
      </w:r>
      <w:proofErr w:type="spellEnd"/>
      <w:r>
        <w:t xml:space="preserve">, John Condon, Larry </w:t>
      </w:r>
      <w:proofErr w:type="spellStart"/>
      <w:r>
        <w:t>Magid</w:t>
      </w:r>
      <w:proofErr w:type="spellEnd"/>
      <w:r>
        <w:t>, Hayden</w:t>
      </w:r>
      <w:r w:rsidR="00F23A7E">
        <w:t> </w:t>
      </w:r>
      <w:r>
        <w:t>Scott</w:t>
      </w:r>
      <w:r w:rsidR="000C1220">
        <w:t>,</w:t>
      </w:r>
      <w:r>
        <w:t xml:space="preserve"> Jeff</w:t>
      </w:r>
      <w:r w:rsidR="00F23A7E">
        <w:t> </w:t>
      </w:r>
      <w:r>
        <w:t>Shaw</w:t>
      </w:r>
      <w:r w:rsidR="000C1220">
        <w:t xml:space="preserve">, Steve Ford and Manuel </w:t>
      </w:r>
      <w:proofErr w:type="spellStart"/>
      <w:r w:rsidR="000C1220">
        <w:t>Makas</w:t>
      </w:r>
      <w:proofErr w:type="spellEnd"/>
      <w:r>
        <w:t xml:space="preserve"> as members of the </w:t>
      </w:r>
      <w:r w:rsidR="00CB220C">
        <w:t>e</w:t>
      </w:r>
      <w:r>
        <w:t xml:space="preserve">xpert </w:t>
      </w:r>
      <w:r w:rsidR="00CB220C">
        <w:t>p</w:t>
      </w:r>
      <w:r>
        <w:t>anel</w:t>
      </w:r>
      <w:r w:rsidR="00CB220C">
        <w:t>;</w:t>
      </w:r>
      <w:r>
        <w:t xml:space="preserve"> Frank</w:t>
      </w:r>
      <w:r w:rsidR="00F23A7E">
        <w:t> </w:t>
      </w:r>
      <w:proofErr w:type="spellStart"/>
      <w:r>
        <w:t>O’Loughlin</w:t>
      </w:r>
      <w:proofErr w:type="spellEnd"/>
      <w:r>
        <w:t xml:space="preserve"> and John Smith as consultants engaged by the Working Group</w:t>
      </w:r>
      <w:r w:rsidR="00CB220C">
        <w:t>;</w:t>
      </w:r>
      <w:r>
        <w:t xml:space="preserve"> and by officials from the Treasury and the Australian Taxation Office.</w:t>
      </w:r>
    </w:p>
    <w:p w14:paraId="165D3E97" w14:textId="3D2F7953" w:rsidR="001A64B9" w:rsidRPr="00ED0171" w:rsidRDefault="001A64B9" w:rsidP="00ED0171">
      <w:pPr>
        <w:spacing w:after="0"/>
      </w:pPr>
      <w:r w:rsidRPr="00ED0171">
        <w:t xml:space="preserve">The ex officio members of the Board – the </w:t>
      </w:r>
      <w:r w:rsidR="00F8554B">
        <w:t xml:space="preserve">Acting </w:t>
      </w:r>
      <w:r w:rsidRPr="00ED0171">
        <w:t xml:space="preserve">Secretary to the Treasury, </w:t>
      </w:r>
      <w:r w:rsidR="00F8554B">
        <w:t>Nigel Ray</w:t>
      </w:r>
      <w:r w:rsidR="009B1BFA" w:rsidRPr="00ED0171">
        <w:t>;</w:t>
      </w:r>
      <w:r w:rsidRPr="00ED0171">
        <w:t xml:space="preserve"> the Commissioner of Taxation, Chris Jordan AO</w:t>
      </w:r>
      <w:r w:rsidR="009B1BFA" w:rsidRPr="00ED0171">
        <w:t>;</w:t>
      </w:r>
      <w:r w:rsidRPr="00ED0171">
        <w:t xml:space="preserve"> and the First</w:t>
      </w:r>
      <w:r w:rsidR="00ED0171">
        <w:t> </w:t>
      </w:r>
      <w:r w:rsidRPr="00ED0171">
        <w:t xml:space="preserve">Parliamentary Counsel, Peter </w:t>
      </w:r>
      <w:proofErr w:type="spellStart"/>
      <w:r w:rsidRPr="00ED0171">
        <w:t>Quiggin</w:t>
      </w:r>
      <w:proofErr w:type="spellEnd"/>
      <w:r w:rsidRPr="00ED0171">
        <w:t xml:space="preserve"> PSM – have reserved their final views on the observations and recommendation</w:t>
      </w:r>
      <w:r w:rsidR="009B1BFA" w:rsidRPr="00ED0171">
        <w:t>s</w:t>
      </w:r>
      <w:r w:rsidRPr="00ED0171">
        <w:t xml:space="preserve"> in this report for advice to Government.</w:t>
      </w:r>
    </w:p>
    <w:p w14:paraId="013D1071" w14:textId="66740117" w:rsidR="00ED0171" w:rsidRPr="001A64B9" w:rsidRDefault="00ED0171" w:rsidP="00ED0171">
      <w:pPr>
        <w:pStyle w:val="Graphic"/>
      </w:pPr>
    </w:p>
    <w:p w14:paraId="5D34C29E" w14:textId="0B5AC05A" w:rsidR="00352DAC" w:rsidRDefault="00793B7B" w:rsidP="0049188B">
      <w:r>
        <w:rPr>
          <w:noProof/>
        </w:rPr>
        <w:pict w14:anchorId="0E8C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05pt;margin-top:4.05pt;width:145.5pt;height:54.75pt;z-index:251659264;mso-position-horizontal-relative:text;mso-position-vertical-relative:text;mso-width-relative:page;mso-height-relative:page">
            <v:imagedata r:id="rId23" o:title=""/>
            <w10:wrap type="square"/>
          </v:shape>
          <o:OLEObject Type="Embed" ProgID="PBrush" ShapeID="_x0000_s1028" DrawAspect="Content" ObjectID="_1489404777" r:id="rId24"/>
        </w:pict>
      </w:r>
    </w:p>
    <w:p w14:paraId="5D6B9AA2" w14:textId="4DE8D909" w:rsidR="00ED0171" w:rsidRDefault="00ED0171" w:rsidP="0049188B"/>
    <w:p w14:paraId="025BC45B" w14:textId="77777777" w:rsidR="00ED0171" w:rsidRDefault="00ED0171" w:rsidP="00210B68">
      <w:pPr>
        <w:pStyle w:val="SingleParagraph"/>
        <w:tabs>
          <w:tab w:val="left" w:pos="4536"/>
        </w:tabs>
      </w:pPr>
    </w:p>
    <w:p w14:paraId="4C1B1C5C" w14:textId="160AF944" w:rsidR="004E068E" w:rsidRPr="00815830" w:rsidRDefault="001617C5" w:rsidP="00210B68">
      <w:pPr>
        <w:pStyle w:val="SingleParagraph"/>
        <w:tabs>
          <w:tab w:val="left" w:pos="4536"/>
        </w:tabs>
      </w:pPr>
      <w:r>
        <w:t>Teresa Dyson</w:t>
      </w:r>
      <w:r w:rsidR="004E068E" w:rsidRPr="00815830">
        <w:tab/>
      </w:r>
      <w:r w:rsidR="001E12D5">
        <w:t xml:space="preserve"> </w:t>
      </w:r>
    </w:p>
    <w:p w14:paraId="471BE404" w14:textId="6FF98479" w:rsidR="004E068E" w:rsidRDefault="004E068E" w:rsidP="00210B68">
      <w:pPr>
        <w:pStyle w:val="SingleParagraph"/>
        <w:tabs>
          <w:tab w:val="left" w:pos="4536"/>
        </w:tabs>
      </w:pPr>
      <w:r w:rsidRPr="00815830">
        <w:t>Chair, Board of Taxation</w:t>
      </w:r>
      <w:r w:rsidRPr="00815830">
        <w:tab/>
      </w:r>
    </w:p>
    <w:p w14:paraId="14074B31" w14:textId="77777777" w:rsidR="004D455A" w:rsidRDefault="004E068E" w:rsidP="00210B68">
      <w:pPr>
        <w:pStyle w:val="SingleParagraph"/>
        <w:tabs>
          <w:tab w:val="left" w:pos="4536"/>
        </w:tabs>
      </w:pPr>
      <w:r>
        <w:tab/>
      </w:r>
    </w:p>
    <w:p w14:paraId="76DC5331" w14:textId="77777777" w:rsidR="00825554" w:rsidRDefault="00825554" w:rsidP="00210B68">
      <w:pPr>
        <w:pStyle w:val="SingleParagraph"/>
        <w:tabs>
          <w:tab w:val="left" w:pos="4536"/>
        </w:tabs>
      </w:pPr>
    </w:p>
    <w:p w14:paraId="7D706812" w14:textId="77777777" w:rsidR="004D455A" w:rsidRDefault="004D455A" w:rsidP="00296A76">
      <w:pPr>
        <w:pStyle w:val="SingleParagraph"/>
        <w:tabs>
          <w:tab w:val="left" w:pos="3969"/>
        </w:tabs>
        <w:sectPr w:rsidR="004D455A" w:rsidSect="000E1936">
          <w:headerReference w:type="even" r:id="rId25"/>
          <w:headerReference w:type="default" r:id="rId26"/>
          <w:headerReference w:type="first" r:id="rId27"/>
          <w:footerReference w:type="first" r:id="rId28"/>
          <w:type w:val="oddPage"/>
          <w:pgSz w:w="11909" w:h="16834" w:code="9"/>
          <w:pgMar w:top="1701" w:right="1701" w:bottom="1701" w:left="1701" w:header="851" w:footer="851" w:gutter="0"/>
          <w:pgNumType w:fmt="lowerRoman"/>
          <w:cols w:space="708"/>
          <w:titlePg/>
          <w:docGrid w:linePitch="360"/>
        </w:sectPr>
      </w:pPr>
    </w:p>
    <w:p w14:paraId="5C5582AF" w14:textId="77777777" w:rsidR="004E068E" w:rsidRPr="00C420DA" w:rsidRDefault="00443DD4" w:rsidP="00C420DA">
      <w:pPr>
        <w:pStyle w:val="Heading1"/>
      </w:pPr>
      <w:bookmarkStart w:id="8" w:name="_Toc395714427"/>
      <w:bookmarkStart w:id="9" w:name="_Toc397009265"/>
      <w:bookmarkStart w:id="10" w:name="_Toc397092155"/>
      <w:bookmarkStart w:id="11" w:name="_Toc406769440"/>
      <w:r w:rsidRPr="00C420DA">
        <w:lastRenderedPageBreak/>
        <w:t>Glossary</w:t>
      </w:r>
      <w:bookmarkEnd w:id="8"/>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47"/>
      </w:tblGrid>
      <w:tr w:rsidR="00526118" w14:paraId="4A36B0B2" w14:textId="77777777" w:rsidTr="00032850">
        <w:tc>
          <w:tcPr>
            <w:tcW w:w="2376" w:type="dxa"/>
            <w:shd w:val="clear" w:color="auto" w:fill="auto"/>
          </w:tcPr>
          <w:p w14:paraId="57834F10" w14:textId="77777777" w:rsidR="00526118" w:rsidRDefault="001A64B9" w:rsidP="00032850">
            <w:pPr>
              <w:jc w:val="left"/>
            </w:pPr>
            <w:bookmarkStart w:id="12" w:name="_Toc291777394"/>
            <w:bookmarkStart w:id="13" w:name="_Toc394560486"/>
            <w:bookmarkStart w:id="14" w:name="_Toc394585084"/>
            <w:r>
              <w:t>ABA</w:t>
            </w:r>
          </w:p>
        </w:tc>
        <w:tc>
          <w:tcPr>
            <w:tcW w:w="6347" w:type="dxa"/>
            <w:shd w:val="clear" w:color="auto" w:fill="auto"/>
          </w:tcPr>
          <w:p w14:paraId="637CEA55" w14:textId="77777777" w:rsidR="00526118" w:rsidRDefault="001A64B9" w:rsidP="00032850">
            <w:pPr>
              <w:jc w:val="left"/>
            </w:pPr>
            <w:r>
              <w:t>Australian Bankers Association</w:t>
            </w:r>
          </w:p>
        </w:tc>
      </w:tr>
      <w:tr w:rsidR="00FD69D8" w14:paraId="0F9A3815" w14:textId="77777777" w:rsidTr="00032850">
        <w:tc>
          <w:tcPr>
            <w:tcW w:w="2376" w:type="dxa"/>
            <w:shd w:val="clear" w:color="auto" w:fill="auto"/>
          </w:tcPr>
          <w:p w14:paraId="2F257322" w14:textId="77777777" w:rsidR="00FD69D8" w:rsidRDefault="00FD69D8" w:rsidP="00032850">
            <w:pPr>
              <w:jc w:val="left"/>
            </w:pPr>
            <w:r>
              <w:t>ASX</w:t>
            </w:r>
          </w:p>
        </w:tc>
        <w:tc>
          <w:tcPr>
            <w:tcW w:w="6347" w:type="dxa"/>
            <w:shd w:val="clear" w:color="auto" w:fill="auto"/>
          </w:tcPr>
          <w:p w14:paraId="4ABEAA5B" w14:textId="6F680AFD" w:rsidR="00FD69D8" w:rsidRDefault="00FD69D8" w:rsidP="00032850">
            <w:pPr>
              <w:jc w:val="left"/>
            </w:pPr>
            <w:r>
              <w:t>Australian S</w:t>
            </w:r>
            <w:r w:rsidR="009B1BFA">
              <w:t>ecurities</w:t>
            </w:r>
            <w:r>
              <w:t xml:space="preserve"> Exchange </w:t>
            </w:r>
          </w:p>
        </w:tc>
      </w:tr>
      <w:tr w:rsidR="00B063DF" w14:paraId="18C5A3A5" w14:textId="77777777" w:rsidTr="00032850">
        <w:tc>
          <w:tcPr>
            <w:tcW w:w="2376" w:type="dxa"/>
            <w:shd w:val="clear" w:color="auto" w:fill="auto"/>
          </w:tcPr>
          <w:p w14:paraId="2A663AFF" w14:textId="77777777" w:rsidR="00B063DF" w:rsidRDefault="001A64B9" w:rsidP="00032850">
            <w:pPr>
              <w:jc w:val="left"/>
            </w:pPr>
            <w:r>
              <w:t>ATO</w:t>
            </w:r>
          </w:p>
        </w:tc>
        <w:tc>
          <w:tcPr>
            <w:tcW w:w="6347" w:type="dxa"/>
            <w:shd w:val="clear" w:color="auto" w:fill="auto"/>
          </w:tcPr>
          <w:p w14:paraId="2EF21969" w14:textId="77777777" w:rsidR="00B063DF" w:rsidRDefault="001A64B9" w:rsidP="00032850">
            <w:pPr>
              <w:jc w:val="left"/>
            </w:pPr>
            <w:r>
              <w:t>Australian Taxation Office</w:t>
            </w:r>
          </w:p>
        </w:tc>
      </w:tr>
      <w:tr w:rsidR="00094BAA" w14:paraId="3A1BBEBA" w14:textId="77777777" w:rsidTr="00032850">
        <w:tc>
          <w:tcPr>
            <w:tcW w:w="2376" w:type="dxa"/>
            <w:shd w:val="clear" w:color="auto" w:fill="auto"/>
          </w:tcPr>
          <w:p w14:paraId="7123A3E4" w14:textId="77777777" w:rsidR="00094BAA" w:rsidRDefault="001A64B9" w:rsidP="00032850">
            <w:pPr>
              <w:jc w:val="left"/>
            </w:pPr>
            <w:r>
              <w:t>Commissioner</w:t>
            </w:r>
          </w:p>
        </w:tc>
        <w:tc>
          <w:tcPr>
            <w:tcW w:w="6347" w:type="dxa"/>
            <w:shd w:val="clear" w:color="auto" w:fill="auto"/>
          </w:tcPr>
          <w:p w14:paraId="7F534F72" w14:textId="77777777" w:rsidR="00094BAA" w:rsidRDefault="001A64B9" w:rsidP="00032850">
            <w:pPr>
              <w:jc w:val="left"/>
            </w:pPr>
            <w:r>
              <w:t>Commissioner of Taxation</w:t>
            </w:r>
          </w:p>
        </w:tc>
      </w:tr>
      <w:tr w:rsidR="009B1BFA" w14:paraId="73315EE8" w14:textId="77777777" w:rsidTr="00032850">
        <w:tc>
          <w:tcPr>
            <w:tcW w:w="2376" w:type="dxa"/>
            <w:shd w:val="clear" w:color="auto" w:fill="auto"/>
          </w:tcPr>
          <w:p w14:paraId="64B0C1B4" w14:textId="4812DCFF" w:rsidR="009B1BFA" w:rsidRDefault="009B1BFA" w:rsidP="00032850">
            <w:pPr>
              <w:jc w:val="left"/>
            </w:pPr>
            <w:r>
              <w:t>ENCO</w:t>
            </w:r>
          </w:p>
        </w:tc>
        <w:tc>
          <w:tcPr>
            <w:tcW w:w="6347" w:type="dxa"/>
            <w:shd w:val="clear" w:color="auto" w:fill="auto"/>
          </w:tcPr>
          <w:p w14:paraId="6C0411F2" w14:textId="746BD575" w:rsidR="009B1BFA" w:rsidRPr="009707BF" w:rsidRDefault="009B1BFA" w:rsidP="00032850">
            <w:pPr>
              <w:jc w:val="left"/>
            </w:pPr>
            <w:r>
              <w:t>effectively non-contingent obligation</w:t>
            </w:r>
          </w:p>
        </w:tc>
      </w:tr>
      <w:tr w:rsidR="009B1BFA" w14:paraId="73E3A75F" w14:textId="77777777" w:rsidTr="00032850">
        <w:tc>
          <w:tcPr>
            <w:tcW w:w="2376" w:type="dxa"/>
            <w:shd w:val="clear" w:color="auto" w:fill="auto"/>
          </w:tcPr>
          <w:p w14:paraId="08BC7352" w14:textId="7F98D594" w:rsidR="009B1BFA" w:rsidRDefault="009B1BFA" w:rsidP="00032850">
            <w:pPr>
              <w:jc w:val="left"/>
              <w:rPr>
                <w:color w:val="auto"/>
              </w:rPr>
            </w:pPr>
            <w:r>
              <w:rPr>
                <w:color w:val="auto"/>
              </w:rPr>
              <w:t>Explanatory Memorandum</w:t>
            </w:r>
          </w:p>
        </w:tc>
        <w:tc>
          <w:tcPr>
            <w:tcW w:w="6347" w:type="dxa"/>
            <w:shd w:val="clear" w:color="auto" w:fill="auto"/>
          </w:tcPr>
          <w:p w14:paraId="40A0CCF5" w14:textId="25468887" w:rsidR="009B1BFA" w:rsidRPr="009707BF" w:rsidRDefault="009B1BFA" w:rsidP="00032850">
            <w:pPr>
              <w:jc w:val="left"/>
              <w:rPr>
                <w:color w:val="auto"/>
              </w:rPr>
            </w:pPr>
            <w:r>
              <w:rPr>
                <w:color w:val="auto"/>
              </w:rPr>
              <w:t>Explanatory Memorandum to the New Business Tax System (Debt and Equity) Bill 2001</w:t>
            </w:r>
          </w:p>
        </w:tc>
      </w:tr>
      <w:tr w:rsidR="009B1BFA" w14:paraId="0982CE04" w14:textId="77777777" w:rsidTr="00032850">
        <w:tc>
          <w:tcPr>
            <w:tcW w:w="2376" w:type="dxa"/>
            <w:shd w:val="clear" w:color="auto" w:fill="auto"/>
          </w:tcPr>
          <w:p w14:paraId="794B3EE5" w14:textId="326BA665" w:rsidR="009B1BFA" w:rsidRDefault="009B1BFA" w:rsidP="00032850">
            <w:pPr>
              <w:jc w:val="left"/>
              <w:rPr>
                <w:color w:val="auto"/>
              </w:rPr>
            </w:pPr>
            <w:r>
              <w:t>ITAA 1936</w:t>
            </w:r>
          </w:p>
        </w:tc>
        <w:tc>
          <w:tcPr>
            <w:tcW w:w="6347" w:type="dxa"/>
            <w:shd w:val="clear" w:color="auto" w:fill="auto"/>
          </w:tcPr>
          <w:p w14:paraId="56B8C5A2" w14:textId="2A6BDBF6" w:rsidR="009B1BFA" w:rsidRDefault="009B1BFA" w:rsidP="00032850">
            <w:pPr>
              <w:jc w:val="left"/>
              <w:rPr>
                <w:i/>
                <w:color w:val="auto"/>
              </w:rPr>
            </w:pPr>
            <w:r>
              <w:rPr>
                <w:i/>
              </w:rPr>
              <w:t>Income Tax Assessment Act 1936</w:t>
            </w:r>
          </w:p>
        </w:tc>
      </w:tr>
      <w:tr w:rsidR="00094BAA" w14:paraId="5F532E31" w14:textId="77777777" w:rsidTr="00032850">
        <w:tc>
          <w:tcPr>
            <w:tcW w:w="2376" w:type="dxa"/>
            <w:shd w:val="clear" w:color="auto" w:fill="auto"/>
          </w:tcPr>
          <w:p w14:paraId="09D7ED30" w14:textId="77777777" w:rsidR="00094BAA" w:rsidRDefault="001A64B9" w:rsidP="00032850">
            <w:pPr>
              <w:jc w:val="left"/>
              <w:rPr>
                <w:color w:val="auto"/>
              </w:rPr>
            </w:pPr>
            <w:r>
              <w:rPr>
                <w:color w:val="auto"/>
              </w:rPr>
              <w:t>ITAA 1997</w:t>
            </w:r>
          </w:p>
        </w:tc>
        <w:tc>
          <w:tcPr>
            <w:tcW w:w="6347" w:type="dxa"/>
            <w:shd w:val="clear" w:color="auto" w:fill="auto"/>
          </w:tcPr>
          <w:p w14:paraId="3BB30EFF" w14:textId="77777777" w:rsidR="00094BAA" w:rsidRPr="001A64B9" w:rsidRDefault="001A64B9" w:rsidP="00032850">
            <w:pPr>
              <w:jc w:val="left"/>
              <w:rPr>
                <w:i/>
                <w:color w:val="auto"/>
              </w:rPr>
            </w:pPr>
            <w:r>
              <w:rPr>
                <w:i/>
                <w:color w:val="auto"/>
              </w:rPr>
              <w:t>Income Tax Assessment Act 1997</w:t>
            </w:r>
          </w:p>
        </w:tc>
      </w:tr>
      <w:tr w:rsidR="00497C0F" w14:paraId="6B1E90DE" w14:textId="77777777" w:rsidTr="00032850">
        <w:tc>
          <w:tcPr>
            <w:tcW w:w="2376" w:type="dxa"/>
            <w:shd w:val="clear" w:color="auto" w:fill="auto"/>
          </w:tcPr>
          <w:p w14:paraId="151FFAAD" w14:textId="77777777" w:rsidR="00497C0F" w:rsidRDefault="00354407" w:rsidP="00032850">
            <w:pPr>
              <w:jc w:val="left"/>
            </w:pPr>
            <w:r>
              <w:t>NTLG</w:t>
            </w:r>
          </w:p>
        </w:tc>
        <w:tc>
          <w:tcPr>
            <w:tcW w:w="6347" w:type="dxa"/>
            <w:shd w:val="clear" w:color="auto" w:fill="auto"/>
          </w:tcPr>
          <w:p w14:paraId="06E06F68" w14:textId="057A7AA8" w:rsidR="00497C0F" w:rsidRDefault="00354407" w:rsidP="00032850">
            <w:pPr>
              <w:jc w:val="left"/>
            </w:pPr>
            <w:r>
              <w:t>National Tax Liaison Group</w:t>
            </w:r>
          </w:p>
        </w:tc>
      </w:tr>
      <w:tr w:rsidR="00C539C7" w14:paraId="31BE837B" w14:textId="77777777" w:rsidTr="00032850">
        <w:tc>
          <w:tcPr>
            <w:tcW w:w="2376" w:type="dxa"/>
            <w:shd w:val="clear" w:color="auto" w:fill="auto"/>
          </w:tcPr>
          <w:p w14:paraId="684E0010" w14:textId="6C1CA325" w:rsidR="00C539C7" w:rsidRDefault="00C539C7" w:rsidP="00032850">
            <w:pPr>
              <w:jc w:val="left"/>
            </w:pPr>
            <w:r>
              <w:t>Related scheme provisions</w:t>
            </w:r>
          </w:p>
        </w:tc>
        <w:tc>
          <w:tcPr>
            <w:tcW w:w="6347" w:type="dxa"/>
            <w:shd w:val="clear" w:color="auto" w:fill="auto"/>
          </w:tcPr>
          <w:p w14:paraId="136556C5" w14:textId="1B51C95D" w:rsidR="00C539C7" w:rsidRDefault="00C539C7" w:rsidP="00032850">
            <w:pPr>
              <w:jc w:val="left"/>
            </w:pPr>
            <w:r>
              <w:t>section 974-15 and section 974-70 of the</w:t>
            </w:r>
            <w:r w:rsidR="00032850">
              <w:br/>
            </w:r>
            <w:r>
              <w:rPr>
                <w:i/>
                <w:color w:val="auto"/>
              </w:rPr>
              <w:t>Income Tax Assessment Act 1997</w:t>
            </w:r>
          </w:p>
        </w:tc>
      </w:tr>
      <w:tr w:rsidR="003A4A8A" w14:paraId="44F03A12" w14:textId="77777777" w:rsidTr="00032850">
        <w:tc>
          <w:tcPr>
            <w:tcW w:w="2376" w:type="dxa"/>
            <w:shd w:val="clear" w:color="auto" w:fill="auto"/>
          </w:tcPr>
          <w:p w14:paraId="0EA8754F" w14:textId="4DC21A7E" w:rsidR="003A4A8A" w:rsidRDefault="00D8401F" w:rsidP="00032850">
            <w:pPr>
              <w:jc w:val="left"/>
            </w:pPr>
            <w:r>
              <w:t>SPV</w:t>
            </w:r>
          </w:p>
        </w:tc>
        <w:tc>
          <w:tcPr>
            <w:tcW w:w="6347" w:type="dxa"/>
            <w:shd w:val="clear" w:color="auto" w:fill="auto"/>
          </w:tcPr>
          <w:p w14:paraId="6FA91750" w14:textId="067AA0ED" w:rsidR="003A4A8A" w:rsidRDefault="00F020D4" w:rsidP="00032850">
            <w:pPr>
              <w:jc w:val="left"/>
            </w:pPr>
            <w:r>
              <w:t>s</w:t>
            </w:r>
            <w:r w:rsidR="00D8401F">
              <w:t xml:space="preserve">pecial </w:t>
            </w:r>
            <w:r>
              <w:t>p</w:t>
            </w:r>
            <w:r w:rsidR="00D8401F">
              <w:t xml:space="preserve">urpose </w:t>
            </w:r>
            <w:r>
              <w:t>v</w:t>
            </w:r>
            <w:r w:rsidR="00D8401F">
              <w:t>ehicle</w:t>
            </w:r>
          </w:p>
        </w:tc>
      </w:tr>
      <w:tr w:rsidR="00094BAA" w14:paraId="32BDD337" w14:textId="77777777" w:rsidTr="00032850">
        <w:tc>
          <w:tcPr>
            <w:tcW w:w="2376" w:type="dxa"/>
            <w:shd w:val="clear" w:color="auto" w:fill="auto"/>
          </w:tcPr>
          <w:p w14:paraId="4EF08E7E" w14:textId="717440BC" w:rsidR="00094BAA" w:rsidRDefault="00D8401F" w:rsidP="00032850">
            <w:pPr>
              <w:jc w:val="left"/>
              <w:rPr>
                <w:color w:val="auto"/>
              </w:rPr>
            </w:pPr>
            <w:r>
              <w:rPr>
                <w:color w:val="auto"/>
              </w:rPr>
              <w:t>SLA</w:t>
            </w:r>
          </w:p>
        </w:tc>
        <w:tc>
          <w:tcPr>
            <w:tcW w:w="6347" w:type="dxa"/>
            <w:shd w:val="clear" w:color="auto" w:fill="auto"/>
          </w:tcPr>
          <w:p w14:paraId="7D975C53" w14:textId="27D06317" w:rsidR="00094BAA" w:rsidRDefault="00F020D4" w:rsidP="00032850">
            <w:pPr>
              <w:jc w:val="left"/>
            </w:pPr>
            <w:r>
              <w:t>s</w:t>
            </w:r>
            <w:r w:rsidR="00D8401F">
              <w:t xml:space="preserve">yndicate </w:t>
            </w:r>
            <w:r>
              <w:t>l</w:t>
            </w:r>
            <w:r w:rsidR="00D8401F">
              <w:t xml:space="preserve">oan </w:t>
            </w:r>
            <w:r>
              <w:t>a</w:t>
            </w:r>
            <w:r w:rsidR="00D8401F">
              <w:t>greement</w:t>
            </w:r>
          </w:p>
        </w:tc>
      </w:tr>
    </w:tbl>
    <w:p w14:paraId="382D2F0B" w14:textId="77777777" w:rsidR="004E068E" w:rsidRPr="00C420DA" w:rsidRDefault="00F91D48" w:rsidP="00C420DA">
      <w:pPr>
        <w:pStyle w:val="Heading1"/>
      </w:pPr>
      <w:bookmarkStart w:id="15" w:name="_Toc395714428"/>
      <w:bookmarkStart w:id="16" w:name="_Toc397009266"/>
      <w:r>
        <w:br w:type="page"/>
      </w:r>
      <w:bookmarkStart w:id="17" w:name="_Toc397092156"/>
      <w:bookmarkStart w:id="18" w:name="_Toc406769441"/>
      <w:r w:rsidR="004E068E" w:rsidRPr="00C420DA">
        <w:lastRenderedPageBreak/>
        <w:t>Executive summary</w:t>
      </w:r>
      <w:bookmarkEnd w:id="12"/>
      <w:bookmarkEnd w:id="13"/>
      <w:bookmarkEnd w:id="14"/>
      <w:bookmarkEnd w:id="15"/>
      <w:bookmarkEnd w:id="16"/>
      <w:bookmarkEnd w:id="17"/>
      <w:bookmarkEnd w:id="18"/>
    </w:p>
    <w:p w14:paraId="5891C894" w14:textId="0B17DC12" w:rsidR="00C43B60" w:rsidRDefault="00DA6C62" w:rsidP="009624EA">
      <w:pPr>
        <w:pStyle w:val="Bullet"/>
        <w:numPr>
          <w:ilvl w:val="0"/>
          <w:numId w:val="0"/>
        </w:numPr>
      </w:pPr>
      <w:r>
        <w:t>This report identifies and recommends reforms that would addres</w:t>
      </w:r>
      <w:r w:rsidR="00ED2484">
        <w:t xml:space="preserve">s uncertainty </w:t>
      </w:r>
      <w:r w:rsidR="00633F09">
        <w:t xml:space="preserve">around </w:t>
      </w:r>
      <w:r w:rsidR="00BE6B6C">
        <w:t xml:space="preserve">the </w:t>
      </w:r>
      <w:r w:rsidR="00633F09">
        <w:t>operation of</w:t>
      </w:r>
      <w:r w:rsidR="009D2BBE">
        <w:t xml:space="preserve"> </w:t>
      </w:r>
      <w:r>
        <w:t>the related scheme</w:t>
      </w:r>
      <w:r w:rsidR="00BE6B6C">
        <w:t xml:space="preserve"> provisions in sections 974-15</w:t>
      </w:r>
      <w:r>
        <w:t xml:space="preserve"> and 974-</w:t>
      </w:r>
      <w:r w:rsidR="00BE6B6C">
        <w:t>70</w:t>
      </w:r>
      <w:r w:rsidR="009C51D3">
        <w:t xml:space="preserve"> (collectively the related scheme provisions)</w:t>
      </w:r>
      <w:r w:rsidR="00BE6B6C">
        <w:t xml:space="preserve">, and the </w:t>
      </w:r>
      <w:r w:rsidR="009C51D3">
        <w:t xml:space="preserve">equity override </w:t>
      </w:r>
      <w:r w:rsidR="00BE6B6C">
        <w:t>integrity</w:t>
      </w:r>
      <w:r w:rsidR="00ED2484">
        <w:t xml:space="preserve"> provision</w:t>
      </w:r>
      <w:r w:rsidR="00BE6B6C">
        <w:t xml:space="preserve"> in section 974-80</w:t>
      </w:r>
      <w:r w:rsidR="00ED2484">
        <w:t xml:space="preserve"> of the </w:t>
      </w:r>
      <w:r w:rsidR="00ED2484" w:rsidRPr="009707BF">
        <w:rPr>
          <w:i/>
        </w:rPr>
        <w:t>I</w:t>
      </w:r>
      <w:r w:rsidR="00BE6B6C" w:rsidRPr="009707BF">
        <w:rPr>
          <w:i/>
        </w:rPr>
        <w:t xml:space="preserve">ncome </w:t>
      </w:r>
      <w:r w:rsidR="00ED2484" w:rsidRPr="009707BF">
        <w:rPr>
          <w:i/>
        </w:rPr>
        <w:t>T</w:t>
      </w:r>
      <w:r w:rsidR="00BE6B6C" w:rsidRPr="009707BF">
        <w:rPr>
          <w:i/>
        </w:rPr>
        <w:t xml:space="preserve">ax </w:t>
      </w:r>
      <w:r w:rsidR="00ED2484" w:rsidRPr="009707BF">
        <w:rPr>
          <w:i/>
        </w:rPr>
        <w:t>A</w:t>
      </w:r>
      <w:r w:rsidR="00BE6B6C" w:rsidRPr="009707BF">
        <w:rPr>
          <w:i/>
        </w:rPr>
        <w:t xml:space="preserve">ssessment </w:t>
      </w:r>
      <w:r w:rsidR="00ED2484" w:rsidRPr="009707BF">
        <w:rPr>
          <w:i/>
        </w:rPr>
        <w:t>A</w:t>
      </w:r>
      <w:r w:rsidR="00BE6B6C" w:rsidRPr="009707BF">
        <w:rPr>
          <w:i/>
        </w:rPr>
        <w:t>ct</w:t>
      </w:r>
      <w:r w:rsidR="00ED2484" w:rsidRPr="009707BF">
        <w:rPr>
          <w:i/>
        </w:rPr>
        <w:t xml:space="preserve"> 1997</w:t>
      </w:r>
      <w:r w:rsidR="00BE6B6C">
        <w:rPr>
          <w:i/>
        </w:rPr>
        <w:t xml:space="preserve"> </w:t>
      </w:r>
      <w:r w:rsidR="009C51D3" w:rsidRPr="009707BF">
        <w:t>(</w:t>
      </w:r>
      <w:proofErr w:type="spellStart"/>
      <w:r w:rsidR="009C51D3" w:rsidRPr="009707BF">
        <w:t>Cth</w:t>
      </w:r>
      <w:proofErr w:type="spellEnd"/>
      <w:r w:rsidR="009C51D3" w:rsidRPr="009707BF">
        <w:t>)</w:t>
      </w:r>
      <w:r w:rsidR="009C51D3">
        <w:rPr>
          <w:i/>
        </w:rPr>
        <w:t xml:space="preserve"> </w:t>
      </w:r>
      <w:r w:rsidR="00BE6B6C">
        <w:t>(ITAA 1997)</w:t>
      </w:r>
      <w:r w:rsidR="00ED2484">
        <w:t xml:space="preserve">.  </w:t>
      </w:r>
    </w:p>
    <w:p w14:paraId="1C10C918" w14:textId="737317B4" w:rsidR="00512807" w:rsidRDefault="00C824C8" w:rsidP="009624EA">
      <w:pPr>
        <w:pStyle w:val="Bullet"/>
        <w:numPr>
          <w:ilvl w:val="0"/>
          <w:numId w:val="0"/>
        </w:numPr>
      </w:pPr>
      <w:r>
        <w:t>This report was</w:t>
      </w:r>
      <w:r w:rsidR="00ED2484">
        <w:t xml:space="preserve"> accelerated as a result of stakeholder feedback received </w:t>
      </w:r>
      <w:r w:rsidR="00C43B60">
        <w:t xml:space="preserve">on </w:t>
      </w:r>
      <w:r w:rsidR="00BE6B6C">
        <w:t xml:space="preserve">the </w:t>
      </w:r>
      <w:r w:rsidR="00C43B60">
        <w:t>operation of the related scheme</w:t>
      </w:r>
      <w:r w:rsidR="00BE6B6C">
        <w:t xml:space="preserve"> </w:t>
      </w:r>
      <w:r w:rsidR="00C43B60">
        <w:t xml:space="preserve">and section 974-80 provisions </w:t>
      </w:r>
      <w:r w:rsidR="00ED2484">
        <w:t>during a broader post-implementation review of the debt and equity rules. The Board</w:t>
      </w:r>
      <w:r w:rsidR="00BE6B6C">
        <w:t xml:space="preserve"> of Taxation (the Board)</w:t>
      </w:r>
      <w:r w:rsidR="00ED2484">
        <w:t xml:space="preserve"> will deliver its report on other elements of the </w:t>
      </w:r>
      <w:r w:rsidR="00C43B60">
        <w:t>r</w:t>
      </w:r>
      <w:r w:rsidR="00ED2484">
        <w:t>eview of the debt and equity tax rules by</w:t>
      </w:r>
      <w:r w:rsidR="00C43B60">
        <w:t xml:space="preserve"> 31 </w:t>
      </w:r>
      <w:r w:rsidR="00ED2484">
        <w:t>March 2015</w:t>
      </w:r>
      <w:r w:rsidR="00C43B60">
        <w:t>.</w:t>
      </w:r>
    </w:p>
    <w:p w14:paraId="29360B60" w14:textId="123594C1" w:rsidR="00C43B60" w:rsidRDefault="00C43B60" w:rsidP="009624EA">
      <w:pPr>
        <w:pStyle w:val="Bullet"/>
        <w:numPr>
          <w:ilvl w:val="0"/>
          <w:numId w:val="0"/>
        </w:numPr>
      </w:pPr>
      <w:r>
        <w:t xml:space="preserve">The Board recommends that uncertainty </w:t>
      </w:r>
      <w:r w:rsidR="00633F09">
        <w:t xml:space="preserve">around </w:t>
      </w:r>
      <w:r w:rsidR="00BE6B6C">
        <w:t xml:space="preserve">the </w:t>
      </w:r>
      <w:r>
        <w:t>operation of the related scheme and section 974-80 p</w:t>
      </w:r>
      <w:r w:rsidR="0059586A">
        <w:t xml:space="preserve">rovisions be addressed by replacing the existing </w:t>
      </w:r>
      <w:r w:rsidR="009C51D3">
        <w:t>rules</w:t>
      </w:r>
      <w:r w:rsidR="0059586A">
        <w:t xml:space="preserve"> with a</w:t>
      </w:r>
      <w:r>
        <w:t xml:space="preserve"> new provision based on principles the Board</w:t>
      </w:r>
      <w:r w:rsidR="00BE6B6C">
        <w:t xml:space="preserve"> has identified</w:t>
      </w:r>
      <w:r>
        <w:t>.</w:t>
      </w:r>
      <w:r w:rsidR="0059586A">
        <w:t xml:space="preserve"> In addition,</w:t>
      </w:r>
      <w:r>
        <w:t xml:space="preserve"> </w:t>
      </w:r>
      <w:r w:rsidR="0059586A">
        <w:t xml:space="preserve">commercially relevant </w:t>
      </w:r>
      <w:r>
        <w:t>examples</w:t>
      </w:r>
      <w:r w:rsidR="00633F09">
        <w:t xml:space="preserve"> set out in the report</w:t>
      </w:r>
      <w:r>
        <w:t xml:space="preserve"> should be included in the law to cover the most common types of schemes that give rise to questions about deb</w:t>
      </w:r>
      <w:r w:rsidR="0059586A">
        <w:t>t</w:t>
      </w:r>
      <w:r w:rsidR="00BE6B6C">
        <w:t xml:space="preserve"> and </w:t>
      </w:r>
      <w:r w:rsidR="0059586A">
        <w:t>equity characterisation.</w:t>
      </w:r>
    </w:p>
    <w:p w14:paraId="1F155DB6" w14:textId="702B2741" w:rsidR="0059586A" w:rsidRDefault="00C824C8" w:rsidP="009624EA">
      <w:pPr>
        <w:pStyle w:val="Bullet"/>
        <w:numPr>
          <w:ilvl w:val="0"/>
          <w:numId w:val="0"/>
        </w:numPr>
      </w:pPr>
      <w:r>
        <w:t xml:space="preserve">Other solutions </w:t>
      </w:r>
      <w:r w:rsidR="00BE6B6C">
        <w:t>to resolve the</w:t>
      </w:r>
      <w:r>
        <w:t xml:space="preserve"> </w:t>
      </w:r>
      <w:r w:rsidR="00633F09">
        <w:t xml:space="preserve">uncertainty around </w:t>
      </w:r>
      <w:r w:rsidR="00BE6B6C">
        <w:t xml:space="preserve">the </w:t>
      </w:r>
      <w:r w:rsidR="00633F09">
        <w:t>operation of</w:t>
      </w:r>
      <w:r>
        <w:t xml:space="preserve"> the related scheme and section 974-80 provisions </w:t>
      </w:r>
      <w:r w:rsidR="00633F09">
        <w:t>that have been</w:t>
      </w:r>
      <w:r>
        <w:t xml:space="preserve"> considered</w:t>
      </w:r>
      <w:r w:rsidR="009C51D3">
        <w:t>,</w:t>
      </w:r>
      <w:r>
        <w:t xml:space="preserve"> but not recommended by the Board, are canvassed in </w:t>
      </w:r>
      <w:r w:rsidR="004930DB">
        <w:t>C</w:t>
      </w:r>
      <w:r>
        <w:t>hapter 4 of the report.</w:t>
      </w:r>
    </w:p>
    <w:p w14:paraId="5302C003" w14:textId="428DD675" w:rsidR="00C824C8" w:rsidRDefault="00C824C8" w:rsidP="009624EA">
      <w:pPr>
        <w:pStyle w:val="Bullet"/>
        <w:numPr>
          <w:ilvl w:val="0"/>
          <w:numId w:val="0"/>
        </w:numPr>
      </w:pPr>
      <w:r>
        <w:t>This report benefited from formal consultation on the broader</w:t>
      </w:r>
      <w:r w:rsidR="009D2BBE">
        <w:t xml:space="preserve"> </w:t>
      </w:r>
      <w:r>
        <w:t>post</w:t>
      </w:r>
      <w:r>
        <w:noBreakHyphen/>
        <w:t>implementation review of the debt and equity rules</w:t>
      </w:r>
      <w:r w:rsidR="004930DB">
        <w:t>,</w:t>
      </w:r>
      <w:r>
        <w:t xml:space="preserve"> and from targeted consultation on the proposed principles and commercially relevant examples.</w:t>
      </w:r>
    </w:p>
    <w:p w14:paraId="342AF352" w14:textId="77777777" w:rsidR="00C43B60" w:rsidRDefault="00C43B60" w:rsidP="009624EA">
      <w:pPr>
        <w:pStyle w:val="Bullet"/>
        <w:numPr>
          <w:ilvl w:val="0"/>
          <w:numId w:val="0"/>
        </w:numPr>
        <w:jc w:val="left"/>
      </w:pPr>
    </w:p>
    <w:p w14:paraId="0F80E267" w14:textId="77777777" w:rsidR="00C43B60" w:rsidRDefault="00C43B60" w:rsidP="009624EA">
      <w:pPr>
        <w:pStyle w:val="Bullet"/>
        <w:numPr>
          <w:ilvl w:val="0"/>
          <w:numId w:val="0"/>
        </w:numPr>
        <w:jc w:val="left"/>
      </w:pPr>
    </w:p>
    <w:p w14:paraId="0CFAEDBE" w14:textId="77777777" w:rsidR="00C43B60" w:rsidRDefault="00C43B60" w:rsidP="009624EA">
      <w:pPr>
        <w:pStyle w:val="Bullet"/>
        <w:numPr>
          <w:ilvl w:val="0"/>
          <w:numId w:val="0"/>
        </w:numPr>
        <w:jc w:val="left"/>
      </w:pPr>
    </w:p>
    <w:p w14:paraId="78E1F377" w14:textId="77777777" w:rsidR="00ED2484" w:rsidRDefault="00ED2484" w:rsidP="009624EA">
      <w:pPr>
        <w:pStyle w:val="Bullet"/>
        <w:numPr>
          <w:ilvl w:val="0"/>
          <w:numId w:val="0"/>
        </w:numPr>
        <w:jc w:val="left"/>
        <w:sectPr w:rsidR="00ED2484" w:rsidSect="000E1936">
          <w:headerReference w:type="even" r:id="rId29"/>
          <w:headerReference w:type="default" r:id="rId30"/>
          <w:footerReference w:type="even" r:id="rId31"/>
          <w:footerReference w:type="default" r:id="rId32"/>
          <w:headerReference w:type="first" r:id="rId33"/>
          <w:footerReference w:type="first" r:id="rId34"/>
          <w:type w:val="oddPage"/>
          <w:pgSz w:w="11909" w:h="16834" w:code="9"/>
          <w:pgMar w:top="1701" w:right="1701" w:bottom="1701" w:left="1701" w:header="851" w:footer="851" w:gutter="0"/>
          <w:pgNumType w:fmt="lowerRoman"/>
          <w:cols w:space="708"/>
          <w:titlePg/>
          <w:docGrid w:linePitch="360"/>
        </w:sectPr>
      </w:pPr>
    </w:p>
    <w:p w14:paraId="4AFF504C" w14:textId="77777777" w:rsidR="004E068E" w:rsidRPr="00296A76" w:rsidRDefault="004E068E" w:rsidP="00AF6AF1">
      <w:pPr>
        <w:pStyle w:val="Heading1"/>
      </w:pPr>
      <w:bookmarkStart w:id="19" w:name="_Toc291777395"/>
      <w:bookmarkStart w:id="20" w:name="_Toc394560487"/>
      <w:bookmarkStart w:id="21" w:name="_Toc394585085"/>
      <w:bookmarkStart w:id="22" w:name="_Toc395714430"/>
      <w:bookmarkStart w:id="23" w:name="_Toc397009268"/>
      <w:bookmarkStart w:id="24" w:name="_Toc397092157"/>
      <w:bookmarkStart w:id="25" w:name="_Toc406769442"/>
      <w:r>
        <w:lastRenderedPageBreak/>
        <w:t>Chapter 1: Introduction</w:t>
      </w:r>
      <w:bookmarkEnd w:id="19"/>
      <w:bookmarkEnd w:id="20"/>
      <w:bookmarkEnd w:id="21"/>
      <w:bookmarkEnd w:id="22"/>
      <w:bookmarkEnd w:id="23"/>
      <w:bookmarkEnd w:id="24"/>
      <w:bookmarkEnd w:id="25"/>
    </w:p>
    <w:p w14:paraId="34269E17" w14:textId="77777777" w:rsidR="009B1473" w:rsidRDefault="009B1473" w:rsidP="009B1473">
      <w:pPr>
        <w:pStyle w:val="Heading2"/>
      </w:pPr>
      <w:bookmarkStart w:id="26" w:name="_Toc291777396"/>
      <w:bookmarkStart w:id="27" w:name="_Toc394560488"/>
      <w:bookmarkStart w:id="28" w:name="_Toc394585086"/>
      <w:bookmarkStart w:id="29" w:name="_Toc395714431"/>
      <w:bookmarkStart w:id="30" w:name="_Toc397009269"/>
      <w:bookmarkStart w:id="31" w:name="_Toc397092158"/>
      <w:bookmarkStart w:id="32" w:name="_Toc406769443"/>
      <w:r>
        <w:t>Background</w:t>
      </w:r>
      <w:bookmarkEnd w:id="26"/>
      <w:bookmarkEnd w:id="27"/>
      <w:bookmarkEnd w:id="28"/>
      <w:bookmarkEnd w:id="29"/>
      <w:bookmarkEnd w:id="30"/>
      <w:bookmarkEnd w:id="31"/>
      <w:bookmarkEnd w:id="32"/>
    </w:p>
    <w:p w14:paraId="488BB56B" w14:textId="09104E02" w:rsidR="002F67E7" w:rsidRDefault="001A64B9" w:rsidP="001A64B9">
      <w:pPr>
        <w:pStyle w:val="NumberedParagraph1"/>
      </w:pPr>
      <w:r>
        <w:t xml:space="preserve">On 14 May 2013, the Board was asked to undertake a review (the </w:t>
      </w:r>
      <w:r w:rsidR="004930DB">
        <w:t>r</w:t>
      </w:r>
      <w:r>
        <w:t>eview) combining a post-implementation review of the debt and equity rules with a review of whether arrangements within the Australian tax system</w:t>
      </w:r>
      <w:r w:rsidR="004930DB">
        <w:t xml:space="preserve"> can be improved</w:t>
      </w:r>
      <w:r>
        <w:t xml:space="preserve"> to address any inconsistencies between Australia’s and other jurisdictions’ debt and equity rules</w:t>
      </w:r>
      <w:r w:rsidR="004930DB">
        <w:t>,</w:t>
      </w:r>
      <w:r>
        <w:t xml:space="preserve"> that could give rise to tax arbitrage opportunities. </w:t>
      </w:r>
    </w:p>
    <w:p w14:paraId="6134296E" w14:textId="77777777" w:rsidR="009B1473" w:rsidRDefault="009B1473">
      <w:pPr>
        <w:pStyle w:val="Heading2"/>
      </w:pPr>
      <w:bookmarkStart w:id="33" w:name="_Toc291777397"/>
      <w:bookmarkStart w:id="34" w:name="_Toc394560489"/>
      <w:bookmarkStart w:id="35" w:name="_Toc394585087"/>
      <w:bookmarkStart w:id="36" w:name="_Toc395714432"/>
      <w:bookmarkStart w:id="37" w:name="_Toc397009270"/>
      <w:bookmarkStart w:id="38" w:name="_Toc397092159"/>
      <w:bookmarkStart w:id="39" w:name="_Toc406769444"/>
      <w:r>
        <w:t>Terms of reference</w:t>
      </w:r>
      <w:bookmarkEnd w:id="33"/>
      <w:bookmarkEnd w:id="34"/>
      <w:bookmarkEnd w:id="35"/>
      <w:bookmarkEnd w:id="36"/>
      <w:bookmarkEnd w:id="37"/>
      <w:bookmarkEnd w:id="38"/>
      <w:bookmarkEnd w:id="39"/>
    </w:p>
    <w:p w14:paraId="411CE706" w14:textId="36E5F26A" w:rsidR="009C51D3" w:rsidRDefault="009C51D3" w:rsidP="009C51D3">
      <w:pPr>
        <w:pStyle w:val="NumberedParagraph1"/>
      </w:pPr>
      <w:bookmarkStart w:id="40" w:name="_Toc291777399"/>
      <w:r>
        <w:t>On 4 June 2013, the Board received the following terms of reference</w:t>
      </w:r>
      <w:r w:rsidR="00143E0A">
        <w:t>:</w:t>
      </w:r>
    </w:p>
    <w:p w14:paraId="29263F4C" w14:textId="6E915946" w:rsidR="009B1473" w:rsidRDefault="001A64B9" w:rsidP="00981D9B">
      <w:pPr>
        <w:pStyle w:val="NumberedParagraph1"/>
        <w:numPr>
          <w:ilvl w:val="0"/>
          <w:numId w:val="0"/>
        </w:numPr>
        <w:ind w:left="720"/>
      </w:pPr>
      <w:r>
        <w:t xml:space="preserve">The Board of Taxation is asked to undertake a post-implementation review of the debt and equity rules in the income tax law (Division 974 of the </w:t>
      </w:r>
      <w:r>
        <w:rPr>
          <w:i/>
        </w:rPr>
        <w:t>Income Tax Assessment Act 1997</w:t>
      </w:r>
      <w:r w:rsidR="00DF404D">
        <w:t>).</w:t>
      </w:r>
    </w:p>
    <w:p w14:paraId="3B571463" w14:textId="2E3E853F" w:rsidR="001A64B9" w:rsidRDefault="001A64B9" w:rsidP="00981D9B">
      <w:pPr>
        <w:pStyle w:val="NumberedParagraph1"/>
        <w:numPr>
          <w:ilvl w:val="0"/>
          <w:numId w:val="0"/>
        </w:numPr>
        <w:ind w:left="720"/>
      </w:pPr>
      <w:r>
        <w:t xml:space="preserve">The debt and equity rules were introduced to classify certain financing arrangements as debt or equity for specified tax purposes (for example, the thin capitalisation rules and the interest and dividend withholding rules) on the basis of the ‘economic substance’ of the arrangement rather than merely on the basis of the legal form. The rules have now been </w:t>
      </w:r>
      <w:r w:rsidR="00DF404D">
        <w:t>in operation for over a decade.</w:t>
      </w:r>
    </w:p>
    <w:p w14:paraId="16B5E246" w14:textId="4E7BEECF" w:rsidR="001A64B9" w:rsidRDefault="001A64B9" w:rsidP="00981D9B">
      <w:pPr>
        <w:pStyle w:val="NumberedParagraph1"/>
        <w:numPr>
          <w:ilvl w:val="0"/>
          <w:numId w:val="0"/>
        </w:numPr>
        <w:ind w:left="709"/>
      </w:pPr>
      <w:r>
        <w:t xml:space="preserve">The standard </w:t>
      </w:r>
      <w:proofErr w:type="gramStart"/>
      <w:r>
        <w:t>terms of reference for a post-implementation review requires</w:t>
      </w:r>
      <w:proofErr w:type="gramEnd"/>
      <w:r>
        <w:t xml:space="preserve"> the Board to co</w:t>
      </w:r>
      <w:r w:rsidR="00DF404D">
        <w:t>nsider whether the legislation:</w:t>
      </w:r>
    </w:p>
    <w:p w14:paraId="5AB655C5" w14:textId="74391433" w:rsidR="001A64B9" w:rsidRPr="001724B4" w:rsidRDefault="001A64B9" w:rsidP="00981D9B">
      <w:pPr>
        <w:pStyle w:val="Bullet"/>
        <w:tabs>
          <w:tab w:val="clear" w:pos="567"/>
          <w:tab w:val="clear" w:pos="1087"/>
          <w:tab w:val="num" w:pos="1134"/>
        </w:tabs>
        <w:ind w:left="1134" w:hanging="425"/>
      </w:pPr>
      <w:r w:rsidRPr="001724B4">
        <w:t>gives effect to the Government’s policy intent, with compliance and administration costs commensurate with those foreshadowed in the Regulation Im</w:t>
      </w:r>
      <w:r w:rsidR="00DF404D">
        <w:t>pact Statement for the measure;</w:t>
      </w:r>
    </w:p>
    <w:p w14:paraId="20054534" w14:textId="6FF96AC7" w:rsidR="001A64B9" w:rsidRPr="001724B4" w:rsidRDefault="001A64B9" w:rsidP="00981D9B">
      <w:pPr>
        <w:pStyle w:val="Bullet"/>
        <w:ind w:firstLine="142"/>
      </w:pPr>
      <w:r w:rsidRPr="001724B4">
        <w:t>is expressed in a  clear, simple, comp</w:t>
      </w:r>
      <w:r w:rsidR="00DF404D">
        <w:t>rehensible and workable manner;</w:t>
      </w:r>
    </w:p>
    <w:p w14:paraId="053C9F2E" w14:textId="18A9953E" w:rsidR="001A64B9" w:rsidRPr="001724B4" w:rsidRDefault="001A64B9" w:rsidP="00981D9B">
      <w:pPr>
        <w:pStyle w:val="Bullet"/>
        <w:ind w:firstLine="142"/>
      </w:pPr>
      <w:r w:rsidRPr="001724B4">
        <w:t>avoids unintended conseq</w:t>
      </w:r>
      <w:r w:rsidR="00DF404D">
        <w:t>uences of a substantive nature;</w:t>
      </w:r>
    </w:p>
    <w:p w14:paraId="01B35F89" w14:textId="133C06AD" w:rsidR="001A64B9" w:rsidRPr="001724B4" w:rsidRDefault="001A64B9" w:rsidP="00981D9B">
      <w:pPr>
        <w:pStyle w:val="Bullet"/>
        <w:ind w:firstLine="142"/>
      </w:pPr>
      <w:r w:rsidRPr="001724B4">
        <w:t>takes account of actual taxpayer circumst</w:t>
      </w:r>
      <w:r w:rsidR="00DF404D">
        <w:t>ances and commercial practices;</w:t>
      </w:r>
    </w:p>
    <w:p w14:paraId="5964CA9B" w14:textId="08F65540" w:rsidR="001A64B9" w:rsidRPr="001724B4" w:rsidRDefault="001A64B9" w:rsidP="00981D9B">
      <w:pPr>
        <w:pStyle w:val="Bullet"/>
        <w:ind w:firstLine="142"/>
      </w:pPr>
      <w:r w:rsidRPr="001724B4">
        <w:t xml:space="preserve">is consistent </w:t>
      </w:r>
      <w:r w:rsidR="00DF404D">
        <w:t>with other tax legislation; and</w:t>
      </w:r>
    </w:p>
    <w:p w14:paraId="0ABD933A" w14:textId="77777777" w:rsidR="001A64B9" w:rsidRPr="001724B4" w:rsidRDefault="001A64B9" w:rsidP="00981D9B">
      <w:pPr>
        <w:pStyle w:val="Bullet"/>
        <w:ind w:firstLine="142"/>
      </w:pPr>
      <w:proofErr w:type="gramStart"/>
      <w:r w:rsidRPr="001724B4">
        <w:t>provides</w:t>
      </w:r>
      <w:proofErr w:type="gramEnd"/>
      <w:r w:rsidRPr="001724B4">
        <w:t xml:space="preserve"> certainty. </w:t>
      </w:r>
    </w:p>
    <w:p w14:paraId="23A1FBC9" w14:textId="77777777" w:rsidR="00C420DA" w:rsidRDefault="00C420DA">
      <w:pPr>
        <w:spacing w:after="0" w:line="240" w:lineRule="auto"/>
        <w:jc w:val="left"/>
      </w:pPr>
      <w:r>
        <w:br w:type="page"/>
      </w:r>
    </w:p>
    <w:p w14:paraId="25C5C64E" w14:textId="3B360D1E" w:rsidR="001A64B9" w:rsidRDefault="001A64B9" w:rsidP="00981D9B">
      <w:pPr>
        <w:pStyle w:val="NumberedParagraph1"/>
        <w:numPr>
          <w:ilvl w:val="0"/>
          <w:numId w:val="0"/>
        </w:numPr>
        <w:ind w:firstLine="709"/>
      </w:pPr>
      <w:r>
        <w:lastRenderedPageBreak/>
        <w:t xml:space="preserve">In undertaking the post-implementation review, the Board is also asked to: </w:t>
      </w:r>
    </w:p>
    <w:p w14:paraId="2F555496" w14:textId="3AFF4635" w:rsidR="001A64B9" w:rsidRPr="001724B4" w:rsidRDefault="00EB0767" w:rsidP="00981D9B">
      <w:pPr>
        <w:pStyle w:val="Bullet"/>
        <w:tabs>
          <w:tab w:val="clear" w:pos="567"/>
          <w:tab w:val="clear" w:pos="1087"/>
          <w:tab w:val="num" w:pos="1134"/>
        </w:tabs>
        <w:ind w:left="1134" w:hanging="425"/>
      </w:pPr>
      <w:r w:rsidRPr="001724B4">
        <w:t>e</w:t>
      </w:r>
      <w:r w:rsidR="001A64B9" w:rsidRPr="001724B4">
        <w:t>xamine whether there are unintended</w:t>
      </w:r>
      <w:r w:rsidR="00981D9B">
        <w:t xml:space="preserve"> misalignments between the debt </w:t>
      </w:r>
      <w:r w:rsidR="001A64B9" w:rsidRPr="001724B4">
        <w:t>and equity distinction and related concepts in the income tax law which could potentially result in in</w:t>
      </w:r>
      <w:r w:rsidR="00DF404D">
        <w:t>consistent policy outcomes; and</w:t>
      </w:r>
    </w:p>
    <w:p w14:paraId="779AC572" w14:textId="443C38B5" w:rsidR="001A64B9" w:rsidRPr="001724B4" w:rsidRDefault="00EB0767" w:rsidP="00981D9B">
      <w:pPr>
        <w:pStyle w:val="Bullet"/>
        <w:tabs>
          <w:tab w:val="clear" w:pos="567"/>
          <w:tab w:val="clear" w:pos="1087"/>
          <w:tab w:val="num" w:pos="1134"/>
        </w:tabs>
        <w:ind w:left="1134" w:hanging="425"/>
      </w:pPr>
      <w:proofErr w:type="gramStart"/>
      <w:r w:rsidRPr="001724B4">
        <w:t>c</w:t>
      </w:r>
      <w:r w:rsidR="001A64B9" w:rsidRPr="001724B4">
        <w:t>onsider</w:t>
      </w:r>
      <w:proofErr w:type="gramEnd"/>
      <w:r w:rsidR="001A64B9" w:rsidRPr="001724B4">
        <w:t xml:space="preserve"> whether there can be improved arrangements within the Australian tax system to address any inconsistencies between Australia’s and other jurisdictions’ debt and equity rules that could give rise </w:t>
      </w:r>
      <w:r w:rsidR="00DF404D">
        <w:t>to tax arbitrage opportunities.</w:t>
      </w:r>
    </w:p>
    <w:p w14:paraId="0795A725" w14:textId="63979C6B" w:rsidR="001A64B9" w:rsidRDefault="001A64B9" w:rsidP="00981D9B">
      <w:pPr>
        <w:pStyle w:val="NumberedParagraph1"/>
        <w:numPr>
          <w:ilvl w:val="0"/>
          <w:numId w:val="0"/>
        </w:numPr>
        <w:ind w:left="709"/>
      </w:pPr>
      <w:r>
        <w:t>To the extent that there are unintended misalignments between the debt and equity distinction and related concepts in the income tax law, the Board should also examine the potential for broader application of the current debt and equity rules to ens</w:t>
      </w:r>
      <w:r w:rsidR="00DF404D">
        <w:t>ure consistent policy outcomes.</w:t>
      </w:r>
    </w:p>
    <w:p w14:paraId="1339EC2B" w14:textId="77777777" w:rsidR="000C1220" w:rsidRDefault="000C1220" w:rsidP="00981D9B">
      <w:pPr>
        <w:pStyle w:val="NumberedParagraph1"/>
        <w:numPr>
          <w:ilvl w:val="0"/>
          <w:numId w:val="0"/>
        </w:numPr>
        <w:ind w:left="709"/>
      </w:pPr>
      <w:r>
        <w:t>The Board is asked to report to the Assistant Treasurer by March 2015.</w:t>
      </w:r>
    </w:p>
    <w:p w14:paraId="3025EA2A" w14:textId="7363813D" w:rsidR="001A64B9" w:rsidRPr="008C38D5" w:rsidRDefault="001A64B9" w:rsidP="001A64B9">
      <w:pPr>
        <w:pStyle w:val="NumberedParagraph1"/>
      </w:pPr>
      <w:r>
        <w:t>The Government separately announced in a press release on 14 December 2013 that it intended to proceed with amendments to the integrity rule in section 974-80, however, the design of this measure would be considered as part of the Board’s review of the debt and eq</w:t>
      </w:r>
      <w:r w:rsidR="00981D9B">
        <w:t>uity tax rules being conducted.</w:t>
      </w:r>
    </w:p>
    <w:p w14:paraId="39951E1B" w14:textId="77777777" w:rsidR="009B1473" w:rsidRDefault="009B1473" w:rsidP="009B1473">
      <w:pPr>
        <w:pStyle w:val="Heading2"/>
      </w:pPr>
      <w:bookmarkStart w:id="41" w:name="_Toc394560490"/>
      <w:bookmarkStart w:id="42" w:name="_Toc394585088"/>
      <w:bookmarkStart w:id="43" w:name="_Toc395714433"/>
      <w:bookmarkStart w:id="44" w:name="_Toc397009271"/>
      <w:bookmarkStart w:id="45" w:name="_Toc397092160"/>
      <w:bookmarkStart w:id="46" w:name="_Toc406769445"/>
      <w:r>
        <w:t>Review processes</w:t>
      </w:r>
      <w:bookmarkEnd w:id="40"/>
      <w:bookmarkEnd w:id="41"/>
      <w:bookmarkEnd w:id="42"/>
      <w:bookmarkEnd w:id="43"/>
      <w:bookmarkEnd w:id="44"/>
      <w:bookmarkEnd w:id="45"/>
      <w:bookmarkEnd w:id="46"/>
    </w:p>
    <w:p w14:paraId="28B0CB46" w14:textId="77777777" w:rsidR="001E12D5" w:rsidRDefault="001E12D5" w:rsidP="001E12D5">
      <w:pPr>
        <w:pStyle w:val="Heading3"/>
      </w:pPr>
      <w:bookmarkStart w:id="47" w:name="_Toc397092161"/>
      <w:r>
        <w:t>Review team</w:t>
      </w:r>
      <w:bookmarkEnd w:id="47"/>
    </w:p>
    <w:p w14:paraId="217311A0" w14:textId="74A8A096" w:rsidR="00F23A7E" w:rsidRDefault="00663021" w:rsidP="00663021">
      <w:pPr>
        <w:pStyle w:val="NumberedParagraph1"/>
      </w:pPr>
      <w:bookmarkStart w:id="48" w:name="_Toc397092162"/>
      <w:r w:rsidRPr="00546F9C">
        <w:t xml:space="preserve">The Board has appointed a Working Group of its members to oversee </w:t>
      </w:r>
      <w:r>
        <w:t>the</w:t>
      </w:r>
      <w:r w:rsidRPr="00546F9C">
        <w:t xml:space="preserve"> </w:t>
      </w:r>
      <w:r w:rsidR="004930DB">
        <w:t>R</w:t>
      </w:r>
      <w:r w:rsidRPr="00546F9C">
        <w:t>eview</w:t>
      </w:r>
      <w:r>
        <w:t xml:space="preserve">. </w:t>
      </w:r>
      <w:r w:rsidRPr="00546F9C">
        <w:t xml:space="preserve">The members of the Working Group are </w:t>
      </w:r>
      <w:r>
        <w:t xml:space="preserve">Teresa Dyson </w:t>
      </w:r>
      <w:r w:rsidRPr="00546F9C">
        <w:t>(Chair</w:t>
      </w:r>
      <w:r>
        <w:t xml:space="preserve"> of the Working Group</w:t>
      </w:r>
      <w:r w:rsidRPr="00546F9C">
        <w:t xml:space="preserve">) and </w:t>
      </w:r>
      <w:r>
        <w:t xml:space="preserve">John Emerson. In addition, the Board has engaged Frank </w:t>
      </w:r>
      <w:proofErr w:type="spellStart"/>
      <w:proofErr w:type="gramStart"/>
      <w:r>
        <w:t>O’Loughlin</w:t>
      </w:r>
      <w:proofErr w:type="spellEnd"/>
      <w:proofErr w:type="gramEnd"/>
      <w:r w:rsidR="00032850">
        <w:br/>
      </w:r>
      <w:r>
        <w:t xml:space="preserve">(a member of its </w:t>
      </w:r>
      <w:r w:rsidR="004930DB">
        <w:t>a</w:t>
      </w:r>
      <w:r>
        <w:t xml:space="preserve">dvisory </w:t>
      </w:r>
      <w:r w:rsidR="004930DB">
        <w:t>p</w:t>
      </w:r>
      <w:r>
        <w:t>anel) and John Smith,</w:t>
      </w:r>
      <w:r w:rsidRPr="00546F9C">
        <w:t xml:space="preserve"> </w:t>
      </w:r>
      <w:r>
        <w:t xml:space="preserve">as </w:t>
      </w:r>
      <w:r w:rsidRPr="00546F9C">
        <w:t>consultant</w:t>
      </w:r>
      <w:r>
        <w:t>s</w:t>
      </w:r>
      <w:r w:rsidRPr="00546F9C">
        <w:t xml:space="preserve"> to assist with the review</w:t>
      </w:r>
      <w:r>
        <w:t xml:space="preserve">. </w:t>
      </w:r>
    </w:p>
    <w:p w14:paraId="5677EEC1" w14:textId="3BFFEAC3" w:rsidR="00663021" w:rsidRDefault="00663021" w:rsidP="00663021">
      <w:pPr>
        <w:pStyle w:val="NumberedParagraph1"/>
      </w:pPr>
      <w:r>
        <w:t xml:space="preserve">The Board has also appointed an </w:t>
      </w:r>
      <w:r w:rsidR="004930DB">
        <w:t>e</w:t>
      </w:r>
      <w:r>
        <w:t xml:space="preserve">xpert </w:t>
      </w:r>
      <w:r w:rsidR="004930DB">
        <w:t>p</w:t>
      </w:r>
      <w:r>
        <w:t>anel</w:t>
      </w:r>
      <w:r w:rsidR="000C1220">
        <w:t xml:space="preserve"> from members of its </w:t>
      </w:r>
      <w:r w:rsidR="004930DB">
        <w:t>a</w:t>
      </w:r>
      <w:r w:rsidR="000C1220">
        <w:t xml:space="preserve">dvisory </w:t>
      </w:r>
      <w:r w:rsidR="004930DB">
        <w:t>p</w:t>
      </w:r>
      <w:r w:rsidR="000C1220">
        <w:t>anel, namely</w:t>
      </w:r>
      <w:r w:rsidR="004930DB">
        <w:t xml:space="preserve"> -</w:t>
      </w:r>
      <w:r w:rsidR="000C1220">
        <w:t xml:space="preserve"> Patrick </w:t>
      </w:r>
      <w:proofErr w:type="spellStart"/>
      <w:r w:rsidR="000C1220">
        <w:t>Broughan</w:t>
      </w:r>
      <w:proofErr w:type="spellEnd"/>
      <w:r w:rsidR="000C1220">
        <w:t xml:space="preserve">, John Condon, Larry </w:t>
      </w:r>
      <w:proofErr w:type="spellStart"/>
      <w:r w:rsidR="000C1220">
        <w:t>Magid</w:t>
      </w:r>
      <w:proofErr w:type="spellEnd"/>
      <w:r w:rsidR="000C1220">
        <w:t>, Hayden Scott and Jeff</w:t>
      </w:r>
      <w:r w:rsidR="00F23A7E">
        <w:t> </w:t>
      </w:r>
      <w:r w:rsidR="000C1220">
        <w:t>Shaw</w:t>
      </w:r>
      <w:r w:rsidR="004930DB">
        <w:t xml:space="preserve"> -</w:t>
      </w:r>
      <w:r>
        <w:t xml:space="preserve"> to provide further specialist assistance to the Board in understanding the complex operation of the relevant taxation law and its practical application.</w:t>
      </w:r>
      <w:r w:rsidR="000C1220">
        <w:t xml:space="preserve"> </w:t>
      </w:r>
      <w:r w:rsidR="00BE4D32">
        <w:t xml:space="preserve">The Board also received support from </w:t>
      </w:r>
      <w:r w:rsidR="000C1220" w:rsidRPr="00BE4D32">
        <w:rPr>
          <w:color w:val="auto"/>
        </w:rPr>
        <w:t xml:space="preserve">Steve Ford and Manuel </w:t>
      </w:r>
      <w:proofErr w:type="spellStart"/>
      <w:r w:rsidR="000C1220" w:rsidRPr="00BE4D32">
        <w:rPr>
          <w:color w:val="auto"/>
        </w:rPr>
        <w:t>Makas</w:t>
      </w:r>
      <w:proofErr w:type="spellEnd"/>
      <w:r w:rsidR="000C1220" w:rsidRPr="00BE4D32">
        <w:rPr>
          <w:color w:val="auto"/>
        </w:rPr>
        <w:t xml:space="preserve">, </w:t>
      </w:r>
      <w:r w:rsidR="00BE4D32" w:rsidRPr="00BE4D32">
        <w:rPr>
          <w:color w:val="auto"/>
        </w:rPr>
        <w:t xml:space="preserve">who </w:t>
      </w:r>
      <w:r w:rsidR="000C1220" w:rsidRPr="00BE4D32">
        <w:rPr>
          <w:color w:val="auto"/>
        </w:rPr>
        <w:t>provide</w:t>
      </w:r>
      <w:r w:rsidR="00DB6407" w:rsidRPr="00BE4D32">
        <w:rPr>
          <w:color w:val="auto"/>
        </w:rPr>
        <w:t>d</w:t>
      </w:r>
      <w:r w:rsidR="000C1220" w:rsidRPr="00BE4D32">
        <w:rPr>
          <w:color w:val="auto"/>
        </w:rPr>
        <w:t xml:space="preserve"> specialist a</w:t>
      </w:r>
      <w:r w:rsidR="004930DB">
        <w:rPr>
          <w:color w:val="auto"/>
        </w:rPr>
        <w:t>dvice</w:t>
      </w:r>
      <w:r w:rsidR="00F84ABC" w:rsidRPr="00BE4D32">
        <w:rPr>
          <w:color w:val="auto"/>
        </w:rPr>
        <w:t xml:space="preserve"> o</w:t>
      </w:r>
      <w:r w:rsidR="000C1220" w:rsidRPr="00BE4D32">
        <w:rPr>
          <w:color w:val="auto"/>
        </w:rPr>
        <w:t>n the operation of the taxation law for infrastructure and property investment.</w:t>
      </w:r>
      <w:r w:rsidR="000C1220" w:rsidRPr="00CA7A4F">
        <w:t xml:space="preserve"> </w:t>
      </w:r>
    </w:p>
    <w:p w14:paraId="520F54D4" w14:textId="5839BAFD" w:rsidR="00663021" w:rsidRDefault="00663021" w:rsidP="00663021">
      <w:pPr>
        <w:pStyle w:val="NumberedParagraph1"/>
      </w:pPr>
      <w:r w:rsidRPr="00546F9C">
        <w:t>The Working Group is being assisted by members of the Board</w:t>
      </w:r>
      <w:r>
        <w:t>’</w:t>
      </w:r>
      <w:r w:rsidRPr="00546F9C">
        <w:t xml:space="preserve">s Secretariat and by </w:t>
      </w:r>
      <w:r>
        <w:t xml:space="preserve">staff </w:t>
      </w:r>
      <w:r w:rsidR="004930DB">
        <w:t xml:space="preserve">members </w:t>
      </w:r>
      <w:r>
        <w:t xml:space="preserve">from the </w:t>
      </w:r>
      <w:r w:rsidRPr="00546F9C">
        <w:t>Treasury and</w:t>
      </w:r>
      <w:r w:rsidR="00BA55E0">
        <w:t xml:space="preserve"> </w:t>
      </w:r>
      <w:r>
        <w:t xml:space="preserve">the </w:t>
      </w:r>
      <w:r w:rsidRPr="00546F9C">
        <w:t>A</w:t>
      </w:r>
      <w:r w:rsidR="00143E0A">
        <w:t xml:space="preserve">ustralian </w:t>
      </w:r>
      <w:r w:rsidRPr="00546F9C">
        <w:t>T</w:t>
      </w:r>
      <w:r w:rsidR="00143E0A">
        <w:t xml:space="preserve">axation </w:t>
      </w:r>
      <w:r w:rsidRPr="00546F9C">
        <w:t>O</w:t>
      </w:r>
      <w:r w:rsidR="00143E0A">
        <w:t>ffice (ATO)</w:t>
      </w:r>
      <w:r>
        <w:t>.</w:t>
      </w:r>
    </w:p>
    <w:p w14:paraId="31362661" w14:textId="2F59B69D" w:rsidR="00663021" w:rsidRDefault="00663021" w:rsidP="00663021">
      <w:pPr>
        <w:pStyle w:val="NumberedParagraph1"/>
      </w:pPr>
      <w:r>
        <w:t xml:space="preserve">The position and affiliations of the Board’s members and </w:t>
      </w:r>
      <w:r w:rsidR="00BA55E0">
        <w:t>a</w:t>
      </w:r>
      <w:r>
        <w:t xml:space="preserve">dvisory </w:t>
      </w:r>
      <w:r w:rsidR="00BA55E0">
        <w:t>p</w:t>
      </w:r>
      <w:r>
        <w:t>anel are listed on the Board’s website.</w:t>
      </w:r>
    </w:p>
    <w:p w14:paraId="4283FEF3" w14:textId="77777777" w:rsidR="00032850" w:rsidRDefault="00032850">
      <w:pPr>
        <w:spacing w:after="0" w:line="240" w:lineRule="auto"/>
        <w:jc w:val="left"/>
        <w:rPr>
          <w:rFonts w:ascii="Arial" w:hAnsi="Arial" w:cs="Arial"/>
          <w:bCs/>
          <w:color w:val="000080"/>
          <w:sz w:val="26"/>
          <w:szCs w:val="26"/>
        </w:rPr>
      </w:pPr>
      <w:r>
        <w:br w:type="page"/>
      </w:r>
    </w:p>
    <w:p w14:paraId="056B1728" w14:textId="3DF6DCDE" w:rsidR="00DF6E22" w:rsidRDefault="00210B68" w:rsidP="00DF6E22">
      <w:pPr>
        <w:pStyle w:val="Heading3"/>
      </w:pPr>
      <w:r>
        <w:lastRenderedPageBreak/>
        <w:t>Consultation</w:t>
      </w:r>
      <w:bookmarkEnd w:id="48"/>
    </w:p>
    <w:p w14:paraId="78640AAE" w14:textId="77777777" w:rsidR="00DF6E22" w:rsidRDefault="009B1473" w:rsidP="007E313C">
      <w:pPr>
        <w:pStyle w:val="NumberedParagraph1"/>
      </w:pPr>
      <w:r>
        <w:t>The Board</w:t>
      </w:r>
      <w:r w:rsidR="00F17969">
        <w:t>’</w:t>
      </w:r>
      <w:r>
        <w:t>s consultation process</w:t>
      </w:r>
      <w:r w:rsidR="0037478F">
        <w:t xml:space="preserve"> has</w:t>
      </w:r>
      <w:r w:rsidR="007E313C">
        <w:t xml:space="preserve"> involved:</w:t>
      </w:r>
      <w:r w:rsidR="00663021">
        <w:t xml:space="preserve"> </w:t>
      </w:r>
    </w:p>
    <w:p w14:paraId="30FABB69" w14:textId="77777777" w:rsidR="00536A60" w:rsidRPr="001724B4" w:rsidRDefault="00663021" w:rsidP="001724B4">
      <w:pPr>
        <w:pStyle w:val="Bullet"/>
      </w:pPr>
      <w:r w:rsidRPr="001724B4">
        <w:t xml:space="preserve">preliminary consultations with a range of stakeholders; </w:t>
      </w:r>
    </w:p>
    <w:p w14:paraId="1DF46AE9" w14:textId="77777777" w:rsidR="00663021" w:rsidRPr="001724B4" w:rsidRDefault="00663021" w:rsidP="001724B4">
      <w:pPr>
        <w:pStyle w:val="Bullet"/>
      </w:pPr>
      <w:r w:rsidRPr="001724B4">
        <w:t xml:space="preserve">the release of a discussion paper in March 2014 to invite and facilitate submissions; </w:t>
      </w:r>
    </w:p>
    <w:p w14:paraId="44B63639" w14:textId="77777777" w:rsidR="00663021" w:rsidRPr="001724B4" w:rsidRDefault="00663021" w:rsidP="001724B4">
      <w:pPr>
        <w:pStyle w:val="Bullet"/>
      </w:pPr>
      <w:proofErr w:type="gramStart"/>
      <w:r w:rsidRPr="001724B4">
        <w:t>targeted</w:t>
      </w:r>
      <w:proofErr w:type="gramEnd"/>
      <w:r w:rsidRPr="001724B4">
        <w:t xml:space="preserve"> consultation meetings with a number of key stakeholders, following the release of the discussion paper. </w:t>
      </w:r>
    </w:p>
    <w:p w14:paraId="1D4B10C9" w14:textId="77777777" w:rsidR="009B1473" w:rsidRDefault="009B1473" w:rsidP="009B1473">
      <w:pPr>
        <w:pStyle w:val="Heading3"/>
      </w:pPr>
      <w:bookmarkStart w:id="49" w:name="_Toc397092163"/>
      <w:r>
        <w:t>Submissions</w:t>
      </w:r>
      <w:bookmarkEnd w:id="49"/>
    </w:p>
    <w:p w14:paraId="63CFADF5" w14:textId="77777777" w:rsidR="003555D5" w:rsidRDefault="009B1473" w:rsidP="009B1473">
      <w:pPr>
        <w:pStyle w:val="NumberedParagraph1"/>
      </w:pPr>
      <w:r>
        <w:t xml:space="preserve">The Board received </w:t>
      </w:r>
      <w:r w:rsidR="00663021">
        <w:t>1</w:t>
      </w:r>
      <w:r w:rsidR="005519C7">
        <w:t>1</w:t>
      </w:r>
      <w:r w:rsidR="00663021">
        <w:t xml:space="preserve"> written submissions, including one confidential submission, in response to the discussion paper. </w:t>
      </w:r>
      <w:r w:rsidR="003555D5">
        <w:rPr>
          <w:noProof/>
        </w:rPr>
        <w:t xml:space="preserve"> </w:t>
      </w:r>
    </w:p>
    <w:p w14:paraId="31518006" w14:textId="77777777" w:rsidR="009B1473" w:rsidRPr="00815830" w:rsidRDefault="009B1473" w:rsidP="009B1473">
      <w:pPr>
        <w:pStyle w:val="Heading3"/>
      </w:pPr>
      <w:bookmarkStart w:id="50" w:name="_Toc397092164"/>
      <w:r w:rsidRPr="00815830">
        <w:t>Board</w:t>
      </w:r>
      <w:r w:rsidR="00F17969">
        <w:t>’</w:t>
      </w:r>
      <w:r w:rsidRPr="00815830">
        <w:t xml:space="preserve">s </w:t>
      </w:r>
      <w:r w:rsidR="000C1220">
        <w:t xml:space="preserve">accelerated </w:t>
      </w:r>
      <w:r w:rsidRPr="00815830">
        <w:t>report</w:t>
      </w:r>
      <w:bookmarkEnd w:id="50"/>
    </w:p>
    <w:p w14:paraId="1EA92EDD" w14:textId="3BF70072" w:rsidR="000C1220" w:rsidRDefault="0021305B" w:rsidP="009B1473">
      <w:pPr>
        <w:pStyle w:val="NumberedParagraph1"/>
      </w:pPr>
      <w:r>
        <w:t>In light of the</w:t>
      </w:r>
      <w:r w:rsidR="00BA55E0">
        <w:t xml:space="preserve"> stakeholder</w:t>
      </w:r>
      <w:r>
        <w:t xml:space="preserve"> submissions and the uncertainty</w:t>
      </w:r>
      <w:r w:rsidR="00BA55E0">
        <w:t xml:space="preserve"> for both taxpayers and the ATO</w:t>
      </w:r>
      <w:r>
        <w:t xml:space="preserve"> caused by the current operation of the related scheme and section 974-80 provisions</w:t>
      </w:r>
      <w:r w:rsidR="000C1220">
        <w:t>, the Board ha</w:t>
      </w:r>
      <w:r>
        <w:t>s accelerat</w:t>
      </w:r>
      <w:r w:rsidR="000C1220">
        <w:t>ed</w:t>
      </w:r>
      <w:r>
        <w:t xml:space="preserve"> this component of the broader review. The Board will deliver its report on the other elements of the </w:t>
      </w:r>
      <w:r w:rsidR="00BA55E0">
        <w:t>r</w:t>
      </w:r>
      <w:r w:rsidR="00F23A7E">
        <w:t>eview</w:t>
      </w:r>
      <w:r>
        <w:t xml:space="preserve"> of the debt and equity tax </w:t>
      </w:r>
      <w:r w:rsidR="00CF4957">
        <w:t>rules by</w:t>
      </w:r>
      <w:r>
        <w:t xml:space="preserve"> 31 March 2015.</w:t>
      </w:r>
    </w:p>
    <w:p w14:paraId="5B778F1A" w14:textId="149994AD" w:rsidR="0021305B" w:rsidRPr="00296A76" w:rsidRDefault="000C1220" w:rsidP="009B1473">
      <w:pPr>
        <w:pStyle w:val="NumberedParagraph1"/>
      </w:pPr>
      <w:r>
        <w:t>The Board has considered the issues stakeholders</w:t>
      </w:r>
      <w:r w:rsidR="00F66C1C">
        <w:t xml:space="preserve"> raised</w:t>
      </w:r>
      <w:r>
        <w:t xml:space="preserve"> in their submissions and at the consultation meetings in relation to the related scheme and section 974-80 provisions, a</w:t>
      </w:r>
      <w:r w:rsidR="00F66C1C">
        <w:t>s well as</w:t>
      </w:r>
      <w:r>
        <w:t xml:space="preserve"> the views of the members of the </w:t>
      </w:r>
      <w:r w:rsidR="00F66C1C">
        <w:t>e</w:t>
      </w:r>
      <w:r>
        <w:t xml:space="preserve">xpert </w:t>
      </w:r>
      <w:r w:rsidR="00F66C1C">
        <w:t>p</w:t>
      </w:r>
      <w:r>
        <w:t xml:space="preserve">anel, Treasury officials and the ATO. However, the Board’s recommendations and observations in this report reflect its independent judgment. </w:t>
      </w:r>
      <w:r w:rsidR="0021305B">
        <w:t xml:space="preserve"> </w:t>
      </w:r>
    </w:p>
    <w:p w14:paraId="14B9C8D7" w14:textId="77777777" w:rsidR="00D56088" w:rsidRDefault="00D56088" w:rsidP="00D56088">
      <w:bookmarkStart w:id="51" w:name="_Toc394560491"/>
      <w:bookmarkStart w:id="52" w:name="_Toc394585089"/>
      <w:bookmarkStart w:id="53" w:name="_Toc395714434"/>
    </w:p>
    <w:p w14:paraId="365AA544" w14:textId="77777777" w:rsidR="000C1220" w:rsidRDefault="000C1220" w:rsidP="00D56088">
      <w:pPr>
        <w:sectPr w:rsidR="000C1220" w:rsidSect="000E1936">
          <w:headerReference w:type="even" r:id="rId35"/>
          <w:headerReference w:type="default" r:id="rId36"/>
          <w:headerReference w:type="first" r:id="rId37"/>
          <w:type w:val="oddPage"/>
          <w:pgSz w:w="11909" w:h="16834" w:code="9"/>
          <w:pgMar w:top="1701" w:right="1701" w:bottom="1701" w:left="1701" w:header="851" w:footer="851" w:gutter="0"/>
          <w:pgNumType w:start="1"/>
          <w:cols w:space="708"/>
          <w:titlePg/>
          <w:docGrid w:linePitch="360"/>
        </w:sectPr>
      </w:pPr>
    </w:p>
    <w:p w14:paraId="4E82EE47" w14:textId="77777777" w:rsidR="00305E86" w:rsidRDefault="00305E86" w:rsidP="00AF6AF1">
      <w:pPr>
        <w:pStyle w:val="Heading1"/>
      </w:pPr>
      <w:bookmarkStart w:id="54" w:name="_Toc397009272"/>
      <w:bookmarkStart w:id="55" w:name="_Toc397092166"/>
      <w:bookmarkStart w:id="56" w:name="_Toc406769446"/>
      <w:r>
        <w:lastRenderedPageBreak/>
        <w:t xml:space="preserve">Chapter 2: </w:t>
      </w:r>
      <w:bookmarkEnd w:id="51"/>
      <w:bookmarkEnd w:id="52"/>
      <w:bookmarkEnd w:id="53"/>
      <w:bookmarkEnd w:id="54"/>
      <w:bookmarkEnd w:id="55"/>
      <w:r w:rsidR="00F711D5">
        <w:t>Overview and Reflections of the Board</w:t>
      </w:r>
      <w:bookmarkEnd w:id="56"/>
      <w:r w:rsidR="00F711D5">
        <w:t xml:space="preserve"> </w:t>
      </w:r>
    </w:p>
    <w:p w14:paraId="1623AFDE" w14:textId="77777777" w:rsidR="00770773" w:rsidRDefault="00663021" w:rsidP="00876AF7">
      <w:pPr>
        <w:pStyle w:val="Heading2"/>
      </w:pPr>
      <w:bookmarkStart w:id="57" w:name="_Toc406769447"/>
      <w:r>
        <w:t>Background</w:t>
      </w:r>
      <w:bookmarkStart w:id="58" w:name="_Toc394560499"/>
      <w:bookmarkStart w:id="59" w:name="_Toc394585097"/>
      <w:bookmarkStart w:id="60" w:name="_Toc395714439"/>
      <w:bookmarkStart w:id="61" w:name="_Toc397009277"/>
      <w:bookmarkStart w:id="62" w:name="_Toc397092171"/>
      <w:bookmarkEnd w:id="57"/>
    </w:p>
    <w:p w14:paraId="721EA63F" w14:textId="2FAC0AF6" w:rsidR="009C39B9" w:rsidRDefault="009C39B9" w:rsidP="008D2A74">
      <w:pPr>
        <w:pStyle w:val="NumberedParagraph2"/>
      </w:pPr>
      <w:r>
        <w:t>The comprehensive debt and equity tax rules contained in Division 974 were introduced in July 2001. The rules were designed to provide “greater certainty, coherence and simplicity”.</w:t>
      </w:r>
    </w:p>
    <w:p w14:paraId="1CDCAD7C" w14:textId="5A12BDFC" w:rsidR="00AF1999" w:rsidRDefault="00AF1999" w:rsidP="008D2A74">
      <w:pPr>
        <w:pStyle w:val="NumberedParagraph2"/>
      </w:pPr>
      <w:r>
        <w:t xml:space="preserve">The debt and equity </w:t>
      </w:r>
      <w:r w:rsidR="00143E0A">
        <w:t xml:space="preserve">tax </w:t>
      </w:r>
      <w:r>
        <w:t xml:space="preserve">rules create a mechanism for determining which financing arrangements </w:t>
      </w:r>
      <w:r w:rsidR="00B44905">
        <w:t xml:space="preserve">are to be characterised as </w:t>
      </w:r>
      <w:r>
        <w:t xml:space="preserve">debt </w:t>
      </w:r>
      <w:r w:rsidR="00B44905">
        <w:t>interests</w:t>
      </w:r>
      <w:r>
        <w:t xml:space="preserve"> </w:t>
      </w:r>
      <w:r w:rsidR="007D2382">
        <w:t xml:space="preserve">in an entity </w:t>
      </w:r>
      <w:r>
        <w:t xml:space="preserve">and which are to be </w:t>
      </w:r>
      <w:r w:rsidR="00B44905">
        <w:t xml:space="preserve">characterised as </w:t>
      </w:r>
      <w:r>
        <w:t xml:space="preserve">equity </w:t>
      </w:r>
      <w:r w:rsidR="00B44905">
        <w:t>interests</w:t>
      </w:r>
      <w:r w:rsidR="007D2382">
        <w:t xml:space="preserve"> in a company</w:t>
      </w:r>
      <w:r>
        <w:t xml:space="preserve"> on an economic substance rather than legal form basis.</w:t>
      </w:r>
      <w:r w:rsidR="00B44905">
        <w:t xml:space="preserve"> The debt</w:t>
      </w:r>
      <w:r w:rsidR="00143E0A">
        <w:t xml:space="preserve"> and </w:t>
      </w:r>
      <w:r w:rsidR="00B44905">
        <w:t>equity characterisation is used for some but not all purposes of the taxation law.</w:t>
      </w:r>
    </w:p>
    <w:p w14:paraId="2B315191" w14:textId="15BC8CF0" w:rsidR="001F16F6" w:rsidRDefault="001F16F6" w:rsidP="001F16F6">
      <w:pPr>
        <w:pStyle w:val="NumberedParagraph2"/>
      </w:pPr>
      <w:r>
        <w:t>There is a debt bias in the Australian tax system because of tax deductions for debt financing costs, which are not available for finance raised by way of equity investment. This arguably creates an intrinsic tax</w:t>
      </w:r>
      <w:r>
        <w:noBreakHyphen/>
        <w:t>related incentive to choose debt financing which the debt and equity rules, amongst other measures, are designed to address.</w:t>
      </w:r>
    </w:p>
    <w:p w14:paraId="7E8EB03E" w14:textId="28ACF352" w:rsidR="001F16F6" w:rsidRDefault="001F16F6" w:rsidP="001F16F6">
      <w:pPr>
        <w:pStyle w:val="NumberedParagraph2"/>
      </w:pPr>
      <w:r>
        <w:t>An important policy concern in designing and operating the debt and equity rules is their impact on foreign investment into Australia. This is a particular concern given that, as a net importer of capital, Australia traditionally relies on foreign investment to boost productivity, increase competitiveness, improve living standards and create employment opportunities.</w:t>
      </w:r>
    </w:p>
    <w:p w14:paraId="58F8256B" w14:textId="5A95B123" w:rsidR="00F711D5" w:rsidRDefault="00AF1999" w:rsidP="008D2A74">
      <w:pPr>
        <w:pStyle w:val="NumberedParagraph2"/>
      </w:pPr>
      <w:r>
        <w:t>Consistent with the object</w:t>
      </w:r>
      <w:r w:rsidR="00804D7D">
        <w:t xml:space="preserve"> of the Division</w:t>
      </w:r>
      <w:r>
        <w:t xml:space="preserve"> rules are required and </w:t>
      </w:r>
      <w:r w:rsidR="00355DC1">
        <w:t>have been enacted</w:t>
      </w:r>
      <w:r>
        <w:t xml:space="preserve"> to aggregate two or more arrangements</w:t>
      </w:r>
      <w:r w:rsidR="00B44905">
        <w:t xml:space="preserve"> </w:t>
      </w:r>
      <w:r w:rsidR="00804D7D">
        <w:t xml:space="preserve">to </w:t>
      </w:r>
      <w:r w:rsidR="00B44905">
        <w:t>ensur</w:t>
      </w:r>
      <w:r w:rsidR="00804D7D">
        <w:t>e</w:t>
      </w:r>
      <w:r w:rsidR="00B44905">
        <w:t xml:space="preserve"> appropriate characterisation</w:t>
      </w:r>
      <w:r>
        <w:t xml:space="preserve"> where the economic substance is</w:t>
      </w:r>
      <w:r w:rsidR="00355DC1">
        <w:t xml:space="preserve"> that of a single arrangement; to</w:t>
      </w:r>
      <w:r>
        <w:t xml:space="preserve"> disaggregate one arrangement of component parts where the economic substance is </w:t>
      </w:r>
      <w:r w:rsidR="00355DC1">
        <w:t xml:space="preserve">that of </w:t>
      </w:r>
      <w:r>
        <w:t>multiple arrangements</w:t>
      </w:r>
      <w:r w:rsidR="00355DC1">
        <w:t>;</w:t>
      </w:r>
      <w:r>
        <w:t xml:space="preserve"> and to look through some sequential financing arrangements</w:t>
      </w:r>
      <w:r w:rsidR="00B44905">
        <w:t>.</w:t>
      </w:r>
    </w:p>
    <w:p w14:paraId="42C05CA0" w14:textId="3BB96E65" w:rsidR="003973C1" w:rsidRDefault="00AF1999" w:rsidP="00C420DA">
      <w:pPr>
        <w:pStyle w:val="NumberedParagraph2"/>
        <w:spacing w:after="180"/>
      </w:pPr>
      <w:r>
        <w:t xml:space="preserve">The Board’s </w:t>
      </w:r>
      <w:r w:rsidR="00FC7EE9">
        <w:t xml:space="preserve">review </w:t>
      </w:r>
      <w:r>
        <w:t>has revealed difficulties</w:t>
      </w:r>
      <w:r w:rsidR="00B44905">
        <w:t xml:space="preserve"> and significant practical issues with determining when the current aggregation, disaggregation or sequential rules </w:t>
      </w:r>
      <w:r w:rsidR="00804D7D">
        <w:t>should</w:t>
      </w:r>
      <w:r w:rsidR="00B44905">
        <w:t xml:space="preserve"> be applied</w:t>
      </w:r>
      <w:r>
        <w:t>.</w:t>
      </w:r>
    </w:p>
    <w:p w14:paraId="68AE4F66" w14:textId="77777777" w:rsidR="003973C1" w:rsidRPr="00876AF7" w:rsidRDefault="00F571D3" w:rsidP="00C420DA">
      <w:pPr>
        <w:pStyle w:val="Heading2"/>
        <w:spacing w:before="280"/>
      </w:pPr>
      <w:bookmarkStart w:id="63" w:name="_Toc406769448"/>
      <w:r>
        <w:lastRenderedPageBreak/>
        <w:t xml:space="preserve">Operation and purpose of the </w:t>
      </w:r>
      <w:r w:rsidR="003973C1">
        <w:t>related scheme provisions</w:t>
      </w:r>
      <w:bookmarkEnd w:id="63"/>
      <w:r w:rsidR="003973C1">
        <w:t xml:space="preserve"> </w:t>
      </w:r>
    </w:p>
    <w:p w14:paraId="0228DDC4" w14:textId="77777777" w:rsidR="003973C1" w:rsidRDefault="003973C1" w:rsidP="008D2A74">
      <w:pPr>
        <w:pStyle w:val="NumberedParagraph2"/>
      </w:pPr>
      <w:r>
        <w:t>As noted in the discussion paper, in certain circumstances, a number of individual schemes will be ‘related schemes’ and will be effectively aggregated to comprise a notional scheme.</w:t>
      </w:r>
      <w:r>
        <w:rPr>
          <w:rStyle w:val="FootnoteReference"/>
        </w:rPr>
        <w:footnoteReference w:id="2"/>
      </w:r>
      <w:r>
        <w:t xml:space="preserve"> </w:t>
      </w:r>
    </w:p>
    <w:p w14:paraId="74D05648" w14:textId="355414B5" w:rsidR="003973C1" w:rsidRDefault="003973C1" w:rsidP="008D2A74">
      <w:pPr>
        <w:pStyle w:val="NumberedParagraph2"/>
      </w:pPr>
      <w:r>
        <w:t>The notional scheme is assessed against the debt and equity</w:t>
      </w:r>
      <w:r w:rsidR="00143E0A">
        <w:t xml:space="preserve"> tax</w:t>
      </w:r>
      <w:r>
        <w:t xml:space="preserve"> </w:t>
      </w:r>
      <w:r w:rsidR="00FC7EE9">
        <w:t>rules</w:t>
      </w:r>
      <w:r>
        <w:t>. To the extent that schemes are related and the combined effect of those schemes gives rise to a debt interest, the aggregated scheme may be characterised as ‘debt’ under Division 974 where certain conditions are satisfied.</w:t>
      </w:r>
      <w:r>
        <w:rPr>
          <w:rStyle w:val="FootnoteReference"/>
        </w:rPr>
        <w:footnoteReference w:id="3"/>
      </w:r>
      <w:r>
        <w:t xml:space="preserve"> Similarly, where the combined effect of related schemes gives rise to an equity interest, the aggregated scheme may be characterised as equity.</w:t>
      </w:r>
      <w:r>
        <w:rPr>
          <w:rStyle w:val="FootnoteReference"/>
        </w:rPr>
        <w:footnoteReference w:id="4"/>
      </w:r>
      <w:r>
        <w:t xml:space="preserve"> </w:t>
      </w:r>
    </w:p>
    <w:p w14:paraId="778AFD32" w14:textId="53CCFAFF" w:rsidR="003069C2" w:rsidRDefault="00F44107" w:rsidP="008D2A74">
      <w:pPr>
        <w:pStyle w:val="NumberedParagraph2"/>
      </w:pPr>
      <w:r>
        <w:t xml:space="preserve">The characterisation of an interest that arises under the related scheme provisions </w:t>
      </w:r>
      <w:r w:rsidR="003973C1">
        <w:t>operate</w:t>
      </w:r>
      <w:r>
        <w:t>s</w:t>
      </w:r>
      <w:r w:rsidR="003973C1">
        <w:t xml:space="preserve"> in a three-stage process</w:t>
      </w:r>
      <w:r w:rsidR="003069C2">
        <w:t xml:space="preserve">: </w:t>
      </w:r>
    </w:p>
    <w:p w14:paraId="2A204D4B" w14:textId="423A186D" w:rsidR="003069C2" w:rsidRPr="001724B4" w:rsidRDefault="003069C2" w:rsidP="001724B4">
      <w:pPr>
        <w:pStyle w:val="Bullet"/>
      </w:pPr>
      <w:r w:rsidRPr="001724B4">
        <w:t>First, the schemes need to be related to one another under section 974-155.</w:t>
      </w:r>
      <w:r w:rsidR="003973C1" w:rsidRPr="001724B4">
        <w:t xml:space="preserve"> </w:t>
      </w:r>
      <w:r w:rsidRPr="001724B4">
        <w:t xml:space="preserve">The general rule is that schemes will be related to each other if they are related in any way. </w:t>
      </w:r>
      <w:r w:rsidR="007D2382" w:rsidRPr="001724B4">
        <w:t>T</w:t>
      </w:r>
      <w:r w:rsidRPr="001724B4">
        <w:t xml:space="preserve">his is a very broad </w:t>
      </w:r>
      <w:r w:rsidR="007D2382" w:rsidRPr="001724B4">
        <w:t xml:space="preserve">threshold </w:t>
      </w:r>
      <w:r w:rsidRPr="001724B4">
        <w:t>test</w:t>
      </w:r>
      <w:r w:rsidR="007D2382" w:rsidRPr="001724B4">
        <w:t>,</w:t>
      </w:r>
      <w:r w:rsidRPr="001724B4">
        <w:t xml:space="preserve"> as many things </w:t>
      </w:r>
      <w:r w:rsidR="00F87813" w:rsidRPr="001724B4">
        <w:t>could</w:t>
      </w:r>
      <w:r w:rsidRPr="001724B4">
        <w:t xml:space="preserve"> be related under this test</w:t>
      </w:r>
      <w:r w:rsidR="00F87813" w:rsidRPr="001724B4">
        <w:t xml:space="preserve"> </w:t>
      </w:r>
      <w:r w:rsidR="001E26CD" w:rsidRPr="001724B4">
        <w:t>that are</w:t>
      </w:r>
      <w:r w:rsidR="00F87813" w:rsidRPr="001724B4">
        <w:t xml:space="preserve"> not intended to be treated as such</w:t>
      </w:r>
      <w:r w:rsidR="001E26CD" w:rsidRPr="001724B4">
        <w:t>;</w:t>
      </w:r>
      <w:r w:rsidR="00F87813" w:rsidRPr="001724B4">
        <w:t xml:space="preserve"> for example</w:t>
      </w:r>
      <w:r w:rsidR="001E26CD" w:rsidRPr="001724B4">
        <w:t>,</w:t>
      </w:r>
      <w:r w:rsidRPr="001724B4">
        <w:t xml:space="preserve"> schemes that are related to each</w:t>
      </w:r>
      <w:r w:rsidR="00FC7EE9" w:rsidRPr="001724B4">
        <w:t xml:space="preserve"> other</w:t>
      </w:r>
      <w:r w:rsidRPr="001724B4">
        <w:t xml:space="preserve"> </w:t>
      </w:r>
      <w:r w:rsidR="00F87813" w:rsidRPr="001724B4">
        <w:t xml:space="preserve">merely </w:t>
      </w:r>
      <w:r w:rsidR="001E26CD" w:rsidRPr="001724B4">
        <w:t>because of</w:t>
      </w:r>
      <w:r w:rsidR="00F87813" w:rsidRPr="001724B4">
        <w:t xml:space="preserve"> their</w:t>
      </w:r>
      <w:r w:rsidR="00FC7EE9" w:rsidRPr="001724B4">
        <w:t xml:space="preserve"> economic</w:t>
      </w:r>
      <w:r w:rsidRPr="001724B4">
        <w:t xml:space="preserve"> effect</w:t>
      </w:r>
      <w:r w:rsidR="00FC7EE9" w:rsidRPr="001724B4">
        <w:t>.</w:t>
      </w:r>
    </w:p>
    <w:p w14:paraId="3441FFE7" w14:textId="49C7E557" w:rsidR="005D0875" w:rsidRPr="001724B4" w:rsidRDefault="003069C2" w:rsidP="001724B4">
      <w:pPr>
        <w:pStyle w:val="Bullet"/>
      </w:pPr>
      <w:r w:rsidRPr="001724B4">
        <w:t>Secon</w:t>
      </w:r>
      <w:r w:rsidR="00F44107" w:rsidRPr="001724B4">
        <w:t xml:space="preserve">dly, two or more </w:t>
      </w:r>
      <w:r w:rsidR="00600232" w:rsidRPr="001724B4">
        <w:t xml:space="preserve">related </w:t>
      </w:r>
      <w:r w:rsidR="00F44107" w:rsidRPr="001724B4">
        <w:t xml:space="preserve">schemes </w:t>
      </w:r>
      <w:r w:rsidR="00600232" w:rsidRPr="001724B4">
        <w:t xml:space="preserve">which together constitute a ‘notional scheme’ </w:t>
      </w:r>
      <w:r w:rsidR="00F44107" w:rsidRPr="001724B4">
        <w:t xml:space="preserve">must give rise to either a debt or an equity interest. </w:t>
      </w:r>
      <w:r w:rsidR="00600232" w:rsidRPr="001724B4">
        <w:t xml:space="preserve">That is, </w:t>
      </w:r>
      <w:r w:rsidR="00F44107" w:rsidRPr="001724B4">
        <w:t xml:space="preserve">the notional scheme with the combined effect or operation of the constituent schemes </w:t>
      </w:r>
      <w:r w:rsidR="00600232" w:rsidRPr="001724B4">
        <w:t xml:space="preserve">must </w:t>
      </w:r>
      <w:r w:rsidR="00F44107" w:rsidRPr="001724B4">
        <w:t xml:space="preserve">satisfy the debt or equity tests. </w:t>
      </w:r>
      <w:r w:rsidR="00600232" w:rsidRPr="001724B4">
        <w:t xml:space="preserve">Further, even if the schemes are related and the notional scheme satisfies </w:t>
      </w:r>
      <w:r w:rsidR="00143E0A" w:rsidRPr="001724B4">
        <w:t xml:space="preserve">either </w:t>
      </w:r>
      <w:r w:rsidR="00600232" w:rsidRPr="001724B4">
        <w:t xml:space="preserve">the debt or equity test, </w:t>
      </w:r>
      <w:r w:rsidR="00CC24BF" w:rsidRPr="001724B4">
        <w:t>it</w:t>
      </w:r>
      <w:r w:rsidR="00600232" w:rsidRPr="001724B4">
        <w:t xml:space="preserve"> also</w:t>
      </w:r>
      <w:r w:rsidR="00CC24BF" w:rsidRPr="001724B4">
        <w:t xml:space="preserve"> must be reasonable to conclude that relevant parties ‘intended… the combined economic effects of the constituent schemes to be the same as, or similar to, the economic effects of…’ a debt or equity interest.</w:t>
      </w:r>
    </w:p>
    <w:p w14:paraId="63030999" w14:textId="5ACEF616" w:rsidR="003069C2" w:rsidRPr="001724B4" w:rsidRDefault="005D0875" w:rsidP="001724B4">
      <w:pPr>
        <w:pStyle w:val="Bullet"/>
      </w:pPr>
      <w:r w:rsidRPr="001724B4">
        <w:t xml:space="preserve">Thirdly, the Commissioner </w:t>
      </w:r>
      <w:r w:rsidR="00410122" w:rsidRPr="001724B4">
        <w:t>has</w:t>
      </w:r>
      <w:r w:rsidR="003D3221" w:rsidRPr="001724B4">
        <w:t xml:space="preserve"> </w:t>
      </w:r>
      <w:r w:rsidRPr="001724B4">
        <w:t>not ma</w:t>
      </w:r>
      <w:r w:rsidR="00410122" w:rsidRPr="001724B4">
        <w:t>d</w:t>
      </w:r>
      <w:r w:rsidRPr="001724B4">
        <w:t>e a determination that, in the circumstances, it would be unreasonable to apply the related scheme provisions.</w:t>
      </w:r>
    </w:p>
    <w:p w14:paraId="069413C5" w14:textId="14B608FC" w:rsidR="00871CC2" w:rsidRDefault="00600232" w:rsidP="008D2A74">
      <w:pPr>
        <w:pStyle w:val="NumberedParagraph2"/>
      </w:pPr>
      <w:r>
        <w:t>If an</w:t>
      </w:r>
      <w:r w:rsidR="003D776B">
        <w:t xml:space="preserve"> interest from </w:t>
      </w:r>
      <w:r>
        <w:t xml:space="preserve">a notional </w:t>
      </w:r>
      <w:r w:rsidR="003D776B">
        <w:t>scheme is characterised</w:t>
      </w:r>
      <w:r>
        <w:t xml:space="preserve"> as debt or equity</w:t>
      </w:r>
      <w:r w:rsidR="003D776B">
        <w:t xml:space="preserve">, any return paid by the </w:t>
      </w:r>
      <w:r>
        <w:t xml:space="preserve">issuing </w:t>
      </w:r>
      <w:r w:rsidR="003D776B">
        <w:t>entity is taken to be paid in respect of that debt or equity interest, and not in respect of any component scheme or element.</w:t>
      </w:r>
    </w:p>
    <w:p w14:paraId="79C7103B" w14:textId="77777777" w:rsidR="00594E00" w:rsidRPr="00E52147" w:rsidRDefault="00594E00" w:rsidP="00AF6AF1">
      <w:pPr>
        <w:pStyle w:val="Heading2"/>
      </w:pPr>
      <w:bookmarkStart w:id="64" w:name="_Toc406769449"/>
      <w:r>
        <w:lastRenderedPageBreak/>
        <w:t>O</w:t>
      </w:r>
      <w:r w:rsidR="00F571D3">
        <w:t xml:space="preserve">peration and purpose of </w:t>
      </w:r>
      <w:r>
        <w:t>section 974-80</w:t>
      </w:r>
      <w:bookmarkEnd w:id="64"/>
    </w:p>
    <w:p w14:paraId="64C692F4" w14:textId="18DB7B1D" w:rsidR="00594E00" w:rsidRDefault="00354407" w:rsidP="008D2A74">
      <w:pPr>
        <w:pStyle w:val="NumberedParagraph2"/>
      </w:pPr>
      <w:r>
        <w:t>S</w:t>
      </w:r>
      <w:r w:rsidR="00E036DD">
        <w:t>ection 974-80 is an integrity provision intended to ensure that what, in substance, is the provision of equity finance is not classified as debt financing because of structur</w:t>
      </w:r>
      <w:r w:rsidR="00600232">
        <w:t>es whereby</w:t>
      </w:r>
      <w:r w:rsidR="00E036DD">
        <w:t xml:space="preserve"> returns </w:t>
      </w:r>
      <w:r w:rsidR="00600232">
        <w:t>are</w:t>
      </w:r>
      <w:r w:rsidR="00E036DD">
        <w:t xml:space="preserve"> passed through related entities.</w:t>
      </w:r>
      <w:r w:rsidR="00664FEA">
        <w:t xml:space="preserve"> Where </w:t>
      </w:r>
      <w:r w:rsidR="00600232">
        <w:t xml:space="preserve">certain requirements are met, </w:t>
      </w:r>
      <w:r w:rsidR="00664FEA">
        <w:t>section 974-80 can reclassify a</w:t>
      </w:r>
      <w:r w:rsidR="00600232">
        <w:t xml:space="preserve">n interest that would otherwise (when independently tested) be a debt interest to be an equity interest in the company. </w:t>
      </w:r>
    </w:p>
    <w:p w14:paraId="31008DA8" w14:textId="4C542650" w:rsidR="00753272" w:rsidRDefault="00753272" w:rsidP="008D2A74">
      <w:pPr>
        <w:pStyle w:val="NumberedParagraph2"/>
      </w:pPr>
      <w:r>
        <w:t>As stated in the Explanatory Memorandum</w:t>
      </w:r>
      <w:r w:rsidR="00143E0A">
        <w:t>,</w:t>
      </w:r>
      <w:r>
        <w:rPr>
          <w:rStyle w:val="FootnoteReference"/>
        </w:rPr>
        <w:footnoteReference w:id="5"/>
      </w:r>
      <w:r>
        <w:t xml:space="preserve"> section 974-80 was intended to apply where there is an effective equity interest in a company even though the holder of the interest had no direct interest in the company.</w:t>
      </w:r>
      <w:r w:rsidR="00DE5C0E">
        <w:rPr>
          <w:rStyle w:val="FootnoteReference"/>
        </w:rPr>
        <w:footnoteReference w:id="6"/>
      </w:r>
      <w:r>
        <w:t xml:space="preserve"> It was not intended to apply to situations where the interest held by the ultimate recipient, despite hav</w:t>
      </w:r>
      <w:r w:rsidR="00600232">
        <w:t>ing</w:t>
      </w:r>
      <w:r>
        <w:t xml:space="preserve"> equity-like features, </w:t>
      </w:r>
      <w:r w:rsidR="00A31C72">
        <w:t>would be characterised as a debt interest (or formed part of a larger interest that gave rise to a debt interest) under section 974-20.</w:t>
      </w:r>
      <w:r w:rsidR="00A31C72">
        <w:rPr>
          <w:rStyle w:val="FootnoteReference"/>
        </w:rPr>
        <w:footnoteReference w:id="7"/>
      </w:r>
    </w:p>
    <w:p w14:paraId="7D4738E6" w14:textId="77777777" w:rsidR="00A31C72" w:rsidRDefault="00A31C72" w:rsidP="008D2A74">
      <w:pPr>
        <w:pStyle w:val="NumberedParagraph2"/>
      </w:pPr>
      <w:r>
        <w:t xml:space="preserve">For the provision to apply, a number of key </w:t>
      </w:r>
      <w:r w:rsidR="008E1FA1">
        <w:t>conditions</w:t>
      </w:r>
      <w:r>
        <w:t xml:space="preserve"> must be met, including:</w:t>
      </w:r>
    </w:p>
    <w:p w14:paraId="305ECBB6" w14:textId="77777777" w:rsidR="00A31C72" w:rsidRPr="001724B4" w:rsidRDefault="008E1FA1" w:rsidP="001724B4">
      <w:pPr>
        <w:pStyle w:val="Bullet"/>
      </w:pPr>
      <w:r w:rsidRPr="001724B4">
        <w:t>t</w:t>
      </w:r>
      <w:r w:rsidR="00A31C72" w:rsidRPr="001724B4">
        <w:t>he company in question has on issue an interest that is a financing arrangement held by a connected entity that, but for the operation of the provision, would not be an equity interest;</w:t>
      </w:r>
    </w:p>
    <w:p w14:paraId="3FB9DE35" w14:textId="0A0ACFC0" w:rsidR="00A31C72" w:rsidRPr="001724B4" w:rsidRDefault="008E1FA1" w:rsidP="001724B4">
      <w:pPr>
        <w:pStyle w:val="Bullet"/>
      </w:pPr>
      <w:r w:rsidRPr="001724B4">
        <w:t>t</w:t>
      </w:r>
      <w:r w:rsidR="00A31C72" w:rsidRPr="001724B4">
        <w:t>here is a scheme or series of schemes designed to operate so that the return to the connected entity is used to fund (directly or indirectly) a return to the ultimate recipient; and</w:t>
      </w:r>
    </w:p>
    <w:p w14:paraId="588E6FF8" w14:textId="42E42428" w:rsidR="000B051F" w:rsidRPr="001724B4" w:rsidRDefault="008E1FA1" w:rsidP="001724B4">
      <w:pPr>
        <w:pStyle w:val="Bullet"/>
      </w:pPr>
      <w:r w:rsidRPr="001724B4">
        <w:t>t</w:t>
      </w:r>
      <w:r w:rsidR="00A31C72" w:rsidRPr="001724B4">
        <w:t>he ultimate recipient</w:t>
      </w:r>
      <w:r w:rsidR="00C029B7" w:rsidRPr="001724B4">
        <w:t>’s interest</w:t>
      </w:r>
      <w:r w:rsidR="00A31C72" w:rsidRPr="001724B4">
        <w:t xml:space="preserve"> </w:t>
      </w:r>
      <w:r w:rsidR="00600232" w:rsidRPr="001724B4">
        <w:t xml:space="preserve">has </w:t>
      </w:r>
      <w:r w:rsidR="00A31C72" w:rsidRPr="001724B4">
        <w:t xml:space="preserve">any of the equity characteristics set out in an equity test (other than the ultimate recipient being a member or stockholder of the company) in respect of the company or a connected entity of the company, provided that the </w:t>
      </w:r>
      <w:r w:rsidR="00444715" w:rsidRPr="001724B4">
        <w:t>ultimate recipient</w:t>
      </w:r>
      <w:r w:rsidR="00F43823" w:rsidRPr="001724B4">
        <w:t>’s interest</w:t>
      </w:r>
      <w:r w:rsidR="00A31C72" w:rsidRPr="001724B4">
        <w:t xml:space="preserve"> does not form part of a larger debt interest.</w:t>
      </w:r>
    </w:p>
    <w:p w14:paraId="6B6A5954" w14:textId="77777777" w:rsidR="00F571D3" w:rsidRDefault="000056AE" w:rsidP="005B59F0">
      <w:pPr>
        <w:pStyle w:val="Heading3"/>
      </w:pPr>
      <w:r>
        <w:t>History of the application of s</w:t>
      </w:r>
      <w:r w:rsidR="00F571D3">
        <w:t>ection 974-80</w:t>
      </w:r>
    </w:p>
    <w:p w14:paraId="69F1DC5B" w14:textId="5907F5D1" w:rsidR="00E036DD" w:rsidRDefault="00803513" w:rsidP="008D2A74">
      <w:pPr>
        <w:pStyle w:val="NumberedParagraph2"/>
      </w:pPr>
      <w:r>
        <w:t>T</w:t>
      </w:r>
      <w:r w:rsidR="00E036DD">
        <w:t>his provision</w:t>
      </w:r>
      <w:r>
        <w:t>’s operation</w:t>
      </w:r>
      <w:r w:rsidR="00E036DD">
        <w:t xml:space="preserve"> has been the subject of considerable </w:t>
      </w:r>
      <w:r w:rsidR="00E16142">
        <w:t xml:space="preserve">commentary, </w:t>
      </w:r>
      <w:r w:rsidR="00E036DD">
        <w:t xml:space="preserve">debate </w:t>
      </w:r>
      <w:r w:rsidR="00E16142">
        <w:t>and consultation</w:t>
      </w:r>
      <w:r w:rsidR="00E036DD">
        <w:t xml:space="preserve">. </w:t>
      </w:r>
      <w:r>
        <w:t>H</w:t>
      </w:r>
      <w:r w:rsidR="00E036DD">
        <w:t xml:space="preserve">ow the provision is </w:t>
      </w:r>
      <w:r w:rsidR="001B236D">
        <w:t xml:space="preserve">applied </w:t>
      </w:r>
      <w:r w:rsidR="00E036DD">
        <w:t>to stapled security arrangements</w:t>
      </w:r>
      <w:r>
        <w:t xml:space="preserve"> has been particularly contentious</w:t>
      </w:r>
      <w:r w:rsidR="00E036DD">
        <w:t>.</w:t>
      </w:r>
      <w:r w:rsidR="00376938">
        <w:t xml:space="preserve"> </w:t>
      </w:r>
      <w:r w:rsidR="00C90286">
        <w:t>Over the years, the ATO, Treasury and private sector representatives have been engaged in significant consultations about the operation of the provision.</w:t>
      </w:r>
    </w:p>
    <w:p w14:paraId="7E9F7E06" w14:textId="66389E57" w:rsidR="00DC4504" w:rsidRDefault="00F571D3" w:rsidP="008D2A74">
      <w:pPr>
        <w:pStyle w:val="NumberedParagraph2"/>
      </w:pPr>
      <w:r>
        <w:lastRenderedPageBreak/>
        <w:t>In response to concerns raised by industry and taxpayer groups, the ATO issued a discussion paper to members of the N</w:t>
      </w:r>
      <w:r w:rsidR="005D2259">
        <w:t xml:space="preserve">ational Tax </w:t>
      </w:r>
      <w:r>
        <w:t>L</w:t>
      </w:r>
      <w:r w:rsidR="005D2259">
        <w:t xml:space="preserve">iaison </w:t>
      </w:r>
      <w:r>
        <w:t>G</w:t>
      </w:r>
      <w:r w:rsidR="005D2259">
        <w:t>roup (</w:t>
      </w:r>
      <w:r>
        <w:t>NTLG</w:t>
      </w:r>
      <w:r w:rsidR="005D2259">
        <w:t>)</w:t>
      </w:r>
      <w:r>
        <w:t xml:space="preserve"> Finance and Investment Subcommittee in March 2007 regarding the interpretation and policy matters of section 974-80. The discussion paper outlined the ATO’s preliminary and considered views on the provision</w:t>
      </w:r>
      <w:r w:rsidR="005D2259">
        <w:t>’s application</w:t>
      </w:r>
      <w:r>
        <w:t xml:space="preserve">. </w:t>
      </w:r>
      <w:r w:rsidR="002112E9">
        <w:t>The ATO sought c</w:t>
      </w:r>
      <w:r>
        <w:t>omments on the views proposed in the discussion paper.</w:t>
      </w:r>
    </w:p>
    <w:p w14:paraId="5A939A94" w14:textId="04D2731A" w:rsidR="00990C93" w:rsidRDefault="00AB59EC" w:rsidP="00E4202B">
      <w:pPr>
        <w:pStyle w:val="NumberedParagraph2"/>
      </w:pPr>
      <w:r>
        <w:t>The ATO conducted a</w:t>
      </w:r>
      <w:r w:rsidR="00F571D3">
        <w:t xml:space="preserve"> further round of consultation with industry and professional bodies following the release of that discussion paper. During this consultation, there was general agreement that section 974-80, as enacted, did not operate as intended despite there being different views about its intention. The industry and professional bodies agreed that they would write to the Government to detail their concerns and request that section 974-80 be amended, and the ATO agreed that it would withdraw the discussion paper, which it did. </w:t>
      </w:r>
    </w:p>
    <w:p w14:paraId="2C9A5CA1" w14:textId="67F26EDA" w:rsidR="00F571D3" w:rsidRDefault="00361AB7" w:rsidP="008D2A74">
      <w:pPr>
        <w:pStyle w:val="NumberedParagraph2"/>
      </w:pPr>
      <w:r>
        <w:t>In the 2011-12 Budget, the then Government announced, with retrospective date of effect to the commencement of Division 974 (generally 1 July 2001), that</w:t>
      </w:r>
      <w:r w:rsidR="002A401A">
        <w:br/>
      </w:r>
      <w:r>
        <w:t>section 974-80 would be amended to ensure that the provision would apply only to arrangements where both the purpose and effect was that the ultimate investor had, in substance, an equity interest in the issuer company.</w:t>
      </w:r>
      <w:r w:rsidR="0011561D">
        <w:t xml:space="preserve"> Additionally, the provision would not apply where the Commissioner considered that it would be unreasonable.</w:t>
      </w:r>
      <w:r w:rsidR="0011561D">
        <w:rPr>
          <w:rStyle w:val="FootnoteReference"/>
        </w:rPr>
        <w:footnoteReference w:id="8"/>
      </w:r>
      <w:r>
        <w:t xml:space="preserve"> </w:t>
      </w:r>
      <w:r w:rsidR="003B044D">
        <w:t>After this announcement, the Government received c</w:t>
      </w:r>
      <w:r w:rsidR="0011561D">
        <w:t>onsultation and feedback suggest</w:t>
      </w:r>
      <w:r w:rsidR="003B044D">
        <w:t>ing</w:t>
      </w:r>
      <w:r w:rsidR="0011561D">
        <w:t xml:space="preserve"> that the proposed changes did not provide the necessary certainty.</w:t>
      </w:r>
    </w:p>
    <w:p w14:paraId="38E05146" w14:textId="127655F2" w:rsidR="00C33CDD" w:rsidRDefault="00C33CDD" w:rsidP="008D2A74">
      <w:pPr>
        <w:pStyle w:val="NumberedParagraph2"/>
      </w:pPr>
      <w:r>
        <w:t xml:space="preserve">The current Government announced in a press release on 14 December 2013 that it intended to proceed with amendments to the integrity rule in section 974-80, however, the design of this measure would be considered as part of </w:t>
      </w:r>
      <w:r w:rsidR="00354407">
        <w:t xml:space="preserve">the Board’s post-implementation review of the debt and equity tax rules. </w:t>
      </w:r>
      <w:r>
        <w:t xml:space="preserve">The </w:t>
      </w:r>
      <w:r w:rsidR="00867D5A">
        <w:t>protection</w:t>
      </w:r>
      <w:r>
        <w:t xml:space="preserve"> provision the Government </w:t>
      </w:r>
      <w:r w:rsidR="00517790">
        <w:t>enacted</w:t>
      </w:r>
      <w:r>
        <w:t xml:space="preserve"> did no</w:t>
      </w:r>
      <w:r w:rsidR="00354407">
        <w:t>t</w:t>
      </w:r>
      <w:r>
        <w:t xml:space="preserve"> extend to section 974-80.</w:t>
      </w:r>
    </w:p>
    <w:p w14:paraId="109ABA88" w14:textId="60CBDC0F" w:rsidR="002610B6" w:rsidRPr="00F674DC" w:rsidRDefault="00C91338" w:rsidP="00AF6AF1">
      <w:pPr>
        <w:pStyle w:val="Heading3"/>
      </w:pPr>
      <w:r>
        <w:t>The n</w:t>
      </w:r>
      <w:r w:rsidR="002610B6" w:rsidRPr="00F674DC">
        <w:t xml:space="preserve">eed for a new approach to section 974-80 and </w:t>
      </w:r>
      <w:r w:rsidR="00C90286">
        <w:t>the related scheme provisions</w:t>
      </w:r>
    </w:p>
    <w:p w14:paraId="1AF2AD8E" w14:textId="273DEF7E" w:rsidR="00DE5C0E" w:rsidRDefault="00DE5C0E" w:rsidP="008D2A74">
      <w:pPr>
        <w:pStyle w:val="NumberedParagraph2"/>
      </w:pPr>
      <w:r>
        <w:t xml:space="preserve">The taxpaying community, the ATO and Treasury are all aligned in the need to </w:t>
      </w:r>
      <w:r w:rsidR="009B7924">
        <w:t>reform</w:t>
      </w:r>
      <w:r>
        <w:t xml:space="preserve"> </w:t>
      </w:r>
      <w:r w:rsidR="00C90286">
        <w:t>section 974-80</w:t>
      </w:r>
      <w:r>
        <w:t xml:space="preserve"> </w:t>
      </w:r>
      <w:r w:rsidR="00652EF7">
        <w:t xml:space="preserve">without delay </w:t>
      </w:r>
      <w:r>
        <w:t>to provide greater certainty, coherence and simplicity th</w:t>
      </w:r>
      <w:r w:rsidR="00E1599A">
        <w:t>at the</w:t>
      </w:r>
      <w:r>
        <w:t xml:space="preserve"> debt and equity tax rules were intended to provide. </w:t>
      </w:r>
    </w:p>
    <w:p w14:paraId="6AF8D243" w14:textId="0E196D6C" w:rsidR="00592647" w:rsidRDefault="00592647" w:rsidP="008D2A74">
      <w:pPr>
        <w:pStyle w:val="NumberedParagraph2"/>
      </w:pPr>
      <w:r>
        <w:t xml:space="preserve">Following an extensive review and wide consultation with stakeholders (including representatives from Treasury, </w:t>
      </w:r>
      <w:r w:rsidR="002D7F36">
        <w:t xml:space="preserve">the </w:t>
      </w:r>
      <w:r>
        <w:t xml:space="preserve">ATO and the private sector), the Board concluded that the changes to section 974-80 announced in the 2011-12 Budget would not provide the necessary certainty for the tax community and </w:t>
      </w:r>
      <w:r w:rsidR="00C90286">
        <w:t xml:space="preserve">recommends that they </w:t>
      </w:r>
      <w:r>
        <w:t xml:space="preserve">should not proceed </w:t>
      </w:r>
      <w:r w:rsidR="002610B6">
        <w:t>as announced</w:t>
      </w:r>
      <w:r>
        <w:t xml:space="preserve">. </w:t>
      </w:r>
    </w:p>
    <w:p w14:paraId="66A73E96" w14:textId="6A793194" w:rsidR="002610B6" w:rsidRDefault="002610B6" w:rsidP="008D2A74">
      <w:pPr>
        <w:pStyle w:val="NumberedParagraph2"/>
      </w:pPr>
      <w:r>
        <w:lastRenderedPageBreak/>
        <w:t xml:space="preserve">The Board’s work revealed that many of the issues associated with section 974-80 have arisen because the section does not have clearly defined criteria </w:t>
      </w:r>
      <w:r w:rsidR="003B2645">
        <w:t>for</w:t>
      </w:r>
      <w:r>
        <w:t xml:space="preserve"> identify</w:t>
      </w:r>
      <w:r w:rsidR="003B2645">
        <w:t>ing</w:t>
      </w:r>
      <w:r>
        <w:t xml:space="preserve"> the arrangements to which it is directed. A particularly problematic feature of the section is that it focuses on whether the return on a debt interest under one scheme is designed to fund the return on an equity interest under another scheme.</w:t>
      </w:r>
    </w:p>
    <w:p w14:paraId="3918F010" w14:textId="34384D03" w:rsidR="002610B6" w:rsidRDefault="002610B6" w:rsidP="008D2A74">
      <w:pPr>
        <w:pStyle w:val="NumberedParagraph2"/>
      </w:pPr>
      <w:r>
        <w:t xml:space="preserve">The Board considers this to be an inadequate test for two reasons. First, the test focuses on a factor present in many arrangements that ought </w:t>
      </w:r>
      <w:proofErr w:type="gramStart"/>
      <w:r>
        <w:t>not</w:t>
      </w:r>
      <w:proofErr w:type="gramEnd"/>
      <w:r>
        <w:t xml:space="preserve"> be aggregated, and therefore produces an excessive number of ruling requests and </w:t>
      </w:r>
      <w:r w:rsidR="00A36138">
        <w:t xml:space="preserve">discussions </w:t>
      </w:r>
      <w:r>
        <w:t xml:space="preserve">between the ATO and taxpayers. Secondly, and perhaps more importantly, the test fails to articulate the implied proposition that the schemes </w:t>
      </w:r>
      <w:r w:rsidR="00C90286">
        <w:t xml:space="preserve">effectively </w:t>
      </w:r>
      <w:r>
        <w:t>should be</w:t>
      </w:r>
      <w:r w:rsidR="00423333">
        <w:t xml:space="preserve"> </w:t>
      </w:r>
      <w:r>
        <w:t xml:space="preserve">aggregated only where they give rise to </w:t>
      </w:r>
      <w:r w:rsidR="00D103F9">
        <w:t xml:space="preserve">a </w:t>
      </w:r>
      <w:r>
        <w:t>de facto equity interest in the issuer (or a related entity) of the debt interest. That is, the section should apply where the schemes are designed to do more than merely fund the equity interest: namely</w:t>
      </w:r>
      <w:r w:rsidR="000C1C8B">
        <w:t>,</w:t>
      </w:r>
      <w:r>
        <w:t xml:space="preserve"> that the schemes are to operate together as a de facto single interest in the nature of equity, and where the separation </w:t>
      </w:r>
      <w:r w:rsidR="00D4706F">
        <w:t xml:space="preserve">by interposed </w:t>
      </w:r>
      <w:r>
        <w:t xml:space="preserve">schemes is an intentional step directed </w:t>
      </w:r>
      <w:r w:rsidR="000C1C8B">
        <w:t>at</w:t>
      </w:r>
      <w:r>
        <w:t xml:space="preserve"> obtaining a debt classification (and deduction) for the return on one of them.</w:t>
      </w:r>
    </w:p>
    <w:p w14:paraId="0CBE5B0D" w14:textId="6EEF4A6C" w:rsidR="002610B6" w:rsidRDefault="002610B6" w:rsidP="008D2A74">
      <w:pPr>
        <w:pStyle w:val="NumberedParagraph2"/>
      </w:pPr>
      <w:r>
        <w:t>To address the problems associated with section 974-80, the Board considers it appropriate to correct the main related scheme tests rather than amend or simply repeal section 974</w:t>
      </w:r>
      <w:r>
        <w:noBreakHyphen/>
        <w:t>80. This is because the Board considers that if the main related scheme tests go uncorrected, the issues arising with section 974-80 are likely to arise</w:t>
      </w:r>
      <w:r w:rsidR="008C5AB1">
        <w:t xml:space="preserve"> under those tests</w:t>
      </w:r>
      <w:r>
        <w:t>, if perhaps in a different form</w:t>
      </w:r>
      <w:r w:rsidR="008C5AB1">
        <w:t>.</w:t>
      </w:r>
    </w:p>
    <w:p w14:paraId="7DB7AEE7" w14:textId="4165FC2E" w:rsidR="00592647" w:rsidRDefault="00D4706F" w:rsidP="008D2A74">
      <w:pPr>
        <w:pStyle w:val="NumberedParagraph2"/>
      </w:pPr>
      <w:r>
        <w:t>T</w:t>
      </w:r>
      <w:r w:rsidR="002610B6">
        <w:t>he Board’s review</w:t>
      </w:r>
      <w:r w:rsidR="00592647">
        <w:t xml:space="preserve"> </w:t>
      </w:r>
      <w:r>
        <w:t xml:space="preserve">also revealed problems with the potentially broad application of </w:t>
      </w:r>
      <w:r w:rsidR="00592647">
        <w:t>the existing related scheme provision</w:t>
      </w:r>
      <w:r>
        <w:t>s, particularly those</w:t>
      </w:r>
      <w:r w:rsidR="00592647">
        <w:t xml:space="preserve"> in section 974</w:t>
      </w:r>
      <w:r w:rsidR="00B109B9">
        <w:noBreakHyphen/>
      </w:r>
      <w:r w:rsidR="00592647">
        <w:t xml:space="preserve">70. There is a real risk that the </w:t>
      </w:r>
      <w:r>
        <w:t xml:space="preserve">provisions </w:t>
      </w:r>
      <w:r w:rsidR="00592647">
        <w:t>could apply in unintended circumstances –</w:t>
      </w:r>
      <w:r w:rsidR="00B109B9">
        <w:t xml:space="preserve"> </w:t>
      </w:r>
      <w:r w:rsidR="00592647">
        <w:t>for example, some commercial arrangements could be inappropriately aggregated</w:t>
      </w:r>
      <w:r w:rsidR="00B109B9">
        <w:t>,</w:t>
      </w:r>
      <w:r w:rsidR="00592647">
        <w:t xml:space="preserve"> meaning that taxpayers are forced to rely on the exercise of the Commissioner’s discretion to not aggregate these schemes (which is costly and time consuming for both taxpayers and the tax administrator). This is </w:t>
      </w:r>
      <w:r>
        <w:t>discussed</w:t>
      </w:r>
      <w:r w:rsidR="00592647">
        <w:t xml:space="preserve"> further in </w:t>
      </w:r>
      <w:r w:rsidR="00B109B9">
        <w:t>C</w:t>
      </w:r>
      <w:r w:rsidR="00592647">
        <w:t>hapter 4.</w:t>
      </w:r>
    </w:p>
    <w:p w14:paraId="56DB5482" w14:textId="0088557E" w:rsidR="009A0DAE" w:rsidRDefault="00592647" w:rsidP="008D2A74">
      <w:pPr>
        <w:pStyle w:val="NumberedParagraph2"/>
      </w:pPr>
      <w:r>
        <w:t xml:space="preserve">In light of this, the Board is recommending a new integrated provision (the design of which is discussed in </w:t>
      </w:r>
      <w:r w:rsidR="00320B60">
        <w:t>C</w:t>
      </w:r>
      <w:r>
        <w:t>hapter 3)</w:t>
      </w:r>
      <w:r w:rsidR="00D4706F">
        <w:t xml:space="preserve"> to address the issues with section 974-80 and the related scheme provisions</w:t>
      </w:r>
      <w:r>
        <w:t>.</w:t>
      </w:r>
      <w:r w:rsidR="00D4706F">
        <w:t xml:space="preserve"> The recently introduced taxpayer ‘protection provision’</w:t>
      </w:r>
      <w:r w:rsidR="00D4706F">
        <w:rPr>
          <w:rStyle w:val="FootnoteReference"/>
        </w:rPr>
        <w:footnoteReference w:id="9"/>
      </w:r>
      <w:r>
        <w:t xml:space="preserve"> </w:t>
      </w:r>
      <w:r w:rsidR="00D4706F">
        <w:t xml:space="preserve">does not apply to taxpayers that have relied on the previously announced amendments to section 974-80. </w:t>
      </w:r>
    </w:p>
    <w:p w14:paraId="0ABDC211" w14:textId="7F2BF6D4" w:rsidR="00D8564F" w:rsidRDefault="009A0DAE" w:rsidP="008D2A74">
      <w:pPr>
        <w:pStyle w:val="NumberedParagraph2"/>
      </w:pPr>
      <w:r>
        <w:t>I</w:t>
      </w:r>
      <w:r w:rsidR="00D4706F">
        <w:t>f the Board’s recommendation to not proceed with those amendments is accepted, the Board further recommends that the protection provisio</w:t>
      </w:r>
      <w:r w:rsidR="00D2728B">
        <w:t>n</w:t>
      </w:r>
      <w:r w:rsidR="00D4706F">
        <w:t xml:space="preserve"> be appropriately amended to protect taxpayers that have relied on those announcements. </w:t>
      </w:r>
      <w:r w:rsidR="00592647">
        <w:t xml:space="preserve">While the Board acknowledges that the date of application of any changes to the law is a matter </w:t>
      </w:r>
      <w:r w:rsidR="00592647">
        <w:lastRenderedPageBreak/>
        <w:t xml:space="preserve">for Government, the Board also considers that the </w:t>
      </w:r>
      <w:r w:rsidR="00D4706F">
        <w:t xml:space="preserve">protection </w:t>
      </w:r>
      <w:r w:rsidR="00592647">
        <w:t xml:space="preserve">provision should be extended </w:t>
      </w:r>
      <w:r w:rsidR="00D2728B">
        <w:t>to</w:t>
      </w:r>
      <w:r w:rsidR="00592647">
        <w:t xml:space="preserve"> the date </w:t>
      </w:r>
      <w:r w:rsidR="00BC0957">
        <w:t>that</w:t>
      </w:r>
      <w:r w:rsidR="00592647">
        <w:t xml:space="preserve"> an amendment to the provision is enacted (assuming that the new provision commences from the date of enactment).</w:t>
      </w:r>
    </w:p>
    <w:p w14:paraId="2CCABA1A" w14:textId="54A92C22" w:rsidR="004E068E" w:rsidRDefault="001A64B9" w:rsidP="00AF6AF1">
      <w:pPr>
        <w:pStyle w:val="Heading1"/>
      </w:pPr>
      <w:r>
        <w:br w:type="page"/>
      </w:r>
      <w:bookmarkStart w:id="65" w:name="_Toc406769450"/>
      <w:r w:rsidR="004E068E">
        <w:lastRenderedPageBreak/>
        <w:t xml:space="preserve">Chapter </w:t>
      </w:r>
      <w:r w:rsidR="00305E86">
        <w:t>3</w:t>
      </w:r>
      <w:r w:rsidR="004E068E">
        <w:t xml:space="preserve">: </w:t>
      </w:r>
      <w:bookmarkEnd w:id="58"/>
      <w:bookmarkEnd w:id="59"/>
      <w:bookmarkEnd w:id="60"/>
      <w:bookmarkEnd w:id="61"/>
      <w:bookmarkEnd w:id="62"/>
      <w:r w:rsidR="00594E00">
        <w:t xml:space="preserve">The </w:t>
      </w:r>
      <w:r w:rsidR="00955732">
        <w:t>B</w:t>
      </w:r>
      <w:r w:rsidR="00594E00">
        <w:t xml:space="preserve">oard’s proposal for a new integrated </w:t>
      </w:r>
      <w:r w:rsidR="000C1220">
        <w:t>rule</w:t>
      </w:r>
      <w:bookmarkEnd w:id="65"/>
      <w:r w:rsidR="00594E00">
        <w:t xml:space="preserve"> </w:t>
      </w:r>
    </w:p>
    <w:p w14:paraId="1AAFFD20" w14:textId="790EFD9F" w:rsidR="00DA2F3F" w:rsidRPr="00DA2F3F" w:rsidRDefault="00DA2F3F" w:rsidP="00C85A68">
      <w:pPr>
        <w:pStyle w:val="Heading2"/>
      </w:pPr>
      <w:bookmarkStart w:id="66" w:name="_Toc394560500"/>
      <w:bookmarkStart w:id="67" w:name="_Toc394585098"/>
      <w:bookmarkStart w:id="68" w:name="_Toc395714440"/>
      <w:bookmarkStart w:id="69" w:name="_Toc397009278"/>
      <w:bookmarkStart w:id="70" w:name="_Toc397092172"/>
      <w:bookmarkStart w:id="71" w:name="_Toc406769451"/>
      <w:r w:rsidRPr="00DA2F3F">
        <w:t>Overview</w:t>
      </w:r>
      <w:bookmarkEnd w:id="66"/>
      <w:bookmarkEnd w:id="67"/>
      <w:bookmarkEnd w:id="68"/>
      <w:bookmarkEnd w:id="69"/>
      <w:bookmarkEnd w:id="70"/>
      <w:r w:rsidR="00732C8C">
        <w:t xml:space="preserve"> of the </w:t>
      </w:r>
      <w:r w:rsidR="00D92A20">
        <w:t>B</w:t>
      </w:r>
      <w:r w:rsidR="00732C8C">
        <w:t>oard’s proposal</w:t>
      </w:r>
      <w:bookmarkEnd w:id="71"/>
      <w:r w:rsidR="00732C8C">
        <w:t xml:space="preserve"> </w:t>
      </w:r>
    </w:p>
    <w:p w14:paraId="6C8E73F0" w14:textId="2359B454" w:rsidR="005B4C80" w:rsidRDefault="000A57D7" w:rsidP="009B5310">
      <w:pPr>
        <w:pStyle w:val="NumberedParagraph3"/>
      </w:pPr>
      <w:r>
        <w:t xml:space="preserve">As discussed in </w:t>
      </w:r>
      <w:r w:rsidR="00D92A20">
        <w:t>C</w:t>
      </w:r>
      <w:r w:rsidR="005B4C80">
        <w:t xml:space="preserve">hapter 2, the Board’s </w:t>
      </w:r>
      <w:r w:rsidR="00D103F9">
        <w:t>review</w:t>
      </w:r>
      <w:r w:rsidR="005B4C80">
        <w:t xml:space="preserve"> revealed significant difficulties with the operation of the existing related scheme</w:t>
      </w:r>
      <w:r w:rsidR="00FF3C17">
        <w:t xml:space="preserve"> provision</w:t>
      </w:r>
      <w:r w:rsidR="00D4706F">
        <w:t>s, particularly</w:t>
      </w:r>
      <w:r w:rsidR="00FF3C17">
        <w:t xml:space="preserve"> in section 974-70</w:t>
      </w:r>
      <w:r w:rsidR="00D4706F">
        <w:t>,</w:t>
      </w:r>
      <w:r w:rsidR="005B4C80">
        <w:t xml:space="preserve"> and </w:t>
      </w:r>
      <w:r w:rsidR="00FF3C17">
        <w:t xml:space="preserve">the integrity provision in </w:t>
      </w:r>
      <w:r w:rsidR="005B4C80">
        <w:t xml:space="preserve">section 974-80 for both taxpayers and the </w:t>
      </w:r>
      <w:r w:rsidR="000C1220">
        <w:t>ATO</w:t>
      </w:r>
      <w:r w:rsidR="005B4C80">
        <w:t>.</w:t>
      </w:r>
      <w:r w:rsidR="00CC2746">
        <w:t xml:space="preserve"> The wide, non</w:t>
      </w:r>
      <w:r w:rsidR="00CC2746">
        <w:noBreakHyphen/>
        <w:t>targeted application of the rules and the lack of clarity around their operation ha</w:t>
      </w:r>
      <w:r w:rsidR="00A12116">
        <w:t>ve</w:t>
      </w:r>
      <w:r w:rsidR="00CC2746">
        <w:t xml:space="preserve"> contributed to significant practical issues and a likely high incidence of non</w:t>
      </w:r>
      <w:r w:rsidR="00CC2746">
        <w:noBreakHyphen/>
        <w:t>compliance.</w:t>
      </w:r>
      <w:r w:rsidR="005B4C80">
        <w:t xml:space="preserve"> </w:t>
      </w:r>
      <w:r w:rsidR="00904581">
        <w:t>It was evident that the existing ru</w:t>
      </w:r>
      <w:r w:rsidR="00DC5C99">
        <w:t>les require some changes to ensure they better reflect the underlying policy</w:t>
      </w:r>
      <w:r w:rsidR="00904581">
        <w:t>.</w:t>
      </w:r>
    </w:p>
    <w:p w14:paraId="3002AAAF" w14:textId="75F7BAD9" w:rsidR="005B4C80" w:rsidRDefault="00FD39F0" w:rsidP="009B5310">
      <w:pPr>
        <w:pStyle w:val="NumberedParagraph3"/>
      </w:pPr>
      <w:r>
        <w:t xml:space="preserve">In an effort to address the problems and </w:t>
      </w:r>
      <w:r w:rsidR="00396A2D">
        <w:t xml:space="preserve">to </w:t>
      </w:r>
      <w:r w:rsidR="000C1220">
        <w:t xml:space="preserve">provide both taxpayers and the ATO </w:t>
      </w:r>
      <w:r>
        <w:t xml:space="preserve">with greater certainty </w:t>
      </w:r>
      <w:r w:rsidR="00396A2D">
        <w:t>regarding</w:t>
      </w:r>
      <w:r>
        <w:t xml:space="preserve"> the law and predictability in its application, the Board has developed a set of </w:t>
      </w:r>
      <w:r w:rsidR="00871CC2">
        <w:t>principles that</w:t>
      </w:r>
      <w:r>
        <w:t xml:space="preserve"> </w:t>
      </w:r>
      <w:r w:rsidR="000C1220">
        <w:t xml:space="preserve">seek to </w:t>
      </w:r>
      <w:r>
        <w:t>deal with constituent and sequential schemes</w:t>
      </w:r>
      <w:r w:rsidR="00226CBB">
        <w:t xml:space="preserve"> (including stapled structures)</w:t>
      </w:r>
      <w:r>
        <w:t>.</w:t>
      </w:r>
    </w:p>
    <w:p w14:paraId="715AD603" w14:textId="46809A8F" w:rsidR="00D92355" w:rsidRDefault="005B4C80" w:rsidP="009B5310">
      <w:pPr>
        <w:pStyle w:val="NumberedParagraph3"/>
      </w:pPr>
      <w:r>
        <w:t xml:space="preserve">The proposed </w:t>
      </w:r>
      <w:r w:rsidR="000C1220">
        <w:t>principles</w:t>
      </w:r>
      <w:r>
        <w:t xml:space="preserve"> </w:t>
      </w:r>
      <w:r w:rsidR="000C1220">
        <w:t>are</w:t>
      </w:r>
      <w:r>
        <w:t xml:space="preserve"> intended to </w:t>
      </w:r>
      <w:r w:rsidR="00355DC1">
        <w:t xml:space="preserve">form the basis for a set of rules which, if enacted, would </w:t>
      </w:r>
      <w:r>
        <w:t>replace the existing related scheme</w:t>
      </w:r>
      <w:r w:rsidR="000C3853">
        <w:t xml:space="preserve"> provisions in section</w:t>
      </w:r>
      <w:r w:rsidR="00BD6EA4">
        <w:t>s</w:t>
      </w:r>
      <w:r w:rsidR="000C3853">
        <w:t xml:space="preserve"> 974-</w:t>
      </w:r>
      <w:r w:rsidR="00D4706F">
        <w:t>15</w:t>
      </w:r>
      <w:r w:rsidR="00BD6EA4">
        <w:t xml:space="preserve"> and</w:t>
      </w:r>
      <w:r w:rsidR="00D4706F">
        <w:t xml:space="preserve"> 974-70</w:t>
      </w:r>
      <w:r w:rsidR="00BD6EA4">
        <w:t>,</w:t>
      </w:r>
      <w:r>
        <w:t xml:space="preserve"> and</w:t>
      </w:r>
      <w:r w:rsidR="00BD6EA4">
        <w:t xml:space="preserve"> the integrity provisions in</w:t>
      </w:r>
      <w:r>
        <w:t xml:space="preserve"> section 974-80. That is, </w:t>
      </w:r>
      <w:r w:rsidR="00355DC1">
        <w:t xml:space="preserve">to give effect to the Board’s proposal, </w:t>
      </w:r>
      <w:r w:rsidR="00226CBB">
        <w:t xml:space="preserve">the </w:t>
      </w:r>
      <w:r>
        <w:t>existing related scheme</w:t>
      </w:r>
      <w:r w:rsidR="000C3853">
        <w:t xml:space="preserve"> provisions in section</w:t>
      </w:r>
      <w:r w:rsidR="00D4706F">
        <w:t>s</w:t>
      </w:r>
      <w:r w:rsidR="000C3853">
        <w:t xml:space="preserve"> 974-70</w:t>
      </w:r>
      <w:r>
        <w:t xml:space="preserve"> and 974-80 </w:t>
      </w:r>
      <w:r w:rsidR="004458C0">
        <w:t xml:space="preserve">would need to be </w:t>
      </w:r>
      <w:proofErr w:type="gramStart"/>
      <w:r w:rsidR="004458C0">
        <w:t>repealed</w:t>
      </w:r>
      <w:r>
        <w:t xml:space="preserve">  </w:t>
      </w:r>
      <w:r w:rsidR="00D92355">
        <w:t>and</w:t>
      </w:r>
      <w:proofErr w:type="gramEnd"/>
      <w:r w:rsidR="00D92355">
        <w:t xml:space="preserve"> </w:t>
      </w:r>
      <w:r>
        <w:t>repla</w:t>
      </w:r>
      <w:r w:rsidR="00226CBB">
        <w:t>ce</w:t>
      </w:r>
      <w:r w:rsidR="004458C0">
        <w:t>d</w:t>
      </w:r>
      <w:r w:rsidR="00226CBB">
        <w:t xml:space="preserve"> </w:t>
      </w:r>
      <w:r>
        <w:t xml:space="preserve">with the new </w:t>
      </w:r>
      <w:r w:rsidR="000019EF">
        <w:t>rules</w:t>
      </w:r>
      <w:r>
        <w:t>.</w:t>
      </w:r>
    </w:p>
    <w:p w14:paraId="08A34ECE" w14:textId="3ED4FBE2" w:rsidR="009A0DAE" w:rsidRDefault="00D92355" w:rsidP="009B5310">
      <w:pPr>
        <w:pStyle w:val="NumberedParagraph3"/>
      </w:pPr>
      <w:r>
        <w:t>T</w:t>
      </w:r>
      <w:r w:rsidR="005B4C80">
        <w:t xml:space="preserve">he new </w:t>
      </w:r>
      <w:r w:rsidR="000019EF">
        <w:t>rules</w:t>
      </w:r>
      <w:r w:rsidR="005B4C80">
        <w:t xml:space="preserve"> would operate </w:t>
      </w:r>
      <w:r w:rsidR="00E31CB2">
        <w:t>with a consistent approach</w:t>
      </w:r>
      <w:r w:rsidR="001222EB">
        <w:t>,</w:t>
      </w:r>
      <w:r w:rsidR="00E31CB2">
        <w:t xml:space="preserve"> using identifiable and objectively observable touchstones </w:t>
      </w:r>
      <w:r w:rsidR="005B4C80">
        <w:t>to identify at the outset the</w:t>
      </w:r>
      <w:r w:rsidR="00337C2D">
        <w:t xml:space="preserve"> most appropriate</w:t>
      </w:r>
      <w:r w:rsidR="005B4C80">
        <w:t xml:space="preserve"> scheme </w:t>
      </w:r>
      <w:r w:rsidR="00337C2D">
        <w:t xml:space="preserve">(whether an aggregated scheme or separate component schemes) </w:t>
      </w:r>
      <w:r w:rsidR="005B4C80">
        <w:t xml:space="preserve">that is then characterised as either </w:t>
      </w:r>
      <w:r w:rsidR="00E31CB2">
        <w:t xml:space="preserve">a </w:t>
      </w:r>
      <w:r w:rsidR="005B4C80">
        <w:t>debt or equity</w:t>
      </w:r>
      <w:r w:rsidR="00175F8A">
        <w:t xml:space="preserve"> </w:t>
      </w:r>
      <w:r w:rsidR="00581A52">
        <w:t>interest</w:t>
      </w:r>
      <w:r w:rsidR="00175F8A">
        <w:t xml:space="preserve"> under the existing debt</w:t>
      </w:r>
      <w:r w:rsidR="00E31CB2">
        <w:t xml:space="preserve"> </w:t>
      </w:r>
      <w:r w:rsidR="00175F8A">
        <w:t>and equity test</w:t>
      </w:r>
      <w:r w:rsidR="00E31CB2">
        <w:t>s</w:t>
      </w:r>
      <w:r w:rsidR="005B4C80">
        <w:t>.</w:t>
      </w:r>
      <w:r w:rsidR="00337C2D">
        <w:t xml:space="preserve"> Once characterised, the relevant operative provisions of the taxation law would be applied to </w:t>
      </w:r>
      <w:r w:rsidR="001222EB">
        <w:t xml:space="preserve">the identified scheme’s </w:t>
      </w:r>
      <w:r w:rsidR="00E31CB2">
        <w:t xml:space="preserve">financial benefits, and if the identified scheme has component schemes that are aggregated to each </w:t>
      </w:r>
      <w:r w:rsidR="001222EB">
        <w:t>component scheme’s</w:t>
      </w:r>
      <w:r w:rsidR="00E31CB2">
        <w:t xml:space="preserve"> financial benefit </w:t>
      </w:r>
      <w:r w:rsidR="00337C2D">
        <w:t>based on the overall debt or equity characterisation</w:t>
      </w:r>
      <w:r w:rsidR="00337C2D" w:rsidRPr="009624EA">
        <w:t>.</w:t>
      </w:r>
    </w:p>
    <w:p w14:paraId="44D11425" w14:textId="570FD86B" w:rsidR="00BB4431" w:rsidRDefault="00D92355" w:rsidP="009B5310">
      <w:pPr>
        <w:pStyle w:val="NumberedParagraph3"/>
      </w:pPr>
      <w:r w:rsidRPr="009624EA">
        <w:t>This contrast</w:t>
      </w:r>
      <w:r w:rsidR="00DF2316">
        <w:t>s with</w:t>
      </w:r>
      <w:r w:rsidRPr="009624EA">
        <w:t xml:space="preserve"> the current rules</w:t>
      </w:r>
      <w:r w:rsidR="00DF2316">
        <w:t>,</w:t>
      </w:r>
      <w:r w:rsidRPr="009624EA">
        <w:t xml:space="preserve"> which </w:t>
      </w:r>
      <w:r w:rsidR="00E31CB2">
        <w:t>have a</w:t>
      </w:r>
      <w:r w:rsidR="00DF2316">
        <w:t>n in</w:t>
      </w:r>
      <w:r w:rsidR="00E31CB2">
        <w:t>consistent approach</w:t>
      </w:r>
      <w:r w:rsidR="00DF2316">
        <w:t xml:space="preserve"> and</w:t>
      </w:r>
      <w:r w:rsidR="00E31CB2">
        <w:t xml:space="preserve"> do not give identifiable and objectively observable touchstones to identify which arrangements need to be aggregated and which do not</w:t>
      </w:r>
      <w:r w:rsidR="00DF2316">
        <w:t xml:space="preserve">. </w:t>
      </w:r>
      <w:r w:rsidR="00E31CB2">
        <w:t xml:space="preserve"> </w:t>
      </w:r>
      <w:r w:rsidR="00DF2316">
        <w:t>I</w:t>
      </w:r>
      <w:r w:rsidR="00E31CB2">
        <w:t xml:space="preserve">n the case of </w:t>
      </w:r>
      <w:r w:rsidR="00E1599A">
        <w:t>section </w:t>
      </w:r>
      <w:r w:rsidR="00E31CB2">
        <w:t>974-80</w:t>
      </w:r>
      <w:r w:rsidR="00DF2316">
        <w:t>,</w:t>
      </w:r>
      <w:r>
        <w:t xml:space="preserve"> the debt and equity test</w:t>
      </w:r>
      <w:r w:rsidR="00E31CB2">
        <w:t>s</w:t>
      </w:r>
      <w:r>
        <w:t xml:space="preserve"> </w:t>
      </w:r>
      <w:r w:rsidR="00DF2316">
        <w:t>are</w:t>
      </w:r>
      <w:r>
        <w:t xml:space="preserve"> applied to </w:t>
      </w:r>
      <w:r w:rsidR="00E31CB2">
        <w:t xml:space="preserve">component parts of </w:t>
      </w:r>
      <w:r>
        <w:t>a scheme at the time the scheme</w:t>
      </w:r>
      <w:r w:rsidR="005526AE">
        <w:t xml:space="preserve"> first</w:t>
      </w:r>
      <w:r>
        <w:t xml:space="preserve"> comes into existence, followed by the</w:t>
      </w:r>
      <w:r w:rsidR="00337C2D">
        <w:t xml:space="preserve"> potential</w:t>
      </w:r>
      <w:r>
        <w:t xml:space="preserve"> application of </w:t>
      </w:r>
      <w:r w:rsidR="005526AE">
        <w:t xml:space="preserve">the </w:t>
      </w:r>
      <w:proofErr w:type="spellStart"/>
      <w:r w:rsidR="005526AE">
        <w:t>recharacterisation</w:t>
      </w:r>
      <w:proofErr w:type="spellEnd"/>
      <w:r w:rsidR="005526AE">
        <w:t xml:space="preserve"> provisions in </w:t>
      </w:r>
      <w:r>
        <w:t>section 974-80.</w:t>
      </w:r>
      <w:r w:rsidR="00DC5C99">
        <w:t xml:space="preserve"> In this sense, the</w:t>
      </w:r>
      <w:r w:rsidR="00581A52">
        <w:t xml:space="preserve"> new rules</w:t>
      </w:r>
      <w:r w:rsidR="00DC5C99">
        <w:t xml:space="preserve"> would not only address the uncertainties associated with these provisions</w:t>
      </w:r>
      <w:r w:rsidR="00DA4111">
        <w:t xml:space="preserve"> -</w:t>
      </w:r>
      <w:r w:rsidR="00DC5C99">
        <w:t xml:space="preserve"> </w:t>
      </w:r>
      <w:r w:rsidR="00581A52">
        <w:t>the</w:t>
      </w:r>
      <w:r w:rsidR="00DA4111">
        <w:t>y</w:t>
      </w:r>
      <w:r w:rsidR="00581A52">
        <w:t xml:space="preserve"> would</w:t>
      </w:r>
      <w:r w:rsidR="00DC5C99">
        <w:t xml:space="preserve"> simplify the </w:t>
      </w:r>
      <w:r w:rsidR="002A1A79">
        <w:t xml:space="preserve">operation and structure of debt and </w:t>
      </w:r>
      <w:r w:rsidR="00DC5C99">
        <w:t>equity</w:t>
      </w:r>
      <w:r w:rsidR="005526AE">
        <w:t xml:space="preserve"> tax</w:t>
      </w:r>
      <w:r w:rsidR="00DC5C99">
        <w:t xml:space="preserve"> rules generally. The Board is of the </w:t>
      </w:r>
      <w:r w:rsidR="00DC5C99">
        <w:lastRenderedPageBreak/>
        <w:t>view that this approach is a better way of giving effect to the policy intent of Division</w:t>
      </w:r>
      <w:r w:rsidR="002A401A">
        <w:t> </w:t>
      </w:r>
      <w:r w:rsidR="00DC5C99">
        <w:t xml:space="preserve">974. </w:t>
      </w:r>
      <w:r>
        <w:t xml:space="preserve"> </w:t>
      </w:r>
    </w:p>
    <w:p w14:paraId="23FEAE3A" w14:textId="54F84646" w:rsidR="00175F8A" w:rsidRDefault="00DC5C99" w:rsidP="009B5310">
      <w:pPr>
        <w:pStyle w:val="NumberedParagraph3"/>
      </w:pPr>
      <w:r>
        <w:t xml:space="preserve">To provide further certainty and guidance to taxpayers, the Board recommends that </w:t>
      </w:r>
      <w:r w:rsidR="00D103F9">
        <w:t>the</w:t>
      </w:r>
      <w:r w:rsidR="00175F8A">
        <w:t xml:space="preserve"> new </w:t>
      </w:r>
      <w:r>
        <w:t xml:space="preserve">rules </w:t>
      </w:r>
      <w:r w:rsidR="00175F8A">
        <w:t xml:space="preserve">be supported by a number of </w:t>
      </w:r>
      <w:r w:rsidR="003D2503">
        <w:t xml:space="preserve">commercially relevant </w:t>
      </w:r>
      <w:r w:rsidR="00175F8A">
        <w:t>examples</w:t>
      </w:r>
      <w:r w:rsidR="004464DE">
        <w:t xml:space="preserve">.  </w:t>
      </w:r>
    </w:p>
    <w:p w14:paraId="5F79D055" w14:textId="3E090A44" w:rsidR="00C115DE" w:rsidRDefault="006412A9" w:rsidP="009B5310">
      <w:pPr>
        <w:pStyle w:val="NumberedParagraph3"/>
      </w:pPr>
      <w:r>
        <w:t>The Board has</w:t>
      </w:r>
      <w:r w:rsidR="00C115DE">
        <w:t xml:space="preserve"> developed 8 examples which would demonstrate the application of the proposed new set of rules to common scenarios. It is anticipated that examples could be given the force of law by the Minister making a legislative instrument that sets out the examples.</w:t>
      </w:r>
    </w:p>
    <w:p w14:paraId="6DF1D01E" w14:textId="77777777" w:rsidR="00C115DE" w:rsidRDefault="00C115DE" w:rsidP="009B5310">
      <w:pPr>
        <w:pStyle w:val="NumberedParagraph3"/>
      </w:pPr>
      <w:r>
        <w:t>An alternative to making a legislative instrument would be to include the examples in the Explanatory Memorandum. However, the interpretative force of material in the Explanatory Memorandum has significant limitations, particularly when interpretation is challenged in a court, where material outside the legislation is generally disregarded other than in cases of ambiguous language.</w:t>
      </w:r>
    </w:p>
    <w:p w14:paraId="70B1C198" w14:textId="29BA2792" w:rsidR="00C115DE" w:rsidRDefault="00C115DE" w:rsidP="009B5310">
      <w:pPr>
        <w:pStyle w:val="NumberedParagraph3"/>
      </w:pPr>
      <w:r>
        <w:t xml:space="preserve">Consequently, the Board’s preference is for the examples that support the legislative principles to be in the form of a legislative instrument. The Board recognises that this is an unusual approach but considers that it is appropriate in the present circumstances given the need to ascertain the substance, rather than merely the form, of a transaction under the debt and equity </w:t>
      </w:r>
      <w:r w:rsidR="005526AE">
        <w:t xml:space="preserve">tax </w:t>
      </w:r>
      <w:r>
        <w:t>rules.</w:t>
      </w:r>
      <w:r w:rsidR="003D2503">
        <w:rPr>
          <w:rStyle w:val="FootnoteReference"/>
        </w:rPr>
        <w:footnoteReference w:id="10"/>
      </w:r>
    </w:p>
    <w:p w14:paraId="3AD26A61" w14:textId="53ACBE13" w:rsidR="00C115DE" w:rsidRDefault="00C115DE" w:rsidP="009B5310">
      <w:pPr>
        <w:pStyle w:val="NumberedParagraph3"/>
      </w:pPr>
      <w:r>
        <w:t xml:space="preserve">It is also noted by the Board that the examples would be of particular relevance in determining whether or not a position </w:t>
      </w:r>
      <w:r w:rsidR="005526AE">
        <w:t>taken</w:t>
      </w:r>
      <w:r>
        <w:t xml:space="preserve"> by a taxpayer is</w:t>
      </w:r>
      <w:r w:rsidR="005526AE">
        <w:t xml:space="preserve"> a</w:t>
      </w:r>
      <w:r>
        <w:t xml:space="preserve"> “reasonably arguable”</w:t>
      </w:r>
      <w:r w:rsidR="005526AE">
        <w:t xml:space="preserve"> position</w:t>
      </w:r>
      <w:r>
        <w:t>.</w:t>
      </w:r>
    </w:p>
    <w:p w14:paraId="2B6A9586" w14:textId="05052357" w:rsidR="00CD61D9" w:rsidRDefault="00FD39F0" w:rsidP="009B5310">
      <w:pPr>
        <w:pStyle w:val="NumberedParagraph3"/>
      </w:pPr>
      <w:r>
        <w:t>The Board acknowledges that it will be difficult to remove all complexity associa</w:t>
      </w:r>
      <w:r w:rsidR="00567099">
        <w:t xml:space="preserve">ted with these provisions, and </w:t>
      </w:r>
      <w:r>
        <w:t>uncertainty and complexi</w:t>
      </w:r>
      <w:r w:rsidR="00A121C2">
        <w:t xml:space="preserve">ty. </w:t>
      </w:r>
      <w:r w:rsidR="00A943CE">
        <w:t>The Board has sought</w:t>
      </w:r>
      <w:r w:rsidR="00A121C2">
        <w:t xml:space="preserve"> </w:t>
      </w:r>
      <w:r>
        <w:t xml:space="preserve">to develop </w:t>
      </w:r>
      <w:r w:rsidR="00F20590">
        <w:t xml:space="preserve">principles </w:t>
      </w:r>
      <w:r>
        <w:t xml:space="preserve">that </w:t>
      </w:r>
      <w:r w:rsidR="000019EF">
        <w:t xml:space="preserve">will allow taxpayers to </w:t>
      </w:r>
      <w:r>
        <w:t>make a self</w:t>
      </w:r>
      <w:r w:rsidR="00A943CE">
        <w:noBreakHyphen/>
      </w:r>
      <w:r>
        <w:t xml:space="preserve">assessment </w:t>
      </w:r>
      <w:r w:rsidR="000C19BD">
        <w:t>confidently</w:t>
      </w:r>
      <w:r>
        <w:t xml:space="preserve"> </w:t>
      </w:r>
      <w:r w:rsidR="000019EF">
        <w:t xml:space="preserve">in all but rare cases. </w:t>
      </w:r>
    </w:p>
    <w:p w14:paraId="7C6EB84A" w14:textId="4A06ED3D" w:rsidR="00963AE2" w:rsidRDefault="00F20590" w:rsidP="009B5310">
      <w:pPr>
        <w:pStyle w:val="NumberedParagraph3"/>
      </w:pPr>
      <w:r>
        <w:t>The Board envisages that t</w:t>
      </w:r>
      <w:r w:rsidR="00FD39F0">
        <w:t xml:space="preserve">he new </w:t>
      </w:r>
      <w:r w:rsidR="000019EF">
        <w:t xml:space="preserve">rules </w:t>
      </w:r>
      <w:r>
        <w:t>would align the scope of the relevant</w:t>
      </w:r>
      <w:r w:rsidR="00FD39F0">
        <w:t xml:space="preserve"> </w:t>
      </w:r>
      <w:r>
        <w:t xml:space="preserve">provisions with the original policy intent </w:t>
      </w:r>
      <w:r w:rsidR="00FD39F0">
        <w:t>s</w:t>
      </w:r>
      <w:r w:rsidR="000019EF">
        <w:t>o</w:t>
      </w:r>
      <w:r w:rsidR="00FD39F0">
        <w:t xml:space="preserve"> that </w:t>
      </w:r>
      <w:r w:rsidR="00CF4957">
        <w:t>fewer</w:t>
      </w:r>
      <w:r w:rsidR="00FD39F0">
        <w:t xml:space="preserve"> arrangements will </w:t>
      </w:r>
      <w:r w:rsidR="00EF2BC2">
        <w:t xml:space="preserve">need to be tested against the related scheme </w:t>
      </w:r>
      <w:r w:rsidR="003D2503">
        <w:t xml:space="preserve">and section 974-80 </w:t>
      </w:r>
      <w:r w:rsidR="00EF2BC2">
        <w:t>provisions</w:t>
      </w:r>
      <w:r w:rsidR="002B0563">
        <w:t>.</w:t>
      </w:r>
      <w:r w:rsidR="00EF2BC2">
        <w:t xml:space="preserve"> </w:t>
      </w:r>
      <w:r w:rsidR="002B0563">
        <w:t>F</w:t>
      </w:r>
      <w:r w:rsidR="00EF2BC2">
        <w:t>or those that do need to be tested</w:t>
      </w:r>
      <w:r w:rsidR="002B0563">
        <w:t>,</w:t>
      </w:r>
      <w:r w:rsidR="00EF2BC2">
        <w:t xml:space="preserve"> there will be </w:t>
      </w:r>
      <w:r w:rsidR="00D103F9">
        <w:t xml:space="preserve">more certainty </w:t>
      </w:r>
      <w:r w:rsidR="00EF2BC2">
        <w:t>in the testing process.</w:t>
      </w:r>
    </w:p>
    <w:p w14:paraId="3EA0EB30" w14:textId="5041CE92" w:rsidR="00FD39F0" w:rsidRDefault="00963AE2" w:rsidP="009B5310">
      <w:pPr>
        <w:pStyle w:val="NumberedParagraph3"/>
      </w:pPr>
      <w:r>
        <w:t xml:space="preserve">The Board’s proposed approach establishes </w:t>
      </w:r>
      <w:r w:rsidR="00F20590">
        <w:t>principles</w:t>
      </w:r>
      <w:r w:rsidR="00EE0D2D">
        <w:t xml:space="preserve"> </w:t>
      </w:r>
      <w:r>
        <w:t xml:space="preserve">to address uncertainty </w:t>
      </w:r>
      <w:r w:rsidR="00401EAE">
        <w:t>regarding</w:t>
      </w:r>
      <w:r>
        <w:t xml:space="preserve"> the characterisation of schemes.</w:t>
      </w:r>
      <w:r w:rsidR="006E0D3B">
        <w:t xml:space="preserve"> </w:t>
      </w:r>
      <w:r w:rsidR="00401EAE">
        <w:t>Introducing c</w:t>
      </w:r>
      <w:r w:rsidR="00F20590">
        <w:t>learer rules giving effect to the proposed principles</w:t>
      </w:r>
      <w:r>
        <w:t xml:space="preserve"> w</w:t>
      </w:r>
      <w:r w:rsidR="00401EAE">
        <w:t>ould</w:t>
      </w:r>
      <w:r>
        <w:t xml:space="preserve"> </w:t>
      </w:r>
      <w:r w:rsidR="00401EAE">
        <w:t>help</w:t>
      </w:r>
      <w:r>
        <w:t xml:space="preserve"> taxpayers self-assess</w:t>
      </w:r>
      <w:r w:rsidR="00401EAE">
        <w:t xml:space="preserve"> their situation</w:t>
      </w:r>
      <w:r>
        <w:t xml:space="preserve">. </w:t>
      </w:r>
      <w:r w:rsidR="00F20590">
        <w:t xml:space="preserve">These new rules </w:t>
      </w:r>
      <w:r w:rsidR="00F20590">
        <w:lastRenderedPageBreak/>
        <w:t xml:space="preserve">would be complemented by commercially </w:t>
      </w:r>
      <w:r w:rsidR="002A1A79">
        <w:t xml:space="preserve">relevant </w:t>
      </w:r>
      <w:r w:rsidR="00241678">
        <w:t xml:space="preserve">examples, which </w:t>
      </w:r>
      <w:r w:rsidR="00401EAE">
        <w:t>would be made by legislative instrument and therefore</w:t>
      </w:r>
      <w:r w:rsidR="00241678">
        <w:t xml:space="preserve"> have the force of law. If the principles and examples do not provide clarity, taxpayers w</w:t>
      </w:r>
      <w:r w:rsidR="00401EAE">
        <w:t>ould</w:t>
      </w:r>
      <w:r w:rsidR="00241678">
        <w:t xml:space="preserve"> be able to consult ATO guidance. Finally, as a last resort, taxpayers </w:t>
      </w:r>
      <w:r w:rsidR="00401EAE">
        <w:t>could</w:t>
      </w:r>
      <w:r w:rsidR="00241678">
        <w:t xml:space="preserve"> seek a determination from the Commissioner</w:t>
      </w:r>
      <w:r w:rsidR="00F20590">
        <w:t xml:space="preserve"> </w:t>
      </w:r>
      <w:r w:rsidR="00401EAE">
        <w:t xml:space="preserve">of Taxation </w:t>
      </w:r>
      <w:r w:rsidR="00F20590">
        <w:t xml:space="preserve">to not aggregate </w:t>
      </w:r>
      <w:r w:rsidR="00A943CE">
        <w:t>two or more</w:t>
      </w:r>
      <w:r w:rsidR="00F20590">
        <w:t xml:space="preserve"> schemes</w:t>
      </w:r>
      <w:r w:rsidR="00A943CE">
        <w:t xml:space="preserve"> if the rules as applied on a self</w:t>
      </w:r>
      <w:r w:rsidR="00401EAE">
        <w:noBreakHyphen/>
      </w:r>
      <w:r w:rsidR="00A943CE">
        <w:t xml:space="preserve">assessment basis </w:t>
      </w:r>
      <w:r w:rsidR="00BD2071">
        <w:t>in</w:t>
      </w:r>
      <w:r w:rsidR="00A943CE">
        <w:t>appropriately lead to an aggregation of the schemes</w:t>
      </w:r>
      <w:r w:rsidR="00241678">
        <w:t>.</w:t>
      </w:r>
    </w:p>
    <w:p w14:paraId="3E6B7777" w14:textId="6745EF23" w:rsidR="002A1A79" w:rsidRDefault="00B22AAC" w:rsidP="009B5310">
      <w:pPr>
        <w:pStyle w:val="NumberedParagraph3"/>
        <w:spacing w:after="180"/>
      </w:pPr>
      <w:r>
        <w:t xml:space="preserve">When applying the debt and equity </w:t>
      </w:r>
      <w:r w:rsidR="003D2503">
        <w:t xml:space="preserve">tax </w:t>
      </w:r>
      <w:r>
        <w:t xml:space="preserve">rules more broadly, </w:t>
      </w:r>
      <w:r w:rsidR="00401EAE">
        <w:t xml:space="preserve">a </w:t>
      </w:r>
      <w:r>
        <w:t xml:space="preserve">three-step process would </w:t>
      </w:r>
      <w:r w:rsidR="00401EAE">
        <w:t>involve</w:t>
      </w:r>
      <w:r>
        <w:t>:</w:t>
      </w:r>
    </w:p>
    <w:p w14:paraId="3BD2E0B4" w14:textId="00F3ECE8" w:rsidR="00B22AAC" w:rsidRDefault="00401EAE" w:rsidP="009B5310">
      <w:pPr>
        <w:pStyle w:val="Romannumeral"/>
        <w:spacing w:after="180"/>
      </w:pPr>
      <w:r>
        <w:t>a</w:t>
      </w:r>
      <w:r w:rsidR="00B22AAC">
        <w:t>pply</w:t>
      </w:r>
      <w:r w:rsidR="004D49FF">
        <w:t>ing</w:t>
      </w:r>
      <w:r w:rsidR="00B22AAC">
        <w:t xml:space="preserve"> the new integrated provision to identify the scheme;</w:t>
      </w:r>
    </w:p>
    <w:p w14:paraId="24033661" w14:textId="745F7486" w:rsidR="00B22AAC" w:rsidRDefault="00401EAE" w:rsidP="009B5310">
      <w:pPr>
        <w:pStyle w:val="Romannumeral"/>
        <w:spacing w:after="180"/>
      </w:pPr>
      <w:r>
        <w:t>a</w:t>
      </w:r>
      <w:r w:rsidR="00B22AAC">
        <w:t>pply</w:t>
      </w:r>
      <w:r w:rsidR="004D49FF">
        <w:t>ing</w:t>
      </w:r>
      <w:r w:rsidR="00B22AAC">
        <w:t xml:space="preserve"> the debt and equity test to the scheme identified in (i) to determine its character; </w:t>
      </w:r>
      <w:r w:rsidR="00514A7C">
        <w:t>then</w:t>
      </w:r>
    </w:p>
    <w:p w14:paraId="2A49EAAD" w14:textId="7B9FFF4D" w:rsidR="00B22AAC" w:rsidRDefault="005829EE" w:rsidP="009B5310">
      <w:pPr>
        <w:pStyle w:val="Romannumeral"/>
        <w:spacing w:after="180"/>
      </w:pPr>
      <w:proofErr w:type="gramStart"/>
      <w:r>
        <w:t>using</w:t>
      </w:r>
      <w:proofErr w:type="gramEnd"/>
      <w:r>
        <w:t xml:space="preserve"> the debt or equity characterisation in (ii), </w:t>
      </w:r>
      <w:r w:rsidR="00514A7C">
        <w:t>a</w:t>
      </w:r>
      <w:r w:rsidR="00B22AAC">
        <w:t>pply</w:t>
      </w:r>
      <w:r w:rsidR="004D49FF">
        <w:t>ing</w:t>
      </w:r>
      <w:r w:rsidR="00B22AAC">
        <w:t xml:space="preserve"> the operative provisions in the Act</w:t>
      </w:r>
      <w:r w:rsidR="00482188">
        <w:t xml:space="preserve"> to each instrument</w:t>
      </w:r>
      <w:r>
        <w:t>, comprising the scheme,</w:t>
      </w:r>
      <w:r w:rsidR="00B22AAC">
        <w:t xml:space="preserve"> to get an outcome for the scheme.  </w:t>
      </w:r>
    </w:p>
    <w:p w14:paraId="70BCB49A" w14:textId="3109C6DF" w:rsidR="00B22AAC" w:rsidRDefault="00C8340C" w:rsidP="009B5310">
      <w:pPr>
        <w:pStyle w:val="NumberedParagraph3"/>
      </w:pPr>
      <w:r>
        <w:t>T</w:t>
      </w:r>
      <w:r w:rsidR="00BD2071">
        <w:t>he Act</w:t>
      </w:r>
      <w:r>
        <w:t>’s operative provisions</w:t>
      </w:r>
      <w:r w:rsidR="00BD2071">
        <w:t xml:space="preserve"> would be </w:t>
      </w:r>
      <w:r>
        <w:t>expected to</w:t>
      </w:r>
      <w:r w:rsidR="00BD2071">
        <w:t xml:space="preserve"> appl</w:t>
      </w:r>
      <w:r>
        <w:t>y</w:t>
      </w:r>
      <w:r w:rsidR="00BD2071">
        <w:t xml:space="preserve"> </w:t>
      </w:r>
      <w:r w:rsidR="00867D5A">
        <w:t>on a ‘per instrument’ basis</w:t>
      </w:r>
      <w:r w:rsidR="00BF155A">
        <w:t>. This is</w:t>
      </w:r>
      <w:r w:rsidR="0075230D">
        <w:t xml:space="preserve"> because </w:t>
      </w:r>
      <w:r w:rsidR="00B22AAC">
        <w:t>th</w:t>
      </w:r>
      <w:r>
        <w:t>eir</w:t>
      </w:r>
      <w:r w:rsidR="00B22AAC">
        <w:t xml:space="preserve"> character </w:t>
      </w:r>
      <w:r w:rsidR="00174EF9">
        <w:t>i</w:t>
      </w:r>
      <w:r w:rsidR="0075230D">
        <w:t>s determined</w:t>
      </w:r>
      <w:r w:rsidR="00BD2071">
        <w:t xml:space="preserve"> either in relation to the independent schemes or the aggregated schemes</w:t>
      </w:r>
      <w:r>
        <w:t>,</w:t>
      </w:r>
      <w:r w:rsidR="0075230D">
        <w:t xml:space="preserve"> by looking at</w:t>
      </w:r>
      <w:r w:rsidR="00B22AAC">
        <w:t xml:space="preserve"> the instrument as a</w:t>
      </w:r>
      <w:r w:rsidR="0075230D">
        <w:t xml:space="preserve"> part of </w:t>
      </w:r>
      <w:r w:rsidR="00B22AAC">
        <w:t>an interdependent or interconnected whole.</w:t>
      </w:r>
    </w:p>
    <w:p w14:paraId="12697C46" w14:textId="7B50FB14" w:rsidR="00A97C33" w:rsidRDefault="00A97C33" w:rsidP="009B5310">
      <w:pPr>
        <w:pStyle w:val="NumberedParagraph3"/>
      </w:pPr>
      <w:r>
        <w:t xml:space="preserve">The Board acknowledges that the date of application of any changes to the law is a matter for Government. However, the Board considers that any changes </w:t>
      </w:r>
      <w:r w:rsidR="000F23A5">
        <w:t xml:space="preserve">emerging from this report </w:t>
      </w:r>
      <w:r>
        <w:t xml:space="preserve">to </w:t>
      </w:r>
      <w:r w:rsidR="00BF155A">
        <w:t xml:space="preserve">the related scheme and </w:t>
      </w:r>
      <w:r>
        <w:t>section 974-80 provision</w:t>
      </w:r>
      <w:r w:rsidR="000F23A5">
        <w:t>s</w:t>
      </w:r>
      <w:r w:rsidR="00766287">
        <w:t xml:space="preserve"> </w:t>
      </w:r>
      <w:r>
        <w:t>should apply prospectively</w:t>
      </w:r>
      <w:r w:rsidR="00766287">
        <w:t xml:space="preserve">. The application of previously announced measures relating only to section 974-80 (and not to the related scheme provisions) will </w:t>
      </w:r>
      <w:r w:rsidR="00462399">
        <w:t>need to be</w:t>
      </w:r>
      <w:r w:rsidR="00766287">
        <w:t xml:space="preserve"> consider</w:t>
      </w:r>
      <w:r w:rsidR="00462399">
        <w:t>ed separately</w:t>
      </w:r>
      <w:r w:rsidR="00766287">
        <w:t xml:space="preserve"> in the context of the legislative </w:t>
      </w:r>
      <w:r w:rsidR="00867D5A">
        <w:t>protection</w:t>
      </w:r>
      <w:r w:rsidR="00766287">
        <w:t xml:space="preserve"> measure applicable to other announced but </w:t>
      </w:r>
      <w:proofErr w:type="spellStart"/>
      <w:r w:rsidR="00766287">
        <w:t>unenacted</w:t>
      </w:r>
      <w:proofErr w:type="spellEnd"/>
      <w:r w:rsidR="00766287">
        <w:t xml:space="preserve"> measures </w:t>
      </w:r>
      <w:r w:rsidR="00EF1FD2">
        <w:t>as at 14</w:t>
      </w:r>
      <w:r w:rsidR="00766287">
        <w:t xml:space="preserve"> December 2013.</w:t>
      </w:r>
    </w:p>
    <w:p w14:paraId="73D1345C" w14:textId="77777777" w:rsidR="00AF1999" w:rsidRPr="00DA2F3F" w:rsidRDefault="00AF1999" w:rsidP="00ED0171">
      <w:pPr>
        <w:pStyle w:val="Heading2"/>
        <w:spacing w:before="240" w:after="200"/>
      </w:pPr>
      <w:bookmarkStart w:id="72" w:name="_Toc406769452"/>
      <w:r>
        <w:t xml:space="preserve">The </w:t>
      </w:r>
      <w:r w:rsidR="00FB2B5A">
        <w:t xml:space="preserve">proposed new </w:t>
      </w:r>
      <w:r w:rsidR="0045310D">
        <w:t>principles</w:t>
      </w:r>
      <w:bookmarkEnd w:id="72"/>
      <w:r w:rsidR="00F20590">
        <w:t xml:space="preserve"> </w:t>
      </w:r>
    </w:p>
    <w:p w14:paraId="28E8455A" w14:textId="6CBD3570" w:rsidR="00C539C7" w:rsidRDefault="00E334B4" w:rsidP="009B5310">
      <w:pPr>
        <w:pStyle w:val="NumberedParagraph3"/>
      </w:pPr>
      <w:r>
        <w:t xml:space="preserve"> </w:t>
      </w:r>
      <w:r w:rsidR="00FB2B5A">
        <w:t xml:space="preserve">The Board proposes that the existing related scheme and section 974-80 provisions should be repealed and replaced </w:t>
      </w:r>
      <w:r w:rsidR="000B1B7A">
        <w:t>with</w:t>
      </w:r>
      <w:r w:rsidR="0045310D">
        <w:t xml:space="preserve"> </w:t>
      </w:r>
      <w:r w:rsidR="0020110A">
        <w:t>a new integrated provision</w:t>
      </w:r>
      <w:r w:rsidR="002157C5">
        <w:t xml:space="preserve"> that will give effect to the two objects of Division 974 set out in existing subsection 974-10(3). </w:t>
      </w:r>
    </w:p>
    <w:p w14:paraId="3BD2B0B2" w14:textId="7838B16C" w:rsidR="002157C5" w:rsidRDefault="002157C5" w:rsidP="009B5310">
      <w:pPr>
        <w:pStyle w:val="NumberedParagraph3"/>
      </w:pPr>
      <w:r>
        <w:t xml:space="preserve">The first object is that the Division should operate on the basis of </w:t>
      </w:r>
      <w:r w:rsidR="00C539C7">
        <w:t xml:space="preserve">the </w:t>
      </w:r>
      <w:r>
        <w:t>economic substance of the rights and obligations arising under two or more schemes, not merely on the basis of the legal form of the schemes. The second object is to prevent the test from being circumvented by entities merely entering into a number of schemes.</w:t>
      </w:r>
    </w:p>
    <w:p w14:paraId="1CD17F7F" w14:textId="250C06D2" w:rsidR="00560A38" w:rsidRDefault="002157C5" w:rsidP="009B5310">
      <w:pPr>
        <w:pStyle w:val="NumberedParagraph3"/>
      </w:pPr>
      <w:r>
        <w:t>At the highest level</w:t>
      </w:r>
      <w:r w:rsidR="00E66F6D">
        <w:t>,</w:t>
      </w:r>
      <w:r>
        <w:t xml:space="preserve"> two broad considerations are involved. The first is that the economic substance of the rights and obligations of the schemes operating together should produce a different result from the actual result of applying the tests to the schemes individually, or to least one of them. </w:t>
      </w:r>
      <w:r w:rsidR="00A069E6">
        <w:t xml:space="preserve">In other words, </w:t>
      </w:r>
      <w:r>
        <w:t xml:space="preserve">the rights and obligations </w:t>
      </w:r>
      <w:r>
        <w:lastRenderedPageBreak/>
        <w:t xml:space="preserve">arising under the schemes as they </w:t>
      </w:r>
      <w:r w:rsidR="00ED0171">
        <w:t>interact would</w:t>
      </w:r>
      <w:r>
        <w:t xml:space="preserve"> alter the substance of their economic consequences.</w:t>
      </w:r>
    </w:p>
    <w:p w14:paraId="2C14F504" w14:textId="4F0253F8" w:rsidR="002157C5" w:rsidRDefault="002157C5" w:rsidP="009B5310">
      <w:pPr>
        <w:pStyle w:val="NumberedParagraph3"/>
      </w:pPr>
      <w:r>
        <w:t xml:space="preserve">The second </w:t>
      </w:r>
      <w:r w:rsidR="00740AD0">
        <w:t>consideration</w:t>
      </w:r>
      <w:r>
        <w:t xml:space="preserve"> is that the individual schemes represent in some sense a separation into individual components of a wider arrangement. This implies that the individual schemes are intended to operate together as a whole to produce the altered result. A conclusion about the economic substance of the legal rights and obligations arising under the schemes requires consideration of </w:t>
      </w:r>
      <w:r w:rsidR="00C04D05">
        <w:t xml:space="preserve">the </w:t>
      </w:r>
      <w:r>
        <w:t>economic</w:t>
      </w:r>
      <w:r w:rsidR="00C04D05">
        <w:t xml:space="preserve"> results obtained</w:t>
      </w:r>
      <w:r>
        <w:t xml:space="preserve"> from the pricing, terms and conditions of the schemes as they interact with each other, </w:t>
      </w:r>
      <w:r w:rsidR="00C04D05">
        <w:t xml:space="preserve">with a focus on the </w:t>
      </w:r>
      <w:r>
        <w:t>intended ultimate effect of the inter-operation of the schemes.</w:t>
      </w:r>
    </w:p>
    <w:p w14:paraId="3B08780A" w14:textId="3DC8A866" w:rsidR="0020110A" w:rsidRDefault="0020110A" w:rsidP="009B5310">
      <w:pPr>
        <w:pStyle w:val="NumberedParagraph3"/>
        <w:spacing w:after="180"/>
      </w:pPr>
      <w:r>
        <w:t xml:space="preserve">While the detail of the new integrated provision is discussed in greater depth in </w:t>
      </w:r>
      <w:r w:rsidRPr="001A6015">
        <w:t xml:space="preserve">paragraph </w:t>
      </w:r>
      <w:r w:rsidR="008C5DBD" w:rsidRPr="001A6015">
        <w:t>3.</w:t>
      </w:r>
      <w:r w:rsidR="00C63AEF" w:rsidRPr="001A6015">
        <w:t>22</w:t>
      </w:r>
      <w:r w:rsidRPr="001A6015">
        <w:t xml:space="preserve">, it is </w:t>
      </w:r>
      <w:r w:rsidR="006512BA" w:rsidRPr="001A6015">
        <w:t>envisaged</w:t>
      </w:r>
      <w:r w:rsidR="006512BA">
        <w:t xml:space="preserve"> </w:t>
      </w:r>
      <w:r>
        <w:t xml:space="preserve">that the following very high-level principles could apply: </w:t>
      </w:r>
    </w:p>
    <w:p w14:paraId="4EF1EC73" w14:textId="77777777" w:rsidR="000A56D9" w:rsidRPr="00B22AAC" w:rsidRDefault="000A56D9" w:rsidP="009B5310">
      <w:pPr>
        <w:pStyle w:val="NumberedParagraph1"/>
        <w:numPr>
          <w:ilvl w:val="0"/>
          <w:numId w:val="0"/>
        </w:numPr>
        <w:spacing w:after="180"/>
        <w:ind w:left="567"/>
      </w:pPr>
      <w:r w:rsidRPr="00B22AAC">
        <w:t xml:space="preserve">Two or more schemes should be aggregated and taken as one scheme where: </w:t>
      </w:r>
    </w:p>
    <w:p w14:paraId="3208E94B" w14:textId="52A60239" w:rsidR="000A56D9" w:rsidRPr="001724B4" w:rsidRDefault="00A003CB" w:rsidP="001724B4">
      <w:pPr>
        <w:pStyle w:val="Bullet"/>
        <w:tabs>
          <w:tab w:val="clear" w:pos="567"/>
          <w:tab w:val="left" w:pos="1134"/>
        </w:tabs>
        <w:ind w:left="1134"/>
      </w:pPr>
      <w:r w:rsidRPr="001724B4">
        <w:t>t</w:t>
      </w:r>
      <w:r w:rsidR="008409F3" w:rsidRPr="001724B4">
        <w:t xml:space="preserve">here is a dependency or interconnectedness between two or more schemes such that </w:t>
      </w:r>
      <w:r w:rsidR="00475E9B" w:rsidRPr="001724B4">
        <w:t>t</w:t>
      </w:r>
      <w:r w:rsidR="000A56D9" w:rsidRPr="001724B4">
        <w:t>he pricing, terms and conditions of one or more schemes operate in a way which would alter or affect the economic consequences of the pricing, terms and conditions of one or more other schemes in a manner which would affect the application of the debt test or the equity test to one</w:t>
      </w:r>
      <w:r w:rsidR="002A401A" w:rsidRPr="001724B4">
        <w:t> </w:t>
      </w:r>
      <w:r w:rsidR="000A56D9" w:rsidRPr="001724B4">
        <w:t xml:space="preserve">or more of those schemes; and </w:t>
      </w:r>
    </w:p>
    <w:p w14:paraId="1AEAC335" w14:textId="77777777" w:rsidR="000A56D9" w:rsidRPr="001724B4" w:rsidRDefault="00475E9B" w:rsidP="001724B4">
      <w:pPr>
        <w:pStyle w:val="Bullet"/>
        <w:tabs>
          <w:tab w:val="clear" w:pos="567"/>
          <w:tab w:val="left" w:pos="1134"/>
        </w:tabs>
        <w:ind w:left="1134"/>
      </w:pPr>
      <w:proofErr w:type="gramStart"/>
      <w:r w:rsidRPr="001724B4">
        <w:t>t</w:t>
      </w:r>
      <w:r w:rsidR="000A56D9" w:rsidRPr="001724B4">
        <w:t>he</w:t>
      </w:r>
      <w:proofErr w:type="gramEnd"/>
      <w:r w:rsidR="000A56D9" w:rsidRPr="001724B4">
        <w:t xml:space="preserve"> issuer and others participate in a way that demonstrates that the schemes are designed to operate in this way in combination to secure their combined result. </w:t>
      </w:r>
    </w:p>
    <w:p w14:paraId="3B4F7D61" w14:textId="17AB3032" w:rsidR="00F62126" w:rsidRDefault="00CD61D9" w:rsidP="009B5310">
      <w:pPr>
        <w:pStyle w:val="NumberedParagraph3"/>
      </w:pPr>
      <w:r>
        <w:t>T</w:t>
      </w:r>
      <w:r w:rsidR="000A56D9">
        <w:t xml:space="preserve">wo or more schemes should not be aggregated and taken to be one scheme merely because of the existence of an arrangement </w:t>
      </w:r>
      <w:r w:rsidR="00875888">
        <w:t>that involves</w:t>
      </w:r>
      <w:r w:rsidR="000A56D9">
        <w:t xml:space="preserve"> the subordination of a liability, stapling (of either, or both, </w:t>
      </w:r>
      <w:r w:rsidR="009B1170">
        <w:t xml:space="preserve">debt </w:t>
      </w:r>
      <w:r w:rsidR="000A56D9">
        <w:t xml:space="preserve">instruments </w:t>
      </w:r>
      <w:r w:rsidR="007F42A9">
        <w:t>or</w:t>
      </w:r>
      <w:r w:rsidR="000A56D9">
        <w:t xml:space="preserve"> ownership interests in entities), the provision of funding, or the existence of a security interest. Additionally, if, having regard to normal commercial understandings or dealings in practice, the schemes would commercially be recognised as separate schemes, they should not be aggregated and taken to be one scheme under the debt and equity </w:t>
      </w:r>
      <w:r w:rsidR="00945151">
        <w:t xml:space="preserve">tax </w:t>
      </w:r>
      <w:r w:rsidR="000A56D9">
        <w:t xml:space="preserve">rules. </w:t>
      </w:r>
    </w:p>
    <w:p w14:paraId="7389C3C2" w14:textId="77777777" w:rsidR="00FE6848" w:rsidRDefault="006E3B4D" w:rsidP="009B5310">
      <w:pPr>
        <w:pStyle w:val="NumberedParagraph3"/>
      </w:pPr>
      <w:r>
        <w:t xml:space="preserve">Notwithstanding the </w:t>
      </w:r>
      <w:r w:rsidR="007F42A9">
        <w:t xml:space="preserve">self-assessed </w:t>
      </w:r>
      <w:r>
        <w:t xml:space="preserve">operation of the </w:t>
      </w:r>
      <w:r w:rsidR="00F20590">
        <w:t>rules giving effect to the above principles, the Board considers that</w:t>
      </w:r>
      <w:r>
        <w:t xml:space="preserve"> a</w:t>
      </w:r>
      <w:r w:rsidRPr="00A350F8">
        <w:t xml:space="preserve"> taxpayer</w:t>
      </w:r>
      <w:r w:rsidR="00F20590">
        <w:t xml:space="preserve"> should be able to</w:t>
      </w:r>
      <w:r w:rsidRPr="00A350F8">
        <w:t xml:space="preserve"> request in writing that the Commissioner make a determination not to aggregate two or more schemes. </w:t>
      </w:r>
    </w:p>
    <w:p w14:paraId="0727DB4C" w14:textId="1D64A65D" w:rsidR="00F20590" w:rsidRDefault="00BB4325" w:rsidP="009B5310">
      <w:pPr>
        <w:pStyle w:val="NumberedParagraph3"/>
      </w:pPr>
      <w:r>
        <w:t>As mentioned above, t</w:t>
      </w:r>
      <w:r w:rsidR="00F20590">
        <w:t>he rationale for the proposed principles is as set out in</w:t>
      </w:r>
      <w:r w:rsidR="007F42A9">
        <w:t xml:space="preserve"> the existing</w:t>
      </w:r>
      <w:r w:rsidR="00F20590">
        <w:t xml:space="preserve"> subsections 974-10(2) and 974-10(3). In</w:t>
      </w:r>
      <w:r w:rsidR="009B1170">
        <w:t xml:space="preserve"> some circumstances</w:t>
      </w:r>
      <w:r w:rsidR="00F20590">
        <w:t xml:space="preserve"> the </w:t>
      </w:r>
      <w:r w:rsidR="00BA7DA6">
        <w:t>existing</w:t>
      </w:r>
      <w:r w:rsidR="00F20590">
        <w:t xml:space="preserve"> rule, </w:t>
      </w:r>
      <w:r w:rsidR="009B1170">
        <w:t>namely</w:t>
      </w:r>
      <w:r w:rsidR="00F20590">
        <w:t xml:space="preserve"> identif</w:t>
      </w:r>
      <w:r w:rsidR="009B1170">
        <w:t>ying</w:t>
      </w:r>
      <w:r w:rsidR="00F20590">
        <w:t xml:space="preserve"> a single scheme, </w:t>
      </w:r>
      <w:r w:rsidR="009B1170">
        <w:t>might</w:t>
      </w:r>
      <w:r w:rsidR="00F20590">
        <w:t xml:space="preserve"> not operate to </w:t>
      </w:r>
      <w:r w:rsidR="009B1170">
        <w:t>reveal</w:t>
      </w:r>
      <w:r w:rsidR="00F20590">
        <w:t xml:space="preserve"> the economic substance of the rights and obligations </w:t>
      </w:r>
      <w:r w:rsidR="009B1170">
        <w:t>created by interrelated or interdependent financing and ownership arrangements</w:t>
      </w:r>
      <w:r w:rsidR="00945151">
        <w:t xml:space="preserve"> </w:t>
      </w:r>
      <w:r w:rsidR="009B1170">
        <w:t>because that rule</w:t>
      </w:r>
      <w:r w:rsidR="00F20590">
        <w:t xml:space="preserve"> has been circumvented </w:t>
      </w:r>
      <w:r w:rsidR="0041569B">
        <w:t xml:space="preserve">by </w:t>
      </w:r>
      <w:r w:rsidR="0041569B">
        <w:lastRenderedPageBreak/>
        <w:t xml:space="preserve">disaggregating an arrangement into separate schemes. Aggregation should expose the commercial substance to which the basic test should be applied. </w:t>
      </w:r>
    </w:p>
    <w:p w14:paraId="1F14A2CA" w14:textId="0379DF0C" w:rsidR="0041569B" w:rsidRDefault="00945151" w:rsidP="009B5310">
      <w:pPr>
        <w:pStyle w:val="NumberedParagraph3"/>
      </w:pPr>
      <w:r>
        <w:t>T</w:t>
      </w:r>
      <w:r w:rsidR="0041569B">
        <w:t>o achieve the relevant objectives of Division 974</w:t>
      </w:r>
      <w:r w:rsidR="00787E09">
        <w:t xml:space="preserve"> in relation to aggregating schemes</w:t>
      </w:r>
      <w:r w:rsidR="0041569B">
        <w:t xml:space="preserve">, </w:t>
      </w:r>
      <w:r>
        <w:t xml:space="preserve">the Board considers that </w:t>
      </w:r>
      <w:r w:rsidR="0041569B">
        <w:t>the effect of one scheme</w:t>
      </w:r>
      <w:r w:rsidR="00787E09">
        <w:t xml:space="preserve"> on any other scheme</w:t>
      </w:r>
      <w:r w:rsidR="0041569B">
        <w:t xml:space="preserve"> should flow from</w:t>
      </w:r>
      <w:r w:rsidR="00787E09">
        <w:t xml:space="preserve"> all of</w:t>
      </w:r>
      <w:r w:rsidR="0041569B">
        <w:t xml:space="preserve"> </w:t>
      </w:r>
      <w:r w:rsidR="00AA1905">
        <w:t xml:space="preserve">the </w:t>
      </w:r>
      <w:r w:rsidR="00787E09">
        <w:t>pricing,</w:t>
      </w:r>
      <w:r w:rsidR="0041569B">
        <w:t xml:space="preserve"> terms</w:t>
      </w:r>
      <w:r w:rsidR="00787E09">
        <w:t xml:space="preserve"> and conditions</w:t>
      </w:r>
      <w:r w:rsidR="0041569B">
        <w:t xml:space="preserve"> (that is, the way in which it expresses the rights and obligations it creates)</w:t>
      </w:r>
      <w:r>
        <w:t>. Furthermore,</w:t>
      </w:r>
      <w:r w:rsidR="0041569B">
        <w:t xml:space="preserve"> the schemes </w:t>
      </w:r>
      <w:r w:rsidR="00374773">
        <w:t>should be intended</w:t>
      </w:r>
      <w:r w:rsidR="0041569B">
        <w:t xml:space="preserve"> to operate in combination as an aggregate arrangement for the purpose of producing their combined result, rather than merely</w:t>
      </w:r>
      <w:r w:rsidR="00BA6392">
        <w:t xml:space="preserve"> or incidentally</w:t>
      </w:r>
      <w:r w:rsidR="0041569B">
        <w:t xml:space="preserve"> hav</w:t>
      </w:r>
      <w:r w:rsidR="00BA6392">
        <w:t>ing</w:t>
      </w:r>
      <w:r w:rsidR="0041569B">
        <w:t xml:space="preserve"> th</w:t>
      </w:r>
      <w:r w:rsidR="00167A5A">
        <w:t>at</w:t>
      </w:r>
      <w:r w:rsidR="0041569B">
        <w:t xml:space="preserve"> effect in combination.</w:t>
      </w:r>
    </w:p>
    <w:p w14:paraId="75B5F15A" w14:textId="77777777" w:rsidR="00657D45" w:rsidRDefault="006E61F4" w:rsidP="00876AF7">
      <w:pPr>
        <w:pStyle w:val="Heading3"/>
      </w:pPr>
      <w:r>
        <w:t xml:space="preserve">The pricing, terms and conditions of the schemes </w:t>
      </w:r>
    </w:p>
    <w:p w14:paraId="5FF8FEF5" w14:textId="756E7678" w:rsidR="006E61F4" w:rsidRDefault="000F23A5" w:rsidP="009B5310">
      <w:pPr>
        <w:pStyle w:val="NumberedParagraph3"/>
      </w:pPr>
      <w:r>
        <w:t>The Board proposes that in determining whether to aggregate two or more schemes for the purposes of Division 974</w:t>
      </w:r>
      <w:r w:rsidR="00945151">
        <w:t>,</w:t>
      </w:r>
      <w:r>
        <w:t xml:space="preserve"> the first element of the enquiry should </w:t>
      </w:r>
      <w:r w:rsidR="00E31DD1">
        <w:t>consider</w:t>
      </w:r>
      <w:r>
        <w:t xml:space="preserve"> particular aspects of the pricing, terms and conditions of the schemes</w:t>
      </w:r>
      <w:r w:rsidR="00B86170">
        <w:t>.</w:t>
      </w:r>
    </w:p>
    <w:p w14:paraId="6E59E12E" w14:textId="215AAD08" w:rsidR="00E53AED" w:rsidRDefault="00657D45" w:rsidP="009B5310">
      <w:pPr>
        <w:pStyle w:val="NumberedParagraph3"/>
        <w:spacing w:after="180"/>
      </w:pPr>
      <w:r>
        <w:t xml:space="preserve">Under the </w:t>
      </w:r>
      <w:r w:rsidR="006E61F4">
        <w:t xml:space="preserve">Board’s </w:t>
      </w:r>
      <w:r>
        <w:t xml:space="preserve">proposal, the </w:t>
      </w:r>
      <w:r w:rsidR="000A4887">
        <w:t xml:space="preserve">initial </w:t>
      </w:r>
      <w:r>
        <w:t xml:space="preserve">test </w:t>
      </w:r>
      <w:r w:rsidR="00D0074B">
        <w:t>to</w:t>
      </w:r>
      <w:r>
        <w:t xml:space="preserve"> determ</w:t>
      </w:r>
      <w:r w:rsidR="00D0074B">
        <w:t>ine</w:t>
      </w:r>
      <w:r>
        <w:t xml:space="preserve"> whether two or more schemes should be aggregated and taken as one scheme </w:t>
      </w:r>
      <w:r w:rsidR="006E61F4">
        <w:t xml:space="preserve">would </w:t>
      </w:r>
      <w:r w:rsidR="00E64833">
        <w:t>focus</w:t>
      </w:r>
      <w:r>
        <w:t xml:space="preserve"> on whether one of the schemes is legally interdependent</w:t>
      </w:r>
      <w:r w:rsidR="00E64833">
        <w:t>,</w:t>
      </w:r>
      <w:r>
        <w:t xml:space="preserve"> </w:t>
      </w:r>
      <w:r w:rsidR="007403C6">
        <w:t>or</w:t>
      </w:r>
      <w:r>
        <w:t xml:space="preserve"> operates in a way that alters or affects the</w:t>
      </w:r>
      <w:r w:rsidR="002157C5">
        <w:t xml:space="preserve"> ultimate</w:t>
      </w:r>
      <w:r>
        <w:t xml:space="preserve"> </w:t>
      </w:r>
      <w:r w:rsidR="00217307">
        <w:t xml:space="preserve">entitlements or </w:t>
      </w:r>
      <w:r>
        <w:t xml:space="preserve">economic consequences to the parties of another one of the schemes. </w:t>
      </w:r>
      <w:r w:rsidR="006E61F4">
        <w:t>The test</w:t>
      </w:r>
      <w:r w:rsidR="00816E7B">
        <w:t xml:space="preserve"> is enunciated, in principle, as follows</w:t>
      </w:r>
      <w:r w:rsidR="006E61F4">
        <w:t xml:space="preserve">: </w:t>
      </w:r>
    </w:p>
    <w:p w14:paraId="09209C4C" w14:textId="77777777" w:rsidR="006E61F4" w:rsidRPr="00F674DC" w:rsidRDefault="006E61F4" w:rsidP="009B5310">
      <w:pPr>
        <w:pStyle w:val="Quote"/>
        <w:spacing w:after="180"/>
      </w:pPr>
      <w:r w:rsidRPr="00F674DC">
        <w:t>Two or more schemes</w:t>
      </w:r>
      <w:r w:rsidR="009D2E74" w:rsidRPr="00F674DC">
        <w:t xml:space="preserve"> will be aggregated and taken to be</w:t>
      </w:r>
      <w:r w:rsidRPr="00F674DC">
        <w:t xml:space="preserve"> one scheme if the pricing, terms and conditions</w:t>
      </w:r>
      <w:r w:rsidR="009D2E74" w:rsidRPr="00F674DC">
        <w:t xml:space="preserve"> applicable under one scheme</w:t>
      </w:r>
      <w:r w:rsidRPr="00F674DC">
        <w:t xml:space="preserve">: </w:t>
      </w:r>
    </w:p>
    <w:p w14:paraId="4318C961" w14:textId="77777777" w:rsidR="006E61F4" w:rsidRPr="009B5310" w:rsidRDefault="009D2E74" w:rsidP="009B5310">
      <w:pPr>
        <w:pStyle w:val="QuoteRomanNumeral"/>
        <w:tabs>
          <w:tab w:val="left" w:pos="1134"/>
        </w:tabs>
        <w:spacing w:after="180"/>
        <w:ind w:left="1134" w:hanging="567"/>
      </w:pPr>
      <w:r w:rsidRPr="009B5310">
        <w:t>are dependent</w:t>
      </w:r>
      <w:r w:rsidR="00B03869" w:rsidRPr="009B5310">
        <w:t xml:space="preserve"> upon</w:t>
      </w:r>
      <w:r w:rsidRPr="009B5310">
        <w:t xml:space="preserve"> or linked to the pricing, terms and conditions applicable under one or more other schemes in a manner which would affect the application of the debt test or the equity test to one or more of those schemes; or</w:t>
      </w:r>
    </w:p>
    <w:p w14:paraId="28F269CD" w14:textId="77777777" w:rsidR="009D2E74" w:rsidRPr="009B5310" w:rsidRDefault="009D2E74" w:rsidP="009B5310">
      <w:pPr>
        <w:pStyle w:val="QuoteRomanNumeral"/>
        <w:tabs>
          <w:tab w:val="left" w:pos="1134"/>
        </w:tabs>
        <w:spacing w:after="180"/>
        <w:ind w:left="1134" w:hanging="567"/>
      </w:pPr>
      <w:proofErr w:type="gramStart"/>
      <w:r w:rsidRPr="009B5310">
        <w:t>operate</w:t>
      </w:r>
      <w:proofErr w:type="gramEnd"/>
      <w:r w:rsidRPr="009B5310">
        <w:t xml:space="preserve"> in a way which would alter the economic consequences of the pricing, terms and conditions of one or more other schemes in a manner which would affect the application of the debt test or the equity test to one or more of those schemes. </w:t>
      </w:r>
    </w:p>
    <w:p w14:paraId="76D1B5F6" w14:textId="348A4086" w:rsidR="00481E72" w:rsidRDefault="006E61F4" w:rsidP="009B5310">
      <w:pPr>
        <w:pStyle w:val="NumberedParagraph3"/>
      </w:pPr>
      <w:r>
        <w:t xml:space="preserve">This test would require </w:t>
      </w:r>
      <w:r w:rsidR="00481E72">
        <w:t>consideration of the constituent documents</w:t>
      </w:r>
      <w:r w:rsidR="002512FF">
        <w:t xml:space="preserve"> or understandings</w:t>
      </w:r>
      <w:r w:rsidR="00481E72">
        <w:t xml:space="preserve"> in which the pricing, terms and conditions are </w:t>
      </w:r>
      <w:r w:rsidR="007C663C">
        <w:t>evident</w:t>
      </w:r>
      <w:r w:rsidR="00481E72">
        <w:t xml:space="preserve">, </w:t>
      </w:r>
      <w:r w:rsidR="00463958">
        <w:t>and the right</w:t>
      </w:r>
      <w:r w:rsidR="007C663C">
        <w:t>s</w:t>
      </w:r>
      <w:r w:rsidR="00463958">
        <w:t xml:space="preserve"> and obligations otherwise created</w:t>
      </w:r>
      <w:r w:rsidR="007C663C">
        <w:t>.</w:t>
      </w:r>
      <w:r w:rsidR="00463958">
        <w:t xml:space="preserve"> </w:t>
      </w:r>
      <w:r w:rsidR="007C663C">
        <w:t xml:space="preserve">The </w:t>
      </w:r>
      <w:r w:rsidR="00481E72">
        <w:t xml:space="preserve">terms and conditions relating to </w:t>
      </w:r>
      <w:r w:rsidR="00F33505">
        <w:t xml:space="preserve">paying </w:t>
      </w:r>
      <w:r w:rsidR="007C663C">
        <w:t xml:space="preserve">returns </w:t>
      </w:r>
      <w:r w:rsidR="00481E72">
        <w:t>and/or consideration under the schemes</w:t>
      </w:r>
      <w:r w:rsidR="007C663C">
        <w:t xml:space="preserve"> will be particularly relevant</w:t>
      </w:r>
      <w:r w:rsidR="00481E72">
        <w:t>.</w:t>
      </w:r>
    </w:p>
    <w:p w14:paraId="172E2D7F" w14:textId="49D56168" w:rsidR="00CD61D9" w:rsidRDefault="006E61F4" w:rsidP="009B5310">
      <w:pPr>
        <w:pStyle w:val="NumberedParagraph3"/>
      </w:pPr>
      <w:r>
        <w:t xml:space="preserve">This test would </w:t>
      </w:r>
      <w:r w:rsidR="005159C3">
        <w:t>reflect the approach generally taken in the debt and equity tests insofar as they have regard to the economic substance of rights and obligations. The debt test</w:t>
      </w:r>
      <w:r w:rsidR="00945151">
        <w:t>,</w:t>
      </w:r>
      <w:r w:rsidR="005159C3">
        <w:t xml:space="preserve"> in particular</w:t>
      </w:r>
      <w:r w:rsidR="00945151">
        <w:t>,</w:t>
      </w:r>
      <w:r w:rsidR="005159C3">
        <w:t xml:space="preserve"> seeks to determine economic substance by explicitly requiring the pricing, terms and conditions of the scheme</w:t>
      </w:r>
      <w:r w:rsidR="00F33505">
        <w:t xml:space="preserve"> to be examined</w:t>
      </w:r>
      <w:r w:rsidR="005159C3">
        <w:t>.</w:t>
      </w:r>
      <w:r w:rsidR="009D2BBE">
        <w:rPr>
          <w:rStyle w:val="FootnoteReference"/>
        </w:rPr>
        <w:footnoteReference w:id="11"/>
      </w:r>
      <w:r w:rsidR="005159C3">
        <w:t xml:space="preserve"> </w:t>
      </w:r>
    </w:p>
    <w:p w14:paraId="663E8C0F" w14:textId="3D4BC20D" w:rsidR="006E61F4" w:rsidRDefault="005159C3" w:rsidP="009B5310">
      <w:pPr>
        <w:pStyle w:val="NumberedParagraph3"/>
      </w:pPr>
      <w:r>
        <w:lastRenderedPageBreak/>
        <w:t>The rights and obligations that go to the nature of returns on or of an interest are fundamental to the classification of interest under the debt and equity tests (unless the interest is a membership or stockholder interest in a company)</w:t>
      </w:r>
      <w:r w:rsidR="006E61F4">
        <w:t>.</w:t>
      </w:r>
      <w:r>
        <w:t xml:space="preserve"> Accordingly, the test would also rely on the economic effects of rights and obligations created by the schemes, but only rights and obligations which are relevant for the purposes of the debt and equity tests. That is, the rights and obligations that affect the returns on or o</w:t>
      </w:r>
      <w:r w:rsidR="009B7899">
        <w:t>f</w:t>
      </w:r>
      <w:r>
        <w:t xml:space="preserve"> the interest, from the perspective of the issuer. </w:t>
      </w:r>
    </w:p>
    <w:p w14:paraId="089018A8" w14:textId="1E6D9587" w:rsidR="00A121C2" w:rsidRDefault="00A121C2" w:rsidP="009B5310">
      <w:pPr>
        <w:pStyle w:val="NumberedParagraph3"/>
      </w:pPr>
      <w:r>
        <w:t xml:space="preserve">One of the purposes of this </w:t>
      </w:r>
      <w:r w:rsidR="00463958">
        <w:t xml:space="preserve">examination </w:t>
      </w:r>
      <w:r>
        <w:t xml:space="preserve">is to ensure that schemes which </w:t>
      </w:r>
      <w:r w:rsidR="00243340">
        <w:t xml:space="preserve">merely have economic consequences for other schemes </w:t>
      </w:r>
      <w:r>
        <w:t xml:space="preserve">are not caught by the </w:t>
      </w:r>
      <w:r w:rsidR="000A4887">
        <w:t>rules</w:t>
      </w:r>
      <w:r>
        <w:t>.</w:t>
      </w:r>
      <w:r w:rsidR="00463958">
        <w:t xml:space="preserve"> This test woul</w:t>
      </w:r>
      <w:r w:rsidR="009B7899">
        <w:t>d</w:t>
      </w:r>
      <w:r w:rsidR="00463958">
        <w:t xml:space="preserve"> focus on the economic effects resulting from the legal arrangements, which affect the returns on</w:t>
      </w:r>
      <w:r w:rsidR="00945151">
        <w:t>,</w:t>
      </w:r>
      <w:r w:rsidR="00463958">
        <w:t xml:space="preserve"> or of</w:t>
      </w:r>
      <w:r w:rsidR="00945151">
        <w:t>,</w:t>
      </w:r>
      <w:r w:rsidR="00463958">
        <w:t xml:space="preserve"> the interest from the </w:t>
      </w:r>
      <w:r w:rsidR="00945151">
        <w:t xml:space="preserve">issuer’s </w:t>
      </w:r>
      <w:r w:rsidR="00463958">
        <w:t>perspective, and not economic effects more generally.</w:t>
      </w:r>
    </w:p>
    <w:p w14:paraId="1B0EAC84" w14:textId="77777777" w:rsidR="002C3054" w:rsidRDefault="00A31AB4" w:rsidP="00876AF7">
      <w:pPr>
        <w:pStyle w:val="Heading3"/>
      </w:pPr>
      <w:r>
        <w:t>Additional tests for t</w:t>
      </w:r>
      <w:r w:rsidR="00B15025">
        <w:t xml:space="preserve">he schemes in combination </w:t>
      </w:r>
    </w:p>
    <w:p w14:paraId="2F08F70B" w14:textId="6ECDF5D1" w:rsidR="00945151" w:rsidRDefault="00A31AB4" w:rsidP="009B5310">
      <w:pPr>
        <w:pStyle w:val="NumberedParagraph3"/>
      </w:pPr>
      <w:r>
        <w:t xml:space="preserve">Where the requisite interrelationship of or interdependency between the pricing, terms and conditions of the schemes warrant their aggregation, further tests are considered necessary to identify those schemes that ought </w:t>
      </w:r>
      <w:r w:rsidR="00FC7895">
        <w:t>to</w:t>
      </w:r>
      <w:r>
        <w:t xml:space="preserve"> be aggregated </w:t>
      </w:r>
      <w:r w:rsidR="00FC7895">
        <w:t>(</w:t>
      </w:r>
      <w:r>
        <w:t xml:space="preserve">because they are designed </w:t>
      </w:r>
      <w:r w:rsidR="00E76B04">
        <w:t>to operate in a particular way to secure their combined result</w:t>
      </w:r>
      <w:r w:rsidR="00FC7895">
        <w:t>)</w:t>
      </w:r>
      <w:r w:rsidR="00E76B04">
        <w:t xml:space="preserve"> and those that ought not be aggregated.  </w:t>
      </w:r>
    </w:p>
    <w:p w14:paraId="1CFD025F" w14:textId="04A84B79" w:rsidR="00756363" w:rsidRDefault="000F23A5" w:rsidP="009B5310">
      <w:pPr>
        <w:pStyle w:val="NumberedParagraph3"/>
      </w:pPr>
      <w:r>
        <w:t>At this level, to identify multiple schemes that are properly considered as a single scheme</w:t>
      </w:r>
      <w:r w:rsidR="00BD1EFF">
        <w:t xml:space="preserve"> appropriately</w:t>
      </w:r>
      <w:r>
        <w:t>, the Board considers that it is necessary to examine the degree of common participation in the schemes an</w:t>
      </w:r>
      <w:r w:rsidR="009D2BBE">
        <w:t>d how the schemes are combined.</w:t>
      </w:r>
      <w:r>
        <w:t xml:space="preserve"> </w:t>
      </w:r>
      <w:r w:rsidR="00601702">
        <w:t>It is intended that these additional tests would be objective tests of purpose.</w:t>
      </w:r>
      <w:r w:rsidR="00756363">
        <w:t xml:space="preserve"> </w:t>
      </w:r>
    </w:p>
    <w:p w14:paraId="3150B5C1" w14:textId="6E5C5839" w:rsidR="00B15025" w:rsidRDefault="00B15025" w:rsidP="009B5310">
      <w:pPr>
        <w:pStyle w:val="NumberedParagraph3"/>
        <w:spacing w:after="180"/>
      </w:pPr>
      <w:r>
        <w:t xml:space="preserve">To test whether the issuer and others participate in a way that demonstrates that the schemes are designed to operate </w:t>
      </w:r>
      <w:r w:rsidR="00FC7895">
        <w:t>together</w:t>
      </w:r>
      <w:r>
        <w:t xml:space="preserve"> in a particular way to secure their combined result, the Board recommends that </w:t>
      </w:r>
      <w:r w:rsidR="00FD1FF1">
        <w:t>consideration</w:t>
      </w:r>
      <w:r>
        <w:t xml:space="preserve"> be given to </w:t>
      </w:r>
      <w:r w:rsidR="00C72EAD">
        <w:t xml:space="preserve">the </w:t>
      </w:r>
      <w:r>
        <w:t xml:space="preserve">following </w:t>
      </w:r>
      <w:r w:rsidR="008C5DBD">
        <w:t xml:space="preserve">relevant </w:t>
      </w:r>
      <w:r>
        <w:t xml:space="preserve">factors: </w:t>
      </w:r>
    </w:p>
    <w:p w14:paraId="00596C48" w14:textId="77777777" w:rsidR="00B15025" w:rsidRDefault="00722152" w:rsidP="001724B4">
      <w:pPr>
        <w:pStyle w:val="Romannumeral"/>
        <w:numPr>
          <w:ilvl w:val="0"/>
          <w:numId w:val="80"/>
        </w:numPr>
      </w:pPr>
      <w:r>
        <w:t xml:space="preserve">the nature and extent of the </w:t>
      </w:r>
      <w:r w:rsidR="00B15025">
        <w:t xml:space="preserve">common involvement of the parties to, or arrangers of, any of the schemes in one or more of the other schemes; </w:t>
      </w:r>
    </w:p>
    <w:p w14:paraId="019BBE5B" w14:textId="77777777" w:rsidR="00B15025" w:rsidRDefault="00C72EAD" w:rsidP="001724B4">
      <w:pPr>
        <w:pStyle w:val="Romannumeral"/>
        <w:numPr>
          <w:ilvl w:val="0"/>
          <w:numId w:val="80"/>
        </w:numPr>
      </w:pPr>
      <w:r>
        <w:t xml:space="preserve">the </w:t>
      </w:r>
      <w:r w:rsidR="00B15025">
        <w:t>manner in which the schemes we</w:t>
      </w:r>
      <w:r w:rsidR="00527887">
        <w:t>re entered into or carried out</w:t>
      </w:r>
      <w:r w:rsidR="00B15025">
        <w:t>; and</w:t>
      </w:r>
    </w:p>
    <w:p w14:paraId="4EE26560" w14:textId="77777777" w:rsidR="008C6928" w:rsidRDefault="00722152" w:rsidP="001724B4">
      <w:pPr>
        <w:pStyle w:val="Romannumeral"/>
        <w:numPr>
          <w:ilvl w:val="0"/>
          <w:numId w:val="80"/>
        </w:numPr>
      </w:pPr>
      <w:r>
        <w:t xml:space="preserve">the nature and extent of </w:t>
      </w:r>
      <w:r w:rsidR="00B15025">
        <w:t xml:space="preserve">any non-arm’s length relationship or dealing between one or more of the parties to, or arrangers of, any of the schemes in all or part of the schemes. </w:t>
      </w:r>
    </w:p>
    <w:p w14:paraId="5E58048E" w14:textId="25172B6F" w:rsidR="00FD1FF1" w:rsidRDefault="00112404" w:rsidP="009B5310">
      <w:pPr>
        <w:pStyle w:val="NumberedParagraph3"/>
      </w:pPr>
      <w:r>
        <w:t>T</w:t>
      </w:r>
      <w:r w:rsidR="008C5DBD">
        <w:t>he relevant factors should be tested in relation to the pricing, terms and conditions</w:t>
      </w:r>
      <w:r w:rsidR="007263A8">
        <w:t xml:space="preserve"> of the schemes that demonstrate the requisite interdependency or interconnectedness</w:t>
      </w:r>
      <w:r w:rsidR="008C5DBD">
        <w:t xml:space="preserve"> </w:t>
      </w:r>
      <w:r w:rsidR="00475E9B">
        <w:t xml:space="preserve">described in </w:t>
      </w:r>
      <w:r w:rsidR="001A6015">
        <w:t xml:space="preserve">paragraph </w:t>
      </w:r>
      <w:r w:rsidR="00475E9B" w:rsidRPr="001A6015">
        <w:t>3.</w:t>
      </w:r>
      <w:r w:rsidR="006676E7" w:rsidRPr="001A6015">
        <w:t>2</w:t>
      </w:r>
      <w:r w:rsidR="004B0971" w:rsidRPr="001A6015">
        <w:t>7</w:t>
      </w:r>
      <w:r w:rsidR="00475E9B" w:rsidRPr="001A6015">
        <w:t xml:space="preserve">. </w:t>
      </w:r>
      <w:r w:rsidR="00B15025" w:rsidRPr="001A6015">
        <w:t>The</w:t>
      </w:r>
      <w:r w:rsidR="00B15025">
        <w:t xml:space="preserve"> Board considers that these factors would adequately inform a</w:t>
      </w:r>
      <w:r w:rsidR="00722152">
        <w:t>ny</w:t>
      </w:r>
      <w:r w:rsidR="00B15025">
        <w:t xml:space="preserve"> decision to treat two or more schemes as one aggregated scheme, as an interdependent or interconnected whole.</w:t>
      </w:r>
    </w:p>
    <w:p w14:paraId="71B3913A" w14:textId="63A2E8C2" w:rsidR="006F3843" w:rsidRDefault="00CE2CAE" w:rsidP="009B5310">
      <w:pPr>
        <w:pStyle w:val="NumberedParagraph3"/>
      </w:pPr>
      <w:r>
        <w:lastRenderedPageBreak/>
        <w:t>F</w:t>
      </w:r>
      <w:r w:rsidR="00B15025">
        <w:t xml:space="preserve">actor (i) would </w:t>
      </w:r>
      <w:r w:rsidR="00C85732">
        <w:t>investigate</w:t>
      </w:r>
      <w:r w:rsidR="00B15025">
        <w:t xml:space="preserve"> the</w:t>
      </w:r>
      <w:r w:rsidR="006F3843">
        <w:t xml:space="preserve"> common involvement of </w:t>
      </w:r>
      <w:r w:rsidR="000A4887">
        <w:t xml:space="preserve">one or more of </w:t>
      </w:r>
      <w:r w:rsidR="006F3843">
        <w:t xml:space="preserve">the </w:t>
      </w:r>
      <w:r w:rsidR="00606234">
        <w:t xml:space="preserve">parties, including arrangers </w:t>
      </w:r>
      <w:r w:rsidR="006F3843">
        <w:t>of the schemes.</w:t>
      </w:r>
      <w:r w:rsidR="00F470A9">
        <w:t xml:space="preserve"> C</w:t>
      </w:r>
      <w:r w:rsidR="00C30F03">
        <w:t>ommon involvement can occur between independent or related parties</w:t>
      </w:r>
      <w:r w:rsidR="00B22AAC">
        <w:t xml:space="preserve"> (for example, where there is collaboration, active involvement in design and decision</w:t>
      </w:r>
      <w:r w:rsidR="007228C0">
        <w:t>-</w:t>
      </w:r>
      <w:r w:rsidR="00B22AAC">
        <w:t>making which has been engineered to create an outcome)</w:t>
      </w:r>
      <w:r w:rsidR="00C30F03">
        <w:t xml:space="preserve">. </w:t>
      </w:r>
      <w:r w:rsidR="00A121C2">
        <w:t>It</w:t>
      </w:r>
      <w:r w:rsidR="00C85732">
        <w:t xml:space="preserve"> </w:t>
      </w:r>
      <w:r w:rsidR="00A121C2">
        <w:t xml:space="preserve">requires </w:t>
      </w:r>
      <w:r w:rsidR="000A4887">
        <w:t xml:space="preserve">one or more of the </w:t>
      </w:r>
      <w:r w:rsidR="00FA1D07">
        <w:t xml:space="preserve">parties to be knowingly involved in the scheme. </w:t>
      </w:r>
      <w:r w:rsidR="00A129D6">
        <w:t>The extent of involvement would be considered agai</w:t>
      </w:r>
      <w:r w:rsidR="00B22AAC">
        <w:t xml:space="preserve">nst the </w:t>
      </w:r>
      <w:r w:rsidR="00A129D6">
        <w:t xml:space="preserve">pricing, terms and conditions </w:t>
      </w:r>
      <w:r w:rsidR="00C85732">
        <w:t xml:space="preserve">of the schemes that demonstrate the requisite interdependency or interconnectedness described in </w:t>
      </w:r>
      <w:r w:rsidR="001A6015">
        <w:t xml:space="preserve">paragraph </w:t>
      </w:r>
      <w:r w:rsidR="00C85732" w:rsidRPr="001A6015">
        <w:t>3.</w:t>
      </w:r>
      <w:r w:rsidR="006676E7" w:rsidRPr="001A6015">
        <w:t>2</w:t>
      </w:r>
      <w:r w:rsidR="004B0971" w:rsidRPr="001A6015">
        <w:t>7</w:t>
      </w:r>
      <w:r w:rsidR="00C85732" w:rsidRPr="001A6015">
        <w:t>.</w:t>
      </w:r>
    </w:p>
    <w:p w14:paraId="10D74F84" w14:textId="0994A366" w:rsidR="00C308B0" w:rsidRDefault="00CE2CAE" w:rsidP="009B5310">
      <w:pPr>
        <w:pStyle w:val="NumberedParagraph3"/>
      </w:pPr>
      <w:r>
        <w:t>F</w:t>
      </w:r>
      <w:r w:rsidR="00A129D6">
        <w:t>actor (</w:t>
      </w:r>
      <w:r w:rsidR="00C308B0">
        <w:t>ii</w:t>
      </w:r>
      <w:r w:rsidR="00A129D6">
        <w:t>) would</w:t>
      </w:r>
      <w:r w:rsidR="00C308B0">
        <w:t xml:space="preserve"> </w:t>
      </w:r>
      <w:r w:rsidR="00C85732">
        <w:t>investigate</w:t>
      </w:r>
      <w:r w:rsidR="00C308B0">
        <w:t xml:space="preserve"> the manner in which the schemes were formulated</w:t>
      </w:r>
      <w:r w:rsidR="0078686C">
        <w:t>,</w:t>
      </w:r>
      <w:r w:rsidR="00C308B0">
        <w:t xml:space="preserve"> entered into or carried out</w:t>
      </w:r>
      <w:r w:rsidR="006676E7">
        <w:t>,</w:t>
      </w:r>
      <w:r w:rsidR="00C52BBE">
        <w:rPr>
          <w:rStyle w:val="FootnoteReference"/>
        </w:rPr>
        <w:footnoteReference w:id="12"/>
      </w:r>
      <w:r w:rsidR="00C308B0">
        <w:t xml:space="preserve"> and whether, having regard to the context surrounding the creation of </w:t>
      </w:r>
      <w:r w:rsidR="0078686C">
        <w:t xml:space="preserve">the </w:t>
      </w:r>
      <w:r w:rsidR="00C308B0">
        <w:t>schemes, it is evident that the schemes should be regarded as one</w:t>
      </w:r>
      <w:r w:rsidR="002A401A">
        <w:t> </w:t>
      </w:r>
      <w:r w:rsidR="00C308B0">
        <w:t xml:space="preserve">scheme. It </w:t>
      </w:r>
      <w:r w:rsidR="00A129D6">
        <w:t xml:space="preserve">would </w:t>
      </w:r>
      <w:r w:rsidR="00C308B0">
        <w:t>require consideration of the way in which the effects of the scheme are achieved</w:t>
      </w:r>
      <w:r w:rsidR="00612989">
        <w:t xml:space="preserve"> and </w:t>
      </w:r>
      <w:r w:rsidR="00722152">
        <w:t>of any</w:t>
      </w:r>
      <w:r w:rsidR="00612989">
        <w:t xml:space="preserve"> elements of artificiality or contrivance</w:t>
      </w:r>
      <w:r w:rsidR="00C308B0">
        <w:t xml:space="preserve">. </w:t>
      </w:r>
      <w:r w:rsidR="00994989">
        <w:t>M</w:t>
      </w:r>
      <w:r w:rsidR="00C308B0">
        <w:t>atters beyond the contracts themselves</w:t>
      </w:r>
      <w:r w:rsidR="00994989">
        <w:t xml:space="preserve"> should be considered</w:t>
      </w:r>
      <w:r w:rsidR="00C308B0">
        <w:t>, extending to circumstances surrounding how the right</w:t>
      </w:r>
      <w:r w:rsidR="00994989">
        <w:t>s</w:t>
      </w:r>
      <w:r w:rsidR="00C308B0">
        <w:t xml:space="preserve"> and/or obligations came about.</w:t>
      </w:r>
      <w:r w:rsidR="005E56CA">
        <w:t xml:space="preserve"> </w:t>
      </w:r>
    </w:p>
    <w:p w14:paraId="2F122E95" w14:textId="3CC88E09" w:rsidR="00415341" w:rsidRDefault="00CE2CAE" w:rsidP="009B5310">
      <w:pPr>
        <w:pStyle w:val="NumberedParagraph3"/>
      </w:pPr>
      <w:r>
        <w:t>F</w:t>
      </w:r>
      <w:r w:rsidR="00A129D6">
        <w:t xml:space="preserve">actor </w:t>
      </w:r>
      <w:r w:rsidR="00415341">
        <w:t>(iii) w</w:t>
      </w:r>
      <w:r w:rsidR="00A129D6">
        <w:t>ould</w:t>
      </w:r>
      <w:r w:rsidR="00415341">
        <w:t xml:space="preserve"> be </w:t>
      </w:r>
      <w:r w:rsidR="00A129D6">
        <w:t xml:space="preserve">relevant </w:t>
      </w:r>
      <w:r w:rsidR="00415341">
        <w:t xml:space="preserve">in circumstances where </w:t>
      </w:r>
      <w:r w:rsidR="0078686C">
        <w:t>one or more of the</w:t>
      </w:r>
      <w:r w:rsidR="00415341">
        <w:t xml:space="preserve"> parties to the schemes</w:t>
      </w:r>
      <w:r w:rsidR="006C505E">
        <w:t xml:space="preserve"> do not</w:t>
      </w:r>
      <w:r w:rsidR="00415341">
        <w:t xml:space="preserve"> have an ‘arm’s length relationship</w:t>
      </w:r>
      <w:r w:rsidR="008C2C0D">
        <w:t xml:space="preserve"> or dealing</w:t>
      </w:r>
      <w:r w:rsidR="00415341">
        <w:t xml:space="preserve">’ with one or more other persons involved in the schemes. </w:t>
      </w:r>
      <w:r w:rsidR="0078686C">
        <w:t>For example, t</w:t>
      </w:r>
      <w:r w:rsidR="0064429B">
        <w:t>his factor w</w:t>
      </w:r>
      <w:r w:rsidR="00A129D6">
        <w:t>ould</w:t>
      </w:r>
      <w:r w:rsidR="0064429B">
        <w:t xml:space="preserve"> be </w:t>
      </w:r>
      <w:r w:rsidR="00A129D6">
        <w:t xml:space="preserve">relevant </w:t>
      </w:r>
      <w:r w:rsidR="0064429B">
        <w:t>where there is an ownership connection</w:t>
      </w:r>
      <w:r w:rsidR="005E56CA">
        <w:t xml:space="preserve"> </w:t>
      </w:r>
      <w:r w:rsidR="0064429B">
        <w:t>between the parties.</w:t>
      </w:r>
      <w:r w:rsidR="00C85732">
        <w:t xml:space="preserve"> Again, the relationship between the parties </w:t>
      </w:r>
      <w:r w:rsidR="006F49EE">
        <w:t xml:space="preserve">would be tested against the features of the pricing, terms and conditions of the schemes that demonstrate the requisite interdependency or interconnectedness </w:t>
      </w:r>
      <w:r w:rsidR="001A6015">
        <w:t xml:space="preserve">described in paragraph </w:t>
      </w:r>
      <w:r w:rsidR="006F49EE" w:rsidRPr="001A6015">
        <w:t>3.</w:t>
      </w:r>
      <w:r w:rsidR="00C63AEF" w:rsidRPr="001A6015">
        <w:t>2</w:t>
      </w:r>
      <w:r w:rsidR="004B0971" w:rsidRPr="001A6015">
        <w:t>7</w:t>
      </w:r>
      <w:r w:rsidR="006F49EE" w:rsidRPr="001A6015">
        <w:t>.</w:t>
      </w:r>
    </w:p>
    <w:p w14:paraId="6791C35F" w14:textId="356FD290" w:rsidR="00744754" w:rsidRDefault="0016711A" w:rsidP="009B5310">
      <w:pPr>
        <w:pStyle w:val="NumberedParagraph3"/>
      </w:pPr>
      <w:r>
        <w:t>C</w:t>
      </w:r>
      <w:r w:rsidR="00EC08EC">
        <w:t>onsider</w:t>
      </w:r>
      <w:r>
        <w:t xml:space="preserve">ing </w:t>
      </w:r>
      <w:r w:rsidR="00722152">
        <w:t xml:space="preserve">these factors </w:t>
      </w:r>
      <w:r w:rsidR="004B65EB">
        <w:t>is</w:t>
      </w:r>
      <w:r w:rsidR="00EC08EC">
        <w:t xml:space="preserve"> intended </w:t>
      </w:r>
      <w:r w:rsidR="00722152">
        <w:t xml:space="preserve">to ensure that arrangements are not inappropriately aggregated where the requisite contractual or operational link is present but there is no relevant involvement or relationship between the parties. </w:t>
      </w:r>
      <w:r w:rsidR="00065249">
        <w:t>This will be particularly relevant in the case of commercial synthetic or derivative transactions</w:t>
      </w:r>
      <w:r w:rsidR="00EC08EC">
        <w:t xml:space="preserve"> where the issuer of the underlying i</w:t>
      </w:r>
      <w:r w:rsidR="00CD61D9">
        <w:t>nstrument is not a party to</w:t>
      </w:r>
      <w:r w:rsidR="00AB42C8">
        <w:t>, or involve in,</w:t>
      </w:r>
      <w:r w:rsidR="00CD61D9">
        <w:t xml:space="preserve"> the</w:t>
      </w:r>
      <w:r w:rsidR="00EC08EC">
        <w:t xml:space="preserve"> synthetic arrangement</w:t>
      </w:r>
      <w:r w:rsidR="00065249">
        <w:t>.</w:t>
      </w:r>
    </w:p>
    <w:p w14:paraId="5E010B05" w14:textId="762197BA" w:rsidR="000B757A" w:rsidRDefault="00A129D6" w:rsidP="000B757A">
      <w:pPr>
        <w:pStyle w:val="Heading3"/>
      </w:pPr>
      <w:r>
        <w:t>Mere link and commercial understandings</w:t>
      </w:r>
      <w:r w:rsidR="000B757A">
        <w:t xml:space="preserve">   </w:t>
      </w:r>
    </w:p>
    <w:p w14:paraId="6910B427" w14:textId="4CDAF5FA" w:rsidR="000B757A" w:rsidRDefault="00A129D6" w:rsidP="009B5310">
      <w:pPr>
        <w:pStyle w:val="NumberedParagraph3"/>
      </w:pPr>
      <w:r>
        <w:t xml:space="preserve">As noted above, schemes in which there is a mere consequential </w:t>
      </w:r>
      <w:r w:rsidR="00722152">
        <w:t xml:space="preserve">or incidental </w:t>
      </w:r>
      <w:r>
        <w:t xml:space="preserve">link should not be aggregated. Some schemes will be commercially related through the mechanism of subordination, stapling of either </w:t>
      </w:r>
      <w:r w:rsidR="00F674DC">
        <w:t xml:space="preserve">the </w:t>
      </w:r>
      <w:r>
        <w:t>instruments o</w:t>
      </w:r>
      <w:r w:rsidR="00244E91">
        <w:t>r</w:t>
      </w:r>
      <w:r>
        <w:t xml:space="preserve"> </w:t>
      </w:r>
      <w:r w:rsidR="00690C0E">
        <w:t xml:space="preserve">the </w:t>
      </w:r>
      <w:r>
        <w:t>ownership interests, mere funding or taking a security. The Board is of the view that the mere presence of any</w:t>
      </w:r>
      <w:r w:rsidR="003B396F">
        <w:t xml:space="preserve"> one or more</w:t>
      </w:r>
      <w:r>
        <w:t xml:space="preserve"> of these features is not enough to automatically cause two</w:t>
      </w:r>
      <w:r w:rsidR="002A401A">
        <w:t> </w:t>
      </w:r>
      <w:r>
        <w:t>or more schemes to be aggregated and taken as one scheme.</w:t>
      </w:r>
    </w:p>
    <w:p w14:paraId="43EDD0AE" w14:textId="410D0757" w:rsidR="00CD61D9" w:rsidRDefault="00B22AAC" w:rsidP="009B5310">
      <w:pPr>
        <w:pStyle w:val="NumberedParagraph3"/>
      </w:pPr>
      <w:r>
        <w:lastRenderedPageBreak/>
        <w:t xml:space="preserve">Further, </w:t>
      </w:r>
      <w:r w:rsidR="00E53AED">
        <w:t xml:space="preserve">normal commercial understandings </w:t>
      </w:r>
      <w:r>
        <w:t>or</w:t>
      </w:r>
      <w:r w:rsidR="00E53AED">
        <w:t xml:space="preserve"> dealings in practice </w:t>
      </w:r>
      <w:r w:rsidR="00690C0E">
        <w:t>regarding</w:t>
      </w:r>
      <w:r w:rsidR="00E53AED">
        <w:t xml:space="preserve"> the rights and/or obligations of the schemes (including whether they are regarded commercially as separate or as a group or series that forms a whole</w:t>
      </w:r>
      <w:r w:rsidR="00A129D6">
        <w:t xml:space="preserve">) should be considered in the process of deciding whether or not to aggregate the schemes. </w:t>
      </w:r>
    </w:p>
    <w:p w14:paraId="40DC273E" w14:textId="04CD7957" w:rsidR="00244E91" w:rsidRDefault="006676E7" w:rsidP="009B5310">
      <w:pPr>
        <w:pStyle w:val="NumberedParagraph3"/>
      </w:pPr>
      <w:r>
        <w:t>To avoid doubt, t</w:t>
      </w:r>
      <w:r w:rsidR="00B22AAC">
        <w:t xml:space="preserve">he mere fact related parties </w:t>
      </w:r>
      <w:r w:rsidR="00D216F9">
        <w:t>execute a transaction internally</w:t>
      </w:r>
      <w:r w:rsidR="00B22AAC">
        <w:t xml:space="preserve"> does not mean that </w:t>
      </w:r>
      <w:r w:rsidR="00D216F9">
        <w:t>it</w:t>
      </w:r>
      <w:r w:rsidR="00B22AAC">
        <w:t xml:space="preserve"> is not commercial. </w:t>
      </w:r>
      <w:r w:rsidR="00A129D6">
        <w:t xml:space="preserve">The Board recommends that the new rule ensures that commercial considerations are a touchstone for whether schemes </w:t>
      </w:r>
      <w:r w:rsidR="00D92355">
        <w:t>are unnecessarily aggregated under the provisions</w:t>
      </w:r>
      <w:r w:rsidR="003B396F">
        <w:t xml:space="preserve"> and should be applied from time</w:t>
      </w:r>
      <w:r w:rsidR="003B396F">
        <w:noBreakHyphen/>
        <w:t>to</w:t>
      </w:r>
      <w:r w:rsidR="003B396F">
        <w:noBreakHyphen/>
        <w:t>time in the context of emerging and evolving commercial practices</w:t>
      </w:r>
      <w:r w:rsidR="00D92355">
        <w:t>.</w:t>
      </w:r>
    </w:p>
    <w:p w14:paraId="47A2714C" w14:textId="77777777" w:rsidR="00AF1999" w:rsidRPr="00DA2F3F" w:rsidRDefault="00AF1999">
      <w:pPr>
        <w:pStyle w:val="Heading2"/>
      </w:pPr>
      <w:bookmarkStart w:id="73" w:name="_Toc406769453"/>
      <w:r>
        <w:t xml:space="preserve">Examples </w:t>
      </w:r>
      <w:r w:rsidR="00D32C2C">
        <w:t xml:space="preserve">to be included in the </w:t>
      </w:r>
      <w:r w:rsidR="00963AE2">
        <w:t>Legislative instrument</w:t>
      </w:r>
      <w:bookmarkEnd w:id="73"/>
    </w:p>
    <w:p w14:paraId="63EA99A2" w14:textId="2197261D" w:rsidR="00E93D6E" w:rsidRDefault="006F72FE" w:rsidP="009B5310">
      <w:pPr>
        <w:pStyle w:val="NumberedParagraph3"/>
      </w:pPr>
      <w:r>
        <w:t>The Board ha</w:t>
      </w:r>
      <w:r w:rsidR="0013057A">
        <w:t>s</w:t>
      </w:r>
      <w:r>
        <w:t xml:space="preserve"> developed </w:t>
      </w:r>
      <w:r w:rsidR="00D11C0F">
        <w:t>eight</w:t>
      </w:r>
      <w:r w:rsidR="00ED1ACC">
        <w:t xml:space="preserve"> </w:t>
      </w:r>
      <w:r>
        <w:t>examples</w:t>
      </w:r>
      <w:r w:rsidR="008B15B8">
        <w:t xml:space="preserve"> which would</w:t>
      </w:r>
      <w:r>
        <w:t xml:space="preserve"> demonstrate application of the </w:t>
      </w:r>
      <w:r w:rsidR="00963AE2">
        <w:t xml:space="preserve">proposed </w:t>
      </w:r>
      <w:r>
        <w:t xml:space="preserve">new </w:t>
      </w:r>
      <w:r w:rsidR="008B15B8">
        <w:t>set of rules</w:t>
      </w:r>
      <w:r>
        <w:t xml:space="preserve"> to common scenarios.</w:t>
      </w:r>
      <w:r w:rsidR="00963AE2">
        <w:t xml:space="preserve"> It is anticipated that examples could be given the force of law by the Minister making a legislative instrument </w:t>
      </w:r>
      <w:r w:rsidR="00E93D6E">
        <w:t>that sets out the examples</w:t>
      </w:r>
      <w:r w:rsidR="00F76A61">
        <w:t>.</w:t>
      </w:r>
    </w:p>
    <w:p w14:paraId="45F49511" w14:textId="16FBC226" w:rsidR="00E93D6E" w:rsidRDefault="00E93D6E" w:rsidP="009B5310">
      <w:pPr>
        <w:pStyle w:val="NumberedParagraph3"/>
      </w:pPr>
      <w:r>
        <w:t xml:space="preserve">An alternative to making a legislative instrument would be to include the examples in the Explanatory Memorandum. However, the interpretative force of material in the Explanatory Memorandum has significant limitations, particularly when interpretation is challenged in a court, where material outside the legislation is </w:t>
      </w:r>
      <w:r w:rsidR="001C126C">
        <w:t xml:space="preserve">not universally referred to or relied on, </w:t>
      </w:r>
      <w:r>
        <w:t>other than in cases of ambigu</w:t>
      </w:r>
      <w:r w:rsidR="001C126C">
        <w:t>ous language.</w:t>
      </w:r>
    </w:p>
    <w:p w14:paraId="53AEEB3E" w14:textId="77777777" w:rsidR="00E918C6" w:rsidRDefault="00E93D6E" w:rsidP="009B5310">
      <w:pPr>
        <w:pStyle w:val="NumberedParagraph3"/>
      </w:pPr>
      <w:r>
        <w:t>Consequently, the Board’s preference is for the examples that support the legislative principles</w:t>
      </w:r>
      <w:r w:rsidR="003A477B">
        <w:t xml:space="preserve"> to</w:t>
      </w:r>
      <w:r>
        <w:t xml:space="preserve"> be in the form of a legislative instrument. The Board recognises that this is an unusual approach but considers that it is appropriate in the present circumstances given the need to ascertain the substance, rather than merely the form, of a transaction under the debt and equity tax rules.</w:t>
      </w:r>
    </w:p>
    <w:p w14:paraId="10060FC3" w14:textId="4B91086A" w:rsidR="00E918C6" w:rsidRDefault="00F76A61" w:rsidP="005D728B">
      <w:pPr>
        <w:pStyle w:val="NumberedParagraph3"/>
      </w:pPr>
      <w:r>
        <w:t xml:space="preserve"> </w:t>
      </w:r>
      <w:r w:rsidR="00E918C6">
        <w:t>The Board acknowledges that the proposed approach is not necessarily appropriate for most parts of the Act. However, Division 974 adopts a principles based drafting approach that already contemplates the use of regulations to clarify the operation of the rules to particular investments from time to time. The regulation making power has been used effectively in other cases relating to the application of the debt and equity tax rules. Accordingly, to ensure that the proposed approach is appropriately clarified, the examples should be in a legislati</w:t>
      </w:r>
      <w:r w:rsidR="00CD60A6">
        <w:t>ve instrument.</w:t>
      </w:r>
    </w:p>
    <w:p w14:paraId="069E9334" w14:textId="1FDAE42A" w:rsidR="00967746" w:rsidRDefault="00E918C6" w:rsidP="005D728B">
      <w:pPr>
        <w:pStyle w:val="NumberedParagraph3"/>
      </w:pPr>
      <w:r>
        <w:t>Finally, current issues associated with the interpretation of the debt and equity tax rules has increased because the examples contained in the Explanatory Memorandum lacked consistency with the words of the legislation. Given this, the Board considers that the proposed approach would overcome existing real interpretation issues and fit in with the structure of Division 974.</w:t>
      </w:r>
    </w:p>
    <w:p w14:paraId="0C81E957" w14:textId="311D29B4" w:rsidR="0079706A" w:rsidRDefault="0079706A" w:rsidP="00F674DC">
      <w:pPr>
        <w:pStyle w:val="Heading3"/>
        <w:spacing w:before="360"/>
      </w:pPr>
      <w:r>
        <w:lastRenderedPageBreak/>
        <w:t xml:space="preserve">Example </w:t>
      </w:r>
      <w:r w:rsidR="00B92DAF">
        <w:t>1</w:t>
      </w:r>
      <w:r>
        <w:t xml:space="preserve">: </w:t>
      </w:r>
      <w:r w:rsidR="00ED6B0F">
        <w:t>S</w:t>
      </w:r>
      <w:r>
        <w:t>hareholder loan – no aggregation</w:t>
      </w:r>
    </w:p>
    <w:p w14:paraId="6EE171F7" w14:textId="46D59F0E" w:rsidR="0079706A" w:rsidRDefault="00DD0E62" w:rsidP="00F674DC">
      <w:pPr>
        <w:pStyle w:val="Heading4"/>
        <w:spacing w:before="360"/>
      </w:pPr>
      <w:r>
        <w:t xml:space="preserve">Background </w:t>
      </w:r>
      <w:r w:rsidR="004849AF">
        <w:t>f</w:t>
      </w:r>
      <w:r>
        <w:t>acts</w:t>
      </w:r>
    </w:p>
    <w:p w14:paraId="59DDF5E2" w14:textId="1B3FC6F0" w:rsidR="00DD0E62" w:rsidRPr="001724B4" w:rsidRDefault="0041042E" w:rsidP="001724B4">
      <w:pPr>
        <w:pStyle w:val="Bullet"/>
      </w:pPr>
      <w:r w:rsidRPr="001724B4">
        <w:t xml:space="preserve">Four investors </w:t>
      </w:r>
      <w:r w:rsidR="005C1E65" w:rsidRPr="001724B4">
        <w:t xml:space="preserve">each </w:t>
      </w:r>
      <w:r w:rsidR="001D3D9C" w:rsidRPr="001724B4">
        <w:t xml:space="preserve">subscribe for </w:t>
      </w:r>
      <w:r w:rsidR="00EC1427" w:rsidRPr="001724B4">
        <w:t>25 per cent</w:t>
      </w:r>
      <w:r w:rsidR="005C1E65" w:rsidRPr="001724B4">
        <w:t xml:space="preserve"> of the ordinary </w:t>
      </w:r>
      <w:r w:rsidR="001D3D9C" w:rsidRPr="001724B4">
        <w:t>shares</w:t>
      </w:r>
      <w:r w:rsidR="005C1E65" w:rsidRPr="001724B4">
        <w:t xml:space="preserve"> in a company</w:t>
      </w:r>
      <w:r w:rsidR="001D3D9C" w:rsidRPr="001724B4">
        <w:t xml:space="preserve"> and make a loan to the</w:t>
      </w:r>
      <w:r w:rsidR="0060355A" w:rsidRPr="001724B4">
        <w:t xml:space="preserve"> company in equal proportions. </w:t>
      </w:r>
      <w:r w:rsidR="001D3D9C" w:rsidRPr="001724B4">
        <w:t xml:space="preserve">For example, </w:t>
      </w:r>
      <w:r w:rsidR="005C1E65" w:rsidRPr="001724B4">
        <w:t>investors</w:t>
      </w:r>
      <w:r w:rsidR="001D3D9C" w:rsidRPr="001724B4">
        <w:t xml:space="preserve"> might </w:t>
      </w:r>
      <w:r w:rsidR="005C1E65" w:rsidRPr="001724B4">
        <w:t>lend</w:t>
      </w:r>
      <w:r w:rsidR="001D3D9C" w:rsidRPr="001724B4">
        <w:t xml:space="preserve"> $</w:t>
      </w:r>
      <w:r w:rsidR="005C1E65" w:rsidRPr="001724B4">
        <w:t>7</w:t>
      </w:r>
      <w:r w:rsidR="007E0DC3" w:rsidRPr="001724B4">
        <w:t>5</w:t>
      </w:r>
      <w:r w:rsidR="001D3D9C" w:rsidRPr="001724B4">
        <w:t xml:space="preserve"> for each $</w:t>
      </w:r>
      <w:r w:rsidR="007E0DC3" w:rsidRPr="001724B4">
        <w:t>25</w:t>
      </w:r>
      <w:r w:rsidR="001D3D9C" w:rsidRPr="001724B4">
        <w:t xml:space="preserve"> of share capital provided.</w:t>
      </w:r>
    </w:p>
    <w:p w14:paraId="332EC12F" w14:textId="77777777" w:rsidR="0079706A" w:rsidRPr="001724B4" w:rsidRDefault="00335D88" w:rsidP="001724B4">
      <w:pPr>
        <w:pStyle w:val="Bullet"/>
      </w:pPr>
      <w:r w:rsidRPr="001724B4">
        <w:t xml:space="preserve">Assume that </w:t>
      </w:r>
      <w:r w:rsidR="005C1E65" w:rsidRPr="001724B4">
        <w:t xml:space="preserve">there is no relationship between the pricing, terms and conditions of loan and the pricing, terms and conditions of the shares </w:t>
      </w:r>
      <w:r w:rsidRPr="001724B4">
        <w:t xml:space="preserve">in the company. </w:t>
      </w:r>
    </w:p>
    <w:p w14:paraId="23B5F900" w14:textId="77777777" w:rsidR="00335D88" w:rsidRDefault="00335D88" w:rsidP="002A401A">
      <w:pPr>
        <w:pStyle w:val="Graphic"/>
        <w:rPr>
          <w:noProof/>
        </w:rPr>
      </w:pPr>
      <w:r w:rsidRPr="0021776E">
        <w:rPr>
          <w:noProof/>
          <w:lang w:val="en-US" w:eastAsia="en-US"/>
        </w:rPr>
        <w:drawing>
          <wp:inline distT="0" distB="0" distL="0" distR="0" wp14:anchorId="21F58657" wp14:editId="632F7678">
            <wp:extent cx="1900555" cy="1889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0.png"/>
                    <pic:cNvPicPr/>
                  </pic:nvPicPr>
                  <pic:blipFill>
                    <a:blip r:embed="rId38">
                      <a:extLst>
                        <a:ext uri="{28A0092B-C50C-407E-A947-70E740481C1C}">
                          <a14:useLocalDpi xmlns:a14="http://schemas.microsoft.com/office/drawing/2010/main" val="0"/>
                        </a:ext>
                      </a:extLst>
                    </a:blip>
                    <a:stretch>
                      <a:fillRect/>
                    </a:stretch>
                  </pic:blipFill>
                  <pic:spPr>
                    <a:xfrm>
                      <a:off x="0" y="0"/>
                      <a:ext cx="1900555" cy="1889760"/>
                    </a:xfrm>
                    <a:prstGeom prst="rect">
                      <a:avLst/>
                    </a:prstGeom>
                  </pic:spPr>
                </pic:pic>
              </a:graphicData>
            </a:graphic>
          </wp:inline>
        </w:drawing>
      </w:r>
    </w:p>
    <w:p w14:paraId="385A6F9C" w14:textId="6BB4C7E2" w:rsidR="000F2B86" w:rsidRDefault="000F2B86" w:rsidP="00A1616A">
      <w:pPr>
        <w:pStyle w:val="Heading4"/>
        <w:spacing w:before="360"/>
      </w:pPr>
      <w:r w:rsidRPr="00DB6407">
        <w:t>Appl</w:t>
      </w:r>
      <w:r w:rsidR="004849AF">
        <w:t>ying</w:t>
      </w:r>
      <w:r w:rsidRPr="00DB6407">
        <w:t xml:space="preserve"> </w:t>
      </w:r>
      <w:r w:rsidR="004849AF">
        <w:t>the</w:t>
      </w:r>
      <w:r w:rsidRPr="00DB6407">
        <w:t xml:space="preserve"> proposed new principles</w:t>
      </w:r>
    </w:p>
    <w:p w14:paraId="007879F5" w14:textId="1788D2D9" w:rsidR="000F2B86" w:rsidRDefault="00E971F8" w:rsidP="00AF6AF1">
      <w:pPr>
        <w:pStyle w:val="Heading5"/>
      </w:pPr>
      <w:r>
        <w:t xml:space="preserve">Shares in </w:t>
      </w:r>
      <w:r w:rsidR="004849AF">
        <w:t>the c</w:t>
      </w:r>
      <w:r>
        <w:t xml:space="preserve">ompany and </w:t>
      </w:r>
      <w:r w:rsidR="004849AF">
        <w:t>s</w:t>
      </w:r>
      <w:r>
        <w:t xml:space="preserve">hareholder </w:t>
      </w:r>
      <w:r w:rsidR="004849AF">
        <w:t>l</w:t>
      </w:r>
      <w:r>
        <w:t>oan</w:t>
      </w:r>
      <w:r w:rsidR="007B37E6">
        <w:t>s</w:t>
      </w:r>
    </w:p>
    <w:p w14:paraId="28EB6E04" w14:textId="3B5D15D4" w:rsidR="00E971F8" w:rsidRDefault="000217E3" w:rsidP="009B5310">
      <w:pPr>
        <w:pStyle w:val="NumberedParagraph3"/>
      </w:pPr>
      <w:r>
        <w:t>T</w:t>
      </w:r>
      <w:r w:rsidRPr="008C53B7">
        <w:t>he</w:t>
      </w:r>
      <w:r>
        <w:t xml:space="preserve"> pricing, terms and conditions of</w:t>
      </w:r>
      <w:r w:rsidRPr="008C53B7">
        <w:t xml:space="preserve"> </w:t>
      </w:r>
      <w:r w:rsidR="005C1E65">
        <w:t xml:space="preserve">the </w:t>
      </w:r>
      <w:r w:rsidRPr="008C53B7">
        <w:t xml:space="preserve">shares in the </w:t>
      </w:r>
      <w:r w:rsidR="009C73F2">
        <w:t>c</w:t>
      </w:r>
      <w:r w:rsidRPr="008C53B7">
        <w:t>ompany</w:t>
      </w:r>
      <w:r w:rsidR="005C1E65">
        <w:t xml:space="preserve"> are not dependent</w:t>
      </w:r>
      <w:r w:rsidR="006676E7">
        <w:t xml:space="preserve"> on</w:t>
      </w:r>
      <w:r w:rsidR="005C1E65">
        <w:t xml:space="preserve"> or linked</w:t>
      </w:r>
      <w:r w:rsidR="006676E7">
        <w:t xml:space="preserve"> to</w:t>
      </w:r>
      <w:r w:rsidR="005C1E65">
        <w:t xml:space="preserve"> the pricing, terms and conditions of</w:t>
      </w:r>
      <w:r>
        <w:t xml:space="preserve"> the </w:t>
      </w:r>
      <w:r w:rsidR="009C73F2">
        <w:t>s</w:t>
      </w:r>
      <w:r w:rsidR="003B2509">
        <w:t xml:space="preserve">hareholder </w:t>
      </w:r>
      <w:r w:rsidR="009C73F2">
        <w:t>l</w:t>
      </w:r>
      <w:r>
        <w:t>oan</w:t>
      </w:r>
      <w:r w:rsidR="009C73F2">
        <w:t>s</w:t>
      </w:r>
      <w:r>
        <w:t xml:space="preserve"> in a manner that would affect the application of the debt or equity test</w:t>
      </w:r>
      <w:r w:rsidR="006676E7">
        <w:t>s</w:t>
      </w:r>
      <w:r>
        <w:t xml:space="preserve">. </w:t>
      </w:r>
      <w:r w:rsidRPr="008C53B7">
        <w:t xml:space="preserve"> The </w:t>
      </w:r>
      <w:r w:rsidR="009C73F2">
        <w:t>c</w:t>
      </w:r>
      <w:r w:rsidRPr="008C53B7">
        <w:t xml:space="preserve">ompany is obliged to perform its obligations under the </w:t>
      </w:r>
      <w:r w:rsidR="009C73F2">
        <w:t>s</w:t>
      </w:r>
      <w:r w:rsidR="003B2509">
        <w:t xml:space="preserve">hareholder </w:t>
      </w:r>
      <w:r w:rsidR="009C73F2">
        <w:t>l</w:t>
      </w:r>
      <w:r w:rsidRPr="008C53B7">
        <w:t>oan</w:t>
      </w:r>
      <w:r w:rsidR="005C1E65">
        <w:t xml:space="preserve">, regardless of the </w:t>
      </w:r>
      <w:r w:rsidRPr="008C53B7">
        <w:t xml:space="preserve">terms attached to </w:t>
      </w:r>
      <w:r w:rsidR="006676E7">
        <w:t>the</w:t>
      </w:r>
      <w:r w:rsidR="006676E7" w:rsidRPr="008C53B7">
        <w:t xml:space="preserve"> </w:t>
      </w:r>
      <w:r w:rsidRPr="008C53B7">
        <w:t>shares</w:t>
      </w:r>
      <w:r>
        <w:t>.</w:t>
      </w:r>
    </w:p>
    <w:p w14:paraId="6AE86A44" w14:textId="5D1A2958" w:rsidR="005A097A" w:rsidRDefault="0021668F" w:rsidP="009B5310">
      <w:pPr>
        <w:pStyle w:val="NumberedParagraph3"/>
      </w:pPr>
      <w:r>
        <w:t xml:space="preserve">The </w:t>
      </w:r>
      <w:r w:rsidR="005C1E65">
        <w:t xml:space="preserve">pricing, terms and conditions of the </w:t>
      </w:r>
      <w:r>
        <w:t xml:space="preserve">shares in the </w:t>
      </w:r>
      <w:r w:rsidR="009C73F2">
        <w:t>c</w:t>
      </w:r>
      <w:r>
        <w:t xml:space="preserve">ompany do not operate in a way which would alter the economic consequences of the pricing, terms </w:t>
      </w:r>
      <w:r w:rsidR="00CD61D9">
        <w:t xml:space="preserve">and </w:t>
      </w:r>
      <w:r>
        <w:t xml:space="preserve">conditions of the </w:t>
      </w:r>
      <w:r w:rsidR="009C73F2">
        <w:t>c</w:t>
      </w:r>
      <w:r>
        <w:t xml:space="preserve">ompany </w:t>
      </w:r>
      <w:r w:rsidR="009C73F2">
        <w:t>l</w:t>
      </w:r>
      <w:r>
        <w:t>oan</w:t>
      </w:r>
      <w:r w:rsidR="009C73F2">
        <w:t>s</w:t>
      </w:r>
      <w:r>
        <w:t xml:space="preserve"> (or vice versa).</w:t>
      </w:r>
    </w:p>
    <w:p w14:paraId="71419DBC" w14:textId="77777777" w:rsidR="0021668F" w:rsidRDefault="0021668F" w:rsidP="006644FB">
      <w:pPr>
        <w:pStyle w:val="Heading3"/>
      </w:pPr>
      <w:r>
        <w:t xml:space="preserve">The schemes in combination </w:t>
      </w:r>
    </w:p>
    <w:p w14:paraId="7D4D3472" w14:textId="720B1005" w:rsidR="0021668F" w:rsidRDefault="0021668F" w:rsidP="009B5310">
      <w:pPr>
        <w:pStyle w:val="NumberedParagraph3"/>
      </w:pPr>
      <w:r>
        <w:t xml:space="preserve">As there is no </w:t>
      </w:r>
      <w:r w:rsidR="005C1E65">
        <w:t xml:space="preserve">relevant </w:t>
      </w:r>
      <w:r>
        <w:t>dependency</w:t>
      </w:r>
      <w:r w:rsidR="009C73F2">
        <w:t>,</w:t>
      </w:r>
      <w:r>
        <w:t xml:space="preserve"> link </w:t>
      </w:r>
      <w:r w:rsidR="005C1E65">
        <w:t xml:space="preserve">or economic effect </w:t>
      </w:r>
      <w:r>
        <w:t xml:space="preserve">between the </w:t>
      </w:r>
      <w:r w:rsidR="005C1E65">
        <w:t xml:space="preserve">pricing, terms and conditions of the </w:t>
      </w:r>
      <w:r w:rsidR="009C73F2">
        <w:t>s</w:t>
      </w:r>
      <w:r w:rsidR="005C1E65">
        <w:t xml:space="preserve">hares and the pricing, terms and conditions of the </w:t>
      </w:r>
      <w:r w:rsidR="009C73F2">
        <w:t>l</w:t>
      </w:r>
      <w:r w:rsidR="005C1E65">
        <w:t>oan</w:t>
      </w:r>
      <w:r w:rsidR="009C73F2">
        <w:t>s</w:t>
      </w:r>
      <w:r w:rsidR="005C1E65">
        <w:t xml:space="preserve">, </w:t>
      </w:r>
      <w:r>
        <w:t>it is not necessary to consider the schemes in combination</w:t>
      </w:r>
      <w:r w:rsidR="005C1E65">
        <w:t xml:space="preserve"> against the relevant factors</w:t>
      </w:r>
      <w:r>
        <w:t>.</w:t>
      </w:r>
    </w:p>
    <w:p w14:paraId="15E2030F" w14:textId="2D7294D1" w:rsidR="0021668F" w:rsidRDefault="0021668F" w:rsidP="006644FB">
      <w:pPr>
        <w:pStyle w:val="Heading3"/>
      </w:pPr>
      <w:r>
        <w:t>Mere link</w:t>
      </w:r>
      <w:r w:rsidR="009C73F2">
        <w:t>s</w:t>
      </w:r>
      <w:r>
        <w:t xml:space="preserve"> and commercial understandings</w:t>
      </w:r>
    </w:p>
    <w:p w14:paraId="1A9C23DA" w14:textId="1BD1FDA8" w:rsidR="005A097A" w:rsidRDefault="0021668F" w:rsidP="009B5310">
      <w:pPr>
        <w:pStyle w:val="NumberedParagraph3"/>
      </w:pPr>
      <w:r>
        <w:t xml:space="preserve">As there is no </w:t>
      </w:r>
      <w:r w:rsidR="005C1E65">
        <w:t xml:space="preserve">relevant </w:t>
      </w:r>
      <w:r>
        <w:t>dependency</w:t>
      </w:r>
      <w:r w:rsidR="009C73F2">
        <w:t>,</w:t>
      </w:r>
      <w:r>
        <w:t xml:space="preserve"> link</w:t>
      </w:r>
      <w:r w:rsidR="005C1E65">
        <w:t xml:space="preserve"> or economic effect</w:t>
      </w:r>
      <w:r>
        <w:t xml:space="preserve"> between the pricing, terms and conditions of the shares in the </w:t>
      </w:r>
      <w:r w:rsidR="009C73F2">
        <w:t>c</w:t>
      </w:r>
      <w:r>
        <w:t>ompany</w:t>
      </w:r>
      <w:r w:rsidRPr="002B06BE">
        <w:t xml:space="preserve"> </w:t>
      </w:r>
      <w:r>
        <w:t xml:space="preserve">and the </w:t>
      </w:r>
      <w:r w:rsidR="009C73F2">
        <w:t>l</w:t>
      </w:r>
      <w:r>
        <w:t>oan</w:t>
      </w:r>
      <w:r w:rsidR="009C73F2">
        <w:t>s</w:t>
      </w:r>
      <w:r>
        <w:t xml:space="preserve">, it is not necessary to consider </w:t>
      </w:r>
      <w:r w:rsidR="005C1E65">
        <w:t>any</w:t>
      </w:r>
      <w:r>
        <w:t xml:space="preserve"> mere links and </w:t>
      </w:r>
      <w:r w:rsidR="005C1E65">
        <w:t xml:space="preserve">what would be the </w:t>
      </w:r>
      <w:r>
        <w:t>commercial understanding</w:t>
      </w:r>
      <w:r w:rsidR="005C1E65">
        <w:t xml:space="preserve"> of whether the interests would be regarded as one or two interests</w:t>
      </w:r>
      <w:r>
        <w:t>.</w:t>
      </w:r>
    </w:p>
    <w:tbl>
      <w:tblPr>
        <w:tblW w:w="0" w:type="auto"/>
        <w:tblInd w:w="108" w:type="dxa"/>
        <w:shd w:val="clear" w:color="auto" w:fill="E6E6E6"/>
        <w:tblLook w:val="01E0" w:firstRow="1" w:lastRow="1" w:firstColumn="1" w:lastColumn="1" w:noHBand="0" w:noVBand="0"/>
      </w:tblPr>
      <w:tblGrid>
        <w:gridCol w:w="8615"/>
      </w:tblGrid>
      <w:tr w:rsidR="00F62C55" w14:paraId="5FFB77CC" w14:textId="77777777" w:rsidTr="00F62C55">
        <w:trPr>
          <w:cantSplit/>
        </w:trPr>
        <w:tc>
          <w:tcPr>
            <w:tcW w:w="8615" w:type="dxa"/>
            <w:shd w:val="clear" w:color="auto" w:fill="E6E6E6"/>
          </w:tcPr>
          <w:p w14:paraId="2A25F82B" w14:textId="77777777" w:rsidR="00F62C55" w:rsidRDefault="00F62C55" w:rsidP="00F62C55">
            <w:pPr>
              <w:rPr>
                <w:b/>
              </w:rPr>
            </w:pPr>
            <w:r>
              <w:rPr>
                <w:b/>
                <w:i/>
              </w:rPr>
              <w:lastRenderedPageBreak/>
              <w:t>Factors not critical to this analysis and that should not change the application of the test:</w:t>
            </w:r>
          </w:p>
          <w:p w14:paraId="0DAE439E" w14:textId="77777777" w:rsidR="00F62C55" w:rsidRDefault="00F62C55" w:rsidP="00F62C55">
            <w:pPr>
              <w:pStyle w:val="Bullet"/>
              <w:ind w:left="522" w:hanging="522"/>
            </w:pPr>
            <w:r>
              <w:t>the number of investors and proportion of ownership; and</w:t>
            </w:r>
          </w:p>
          <w:p w14:paraId="7164CE80" w14:textId="77777777" w:rsidR="00F62C55" w:rsidRPr="009624EA" w:rsidRDefault="00F62C55" w:rsidP="00F62C55">
            <w:pPr>
              <w:pStyle w:val="Bullet"/>
              <w:ind w:left="522" w:hanging="522"/>
            </w:pPr>
            <w:proofErr w:type="gramStart"/>
            <w:r>
              <w:t>the</w:t>
            </w:r>
            <w:proofErr w:type="gramEnd"/>
            <w:r>
              <w:t xml:space="preserve"> comparative amount of debt and equity. </w:t>
            </w:r>
          </w:p>
          <w:p w14:paraId="4352F6FE" w14:textId="77777777" w:rsidR="00F62C55" w:rsidRPr="00F674DC" w:rsidRDefault="00F62C55" w:rsidP="00F62C55">
            <w:pPr>
              <w:pStyle w:val="Bullet"/>
              <w:numPr>
                <w:ilvl w:val="0"/>
                <w:numId w:val="0"/>
              </w:numPr>
              <w:rPr>
                <w:b/>
                <w:i/>
              </w:rPr>
            </w:pPr>
            <w:r w:rsidRPr="00F674DC">
              <w:rPr>
                <w:b/>
                <w:i/>
              </w:rPr>
              <w:t>Change</w:t>
            </w:r>
            <w:r>
              <w:rPr>
                <w:b/>
                <w:i/>
              </w:rPr>
              <w:t>s</w:t>
            </w:r>
            <w:r w:rsidRPr="00F674DC">
              <w:rPr>
                <w:b/>
                <w:i/>
              </w:rPr>
              <w:t xml:space="preserve"> to this scheme that would not result in aggregation</w:t>
            </w:r>
          </w:p>
          <w:p w14:paraId="60DA36BA" w14:textId="53776B3F" w:rsidR="00F62C55" w:rsidRDefault="00F62C55" w:rsidP="00F62C55">
            <w:pPr>
              <w:pStyle w:val="Bullet"/>
              <w:ind w:left="522" w:hanging="522"/>
            </w:pPr>
            <w:r>
              <w:t>If, instead of a loan, the shareholders subscribed for mandatorily redeemable preference shares</w:t>
            </w:r>
            <w:r w:rsidR="000C3433">
              <w:t xml:space="preserve"> that were debt interests</w:t>
            </w:r>
            <w:r>
              <w:t>, the analysis would be the same as for the loan example.</w:t>
            </w:r>
          </w:p>
          <w:p w14:paraId="2E727036" w14:textId="77777777" w:rsidR="00F62C55" w:rsidRPr="003C7758" w:rsidRDefault="00F62C55" w:rsidP="00F62C55">
            <w:pPr>
              <w:pStyle w:val="Bullet"/>
              <w:ind w:left="522" w:hanging="522"/>
            </w:pPr>
            <w:r>
              <w:t>Mere stapling of the shares and the loan (or mandatorily redeemable preference shares) would not result in the aggregation of the schemes.</w:t>
            </w:r>
          </w:p>
          <w:p w14:paraId="77479E02" w14:textId="77777777" w:rsidR="00F62C55" w:rsidRPr="00F674DC" w:rsidRDefault="00F62C55" w:rsidP="00F62C55">
            <w:pPr>
              <w:rPr>
                <w:b/>
                <w:i/>
              </w:rPr>
            </w:pPr>
            <w:r w:rsidRPr="00C1751F">
              <w:rPr>
                <w:b/>
                <w:i/>
              </w:rPr>
              <w:t>Change</w:t>
            </w:r>
            <w:r>
              <w:rPr>
                <w:b/>
                <w:i/>
              </w:rPr>
              <w:t>s</w:t>
            </w:r>
            <w:r w:rsidRPr="00C1751F">
              <w:rPr>
                <w:b/>
                <w:i/>
              </w:rPr>
              <w:t xml:space="preserve"> to this scheme that </w:t>
            </w:r>
            <w:r>
              <w:rPr>
                <w:b/>
                <w:i/>
              </w:rPr>
              <w:t>w</w:t>
            </w:r>
            <w:r w:rsidRPr="00F674DC">
              <w:rPr>
                <w:b/>
                <w:i/>
              </w:rPr>
              <w:t>ould result in aggregation</w:t>
            </w:r>
          </w:p>
          <w:p w14:paraId="11859D21" w14:textId="77777777" w:rsidR="00F62C55" w:rsidRPr="009624EA" w:rsidRDefault="00F62C55" w:rsidP="00F62C55">
            <w:pPr>
              <w:pStyle w:val="Bullet"/>
              <w:ind w:left="522" w:hanging="522"/>
            </w:pPr>
            <w:r w:rsidRPr="009624EA">
              <w:t>If the terms of the loan prohibited the p</w:t>
            </w:r>
            <w:r>
              <w:t>aying</w:t>
            </w:r>
            <w:r w:rsidRPr="009624EA">
              <w:t xml:space="preserve"> the loan princip</w:t>
            </w:r>
            <w:r>
              <w:t>al</w:t>
            </w:r>
            <w:r w:rsidRPr="009624EA">
              <w:t xml:space="preserve"> unless there is proportionate repayment of share capital, the pricing, terms and conditions of the loan would be dependent or linked to those of the shares. </w:t>
            </w:r>
          </w:p>
          <w:p w14:paraId="4DE9ABC4" w14:textId="77777777" w:rsidR="00F62C55" w:rsidRPr="004451EC" w:rsidRDefault="00F62C55" w:rsidP="004451EC">
            <w:pPr>
              <w:pStyle w:val="Dash"/>
            </w:pPr>
            <w:r w:rsidRPr="004451EC">
              <w:t>When the schemes are considered in combination, the fact that the investors and lenders are the same entities would support the conclusion that the schemes are dependent or linked.</w:t>
            </w:r>
          </w:p>
          <w:p w14:paraId="63B98A4C" w14:textId="3E54191C" w:rsidR="00F62C55" w:rsidRPr="0010343E" w:rsidRDefault="00F62C55" w:rsidP="004451EC">
            <w:pPr>
              <w:pStyle w:val="Dash"/>
            </w:pPr>
            <w:r w:rsidRPr="004451EC">
              <w:t>This would not be a scheme where normal commercial understandings or dealings in practice would result in the schemes being treated as separate things.</w:t>
            </w:r>
          </w:p>
        </w:tc>
      </w:tr>
    </w:tbl>
    <w:p w14:paraId="5A3B674A" w14:textId="0D36759B" w:rsidR="00020DB6" w:rsidRDefault="00020DB6" w:rsidP="00020DB6">
      <w:pPr>
        <w:pStyle w:val="Heading3"/>
        <w:spacing w:before="360"/>
      </w:pPr>
      <w:r>
        <w:t xml:space="preserve">Example 2:  </w:t>
      </w:r>
      <w:r w:rsidR="00A819F4">
        <w:t>F</w:t>
      </w:r>
      <w:r>
        <w:t xml:space="preserve">inance trust </w:t>
      </w:r>
      <w:r w:rsidR="005A3DE3">
        <w:t>and</w:t>
      </w:r>
      <w:r>
        <w:t xml:space="preserve"> company staple – aggregation</w:t>
      </w:r>
    </w:p>
    <w:p w14:paraId="33F67187" w14:textId="77777777" w:rsidR="00020DB6" w:rsidRDefault="00020DB6" w:rsidP="009B5310">
      <w:pPr>
        <w:pStyle w:val="NumberedParagraph3"/>
      </w:pPr>
      <w:r>
        <w:t xml:space="preserve">This example considers a stapled finance trust and company arrangement. </w:t>
      </w:r>
    </w:p>
    <w:p w14:paraId="106E1440" w14:textId="61E4B8F7" w:rsidR="00020DB6" w:rsidRDefault="00020DB6" w:rsidP="00AF6AF1">
      <w:pPr>
        <w:pStyle w:val="Heading4"/>
      </w:pPr>
      <w:r>
        <w:t xml:space="preserve">Background </w:t>
      </w:r>
      <w:r w:rsidR="00364269">
        <w:t>f</w:t>
      </w:r>
      <w:r>
        <w:t>acts</w:t>
      </w:r>
    </w:p>
    <w:p w14:paraId="6A0B844F" w14:textId="7D4A63EB" w:rsidR="00020DB6" w:rsidRPr="001724B4" w:rsidRDefault="00020DB6" w:rsidP="001724B4">
      <w:pPr>
        <w:pStyle w:val="Bullet"/>
      </w:pPr>
      <w:r w:rsidRPr="001724B4">
        <w:t xml:space="preserve">The </w:t>
      </w:r>
      <w:r w:rsidR="005A3DE3" w:rsidRPr="001724B4">
        <w:t>c</w:t>
      </w:r>
      <w:r w:rsidRPr="001724B4">
        <w:t>ompany is formed to acquire and hold for the long term certain substantial physical assets intended to be financed to the greatest possible extent with external debt on arm’s length terms.</w:t>
      </w:r>
    </w:p>
    <w:p w14:paraId="2F669C98" w14:textId="3A1DCB5D" w:rsidR="002A401A" w:rsidRDefault="00020DB6" w:rsidP="007B24C5">
      <w:pPr>
        <w:pStyle w:val="Bullet"/>
      </w:pPr>
      <w:r w:rsidRPr="001724B4">
        <w:t>External financiers indicate preparedness to provide finance provided the investors in the company commit an amount of permanent capital as a buffer for losses. Shareholder loans will not be acceptable, even if subordinated to external loans, if the shareholders are free to insist on repayment of those loans. Further external borrowing would also not be permitted.</w:t>
      </w:r>
    </w:p>
    <w:p w14:paraId="5FD1701C" w14:textId="0309F0C6" w:rsidR="00020DB6" w:rsidRDefault="00020DB6" w:rsidP="00020DB6">
      <w:pPr>
        <w:pStyle w:val="Bullet"/>
        <w:numPr>
          <w:ilvl w:val="0"/>
          <w:numId w:val="0"/>
        </w:numPr>
        <w:tabs>
          <w:tab w:val="left" w:pos="720"/>
        </w:tabs>
      </w:pPr>
      <w:r>
        <w:t>The following arrangement is carried out to serve these ends.</w:t>
      </w:r>
    </w:p>
    <w:p w14:paraId="00C6C90D" w14:textId="6C682AD8" w:rsidR="00020DB6" w:rsidRPr="001724B4" w:rsidRDefault="00020DB6" w:rsidP="001724B4">
      <w:pPr>
        <w:pStyle w:val="Bullet"/>
      </w:pPr>
      <w:r w:rsidRPr="001724B4">
        <w:lastRenderedPageBreak/>
        <w:t xml:space="preserve">A Division 6 tax transparent non-trading </w:t>
      </w:r>
      <w:r w:rsidR="005A3DE3" w:rsidRPr="001724B4">
        <w:t>u</w:t>
      </w:r>
      <w:r w:rsidR="000208B9" w:rsidRPr="001724B4">
        <w:t>nit trust</w:t>
      </w:r>
      <w:r w:rsidRPr="001724B4">
        <w:t xml:space="preserve"> is established to act solely as a provider of finance for the </w:t>
      </w:r>
      <w:r w:rsidR="005A3DE3" w:rsidRPr="001724B4">
        <w:t>c</w:t>
      </w:r>
      <w:r w:rsidRPr="001724B4">
        <w:t xml:space="preserve">ompany.  The </w:t>
      </w:r>
      <w:r w:rsidR="005A3DE3" w:rsidRPr="001724B4">
        <w:t>u</w:t>
      </w:r>
      <w:r w:rsidR="000208B9" w:rsidRPr="001724B4">
        <w:t>nit trust</w:t>
      </w:r>
      <w:r w:rsidRPr="001724B4">
        <w:t xml:space="preserve"> will have one asset, a loan to the </w:t>
      </w:r>
      <w:r w:rsidR="005A3DE3" w:rsidRPr="001724B4">
        <w:t>c</w:t>
      </w:r>
      <w:r w:rsidRPr="001724B4">
        <w:t>ompany.</w:t>
      </w:r>
    </w:p>
    <w:p w14:paraId="651BBA42" w14:textId="1938DD57" w:rsidR="00020DB6" w:rsidRPr="001724B4" w:rsidRDefault="00020DB6" w:rsidP="001724B4">
      <w:pPr>
        <w:pStyle w:val="Bullet"/>
      </w:pPr>
      <w:r w:rsidRPr="001724B4">
        <w:t xml:space="preserve">The </w:t>
      </w:r>
      <w:r w:rsidR="005A3DE3" w:rsidRPr="001724B4">
        <w:t>s</w:t>
      </w:r>
      <w:r w:rsidRPr="001724B4">
        <w:t xml:space="preserve">hares in the </w:t>
      </w:r>
      <w:r w:rsidR="005A3DE3" w:rsidRPr="001724B4">
        <w:t>c</w:t>
      </w:r>
      <w:r w:rsidRPr="001724B4">
        <w:t xml:space="preserve">ompany and </w:t>
      </w:r>
      <w:r w:rsidR="005A3DE3" w:rsidRPr="001724B4">
        <w:t>u</w:t>
      </w:r>
      <w:r w:rsidRPr="001724B4">
        <w:t xml:space="preserve">nits in the </w:t>
      </w:r>
      <w:r w:rsidR="005A3DE3" w:rsidRPr="001724B4">
        <w:t>u</w:t>
      </w:r>
      <w:r w:rsidR="000208B9" w:rsidRPr="001724B4">
        <w:t>nit trust</w:t>
      </w:r>
      <w:r w:rsidRPr="001724B4">
        <w:t xml:space="preserve"> are stapled pursuant to a security holder agreement (</w:t>
      </w:r>
      <w:r w:rsidR="005A3DE3" w:rsidRPr="001724B4">
        <w:t>s</w:t>
      </w:r>
      <w:r w:rsidRPr="001724B4">
        <w:t xml:space="preserve">tapling </w:t>
      </w:r>
      <w:r w:rsidR="005A3DE3" w:rsidRPr="001724B4">
        <w:t>a</w:t>
      </w:r>
      <w:r w:rsidRPr="001724B4">
        <w:t xml:space="preserve">greement). </w:t>
      </w:r>
    </w:p>
    <w:p w14:paraId="73C55B34" w14:textId="7F615D2D" w:rsidR="00020DB6" w:rsidRPr="001724B4" w:rsidRDefault="00020DB6" w:rsidP="001724B4">
      <w:pPr>
        <w:pStyle w:val="Bullet"/>
      </w:pPr>
      <w:r w:rsidRPr="001724B4">
        <w:t xml:space="preserve">Trustee Co (not shown for simplicity), the trustee of the </w:t>
      </w:r>
      <w:r w:rsidR="005A3DE3" w:rsidRPr="001724B4">
        <w:t>u</w:t>
      </w:r>
      <w:r w:rsidR="000208B9" w:rsidRPr="001724B4">
        <w:t>nit trust</w:t>
      </w:r>
      <w:r w:rsidRPr="001724B4">
        <w:t xml:space="preserve">, is wholly owned by a </w:t>
      </w:r>
      <w:r w:rsidR="005A3DE3" w:rsidRPr="001724B4">
        <w:t>p</w:t>
      </w:r>
      <w:r w:rsidRPr="001724B4">
        <w:t>rofessional</w:t>
      </w:r>
      <w:r w:rsidR="005A3DE3" w:rsidRPr="001724B4">
        <w:t xml:space="preserve"> t</w:t>
      </w:r>
      <w:r w:rsidRPr="001724B4">
        <w:t xml:space="preserve">rustee </w:t>
      </w:r>
      <w:r w:rsidR="005A3DE3" w:rsidRPr="001724B4">
        <w:t>c</w:t>
      </w:r>
      <w:r w:rsidRPr="001724B4">
        <w:t xml:space="preserve">ompany and has nominal capital. The </w:t>
      </w:r>
      <w:r w:rsidR="005A3DE3" w:rsidRPr="001724B4">
        <w:t>c</w:t>
      </w:r>
      <w:r w:rsidRPr="001724B4">
        <w:t xml:space="preserve">ompany has a right to nominate two of the three directors of Trustee Co. If the </w:t>
      </w:r>
      <w:r w:rsidR="005A3DE3" w:rsidRPr="001724B4">
        <w:t>p</w:t>
      </w:r>
      <w:r w:rsidRPr="001724B4">
        <w:t xml:space="preserve">rofessional </w:t>
      </w:r>
      <w:r w:rsidR="005A3DE3" w:rsidRPr="001724B4">
        <w:t>t</w:t>
      </w:r>
      <w:r w:rsidRPr="001724B4">
        <w:t xml:space="preserve">rustee </w:t>
      </w:r>
      <w:r w:rsidR="005A3DE3" w:rsidRPr="001724B4">
        <w:t>c</w:t>
      </w:r>
      <w:r w:rsidRPr="001724B4">
        <w:t xml:space="preserve">ompany no longer wants to wholly own Trustee Co, it must give the </w:t>
      </w:r>
      <w:r w:rsidR="005A3DE3" w:rsidRPr="001724B4">
        <w:t>c</w:t>
      </w:r>
      <w:r w:rsidRPr="001724B4">
        <w:t xml:space="preserve">ompany the </w:t>
      </w:r>
      <w:r w:rsidR="007B24C5">
        <w:t>option of acquiring the shares.</w:t>
      </w:r>
    </w:p>
    <w:p w14:paraId="7548CE67" w14:textId="5F367C68" w:rsidR="00020DB6" w:rsidRDefault="00020DB6" w:rsidP="00020DB6">
      <w:pPr>
        <w:pStyle w:val="Bullet"/>
        <w:numPr>
          <w:ilvl w:val="0"/>
          <w:numId w:val="0"/>
        </w:numPr>
        <w:tabs>
          <w:tab w:val="left" w:pos="720"/>
        </w:tabs>
      </w:pPr>
      <w:r>
        <w:rPr>
          <w:i/>
        </w:rPr>
        <w:t xml:space="preserve">The </w:t>
      </w:r>
      <w:r w:rsidR="005A3DE3">
        <w:rPr>
          <w:i/>
        </w:rPr>
        <w:t>u</w:t>
      </w:r>
      <w:r w:rsidR="000208B9">
        <w:rPr>
          <w:i/>
        </w:rPr>
        <w:t>nit trust</w:t>
      </w:r>
      <w:r>
        <w:rPr>
          <w:i/>
        </w:rPr>
        <w:t xml:space="preserve"> </w:t>
      </w:r>
      <w:r w:rsidR="005A3DE3">
        <w:rPr>
          <w:i/>
        </w:rPr>
        <w:t>d</w:t>
      </w:r>
      <w:r>
        <w:rPr>
          <w:i/>
        </w:rPr>
        <w:t xml:space="preserve">eed and the </w:t>
      </w:r>
      <w:r w:rsidR="005A3DE3">
        <w:rPr>
          <w:i/>
        </w:rPr>
        <w:t>s</w:t>
      </w:r>
      <w:r>
        <w:rPr>
          <w:i/>
        </w:rPr>
        <w:t xml:space="preserve">tapling </w:t>
      </w:r>
      <w:r w:rsidR="005A3DE3">
        <w:rPr>
          <w:i/>
        </w:rPr>
        <w:t>a</w:t>
      </w:r>
      <w:r>
        <w:rPr>
          <w:i/>
        </w:rPr>
        <w:t xml:space="preserve">greement </w:t>
      </w:r>
    </w:p>
    <w:p w14:paraId="052330A5" w14:textId="2C5D5367" w:rsidR="00020DB6" w:rsidRPr="001724B4" w:rsidRDefault="00020DB6" w:rsidP="001724B4">
      <w:pPr>
        <w:pStyle w:val="Bullet"/>
      </w:pPr>
      <w:r w:rsidRPr="001724B4">
        <w:t xml:space="preserve">Under the </w:t>
      </w:r>
      <w:r w:rsidR="005A3DE3" w:rsidRPr="001724B4">
        <w:t>u</w:t>
      </w:r>
      <w:r w:rsidR="000208B9" w:rsidRPr="001724B4">
        <w:t>nit trust</w:t>
      </w:r>
      <w:r w:rsidRPr="001724B4">
        <w:t xml:space="preserve"> </w:t>
      </w:r>
      <w:r w:rsidR="005A3DE3" w:rsidRPr="001724B4">
        <w:t>d</w:t>
      </w:r>
      <w:r w:rsidRPr="001724B4">
        <w:t>eed:</w:t>
      </w:r>
    </w:p>
    <w:p w14:paraId="320DDAB9" w14:textId="045BEF76" w:rsidR="00020DB6" w:rsidRPr="001724B4" w:rsidRDefault="00020DB6" w:rsidP="001724B4">
      <w:pPr>
        <w:pStyle w:val="Dash"/>
      </w:pPr>
      <w:r w:rsidRPr="001724B4">
        <w:t xml:space="preserve">the </w:t>
      </w:r>
      <w:r w:rsidR="005A3DE3" w:rsidRPr="001724B4">
        <w:t>u</w:t>
      </w:r>
      <w:r w:rsidRPr="001724B4">
        <w:t xml:space="preserve">nit </w:t>
      </w:r>
      <w:r w:rsidR="005A3DE3" w:rsidRPr="001724B4">
        <w:t>h</w:t>
      </w:r>
      <w:r w:rsidRPr="001724B4">
        <w:t xml:space="preserve">olders have no right to insist on a distribution or return of capital or the redemption of their </w:t>
      </w:r>
      <w:r w:rsidR="005A3DE3" w:rsidRPr="001724B4">
        <w:t>u</w:t>
      </w:r>
      <w:r w:rsidRPr="001724B4">
        <w:t xml:space="preserve">nits in any circumstances; </w:t>
      </w:r>
    </w:p>
    <w:p w14:paraId="588CA833" w14:textId="409A940C" w:rsidR="00020DB6" w:rsidRPr="001724B4" w:rsidRDefault="00020DB6" w:rsidP="001724B4">
      <w:pPr>
        <w:pStyle w:val="Dash"/>
      </w:pPr>
      <w:r w:rsidRPr="001724B4">
        <w:t xml:space="preserve">subject to the terms of the </w:t>
      </w:r>
      <w:r w:rsidR="005A3DE3" w:rsidRPr="001724B4">
        <w:t>s</w:t>
      </w:r>
      <w:r w:rsidRPr="001724B4">
        <w:t xml:space="preserve">tapling </w:t>
      </w:r>
      <w:r w:rsidR="005A3DE3" w:rsidRPr="001724B4">
        <w:t>a</w:t>
      </w:r>
      <w:r w:rsidRPr="001724B4">
        <w:t xml:space="preserve">greement, the </w:t>
      </w:r>
      <w:r w:rsidR="005A3DE3" w:rsidRPr="001724B4">
        <w:t>t</w:t>
      </w:r>
      <w:r w:rsidRPr="001724B4">
        <w:t xml:space="preserve">rustee may, in its absolute discretion, distribute capital or redeem some or all of the </w:t>
      </w:r>
      <w:r w:rsidR="005A3DE3" w:rsidRPr="001724B4">
        <w:t>u</w:t>
      </w:r>
      <w:r w:rsidRPr="001724B4">
        <w:t xml:space="preserve">nits held by a </w:t>
      </w:r>
      <w:r w:rsidR="005A3DE3" w:rsidRPr="001724B4">
        <w:t>u</w:t>
      </w:r>
      <w:r w:rsidRPr="001724B4">
        <w:t xml:space="preserve">nit </w:t>
      </w:r>
      <w:r w:rsidR="005A3DE3" w:rsidRPr="001724B4">
        <w:t>h</w:t>
      </w:r>
      <w:r w:rsidRPr="001724B4">
        <w:t>older or held by all members but is not obliged to do so;</w:t>
      </w:r>
    </w:p>
    <w:p w14:paraId="271D80D3" w14:textId="77777777" w:rsidR="00020DB6" w:rsidRPr="001724B4" w:rsidRDefault="00020DB6" w:rsidP="001724B4">
      <w:pPr>
        <w:pStyle w:val="Dash"/>
      </w:pPr>
      <w:r w:rsidRPr="001724B4">
        <w:t xml:space="preserve">whether, and of so to what extent, income distributions are made is at Trustee </w:t>
      </w:r>
      <w:proofErr w:type="spellStart"/>
      <w:r w:rsidRPr="001724B4">
        <w:t>Co’s</w:t>
      </w:r>
      <w:proofErr w:type="spellEnd"/>
      <w:r w:rsidRPr="001724B4">
        <w:t xml:space="preserve"> discretion;</w:t>
      </w:r>
    </w:p>
    <w:p w14:paraId="31E3DF64" w14:textId="64F2CEF5" w:rsidR="00020DB6" w:rsidRPr="001724B4" w:rsidRDefault="00020DB6" w:rsidP="001724B4">
      <w:pPr>
        <w:pStyle w:val="Dash"/>
      </w:pPr>
      <w:r w:rsidRPr="001724B4">
        <w:t xml:space="preserve">a reorganisation of capital is prevented unless a corresponding reorganisation occurs for </w:t>
      </w:r>
      <w:r w:rsidR="005A3DE3" w:rsidRPr="001724B4">
        <w:t>s</w:t>
      </w:r>
      <w:r w:rsidRPr="001724B4">
        <w:t xml:space="preserve">hares and a fixed ratio of </w:t>
      </w:r>
      <w:r w:rsidR="005A3DE3" w:rsidRPr="001724B4">
        <w:t>u</w:t>
      </w:r>
      <w:r w:rsidRPr="001724B4">
        <w:t xml:space="preserve">nits to </w:t>
      </w:r>
      <w:r w:rsidR="005A3DE3" w:rsidRPr="001724B4">
        <w:t>s</w:t>
      </w:r>
      <w:r w:rsidRPr="001724B4">
        <w:t>hares is maintained;</w:t>
      </w:r>
      <w:r w:rsidRPr="00D73C56">
        <w:rPr>
          <w:vertAlign w:val="superscript"/>
        </w:rPr>
        <w:footnoteReference w:id="13"/>
      </w:r>
    </w:p>
    <w:p w14:paraId="0DFDD6C6" w14:textId="125E8F12" w:rsidR="00020DB6" w:rsidRPr="001724B4" w:rsidRDefault="00020DB6" w:rsidP="001724B4">
      <w:pPr>
        <w:pStyle w:val="Bullet"/>
      </w:pPr>
      <w:r w:rsidRPr="001724B4">
        <w:t xml:space="preserve">The </w:t>
      </w:r>
      <w:r w:rsidR="005A3DE3" w:rsidRPr="001724B4">
        <w:t>s</w:t>
      </w:r>
      <w:r w:rsidRPr="001724B4">
        <w:t xml:space="preserve">tapling </w:t>
      </w:r>
      <w:r w:rsidR="005A3DE3" w:rsidRPr="001724B4">
        <w:t>a</w:t>
      </w:r>
      <w:r w:rsidRPr="001724B4">
        <w:t>greement:</w:t>
      </w:r>
    </w:p>
    <w:p w14:paraId="5E251C6E" w14:textId="55EAECEB" w:rsidR="00020DB6" w:rsidRPr="001724B4" w:rsidRDefault="00020DB6" w:rsidP="001724B4">
      <w:pPr>
        <w:pStyle w:val="Dash"/>
      </w:pPr>
      <w:r w:rsidRPr="001724B4">
        <w:t xml:space="preserve">takes precedence over the </w:t>
      </w:r>
      <w:r w:rsidR="005A3DE3" w:rsidRPr="001724B4">
        <w:t>u</w:t>
      </w:r>
      <w:r w:rsidR="000208B9" w:rsidRPr="001724B4">
        <w:t>nit trust</w:t>
      </w:r>
      <w:r w:rsidRPr="001724B4">
        <w:t xml:space="preserve"> </w:t>
      </w:r>
      <w:r w:rsidR="005A3DE3" w:rsidRPr="001724B4">
        <w:t>d</w:t>
      </w:r>
      <w:r w:rsidRPr="001724B4">
        <w:t xml:space="preserve">eed and the </w:t>
      </w:r>
      <w:r w:rsidR="005A3DE3" w:rsidRPr="001724B4">
        <w:t>c</w:t>
      </w:r>
      <w:r w:rsidRPr="001724B4">
        <w:t xml:space="preserve">ompany’s </w:t>
      </w:r>
      <w:r w:rsidR="005A3DE3" w:rsidRPr="001724B4">
        <w:t>c</w:t>
      </w:r>
      <w:r w:rsidRPr="001724B4">
        <w:t>onstitution;</w:t>
      </w:r>
    </w:p>
    <w:p w14:paraId="24616EB2" w14:textId="5DC8F12E" w:rsidR="004451EC" w:rsidRDefault="00020DB6" w:rsidP="00F01345">
      <w:pPr>
        <w:pStyle w:val="Dash"/>
      </w:pPr>
      <w:r w:rsidRPr="001724B4">
        <w:t xml:space="preserve">does not permit the </w:t>
      </w:r>
      <w:r w:rsidR="005A3DE3" w:rsidRPr="001724B4">
        <w:t>u</w:t>
      </w:r>
      <w:r w:rsidR="000208B9" w:rsidRPr="001724B4">
        <w:t>nit trust</w:t>
      </w:r>
      <w:r w:rsidRPr="001724B4">
        <w:t xml:space="preserve"> to consolidate, sub-divide, cancel, buy back or redeem the </w:t>
      </w:r>
      <w:r w:rsidR="005A3DE3" w:rsidRPr="001724B4">
        <w:t>u</w:t>
      </w:r>
      <w:r w:rsidRPr="001724B4">
        <w:t xml:space="preserve">nits (or vice versa) unless there is a corresponding transaction with the </w:t>
      </w:r>
      <w:r w:rsidR="005A3DE3" w:rsidRPr="001724B4">
        <w:t>s</w:t>
      </w:r>
      <w:r w:rsidR="00F01345">
        <w:t>hares (or vice versa);</w:t>
      </w:r>
    </w:p>
    <w:p w14:paraId="06B30AF5" w14:textId="0CD00BCD" w:rsidR="00020DB6" w:rsidRPr="001724B4" w:rsidRDefault="00020DB6" w:rsidP="001724B4">
      <w:pPr>
        <w:pStyle w:val="Dash"/>
      </w:pPr>
      <w:r w:rsidRPr="001724B4">
        <w:t xml:space="preserve">despite any rule of equity or law or provision of the </w:t>
      </w:r>
      <w:r w:rsidR="005A3DE3" w:rsidRPr="001724B4">
        <w:t>u</w:t>
      </w:r>
      <w:r w:rsidR="000208B9" w:rsidRPr="001724B4">
        <w:t>nit trust</w:t>
      </w:r>
      <w:r w:rsidRPr="001724B4">
        <w:t xml:space="preserve"> deed, requires the </w:t>
      </w:r>
      <w:r w:rsidR="005A3DE3" w:rsidRPr="001724B4">
        <w:t>t</w:t>
      </w:r>
      <w:r w:rsidRPr="001724B4">
        <w:t xml:space="preserve">rustee not to exercise its powers or discretions only in the interest of the </w:t>
      </w:r>
      <w:r w:rsidR="005A3DE3" w:rsidRPr="001724B4">
        <w:t>u</w:t>
      </w:r>
      <w:r w:rsidRPr="001724B4">
        <w:t xml:space="preserve">nit </w:t>
      </w:r>
      <w:r w:rsidR="005A3DE3" w:rsidRPr="001724B4">
        <w:t>h</w:t>
      </w:r>
      <w:r w:rsidRPr="001724B4">
        <w:t xml:space="preserve">olders in the </w:t>
      </w:r>
      <w:r w:rsidR="005A3DE3" w:rsidRPr="001724B4">
        <w:t>t</w:t>
      </w:r>
      <w:r w:rsidRPr="001724B4">
        <w:t xml:space="preserve">rust independently of, or without regard to, the position of the </w:t>
      </w:r>
      <w:r w:rsidR="005A3DE3" w:rsidRPr="001724B4">
        <w:t>s</w:t>
      </w:r>
      <w:r w:rsidRPr="001724B4">
        <w:t xml:space="preserve">hareholders in the </w:t>
      </w:r>
      <w:r w:rsidR="005A3DE3" w:rsidRPr="001724B4">
        <w:t>c</w:t>
      </w:r>
      <w:r w:rsidRPr="001724B4">
        <w:t xml:space="preserve">ompany. The effect of this clause is that </w:t>
      </w:r>
      <w:r w:rsidR="005A3DE3" w:rsidRPr="001724B4">
        <w:t>t</w:t>
      </w:r>
      <w:r w:rsidRPr="001724B4">
        <w:t xml:space="preserve">rustee </w:t>
      </w:r>
      <w:proofErr w:type="spellStart"/>
      <w:r w:rsidRPr="001724B4">
        <w:t>Co’s</w:t>
      </w:r>
      <w:proofErr w:type="spellEnd"/>
      <w:r w:rsidRPr="001724B4">
        <w:t xml:space="preserve"> powers need to consider the circumstances of the </w:t>
      </w:r>
      <w:r w:rsidR="005A3DE3" w:rsidRPr="001724B4">
        <w:t>c</w:t>
      </w:r>
      <w:r w:rsidRPr="001724B4">
        <w:t xml:space="preserve">ompany such that the </w:t>
      </w:r>
      <w:r w:rsidR="005A3DE3" w:rsidRPr="001724B4">
        <w:t>t</w:t>
      </w:r>
      <w:r w:rsidRPr="001724B4">
        <w:t xml:space="preserve">rustee may not call up and distribute capital (the </w:t>
      </w:r>
      <w:r w:rsidR="005A3DE3" w:rsidRPr="001724B4">
        <w:t>l</w:t>
      </w:r>
      <w:r w:rsidRPr="001724B4">
        <w:t xml:space="preserve">oan principal) if to do so would be injurious to the interests of the </w:t>
      </w:r>
      <w:r w:rsidRPr="001724B4">
        <w:lastRenderedPageBreak/>
        <w:t xml:space="preserve">investors in their capacity as the </w:t>
      </w:r>
      <w:r w:rsidR="005A3DE3" w:rsidRPr="001724B4">
        <w:t>s</w:t>
      </w:r>
      <w:r w:rsidRPr="001724B4">
        <w:t xml:space="preserve">hareholders, by reason of its effect on the </w:t>
      </w:r>
      <w:r w:rsidR="005A3DE3" w:rsidRPr="001724B4">
        <w:t>c</w:t>
      </w:r>
      <w:r w:rsidRPr="001724B4">
        <w:t xml:space="preserve">ompany, even in circumstances where that is otherwise permitted. This rule overrides the normal fiduciary duty of the </w:t>
      </w:r>
      <w:r w:rsidR="005A3DE3" w:rsidRPr="001724B4">
        <w:t>t</w:t>
      </w:r>
      <w:r w:rsidRPr="001724B4">
        <w:t xml:space="preserve">rustee to act only in the interests of the beneficiaries. </w:t>
      </w:r>
    </w:p>
    <w:p w14:paraId="1DB7FBFF" w14:textId="77777777" w:rsidR="00020DB6" w:rsidRDefault="00020DB6" w:rsidP="00020DB6">
      <w:pPr>
        <w:pStyle w:val="Bullet"/>
        <w:numPr>
          <w:ilvl w:val="0"/>
          <w:numId w:val="0"/>
        </w:numPr>
        <w:tabs>
          <w:tab w:val="left" w:pos="720"/>
        </w:tabs>
      </w:pPr>
      <w:r>
        <w:rPr>
          <w:i/>
        </w:rPr>
        <w:t>The Loan</w:t>
      </w:r>
    </w:p>
    <w:p w14:paraId="364B38CF" w14:textId="51E24981" w:rsidR="00020DB6" w:rsidRPr="001724B4" w:rsidRDefault="00020DB6" w:rsidP="001724B4">
      <w:pPr>
        <w:pStyle w:val="Bullet"/>
      </w:pPr>
      <w:r w:rsidRPr="001724B4">
        <w:t xml:space="preserve">The funds contributed to the </w:t>
      </w:r>
      <w:r w:rsidR="005A3DE3" w:rsidRPr="001724B4">
        <w:t>u</w:t>
      </w:r>
      <w:r w:rsidR="000208B9" w:rsidRPr="001724B4">
        <w:t>nit trust</w:t>
      </w:r>
      <w:r w:rsidRPr="001724B4">
        <w:t xml:space="preserve"> by the </w:t>
      </w:r>
      <w:r w:rsidR="005A3DE3" w:rsidRPr="001724B4">
        <w:t>s</w:t>
      </w:r>
      <w:r w:rsidRPr="001724B4">
        <w:t xml:space="preserve">tapled </w:t>
      </w:r>
      <w:r w:rsidR="005A3DE3" w:rsidRPr="001724B4">
        <w:t>s</w:t>
      </w:r>
      <w:r w:rsidRPr="001724B4">
        <w:t xml:space="preserve">ecurities investors are used to fund the </w:t>
      </w:r>
      <w:r w:rsidR="005A3DE3" w:rsidRPr="001724B4">
        <w:t>l</w:t>
      </w:r>
      <w:r w:rsidRPr="001724B4">
        <w:t xml:space="preserve">oan. Assume a </w:t>
      </w:r>
      <w:r w:rsidR="005A3DE3" w:rsidRPr="001724B4">
        <w:t>nine</w:t>
      </w:r>
      <w:r w:rsidRPr="001724B4">
        <w:t xml:space="preserve"> year loan term at an arm’s length interest rate. Unpaid interest capitalises into the </w:t>
      </w:r>
      <w:r w:rsidR="005A3DE3" w:rsidRPr="001724B4">
        <w:t>l</w:t>
      </w:r>
      <w:r w:rsidRPr="001724B4">
        <w:t xml:space="preserve">oan but is fully repayable at year </w:t>
      </w:r>
      <w:r w:rsidR="005A3DE3" w:rsidRPr="001724B4">
        <w:t>nine</w:t>
      </w:r>
      <w:r w:rsidRPr="001724B4">
        <w:t xml:space="preserve"> with the </w:t>
      </w:r>
      <w:r w:rsidR="005A3DE3" w:rsidRPr="001724B4">
        <w:t>l</w:t>
      </w:r>
      <w:r w:rsidRPr="001724B4">
        <w:t>oan principal.</w:t>
      </w:r>
    </w:p>
    <w:p w14:paraId="7ECF2880" w14:textId="11956B87" w:rsidR="00020DB6" w:rsidRPr="001724B4" w:rsidRDefault="00020DB6" w:rsidP="001724B4">
      <w:pPr>
        <w:pStyle w:val="Bullet"/>
      </w:pPr>
      <w:r w:rsidRPr="001724B4">
        <w:t xml:space="preserve">There is no expectation that upon repayment of the loan the </w:t>
      </w:r>
      <w:r w:rsidR="005A3DE3" w:rsidRPr="001724B4">
        <w:t>u</w:t>
      </w:r>
      <w:r w:rsidR="000208B9" w:rsidRPr="001724B4">
        <w:t>nit trust</w:t>
      </w:r>
      <w:r w:rsidRPr="001724B4">
        <w:t xml:space="preserve"> will be wound up and the </w:t>
      </w:r>
      <w:r w:rsidR="005A3DE3" w:rsidRPr="001724B4">
        <w:t>t</w:t>
      </w:r>
      <w:r w:rsidRPr="001724B4">
        <w:t>rust capital distributed.</w:t>
      </w:r>
    </w:p>
    <w:p w14:paraId="6C51A564" w14:textId="4C98BA8A" w:rsidR="00020DB6" w:rsidRDefault="00020DB6" w:rsidP="00020DB6">
      <w:pPr>
        <w:pStyle w:val="Bullet"/>
        <w:numPr>
          <w:ilvl w:val="0"/>
          <w:numId w:val="0"/>
        </w:numPr>
        <w:tabs>
          <w:tab w:val="left" w:pos="720"/>
        </w:tabs>
      </w:pPr>
      <w:r>
        <w:rPr>
          <w:i/>
        </w:rPr>
        <w:t xml:space="preserve">The </w:t>
      </w:r>
      <w:r w:rsidR="005A3DE3">
        <w:rPr>
          <w:i/>
        </w:rPr>
        <w:t>syndicated loan agreement (SLA)</w:t>
      </w:r>
    </w:p>
    <w:p w14:paraId="1342E6F1" w14:textId="5060777F" w:rsidR="00020DB6" w:rsidRPr="001724B4" w:rsidRDefault="00020DB6" w:rsidP="001724B4">
      <w:pPr>
        <w:pStyle w:val="Bullet"/>
      </w:pPr>
      <w:r w:rsidRPr="001724B4">
        <w:t xml:space="preserve">The </w:t>
      </w:r>
      <w:r w:rsidR="005A3DE3" w:rsidRPr="001724B4">
        <w:t>c</w:t>
      </w:r>
      <w:r w:rsidRPr="001724B4">
        <w:t xml:space="preserve">ompany is also funded by money borrowed from the external financiers under a SLA. The debt has tranches repayable at maturity dates of </w:t>
      </w:r>
      <w:r w:rsidR="004B0971" w:rsidRPr="001724B4">
        <w:t>five</w:t>
      </w:r>
      <w:r w:rsidRPr="001724B4">
        <w:t xml:space="preserve"> years and </w:t>
      </w:r>
      <w:r w:rsidR="004B0971" w:rsidRPr="001724B4">
        <w:t>seven</w:t>
      </w:r>
      <w:r w:rsidRPr="001724B4">
        <w:t xml:space="preserve"> years. As intended, the SLA </w:t>
      </w:r>
      <w:r w:rsidR="004B0971" w:rsidRPr="001724B4">
        <w:t>indicates</w:t>
      </w:r>
      <w:r w:rsidRPr="001724B4">
        <w:t xml:space="preserve"> the maximum amount that can be borrowed externally.</w:t>
      </w:r>
    </w:p>
    <w:p w14:paraId="08A2578A" w14:textId="50CA46C4" w:rsidR="00020DB6" w:rsidRPr="001724B4" w:rsidRDefault="00020DB6" w:rsidP="001724B4">
      <w:pPr>
        <w:pStyle w:val="Bullet"/>
      </w:pPr>
      <w:r w:rsidRPr="001724B4">
        <w:t xml:space="preserve">The </w:t>
      </w:r>
      <w:r w:rsidR="004B0971" w:rsidRPr="001724B4">
        <w:t>s</w:t>
      </w:r>
      <w:r w:rsidRPr="001724B4">
        <w:t xml:space="preserve">ecurity </w:t>
      </w:r>
      <w:r w:rsidR="004B0971" w:rsidRPr="001724B4">
        <w:t>t</w:t>
      </w:r>
      <w:r w:rsidRPr="001724B4">
        <w:t xml:space="preserve">rustee for the external financiers holds the following security in support of the SLA to </w:t>
      </w:r>
      <w:r w:rsidR="004B0971" w:rsidRPr="001724B4">
        <w:t>c</w:t>
      </w:r>
      <w:r w:rsidRPr="001724B4">
        <w:t>ompany:</w:t>
      </w:r>
    </w:p>
    <w:p w14:paraId="5704EE25" w14:textId="7B09ABD6" w:rsidR="00020DB6" w:rsidRPr="001724B4" w:rsidRDefault="00020DB6" w:rsidP="001724B4">
      <w:pPr>
        <w:pStyle w:val="Dash"/>
      </w:pPr>
      <w:r w:rsidRPr="001724B4">
        <w:t xml:space="preserve">share mortgage over the shares in </w:t>
      </w:r>
      <w:r w:rsidR="004B0971" w:rsidRPr="001724B4">
        <w:t>c</w:t>
      </w:r>
      <w:r w:rsidRPr="001724B4">
        <w:t>ompany; and</w:t>
      </w:r>
    </w:p>
    <w:p w14:paraId="7330F74D" w14:textId="3D121A64" w:rsidR="00020DB6" w:rsidRPr="001724B4" w:rsidRDefault="00020DB6" w:rsidP="001724B4">
      <w:pPr>
        <w:pStyle w:val="Dash"/>
      </w:pPr>
      <w:proofErr w:type="gramStart"/>
      <w:r w:rsidRPr="001724B4">
        <w:t>a</w:t>
      </w:r>
      <w:proofErr w:type="gramEnd"/>
      <w:r w:rsidRPr="001724B4">
        <w:t xml:space="preserve"> fixed and floating charge over all of the assets of </w:t>
      </w:r>
      <w:r w:rsidR="004B0971" w:rsidRPr="001724B4">
        <w:t>c</w:t>
      </w:r>
      <w:r w:rsidRPr="001724B4">
        <w:t>ompany.</w:t>
      </w:r>
    </w:p>
    <w:p w14:paraId="388C3A76" w14:textId="728543DF" w:rsidR="00020DB6" w:rsidRPr="001724B4" w:rsidRDefault="00020DB6" w:rsidP="001724B4">
      <w:pPr>
        <w:pStyle w:val="Bullet"/>
      </w:pPr>
      <w:r w:rsidRPr="001724B4">
        <w:t xml:space="preserve">The </w:t>
      </w:r>
      <w:r w:rsidR="004B0971" w:rsidRPr="001724B4">
        <w:t>t</w:t>
      </w:r>
      <w:r w:rsidRPr="001724B4">
        <w:t xml:space="preserve">rustee of the </w:t>
      </w:r>
      <w:r w:rsidR="004B0971" w:rsidRPr="001724B4">
        <w:t>u</w:t>
      </w:r>
      <w:r w:rsidR="000208B9" w:rsidRPr="001724B4">
        <w:t>nit trust</w:t>
      </w:r>
      <w:r w:rsidRPr="001724B4">
        <w:t xml:space="preserve"> enters into a </w:t>
      </w:r>
      <w:r w:rsidR="004B0971" w:rsidRPr="001724B4">
        <w:t>s</w:t>
      </w:r>
      <w:r w:rsidRPr="001724B4">
        <w:t xml:space="preserve">ubordination </w:t>
      </w:r>
      <w:r w:rsidR="004B0971" w:rsidRPr="001724B4">
        <w:t>d</w:t>
      </w:r>
      <w:r w:rsidRPr="001724B4">
        <w:t xml:space="preserve">eed with the </w:t>
      </w:r>
      <w:r w:rsidR="004B0971" w:rsidRPr="001724B4">
        <w:t>c</w:t>
      </w:r>
      <w:r w:rsidRPr="001724B4">
        <w:t xml:space="preserve">ompany and the </w:t>
      </w:r>
      <w:r w:rsidR="004B0971" w:rsidRPr="001724B4">
        <w:t>s</w:t>
      </w:r>
      <w:r w:rsidRPr="001724B4">
        <w:t xml:space="preserve">ecurity </w:t>
      </w:r>
      <w:r w:rsidR="004B0971" w:rsidRPr="001724B4">
        <w:t>t</w:t>
      </w:r>
      <w:r w:rsidRPr="001724B4">
        <w:t xml:space="preserve">rustee under the SLA which provides that the </w:t>
      </w:r>
      <w:r w:rsidR="004B0971" w:rsidRPr="001724B4">
        <w:t>t</w:t>
      </w:r>
      <w:r w:rsidRPr="001724B4">
        <w:t xml:space="preserve">rustee of the </w:t>
      </w:r>
      <w:r w:rsidR="004B0971" w:rsidRPr="001724B4">
        <w:t>u</w:t>
      </w:r>
      <w:r w:rsidR="000208B9" w:rsidRPr="001724B4">
        <w:t>nit trust</w:t>
      </w:r>
      <w:r w:rsidRPr="001724B4">
        <w:t xml:space="preserve">, without consent from the </w:t>
      </w:r>
      <w:r w:rsidR="004B0971" w:rsidRPr="001724B4">
        <w:t>p</w:t>
      </w:r>
      <w:r w:rsidRPr="001724B4">
        <w:t xml:space="preserve">roject </w:t>
      </w:r>
      <w:r w:rsidR="004B0971" w:rsidRPr="001724B4">
        <w:t>b</w:t>
      </w:r>
      <w:r w:rsidRPr="001724B4">
        <w:t xml:space="preserve">anks, agrees to defer (until a sunset date) making any claim against the </w:t>
      </w:r>
      <w:r w:rsidR="004B0971" w:rsidRPr="001724B4">
        <w:t>c</w:t>
      </w:r>
      <w:r w:rsidRPr="001724B4">
        <w:t xml:space="preserve">ompany with respect to the repayment of the </w:t>
      </w:r>
      <w:r w:rsidR="004B0971" w:rsidRPr="001724B4">
        <w:t>l</w:t>
      </w:r>
      <w:r w:rsidRPr="001724B4">
        <w:t xml:space="preserve">oan if any debt was outstanding under the SLA.  </w:t>
      </w:r>
    </w:p>
    <w:p w14:paraId="76AB9383" w14:textId="0D75B10A" w:rsidR="00020DB6" w:rsidRDefault="00020DB6" w:rsidP="001724B4">
      <w:pPr>
        <w:pStyle w:val="Bullet"/>
      </w:pPr>
      <w:r w:rsidRPr="001724B4">
        <w:t xml:space="preserve">The </w:t>
      </w:r>
      <w:r w:rsidR="004B0971" w:rsidRPr="001724B4">
        <w:t>c</w:t>
      </w:r>
      <w:r w:rsidRPr="001724B4">
        <w:t xml:space="preserve">ompany uses the SLA and </w:t>
      </w:r>
      <w:r w:rsidR="004B0971" w:rsidRPr="001724B4">
        <w:t>l</w:t>
      </w:r>
      <w:r w:rsidRPr="001724B4">
        <w:t xml:space="preserve">oan funds to acquire the intended assets. It derives third party revenues from the operations it conducts in respect of the assets and interest upon the </w:t>
      </w:r>
      <w:r w:rsidR="004B0971" w:rsidRPr="001724B4">
        <w:t>l</w:t>
      </w:r>
      <w:r w:rsidRPr="001724B4">
        <w:t xml:space="preserve">oan, if paid, is paid from this revenue. The </w:t>
      </w:r>
      <w:r w:rsidR="004B0971" w:rsidRPr="001724B4">
        <w:t>l</w:t>
      </w:r>
      <w:r w:rsidRPr="001724B4">
        <w:t>oan would continue to accrue interest.</w:t>
      </w:r>
    </w:p>
    <w:p w14:paraId="4CF4E38F" w14:textId="77777777" w:rsidR="00F8525C" w:rsidRPr="001724B4" w:rsidRDefault="00F8525C" w:rsidP="00F8525C">
      <w:pPr>
        <w:pStyle w:val="Bullet"/>
      </w:pPr>
      <w:r w:rsidRPr="001724B4">
        <w:t>The loan is assumed to be a Division 974 debt interest when tested as a single scheme.</w:t>
      </w:r>
    </w:p>
    <w:p w14:paraId="2B63B12B" w14:textId="7BB96C5F" w:rsidR="00F8525C" w:rsidRPr="001724B4" w:rsidRDefault="00F8525C" w:rsidP="00F8525C">
      <w:pPr>
        <w:pStyle w:val="Bullet"/>
      </w:pPr>
      <w:r w:rsidRPr="001724B4">
        <w:t>The combined effect of these arrangements is that the unit holders are unable to require the trustee to enforce its rights against the company and are unable to insist on the distribution of the loan principal and the company is able to control it, and if so, when and to what extent that happens. This is accepted by the external financiers and ratings agencies as meeting their requirements.</w:t>
      </w:r>
    </w:p>
    <w:p w14:paraId="2F46EFD8" w14:textId="79DE2A07" w:rsidR="00020DB6" w:rsidRDefault="007E7CB6" w:rsidP="00F01345">
      <w:pPr>
        <w:pStyle w:val="Graphic"/>
        <w:jc w:val="both"/>
        <w:rPr>
          <w:noProof/>
        </w:rPr>
      </w:pPr>
      <w:r>
        <w:rPr>
          <w:noProof/>
          <w:lang w:val="en-US" w:eastAsia="en-US"/>
        </w:rPr>
        <w:lastRenderedPageBreak/>
        <w:drawing>
          <wp:inline distT="0" distB="0" distL="0" distR="0" wp14:anchorId="5AFF40E2" wp14:editId="0BF607D3">
            <wp:extent cx="5401945" cy="2472055"/>
            <wp:effectExtent l="0" t="0" r="825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2 picture.png"/>
                    <pic:cNvPicPr/>
                  </pic:nvPicPr>
                  <pic:blipFill>
                    <a:blip r:embed="rId39">
                      <a:extLst>
                        <a:ext uri="{28A0092B-C50C-407E-A947-70E740481C1C}">
                          <a14:useLocalDpi xmlns:a14="http://schemas.microsoft.com/office/drawing/2010/main" val="0"/>
                        </a:ext>
                      </a:extLst>
                    </a:blip>
                    <a:stretch>
                      <a:fillRect/>
                    </a:stretch>
                  </pic:blipFill>
                  <pic:spPr>
                    <a:xfrm>
                      <a:off x="0" y="0"/>
                      <a:ext cx="5401945" cy="2472055"/>
                    </a:xfrm>
                    <a:prstGeom prst="rect">
                      <a:avLst/>
                    </a:prstGeom>
                  </pic:spPr>
                </pic:pic>
              </a:graphicData>
            </a:graphic>
          </wp:inline>
        </w:drawing>
      </w:r>
    </w:p>
    <w:p w14:paraId="7E8FFB46" w14:textId="77777777" w:rsidR="007E7CB6" w:rsidRDefault="007E7CB6" w:rsidP="00F01345">
      <w:pPr>
        <w:pStyle w:val="Graphic"/>
        <w:jc w:val="both"/>
        <w:rPr>
          <w:noProof/>
        </w:rPr>
      </w:pPr>
    </w:p>
    <w:p w14:paraId="4F6BF07C" w14:textId="77777777" w:rsidR="00020DB6" w:rsidRDefault="00020DB6" w:rsidP="00020DB6">
      <w:pPr>
        <w:spacing w:after="0" w:line="240" w:lineRule="auto"/>
        <w:jc w:val="left"/>
      </w:pPr>
    </w:p>
    <w:p w14:paraId="248C04F7" w14:textId="2C7EAEC7" w:rsidR="00020DB6" w:rsidRDefault="00020DB6" w:rsidP="00AF6AF1">
      <w:pPr>
        <w:pStyle w:val="Heading4"/>
      </w:pPr>
      <w:r>
        <w:t>Appl</w:t>
      </w:r>
      <w:r w:rsidR="000046FC">
        <w:t>ying the</w:t>
      </w:r>
      <w:r>
        <w:t xml:space="preserve"> proposed new principles</w:t>
      </w:r>
    </w:p>
    <w:p w14:paraId="64315880" w14:textId="541D01FD" w:rsidR="00145B2E" w:rsidRDefault="00020DB6" w:rsidP="00AF6AF1">
      <w:pPr>
        <w:pStyle w:val="Heading5"/>
      </w:pPr>
      <w:r>
        <w:t>Pricing, terms and conditions of the schemes and their operative effect</w:t>
      </w:r>
    </w:p>
    <w:p w14:paraId="67A7CE77" w14:textId="2E3A5DD2" w:rsidR="00145B2E" w:rsidRDefault="00145B2E" w:rsidP="009B5310">
      <w:pPr>
        <w:pStyle w:val="NumberedParagraph3"/>
      </w:pPr>
      <w:r w:rsidRPr="009707BF">
        <w:t xml:space="preserve">There is no direct link between the loan or its terms and the shares or the terms on which they were issued which would require analysis under the first principle set </w:t>
      </w:r>
      <w:r w:rsidR="001A6015">
        <w:t xml:space="preserve">out in </w:t>
      </w:r>
      <w:r w:rsidRPr="001A6015">
        <w:t>3.2</w:t>
      </w:r>
      <w:r w:rsidR="004B0971" w:rsidRPr="001A6015">
        <w:t>7</w:t>
      </w:r>
      <w:r w:rsidRPr="001A6015">
        <w:t>(i) above.</w:t>
      </w:r>
      <w:r w:rsidRPr="009707BF">
        <w:t>  The loan is affected by the trust and the company contracts with the trustee in the knowledge</w:t>
      </w:r>
      <w:r>
        <w:t xml:space="preserve"> of that trust</w:t>
      </w:r>
      <w:r w:rsidRPr="009707BF">
        <w:t xml:space="preserve">. The trust is formally linked by the </w:t>
      </w:r>
      <w:r w:rsidR="004B0971">
        <w:t>s</w:t>
      </w:r>
      <w:r w:rsidRPr="009707BF">
        <w:t xml:space="preserve">tapling </w:t>
      </w:r>
      <w:r w:rsidR="004B0971">
        <w:t>a</w:t>
      </w:r>
      <w:r w:rsidRPr="009707BF">
        <w:t>greement to the shares. Thus there is at l</w:t>
      </w:r>
      <w:r>
        <w:t xml:space="preserve">east some indirect </w:t>
      </w:r>
      <w:r w:rsidR="00486A95">
        <w:t>link</w:t>
      </w:r>
      <w:r w:rsidRPr="009707BF">
        <w:t xml:space="preserve"> and the first principle is potentially</w:t>
      </w:r>
      <w:r>
        <w:t xml:space="preserve"> relevant</w:t>
      </w:r>
      <w:r w:rsidRPr="009707BF">
        <w:t>. In this case, however, t</w:t>
      </w:r>
      <w:r w:rsidR="001A6015">
        <w:t xml:space="preserve">he second principle set out </w:t>
      </w:r>
      <w:r w:rsidR="001A6015" w:rsidRPr="001A6015">
        <w:t xml:space="preserve">in </w:t>
      </w:r>
      <w:r w:rsidRPr="001A6015">
        <w:t>3.2</w:t>
      </w:r>
      <w:r w:rsidR="004B0971" w:rsidRPr="001A6015">
        <w:t>7</w:t>
      </w:r>
      <w:r w:rsidRPr="001A6015">
        <w:t>(ii)</w:t>
      </w:r>
      <w:r w:rsidRPr="009707BF">
        <w:t xml:space="preserve"> renders it unnecessary to analyse that interdependency in terms of the first principle</w:t>
      </w:r>
      <w:r>
        <w:t>.</w:t>
      </w:r>
    </w:p>
    <w:p w14:paraId="127F80CA" w14:textId="0848AFCA" w:rsidR="00020DB6" w:rsidRDefault="00020DB6" w:rsidP="009B5310">
      <w:pPr>
        <w:pStyle w:val="NumberedParagraph3"/>
      </w:pPr>
      <w:r>
        <w:t>This is not a matter that is mere subordination of one liability to another, mere stapling (of either, or both, debt instruments or ownership interests in entities), or the mere the provision of funding, or the mere existence of a sec</w:t>
      </w:r>
      <w:r w:rsidR="001A6015">
        <w:t xml:space="preserve">urity interest contemplated by </w:t>
      </w:r>
      <w:r w:rsidR="003807EE" w:rsidRPr="001A6015">
        <w:t>3.40</w:t>
      </w:r>
      <w:r w:rsidRPr="001A6015">
        <w:t xml:space="preserve"> above</w:t>
      </w:r>
      <w:r>
        <w:t>.</w:t>
      </w:r>
    </w:p>
    <w:p w14:paraId="407C7078" w14:textId="1EF60892" w:rsidR="00020DB6" w:rsidRDefault="00020DB6" w:rsidP="009B5310">
      <w:pPr>
        <w:pStyle w:val="NumberedParagraph3"/>
      </w:pPr>
      <w:r>
        <w:t>The terms and conditions of the arrangements are such that there is no effective obligation of the company to repay the loan absent a parallel return of capital on its issued shares, which is a discretionary matter, and the company is in a position to determine if, and if so when and to what extent, that happens and cannot be challenged. Where any obligation to return capital or loan funds is for all practical purposes at the discretion of the borrower, that does not constitute an effectively</w:t>
      </w:r>
      <w:r w:rsidR="002A401A">
        <w:br/>
      </w:r>
      <w:r>
        <w:t xml:space="preserve">non-contingent obligation </w:t>
      </w:r>
      <w:r w:rsidR="004B0971">
        <w:t xml:space="preserve">(ENCO) </w:t>
      </w:r>
      <w:r>
        <w:t xml:space="preserve">and as such the arrangements that produce this result operate in a way that </w:t>
      </w:r>
      <w:r w:rsidR="004B0971">
        <w:t>‘</w:t>
      </w:r>
      <w:r w:rsidRPr="009707BF">
        <w:t>affect the application of the debt test or the equity test to one or more of those schemes</w:t>
      </w:r>
      <w:r w:rsidR="004B0971">
        <w:t>’</w:t>
      </w:r>
      <w:r w:rsidRPr="009707BF">
        <w:t>,</w:t>
      </w:r>
      <w:r>
        <w:rPr>
          <w:i/>
        </w:rPr>
        <w:t xml:space="preserve"> </w:t>
      </w:r>
      <w:r>
        <w:t>u</w:t>
      </w:r>
      <w:r w:rsidR="001A6015">
        <w:t xml:space="preserve">nder </w:t>
      </w:r>
      <w:r w:rsidR="001A6015" w:rsidRPr="001A6015">
        <w:t xml:space="preserve">principle (ii) set out in </w:t>
      </w:r>
      <w:r w:rsidRPr="001A6015">
        <w:t>3.2</w:t>
      </w:r>
      <w:r w:rsidR="004B0971" w:rsidRPr="001A6015">
        <w:t>7</w:t>
      </w:r>
      <w:r w:rsidRPr="001A6015">
        <w:t xml:space="preserve"> above</w:t>
      </w:r>
      <w:r>
        <w:t>, in this case the loan scheme. The features of the arrangement that secure that two or more schemes have this operation are:</w:t>
      </w:r>
    </w:p>
    <w:p w14:paraId="00F37015" w14:textId="7270FE9C" w:rsidR="00020DB6" w:rsidRDefault="00020DB6" w:rsidP="001724B4">
      <w:pPr>
        <w:pStyle w:val="Bullet"/>
      </w:pPr>
      <w:r>
        <w:t xml:space="preserve">the terms of the trust deed that exclude any rights of </w:t>
      </w:r>
      <w:r w:rsidR="004B0971">
        <w:t>u</w:t>
      </w:r>
      <w:r>
        <w:t xml:space="preserve">nit </w:t>
      </w:r>
      <w:r w:rsidR="004B0971">
        <w:t>h</w:t>
      </w:r>
      <w:r>
        <w:t xml:space="preserve">olders to insist on a distribution or return of capital or the redemption of their </w:t>
      </w:r>
      <w:r w:rsidR="004B0971">
        <w:t>u</w:t>
      </w:r>
      <w:r>
        <w:t xml:space="preserve">nits, prevent a </w:t>
      </w:r>
      <w:r>
        <w:lastRenderedPageBreak/>
        <w:t xml:space="preserve">reorganisation of capital unless a corresponding reorganisation occurs for </w:t>
      </w:r>
      <w:r w:rsidR="004B0971">
        <w:t>s</w:t>
      </w:r>
      <w:r>
        <w:t xml:space="preserve">hares and a fixed ratio of </w:t>
      </w:r>
      <w:r w:rsidR="004B0971">
        <w:t>u</w:t>
      </w:r>
      <w:r>
        <w:t xml:space="preserve">nits to </w:t>
      </w:r>
      <w:r w:rsidR="004B0971">
        <w:t>s</w:t>
      </w:r>
      <w:r>
        <w:t>hares is maintained;</w:t>
      </w:r>
    </w:p>
    <w:p w14:paraId="161F89DB" w14:textId="0AE32ECB" w:rsidR="00020DB6" w:rsidRDefault="00020DB6" w:rsidP="001724B4">
      <w:pPr>
        <w:pStyle w:val="Bullet"/>
      </w:pPr>
      <w:r>
        <w:t xml:space="preserve">the terms of the stapling deed that do not permit the </w:t>
      </w:r>
      <w:r w:rsidR="004B0971">
        <w:t>u</w:t>
      </w:r>
      <w:r w:rsidR="000208B9">
        <w:t>nit trust</w:t>
      </w:r>
      <w:r>
        <w:t xml:space="preserve"> to deal with its capital unless there is a corresponding transaction with the </w:t>
      </w:r>
      <w:r w:rsidR="004B0971">
        <w:t>s</w:t>
      </w:r>
      <w:r>
        <w:t xml:space="preserve">hares (and vice versa) and which ensure that the </w:t>
      </w:r>
      <w:r w:rsidR="004B0971">
        <w:t>u</w:t>
      </w:r>
      <w:r w:rsidR="000208B9">
        <w:t>nit trust</w:t>
      </w:r>
      <w:r>
        <w:t xml:space="preserve"> is administered in the interests of </w:t>
      </w:r>
      <w:r w:rsidR="004B0971">
        <w:t>u</w:t>
      </w:r>
      <w:r>
        <w:t xml:space="preserve">nit </w:t>
      </w:r>
      <w:r w:rsidR="004B0971">
        <w:t>h</w:t>
      </w:r>
      <w:r>
        <w:t xml:space="preserve">olders having regard to, the position of the </w:t>
      </w:r>
      <w:r w:rsidR="004B0971">
        <w:t>s</w:t>
      </w:r>
      <w:r>
        <w:t xml:space="preserve">hareholders in the </w:t>
      </w:r>
      <w:r w:rsidR="004B0971">
        <w:t>c</w:t>
      </w:r>
      <w:r>
        <w:t>ompany;</w:t>
      </w:r>
    </w:p>
    <w:p w14:paraId="52F86130" w14:textId="75FCB0E7" w:rsidR="00020DB6" w:rsidRDefault="00020DB6" w:rsidP="001724B4">
      <w:pPr>
        <w:pStyle w:val="Bullet"/>
      </w:pPr>
      <w:r>
        <w:t xml:space="preserve">the </w:t>
      </w:r>
      <w:r w:rsidR="004B0971">
        <w:t>c</w:t>
      </w:r>
      <w:r>
        <w:t xml:space="preserve">ompany’s control over management and ownership of the trustee of the </w:t>
      </w:r>
      <w:r w:rsidR="004B0971">
        <w:t>u</w:t>
      </w:r>
      <w:r w:rsidR="000208B9">
        <w:t>nit trust</w:t>
      </w:r>
      <w:r>
        <w:t>; and</w:t>
      </w:r>
    </w:p>
    <w:p w14:paraId="1DB5507C" w14:textId="48F34897" w:rsidR="00020DB6" w:rsidRDefault="00020DB6" w:rsidP="001724B4">
      <w:pPr>
        <w:pStyle w:val="Bullet"/>
      </w:pPr>
      <w:r>
        <w:t xml:space="preserve">the loan is the entire asset base of the </w:t>
      </w:r>
      <w:r w:rsidR="004B0971">
        <w:t>u</w:t>
      </w:r>
      <w:r w:rsidR="000208B9">
        <w:t>nit trust</w:t>
      </w:r>
      <w:r>
        <w:t xml:space="preserve"> and the only source from which any distribution of capital to </w:t>
      </w:r>
      <w:r w:rsidR="004B0971">
        <w:t>u</w:t>
      </w:r>
      <w:r>
        <w:t xml:space="preserve">nit </w:t>
      </w:r>
      <w:r w:rsidR="004B0971">
        <w:t>h</w:t>
      </w:r>
      <w:r>
        <w:t xml:space="preserve">olders could be made </w:t>
      </w:r>
    </w:p>
    <w:p w14:paraId="4FDD5F57" w14:textId="06A01F3E" w:rsidR="00020DB6" w:rsidRDefault="00020DB6" w:rsidP="009B5310">
      <w:pPr>
        <w:pStyle w:val="NumberedParagraph3"/>
      </w:pPr>
      <w:r>
        <w:t>In these circumstances</w:t>
      </w:r>
      <w:r w:rsidR="001A6015">
        <w:t xml:space="preserve"> the primary </w:t>
      </w:r>
      <w:r w:rsidR="001A6015" w:rsidRPr="001A6015">
        <w:t xml:space="preserve">principle (ii) in </w:t>
      </w:r>
      <w:r w:rsidRPr="001A6015">
        <w:t>3.2</w:t>
      </w:r>
      <w:r w:rsidR="004B0971" w:rsidRPr="001A6015">
        <w:t>7</w:t>
      </w:r>
      <w:r w:rsidRPr="001A6015">
        <w:t xml:space="preserve"> above is satisfied</w:t>
      </w:r>
      <w:r>
        <w:t>.</w:t>
      </w:r>
    </w:p>
    <w:p w14:paraId="7A9F7294" w14:textId="77777777" w:rsidR="00020DB6" w:rsidRPr="009707BF" w:rsidRDefault="00020DB6" w:rsidP="006644FB">
      <w:pPr>
        <w:pStyle w:val="Heading3"/>
      </w:pPr>
      <w:r w:rsidRPr="009707BF">
        <w:t xml:space="preserve">The schemes in </w:t>
      </w:r>
      <w:r w:rsidRPr="00AF6AF1">
        <w:t>combination</w:t>
      </w:r>
    </w:p>
    <w:p w14:paraId="2B2E9C48" w14:textId="55E23D61" w:rsidR="004B0971" w:rsidRDefault="00020DB6" w:rsidP="009B5310">
      <w:pPr>
        <w:pStyle w:val="NumberedParagraph3"/>
      </w:pPr>
      <w:r>
        <w:t xml:space="preserve">Given primary principle (ii) </w:t>
      </w:r>
      <w:r w:rsidR="004B0971">
        <w:t>is</w:t>
      </w:r>
      <w:r>
        <w:t xml:space="preserve"> satisfied, it is necessary to consider the nature and extent of common involvement of the parties, the manner in which the scheme is entered into and carried out, and the nature and extent of any non-arm’s length dealing.   </w:t>
      </w:r>
    </w:p>
    <w:p w14:paraId="51FBA022" w14:textId="4CF91A71" w:rsidR="00020DB6" w:rsidRDefault="00020DB6" w:rsidP="009B5310">
      <w:pPr>
        <w:pStyle w:val="NumberedParagraph3"/>
      </w:pPr>
      <w:r>
        <w:t xml:space="preserve">All elements of the schemes in aggregate are orchestrated and directed in a holistic way and each element is an integral part of a unified whole. It is appropriate to aggregate all of its constituent elements. In the case of the </w:t>
      </w:r>
      <w:r w:rsidR="004B0971">
        <w:t>c</w:t>
      </w:r>
      <w:r>
        <w:t>ompany it is party to the shares and the loan and from its perspective it is appropriate to aggregate the loan and the shares and test them against the debt and equity tests.</w:t>
      </w:r>
    </w:p>
    <w:p w14:paraId="3D3B28AB" w14:textId="0B78459C" w:rsidR="00020DB6" w:rsidRDefault="00020DB6" w:rsidP="009B5310">
      <w:pPr>
        <w:pStyle w:val="NumberedParagraph3"/>
      </w:pPr>
      <w:r>
        <w:t xml:space="preserve">It follows that by aggregating the schemes in this Example, the principles operate to ensure that the </w:t>
      </w:r>
      <w:r w:rsidR="004B0971">
        <w:t>c</w:t>
      </w:r>
      <w:r>
        <w:t xml:space="preserve">ompany cannot achieve indirectly what it could not achieve directly, that is classify an instrument that is in substance equity as debt. </w:t>
      </w:r>
    </w:p>
    <w:p w14:paraId="21940CAD" w14:textId="5FB21B2A" w:rsidR="00020DB6" w:rsidRPr="000046FC" w:rsidRDefault="00020DB6" w:rsidP="006644FB">
      <w:pPr>
        <w:pStyle w:val="Heading3"/>
      </w:pPr>
      <w:r w:rsidRPr="000046FC">
        <w:t xml:space="preserve">Mere </w:t>
      </w:r>
      <w:r w:rsidR="00486A95" w:rsidRPr="000046FC">
        <w:t>link</w:t>
      </w:r>
      <w:r w:rsidRPr="000046FC">
        <w:t xml:space="preserve"> and commercial understandings</w:t>
      </w:r>
    </w:p>
    <w:p w14:paraId="47B7198C" w14:textId="12836324" w:rsidR="00020DB6" w:rsidRDefault="00020DB6" w:rsidP="009B5310">
      <w:pPr>
        <w:pStyle w:val="NumberedParagraph3"/>
      </w:pPr>
      <w:r>
        <w:t xml:space="preserve">When regard is had to normal commercial understandings, it will also be concluded that the </w:t>
      </w:r>
      <w:r w:rsidR="004B0971">
        <w:t>s</w:t>
      </w:r>
      <w:r>
        <w:t xml:space="preserve">hares, the </w:t>
      </w:r>
      <w:r w:rsidR="004B0971">
        <w:t>u</w:t>
      </w:r>
      <w:r>
        <w:t xml:space="preserve">nits and the </w:t>
      </w:r>
      <w:r w:rsidR="004B0971">
        <w:t>l</w:t>
      </w:r>
      <w:r>
        <w:t xml:space="preserve">oan should be aggregated. Together they form an integrated package for the provision of the </w:t>
      </w:r>
      <w:r w:rsidR="00A037ED">
        <w:t xml:space="preserve">company’s </w:t>
      </w:r>
      <w:r>
        <w:t xml:space="preserve">capital and would appropriately </w:t>
      </w:r>
      <w:r w:rsidR="00A037ED">
        <w:t xml:space="preserve">be </w:t>
      </w:r>
      <w:r>
        <w:t>seen as integrated single capital investments. There</w:t>
      </w:r>
      <w:r w:rsidR="00A037ED">
        <w:t xml:space="preserve"> does not appear to be any </w:t>
      </w:r>
      <w:r>
        <w:t>basis for contending that investment markets would see separate instruments. Further, from the perspective of external lenders</w:t>
      </w:r>
      <w:r w:rsidR="004B0971">
        <w:t>,</w:t>
      </w:r>
      <w:r>
        <w:t xml:space="preserve"> the </w:t>
      </w:r>
      <w:r w:rsidR="004B0971">
        <w:t>l</w:t>
      </w:r>
      <w:r>
        <w:t xml:space="preserve">oan and </w:t>
      </w:r>
      <w:r w:rsidR="004B0971">
        <w:t>u</w:t>
      </w:r>
      <w:r>
        <w:t xml:space="preserve">nits will be seen as de facto equity or share capital. </w:t>
      </w:r>
    </w:p>
    <w:p w14:paraId="565BDB63" w14:textId="05A45659" w:rsidR="00020DB6" w:rsidRDefault="00020DB6" w:rsidP="006644FB">
      <w:pPr>
        <w:pStyle w:val="Heading3"/>
      </w:pPr>
      <w:r>
        <w:t xml:space="preserve">Loan, </w:t>
      </w:r>
      <w:r w:rsidR="00A037ED">
        <w:t>s</w:t>
      </w:r>
      <w:r>
        <w:t xml:space="preserve">ubordination </w:t>
      </w:r>
      <w:r w:rsidR="00A037ED">
        <w:t>d</w:t>
      </w:r>
      <w:r>
        <w:t>eed and the SLA – not aggregated</w:t>
      </w:r>
    </w:p>
    <w:p w14:paraId="1CFC4267" w14:textId="7E526110" w:rsidR="00020DB6" w:rsidRDefault="00020DB6" w:rsidP="009B5310">
      <w:pPr>
        <w:pStyle w:val="NumberedParagraph3"/>
      </w:pPr>
      <w:r>
        <w:t xml:space="preserve">Under the terms of the </w:t>
      </w:r>
      <w:r w:rsidR="00A037ED">
        <w:t>s</w:t>
      </w:r>
      <w:r>
        <w:t xml:space="preserve">ubordination </w:t>
      </w:r>
      <w:r w:rsidR="00A037ED">
        <w:t>d</w:t>
      </w:r>
      <w:r>
        <w:t xml:space="preserve">eed, the pricing, terms and conditions of the </w:t>
      </w:r>
      <w:r w:rsidR="00A037ED">
        <w:t>l</w:t>
      </w:r>
      <w:r>
        <w:t>oan are linked to the pricing, terms and conditions of the SLA. However, they are not linked in a manner which would affect the application of the debt or equity test</w:t>
      </w:r>
      <w:r w:rsidR="00A037ED">
        <w:t>s</w:t>
      </w:r>
      <w:r>
        <w:t xml:space="preserve"> to either of the schemes. </w:t>
      </w:r>
    </w:p>
    <w:p w14:paraId="148C304E" w14:textId="510098E5" w:rsidR="00020DB6" w:rsidRDefault="00020DB6" w:rsidP="009B5310">
      <w:pPr>
        <w:pStyle w:val="NumberedParagraph3"/>
      </w:pPr>
      <w:r>
        <w:lastRenderedPageBreak/>
        <w:t xml:space="preserve">The </w:t>
      </w:r>
      <w:r w:rsidR="00A037ED">
        <w:t>s</w:t>
      </w:r>
      <w:r>
        <w:t xml:space="preserve">ubordination </w:t>
      </w:r>
      <w:r w:rsidR="00A037ED">
        <w:t>d</w:t>
      </w:r>
      <w:r>
        <w:t xml:space="preserve">eed only has the effect of placing the SLA at the head of the queue should there be a shortfall of assets to meet the obligations of the </w:t>
      </w:r>
      <w:r w:rsidR="00A037ED">
        <w:t>c</w:t>
      </w:r>
      <w:r>
        <w:t xml:space="preserve">ompany and </w:t>
      </w:r>
      <w:r w:rsidR="00A037ED">
        <w:t>t</w:t>
      </w:r>
      <w:r>
        <w:t xml:space="preserve">rustee, but does not go to the character of the relevant obligations. The </w:t>
      </w:r>
      <w:r w:rsidR="00A037ED">
        <w:t>l</w:t>
      </w:r>
      <w:r>
        <w:t xml:space="preserve">oan and the SLA will not be aggregated under the proposed principles. For completeness, this outcome is consistent with normal commercial understandings. </w:t>
      </w:r>
    </w:p>
    <w:tbl>
      <w:tblPr>
        <w:tblW w:w="0" w:type="auto"/>
        <w:tblInd w:w="108" w:type="dxa"/>
        <w:shd w:val="clear" w:color="auto" w:fill="E6E6E6"/>
        <w:tblLook w:val="01E0" w:firstRow="1" w:lastRow="1" w:firstColumn="1" w:lastColumn="1" w:noHBand="0" w:noVBand="0"/>
      </w:tblPr>
      <w:tblGrid>
        <w:gridCol w:w="8615"/>
      </w:tblGrid>
      <w:tr w:rsidR="00F62C55" w14:paraId="1FB4D299" w14:textId="77777777" w:rsidTr="006644FB">
        <w:tc>
          <w:tcPr>
            <w:tcW w:w="8615" w:type="dxa"/>
            <w:shd w:val="clear" w:color="auto" w:fill="E6E6E6"/>
          </w:tcPr>
          <w:p w14:paraId="7B9C3608" w14:textId="77777777" w:rsidR="00F62C55" w:rsidRPr="009707BF" w:rsidRDefault="00F62C55" w:rsidP="00F62C55">
            <w:pPr>
              <w:pStyle w:val="Bullet"/>
              <w:numPr>
                <w:ilvl w:val="0"/>
                <w:numId w:val="0"/>
              </w:numPr>
              <w:rPr>
                <w:b/>
                <w:i/>
              </w:rPr>
            </w:pPr>
            <w:r w:rsidRPr="00F674DC">
              <w:rPr>
                <w:b/>
                <w:i/>
              </w:rPr>
              <w:t xml:space="preserve">Change to this scheme that </w:t>
            </w:r>
            <w:r>
              <w:rPr>
                <w:b/>
                <w:i/>
              </w:rPr>
              <w:t>would avoid aggregation</w:t>
            </w:r>
          </w:p>
          <w:p w14:paraId="32D1B8C2" w14:textId="77777777" w:rsidR="00F62C55" w:rsidRPr="009707BF" w:rsidRDefault="00F62C55" w:rsidP="00F62C55">
            <w:pPr>
              <w:pStyle w:val="Bullet"/>
            </w:pPr>
            <w:r>
              <w:t>The outcome would change if other circumstances existed resulting in an expectation - and structural scope - for the loan to be repaid, otherwise than at the discretion of the company, and where the funds are available to be returned to unit holders either as a return of capital or as a winding up. For example:</w:t>
            </w:r>
          </w:p>
          <w:p w14:paraId="32A9BAE0" w14:textId="77777777" w:rsidR="00F62C55" w:rsidRDefault="00F62C55" w:rsidP="00F62C55">
            <w:pPr>
              <w:pStyle w:val="Dash"/>
              <w:ind w:left="1089" w:hanging="522"/>
            </w:pPr>
            <w:r>
              <w:t>If the beneficiaries have the right to require the units to be redeemed, their interest will be debt-like, and will be commercially distinct from irredeemable shares.</w:t>
            </w:r>
          </w:p>
          <w:p w14:paraId="3472F965" w14:textId="77777777" w:rsidR="00F62C55" w:rsidRDefault="00F62C55" w:rsidP="00F62C55">
            <w:pPr>
              <w:pStyle w:val="Dash"/>
              <w:ind w:left="1089" w:hanging="522"/>
            </w:pPr>
            <w:r>
              <w:t>If the trust was to operate only during the term of the loan (that is, when the loan was repaid at the end of the nine year term the repaid moneys are distributed), the discretionary powers of the trustee and the inability of the unit holders to require earlier redemption would not alter the economic effects of the loan. Terms creating interdependency with the shares would be temporary and not alter the effectively non-contingent character of the loan. As the trust is temporary, the units would not necessarily be seen as one security with the shares.</w:t>
            </w:r>
          </w:p>
          <w:p w14:paraId="39D65F40" w14:textId="77777777" w:rsidR="00F62C55" w:rsidRDefault="00F62C55" w:rsidP="00F62C55">
            <w:pPr>
              <w:pStyle w:val="Bullet"/>
              <w:ind w:left="522" w:hanging="522"/>
            </w:pPr>
            <w:r>
              <w:t xml:space="preserve">A guarantee by the company that unit holders would be repaid unit capital would prevent equity characterisation (perhaps through an application of aggregation that produced a debt interest rather than an equity interest). This could be true even if the trustee held shares in the company rather than the loan. </w:t>
            </w:r>
          </w:p>
          <w:p w14:paraId="61A2055E" w14:textId="2052A0F6" w:rsidR="00F62C55" w:rsidRPr="0010343E" w:rsidRDefault="00F62C55" w:rsidP="00F62C55">
            <w:pPr>
              <w:pStyle w:val="Bullet"/>
              <w:ind w:left="522" w:hanging="522"/>
            </w:pPr>
            <w:r>
              <w:t>Example 3 illustrates a case in which the trust would not be aggregated. This is because the trust has functions and other assets apart from the loan.</w:t>
            </w:r>
          </w:p>
        </w:tc>
      </w:tr>
    </w:tbl>
    <w:p w14:paraId="249BEB08" w14:textId="77777777" w:rsidR="00EC1427" w:rsidRDefault="00EC1427" w:rsidP="00A037ED">
      <w:pPr>
        <w:pStyle w:val="Heading3"/>
        <w:spacing w:before="360"/>
      </w:pPr>
      <w:r>
        <w:t xml:space="preserve">Example </w:t>
      </w:r>
      <w:r w:rsidR="00CD0F5F">
        <w:t>3</w:t>
      </w:r>
      <w:r>
        <w:t>: debt raised by a property trust – no aggregation</w:t>
      </w:r>
    </w:p>
    <w:p w14:paraId="0C946215" w14:textId="662880D1" w:rsidR="00EC1427" w:rsidRPr="00C22BFA" w:rsidRDefault="00EC1427" w:rsidP="00A1616A">
      <w:pPr>
        <w:pStyle w:val="Heading4"/>
        <w:keepNext w:val="0"/>
        <w:spacing w:before="360"/>
      </w:pPr>
      <w:r w:rsidRPr="00DB6407">
        <w:t xml:space="preserve">Background </w:t>
      </w:r>
      <w:r w:rsidR="00B27068">
        <w:t>f</w:t>
      </w:r>
      <w:r w:rsidRPr="00DB6407">
        <w:t>acts</w:t>
      </w:r>
    </w:p>
    <w:p w14:paraId="053A2058" w14:textId="78375293" w:rsidR="00826786" w:rsidRPr="001724B4" w:rsidRDefault="00EC1427" w:rsidP="001724B4">
      <w:pPr>
        <w:pStyle w:val="Bullet"/>
      </w:pPr>
      <w:r w:rsidRPr="001724B4">
        <w:t>X Trust is a listed property trust. It holds Australian commercial properties with a total market value of $500 million</w:t>
      </w:r>
      <w:r w:rsidR="00826786" w:rsidRPr="001724B4">
        <w:t xml:space="preserve">. It </w:t>
      </w:r>
      <w:r w:rsidRPr="001724B4">
        <w:t>derives rental income from</w:t>
      </w:r>
      <w:r w:rsidR="00CD0F5F" w:rsidRPr="001724B4">
        <w:t xml:space="preserve"> leasing</w:t>
      </w:r>
      <w:r w:rsidRPr="001724B4">
        <w:t xml:space="preserve"> these properties</w:t>
      </w:r>
      <w:r w:rsidR="00CD0F5F" w:rsidRPr="001724B4">
        <w:t xml:space="preserve"> to third parties</w:t>
      </w:r>
      <w:r w:rsidRPr="001724B4">
        <w:t>.</w:t>
      </w:r>
    </w:p>
    <w:p w14:paraId="338380BE" w14:textId="0BA4A45B" w:rsidR="00EC1427" w:rsidRPr="001724B4" w:rsidRDefault="00EC1427" w:rsidP="001724B4">
      <w:pPr>
        <w:pStyle w:val="Bullet"/>
      </w:pPr>
      <w:r w:rsidRPr="001724B4">
        <w:t>X Trust is not taxed under Division 6C.</w:t>
      </w:r>
    </w:p>
    <w:p w14:paraId="3428C444" w14:textId="7D67CD41" w:rsidR="00826786" w:rsidRPr="001724B4" w:rsidRDefault="00EC1427" w:rsidP="001724B4">
      <w:pPr>
        <w:pStyle w:val="Bullet"/>
      </w:pPr>
      <w:r w:rsidRPr="001724B4">
        <w:t>Y Company is a</w:t>
      </w:r>
      <w:r w:rsidR="00CD0F5F" w:rsidRPr="001724B4">
        <w:t>n associated company</w:t>
      </w:r>
      <w:r w:rsidR="00826786" w:rsidRPr="001724B4">
        <w:t xml:space="preserve"> responsible for managing the properties held by </w:t>
      </w:r>
      <w:r w:rsidRPr="001724B4">
        <w:t>X Trust.</w:t>
      </w:r>
      <w:r w:rsidR="00826786" w:rsidRPr="001724B4">
        <w:t xml:space="preserve"> It also acts as a responsible entity for X Trust and undertakes </w:t>
      </w:r>
      <w:r w:rsidR="00826786" w:rsidRPr="001724B4">
        <w:lastRenderedPageBreak/>
        <w:t xml:space="preserve">property development. X Trust pays service fee to Y Company at market rate for managing properties. </w:t>
      </w:r>
    </w:p>
    <w:p w14:paraId="26F72911" w14:textId="5EE10474" w:rsidR="00826786" w:rsidRPr="001724B4" w:rsidRDefault="00826786" w:rsidP="001724B4">
      <w:pPr>
        <w:pStyle w:val="Bullet"/>
      </w:pPr>
      <w:r w:rsidRPr="001724B4">
        <w:t>The shares in Y Co</w:t>
      </w:r>
      <w:r w:rsidR="00212731" w:rsidRPr="001724B4">
        <w:t>mpany</w:t>
      </w:r>
      <w:r w:rsidRPr="001724B4">
        <w:t xml:space="preserve"> are stapled to the un</w:t>
      </w:r>
      <w:r w:rsidR="00C90D20">
        <w:t>its in X Trust pursuant to the stapling d</w:t>
      </w:r>
      <w:r w:rsidRPr="001724B4">
        <w:t>eed. The stapled securities ar</w:t>
      </w:r>
      <w:r w:rsidR="00C90D20">
        <w:t>e listed on the Australian Securities</w:t>
      </w:r>
      <w:r w:rsidRPr="001724B4">
        <w:t xml:space="preserve"> Exchange (ASX). </w:t>
      </w:r>
    </w:p>
    <w:p w14:paraId="5DB9912E" w14:textId="274B7433" w:rsidR="00826786" w:rsidRPr="001724B4" w:rsidRDefault="00826786" w:rsidP="001724B4">
      <w:pPr>
        <w:pStyle w:val="Bullet"/>
      </w:pPr>
      <w:r w:rsidRPr="001724B4">
        <w:t xml:space="preserve">The </w:t>
      </w:r>
      <w:r w:rsidR="00B27068" w:rsidRPr="001724B4">
        <w:t>s</w:t>
      </w:r>
      <w:r w:rsidRPr="001724B4">
        <w:t xml:space="preserve">tapling </w:t>
      </w:r>
      <w:r w:rsidR="00B27068" w:rsidRPr="001724B4">
        <w:t>d</w:t>
      </w:r>
      <w:r w:rsidRPr="001724B4">
        <w:t xml:space="preserve">eed: </w:t>
      </w:r>
    </w:p>
    <w:p w14:paraId="22550FDC" w14:textId="600CD76F" w:rsidR="00826786" w:rsidRPr="001724B4" w:rsidRDefault="00826786" w:rsidP="001724B4">
      <w:pPr>
        <w:pStyle w:val="Dash"/>
      </w:pPr>
      <w:r w:rsidRPr="001724B4">
        <w:t xml:space="preserve">stipulates that is takes precedence over the </w:t>
      </w:r>
      <w:r w:rsidR="00B27068" w:rsidRPr="001724B4">
        <w:t>u</w:t>
      </w:r>
      <w:r w:rsidR="000208B9" w:rsidRPr="001724B4">
        <w:t>nit trust</w:t>
      </w:r>
      <w:r w:rsidRPr="001724B4">
        <w:t xml:space="preserve"> </w:t>
      </w:r>
      <w:r w:rsidR="00B27068" w:rsidRPr="001724B4">
        <w:t>d</w:t>
      </w:r>
      <w:r w:rsidRPr="001724B4">
        <w:t xml:space="preserve">eed and the </w:t>
      </w:r>
      <w:r w:rsidR="00B27068" w:rsidRPr="001724B4">
        <w:t>c</w:t>
      </w:r>
      <w:r w:rsidRPr="001724B4">
        <w:t xml:space="preserve">ompany’s </w:t>
      </w:r>
      <w:r w:rsidR="00B27068" w:rsidRPr="001724B4">
        <w:t>c</w:t>
      </w:r>
      <w:r w:rsidRPr="001724B4">
        <w:t>onstitution;</w:t>
      </w:r>
    </w:p>
    <w:p w14:paraId="56EECCF1" w14:textId="26A44E08" w:rsidR="00EC1427" w:rsidRPr="001724B4" w:rsidRDefault="00826786" w:rsidP="001724B4">
      <w:pPr>
        <w:pStyle w:val="Dash"/>
      </w:pPr>
      <w:proofErr w:type="gramStart"/>
      <w:r w:rsidRPr="001724B4">
        <w:t>does</w:t>
      </w:r>
      <w:proofErr w:type="gramEnd"/>
      <w:r w:rsidRPr="001724B4">
        <w:t xml:space="preserve"> not permit the </w:t>
      </w:r>
      <w:r w:rsidR="00B27068" w:rsidRPr="001724B4">
        <w:t>u</w:t>
      </w:r>
      <w:r w:rsidR="000208B9" w:rsidRPr="001724B4">
        <w:t>nit trust</w:t>
      </w:r>
      <w:r w:rsidRPr="001724B4">
        <w:t xml:space="preserve"> to consolidate, sub-divide, buy-back, cancel or otherwise reorganise any units unless there is a corresponding transaction with the </w:t>
      </w:r>
      <w:r w:rsidR="00B27068" w:rsidRPr="001724B4">
        <w:t>s</w:t>
      </w:r>
      <w:r w:rsidRPr="001724B4">
        <w:t xml:space="preserve">hares (or vice versa). </w:t>
      </w:r>
    </w:p>
    <w:p w14:paraId="727CBD08" w14:textId="5E121D64" w:rsidR="00826786" w:rsidRPr="001724B4" w:rsidRDefault="00826786" w:rsidP="001724B4">
      <w:pPr>
        <w:pStyle w:val="Bullet"/>
      </w:pPr>
      <w:r w:rsidRPr="001724B4">
        <w:t xml:space="preserve">Under the X Trust </w:t>
      </w:r>
      <w:r w:rsidR="00B27068" w:rsidRPr="001724B4">
        <w:t>deed</w:t>
      </w:r>
      <w:r w:rsidRPr="001724B4">
        <w:t xml:space="preserve">, the </w:t>
      </w:r>
      <w:r w:rsidR="00B27068" w:rsidRPr="001724B4">
        <w:t>t</w:t>
      </w:r>
      <w:r w:rsidRPr="001724B4">
        <w:t>ruste</w:t>
      </w:r>
      <w:r w:rsidR="00212731" w:rsidRPr="001724B4">
        <w:t xml:space="preserve">e may, in its absolute discretion distribute income or capital on some or all of the </w:t>
      </w:r>
      <w:r w:rsidR="00B27068" w:rsidRPr="001724B4">
        <w:t xml:space="preserve">units </w:t>
      </w:r>
      <w:r w:rsidR="00212731" w:rsidRPr="001724B4">
        <w:t xml:space="preserve">held by a </w:t>
      </w:r>
      <w:r w:rsidR="00B27068" w:rsidRPr="001724B4">
        <w:t>unit holder</w:t>
      </w:r>
      <w:r w:rsidR="00212731" w:rsidRPr="001724B4">
        <w:t xml:space="preserve">. </w:t>
      </w:r>
    </w:p>
    <w:p w14:paraId="13472B69" w14:textId="5C12DE4A" w:rsidR="00212731" w:rsidRPr="001724B4" w:rsidRDefault="00212731" w:rsidP="001724B4">
      <w:pPr>
        <w:pStyle w:val="Bullet"/>
      </w:pPr>
      <w:r w:rsidRPr="001724B4">
        <w:t xml:space="preserve">The </w:t>
      </w:r>
      <w:r w:rsidR="00B27068" w:rsidRPr="001724B4">
        <w:t xml:space="preserve">stapling deed </w:t>
      </w:r>
      <w:r w:rsidRPr="001724B4">
        <w:t xml:space="preserve">and the X Trust </w:t>
      </w:r>
      <w:r w:rsidR="00B27068" w:rsidRPr="001724B4">
        <w:t xml:space="preserve">deed </w:t>
      </w:r>
      <w:r w:rsidRPr="001724B4">
        <w:t xml:space="preserve">are subject to the ASX listing rules. </w:t>
      </w:r>
    </w:p>
    <w:p w14:paraId="154C7F05" w14:textId="3FBC4C36" w:rsidR="00212731" w:rsidRPr="001724B4" w:rsidRDefault="00CD0F5F" w:rsidP="001724B4">
      <w:pPr>
        <w:pStyle w:val="Bullet"/>
      </w:pPr>
      <w:r w:rsidRPr="001724B4">
        <w:t xml:space="preserve">The stapled securities are offered to investors by way of a prospectus. A total of $50 million is raised on the issue of stapled securities. </w:t>
      </w:r>
      <w:r w:rsidR="00212731" w:rsidRPr="001724B4">
        <w:t>F</w:t>
      </w:r>
      <w:r w:rsidRPr="001724B4">
        <w:t>unds raised are allocated to Y Co</w:t>
      </w:r>
      <w:r w:rsidR="00212731" w:rsidRPr="001724B4">
        <w:t>mpany</w:t>
      </w:r>
      <w:r w:rsidRPr="001724B4">
        <w:t xml:space="preserve"> and </w:t>
      </w:r>
      <w:r w:rsidR="00212731" w:rsidRPr="001724B4">
        <w:t xml:space="preserve">X </w:t>
      </w:r>
      <w:r w:rsidRPr="001724B4">
        <w:t xml:space="preserve">Trust having regard to the new asset value of the two entities - $30 million is contributed to </w:t>
      </w:r>
      <w:r w:rsidR="00212731" w:rsidRPr="001724B4">
        <w:t xml:space="preserve">X </w:t>
      </w:r>
      <w:r w:rsidRPr="001724B4">
        <w:t>Trust and $20 million to Y Co</w:t>
      </w:r>
      <w:r w:rsidR="00212731" w:rsidRPr="001724B4">
        <w:t>mpany</w:t>
      </w:r>
      <w:r w:rsidRPr="001724B4">
        <w:t>.</w:t>
      </w:r>
    </w:p>
    <w:p w14:paraId="412E41E6" w14:textId="672E425B" w:rsidR="00EC1427" w:rsidRPr="001724B4" w:rsidRDefault="00212731" w:rsidP="001724B4">
      <w:pPr>
        <w:pStyle w:val="Bullet"/>
      </w:pPr>
      <w:r w:rsidRPr="001724B4">
        <w:t>X Trust borrows an additional $50 million (</w:t>
      </w:r>
      <w:r w:rsidR="00B27068" w:rsidRPr="001724B4">
        <w:t>external l</w:t>
      </w:r>
      <w:r w:rsidRPr="001724B4">
        <w:t>oan) from an independent third party lender (</w:t>
      </w:r>
      <w:r w:rsidR="00B27068" w:rsidRPr="001724B4">
        <w:t>e</w:t>
      </w:r>
      <w:r w:rsidRPr="001724B4">
        <w:t xml:space="preserve">xternal </w:t>
      </w:r>
      <w:r w:rsidR="00B27068" w:rsidRPr="001724B4">
        <w:t>f</w:t>
      </w:r>
      <w:r w:rsidRPr="001724B4">
        <w:t xml:space="preserve">inancier). The </w:t>
      </w:r>
      <w:r w:rsidR="00B27068" w:rsidRPr="001724B4">
        <w:t>e</w:t>
      </w:r>
      <w:r w:rsidRPr="001724B4">
        <w:t xml:space="preserve">xternal </w:t>
      </w:r>
      <w:r w:rsidR="00B27068" w:rsidRPr="001724B4">
        <w:t>l</w:t>
      </w:r>
      <w:r w:rsidRPr="001724B4">
        <w:t xml:space="preserve">oan has a term </w:t>
      </w:r>
      <w:r w:rsidR="00B27068" w:rsidRPr="001724B4">
        <w:t>of nine</w:t>
      </w:r>
      <w:r w:rsidRPr="001724B4">
        <w:t xml:space="preserve"> years, and is interest bearing. Unpaid interest accrues and is payable together with any principal at the end of the loan term. </w:t>
      </w:r>
      <w:r w:rsidR="00CD0F5F" w:rsidRPr="001724B4">
        <w:t xml:space="preserve"> </w:t>
      </w:r>
    </w:p>
    <w:p w14:paraId="26A2E9FA" w14:textId="0C335645" w:rsidR="00CD0F5F" w:rsidRPr="001724B4" w:rsidRDefault="00212731" w:rsidP="001724B4">
      <w:pPr>
        <w:pStyle w:val="Bullet"/>
      </w:pPr>
      <w:r w:rsidRPr="001724B4">
        <w:t xml:space="preserve">X </w:t>
      </w:r>
      <w:r w:rsidR="00CD0F5F" w:rsidRPr="001724B4">
        <w:t xml:space="preserve">Trust </w:t>
      </w:r>
      <w:r w:rsidRPr="001724B4">
        <w:t>on-</w:t>
      </w:r>
      <w:r w:rsidR="00CD0F5F" w:rsidRPr="001724B4">
        <w:t>lends $</w:t>
      </w:r>
      <w:r w:rsidRPr="001724B4">
        <w:t>8</w:t>
      </w:r>
      <w:r w:rsidR="00CD0F5F" w:rsidRPr="001724B4">
        <w:t>0 million</w:t>
      </w:r>
      <w:r w:rsidRPr="001724B4">
        <w:t xml:space="preserve"> ($30 million raised by way of prospectus and $50</w:t>
      </w:r>
      <w:r w:rsidR="002A401A" w:rsidRPr="001724B4">
        <w:t> </w:t>
      </w:r>
      <w:r w:rsidRPr="001724B4">
        <w:t xml:space="preserve">million </w:t>
      </w:r>
      <w:r w:rsidR="00B27068" w:rsidRPr="001724B4">
        <w:t>external loan</w:t>
      </w:r>
      <w:r w:rsidRPr="001724B4">
        <w:t>)</w:t>
      </w:r>
      <w:r w:rsidR="00CD0F5F" w:rsidRPr="001724B4">
        <w:t xml:space="preserve"> to Y Co</w:t>
      </w:r>
      <w:r w:rsidRPr="001724B4">
        <w:t xml:space="preserve">mpany, at a </w:t>
      </w:r>
      <w:proofErr w:type="spellStart"/>
      <w:r w:rsidRPr="001724B4">
        <w:t>mark up</w:t>
      </w:r>
      <w:proofErr w:type="spellEnd"/>
      <w:r w:rsidRPr="001724B4">
        <w:t xml:space="preserve"> on the interest rate on the loan from the </w:t>
      </w:r>
      <w:r w:rsidR="00B27068" w:rsidRPr="001724B4">
        <w:t>e</w:t>
      </w:r>
      <w:r w:rsidRPr="001724B4">
        <w:t xml:space="preserve">xternal </w:t>
      </w:r>
      <w:r w:rsidR="00B27068" w:rsidRPr="001724B4">
        <w:t>financier</w:t>
      </w:r>
      <w:r w:rsidRPr="001724B4">
        <w:t>.</w:t>
      </w:r>
      <w:r w:rsidR="00CD0F5F" w:rsidRPr="001724B4">
        <w:t xml:space="preserve"> The loan has a term of </w:t>
      </w:r>
      <w:r w:rsidR="00B27068" w:rsidRPr="001724B4">
        <w:t xml:space="preserve">nine </w:t>
      </w:r>
      <w:r w:rsidR="00CD0F5F" w:rsidRPr="001724B4">
        <w:t>years. Unpaid interest accrues and is payable together with any principal at the end of the loan term.</w:t>
      </w:r>
    </w:p>
    <w:p w14:paraId="52F6D1FE" w14:textId="77777777" w:rsidR="00EC1427" w:rsidRDefault="00EC1427" w:rsidP="002A401A">
      <w:pPr>
        <w:pStyle w:val="Graphic"/>
      </w:pPr>
      <w:r>
        <w:rPr>
          <w:noProof/>
          <w:lang w:val="en-US" w:eastAsia="en-US"/>
        </w:rPr>
        <w:lastRenderedPageBreak/>
        <w:drawing>
          <wp:inline distT="0" distB="0" distL="0" distR="0" wp14:anchorId="3BF90254" wp14:editId="5ADB379E">
            <wp:extent cx="4894684" cy="3236709"/>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8.png"/>
                    <pic:cNvPicPr/>
                  </pic:nvPicPr>
                  <pic:blipFill>
                    <a:blip r:embed="rId40">
                      <a:extLst>
                        <a:ext uri="{28A0092B-C50C-407E-A947-70E740481C1C}">
                          <a14:useLocalDpi xmlns:a14="http://schemas.microsoft.com/office/drawing/2010/main" val="0"/>
                        </a:ext>
                      </a:extLst>
                    </a:blip>
                    <a:stretch>
                      <a:fillRect/>
                    </a:stretch>
                  </pic:blipFill>
                  <pic:spPr>
                    <a:xfrm>
                      <a:off x="0" y="0"/>
                      <a:ext cx="4894684" cy="3236709"/>
                    </a:xfrm>
                    <a:prstGeom prst="rect">
                      <a:avLst/>
                    </a:prstGeom>
                  </pic:spPr>
                </pic:pic>
              </a:graphicData>
            </a:graphic>
          </wp:inline>
        </w:drawing>
      </w:r>
    </w:p>
    <w:p w14:paraId="7113650D" w14:textId="77777777" w:rsidR="006644FB" w:rsidRDefault="006644FB" w:rsidP="006644FB">
      <w:pPr>
        <w:pStyle w:val="SingleParagraph"/>
      </w:pPr>
    </w:p>
    <w:p w14:paraId="61E2E3A0" w14:textId="4B6A27F8" w:rsidR="00EC1427" w:rsidRPr="00DB6407" w:rsidRDefault="00EC1427" w:rsidP="006644FB">
      <w:pPr>
        <w:pStyle w:val="Heading3"/>
      </w:pPr>
      <w:r w:rsidRPr="00DB6407">
        <w:t>Appl</w:t>
      </w:r>
      <w:r w:rsidR="00142114">
        <w:t xml:space="preserve">ying the </w:t>
      </w:r>
      <w:r w:rsidRPr="00DB6407">
        <w:t>proposed new principles</w:t>
      </w:r>
    </w:p>
    <w:p w14:paraId="58434F9C" w14:textId="702F5CA5" w:rsidR="00EC1427" w:rsidRPr="0006375F" w:rsidRDefault="00212731" w:rsidP="006644FB">
      <w:pPr>
        <w:pStyle w:val="Heading4"/>
        <w:rPr>
          <w:rFonts w:eastAsiaTheme="minorEastAsia"/>
        </w:rPr>
      </w:pPr>
      <w:r>
        <w:rPr>
          <w:rFonts w:eastAsiaTheme="minorEastAsia"/>
        </w:rPr>
        <w:t>The l</w:t>
      </w:r>
      <w:r w:rsidR="00EC1427" w:rsidRPr="0006375F">
        <w:rPr>
          <w:rFonts w:eastAsiaTheme="minorEastAsia"/>
        </w:rPr>
        <w:t xml:space="preserve">oan, </w:t>
      </w:r>
      <w:r w:rsidR="00142114">
        <w:rPr>
          <w:rFonts w:eastAsiaTheme="minorEastAsia"/>
        </w:rPr>
        <w:t>u</w:t>
      </w:r>
      <w:r w:rsidR="00142114" w:rsidRPr="0006375F">
        <w:rPr>
          <w:rFonts w:eastAsiaTheme="minorEastAsia"/>
        </w:rPr>
        <w:t xml:space="preserve">nits </w:t>
      </w:r>
      <w:r w:rsidR="00EC1427" w:rsidRPr="0006375F">
        <w:rPr>
          <w:rFonts w:eastAsiaTheme="minorEastAsia"/>
        </w:rPr>
        <w:t xml:space="preserve">in </w:t>
      </w:r>
      <w:r>
        <w:rPr>
          <w:rFonts w:eastAsiaTheme="minorEastAsia"/>
        </w:rPr>
        <w:t>X</w:t>
      </w:r>
      <w:r w:rsidRPr="0006375F">
        <w:rPr>
          <w:rFonts w:eastAsiaTheme="minorEastAsia"/>
        </w:rPr>
        <w:t xml:space="preserve"> </w:t>
      </w:r>
      <w:r w:rsidR="00EC1427" w:rsidRPr="0006375F">
        <w:rPr>
          <w:rFonts w:eastAsiaTheme="minorEastAsia"/>
        </w:rPr>
        <w:t xml:space="preserve">Trust and </w:t>
      </w:r>
      <w:r w:rsidR="00142114">
        <w:rPr>
          <w:rFonts w:eastAsiaTheme="minorEastAsia"/>
        </w:rPr>
        <w:t>s</w:t>
      </w:r>
      <w:r w:rsidR="00142114" w:rsidRPr="0006375F">
        <w:rPr>
          <w:rFonts w:eastAsiaTheme="minorEastAsia"/>
        </w:rPr>
        <w:t xml:space="preserve">hares </w:t>
      </w:r>
      <w:r w:rsidR="00EC1427" w:rsidRPr="0006375F">
        <w:rPr>
          <w:rFonts w:eastAsiaTheme="minorEastAsia"/>
        </w:rPr>
        <w:t>in Y Co</w:t>
      </w:r>
      <w:r>
        <w:rPr>
          <w:rFonts w:eastAsiaTheme="minorEastAsia"/>
        </w:rPr>
        <w:t>mpany</w:t>
      </w:r>
      <w:r w:rsidR="00EC1427" w:rsidRPr="0006375F">
        <w:rPr>
          <w:rFonts w:eastAsiaTheme="minorEastAsia"/>
        </w:rPr>
        <w:t xml:space="preserve"> – not aggregated</w:t>
      </w:r>
    </w:p>
    <w:p w14:paraId="4452234B" w14:textId="3EB69AF1" w:rsidR="00212731" w:rsidRDefault="00212731" w:rsidP="009B5310">
      <w:pPr>
        <w:pStyle w:val="NumberedParagraph3"/>
      </w:pPr>
      <w:r>
        <w:t xml:space="preserve">It is necessary to consider the entire financing arrangement for Y Company to determine whether the </w:t>
      </w:r>
      <w:r w:rsidR="00503975">
        <w:t>l</w:t>
      </w:r>
      <w:r>
        <w:t xml:space="preserve">oan should be aggregated with the </w:t>
      </w:r>
      <w:r w:rsidR="00503975">
        <w:t xml:space="preserve">shares </w:t>
      </w:r>
      <w:r>
        <w:t xml:space="preserve">and the </w:t>
      </w:r>
      <w:r w:rsidR="00503975">
        <w:t>units</w:t>
      </w:r>
      <w:r>
        <w:t xml:space="preserve">, or alternatively, with only the </w:t>
      </w:r>
      <w:r w:rsidR="00503975">
        <w:t xml:space="preserve">shares </w:t>
      </w:r>
      <w:r>
        <w:t xml:space="preserve">or only the </w:t>
      </w:r>
      <w:r w:rsidR="00503975">
        <w:t>units</w:t>
      </w:r>
      <w:r>
        <w:t xml:space="preserve">. </w:t>
      </w:r>
    </w:p>
    <w:p w14:paraId="2951EF63" w14:textId="77777777" w:rsidR="00EC1427" w:rsidRDefault="00EC1427" w:rsidP="006644FB">
      <w:pPr>
        <w:pStyle w:val="Heading5"/>
      </w:pPr>
      <w:r w:rsidRPr="003A6417">
        <w:t xml:space="preserve">Pricing, terms and </w:t>
      </w:r>
      <w:r w:rsidRPr="00AF6AF1">
        <w:t>conditions</w:t>
      </w:r>
      <w:r w:rsidRPr="003A6417">
        <w:t xml:space="preserve"> of the scheme</w:t>
      </w:r>
      <w:r>
        <w:t>s</w:t>
      </w:r>
    </w:p>
    <w:p w14:paraId="4C1F16FF" w14:textId="5A82A09E" w:rsidR="00FF0D2E" w:rsidRDefault="00FF0D2E" w:rsidP="009B5310">
      <w:pPr>
        <w:pStyle w:val="NumberedParagraph3"/>
      </w:pPr>
      <w:r>
        <w:t xml:space="preserve">Under the </w:t>
      </w:r>
      <w:r w:rsidR="00503975">
        <w:t>stapling deed</w:t>
      </w:r>
      <w:r>
        <w:t>, there is interdependency between the pricing</w:t>
      </w:r>
      <w:r w:rsidR="00725A45">
        <w:t>,</w:t>
      </w:r>
      <w:r>
        <w:t xml:space="preserve"> terms </w:t>
      </w:r>
      <w:r w:rsidR="00725A45">
        <w:t>and</w:t>
      </w:r>
      <w:r>
        <w:t xml:space="preserve"> conditions of the </w:t>
      </w:r>
      <w:r w:rsidR="00503975">
        <w:t xml:space="preserve">shares </w:t>
      </w:r>
      <w:r>
        <w:t xml:space="preserve">in the </w:t>
      </w:r>
      <w:r w:rsidR="00725A45">
        <w:t xml:space="preserve">Y </w:t>
      </w:r>
      <w:r>
        <w:t xml:space="preserve">Company and the pricing, terms </w:t>
      </w:r>
      <w:r w:rsidR="00725A45">
        <w:t>and</w:t>
      </w:r>
      <w:r>
        <w:t xml:space="preserve"> conditions of the </w:t>
      </w:r>
      <w:r w:rsidR="00503975">
        <w:t xml:space="preserve">units </w:t>
      </w:r>
      <w:r>
        <w:t xml:space="preserve">in the </w:t>
      </w:r>
      <w:r w:rsidR="00725A45">
        <w:t>X</w:t>
      </w:r>
      <w:r>
        <w:t xml:space="preserve"> Trust. </w:t>
      </w:r>
      <w:r w:rsidR="00725A45">
        <w:t>A</w:t>
      </w:r>
      <w:r>
        <w:t xml:space="preserve">s with Example 2, the terms of the </w:t>
      </w:r>
      <w:r w:rsidR="00503975">
        <w:t xml:space="preserve">stapling deed </w:t>
      </w:r>
      <w:r>
        <w:t>requir</w:t>
      </w:r>
      <w:r w:rsidR="00725A45">
        <w:t>ing</w:t>
      </w:r>
      <w:r>
        <w:t xml:space="preserve"> the </w:t>
      </w:r>
      <w:r w:rsidR="00503975">
        <w:t xml:space="preserve">units </w:t>
      </w:r>
      <w:r>
        <w:t xml:space="preserve">and </w:t>
      </w:r>
      <w:r w:rsidR="00725A45">
        <w:t xml:space="preserve">the </w:t>
      </w:r>
      <w:r w:rsidR="00503975">
        <w:t xml:space="preserve">shares </w:t>
      </w:r>
      <w:r>
        <w:t xml:space="preserve">to be disposed of </w:t>
      </w:r>
      <w:r w:rsidR="00725A45">
        <w:t xml:space="preserve">or otherwise dealt with </w:t>
      </w:r>
      <w:r>
        <w:t xml:space="preserve">together are not enough to aggregate the scheme giving rise to the </w:t>
      </w:r>
      <w:r w:rsidR="00503975">
        <w:t xml:space="preserve">units </w:t>
      </w:r>
      <w:r>
        <w:t xml:space="preserve">and the </w:t>
      </w:r>
      <w:r w:rsidR="00503975">
        <w:t>shares</w:t>
      </w:r>
      <w:r>
        <w:t xml:space="preserve">, or any of the schemes giving rise to the </w:t>
      </w:r>
      <w:r w:rsidR="00503975">
        <w:t xml:space="preserve">units </w:t>
      </w:r>
      <w:r>
        <w:t xml:space="preserve">or the </w:t>
      </w:r>
      <w:r w:rsidR="00503975">
        <w:t xml:space="preserve">shares </w:t>
      </w:r>
      <w:r>
        <w:t xml:space="preserve">with the scheme giving rise to the </w:t>
      </w:r>
      <w:r w:rsidR="00503975">
        <w:t>loan</w:t>
      </w:r>
      <w:r>
        <w:t xml:space="preserve">. </w:t>
      </w:r>
    </w:p>
    <w:p w14:paraId="529D9D71" w14:textId="50D6C403" w:rsidR="00725A45" w:rsidRDefault="00725A45" w:rsidP="009B5310">
      <w:pPr>
        <w:pStyle w:val="NumberedParagraph3"/>
      </w:pPr>
      <w:r>
        <w:t xml:space="preserve">Unlike Example 2, the pricing, terms and conditions of the </w:t>
      </w:r>
      <w:r w:rsidR="00503975">
        <w:t xml:space="preserve">shares </w:t>
      </w:r>
      <w:r>
        <w:t xml:space="preserve">in Y Company or of the </w:t>
      </w:r>
      <w:r w:rsidR="00503975">
        <w:t xml:space="preserve">units </w:t>
      </w:r>
      <w:r>
        <w:t xml:space="preserve">in X Trust are not linked to, and do not affect, the pricing, terms and conditions of the </w:t>
      </w:r>
      <w:r w:rsidR="00503975">
        <w:t xml:space="preserve">loan </w:t>
      </w:r>
      <w:r>
        <w:t xml:space="preserve">by reason of the provisions in the </w:t>
      </w:r>
      <w:r w:rsidR="00503975">
        <w:t>stapling agreement</w:t>
      </w:r>
      <w:r>
        <w:t xml:space="preserve">. In this case, the interest of the </w:t>
      </w:r>
      <w:r w:rsidR="00503975">
        <w:t xml:space="preserve">unit holders </w:t>
      </w:r>
      <w:r>
        <w:t xml:space="preserve">in X Trust cannot be seen as an interest in the </w:t>
      </w:r>
      <w:r w:rsidR="00503975">
        <w:t xml:space="preserve">loan </w:t>
      </w:r>
      <w:r>
        <w:t xml:space="preserve">and neither the </w:t>
      </w:r>
      <w:r w:rsidR="00503975">
        <w:t xml:space="preserve">stapling agreement </w:t>
      </w:r>
      <w:r>
        <w:t xml:space="preserve">nor the </w:t>
      </w:r>
      <w:r w:rsidR="00503975">
        <w:t>u</w:t>
      </w:r>
      <w:r w:rsidR="000208B9">
        <w:t>nit trust</w:t>
      </w:r>
      <w:r>
        <w:t xml:space="preserve"> deed constrains or affects the obligation of the </w:t>
      </w:r>
      <w:r w:rsidR="00503975">
        <w:t xml:space="preserve">trustee </w:t>
      </w:r>
      <w:r>
        <w:t>to repay the external financier who has supplied the funds on lent as the</w:t>
      </w:r>
      <w:r w:rsidR="00503975">
        <w:t xml:space="preserve"> loan</w:t>
      </w:r>
      <w:r>
        <w:t>. The power to return capital is exercisable in respect of the funds of X</w:t>
      </w:r>
      <w:r w:rsidR="002A401A">
        <w:t> </w:t>
      </w:r>
      <w:r>
        <w:t xml:space="preserve">Trust remaining after making provision for repayment of X Trust’s liabilities, including the </w:t>
      </w:r>
      <w:r w:rsidR="00503975">
        <w:t>external loan</w:t>
      </w:r>
      <w:r>
        <w:t xml:space="preserve">. </w:t>
      </w:r>
    </w:p>
    <w:p w14:paraId="201D60F1" w14:textId="7B6D0D75" w:rsidR="00725A45" w:rsidRDefault="00725A45" w:rsidP="009B5310">
      <w:pPr>
        <w:pStyle w:val="NumberedParagraph3"/>
      </w:pPr>
      <w:r>
        <w:lastRenderedPageBreak/>
        <w:t xml:space="preserve">Moreover, unlike Example 2, the </w:t>
      </w:r>
      <w:r w:rsidR="00503975">
        <w:t xml:space="preserve">trustee </w:t>
      </w:r>
      <w:r>
        <w:t xml:space="preserve">of X Trust can return invested capital to the </w:t>
      </w:r>
      <w:r w:rsidR="00503975">
        <w:t xml:space="preserve">unit holders </w:t>
      </w:r>
      <w:r>
        <w:t xml:space="preserve">independently of any actions of Y Company. It is not reasonable to conclude that the pricing, terms and conditions of the </w:t>
      </w:r>
      <w:r w:rsidR="00503975">
        <w:t>shares</w:t>
      </w:r>
      <w:r>
        <w:t xml:space="preserve">, the pricing, terms and conditions of the </w:t>
      </w:r>
      <w:r w:rsidR="00503975">
        <w:t>units</w:t>
      </w:r>
      <w:r>
        <w:t xml:space="preserve">, or the pricing, terms and conditions of the </w:t>
      </w:r>
      <w:r w:rsidR="00503975">
        <w:t xml:space="preserve">shares </w:t>
      </w:r>
      <w:r>
        <w:t xml:space="preserve">and the </w:t>
      </w:r>
      <w:r w:rsidR="00503975">
        <w:t>units</w:t>
      </w:r>
      <w:r>
        <w:t xml:space="preserve">, operate in a way which would alter the economic consequences of the pricing, terms and conditions of the </w:t>
      </w:r>
      <w:r w:rsidR="00503975">
        <w:t>loan</w:t>
      </w:r>
      <w:r>
        <w:t xml:space="preserve">. </w:t>
      </w:r>
    </w:p>
    <w:p w14:paraId="0CA793F2" w14:textId="77777777" w:rsidR="00EC1427" w:rsidRDefault="00EC1427" w:rsidP="006644FB">
      <w:pPr>
        <w:pStyle w:val="Heading3"/>
      </w:pPr>
      <w:r w:rsidRPr="009E064F">
        <w:t xml:space="preserve">The schemes in </w:t>
      </w:r>
      <w:r w:rsidRPr="00AF6AF1">
        <w:t>combination</w:t>
      </w:r>
    </w:p>
    <w:p w14:paraId="13E36DE7" w14:textId="3955A341" w:rsidR="00EC1427" w:rsidRPr="004C1FF3" w:rsidRDefault="0009693A" w:rsidP="009B5310">
      <w:pPr>
        <w:pStyle w:val="NumberedParagraph3"/>
      </w:pPr>
      <w:r>
        <w:t xml:space="preserve">Even if the </w:t>
      </w:r>
      <w:r w:rsidR="00503975">
        <w:t>share</w:t>
      </w:r>
      <w:r>
        <w:t xml:space="preserve">, the </w:t>
      </w:r>
      <w:r w:rsidR="00503975">
        <w:t xml:space="preserve">unit </w:t>
      </w:r>
      <w:r>
        <w:t xml:space="preserve">and the </w:t>
      </w:r>
      <w:r w:rsidR="00503975">
        <w:t xml:space="preserve">loan </w:t>
      </w:r>
      <w:r>
        <w:t xml:space="preserve">schemes were combined, the manner in which the schemes were entered would not support their aggregation. The stapling arrangement was in existence and X Trust had its established activities and assets before the funds were on lent to Y Company. </w:t>
      </w:r>
    </w:p>
    <w:p w14:paraId="16FBF93B" w14:textId="2564B43B" w:rsidR="00EC1427" w:rsidRDefault="00EC1427" w:rsidP="006644FB">
      <w:pPr>
        <w:pStyle w:val="Heading3"/>
      </w:pPr>
      <w:r>
        <w:t xml:space="preserve">Mere link and commercial </w:t>
      </w:r>
      <w:r w:rsidRPr="00AF6AF1">
        <w:t>understandings</w:t>
      </w:r>
    </w:p>
    <w:p w14:paraId="6F90154B" w14:textId="4E54CD24" w:rsidR="0009693A" w:rsidRDefault="0009693A" w:rsidP="009B5310">
      <w:pPr>
        <w:pStyle w:val="NumberedParagraph3"/>
      </w:pPr>
      <w:r>
        <w:t xml:space="preserve">Under normal commercial understandings, the </w:t>
      </w:r>
      <w:r w:rsidR="00503975">
        <w:t>loan</w:t>
      </w:r>
      <w:r>
        <w:t xml:space="preserve">, the </w:t>
      </w:r>
      <w:r w:rsidR="00503975">
        <w:t xml:space="preserve">units </w:t>
      </w:r>
      <w:r>
        <w:t xml:space="preserve">and the </w:t>
      </w:r>
      <w:r w:rsidR="00503975">
        <w:t xml:space="preserve">shares </w:t>
      </w:r>
      <w:r>
        <w:t xml:space="preserve">in this Example would be regarded as separate interests, particularly since the </w:t>
      </w:r>
      <w:r w:rsidR="00503975">
        <w:t xml:space="preserve">loan </w:t>
      </w:r>
      <w:r>
        <w:t xml:space="preserve">is only one asset of the </w:t>
      </w:r>
      <w:r w:rsidR="00503975">
        <w:t xml:space="preserve">trust </w:t>
      </w:r>
      <w:r>
        <w:t xml:space="preserve">and </w:t>
      </w:r>
      <w:r w:rsidR="00C63AEF">
        <w:t>redemption</w:t>
      </w:r>
      <w:r>
        <w:t xml:space="preserve"> of a unit or a return of capital would reflect the net asset position of the trust as an entirety. </w:t>
      </w:r>
    </w:p>
    <w:p w14:paraId="3A532B56" w14:textId="4BA06444" w:rsidR="0009693A" w:rsidRPr="009624EA" w:rsidRDefault="0009693A" w:rsidP="006644FB">
      <w:pPr>
        <w:pStyle w:val="Heading4"/>
        <w:rPr>
          <w:rFonts w:eastAsiaTheme="minorEastAsia"/>
        </w:rPr>
      </w:pPr>
      <w:r w:rsidRPr="009624EA">
        <w:rPr>
          <w:rFonts w:eastAsiaTheme="minorEastAsia"/>
        </w:rPr>
        <w:t xml:space="preserve">The </w:t>
      </w:r>
      <w:r w:rsidR="00503975">
        <w:rPr>
          <w:rFonts w:eastAsiaTheme="minorEastAsia"/>
        </w:rPr>
        <w:t>e</w:t>
      </w:r>
      <w:r w:rsidR="00503975" w:rsidRPr="009624EA">
        <w:rPr>
          <w:rFonts w:eastAsiaTheme="minorEastAsia"/>
        </w:rPr>
        <w:t xml:space="preserve">xternal </w:t>
      </w:r>
      <w:r w:rsidR="00503975">
        <w:rPr>
          <w:rFonts w:eastAsiaTheme="minorEastAsia"/>
        </w:rPr>
        <w:t>l</w:t>
      </w:r>
      <w:r w:rsidR="00503975" w:rsidRPr="009624EA">
        <w:rPr>
          <w:rFonts w:eastAsiaTheme="minorEastAsia"/>
        </w:rPr>
        <w:t>oan</w:t>
      </w:r>
      <w:r w:rsidRPr="009624EA">
        <w:rPr>
          <w:rFonts w:eastAsiaTheme="minorEastAsia"/>
        </w:rPr>
        <w:t xml:space="preserve">, the </w:t>
      </w:r>
      <w:r w:rsidR="00503975">
        <w:rPr>
          <w:rFonts w:eastAsiaTheme="minorEastAsia"/>
        </w:rPr>
        <w:t>l</w:t>
      </w:r>
      <w:r w:rsidR="00503975" w:rsidRPr="009624EA">
        <w:rPr>
          <w:rFonts w:eastAsiaTheme="minorEastAsia"/>
        </w:rPr>
        <w:t>oan</w:t>
      </w:r>
      <w:r w:rsidRPr="009624EA">
        <w:rPr>
          <w:rFonts w:eastAsiaTheme="minorEastAsia"/>
        </w:rPr>
        <w:t xml:space="preserve">, </w:t>
      </w:r>
      <w:r w:rsidR="00503975">
        <w:rPr>
          <w:rFonts w:eastAsiaTheme="minorEastAsia"/>
        </w:rPr>
        <w:t>u</w:t>
      </w:r>
      <w:r w:rsidR="00503975" w:rsidRPr="009624EA">
        <w:rPr>
          <w:rFonts w:eastAsiaTheme="minorEastAsia"/>
        </w:rPr>
        <w:t xml:space="preserve">nits </w:t>
      </w:r>
      <w:r w:rsidRPr="009624EA">
        <w:rPr>
          <w:rFonts w:eastAsiaTheme="minorEastAsia"/>
        </w:rPr>
        <w:t xml:space="preserve">in X Trust and </w:t>
      </w:r>
      <w:r w:rsidR="00503975">
        <w:rPr>
          <w:rFonts w:eastAsiaTheme="minorEastAsia"/>
        </w:rPr>
        <w:t>s</w:t>
      </w:r>
      <w:r w:rsidR="00503975" w:rsidRPr="009624EA">
        <w:rPr>
          <w:rFonts w:eastAsiaTheme="minorEastAsia"/>
        </w:rPr>
        <w:t xml:space="preserve">hares </w:t>
      </w:r>
      <w:r w:rsidRPr="009624EA">
        <w:rPr>
          <w:rFonts w:eastAsiaTheme="minorEastAsia"/>
        </w:rPr>
        <w:t>in Y Company – not aggregated</w:t>
      </w:r>
    </w:p>
    <w:p w14:paraId="5DDDFE4B" w14:textId="28715A17" w:rsidR="0009693A" w:rsidRPr="009624EA" w:rsidRDefault="0009693A" w:rsidP="006644FB">
      <w:pPr>
        <w:pStyle w:val="Heading5"/>
      </w:pPr>
      <w:r w:rsidRPr="009624EA">
        <w:t xml:space="preserve">The pricing, terms and conditions </w:t>
      </w:r>
    </w:p>
    <w:p w14:paraId="48C46F8E" w14:textId="55AC5B63" w:rsidR="0009693A" w:rsidRDefault="0009693A" w:rsidP="009B5310">
      <w:pPr>
        <w:pStyle w:val="NumberedParagraph3"/>
      </w:pPr>
      <w:r>
        <w:t xml:space="preserve">The pricing, terms and conditions of the </w:t>
      </w:r>
      <w:r w:rsidR="00503975">
        <w:t xml:space="preserve">external loan </w:t>
      </w:r>
      <w:r>
        <w:t>are not dependent</w:t>
      </w:r>
      <w:r w:rsidR="00503975">
        <w:t xml:space="preserve"> on</w:t>
      </w:r>
      <w:r>
        <w:t xml:space="preserve"> or linked to the pricing, terms and conditions of the </w:t>
      </w:r>
      <w:r w:rsidR="00503975">
        <w:t>loan</w:t>
      </w:r>
      <w:r>
        <w:t>, of the</w:t>
      </w:r>
      <w:r w:rsidR="00503975">
        <w:t xml:space="preserve"> shares</w:t>
      </w:r>
      <w:r>
        <w:t xml:space="preserve"> in the Y Company or of the </w:t>
      </w:r>
      <w:r w:rsidR="00503975">
        <w:t xml:space="preserve">units </w:t>
      </w:r>
      <w:r>
        <w:t xml:space="preserve">in the X Trust. </w:t>
      </w:r>
    </w:p>
    <w:p w14:paraId="0E3C6C2D" w14:textId="3DC25900" w:rsidR="0009693A" w:rsidRDefault="0009693A" w:rsidP="009B5310">
      <w:pPr>
        <w:pStyle w:val="NumberedParagraph3"/>
      </w:pPr>
      <w:r>
        <w:t xml:space="preserve">The pricing, terms and conditions of the </w:t>
      </w:r>
      <w:r w:rsidR="00503975">
        <w:t>loan</w:t>
      </w:r>
      <w:r>
        <w:t xml:space="preserve">, or of </w:t>
      </w:r>
      <w:r w:rsidR="00503975">
        <w:t>s</w:t>
      </w:r>
      <w:r>
        <w:t xml:space="preserve">hares in Y Company, or of the </w:t>
      </w:r>
      <w:r w:rsidR="00503975">
        <w:t xml:space="preserve">units </w:t>
      </w:r>
      <w:r>
        <w:t xml:space="preserve">in the X Trust do not operate in a way which would alter the economic consequences of the </w:t>
      </w:r>
      <w:r w:rsidR="00503975">
        <w:t xml:space="preserve">external loan </w:t>
      </w:r>
      <w:r>
        <w:t>in a manner which would affect the application of the debt or equity test</w:t>
      </w:r>
      <w:r w:rsidR="00503975">
        <w:t>s</w:t>
      </w:r>
      <w:r>
        <w:t xml:space="preserve"> to one or more schemes. </w:t>
      </w:r>
    </w:p>
    <w:p w14:paraId="3F0EBCA9" w14:textId="3C957F4B" w:rsidR="0009693A" w:rsidRPr="009624EA" w:rsidRDefault="00E50F94" w:rsidP="006644FB">
      <w:pPr>
        <w:pStyle w:val="Heading5"/>
      </w:pPr>
      <w:r>
        <w:t>The schemes in combination</w:t>
      </w:r>
    </w:p>
    <w:p w14:paraId="60DB6B4E" w14:textId="5E35477F" w:rsidR="003E7DE7" w:rsidRPr="001A6015" w:rsidRDefault="0009693A" w:rsidP="006644FB">
      <w:pPr>
        <w:pStyle w:val="NumberedParagraph3"/>
      </w:pPr>
      <w:r>
        <w:t xml:space="preserve">Even if the schemes were combined, the lack of common involvement between the </w:t>
      </w:r>
      <w:r w:rsidR="007C777B">
        <w:t>e</w:t>
      </w:r>
      <w:r>
        <w:t xml:space="preserve">xternal </w:t>
      </w:r>
      <w:r w:rsidR="007C777B">
        <w:t>l</w:t>
      </w:r>
      <w:r>
        <w:t xml:space="preserve">ender and the Y Company and the X Trust, the arm’s length dealing between them and the commercial manner in which the schemes were entered would not support their aggregation. </w:t>
      </w:r>
    </w:p>
    <w:p w14:paraId="1DD9D44F" w14:textId="2E61250B" w:rsidR="0009693A" w:rsidRPr="009624EA" w:rsidRDefault="0009693A" w:rsidP="006644FB">
      <w:pPr>
        <w:pStyle w:val="Heading5"/>
      </w:pPr>
      <w:r>
        <w:t>Mere link and commercial understandings</w:t>
      </w:r>
    </w:p>
    <w:p w14:paraId="5B951CC1" w14:textId="0C793447" w:rsidR="00EC1427" w:rsidRDefault="0009693A" w:rsidP="009B5310">
      <w:pPr>
        <w:pStyle w:val="NumberedParagraph3"/>
      </w:pPr>
      <w:r>
        <w:t xml:space="preserve">Under normal commercial understandings, </w:t>
      </w:r>
      <w:r w:rsidR="007C777B">
        <w:t>external loan</w:t>
      </w:r>
      <w:r>
        <w:t xml:space="preserve">, the </w:t>
      </w:r>
      <w:r w:rsidR="007C777B">
        <w:t>loan</w:t>
      </w:r>
      <w:r>
        <w:t xml:space="preserve">, the </w:t>
      </w:r>
      <w:r w:rsidR="007C777B">
        <w:t xml:space="preserve">units </w:t>
      </w:r>
      <w:r>
        <w:t xml:space="preserve">and the </w:t>
      </w:r>
      <w:r w:rsidR="007C777B">
        <w:t xml:space="preserve">shares </w:t>
      </w:r>
      <w:r>
        <w:t xml:space="preserve">in this Example would be regarded as separate interests. </w:t>
      </w:r>
    </w:p>
    <w:tbl>
      <w:tblPr>
        <w:tblW w:w="0" w:type="auto"/>
        <w:tblInd w:w="108" w:type="dxa"/>
        <w:shd w:val="clear" w:color="auto" w:fill="E6E6E6"/>
        <w:tblLook w:val="01E0" w:firstRow="1" w:lastRow="1" w:firstColumn="1" w:lastColumn="1" w:noHBand="0" w:noVBand="0"/>
      </w:tblPr>
      <w:tblGrid>
        <w:gridCol w:w="8615"/>
      </w:tblGrid>
      <w:tr w:rsidR="00F62C55" w14:paraId="2D957B54" w14:textId="77777777" w:rsidTr="00F62C55">
        <w:trPr>
          <w:cantSplit/>
        </w:trPr>
        <w:tc>
          <w:tcPr>
            <w:tcW w:w="8615" w:type="dxa"/>
            <w:shd w:val="clear" w:color="auto" w:fill="E6E6E6"/>
          </w:tcPr>
          <w:p w14:paraId="3C83F4F1" w14:textId="77777777" w:rsidR="00F62C55" w:rsidRPr="00A17AA4" w:rsidRDefault="00F62C55" w:rsidP="00F62C55">
            <w:pPr>
              <w:pStyle w:val="Bullet"/>
              <w:numPr>
                <w:ilvl w:val="0"/>
                <w:numId w:val="0"/>
              </w:numPr>
              <w:ind w:left="520" w:hanging="520"/>
              <w:rPr>
                <w:b/>
                <w:i/>
              </w:rPr>
            </w:pPr>
            <w:r w:rsidRPr="00A17AA4">
              <w:rPr>
                <w:b/>
                <w:i/>
              </w:rPr>
              <w:lastRenderedPageBreak/>
              <w:t>Change to this scheme that would not result in aggregation</w:t>
            </w:r>
          </w:p>
          <w:p w14:paraId="2D589758" w14:textId="20DCAA62" w:rsidR="00F62C55" w:rsidRDefault="00F62C55" w:rsidP="00F62C55">
            <w:pPr>
              <w:pStyle w:val="Bullet"/>
            </w:pPr>
            <w:r>
              <w:t>If the capital funding</w:t>
            </w:r>
            <w:r w:rsidR="003E7DE7">
              <w:t xml:space="preserve"> is instead by way of a re-allocation</w:t>
            </w:r>
            <w:r>
              <w:t xml:space="preserve"> </w:t>
            </w:r>
            <w:r w:rsidR="003E7DE7">
              <w:t xml:space="preserve">from the </w:t>
            </w:r>
            <w:r>
              <w:t xml:space="preserve">Y Company to X Trust (by way of capital distribution on Y Company’s shares that is compulsorily applied as an additional capital contribution to the X Trust units held by shareholders of those shares, and subject to approval by the shareholder), the unit, the shares and the loan schemes will not be aggregated. This is in accordance with normal commercial understandings and because: </w:t>
            </w:r>
          </w:p>
          <w:p w14:paraId="3AB2E3FC" w14:textId="77777777" w:rsidR="00F62C55" w:rsidRDefault="00F62C55" w:rsidP="00F62C55">
            <w:pPr>
              <w:pStyle w:val="Dash"/>
            </w:pPr>
            <w:r>
              <w:t xml:space="preserve">The pricing, terms and conditions of the loan will not be dependent on or linked to the pricing, terms and conditions of the shares and of the units. </w:t>
            </w:r>
          </w:p>
          <w:p w14:paraId="7BE10C4A" w14:textId="77777777" w:rsidR="00F62C55" w:rsidRDefault="00F62C55" w:rsidP="00F62C55">
            <w:pPr>
              <w:pStyle w:val="Dash"/>
            </w:pPr>
            <w:r>
              <w:t xml:space="preserve">The pricing, terms and conditions of the shares and of the units do not operate in a way which would alter the economic consequences of the pricing, terms and conditions of the loan. </w:t>
            </w:r>
          </w:p>
          <w:p w14:paraId="03A1799C" w14:textId="77777777" w:rsidR="00F62C55" w:rsidRPr="00A17AA4" w:rsidRDefault="00F62C55" w:rsidP="00F62C55">
            <w:pPr>
              <w:rPr>
                <w:b/>
                <w:i/>
              </w:rPr>
            </w:pPr>
            <w:r w:rsidRPr="00C1751F">
              <w:rPr>
                <w:b/>
                <w:i/>
              </w:rPr>
              <w:t xml:space="preserve">Change to this scheme that </w:t>
            </w:r>
            <w:r>
              <w:rPr>
                <w:b/>
                <w:i/>
              </w:rPr>
              <w:t>w</w:t>
            </w:r>
            <w:r w:rsidRPr="00A17AA4">
              <w:rPr>
                <w:b/>
                <w:i/>
              </w:rPr>
              <w:t>ould result in aggregation</w:t>
            </w:r>
          </w:p>
          <w:p w14:paraId="64C2F969" w14:textId="77777777" w:rsidR="00F62C55" w:rsidRPr="00A1616A" w:rsidRDefault="00F62C55" w:rsidP="00F62C55">
            <w:pPr>
              <w:pStyle w:val="Bullet"/>
            </w:pPr>
            <w:r w:rsidRPr="00A1616A">
              <w:t xml:space="preserve">If under the constituent documents, the return payable to the </w:t>
            </w:r>
            <w:r>
              <w:t>X Trust unit holders</w:t>
            </w:r>
            <w:r w:rsidRPr="00A1616A">
              <w:t xml:space="preserve"> was determined by reference to, and was contingent on, the return paid by Y Co</w:t>
            </w:r>
            <w:r>
              <w:t>mpany</w:t>
            </w:r>
            <w:r w:rsidRPr="00A1616A">
              <w:t xml:space="preserve"> on the loan from X Trust, the schemes would be aggregated. This would be because: </w:t>
            </w:r>
          </w:p>
          <w:p w14:paraId="26E723A3" w14:textId="77777777" w:rsidR="00F62C55" w:rsidRDefault="00F62C55" w:rsidP="00F62C55">
            <w:pPr>
              <w:pStyle w:val="Dash"/>
            </w:pPr>
            <w:r>
              <w:t>The pricing, terms and conditions of the loan would be linked to or dependent on the pricing, terms and conditions of the stapled securities as the returns on the stapled securities are contingent on returns on the loan.</w:t>
            </w:r>
          </w:p>
          <w:p w14:paraId="0C4EECAD" w14:textId="77777777" w:rsidR="00F62C55" w:rsidRDefault="00F62C55" w:rsidP="00F62C55">
            <w:pPr>
              <w:pStyle w:val="Dash"/>
            </w:pPr>
            <w:r>
              <w:t>The fact that investors are common to both Y Company and X Trust and they have knowingly and willingly participated in the scheme supports the conclusion that there is a link or dependency between the schemes.</w:t>
            </w:r>
          </w:p>
          <w:p w14:paraId="7D2C751B" w14:textId="6DB5471C" w:rsidR="00F62C55" w:rsidRPr="0010343E" w:rsidRDefault="00F62C55" w:rsidP="00F62C55">
            <w:pPr>
              <w:pStyle w:val="Dash"/>
            </w:pPr>
            <w:r>
              <w:t>This arrangement is not one where normal commercial understandings or dealings in practice would result in the schemes being treated as separate things.</w:t>
            </w:r>
          </w:p>
        </w:tc>
      </w:tr>
    </w:tbl>
    <w:p w14:paraId="3B95FFD7" w14:textId="7F28B3C8" w:rsidR="00536E42" w:rsidRDefault="00536E42" w:rsidP="00990C93">
      <w:pPr>
        <w:pStyle w:val="Heading3"/>
        <w:spacing w:before="360"/>
      </w:pPr>
      <w:bookmarkStart w:id="74" w:name="_Toc403567312"/>
      <w:r w:rsidRPr="006F72FE">
        <w:t xml:space="preserve">Example </w:t>
      </w:r>
      <w:r>
        <w:t>4</w:t>
      </w:r>
      <w:r w:rsidRPr="006F72FE">
        <w:t xml:space="preserve">:  </w:t>
      </w:r>
      <w:r w:rsidR="000208B9">
        <w:t>T</w:t>
      </w:r>
      <w:r w:rsidRPr="006F72FE">
        <w:t xml:space="preserve">rust </w:t>
      </w:r>
      <w:r w:rsidR="000208B9">
        <w:t>and</w:t>
      </w:r>
      <w:r w:rsidRPr="006F72FE">
        <w:t xml:space="preserve"> </w:t>
      </w:r>
      <w:r w:rsidRPr="00AF6AF1">
        <w:t>company</w:t>
      </w:r>
      <w:r w:rsidRPr="006F72FE">
        <w:t xml:space="preserve"> staple</w:t>
      </w:r>
      <w:r>
        <w:t xml:space="preserve"> – no aggregation</w:t>
      </w:r>
      <w:bookmarkEnd w:id="74"/>
    </w:p>
    <w:p w14:paraId="0484B3E6" w14:textId="578604A7" w:rsidR="00536E42" w:rsidRPr="00DB6407" w:rsidRDefault="00536E42" w:rsidP="00AF6AF1">
      <w:pPr>
        <w:pStyle w:val="Heading4"/>
      </w:pPr>
      <w:r w:rsidRPr="00AF6AF1">
        <w:t>Background</w:t>
      </w:r>
      <w:r>
        <w:t xml:space="preserve"> </w:t>
      </w:r>
      <w:r w:rsidR="000208B9">
        <w:t>f</w:t>
      </w:r>
      <w:r w:rsidRPr="00DB6407">
        <w:t>acts</w:t>
      </w:r>
    </w:p>
    <w:p w14:paraId="71F63B65" w14:textId="62AE1185" w:rsidR="00536E42" w:rsidRPr="001724B4" w:rsidRDefault="00536E42" w:rsidP="001724B4">
      <w:pPr>
        <w:pStyle w:val="Bullet"/>
      </w:pPr>
      <w:r w:rsidRPr="001724B4">
        <w:t xml:space="preserve">The </w:t>
      </w:r>
      <w:r w:rsidR="000208B9" w:rsidRPr="001724B4">
        <w:t>c</w:t>
      </w:r>
      <w:r w:rsidRPr="001724B4">
        <w:t xml:space="preserve">ompany and </w:t>
      </w:r>
      <w:r w:rsidR="000208B9" w:rsidRPr="001724B4">
        <w:t>u</w:t>
      </w:r>
      <w:r w:rsidRPr="001724B4">
        <w:t xml:space="preserve">nit </w:t>
      </w:r>
      <w:r w:rsidR="000208B9" w:rsidRPr="001724B4">
        <w:t>t</w:t>
      </w:r>
      <w:r w:rsidRPr="001724B4">
        <w:t xml:space="preserve">rust are stapled (as is a trustee company, not shown for simplicity) under the terms of a security holder agreement.  The </w:t>
      </w:r>
      <w:r w:rsidR="000208B9" w:rsidRPr="001724B4">
        <w:t>u</w:t>
      </w:r>
      <w:r w:rsidRPr="001724B4">
        <w:t xml:space="preserve">nit </w:t>
      </w:r>
      <w:r w:rsidR="000208B9" w:rsidRPr="001724B4">
        <w:t>t</w:t>
      </w:r>
      <w:r w:rsidRPr="001724B4">
        <w:t>rust is a Division 6 tax</w:t>
      </w:r>
      <w:r w:rsidR="000208B9" w:rsidRPr="001724B4">
        <w:t>-</w:t>
      </w:r>
      <w:r w:rsidRPr="001724B4">
        <w:t>transparent non-trading trust.</w:t>
      </w:r>
    </w:p>
    <w:p w14:paraId="0E517E6A" w14:textId="02F76DC6" w:rsidR="00536E42" w:rsidRPr="001724B4" w:rsidRDefault="00536E42" w:rsidP="001724B4">
      <w:pPr>
        <w:pStyle w:val="Bullet"/>
      </w:pPr>
      <w:r w:rsidRPr="001724B4">
        <w:t xml:space="preserve">The </w:t>
      </w:r>
      <w:r w:rsidR="000208B9" w:rsidRPr="001724B4">
        <w:t>u</w:t>
      </w:r>
      <w:r w:rsidRPr="001724B4">
        <w:t xml:space="preserve">nit </w:t>
      </w:r>
      <w:r w:rsidR="000208B9" w:rsidRPr="001724B4">
        <w:t>t</w:t>
      </w:r>
      <w:r w:rsidRPr="001724B4">
        <w:t>rust has two investments:</w:t>
      </w:r>
    </w:p>
    <w:p w14:paraId="676B7190" w14:textId="693AE752" w:rsidR="00536E42" w:rsidRPr="001724B4" w:rsidRDefault="000208B9" w:rsidP="001724B4">
      <w:pPr>
        <w:pStyle w:val="Dash"/>
      </w:pPr>
      <w:r w:rsidRPr="001724B4">
        <w:t>a</w:t>
      </w:r>
      <w:r w:rsidR="00536E42" w:rsidRPr="001724B4">
        <w:t xml:space="preserve"> cross staple loan to the company (</w:t>
      </w:r>
      <w:r w:rsidRPr="001724B4">
        <w:t xml:space="preserve">the </w:t>
      </w:r>
      <w:r w:rsidR="00536E42" w:rsidRPr="001724B4">
        <w:t>company loan); and</w:t>
      </w:r>
    </w:p>
    <w:p w14:paraId="1FF07EFA" w14:textId="25682677" w:rsidR="00536E42" w:rsidRPr="001724B4" w:rsidRDefault="000208B9" w:rsidP="001724B4">
      <w:pPr>
        <w:pStyle w:val="Dash"/>
      </w:pPr>
      <w:proofErr w:type="gramStart"/>
      <w:r w:rsidRPr="001724B4">
        <w:t>r</w:t>
      </w:r>
      <w:r w:rsidR="00536E42" w:rsidRPr="001724B4">
        <w:t>eal</w:t>
      </w:r>
      <w:proofErr w:type="gramEnd"/>
      <w:r w:rsidR="00536E42" w:rsidRPr="001724B4">
        <w:t xml:space="preserve"> property and affixed improvements that are leased to the </w:t>
      </w:r>
      <w:r w:rsidRPr="001724B4">
        <w:t>c</w:t>
      </w:r>
      <w:r w:rsidR="00536E42" w:rsidRPr="001724B4">
        <w:t>ompany.</w:t>
      </w:r>
    </w:p>
    <w:p w14:paraId="6843F23E" w14:textId="4F80E4DE" w:rsidR="00536E42" w:rsidRPr="001724B4" w:rsidRDefault="00536E42" w:rsidP="001724B4">
      <w:pPr>
        <w:pStyle w:val="Bullet"/>
      </w:pPr>
      <w:r w:rsidRPr="001724B4">
        <w:lastRenderedPageBreak/>
        <w:t xml:space="preserve">The </w:t>
      </w:r>
      <w:r w:rsidR="009A0D1E" w:rsidRPr="001724B4">
        <w:t>u</w:t>
      </w:r>
      <w:r w:rsidR="000208B9" w:rsidRPr="001724B4">
        <w:t>nit trust</w:t>
      </w:r>
      <w:r w:rsidRPr="001724B4">
        <w:t xml:space="preserve"> is funded by way of units subscribed for by security holders, and by money borrowed from </w:t>
      </w:r>
      <w:r w:rsidR="009A0D1E" w:rsidRPr="001724B4">
        <w:t xml:space="preserve">project banks </w:t>
      </w:r>
      <w:r w:rsidRPr="001724B4">
        <w:t>under an arm’s length loan facility (</w:t>
      </w:r>
      <w:r w:rsidR="00C63AEF" w:rsidRPr="001724B4">
        <w:t>SLA</w:t>
      </w:r>
      <w:r w:rsidRPr="001724B4">
        <w:t>).</w:t>
      </w:r>
    </w:p>
    <w:p w14:paraId="11B121EC" w14:textId="641BDEDD" w:rsidR="00536E42" w:rsidRPr="001724B4" w:rsidRDefault="00536E42" w:rsidP="001724B4">
      <w:pPr>
        <w:pStyle w:val="Bullet"/>
      </w:pPr>
      <w:r w:rsidRPr="001724B4">
        <w:t xml:space="preserve">The </w:t>
      </w:r>
      <w:r w:rsidR="000208B9" w:rsidRPr="001724B4">
        <w:t>unit trust</w:t>
      </w:r>
      <w:r w:rsidRPr="001724B4">
        <w:t xml:space="preserve"> would lease the property to the </w:t>
      </w:r>
      <w:r w:rsidR="000208B9" w:rsidRPr="001724B4">
        <w:t>c</w:t>
      </w:r>
      <w:r w:rsidRPr="001724B4">
        <w:t xml:space="preserve">ompany under a lease agreement for an arm’s length rental amount. </w:t>
      </w:r>
      <w:r w:rsidR="000208B9" w:rsidRPr="001724B4">
        <w:t>The unit trust</w:t>
      </w:r>
      <w:r w:rsidRPr="001724B4">
        <w:t xml:space="preserve"> would advance loan funds to</w:t>
      </w:r>
      <w:r w:rsidR="000208B9" w:rsidRPr="001724B4">
        <w:t xml:space="preserve"> the</w:t>
      </w:r>
      <w:r w:rsidRPr="001724B4">
        <w:t xml:space="preserve"> </w:t>
      </w:r>
      <w:r w:rsidR="000208B9" w:rsidRPr="001724B4">
        <w:t>c</w:t>
      </w:r>
      <w:r w:rsidRPr="001724B4">
        <w:t>ompany under a cross</w:t>
      </w:r>
      <w:r w:rsidR="000208B9" w:rsidRPr="001724B4">
        <w:t>-</w:t>
      </w:r>
      <w:r w:rsidRPr="001724B4">
        <w:t>staple loan agreement. The loan</w:t>
      </w:r>
      <w:r w:rsidR="000208B9" w:rsidRPr="001724B4">
        <w:t xml:space="preserve"> would be</w:t>
      </w:r>
      <w:r w:rsidRPr="001724B4">
        <w:t xml:space="preserve"> for a </w:t>
      </w:r>
      <w:r w:rsidR="000208B9" w:rsidRPr="001724B4">
        <w:t>nine</w:t>
      </w:r>
      <w:r w:rsidRPr="001724B4">
        <w:t xml:space="preserve"> year term, and at an interest rate of </w:t>
      </w:r>
      <w:r w:rsidR="009A0D1E" w:rsidRPr="001724B4">
        <w:t xml:space="preserve">eight </w:t>
      </w:r>
      <w:r w:rsidRPr="001724B4">
        <w:t>per cent.</w:t>
      </w:r>
    </w:p>
    <w:p w14:paraId="536F15B4" w14:textId="641CE824" w:rsidR="00536E42" w:rsidRPr="001724B4" w:rsidRDefault="00536E42" w:rsidP="001724B4">
      <w:pPr>
        <w:pStyle w:val="Bullet"/>
      </w:pPr>
      <w:r w:rsidRPr="001724B4">
        <w:t xml:space="preserve">The </w:t>
      </w:r>
      <w:r w:rsidR="000208B9" w:rsidRPr="001724B4">
        <w:t>s</w:t>
      </w:r>
      <w:r w:rsidRPr="001724B4">
        <w:t xml:space="preserve">ecurity </w:t>
      </w:r>
      <w:r w:rsidR="000208B9" w:rsidRPr="001724B4">
        <w:t>t</w:t>
      </w:r>
      <w:r w:rsidRPr="001724B4">
        <w:t xml:space="preserve">rustee for the project banks would hold the following security </w:t>
      </w:r>
      <w:r w:rsidR="000208B9" w:rsidRPr="001724B4">
        <w:t>under</w:t>
      </w:r>
      <w:r w:rsidRPr="001724B4">
        <w:t xml:space="preserve"> the SLA to</w:t>
      </w:r>
      <w:r w:rsidR="000208B9" w:rsidRPr="001724B4">
        <w:t xml:space="preserve"> support</w:t>
      </w:r>
      <w:r w:rsidRPr="001724B4">
        <w:t xml:space="preserve"> the </w:t>
      </w:r>
      <w:r w:rsidR="000208B9" w:rsidRPr="001724B4">
        <w:t>unit trust</w:t>
      </w:r>
      <w:r w:rsidRPr="001724B4">
        <w:t>:</w:t>
      </w:r>
    </w:p>
    <w:p w14:paraId="67A0725B" w14:textId="1B88B08F" w:rsidR="00536E42" w:rsidRPr="001724B4" w:rsidRDefault="00536E42" w:rsidP="001724B4">
      <w:pPr>
        <w:pStyle w:val="Dash"/>
      </w:pPr>
      <w:r w:rsidRPr="001724B4">
        <w:t xml:space="preserve">unit and share mortgages over the units in the </w:t>
      </w:r>
      <w:r w:rsidR="000208B9" w:rsidRPr="001724B4">
        <w:t>unit trust/</w:t>
      </w:r>
      <w:r w:rsidRPr="001724B4">
        <w:t xml:space="preserve">shares in the </w:t>
      </w:r>
      <w:r w:rsidR="000208B9" w:rsidRPr="001724B4">
        <w:t>company</w:t>
      </w:r>
      <w:r w:rsidRPr="001724B4">
        <w:t>; and</w:t>
      </w:r>
    </w:p>
    <w:p w14:paraId="114FF057" w14:textId="24F9E734" w:rsidR="00536E42" w:rsidRPr="001724B4" w:rsidRDefault="00536E42" w:rsidP="001724B4">
      <w:pPr>
        <w:pStyle w:val="Dash"/>
      </w:pPr>
      <w:proofErr w:type="gramStart"/>
      <w:r w:rsidRPr="001724B4">
        <w:t>a</w:t>
      </w:r>
      <w:proofErr w:type="gramEnd"/>
      <w:r w:rsidRPr="001724B4">
        <w:t xml:space="preserve"> fixed and floating charge over all the assets of the </w:t>
      </w:r>
      <w:r w:rsidR="000208B9" w:rsidRPr="001724B4">
        <w:t>unit trust</w:t>
      </w:r>
      <w:r w:rsidRPr="001724B4">
        <w:t xml:space="preserve"> and the </w:t>
      </w:r>
      <w:r w:rsidR="000208B9" w:rsidRPr="001724B4">
        <w:t>c</w:t>
      </w:r>
      <w:r w:rsidRPr="001724B4">
        <w:t>ompany.</w:t>
      </w:r>
    </w:p>
    <w:p w14:paraId="42C406EE" w14:textId="32BE53CB" w:rsidR="00536E42" w:rsidRPr="001724B4" w:rsidRDefault="00536E42" w:rsidP="001724B4">
      <w:pPr>
        <w:pStyle w:val="Bullet"/>
      </w:pPr>
      <w:r w:rsidRPr="001724B4">
        <w:t xml:space="preserve">The </w:t>
      </w:r>
      <w:r w:rsidR="000208B9" w:rsidRPr="001724B4">
        <w:t>c</w:t>
      </w:r>
      <w:r w:rsidRPr="001724B4">
        <w:t>ompany would be the obligor</w:t>
      </w:r>
      <w:r w:rsidR="000208B9" w:rsidRPr="001724B4">
        <w:t xml:space="preserve"> or </w:t>
      </w:r>
      <w:r w:rsidRPr="001724B4">
        <w:t xml:space="preserve">guarantor under the SLA, and a party to the SLA. The </w:t>
      </w:r>
      <w:r w:rsidR="000208B9" w:rsidRPr="001724B4">
        <w:t>c</w:t>
      </w:r>
      <w:r w:rsidRPr="001724B4">
        <w:t xml:space="preserve">ompany would guarantee the performance of the </w:t>
      </w:r>
      <w:r w:rsidR="000208B9" w:rsidRPr="001724B4">
        <w:t>unit trust</w:t>
      </w:r>
      <w:r w:rsidRPr="001724B4">
        <w:t xml:space="preserve"> to the </w:t>
      </w:r>
      <w:r w:rsidR="000208B9" w:rsidRPr="001724B4">
        <w:t>p</w:t>
      </w:r>
      <w:r w:rsidRPr="001724B4">
        <w:t xml:space="preserve">roject </w:t>
      </w:r>
      <w:r w:rsidR="000208B9" w:rsidRPr="001724B4">
        <w:t>b</w:t>
      </w:r>
      <w:r w:rsidRPr="001724B4">
        <w:t xml:space="preserve">anks under the SLA. The </w:t>
      </w:r>
      <w:r w:rsidR="000208B9" w:rsidRPr="001724B4">
        <w:t>c</w:t>
      </w:r>
      <w:r w:rsidRPr="001724B4">
        <w:t>ompany would also agree not to pay dividends (</w:t>
      </w:r>
      <w:r w:rsidR="000208B9" w:rsidRPr="001724B4">
        <w:t xml:space="preserve">would impose a </w:t>
      </w:r>
      <w:r w:rsidRPr="001724B4">
        <w:t>dividend stopper) unless permitted under the SLA (that is, out of available post</w:t>
      </w:r>
      <w:r w:rsidR="000208B9" w:rsidRPr="001724B4">
        <w:t>-</w:t>
      </w:r>
      <w:r w:rsidRPr="001724B4">
        <w:t>debt service cash flows).</w:t>
      </w:r>
    </w:p>
    <w:p w14:paraId="754AC3AE" w14:textId="6E6A5A36" w:rsidR="00536E42" w:rsidRPr="001724B4" w:rsidRDefault="00536E42" w:rsidP="001724B4">
      <w:pPr>
        <w:pStyle w:val="Bullet"/>
      </w:pPr>
      <w:r w:rsidRPr="001724B4">
        <w:t xml:space="preserve">The </w:t>
      </w:r>
      <w:r w:rsidR="000208B9" w:rsidRPr="001724B4">
        <w:t>c</w:t>
      </w:r>
      <w:r w:rsidRPr="001724B4">
        <w:t xml:space="preserve">ompany </w:t>
      </w:r>
      <w:r w:rsidR="000208B9" w:rsidRPr="001724B4">
        <w:t xml:space="preserve">would </w:t>
      </w:r>
      <w:r w:rsidRPr="001724B4">
        <w:t xml:space="preserve">provide the security and guarantees required pursuant to the SLA to support its obligations to the </w:t>
      </w:r>
      <w:r w:rsidR="000208B9" w:rsidRPr="001724B4">
        <w:t>unit trust</w:t>
      </w:r>
      <w:r w:rsidRPr="001724B4">
        <w:t xml:space="preserve"> under the lease</w:t>
      </w:r>
      <w:r w:rsidR="00BC2C6A" w:rsidRPr="001724B4">
        <w:t xml:space="preserve"> and </w:t>
      </w:r>
      <w:r w:rsidRPr="001724B4">
        <w:t>cross</w:t>
      </w:r>
      <w:r w:rsidR="00BC2C6A" w:rsidRPr="001724B4">
        <w:t>-</w:t>
      </w:r>
      <w:r w:rsidRPr="001724B4">
        <w:t>staple loan.</w:t>
      </w:r>
    </w:p>
    <w:p w14:paraId="5041E7A4" w14:textId="725A406F" w:rsidR="00536E42" w:rsidRPr="001724B4" w:rsidRDefault="00536E42" w:rsidP="001724B4">
      <w:pPr>
        <w:pStyle w:val="Bullet"/>
      </w:pPr>
      <w:r w:rsidRPr="001724B4">
        <w:t xml:space="preserve">The </w:t>
      </w:r>
      <w:r w:rsidR="00BC2C6A" w:rsidRPr="001724B4">
        <w:t>c</w:t>
      </w:r>
      <w:r w:rsidRPr="001724B4">
        <w:t>ompany would derive third</w:t>
      </w:r>
      <w:r w:rsidR="00BC2C6A" w:rsidRPr="001724B4">
        <w:t>-</w:t>
      </w:r>
      <w:r w:rsidRPr="001724B4">
        <w:t>party revenue from the operations it conducts.</w:t>
      </w:r>
    </w:p>
    <w:p w14:paraId="0A8E8E26" w14:textId="675D351E" w:rsidR="00536E42" w:rsidRPr="001724B4" w:rsidRDefault="00536E42" w:rsidP="001724B4">
      <w:pPr>
        <w:pStyle w:val="Bullet"/>
      </w:pPr>
      <w:r w:rsidRPr="001724B4">
        <w:t>Th</w:t>
      </w:r>
      <w:r w:rsidR="00BC2C6A" w:rsidRPr="001724B4">
        <w:t>is</w:t>
      </w:r>
      <w:r w:rsidRPr="001724B4">
        <w:t xml:space="preserve"> example is based on project financed single</w:t>
      </w:r>
      <w:r w:rsidR="00BC2C6A" w:rsidRPr="001724B4">
        <w:t>-</w:t>
      </w:r>
      <w:r w:rsidRPr="001724B4">
        <w:t xml:space="preserve">project economic infrastructure ownership models that can apply </w:t>
      </w:r>
      <w:r w:rsidR="00BC2C6A" w:rsidRPr="001724B4">
        <w:t xml:space="preserve">to </w:t>
      </w:r>
      <w:r w:rsidRPr="001724B4">
        <w:t xml:space="preserve">assets such as toll roads, ports, airports, electricity generation assets </w:t>
      </w:r>
      <w:r w:rsidR="00BC2C6A" w:rsidRPr="001724B4">
        <w:t>and so on</w:t>
      </w:r>
      <w:r w:rsidRPr="001724B4">
        <w:t>.</w:t>
      </w:r>
    </w:p>
    <w:p w14:paraId="19F0082C" w14:textId="4F10A726" w:rsidR="00536E42" w:rsidRDefault="00536E42" w:rsidP="002A401A">
      <w:pPr>
        <w:pStyle w:val="Graphic"/>
      </w:pPr>
      <w:r>
        <w:rPr>
          <w:noProof/>
          <w:lang w:val="en-US" w:eastAsia="en-US"/>
        </w:rPr>
        <w:drawing>
          <wp:inline distT="0" distB="0" distL="0" distR="0" wp14:anchorId="0E451014" wp14:editId="7CE853A3">
            <wp:extent cx="5114925" cy="22372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1.png"/>
                    <pic:cNvPicPr/>
                  </pic:nvPicPr>
                  <pic:blipFill>
                    <a:blip r:embed="rId41">
                      <a:extLst>
                        <a:ext uri="{28A0092B-C50C-407E-A947-70E740481C1C}">
                          <a14:useLocalDpi xmlns:a14="http://schemas.microsoft.com/office/drawing/2010/main" val="0"/>
                        </a:ext>
                      </a:extLst>
                    </a:blip>
                    <a:stretch>
                      <a:fillRect/>
                    </a:stretch>
                  </pic:blipFill>
                  <pic:spPr>
                    <a:xfrm>
                      <a:off x="0" y="0"/>
                      <a:ext cx="5116300" cy="2237892"/>
                    </a:xfrm>
                    <a:prstGeom prst="rect">
                      <a:avLst/>
                    </a:prstGeom>
                  </pic:spPr>
                </pic:pic>
              </a:graphicData>
            </a:graphic>
          </wp:inline>
        </w:drawing>
      </w:r>
    </w:p>
    <w:p w14:paraId="07CB46E3" w14:textId="0AA70D5D" w:rsidR="00536E42" w:rsidRDefault="00BC2C6A" w:rsidP="006644FB">
      <w:pPr>
        <w:pStyle w:val="Heading3"/>
      </w:pPr>
      <w:r w:rsidRPr="00DB6407">
        <w:lastRenderedPageBreak/>
        <w:t>App</w:t>
      </w:r>
      <w:r>
        <w:t>lying</w:t>
      </w:r>
      <w:r w:rsidRPr="00DB6407">
        <w:t xml:space="preserve"> </w:t>
      </w:r>
      <w:r>
        <w:t>the</w:t>
      </w:r>
      <w:r w:rsidRPr="00DB6407">
        <w:t xml:space="preserve"> </w:t>
      </w:r>
      <w:r w:rsidR="00536E42" w:rsidRPr="00DB6407">
        <w:t>proposed new principles</w:t>
      </w:r>
    </w:p>
    <w:p w14:paraId="1C6B1FF3" w14:textId="5A25E675" w:rsidR="00536E42" w:rsidRDefault="00536E42" w:rsidP="006644FB">
      <w:pPr>
        <w:pStyle w:val="Heading4"/>
        <w:rPr>
          <w:rFonts w:eastAsiaTheme="minorEastAsia"/>
        </w:rPr>
      </w:pPr>
      <w:r w:rsidRPr="003764BC">
        <w:rPr>
          <w:rFonts w:eastAsiaTheme="minorEastAsia"/>
        </w:rPr>
        <w:t>Company</w:t>
      </w:r>
      <w:r>
        <w:rPr>
          <w:rFonts w:eastAsiaTheme="minorEastAsia"/>
        </w:rPr>
        <w:t xml:space="preserve"> </w:t>
      </w:r>
      <w:r w:rsidR="00BC2C6A">
        <w:rPr>
          <w:rFonts w:eastAsiaTheme="minorEastAsia"/>
        </w:rPr>
        <w:t xml:space="preserve">shares </w:t>
      </w:r>
      <w:r>
        <w:rPr>
          <w:rFonts w:eastAsiaTheme="minorEastAsia"/>
        </w:rPr>
        <w:t xml:space="preserve">and </w:t>
      </w:r>
      <w:r w:rsidR="00BC2C6A">
        <w:rPr>
          <w:rFonts w:eastAsiaTheme="minorEastAsia"/>
        </w:rPr>
        <w:t>the c</w:t>
      </w:r>
      <w:r>
        <w:rPr>
          <w:rFonts w:eastAsiaTheme="minorEastAsia"/>
        </w:rPr>
        <w:t xml:space="preserve">ompany </w:t>
      </w:r>
      <w:r w:rsidR="00BC2C6A">
        <w:rPr>
          <w:rFonts w:eastAsiaTheme="minorEastAsia"/>
        </w:rPr>
        <w:t>l</w:t>
      </w:r>
      <w:r>
        <w:rPr>
          <w:rFonts w:eastAsiaTheme="minorEastAsia"/>
        </w:rPr>
        <w:t>oan – not aggregated</w:t>
      </w:r>
    </w:p>
    <w:p w14:paraId="54B56A91" w14:textId="77777777" w:rsidR="00536E42" w:rsidRPr="009E16E5" w:rsidRDefault="00536E42" w:rsidP="006644FB">
      <w:pPr>
        <w:pStyle w:val="Heading5"/>
      </w:pPr>
      <w:r w:rsidRPr="009E16E5">
        <w:t xml:space="preserve">Pricing, terms and conditions of the </w:t>
      </w:r>
      <w:r w:rsidRPr="00AF6AF1">
        <w:t>schemes</w:t>
      </w:r>
    </w:p>
    <w:p w14:paraId="4EC62CD8" w14:textId="4C711FCC" w:rsidR="00536E42" w:rsidRPr="008C53B7" w:rsidRDefault="00536E42" w:rsidP="009B5310">
      <w:pPr>
        <w:pStyle w:val="NumberedParagraph3"/>
      </w:pPr>
      <w:r>
        <w:t>T</w:t>
      </w:r>
      <w:r w:rsidRPr="008C53B7">
        <w:t>he</w:t>
      </w:r>
      <w:r>
        <w:t xml:space="preserve"> pricing, terms and conditions of</w:t>
      </w:r>
      <w:r w:rsidRPr="008C53B7">
        <w:t xml:space="preserve"> shares in the </w:t>
      </w:r>
      <w:r w:rsidR="00BC2C6A">
        <w:t>c</w:t>
      </w:r>
      <w:r w:rsidRPr="008C53B7">
        <w:t>ompany</w:t>
      </w:r>
      <w:r>
        <w:t xml:space="preserve"> </w:t>
      </w:r>
      <w:r w:rsidR="00D00786">
        <w:t xml:space="preserve">are not linked or dependent on the </w:t>
      </w:r>
      <w:r w:rsidR="00BC2C6A">
        <w:t xml:space="preserve">company loan’s </w:t>
      </w:r>
      <w:r w:rsidR="00D00786">
        <w:t xml:space="preserve">pricing, terms and conditions </w:t>
      </w:r>
      <w:r>
        <w:t xml:space="preserve">in a manner that would affect the application of the debt or equity test. </w:t>
      </w:r>
      <w:r w:rsidRPr="008C53B7">
        <w:t xml:space="preserve">The </w:t>
      </w:r>
      <w:r w:rsidR="00BC2C6A">
        <w:t>c</w:t>
      </w:r>
      <w:r w:rsidRPr="008C53B7">
        <w:t xml:space="preserve">ompany </w:t>
      </w:r>
      <w:r w:rsidR="00BC2C6A">
        <w:t>must fulfil</w:t>
      </w:r>
      <w:r w:rsidRPr="008C53B7">
        <w:t xml:space="preserve"> its obligations under the </w:t>
      </w:r>
      <w:r w:rsidR="00BC2C6A">
        <w:t>c</w:t>
      </w:r>
      <w:r w:rsidRPr="008C53B7">
        <w:t xml:space="preserve">ompany </w:t>
      </w:r>
      <w:r w:rsidR="00BC2C6A">
        <w:t>l</w:t>
      </w:r>
      <w:r w:rsidRPr="008C53B7">
        <w:t>oan</w:t>
      </w:r>
      <w:r w:rsidR="00D00786">
        <w:t xml:space="preserve">, regardless of the </w:t>
      </w:r>
      <w:r w:rsidRPr="008C53B7">
        <w:t>terms attached to its shares.</w:t>
      </w:r>
    </w:p>
    <w:p w14:paraId="23B33117" w14:textId="6712AE1B" w:rsidR="00536E42" w:rsidRDefault="00536E42" w:rsidP="009B5310">
      <w:pPr>
        <w:pStyle w:val="NumberedParagraph3"/>
      </w:pPr>
      <w:r>
        <w:t>The</w:t>
      </w:r>
      <w:r w:rsidR="00494D8E">
        <w:t xml:space="preserve"> </w:t>
      </w:r>
      <w:r w:rsidR="00D00786">
        <w:t>pricing, terms and conditions of the</w:t>
      </w:r>
      <w:r>
        <w:t xml:space="preserve"> shares in the Company do not operate in a way </w:t>
      </w:r>
      <w:r w:rsidR="00457C36">
        <w:t xml:space="preserve">that </w:t>
      </w:r>
      <w:r>
        <w:t xml:space="preserve">would alter the economic consequences of the pricing, terms or conditions of the </w:t>
      </w:r>
      <w:r w:rsidR="00457C36">
        <w:t>c</w:t>
      </w:r>
      <w:r>
        <w:t xml:space="preserve">ompany </w:t>
      </w:r>
      <w:r w:rsidR="00457C36">
        <w:t>l</w:t>
      </w:r>
      <w:r>
        <w:t>oan (or vice versa).</w:t>
      </w:r>
      <w:r>
        <w:rPr>
          <w:rStyle w:val="FootnoteReference"/>
        </w:rPr>
        <w:footnoteReference w:id="14"/>
      </w:r>
    </w:p>
    <w:p w14:paraId="2C6EF1EF" w14:textId="77777777" w:rsidR="00536E42" w:rsidRDefault="00536E42" w:rsidP="006644FB">
      <w:pPr>
        <w:pStyle w:val="Heading3"/>
      </w:pPr>
      <w:r>
        <w:t xml:space="preserve">The schemes in </w:t>
      </w:r>
      <w:r w:rsidRPr="00AF6AF1">
        <w:t>combination</w:t>
      </w:r>
      <w:r>
        <w:t xml:space="preserve"> </w:t>
      </w:r>
    </w:p>
    <w:p w14:paraId="3744289A" w14:textId="102C6DD9" w:rsidR="00536E42" w:rsidRDefault="00536E42" w:rsidP="009B5310">
      <w:pPr>
        <w:pStyle w:val="NumberedParagraph3"/>
      </w:pPr>
      <w:r>
        <w:t>As there is no</w:t>
      </w:r>
      <w:r w:rsidR="00D00786">
        <w:t xml:space="preserve"> relevant </w:t>
      </w:r>
      <w:r>
        <w:t>dependency</w:t>
      </w:r>
      <w:r w:rsidR="00457C36">
        <w:t>,</w:t>
      </w:r>
      <w:r>
        <w:t xml:space="preserve"> link </w:t>
      </w:r>
      <w:r w:rsidR="00D00786">
        <w:t xml:space="preserve">or economic effect </w:t>
      </w:r>
      <w:r>
        <w:t>between the</w:t>
      </w:r>
      <w:r w:rsidR="00D00786">
        <w:t xml:space="preserve"> pricing, terms and conditions of the</w:t>
      </w:r>
      <w:r>
        <w:t xml:space="preserve"> shares in the </w:t>
      </w:r>
      <w:r w:rsidR="00457C36">
        <w:t>c</w:t>
      </w:r>
      <w:r>
        <w:t>ompany</w:t>
      </w:r>
      <w:r w:rsidRPr="002B06BE">
        <w:t xml:space="preserve"> </w:t>
      </w:r>
      <w:r>
        <w:t xml:space="preserve">and the </w:t>
      </w:r>
      <w:r w:rsidR="00D00786">
        <w:t xml:space="preserve">pricing, terms and conditions of the </w:t>
      </w:r>
      <w:r w:rsidR="00457C36">
        <w:t>c</w:t>
      </w:r>
      <w:r>
        <w:t xml:space="preserve">ompany </w:t>
      </w:r>
      <w:r w:rsidR="00457C36">
        <w:t>l</w:t>
      </w:r>
      <w:r>
        <w:t>oan, it is not necessary to consider the schemes in combination</w:t>
      </w:r>
      <w:r w:rsidR="00D00786">
        <w:t xml:space="preserve"> against the relevant factors</w:t>
      </w:r>
      <w:r>
        <w:t>.</w:t>
      </w:r>
    </w:p>
    <w:p w14:paraId="4CD6806C" w14:textId="77777777" w:rsidR="00536E42" w:rsidRDefault="00536E42" w:rsidP="006644FB">
      <w:pPr>
        <w:pStyle w:val="Heading3"/>
      </w:pPr>
      <w:r>
        <w:t xml:space="preserve">Mere linkages and commercial </w:t>
      </w:r>
      <w:r w:rsidRPr="00AF6AF1">
        <w:t>understandings</w:t>
      </w:r>
    </w:p>
    <w:p w14:paraId="5C099F53" w14:textId="058717F4" w:rsidR="00536E42" w:rsidRDefault="00536E42" w:rsidP="009B5310">
      <w:pPr>
        <w:pStyle w:val="NumberedParagraph3"/>
      </w:pPr>
      <w:r>
        <w:t>As there is no dependency</w:t>
      </w:r>
      <w:r w:rsidR="00457C36">
        <w:t>,</w:t>
      </w:r>
      <w:r>
        <w:t xml:space="preserve"> link </w:t>
      </w:r>
      <w:r w:rsidR="00D00786">
        <w:t xml:space="preserve">or economic effect </w:t>
      </w:r>
      <w:r>
        <w:t xml:space="preserve">between the pricing, terms and conditions of the shares in the </w:t>
      </w:r>
      <w:r w:rsidR="00457C36">
        <w:t>c</w:t>
      </w:r>
      <w:r>
        <w:t>ompany</w:t>
      </w:r>
      <w:r w:rsidRPr="002B06BE">
        <w:t xml:space="preserve"> </w:t>
      </w:r>
      <w:r>
        <w:t xml:space="preserve">and </w:t>
      </w:r>
      <w:r w:rsidR="00457C36">
        <w:t xml:space="preserve">of </w:t>
      </w:r>
      <w:r>
        <w:t xml:space="preserve">the </w:t>
      </w:r>
      <w:r w:rsidR="00457C36">
        <w:t>c</w:t>
      </w:r>
      <w:r>
        <w:t xml:space="preserve">ompany </w:t>
      </w:r>
      <w:r w:rsidR="00457C36">
        <w:t>l</w:t>
      </w:r>
      <w:r>
        <w:t>oan, it</w:t>
      </w:r>
      <w:r w:rsidR="00D00786">
        <w:t xml:space="preserve"> is not necessary to consider any</w:t>
      </w:r>
      <w:r>
        <w:t xml:space="preserve"> mere links and</w:t>
      </w:r>
      <w:r w:rsidR="00D00786">
        <w:t xml:space="preserve"> whether the</w:t>
      </w:r>
      <w:r w:rsidR="00457C36">
        <w:t>re would be</w:t>
      </w:r>
      <w:r w:rsidR="00D00786">
        <w:t xml:space="preserve"> one or two interest</w:t>
      </w:r>
      <w:r>
        <w:t xml:space="preserve">s. </w:t>
      </w:r>
      <w:r w:rsidR="00457C36">
        <w:t>To</w:t>
      </w:r>
      <w:r>
        <w:t xml:space="preserve"> avoid</w:t>
      </w:r>
      <w:r w:rsidR="00457C36">
        <w:t xml:space="preserve"> any </w:t>
      </w:r>
      <w:r>
        <w:t>doubt, mere stapling would not create the requisite dependency or link.</w:t>
      </w:r>
    </w:p>
    <w:p w14:paraId="78322929" w14:textId="44D2457B" w:rsidR="00536E42" w:rsidRDefault="00536E42" w:rsidP="006644FB">
      <w:pPr>
        <w:pStyle w:val="Heading3"/>
        <w:rPr>
          <w:rFonts w:eastAsiaTheme="minorEastAsia"/>
        </w:rPr>
      </w:pPr>
      <w:r w:rsidRPr="006B04E0">
        <w:rPr>
          <w:rFonts w:eastAsiaTheme="minorEastAsia"/>
        </w:rPr>
        <w:t xml:space="preserve">Units in </w:t>
      </w:r>
      <w:r w:rsidR="00457C36">
        <w:rPr>
          <w:rFonts w:eastAsiaTheme="minorEastAsia"/>
        </w:rPr>
        <w:t>u</w:t>
      </w:r>
      <w:r w:rsidR="000208B9">
        <w:rPr>
          <w:rFonts w:eastAsiaTheme="minorEastAsia"/>
        </w:rPr>
        <w:t>nit trust</w:t>
      </w:r>
      <w:r w:rsidRPr="006B04E0">
        <w:rPr>
          <w:rFonts w:eastAsiaTheme="minorEastAsia"/>
        </w:rPr>
        <w:t xml:space="preserve"> </w:t>
      </w:r>
      <w:r>
        <w:rPr>
          <w:rFonts w:eastAsiaTheme="minorEastAsia"/>
        </w:rPr>
        <w:t xml:space="preserve">and </w:t>
      </w:r>
      <w:r w:rsidR="00457C36" w:rsidRPr="00AF6AF1">
        <w:rPr>
          <w:rFonts w:eastAsiaTheme="minorEastAsia"/>
        </w:rPr>
        <w:t>c</w:t>
      </w:r>
      <w:r w:rsidRPr="00AF6AF1">
        <w:rPr>
          <w:rFonts w:eastAsiaTheme="minorEastAsia"/>
        </w:rPr>
        <w:t>ompany</w:t>
      </w:r>
      <w:r>
        <w:rPr>
          <w:rFonts w:eastAsiaTheme="minorEastAsia"/>
        </w:rPr>
        <w:t xml:space="preserve"> </w:t>
      </w:r>
      <w:r w:rsidR="00457C36">
        <w:rPr>
          <w:rFonts w:eastAsiaTheme="minorEastAsia"/>
        </w:rPr>
        <w:t>l</w:t>
      </w:r>
      <w:r>
        <w:rPr>
          <w:rFonts w:eastAsiaTheme="minorEastAsia"/>
        </w:rPr>
        <w:t>oan – not aggregated</w:t>
      </w:r>
    </w:p>
    <w:p w14:paraId="37620D52" w14:textId="77777777" w:rsidR="00536E42" w:rsidRPr="009E16E5" w:rsidRDefault="00536E42" w:rsidP="006644FB">
      <w:pPr>
        <w:pStyle w:val="Heading4"/>
      </w:pPr>
      <w:r w:rsidRPr="003A6417">
        <w:t xml:space="preserve">Pricing, terms and conditions of the </w:t>
      </w:r>
      <w:r w:rsidRPr="00AF6AF1">
        <w:t>schemes</w:t>
      </w:r>
    </w:p>
    <w:p w14:paraId="47A5CD31" w14:textId="64F00FA3" w:rsidR="00536E42" w:rsidRDefault="00536E42" w:rsidP="009B5310">
      <w:pPr>
        <w:pStyle w:val="NumberedParagraph3"/>
      </w:pPr>
      <w:r>
        <w:t xml:space="preserve">The pricing, terms and conditions of </w:t>
      </w:r>
      <w:r w:rsidR="009A0D1E">
        <w:t>u</w:t>
      </w:r>
      <w:r>
        <w:t xml:space="preserve">nits in the </w:t>
      </w:r>
      <w:r w:rsidR="00457C36">
        <w:t>u</w:t>
      </w:r>
      <w:r w:rsidR="000208B9">
        <w:t>nit trust</w:t>
      </w:r>
      <w:r>
        <w:t xml:space="preserve"> are not dependent </w:t>
      </w:r>
      <w:r w:rsidR="00457C36">
        <w:t xml:space="preserve">on </w:t>
      </w:r>
      <w:r>
        <w:t xml:space="preserve">or linked </w:t>
      </w:r>
      <w:r w:rsidR="00457C36">
        <w:t>to</w:t>
      </w:r>
      <w:r>
        <w:t xml:space="preserve"> the pricing, terms </w:t>
      </w:r>
      <w:r w:rsidR="00D00786">
        <w:t>and</w:t>
      </w:r>
      <w:r>
        <w:t xml:space="preserve"> conditions applicable to the </w:t>
      </w:r>
      <w:r w:rsidR="00457C36">
        <w:t>c</w:t>
      </w:r>
      <w:r>
        <w:t xml:space="preserve">ompany </w:t>
      </w:r>
      <w:r w:rsidR="00457C36">
        <w:t>l</w:t>
      </w:r>
      <w:r>
        <w:t xml:space="preserve">oan in a manner </w:t>
      </w:r>
      <w:r w:rsidR="00457C36">
        <w:t xml:space="preserve">that </w:t>
      </w:r>
      <w:r>
        <w:t>would affect the application of the debt or equity test</w:t>
      </w:r>
      <w:r w:rsidR="00457C36">
        <w:t>s</w:t>
      </w:r>
      <w:r>
        <w:t>.</w:t>
      </w:r>
      <w:r w:rsidR="00D00786">
        <w:t xml:space="preserve"> </w:t>
      </w:r>
      <w:r w:rsidR="00D00786" w:rsidRPr="008C53B7">
        <w:t xml:space="preserve">The </w:t>
      </w:r>
      <w:r w:rsidR="00457C36">
        <w:t>c</w:t>
      </w:r>
      <w:r w:rsidR="00D00786" w:rsidRPr="008C53B7">
        <w:t xml:space="preserve">ompany </w:t>
      </w:r>
      <w:r w:rsidR="00457C36">
        <w:t xml:space="preserve">must fulfil </w:t>
      </w:r>
      <w:r w:rsidR="00D00786" w:rsidRPr="008C53B7">
        <w:t xml:space="preserve">its obligations under the </w:t>
      </w:r>
      <w:r w:rsidR="00457C36">
        <w:t>c</w:t>
      </w:r>
      <w:r w:rsidR="00D00786" w:rsidRPr="008C53B7">
        <w:t xml:space="preserve">ompany </w:t>
      </w:r>
      <w:r w:rsidR="00457C36">
        <w:t>l</w:t>
      </w:r>
      <w:r w:rsidR="00D00786" w:rsidRPr="008C53B7">
        <w:t>oan</w:t>
      </w:r>
      <w:r w:rsidR="00D00786">
        <w:t xml:space="preserve">, regardless of the </w:t>
      </w:r>
      <w:r w:rsidR="00D00786" w:rsidRPr="008C53B7">
        <w:t xml:space="preserve">terms attached to </w:t>
      </w:r>
      <w:r w:rsidR="00D00786">
        <w:t xml:space="preserve">the </w:t>
      </w:r>
      <w:r w:rsidR="00457C36">
        <w:t>u</w:t>
      </w:r>
      <w:r w:rsidR="00D00786">
        <w:t xml:space="preserve">nits in the </w:t>
      </w:r>
      <w:r w:rsidR="00457C36">
        <w:t>u</w:t>
      </w:r>
      <w:r w:rsidR="000208B9">
        <w:t>nit trust</w:t>
      </w:r>
      <w:r w:rsidR="00D00786" w:rsidRPr="008C53B7">
        <w:t>.</w:t>
      </w:r>
    </w:p>
    <w:p w14:paraId="3EBDB8CD" w14:textId="21DCD3CC" w:rsidR="00536E42" w:rsidRDefault="00536E42" w:rsidP="009B5310">
      <w:pPr>
        <w:pStyle w:val="NumberedParagraph3"/>
      </w:pPr>
      <w:r>
        <w:t>The pricing, terms and conditions of</w:t>
      </w:r>
      <w:r w:rsidR="00457C36">
        <w:t xml:space="preserve"> the</w:t>
      </w:r>
      <w:r>
        <w:t xml:space="preserve"> </w:t>
      </w:r>
      <w:r w:rsidR="00457C36">
        <w:t>u</w:t>
      </w:r>
      <w:r>
        <w:t xml:space="preserve">nits in the </w:t>
      </w:r>
      <w:r w:rsidR="00457C36">
        <w:t>u</w:t>
      </w:r>
      <w:r w:rsidR="000208B9">
        <w:t>nit trust</w:t>
      </w:r>
      <w:r>
        <w:t xml:space="preserve"> do not operate in a way </w:t>
      </w:r>
      <w:r w:rsidR="00457C36">
        <w:t xml:space="preserve">that </w:t>
      </w:r>
      <w:r>
        <w:t xml:space="preserve">would alter the economic consequences of the pricing, terms and conditions of the </w:t>
      </w:r>
      <w:r w:rsidR="00457C36">
        <w:t>c</w:t>
      </w:r>
      <w:r>
        <w:t xml:space="preserve">ompany </w:t>
      </w:r>
      <w:r w:rsidR="00457C36">
        <w:t>l</w:t>
      </w:r>
      <w:r>
        <w:t xml:space="preserve">oan in a manner </w:t>
      </w:r>
      <w:r w:rsidR="00457C36">
        <w:t xml:space="preserve">that </w:t>
      </w:r>
      <w:r>
        <w:t>would affect the application of t</w:t>
      </w:r>
      <w:r w:rsidR="00D00786">
        <w:t>he debt or equity test</w:t>
      </w:r>
      <w:r w:rsidR="00457C36">
        <w:t>s</w:t>
      </w:r>
      <w:r w:rsidR="00D00786">
        <w:t xml:space="preserve"> (or vice versa). </w:t>
      </w:r>
    </w:p>
    <w:p w14:paraId="0F676ED0" w14:textId="77777777" w:rsidR="00536E42" w:rsidRDefault="00536E42" w:rsidP="006644FB">
      <w:pPr>
        <w:pStyle w:val="Heading3"/>
      </w:pPr>
      <w:r>
        <w:lastRenderedPageBreak/>
        <w:t xml:space="preserve">The schemes in </w:t>
      </w:r>
      <w:r w:rsidRPr="00AF6AF1">
        <w:t>combination</w:t>
      </w:r>
    </w:p>
    <w:p w14:paraId="0DCECA4C" w14:textId="72D7A78B" w:rsidR="005D7F31" w:rsidRDefault="005D7F31" w:rsidP="009B5310">
      <w:pPr>
        <w:pStyle w:val="NumberedParagraph3"/>
      </w:pPr>
      <w:r>
        <w:t>As there is no relevant dependency</w:t>
      </w:r>
      <w:r w:rsidR="00EE65E6">
        <w:t>,</w:t>
      </w:r>
      <w:r>
        <w:t xml:space="preserve"> link or economic effect between the pricing, terms and conditions of the </w:t>
      </w:r>
      <w:r w:rsidR="00EE65E6">
        <w:t>u</w:t>
      </w:r>
      <w:r>
        <w:t xml:space="preserve">nits in the </w:t>
      </w:r>
      <w:r w:rsidR="00EE65E6">
        <w:t>u</w:t>
      </w:r>
      <w:r w:rsidR="000208B9">
        <w:t>nit trust</w:t>
      </w:r>
      <w:r w:rsidRPr="002B06BE">
        <w:t xml:space="preserve"> </w:t>
      </w:r>
      <w:r>
        <w:t xml:space="preserve">and the pricing, terms and conditions of the </w:t>
      </w:r>
      <w:r w:rsidR="00EE65E6">
        <w:t>c</w:t>
      </w:r>
      <w:r>
        <w:t xml:space="preserve">ompany </w:t>
      </w:r>
      <w:r w:rsidR="00EE65E6">
        <w:t>l</w:t>
      </w:r>
      <w:r>
        <w:t>oan, it is not necessary to consider the schemes in combination against the relevant factors.</w:t>
      </w:r>
    </w:p>
    <w:p w14:paraId="01B4E721" w14:textId="56436A6B" w:rsidR="00536E42" w:rsidRDefault="00536E42" w:rsidP="006644FB">
      <w:pPr>
        <w:pStyle w:val="Heading3"/>
      </w:pPr>
      <w:r>
        <w:t>Mere links and commercial understandings</w:t>
      </w:r>
    </w:p>
    <w:p w14:paraId="77EBB7EB" w14:textId="298C07D8" w:rsidR="005D7F31" w:rsidRDefault="00536E42" w:rsidP="009B5310">
      <w:pPr>
        <w:pStyle w:val="NumberedParagraph3"/>
      </w:pPr>
      <w:r>
        <w:t>As there is no dependency</w:t>
      </w:r>
      <w:r w:rsidR="00EE65E6">
        <w:t>,</w:t>
      </w:r>
      <w:r>
        <w:t xml:space="preserve"> link </w:t>
      </w:r>
      <w:r w:rsidR="005D7F31">
        <w:t xml:space="preserve">or economic effect </w:t>
      </w:r>
      <w:r>
        <w:t xml:space="preserve">between the pricing, terms and conditions of </w:t>
      </w:r>
      <w:r w:rsidR="00EE65E6">
        <w:t>u</w:t>
      </w:r>
      <w:r>
        <w:t xml:space="preserve">nits in the </w:t>
      </w:r>
      <w:r w:rsidR="00EE65E6">
        <w:t>u</w:t>
      </w:r>
      <w:r w:rsidR="000208B9">
        <w:t>nit trust</w:t>
      </w:r>
      <w:r>
        <w:t xml:space="preserve"> and the </w:t>
      </w:r>
      <w:r w:rsidR="00EE65E6">
        <w:t>company l</w:t>
      </w:r>
      <w:r>
        <w:t xml:space="preserve">oan, it is not necessary to consider mere links and </w:t>
      </w:r>
      <w:r w:rsidR="005D7F31">
        <w:t xml:space="preserve">what would be the </w:t>
      </w:r>
      <w:r>
        <w:t>commercial understandi</w:t>
      </w:r>
      <w:r w:rsidR="005D7F31">
        <w:t>ng of whether the interests would be regarded as one or two interests</w:t>
      </w:r>
      <w:r>
        <w:t xml:space="preserve">.  </w:t>
      </w:r>
    </w:p>
    <w:p w14:paraId="14139B55" w14:textId="364430EC" w:rsidR="00536E42" w:rsidRDefault="00536E42" w:rsidP="009B5310">
      <w:pPr>
        <w:pStyle w:val="NumberedParagraph3"/>
      </w:pPr>
      <w:r>
        <w:t>Assuming that a dependency</w:t>
      </w:r>
      <w:r w:rsidR="00EE65E6">
        <w:t>,</w:t>
      </w:r>
      <w:r>
        <w:t xml:space="preserve"> link </w:t>
      </w:r>
      <w:r w:rsidR="005D7F31">
        <w:t xml:space="preserve">or economic effect </w:t>
      </w:r>
      <w:r>
        <w:t xml:space="preserve">were found, the new rules would ensure that mere funding of the </w:t>
      </w:r>
      <w:r w:rsidR="000208B9">
        <w:t>unit trust</w:t>
      </w:r>
      <w:r>
        <w:t xml:space="preserve"> by the </w:t>
      </w:r>
      <w:r w:rsidR="00EE65E6">
        <w:t>c</w:t>
      </w:r>
      <w:r>
        <w:t xml:space="preserve">ompany </w:t>
      </w:r>
      <w:r w:rsidR="00EE65E6">
        <w:t>l</w:t>
      </w:r>
      <w:r>
        <w:t>oan and unit holders subscribing for units does not create a dependency or link.</w:t>
      </w:r>
    </w:p>
    <w:p w14:paraId="4F3AC427" w14:textId="457153C9" w:rsidR="00536E42" w:rsidRDefault="00EE65E6" w:rsidP="006644FB">
      <w:pPr>
        <w:pStyle w:val="Heading4"/>
      </w:pPr>
      <w:r>
        <w:t>SLA</w:t>
      </w:r>
      <w:r w:rsidR="00536E42" w:rsidRPr="00DB6407">
        <w:t xml:space="preserve"> and</w:t>
      </w:r>
      <w:r w:rsidR="00536E42">
        <w:t xml:space="preserve"> </w:t>
      </w:r>
      <w:r>
        <w:t>c</w:t>
      </w:r>
      <w:r w:rsidR="00536E42">
        <w:t xml:space="preserve">ompany </w:t>
      </w:r>
      <w:r w:rsidRPr="00AF6AF1">
        <w:t>l</w:t>
      </w:r>
      <w:r w:rsidR="00536E42" w:rsidRPr="00AF6AF1">
        <w:t>oans</w:t>
      </w:r>
      <w:r w:rsidR="00536E42">
        <w:t xml:space="preserve"> </w:t>
      </w:r>
      <w:r w:rsidR="00536E42" w:rsidRPr="00DB6407">
        <w:t>– not aggregated</w:t>
      </w:r>
    </w:p>
    <w:p w14:paraId="1C83E676" w14:textId="77777777" w:rsidR="00536E42" w:rsidRPr="001D26F9" w:rsidRDefault="00536E42" w:rsidP="006644FB">
      <w:pPr>
        <w:pStyle w:val="Heading5"/>
      </w:pPr>
      <w:r w:rsidRPr="003A6417">
        <w:t xml:space="preserve">Pricing, terms and </w:t>
      </w:r>
      <w:r w:rsidRPr="00AF6AF1">
        <w:t>conditions</w:t>
      </w:r>
      <w:r w:rsidRPr="003A6417">
        <w:t xml:space="preserve"> of the scheme</w:t>
      </w:r>
      <w:r>
        <w:t>s</w:t>
      </w:r>
    </w:p>
    <w:p w14:paraId="0B2CEBA0" w14:textId="016B4240" w:rsidR="00536E42" w:rsidRDefault="00536E42" w:rsidP="009B5310">
      <w:pPr>
        <w:pStyle w:val="NumberedParagraph3"/>
      </w:pPr>
      <w:r>
        <w:t xml:space="preserve">The </w:t>
      </w:r>
      <w:r w:rsidR="00EE65E6">
        <w:t xml:space="preserve">SLA’S </w:t>
      </w:r>
      <w:r>
        <w:t>pricing, terms and conditions are linked</w:t>
      </w:r>
      <w:r w:rsidR="00EE65E6">
        <w:t xml:space="preserve"> to</w:t>
      </w:r>
      <w:r>
        <w:t xml:space="preserve"> or dependent on the pricing, terms or conditions of the </w:t>
      </w:r>
      <w:r w:rsidR="00EE65E6">
        <w:t>c</w:t>
      </w:r>
      <w:r>
        <w:t xml:space="preserve">ompany </w:t>
      </w:r>
      <w:r w:rsidR="00EE65E6">
        <w:t>l</w:t>
      </w:r>
      <w:r>
        <w:t xml:space="preserve">oans. </w:t>
      </w:r>
      <w:r w:rsidR="00EE65E6">
        <w:t>C</w:t>
      </w:r>
      <w:r>
        <w:t xml:space="preserve">ommitments </w:t>
      </w:r>
      <w:r w:rsidR="00EE65E6">
        <w:t xml:space="preserve">given </w:t>
      </w:r>
      <w:r>
        <w:t xml:space="preserve">to </w:t>
      </w:r>
      <w:r w:rsidR="00EE65E6">
        <w:t xml:space="preserve">a </w:t>
      </w:r>
      <w:r>
        <w:t xml:space="preserve">lender under the SLA are a necessary pre-requisite to the ability of the </w:t>
      </w:r>
      <w:r w:rsidR="00EE65E6">
        <w:t>u</w:t>
      </w:r>
      <w:r w:rsidR="000208B9">
        <w:t>nit trust</w:t>
      </w:r>
      <w:r>
        <w:t xml:space="preserve"> to source funds to on-lend to the </w:t>
      </w:r>
      <w:r w:rsidR="00EE65E6">
        <w:t>c</w:t>
      </w:r>
      <w:r>
        <w:t xml:space="preserve">ompany under the </w:t>
      </w:r>
      <w:r w:rsidR="00EE65E6">
        <w:t>c</w:t>
      </w:r>
      <w:r>
        <w:t xml:space="preserve">ompany </w:t>
      </w:r>
      <w:r w:rsidR="00EE65E6">
        <w:t>l</w:t>
      </w:r>
      <w:r>
        <w:t>oan.</w:t>
      </w:r>
    </w:p>
    <w:p w14:paraId="555819CA" w14:textId="77777777" w:rsidR="00536E42" w:rsidRPr="00AB19C8" w:rsidRDefault="00536E42" w:rsidP="006644FB">
      <w:pPr>
        <w:pStyle w:val="Heading3"/>
      </w:pPr>
      <w:r w:rsidRPr="00AB19C8">
        <w:t xml:space="preserve">The schemes in </w:t>
      </w:r>
      <w:r w:rsidRPr="00AF6AF1">
        <w:t>combination</w:t>
      </w:r>
    </w:p>
    <w:p w14:paraId="2FE22ADB" w14:textId="1954C881" w:rsidR="00536E42" w:rsidRDefault="00EE65E6" w:rsidP="009B5310">
      <w:pPr>
        <w:pStyle w:val="NumberedParagraph3"/>
      </w:pPr>
      <w:r w:rsidRPr="00AB0042">
        <w:t>Consider</w:t>
      </w:r>
      <w:r>
        <w:t>ing</w:t>
      </w:r>
      <w:r w:rsidRPr="00AB0042">
        <w:t xml:space="preserve"> </w:t>
      </w:r>
      <w:r w:rsidR="00536E42" w:rsidRPr="00AB0042">
        <w:t xml:space="preserve">how the schemes are combined, </w:t>
      </w:r>
      <w:r>
        <w:t>referring</w:t>
      </w:r>
      <w:r w:rsidR="00536E42" w:rsidRPr="00AB0042">
        <w:t xml:space="preserve"> to the factors suggested above, leads to a conclusion that </w:t>
      </w:r>
      <w:r w:rsidR="00FB2658">
        <w:t>the schemes are interdependent.</w:t>
      </w:r>
      <w:r w:rsidR="00536E42" w:rsidRPr="00AB0042">
        <w:t xml:space="preserve"> Most notably, there is common involvement </w:t>
      </w:r>
      <w:r>
        <w:t>among</w:t>
      </w:r>
      <w:r w:rsidR="00536E42" w:rsidRPr="00AB0042">
        <w:t xml:space="preserve"> the parties to the schemes and a close relationship between the </w:t>
      </w:r>
      <w:r>
        <w:t>u</w:t>
      </w:r>
      <w:r w:rsidR="000208B9">
        <w:t>nit trust</w:t>
      </w:r>
      <w:r w:rsidR="00536E42" w:rsidRPr="00AB0042">
        <w:t xml:space="preserve"> and the </w:t>
      </w:r>
      <w:r>
        <w:t>c</w:t>
      </w:r>
      <w:r w:rsidR="00536E42" w:rsidRPr="00AB0042">
        <w:t>ompany.</w:t>
      </w:r>
    </w:p>
    <w:p w14:paraId="1292F08C" w14:textId="649CC1A5" w:rsidR="00536E42" w:rsidRPr="009E16E5" w:rsidRDefault="00536E42" w:rsidP="006644FB">
      <w:pPr>
        <w:pStyle w:val="Heading3"/>
      </w:pPr>
      <w:r w:rsidRPr="009E16E5">
        <w:t>Mere links and commercial understandings</w:t>
      </w:r>
    </w:p>
    <w:p w14:paraId="2A22EE4C" w14:textId="6CBDCD67" w:rsidR="00536E42" w:rsidRDefault="00536E42" w:rsidP="009B5310">
      <w:pPr>
        <w:pStyle w:val="NumberedParagraph3"/>
      </w:pPr>
      <w:r w:rsidRPr="009E16E5">
        <w:t xml:space="preserve">This principle </w:t>
      </w:r>
      <w:r>
        <w:t>does not break the aggregation of the scheme as obligations under the SLA extend beyond the mere taking of security.</w:t>
      </w:r>
    </w:p>
    <w:p w14:paraId="191C9F5F" w14:textId="1C920424" w:rsidR="00536E42" w:rsidRDefault="00536E42" w:rsidP="009B5310">
      <w:pPr>
        <w:pStyle w:val="NumberedParagraph3"/>
      </w:pPr>
      <w:r w:rsidRPr="009E16E5">
        <w:t>However,</w:t>
      </w:r>
      <w:r w:rsidRPr="009633E7">
        <w:t xml:space="preserve"> </w:t>
      </w:r>
      <w:r>
        <w:t xml:space="preserve">having regard to normal commercial understandings or dealings in practice, the SLA and the </w:t>
      </w:r>
      <w:r w:rsidR="00EE65E6">
        <w:t>c</w:t>
      </w:r>
      <w:r>
        <w:t xml:space="preserve">ompany </w:t>
      </w:r>
      <w:r w:rsidR="00EE65E6">
        <w:t>l</w:t>
      </w:r>
      <w:r>
        <w:t>oans would be commercially recognised as separate schemes and therefore would not be aggregated.</w:t>
      </w:r>
    </w:p>
    <w:p w14:paraId="7A1AB71B" w14:textId="3C716E70" w:rsidR="00536E42" w:rsidRPr="00DB6407" w:rsidRDefault="00EE65E6" w:rsidP="006644FB">
      <w:pPr>
        <w:pStyle w:val="Heading3"/>
      </w:pPr>
      <w:r>
        <w:t>The c</w:t>
      </w:r>
      <w:r w:rsidR="00536E42" w:rsidRPr="00DB6407">
        <w:t xml:space="preserve">ompany </w:t>
      </w:r>
      <w:r>
        <w:t>l</w:t>
      </w:r>
      <w:r w:rsidR="00536E42" w:rsidRPr="00DB6407">
        <w:t xml:space="preserve">oan and </w:t>
      </w:r>
      <w:r>
        <w:t>r</w:t>
      </w:r>
      <w:r w:rsidR="00536E42" w:rsidRPr="00DB6407">
        <w:t xml:space="preserve">eal </w:t>
      </w:r>
      <w:r>
        <w:t>p</w:t>
      </w:r>
      <w:r w:rsidR="00536E42" w:rsidRPr="00DB6407">
        <w:t xml:space="preserve">roperty </w:t>
      </w:r>
      <w:r>
        <w:t>l</w:t>
      </w:r>
      <w:r w:rsidR="00536E42" w:rsidRPr="00DB6407">
        <w:t xml:space="preserve">ease – not </w:t>
      </w:r>
      <w:r w:rsidR="00536E42" w:rsidRPr="00AF6AF1">
        <w:t>aggregated</w:t>
      </w:r>
    </w:p>
    <w:p w14:paraId="6DEF7E77" w14:textId="77777777" w:rsidR="00536E42" w:rsidRPr="009E16E5" w:rsidRDefault="00536E42" w:rsidP="006644FB">
      <w:pPr>
        <w:pStyle w:val="Heading4"/>
      </w:pPr>
      <w:r w:rsidRPr="003A6417">
        <w:t xml:space="preserve">Pricing, terms and conditions of the </w:t>
      </w:r>
      <w:r w:rsidRPr="00AF6AF1">
        <w:t>schemes</w:t>
      </w:r>
    </w:p>
    <w:p w14:paraId="17D39E95" w14:textId="113AC173" w:rsidR="00536E42" w:rsidRDefault="00536E42" w:rsidP="009B5310">
      <w:pPr>
        <w:pStyle w:val="NumberedParagraph3"/>
      </w:pPr>
      <w:r>
        <w:t xml:space="preserve">The pricing, terms and conditions of the </w:t>
      </w:r>
      <w:r w:rsidR="00EE65E6">
        <w:t>c</w:t>
      </w:r>
      <w:r>
        <w:t xml:space="preserve">ompany </w:t>
      </w:r>
      <w:r w:rsidR="00EE65E6">
        <w:t>l</w:t>
      </w:r>
      <w:r>
        <w:t>oan are not dependent</w:t>
      </w:r>
      <w:r w:rsidR="00EE65E6">
        <w:t xml:space="preserve"> on</w:t>
      </w:r>
      <w:r>
        <w:t xml:space="preserve"> or linked to the pricing, terms and conditions of the </w:t>
      </w:r>
      <w:r w:rsidR="00EE65E6">
        <w:t>r</w:t>
      </w:r>
      <w:r>
        <w:t xml:space="preserve">eal </w:t>
      </w:r>
      <w:r w:rsidR="00EE65E6">
        <w:t>p</w:t>
      </w:r>
      <w:r>
        <w:t xml:space="preserve">roperty </w:t>
      </w:r>
      <w:r w:rsidR="00EE65E6">
        <w:t>l</w:t>
      </w:r>
      <w:r>
        <w:t xml:space="preserve">ease. The </w:t>
      </w:r>
      <w:r w:rsidR="009A0D1E">
        <w:t>c</w:t>
      </w:r>
      <w:r>
        <w:t xml:space="preserve">ompany </w:t>
      </w:r>
      <w:r w:rsidR="009A0D1E">
        <w:t>l</w:t>
      </w:r>
      <w:r>
        <w:t xml:space="preserve">oan and the </w:t>
      </w:r>
      <w:r w:rsidR="009A0D1E">
        <w:t>r</w:t>
      </w:r>
      <w:r>
        <w:t xml:space="preserve">eal </w:t>
      </w:r>
      <w:r w:rsidR="009A0D1E">
        <w:t>p</w:t>
      </w:r>
      <w:r>
        <w:t xml:space="preserve">roperty </w:t>
      </w:r>
      <w:r w:rsidR="009A0D1E">
        <w:t>l</w:t>
      </w:r>
      <w:r>
        <w:t xml:space="preserve">ease do not operate in a way such that the pricing, terms </w:t>
      </w:r>
      <w:r>
        <w:lastRenderedPageBreak/>
        <w:t>and conditions of one alter the economic consequences of the pricing, terms and conditions of the other scheme.</w:t>
      </w:r>
    </w:p>
    <w:p w14:paraId="2C777DA4" w14:textId="77777777" w:rsidR="00536E42" w:rsidRPr="009624EA" w:rsidRDefault="00536E42" w:rsidP="006644FB">
      <w:pPr>
        <w:pStyle w:val="Heading3"/>
      </w:pPr>
      <w:r w:rsidRPr="009624EA">
        <w:t>The schemes in combination</w:t>
      </w:r>
    </w:p>
    <w:p w14:paraId="7F1BC94D" w14:textId="522D6B0B" w:rsidR="00536E42" w:rsidRDefault="00536E42" w:rsidP="009B5310">
      <w:pPr>
        <w:pStyle w:val="NumberedParagraph3"/>
      </w:pPr>
      <w:r>
        <w:t xml:space="preserve">As there is no dependency or link between the </w:t>
      </w:r>
      <w:r w:rsidR="00EE65E6">
        <w:t>c</w:t>
      </w:r>
      <w:r>
        <w:t xml:space="preserve">ompany </w:t>
      </w:r>
      <w:r w:rsidR="00EE65E6">
        <w:t>l</w:t>
      </w:r>
      <w:r>
        <w:t xml:space="preserve">oan and the </w:t>
      </w:r>
      <w:r w:rsidR="00EE65E6">
        <w:t>r</w:t>
      </w:r>
      <w:r>
        <w:t xml:space="preserve">eal </w:t>
      </w:r>
      <w:r w:rsidR="00EE65E6">
        <w:t>p</w:t>
      </w:r>
      <w:r>
        <w:t xml:space="preserve">roperty </w:t>
      </w:r>
      <w:r w:rsidR="00EE65E6">
        <w:t>l</w:t>
      </w:r>
      <w:r>
        <w:t>ease, it is not necessary to consider the schemes in combination.</w:t>
      </w:r>
    </w:p>
    <w:p w14:paraId="68068F2C" w14:textId="3370716B" w:rsidR="00536E42" w:rsidRPr="009E064F" w:rsidRDefault="00536E42" w:rsidP="006644FB">
      <w:pPr>
        <w:pStyle w:val="Heading3"/>
      </w:pPr>
      <w:r w:rsidRPr="009E064F">
        <w:t xml:space="preserve">Mere links and commercial </w:t>
      </w:r>
      <w:r w:rsidRPr="00AF6AF1">
        <w:t>understandings</w:t>
      </w:r>
    </w:p>
    <w:p w14:paraId="662CD020" w14:textId="15263CD2" w:rsidR="009A0D1E" w:rsidRDefault="009A0D1E" w:rsidP="009B5310">
      <w:pPr>
        <w:pStyle w:val="NumberedParagraph3"/>
      </w:pPr>
      <w:r>
        <w:t xml:space="preserve">As there is no dependency or link between the pricing, terms and conditions of the company loan and the real property lease, it is not necessary to consider the mere links and commercial understanding. Furthermore, mere stapling would not create a dependency or link. </w:t>
      </w:r>
    </w:p>
    <w:p w14:paraId="46A7A4E4" w14:textId="36EFB590" w:rsidR="008D66AB" w:rsidRPr="0006375F" w:rsidRDefault="008D66AB" w:rsidP="00AF6AF1">
      <w:pPr>
        <w:pStyle w:val="Heading3"/>
      </w:pPr>
      <w:r w:rsidRPr="0006375F">
        <w:t xml:space="preserve">Example </w:t>
      </w:r>
      <w:r w:rsidR="005004B7">
        <w:t>5</w:t>
      </w:r>
      <w:r w:rsidRPr="0006375F">
        <w:t xml:space="preserve">: </w:t>
      </w:r>
      <w:r w:rsidR="00EE65E6">
        <w:t>H</w:t>
      </w:r>
      <w:r w:rsidRPr="0006375F">
        <w:t xml:space="preserve">ybrid </w:t>
      </w:r>
      <w:r w:rsidR="00EE65E6" w:rsidRPr="00AF6AF1">
        <w:t>T</w:t>
      </w:r>
      <w:r w:rsidRPr="00AF6AF1">
        <w:t>ier</w:t>
      </w:r>
      <w:r w:rsidRPr="0006375F">
        <w:t xml:space="preserve"> 1 structure - aggregat</w:t>
      </w:r>
      <w:r>
        <w:t>ion</w:t>
      </w:r>
    </w:p>
    <w:p w14:paraId="286D9B71" w14:textId="25152629" w:rsidR="008D66AB" w:rsidRPr="00C22BFA" w:rsidRDefault="008D66AB" w:rsidP="00AF6AF1">
      <w:pPr>
        <w:pStyle w:val="Heading4"/>
      </w:pPr>
      <w:r w:rsidRPr="00DB6407">
        <w:t xml:space="preserve">Background </w:t>
      </w:r>
      <w:r w:rsidR="00EE65E6" w:rsidRPr="00AF6AF1">
        <w:t>f</w:t>
      </w:r>
      <w:r w:rsidRPr="00AF6AF1">
        <w:t>acts</w:t>
      </w:r>
    </w:p>
    <w:p w14:paraId="0FF10503" w14:textId="3765CC5C" w:rsidR="008D66AB" w:rsidRPr="001724B4" w:rsidRDefault="008D66AB" w:rsidP="001724B4">
      <w:pPr>
        <w:pStyle w:val="Bullet"/>
      </w:pPr>
      <w:r w:rsidRPr="001724B4">
        <w:t>Head Co initiates a single plan to raise finance from US investors.</w:t>
      </w:r>
    </w:p>
    <w:p w14:paraId="2C59F817" w14:textId="41CD0708" w:rsidR="008D66AB" w:rsidRPr="001724B4" w:rsidRDefault="008D66AB" w:rsidP="001724B4">
      <w:pPr>
        <w:pStyle w:val="Bullet"/>
      </w:pPr>
      <w:r w:rsidRPr="001724B4">
        <w:t xml:space="preserve">US Company is incorporated in Delaware by Head Co </w:t>
      </w:r>
      <w:r w:rsidR="00EE65E6" w:rsidRPr="001724B4">
        <w:t>to facilitate</w:t>
      </w:r>
      <w:r w:rsidRPr="001724B4">
        <w:t xml:space="preserve"> the arrangement. US Company is a wholly owned subsidiary of another subsidiary of Head Co.</w:t>
      </w:r>
    </w:p>
    <w:p w14:paraId="128F6672" w14:textId="79FB4C94" w:rsidR="008D66AB" w:rsidRPr="001724B4" w:rsidRDefault="008D66AB" w:rsidP="001724B4">
      <w:pPr>
        <w:pStyle w:val="Bullet"/>
      </w:pPr>
      <w:r w:rsidRPr="001724B4">
        <w:t xml:space="preserve">US Company issues </w:t>
      </w:r>
      <w:r w:rsidR="000401CA" w:rsidRPr="001724B4">
        <w:t xml:space="preserve">US$ </w:t>
      </w:r>
      <w:r w:rsidRPr="001724B4">
        <w:t xml:space="preserve">350 million </w:t>
      </w:r>
      <w:r w:rsidR="000401CA" w:rsidRPr="001724B4">
        <w:t xml:space="preserve">of </w:t>
      </w:r>
      <w:r w:rsidRPr="001724B4">
        <w:t>preference stock in the US market. US</w:t>
      </w:r>
      <w:r w:rsidR="002A401A" w:rsidRPr="001724B4">
        <w:t> </w:t>
      </w:r>
      <w:r w:rsidRPr="001724B4">
        <w:t xml:space="preserve">Company uses the funds raised from </w:t>
      </w:r>
      <w:r w:rsidR="000401CA" w:rsidRPr="001724B4">
        <w:t>issuing</w:t>
      </w:r>
      <w:r w:rsidRPr="001724B4">
        <w:t xml:space="preserve"> of </w:t>
      </w:r>
      <w:r w:rsidR="000401CA" w:rsidRPr="001724B4">
        <w:t>p</w:t>
      </w:r>
      <w:r w:rsidRPr="001724B4">
        <w:t xml:space="preserve">reference </w:t>
      </w:r>
      <w:r w:rsidR="000401CA" w:rsidRPr="001724B4">
        <w:t>s</w:t>
      </w:r>
      <w:r w:rsidRPr="001724B4">
        <w:t>hares to acquire a debenture from Head Co.</w:t>
      </w:r>
    </w:p>
    <w:p w14:paraId="2259DFF5" w14:textId="0145AD64" w:rsidR="008D66AB" w:rsidRPr="001724B4" w:rsidRDefault="008D66AB" w:rsidP="001724B4">
      <w:pPr>
        <w:pStyle w:val="Bullet"/>
      </w:pPr>
      <w:r w:rsidRPr="001724B4">
        <w:t xml:space="preserve">Under the terms of the </w:t>
      </w:r>
      <w:r w:rsidR="000401CA" w:rsidRPr="001724B4">
        <w:t>p</w:t>
      </w:r>
      <w:r w:rsidRPr="001724B4">
        <w:t xml:space="preserve">reference </w:t>
      </w:r>
      <w:r w:rsidR="000401CA" w:rsidRPr="001724B4">
        <w:t>s</w:t>
      </w:r>
      <w:r w:rsidRPr="001724B4">
        <w:t>hares, the US investors are entitled to 6 monthly non-cumulative dividends, provided that US Company receives a corresponding amount of interest from Head Co in respect of the debenture. Interest payable to US</w:t>
      </w:r>
      <w:r w:rsidR="002A401A" w:rsidRPr="001724B4">
        <w:t> </w:t>
      </w:r>
      <w:r w:rsidRPr="001724B4">
        <w:t>Company is cumulative.</w:t>
      </w:r>
    </w:p>
    <w:p w14:paraId="6CF18AD9" w14:textId="24FBC7F0" w:rsidR="008D66AB" w:rsidRPr="001724B4" w:rsidRDefault="008D66AB" w:rsidP="001724B4">
      <w:pPr>
        <w:pStyle w:val="Bullet"/>
      </w:pPr>
      <w:r w:rsidRPr="001724B4">
        <w:t xml:space="preserve">The </w:t>
      </w:r>
      <w:r w:rsidR="000401CA" w:rsidRPr="001724B4">
        <w:t>preference shares</w:t>
      </w:r>
      <w:r w:rsidRPr="001724B4">
        <w:t xml:space="preserve"> are convertible into </w:t>
      </w:r>
      <w:r w:rsidR="000401CA" w:rsidRPr="001724B4">
        <w:t>preference shares</w:t>
      </w:r>
      <w:r w:rsidRPr="001724B4">
        <w:t xml:space="preserve"> in Head Co.</w:t>
      </w:r>
    </w:p>
    <w:p w14:paraId="0968A6AA" w14:textId="77777777" w:rsidR="008D66AB" w:rsidRDefault="008D66AB" w:rsidP="006644FB">
      <w:pPr>
        <w:pStyle w:val="Graphic"/>
      </w:pPr>
      <w:r>
        <w:rPr>
          <w:noProof/>
          <w:lang w:val="en-US" w:eastAsia="en-US"/>
        </w:rPr>
        <w:drawing>
          <wp:inline distT="0" distB="0" distL="0" distR="0" wp14:anchorId="4A509B44" wp14:editId="1161684E">
            <wp:extent cx="5401945" cy="123825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_6.png"/>
                    <pic:cNvPicPr/>
                  </pic:nvPicPr>
                  <pic:blipFill>
                    <a:blip r:embed="rId42">
                      <a:extLst>
                        <a:ext uri="{28A0092B-C50C-407E-A947-70E740481C1C}">
                          <a14:useLocalDpi xmlns:a14="http://schemas.microsoft.com/office/drawing/2010/main" val="0"/>
                        </a:ext>
                      </a:extLst>
                    </a:blip>
                    <a:stretch>
                      <a:fillRect/>
                    </a:stretch>
                  </pic:blipFill>
                  <pic:spPr>
                    <a:xfrm>
                      <a:off x="0" y="0"/>
                      <a:ext cx="5401945" cy="1238250"/>
                    </a:xfrm>
                    <a:prstGeom prst="rect">
                      <a:avLst/>
                    </a:prstGeom>
                  </pic:spPr>
                </pic:pic>
              </a:graphicData>
            </a:graphic>
          </wp:inline>
        </w:drawing>
      </w:r>
    </w:p>
    <w:p w14:paraId="0ECE7697" w14:textId="1D844013" w:rsidR="008D66AB" w:rsidRDefault="000401CA" w:rsidP="006644FB">
      <w:pPr>
        <w:pStyle w:val="Heading3"/>
      </w:pPr>
      <w:r w:rsidRPr="00DB6407">
        <w:t>Appl</w:t>
      </w:r>
      <w:r>
        <w:t>ying</w:t>
      </w:r>
      <w:r w:rsidRPr="00DB6407">
        <w:t xml:space="preserve"> </w:t>
      </w:r>
      <w:r>
        <w:t xml:space="preserve">the </w:t>
      </w:r>
      <w:r w:rsidR="008D66AB" w:rsidRPr="00DB6407">
        <w:t xml:space="preserve">proposed </w:t>
      </w:r>
      <w:r w:rsidR="008D66AB" w:rsidRPr="00AF6AF1">
        <w:t>new</w:t>
      </w:r>
      <w:r w:rsidR="008D66AB" w:rsidRPr="00DB6407">
        <w:t xml:space="preserve"> principles</w:t>
      </w:r>
    </w:p>
    <w:p w14:paraId="21A8467D" w14:textId="77777777" w:rsidR="008D66AB" w:rsidRPr="009E064F" w:rsidRDefault="008D66AB" w:rsidP="006644FB">
      <w:pPr>
        <w:pStyle w:val="Heading4"/>
      </w:pPr>
      <w:r w:rsidRPr="003A6417">
        <w:t>Pricing, terms and conditions of the scheme</w:t>
      </w:r>
      <w:r>
        <w:t>s</w:t>
      </w:r>
    </w:p>
    <w:p w14:paraId="4FA4F5C3" w14:textId="1F25CB2F" w:rsidR="008D66AB" w:rsidRDefault="008D66AB" w:rsidP="009B5310">
      <w:pPr>
        <w:pStyle w:val="NumberedParagraph3"/>
      </w:pPr>
      <w:r w:rsidRPr="009E064F">
        <w:t xml:space="preserve">The </w:t>
      </w:r>
      <w:r>
        <w:t xml:space="preserve">pricing, terms and conditions of the </w:t>
      </w:r>
      <w:r w:rsidR="000401CA">
        <w:t>preference shares</w:t>
      </w:r>
      <w:r>
        <w:t xml:space="preserve"> are linked</w:t>
      </w:r>
      <w:r w:rsidR="000401CA">
        <w:t xml:space="preserve"> to</w:t>
      </w:r>
      <w:r>
        <w:t xml:space="preserve"> or dependent on the pricing, terms </w:t>
      </w:r>
      <w:r w:rsidR="0057430B">
        <w:t>and</w:t>
      </w:r>
      <w:r>
        <w:t xml:space="preserve"> conditions of the </w:t>
      </w:r>
      <w:r w:rsidR="000401CA">
        <w:t>d</w:t>
      </w:r>
      <w:r>
        <w:t>ebentures.</w:t>
      </w:r>
      <w:r w:rsidRPr="00A17AA4">
        <w:t xml:space="preserve">  </w:t>
      </w:r>
      <w:r>
        <w:t xml:space="preserve">The terms of the </w:t>
      </w:r>
      <w:r w:rsidR="000401CA">
        <w:t>preference shares</w:t>
      </w:r>
      <w:r>
        <w:t xml:space="preserve"> includes a specific condition that the US investors will only be entitled to </w:t>
      </w:r>
      <w:r w:rsidR="000401CA">
        <w:t xml:space="preserve">six </w:t>
      </w:r>
      <w:r>
        <w:t xml:space="preserve">monthly non-cumulative dividends to the extent that the US Company </w:t>
      </w:r>
      <w:r>
        <w:lastRenderedPageBreak/>
        <w:t xml:space="preserve">receives a corresponding amount of interest from Head Co on the debentures. That is, the return to the US investors is legally contingent on </w:t>
      </w:r>
      <w:r w:rsidR="000401CA">
        <w:t xml:space="preserve">receiving </w:t>
      </w:r>
      <w:r>
        <w:t xml:space="preserve">interest on debentures from Head Co. </w:t>
      </w:r>
    </w:p>
    <w:p w14:paraId="06751734" w14:textId="77777777" w:rsidR="008D66AB" w:rsidRDefault="008D66AB" w:rsidP="006644FB">
      <w:pPr>
        <w:pStyle w:val="Heading3"/>
      </w:pPr>
      <w:r w:rsidRPr="009E064F">
        <w:t xml:space="preserve">The schemes in </w:t>
      </w:r>
      <w:r w:rsidRPr="00AF6AF1">
        <w:t>combination</w:t>
      </w:r>
    </w:p>
    <w:p w14:paraId="5507E5CE" w14:textId="788397F2" w:rsidR="008D66AB" w:rsidRDefault="008D66AB" w:rsidP="009B5310">
      <w:pPr>
        <w:pStyle w:val="NumberedParagraph3"/>
      </w:pPr>
      <w:r>
        <w:t xml:space="preserve">The fact that Head Co and US Company have knowingly and willingly entered into the </w:t>
      </w:r>
      <w:r w:rsidR="000401CA">
        <w:t>p</w:t>
      </w:r>
      <w:r>
        <w:t xml:space="preserve">reference </w:t>
      </w:r>
      <w:r w:rsidR="000401CA">
        <w:t>s</w:t>
      </w:r>
      <w:r>
        <w:t xml:space="preserve">hare and the debentures scheme to raise finance for the Head Co, and that US Company is indirectly wholly owned by Head Co supports aggregation of the </w:t>
      </w:r>
      <w:r w:rsidR="000401CA">
        <w:t>preference shares</w:t>
      </w:r>
      <w:r w:rsidR="001A6015">
        <w:t xml:space="preserve"> and </w:t>
      </w:r>
      <w:r w:rsidR="000401CA">
        <w:t>d</w:t>
      </w:r>
      <w:r>
        <w:t xml:space="preserve">ebentures. </w:t>
      </w:r>
    </w:p>
    <w:p w14:paraId="2B07E75B" w14:textId="77777777" w:rsidR="008D66AB" w:rsidRDefault="008D66AB" w:rsidP="006644FB">
      <w:pPr>
        <w:pStyle w:val="Heading3"/>
      </w:pPr>
      <w:r>
        <w:t xml:space="preserve">Mere linkage and commercial </w:t>
      </w:r>
      <w:r w:rsidRPr="00AF6AF1">
        <w:t>understandings</w:t>
      </w:r>
    </w:p>
    <w:p w14:paraId="372C2973" w14:textId="0D6837FE" w:rsidR="00766D20" w:rsidRDefault="00766D20" w:rsidP="009B5310">
      <w:pPr>
        <w:pStyle w:val="NumberedParagraph3"/>
      </w:pPr>
      <w:r>
        <w:t xml:space="preserve">This arrangement is not one where normal commercial understandings or dealings in practice would result in the schemes being treated </w:t>
      </w:r>
      <w:r w:rsidR="000401CA">
        <w:t>separately</w:t>
      </w:r>
      <w:r>
        <w:t xml:space="preserve">. </w:t>
      </w:r>
    </w:p>
    <w:p w14:paraId="551BEC18" w14:textId="7238B801" w:rsidR="008D66AB" w:rsidRPr="0006375F" w:rsidRDefault="008D66AB" w:rsidP="00AF6AF1">
      <w:pPr>
        <w:pStyle w:val="Heading3"/>
      </w:pPr>
      <w:r w:rsidRPr="0006375F">
        <w:t xml:space="preserve">Example </w:t>
      </w:r>
      <w:r w:rsidR="005004B7">
        <w:t>6</w:t>
      </w:r>
      <w:r w:rsidRPr="0006375F">
        <w:t xml:space="preserve">: </w:t>
      </w:r>
      <w:r w:rsidR="000401CA">
        <w:t>C</w:t>
      </w:r>
      <w:r w:rsidRPr="0006375F">
        <w:t>hain of debt and equity – no aggregation</w:t>
      </w:r>
      <w:r>
        <w:rPr>
          <w:rStyle w:val="FootnoteReference"/>
        </w:rPr>
        <w:footnoteReference w:id="15"/>
      </w:r>
    </w:p>
    <w:p w14:paraId="2B3D3DB2" w14:textId="04F7E911" w:rsidR="008D66AB" w:rsidRPr="00C22BFA" w:rsidRDefault="008D66AB" w:rsidP="00AF6AF1">
      <w:pPr>
        <w:pStyle w:val="Heading4"/>
      </w:pPr>
      <w:r w:rsidRPr="00AF6AF1">
        <w:t>Background</w:t>
      </w:r>
      <w:r w:rsidRPr="00DB6407">
        <w:t xml:space="preserve"> </w:t>
      </w:r>
      <w:r w:rsidR="000846CB">
        <w:t>f</w:t>
      </w:r>
      <w:r w:rsidRPr="00DB6407">
        <w:t>acts</w:t>
      </w:r>
    </w:p>
    <w:p w14:paraId="67749B7F" w14:textId="77777777" w:rsidR="008D66AB" w:rsidRPr="001724B4" w:rsidRDefault="008D66AB" w:rsidP="001724B4">
      <w:pPr>
        <w:pStyle w:val="Bullet"/>
      </w:pPr>
      <w:r w:rsidRPr="001724B4">
        <w:t xml:space="preserve">UK Co, a widely held UK resident company, wholly owns another UK company, UK Parent Co. </w:t>
      </w:r>
      <w:r w:rsidRPr="001724B4">
        <w:tab/>
      </w:r>
    </w:p>
    <w:p w14:paraId="7F7E3C10" w14:textId="5261FC30" w:rsidR="008D66AB" w:rsidRPr="001724B4" w:rsidRDefault="008D66AB" w:rsidP="001724B4">
      <w:pPr>
        <w:pStyle w:val="Bullet"/>
      </w:pPr>
      <w:r w:rsidRPr="001724B4">
        <w:t>UK Parent Co incorporates a special purpose company in the Netherlands, Dutch</w:t>
      </w:r>
      <w:r w:rsidR="002A401A" w:rsidRPr="001724B4">
        <w:t> </w:t>
      </w:r>
      <w:r w:rsidRPr="001724B4">
        <w:t xml:space="preserve">Co, in order to acquire a debt interest in an existing Australian resident subsidiary of UK Co, </w:t>
      </w:r>
      <w:r w:rsidR="000846CB" w:rsidRPr="001724B4">
        <w:t xml:space="preserve">AUS </w:t>
      </w:r>
      <w:r w:rsidRPr="001724B4">
        <w:t xml:space="preserve">Co. </w:t>
      </w:r>
    </w:p>
    <w:p w14:paraId="28D3255B" w14:textId="77777777" w:rsidR="008D66AB" w:rsidRPr="001724B4" w:rsidRDefault="008D66AB" w:rsidP="001724B4">
      <w:pPr>
        <w:pStyle w:val="Bullet"/>
      </w:pPr>
      <w:r w:rsidRPr="001724B4">
        <w:t xml:space="preserve">UK Parent Co contributes $100 to acquire all the issued shares in Dutch Co. </w:t>
      </w:r>
    </w:p>
    <w:p w14:paraId="474CCAFB" w14:textId="18DB923E" w:rsidR="008D66AB" w:rsidRPr="001724B4" w:rsidRDefault="008D66AB" w:rsidP="001724B4">
      <w:pPr>
        <w:pStyle w:val="Bullet"/>
      </w:pPr>
      <w:r w:rsidRPr="001724B4">
        <w:t xml:space="preserve">Dutch Co uses the funds contributed by UK Parent Co to acquire the debt interest in </w:t>
      </w:r>
      <w:r w:rsidR="000846CB" w:rsidRPr="001724B4">
        <w:t xml:space="preserve">AUS </w:t>
      </w:r>
      <w:r w:rsidRPr="001724B4">
        <w:t xml:space="preserve">Co. </w:t>
      </w:r>
      <w:r w:rsidR="000846CB" w:rsidRPr="001724B4">
        <w:t xml:space="preserve">AUS </w:t>
      </w:r>
      <w:r w:rsidRPr="001724B4">
        <w:t xml:space="preserve">Co pays interest to Dutch Co pursuant to the loan agreement. </w:t>
      </w:r>
    </w:p>
    <w:p w14:paraId="6813DE7E" w14:textId="42D0FAF7" w:rsidR="008D66AB" w:rsidRPr="001724B4" w:rsidRDefault="008D66AB" w:rsidP="001724B4">
      <w:pPr>
        <w:pStyle w:val="Bullet"/>
      </w:pPr>
      <w:r w:rsidRPr="001724B4">
        <w:t xml:space="preserve">Dutch Co pays dividends to UK Parent Co based on </w:t>
      </w:r>
      <w:r w:rsidR="000846CB" w:rsidRPr="001724B4">
        <w:t xml:space="preserve">Dutch </w:t>
      </w:r>
      <w:proofErr w:type="spellStart"/>
      <w:r w:rsidR="000846CB" w:rsidRPr="001724B4">
        <w:t>Co’s</w:t>
      </w:r>
      <w:proofErr w:type="spellEnd"/>
      <w:r w:rsidR="000846CB" w:rsidRPr="001724B4">
        <w:t xml:space="preserve"> </w:t>
      </w:r>
      <w:r w:rsidRPr="001724B4">
        <w:t xml:space="preserve">available profits. </w:t>
      </w:r>
    </w:p>
    <w:p w14:paraId="5D4B6369" w14:textId="77777777" w:rsidR="008D66AB" w:rsidRPr="001724B4" w:rsidRDefault="008D66AB" w:rsidP="001724B4">
      <w:pPr>
        <w:pStyle w:val="Bullet"/>
      </w:pPr>
      <w:r w:rsidRPr="001724B4">
        <w:t xml:space="preserve">UK Parent Co pays dividends to UK Co out of a pool of dividends received from subsidiaries, including Dutch Co. UK Co pays dividends to its shareholders. </w:t>
      </w:r>
    </w:p>
    <w:p w14:paraId="3031929B" w14:textId="21906B27" w:rsidR="008D66AB" w:rsidRDefault="008D66AB" w:rsidP="001724B4">
      <w:pPr>
        <w:pStyle w:val="Graphic"/>
        <w:spacing w:before="360"/>
      </w:pPr>
      <w:r>
        <w:rPr>
          <w:noProof/>
          <w:lang w:val="en-US" w:eastAsia="en-US"/>
        </w:rPr>
        <w:drawing>
          <wp:inline distT="0" distB="0" distL="0" distR="0" wp14:anchorId="60EB41B0" wp14:editId="3C43F679">
            <wp:extent cx="5401945" cy="15621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3.png"/>
                    <pic:cNvPicPr/>
                  </pic:nvPicPr>
                  <pic:blipFill>
                    <a:blip r:embed="rId43">
                      <a:extLst>
                        <a:ext uri="{28A0092B-C50C-407E-A947-70E740481C1C}">
                          <a14:useLocalDpi xmlns:a14="http://schemas.microsoft.com/office/drawing/2010/main" val="0"/>
                        </a:ext>
                      </a:extLst>
                    </a:blip>
                    <a:stretch>
                      <a:fillRect/>
                    </a:stretch>
                  </pic:blipFill>
                  <pic:spPr>
                    <a:xfrm>
                      <a:off x="0" y="0"/>
                      <a:ext cx="5401945" cy="1562100"/>
                    </a:xfrm>
                    <a:prstGeom prst="rect">
                      <a:avLst/>
                    </a:prstGeom>
                  </pic:spPr>
                </pic:pic>
              </a:graphicData>
            </a:graphic>
          </wp:inline>
        </w:drawing>
      </w:r>
    </w:p>
    <w:p w14:paraId="424514F0" w14:textId="77777777" w:rsidR="006644FB" w:rsidRDefault="006644FB" w:rsidP="006644FB">
      <w:pPr>
        <w:pStyle w:val="SingleParagraph"/>
      </w:pPr>
    </w:p>
    <w:p w14:paraId="78D20784" w14:textId="28104193" w:rsidR="008D66AB" w:rsidRDefault="000846CB" w:rsidP="006644FB">
      <w:pPr>
        <w:pStyle w:val="Heading3"/>
      </w:pPr>
      <w:r w:rsidRPr="00DB6407">
        <w:lastRenderedPageBreak/>
        <w:t>Appl</w:t>
      </w:r>
      <w:r>
        <w:t>ying</w:t>
      </w:r>
      <w:r w:rsidRPr="00DB6407">
        <w:t xml:space="preserve"> </w:t>
      </w:r>
      <w:r>
        <w:t>the</w:t>
      </w:r>
      <w:r w:rsidRPr="00DB6407">
        <w:t xml:space="preserve"> </w:t>
      </w:r>
      <w:r w:rsidR="008D66AB" w:rsidRPr="00AF6AF1">
        <w:t>proposed</w:t>
      </w:r>
      <w:r w:rsidR="008D66AB" w:rsidRPr="00DB6407">
        <w:t xml:space="preserve"> new principles</w:t>
      </w:r>
    </w:p>
    <w:p w14:paraId="2C775089" w14:textId="77777777" w:rsidR="008D66AB" w:rsidRDefault="008D66AB" w:rsidP="006644FB">
      <w:pPr>
        <w:pStyle w:val="Heading4"/>
      </w:pPr>
      <w:r w:rsidRPr="003A6417">
        <w:t xml:space="preserve">Pricing, terms and </w:t>
      </w:r>
      <w:r w:rsidRPr="00AF6AF1">
        <w:t>conditions</w:t>
      </w:r>
      <w:r w:rsidRPr="003A6417">
        <w:t xml:space="preserve"> of the scheme</w:t>
      </w:r>
      <w:r>
        <w:t>s</w:t>
      </w:r>
    </w:p>
    <w:p w14:paraId="78595BBA" w14:textId="152760C9" w:rsidR="008D66AB" w:rsidRDefault="008D66AB" w:rsidP="009B5310">
      <w:pPr>
        <w:pStyle w:val="NumberedParagraph3"/>
      </w:pPr>
      <w:r>
        <w:t xml:space="preserve">The pricing, terms and conditions of the </w:t>
      </w:r>
      <w:r w:rsidR="000846CB">
        <w:t>l</w:t>
      </w:r>
      <w:r>
        <w:t xml:space="preserve">oan (from Dutch Co to </w:t>
      </w:r>
      <w:r w:rsidR="000846CB">
        <w:t xml:space="preserve">AUS </w:t>
      </w:r>
      <w:r>
        <w:t>Co) are not dependent</w:t>
      </w:r>
      <w:r w:rsidR="000846CB">
        <w:t xml:space="preserve"> on</w:t>
      </w:r>
      <w:r>
        <w:t xml:space="preserve"> or linked to</w:t>
      </w:r>
      <w:r w:rsidR="00972119">
        <w:t xml:space="preserve"> the pricing, terms and conditions of the</w:t>
      </w:r>
      <w:r>
        <w:t xml:space="preserve"> ordinary shares in Dutch Co that would affect the application of the debt or equity test</w:t>
      </w:r>
      <w:r w:rsidR="000846CB">
        <w:t>s</w:t>
      </w:r>
      <w:r>
        <w:t xml:space="preserve">. That is, the company </w:t>
      </w:r>
      <w:r w:rsidR="000846CB">
        <w:t>must fulfil</w:t>
      </w:r>
      <w:r>
        <w:t xml:space="preserve"> its obligations under the loan agreement without </w:t>
      </w:r>
      <w:r w:rsidR="000846CB">
        <w:t xml:space="preserve">referring </w:t>
      </w:r>
      <w:r>
        <w:t>to th</w:t>
      </w:r>
      <w:r w:rsidR="00972119">
        <w:t>e terms attached to the shares.</w:t>
      </w:r>
    </w:p>
    <w:p w14:paraId="1720E51C" w14:textId="5F26DE9F" w:rsidR="008D66AB" w:rsidRPr="004C1FF3" w:rsidRDefault="008D66AB" w:rsidP="009B5310">
      <w:pPr>
        <w:pStyle w:val="NumberedParagraph3"/>
      </w:pPr>
      <w:r>
        <w:t xml:space="preserve">The pricing, terms and conditions of the </w:t>
      </w:r>
      <w:r w:rsidR="000846CB">
        <w:t>l</w:t>
      </w:r>
      <w:r>
        <w:t>oan do not operate in a way that would alter the economic consequences of the ordinary shares in Dutch Co</w:t>
      </w:r>
      <w:r w:rsidR="00972119">
        <w:t xml:space="preserve"> in a manner in which would affect the application of the debt or equity tests to one or more of the schemes (or vice versa)</w:t>
      </w:r>
      <w:r>
        <w:t>.</w:t>
      </w:r>
      <w:r w:rsidR="00972119">
        <w:t xml:space="preserve"> The return on the loan is merely a source of funds used to pay dividends to the UK shareholders.</w:t>
      </w:r>
      <w:r>
        <w:t xml:space="preserve">  </w:t>
      </w:r>
    </w:p>
    <w:p w14:paraId="64022448" w14:textId="77777777" w:rsidR="008D66AB" w:rsidRDefault="008D66AB" w:rsidP="006644FB">
      <w:pPr>
        <w:pStyle w:val="Heading4"/>
      </w:pPr>
      <w:r w:rsidRPr="009E064F">
        <w:t xml:space="preserve">The schemes in </w:t>
      </w:r>
      <w:r w:rsidRPr="00AF6AF1">
        <w:t>combination</w:t>
      </w:r>
    </w:p>
    <w:p w14:paraId="4136D871" w14:textId="764A4E2D" w:rsidR="008D66AB" w:rsidRPr="004C1FF3" w:rsidRDefault="008D66AB" w:rsidP="009B5310">
      <w:pPr>
        <w:pStyle w:val="NumberedParagraph3"/>
      </w:pPr>
      <w:r>
        <w:t xml:space="preserve">As there is no dependency or link between the </w:t>
      </w:r>
      <w:r w:rsidR="000846CB">
        <w:t>l</w:t>
      </w:r>
      <w:r>
        <w:t>oan and the ordinary shares in Dutch Co, it is not necessary to consider the schemes in combination.</w:t>
      </w:r>
    </w:p>
    <w:p w14:paraId="701A2B4F" w14:textId="77777777" w:rsidR="008D66AB" w:rsidRPr="009E064F" w:rsidRDefault="008D66AB" w:rsidP="006644FB">
      <w:pPr>
        <w:pStyle w:val="Heading4"/>
      </w:pPr>
      <w:r w:rsidRPr="009E064F">
        <w:t xml:space="preserve">Mere linkages and commercial </w:t>
      </w:r>
      <w:r w:rsidRPr="00AF6AF1">
        <w:t>understandings</w:t>
      </w:r>
    </w:p>
    <w:p w14:paraId="36FC61BF" w14:textId="3EC9A73B" w:rsidR="00A37680" w:rsidRDefault="008D66AB" w:rsidP="009B5310">
      <w:pPr>
        <w:pStyle w:val="NumberedParagraph3"/>
      </w:pPr>
      <w:r>
        <w:t xml:space="preserve">As there is no dependency or link between the pricing, terms and conditions of the </w:t>
      </w:r>
      <w:r w:rsidR="000846CB">
        <w:t>l</w:t>
      </w:r>
      <w:r>
        <w:t>oan and</w:t>
      </w:r>
      <w:r w:rsidR="000846CB">
        <w:t xml:space="preserve"> of</w:t>
      </w:r>
      <w:r>
        <w:t xml:space="preserve"> the ordinary shares in Dutch Co, it is not necessary to consider mere links and commercial understandings or dealings in practice. </w:t>
      </w:r>
      <w:r w:rsidR="000846CB">
        <w:t xml:space="preserve">To avoid any doubt, </w:t>
      </w:r>
      <w:r w:rsidRPr="00970C29">
        <w:t>mere funding</w:t>
      </w:r>
      <w:r>
        <w:t xml:space="preserve"> is not sufficient to create the requisite dependency or link.</w:t>
      </w:r>
    </w:p>
    <w:p w14:paraId="6E8ACE9F" w14:textId="75E353A2" w:rsidR="00886BE3" w:rsidRPr="00DF39AD" w:rsidRDefault="00886BE3" w:rsidP="00AF6AF1">
      <w:pPr>
        <w:pStyle w:val="Heading3"/>
      </w:pPr>
      <w:r w:rsidRPr="00DF39AD">
        <w:t xml:space="preserve">Example </w:t>
      </w:r>
      <w:r w:rsidR="005004B7">
        <w:t>7</w:t>
      </w:r>
      <w:r w:rsidRPr="00DF39AD">
        <w:t xml:space="preserve">: 99/1 </w:t>
      </w:r>
      <w:r w:rsidRPr="00AF6AF1">
        <w:t>structure</w:t>
      </w:r>
      <w:r w:rsidRPr="00DF39AD">
        <w:t xml:space="preserve"> – no aggregation</w:t>
      </w:r>
    </w:p>
    <w:p w14:paraId="5E25A9D0" w14:textId="59215D18" w:rsidR="00886BE3" w:rsidRPr="000972BB" w:rsidRDefault="00886BE3" w:rsidP="00AF6AF1">
      <w:pPr>
        <w:pStyle w:val="Heading4"/>
      </w:pPr>
      <w:r w:rsidRPr="00DB6407">
        <w:t xml:space="preserve">Background </w:t>
      </w:r>
      <w:r w:rsidR="000846CB" w:rsidRPr="00AF6AF1">
        <w:t>f</w:t>
      </w:r>
      <w:r w:rsidRPr="00AF6AF1">
        <w:t>acts</w:t>
      </w:r>
    </w:p>
    <w:p w14:paraId="65F07ABC" w14:textId="01DE8E8B" w:rsidR="00886BE3" w:rsidRPr="001724B4" w:rsidRDefault="00886BE3" w:rsidP="001724B4">
      <w:pPr>
        <w:pStyle w:val="Bullet"/>
      </w:pPr>
      <w:r w:rsidRPr="001724B4">
        <w:t xml:space="preserve">The investors borrow $99 million from an </w:t>
      </w:r>
      <w:r w:rsidR="000846CB" w:rsidRPr="001724B4">
        <w:t>e</w:t>
      </w:r>
      <w:r w:rsidRPr="001724B4">
        <w:t xml:space="preserve">xternal </w:t>
      </w:r>
      <w:r w:rsidR="000846CB" w:rsidRPr="001724B4">
        <w:t>f</w:t>
      </w:r>
      <w:r w:rsidRPr="001724B4">
        <w:t>inancier</w:t>
      </w:r>
      <w:r w:rsidR="00301F86">
        <w:t xml:space="preserve"> (external loan)</w:t>
      </w:r>
      <w:r w:rsidRPr="001724B4">
        <w:t>. The investors use the funds to acquire units in X Trust and contribute $1 million of their own money to subscribe for shares in Y Co</w:t>
      </w:r>
      <w:r w:rsidR="00B21BF5" w:rsidRPr="001724B4">
        <w:t>mpany</w:t>
      </w:r>
      <w:r w:rsidRPr="001724B4">
        <w:t xml:space="preserve">. </w:t>
      </w:r>
    </w:p>
    <w:p w14:paraId="55A166E5" w14:textId="77777777" w:rsidR="00886BE3" w:rsidRPr="001724B4" w:rsidRDefault="00886BE3" w:rsidP="001724B4">
      <w:pPr>
        <w:pStyle w:val="Bullet"/>
      </w:pPr>
      <w:r w:rsidRPr="001724B4">
        <w:t xml:space="preserve">The units and shares are stapled to one another and can only be disposed of together. </w:t>
      </w:r>
    </w:p>
    <w:p w14:paraId="2BF54EE9" w14:textId="35843835" w:rsidR="00886BE3" w:rsidRPr="001724B4" w:rsidRDefault="00886BE3" w:rsidP="001724B4">
      <w:pPr>
        <w:pStyle w:val="Bullet"/>
      </w:pPr>
      <w:r w:rsidRPr="001724B4">
        <w:t xml:space="preserve">X Trust lends at interest the $99 million received form the investors </w:t>
      </w:r>
      <w:r w:rsidR="000846CB" w:rsidRPr="001724B4">
        <w:t xml:space="preserve">in </w:t>
      </w:r>
      <w:r w:rsidRPr="001724B4">
        <w:t>Y Co</w:t>
      </w:r>
      <w:r w:rsidR="00B21BF5" w:rsidRPr="001724B4">
        <w:t>mpany</w:t>
      </w:r>
      <w:r w:rsidR="00637884">
        <w:t xml:space="preserve"> (loan)</w:t>
      </w:r>
      <w:r w:rsidRPr="001724B4">
        <w:t xml:space="preserve">. </w:t>
      </w:r>
    </w:p>
    <w:p w14:paraId="7CE113D0" w14:textId="7AFAA9C7" w:rsidR="00886BE3" w:rsidRPr="001724B4" w:rsidRDefault="00886BE3" w:rsidP="001724B4">
      <w:pPr>
        <w:pStyle w:val="Bullet"/>
      </w:pPr>
      <w:r w:rsidRPr="001724B4">
        <w:t>The investors</w:t>
      </w:r>
      <w:r w:rsidR="000846CB" w:rsidRPr="001724B4">
        <w:t>’ entitlement</w:t>
      </w:r>
      <w:r w:rsidRPr="001724B4">
        <w:t xml:space="preserve"> to demand the return of invested trust capital or the distribution of trust income is unfettered by limitations in the trust instrument or by collateral agreements, and is not contingent upon the</w:t>
      </w:r>
      <w:r w:rsidR="000846CB" w:rsidRPr="001724B4">
        <w:t xml:space="preserve"> company’s</w:t>
      </w:r>
      <w:r w:rsidRPr="001724B4">
        <w:t xml:space="preserve"> ability to return share capital or distribute profits to its shareholders.</w:t>
      </w:r>
    </w:p>
    <w:p w14:paraId="61C2043A" w14:textId="77777777" w:rsidR="00886BE3" w:rsidRDefault="00886BE3" w:rsidP="006644FB">
      <w:pPr>
        <w:pStyle w:val="Graphic"/>
      </w:pPr>
      <w:r>
        <w:rPr>
          <w:noProof/>
          <w:lang w:val="en-US" w:eastAsia="en-US"/>
        </w:rPr>
        <w:lastRenderedPageBreak/>
        <w:drawing>
          <wp:inline distT="0" distB="0" distL="0" distR="0" wp14:anchorId="723923E3" wp14:editId="60E3F309">
            <wp:extent cx="2905125" cy="32165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_5.png"/>
                    <pic:cNvPicPr/>
                  </pic:nvPicPr>
                  <pic:blipFill>
                    <a:blip r:embed="rId44">
                      <a:extLst>
                        <a:ext uri="{28A0092B-C50C-407E-A947-70E740481C1C}">
                          <a14:useLocalDpi xmlns:a14="http://schemas.microsoft.com/office/drawing/2010/main" val="0"/>
                        </a:ext>
                      </a:extLst>
                    </a:blip>
                    <a:stretch>
                      <a:fillRect/>
                    </a:stretch>
                  </pic:blipFill>
                  <pic:spPr>
                    <a:xfrm>
                      <a:off x="0" y="0"/>
                      <a:ext cx="2912217" cy="3224444"/>
                    </a:xfrm>
                    <a:prstGeom prst="rect">
                      <a:avLst/>
                    </a:prstGeom>
                  </pic:spPr>
                </pic:pic>
              </a:graphicData>
            </a:graphic>
          </wp:inline>
        </w:drawing>
      </w:r>
    </w:p>
    <w:p w14:paraId="783EF824" w14:textId="77777777" w:rsidR="006644FB" w:rsidRDefault="006644FB" w:rsidP="006644FB">
      <w:pPr>
        <w:pStyle w:val="SingleParagraph"/>
      </w:pPr>
    </w:p>
    <w:p w14:paraId="739E5BFB" w14:textId="07D2C74E" w:rsidR="00886BE3" w:rsidRPr="0006375F" w:rsidRDefault="000846CB" w:rsidP="006644FB">
      <w:pPr>
        <w:pStyle w:val="Heading3"/>
      </w:pPr>
      <w:r w:rsidRPr="0006375F">
        <w:t>Appl</w:t>
      </w:r>
      <w:r>
        <w:t>ying the</w:t>
      </w:r>
      <w:r w:rsidR="00886BE3" w:rsidRPr="0006375F">
        <w:t xml:space="preserve"> </w:t>
      </w:r>
      <w:r w:rsidR="00886BE3" w:rsidRPr="00AF6AF1">
        <w:t>proposed</w:t>
      </w:r>
      <w:r w:rsidR="00886BE3" w:rsidRPr="0006375F">
        <w:t xml:space="preserve"> new principles</w:t>
      </w:r>
    </w:p>
    <w:p w14:paraId="1D3B9755" w14:textId="4E86FFAD" w:rsidR="00886BE3" w:rsidRPr="0006375F" w:rsidRDefault="00886BE3" w:rsidP="006644FB">
      <w:pPr>
        <w:pStyle w:val="Heading4"/>
        <w:rPr>
          <w:rFonts w:eastAsiaTheme="minorEastAsia"/>
        </w:rPr>
      </w:pPr>
      <w:r w:rsidRPr="0006375F">
        <w:rPr>
          <w:rFonts w:eastAsiaTheme="minorEastAsia"/>
        </w:rPr>
        <w:t>Loan and</w:t>
      </w:r>
      <w:r w:rsidR="00EA3444">
        <w:rPr>
          <w:rFonts w:eastAsiaTheme="minorEastAsia"/>
        </w:rPr>
        <w:t xml:space="preserve"> shares in Y Company </w:t>
      </w:r>
      <w:r w:rsidRPr="0006375F">
        <w:rPr>
          <w:rFonts w:eastAsiaTheme="minorEastAsia"/>
        </w:rPr>
        <w:t>– not aggregated</w:t>
      </w:r>
    </w:p>
    <w:p w14:paraId="122967FB" w14:textId="77777777" w:rsidR="00886BE3" w:rsidRPr="008854D7" w:rsidRDefault="00886BE3" w:rsidP="006644FB">
      <w:pPr>
        <w:pStyle w:val="Heading5"/>
      </w:pPr>
      <w:r w:rsidRPr="003A6417">
        <w:t xml:space="preserve">Pricing, terms and conditions of </w:t>
      </w:r>
      <w:r w:rsidRPr="00AF6AF1">
        <w:t>the</w:t>
      </w:r>
      <w:r w:rsidRPr="003A6417">
        <w:t xml:space="preserve"> scheme</w:t>
      </w:r>
      <w:r>
        <w:t>s</w:t>
      </w:r>
    </w:p>
    <w:p w14:paraId="5986C254" w14:textId="655AEB33" w:rsidR="00886BE3" w:rsidRDefault="00886BE3" w:rsidP="009B5310">
      <w:pPr>
        <w:pStyle w:val="NumberedParagraph3"/>
      </w:pPr>
      <w:r w:rsidRPr="008854D7">
        <w:t xml:space="preserve">The </w:t>
      </w:r>
      <w:r>
        <w:t>pricing, terms and c</w:t>
      </w:r>
      <w:r w:rsidR="00EA3444">
        <w:t>onditions of the shares in Y Company</w:t>
      </w:r>
      <w:r>
        <w:t xml:space="preserve"> are not linked </w:t>
      </w:r>
      <w:r w:rsidR="000846CB">
        <w:t xml:space="preserve">to </w:t>
      </w:r>
      <w:r>
        <w:t xml:space="preserve">or dependent on the pricing, terms </w:t>
      </w:r>
      <w:r w:rsidR="0057430B">
        <w:t>and</w:t>
      </w:r>
      <w:r>
        <w:t xml:space="preserve"> conditions of the loan as</w:t>
      </w:r>
      <w:r w:rsidR="00EA3444">
        <w:t xml:space="preserve"> the repayment of the loan is not legally contingent on a distribution being made on </w:t>
      </w:r>
      <w:r>
        <w:t>Y</w:t>
      </w:r>
      <w:r w:rsidR="002A401A">
        <w:t> </w:t>
      </w:r>
      <w:r>
        <w:t>Co</w:t>
      </w:r>
      <w:r w:rsidR="00B21BF5">
        <w:t>mpany</w:t>
      </w:r>
      <w:r w:rsidR="00EA3444">
        <w:t xml:space="preserve"> shares (or vice versa).</w:t>
      </w:r>
    </w:p>
    <w:p w14:paraId="6BFDED40" w14:textId="5E07727F" w:rsidR="00EA3444" w:rsidRDefault="00EA3444" w:rsidP="009B5310">
      <w:pPr>
        <w:pStyle w:val="NumberedParagraph3"/>
      </w:pPr>
      <w:r>
        <w:t>The pricing, terms and conditions of the shares in Y Company do not operate in a way that would alter the economic consequences of the pricing terms of the loan in a manner which would affect the application of the debt or equity tests to one or more of the schemes (or vice versa).</w:t>
      </w:r>
    </w:p>
    <w:p w14:paraId="21D9E88F" w14:textId="77777777" w:rsidR="00886BE3" w:rsidRDefault="00886BE3" w:rsidP="006644FB">
      <w:pPr>
        <w:pStyle w:val="Heading3"/>
      </w:pPr>
      <w:r w:rsidRPr="009E064F">
        <w:t xml:space="preserve">The </w:t>
      </w:r>
      <w:r w:rsidRPr="00AF6AF1">
        <w:t>schemes</w:t>
      </w:r>
      <w:r w:rsidRPr="009E064F">
        <w:t xml:space="preserve"> in combination</w:t>
      </w:r>
    </w:p>
    <w:p w14:paraId="3FBB79D6" w14:textId="3240AEC8" w:rsidR="00886BE3" w:rsidRPr="004C1FF3" w:rsidRDefault="00886BE3" w:rsidP="009B5310">
      <w:pPr>
        <w:pStyle w:val="NumberedParagraph3"/>
      </w:pPr>
      <w:r>
        <w:t>As there is no dependency or link between the loan and Y Co</w:t>
      </w:r>
      <w:r w:rsidR="00B21BF5">
        <w:t>mpany</w:t>
      </w:r>
      <w:r>
        <w:t xml:space="preserve"> shares, it is not necessary to consider the schemes in combination.</w:t>
      </w:r>
    </w:p>
    <w:p w14:paraId="163DCFF3" w14:textId="77777777" w:rsidR="00886BE3" w:rsidRDefault="00886BE3" w:rsidP="006644FB">
      <w:pPr>
        <w:pStyle w:val="Heading4"/>
      </w:pPr>
      <w:r>
        <w:t xml:space="preserve">Mere linkage and </w:t>
      </w:r>
      <w:r w:rsidRPr="00AF6AF1">
        <w:t>commercial</w:t>
      </w:r>
      <w:r>
        <w:t xml:space="preserve"> understandings</w:t>
      </w:r>
    </w:p>
    <w:p w14:paraId="5C5F6282" w14:textId="6DBFFDBA" w:rsidR="00886BE3" w:rsidRDefault="00886BE3" w:rsidP="009B5310">
      <w:pPr>
        <w:pStyle w:val="NumberedParagraph3"/>
      </w:pPr>
      <w:r>
        <w:t>As there is no dependency or link between the pricing, terms and conditions of the loan and Y Co</w:t>
      </w:r>
      <w:r w:rsidR="00B21BF5">
        <w:t>mpany</w:t>
      </w:r>
      <w:r>
        <w:t xml:space="preserve"> shares, it is not necessary to consider mere linkages and commercial understandings.</w:t>
      </w:r>
      <w:r w:rsidR="00B21BF5">
        <w:t xml:space="preserve"> </w:t>
      </w:r>
      <w:r>
        <w:t>Furthermore, mere stapling would not create a dependency or link.</w:t>
      </w:r>
    </w:p>
    <w:p w14:paraId="6B690E8E" w14:textId="77777777" w:rsidR="001A6015" w:rsidRDefault="001A6015" w:rsidP="001A6015">
      <w:pPr>
        <w:pStyle w:val="NumberedParagraph3"/>
        <w:numPr>
          <w:ilvl w:val="0"/>
          <w:numId w:val="0"/>
        </w:numPr>
      </w:pPr>
    </w:p>
    <w:p w14:paraId="52530F22" w14:textId="428F79EF" w:rsidR="00886BE3" w:rsidRPr="008854D7" w:rsidRDefault="00886BE3" w:rsidP="006644FB">
      <w:pPr>
        <w:pStyle w:val="Heading4"/>
        <w:rPr>
          <w:rFonts w:eastAsiaTheme="minorEastAsia"/>
        </w:rPr>
      </w:pPr>
      <w:r w:rsidRPr="008854D7">
        <w:rPr>
          <w:rFonts w:eastAsiaTheme="minorEastAsia"/>
        </w:rPr>
        <w:lastRenderedPageBreak/>
        <w:t xml:space="preserve">Loan and </w:t>
      </w:r>
      <w:r w:rsidR="000846CB">
        <w:rPr>
          <w:rFonts w:eastAsiaTheme="minorEastAsia"/>
        </w:rPr>
        <w:t>u</w:t>
      </w:r>
      <w:r w:rsidRPr="008854D7">
        <w:rPr>
          <w:rFonts w:eastAsiaTheme="minorEastAsia"/>
        </w:rPr>
        <w:t xml:space="preserve">nits in </w:t>
      </w:r>
      <w:r w:rsidR="00BF1699">
        <w:rPr>
          <w:rFonts w:eastAsiaTheme="minorEastAsia"/>
        </w:rPr>
        <w:t>X</w:t>
      </w:r>
      <w:r w:rsidR="000208B9">
        <w:rPr>
          <w:rFonts w:eastAsiaTheme="minorEastAsia"/>
        </w:rPr>
        <w:t xml:space="preserve"> trust</w:t>
      </w:r>
      <w:r w:rsidRPr="008854D7">
        <w:rPr>
          <w:rFonts w:eastAsiaTheme="minorEastAsia"/>
        </w:rPr>
        <w:t xml:space="preserve"> – not </w:t>
      </w:r>
      <w:r w:rsidRPr="00AF6AF1">
        <w:rPr>
          <w:rFonts w:eastAsiaTheme="minorEastAsia"/>
        </w:rPr>
        <w:t>aggregated</w:t>
      </w:r>
    </w:p>
    <w:p w14:paraId="5778797F" w14:textId="77777777" w:rsidR="00886BE3" w:rsidRDefault="00886BE3" w:rsidP="006644FB">
      <w:pPr>
        <w:pStyle w:val="Heading5"/>
      </w:pPr>
      <w:r>
        <w:t xml:space="preserve">Pricing, terms and conditions of the </w:t>
      </w:r>
      <w:r w:rsidRPr="00AF6AF1">
        <w:t>schemes</w:t>
      </w:r>
    </w:p>
    <w:p w14:paraId="3EF2EE79" w14:textId="73BDD8E6" w:rsidR="009854DE" w:rsidRDefault="00886BE3" w:rsidP="009854DE">
      <w:pPr>
        <w:pStyle w:val="NumberedParagraph3"/>
      </w:pPr>
      <w:r w:rsidRPr="009854DE">
        <w:t>The pricing, terms and</w:t>
      </w:r>
      <w:r w:rsidR="00BF1699">
        <w:t xml:space="preserve"> conditions of the units in X</w:t>
      </w:r>
      <w:r w:rsidR="000208B9" w:rsidRPr="009854DE">
        <w:t xml:space="preserve"> trust</w:t>
      </w:r>
      <w:r w:rsidRPr="009854DE">
        <w:t xml:space="preserve"> are not linked </w:t>
      </w:r>
      <w:r w:rsidR="000846CB" w:rsidRPr="009854DE">
        <w:t xml:space="preserve">to </w:t>
      </w:r>
      <w:r w:rsidRPr="009854DE">
        <w:t xml:space="preserve">or dependent on the pricing, terms </w:t>
      </w:r>
      <w:r w:rsidR="0057430B" w:rsidRPr="009854DE">
        <w:t>and</w:t>
      </w:r>
      <w:r w:rsidRPr="009854DE">
        <w:t xml:space="preserve"> conditions of the loan as distributions from X</w:t>
      </w:r>
      <w:r w:rsidR="002A401A" w:rsidRPr="009854DE">
        <w:t> </w:t>
      </w:r>
      <w:r w:rsidRPr="009854DE">
        <w:t>Trust are not legally contingent on a return being made on th</w:t>
      </w:r>
      <w:r w:rsidR="009854DE" w:rsidRPr="009854DE">
        <w:t>e X Trust loan (or vice versa).</w:t>
      </w:r>
    </w:p>
    <w:p w14:paraId="5536E5B7" w14:textId="2451C067" w:rsidR="00BF1699" w:rsidRPr="009854DE" w:rsidRDefault="00BF1699" w:rsidP="009854DE">
      <w:pPr>
        <w:pStyle w:val="NumberedParagraph3"/>
      </w:pPr>
      <w:r>
        <w:t>The pricing, terms and conditions of the units in X Trust do not operate in a way that would alter the economic consequences of the pricing, terms of the loan in a manner which would affect the application of the debt or equity test to one or more of the schemes (or vice versa).</w:t>
      </w:r>
    </w:p>
    <w:p w14:paraId="172A45B8" w14:textId="28CF977A" w:rsidR="00886BE3" w:rsidRDefault="00886BE3" w:rsidP="006644FB">
      <w:pPr>
        <w:pStyle w:val="Heading5"/>
      </w:pPr>
      <w:r w:rsidRPr="009E064F">
        <w:t>The schemes in combination</w:t>
      </w:r>
    </w:p>
    <w:p w14:paraId="4BC16482" w14:textId="77777777" w:rsidR="00886BE3" w:rsidRPr="004C1FF3" w:rsidRDefault="00886BE3" w:rsidP="009B5310">
      <w:pPr>
        <w:pStyle w:val="NumberedParagraph3"/>
      </w:pPr>
      <w:r>
        <w:t>As there is no dependency or link between the loan and units in X Trust, it is not necessary to consider the schemes in combination.</w:t>
      </w:r>
    </w:p>
    <w:p w14:paraId="55399FB3" w14:textId="52DF8A29" w:rsidR="00886BE3" w:rsidRDefault="00886BE3" w:rsidP="006644FB">
      <w:pPr>
        <w:pStyle w:val="Heading5"/>
      </w:pPr>
      <w:r>
        <w:t xml:space="preserve">Mere link and </w:t>
      </w:r>
      <w:r w:rsidRPr="00AF6AF1">
        <w:t>commercial</w:t>
      </w:r>
      <w:r>
        <w:t xml:space="preserve"> understandings</w:t>
      </w:r>
    </w:p>
    <w:p w14:paraId="1EB07304" w14:textId="53C996BA" w:rsidR="00886BE3" w:rsidRDefault="00886BE3" w:rsidP="009B5310">
      <w:pPr>
        <w:pStyle w:val="NumberedParagraph3"/>
      </w:pPr>
      <w:r>
        <w:t xml:space="preserve">As there is no dependency or link between the pricing, terms and conditions of the loan and </w:t>
      </w:r>
      <w:r w:rsidR="000846CB">
        <w:t xml:space="preserve">of the </w:t>
      </w:r>
      <w:r>
        <w:t xml:space="preserve">units in X Trust, it is not necessary to consider mere link and commercial understandings. </w:t>
      </w:r>
      <w:r w:rsidR="000846CB">
        <w:t>To avoid any doubt</w:t>
      </w:r>
      <w:r>
        <w:t>, mere stapling would not create a dependency or link.</w:t>
      </w:r>
    </w:p>
    <w:p w14:paraId="78641E64" w14:textId="77777777" w:rsidR="00582959" w:rsidRPr="008854D7" w:rsidRDefault="00582959" w:rsidP="00582959">
      <w:pPr>
        <w:pStyle w:val="Heading5"/>
        <w:keepNext/>
        <w:spacing w:before="360"/>
        <w:rPr>
          <w:rFonts w:eastAsiaTheme="minorEastAsia"/>
        </w:rPr>
      </w:pPr>
      <w:r>
        <w:rPr>
          <w:rFonts w:eastAsiaTheme="minorEastAsia"/>
        </w:rPr>
        <w:t xml:space="preserve">External loan, shares in Y Company and units in X Trust </w:t>
      </w:r>
      <w:r w:rsidRPr="008854D7">
        <w:rPr>
          <w:rFonts w:eastAsiaTheme="minorEastAsia"/>
        </w:rPr>
        <w:t>– not aggregated</w:t>
      </w:r>
    </w:p>
    <w:p w14:paraId="33EEE946" w14:textId="60986705" w:rsidR="00582959" w:rsidRDefault="00582959" w:rsidP="00582959">
      <w:pPr>
        <w:pStyle w:val="NumberedParagraph"/>
        <w:numPr>
          <w:ilvl w:val="1"/>
          <w:numId w:val="10"/>
        </w:numPr>
      </w:pPr>
      <w:r w:rsidRPr="005B2443">
        <w:t xml:space="preserve">The </w:t>
      </w:r>
      <w:r>
        <w:t>pricing, terms and conditions of the external loan are not linked to or dependent on the pricing, terms and conditions of the shares in Y Company and units in X Trust (stapled or not).</w:t>
      </w:r>
    </w:p>
    <w:p w14:paraId="6F780183" w14:textId="1B8A5111" w:rsidR="00582959" w:rsidRDefault="00582959" w:rsidP="00582959">
      <w:pPr>
        <w:pStyle w:val="NumberedParagraph"/>
        <w:numPr>
          <w:ilvl w:val="1"/>
          <w:numId w:val="10"/>
        </w:numPr>
      </w:pPr>
      <w:r>
        <w:t>The pricing, terms and conditions of the</w:t>
      </w:r>
      <w:r w:rsidRPr="00EB2B54">
        <w:t xml:space="preserve"> </w:t>
      </w:r>
      <w:r>
        <w:t>shares in Y Company and units in X Trust (stapled or not) do not operate</w:t>
      </w:r>
      <w:r w:rsidRPr="00EB2B54">
        <w:t xml:space="preserve"> </w:t>
      </w:r>
      <w:r>
        <w:t>in a way that would alter the economic consequences of the pricing terms of the loan in a manner which would affect the application of the debt or equity tests to one or more schemes (or vice versa). The return on the shares and/or units is a mere source of funds which could potentially be used to pay returns on the external loan.</w:t>
      </w:r>
    </w:p>
    <w:p w14:paraId="69DEEBAF" w14:textId="77777777" w:rsidR="00582959" w:rsidRPr="009624EA" w:rsidRDefault="00582959" w:rsidP="00582959">
      <w:pPr>
        <w:pStyle w:val="NumberedParagraph"/>
        <w:tabs>
          <w:tab w:val="clear" w:pos="567"/>
        </w:tabs>
        <w:rPr>
          <w:rFonts w:ascii="Arial" w:hAnsi="Arial"/>
          <w:bCs/>
          <w:color w:val="000080"/>
          <w:sz w:val="20"/>
        </w:rPr>
      </w:pPr>
      <w:r>
        <w:rPr>
          <w:rFonts w:ascii="Arial" w:hAnsi="Arial"/>
          <w:bCs/>
          <w:color w:val="000080"/>
          <w:sz w:val="20"/>
        </w:rPr>
        <w:t>The schemes in combination</w:t>
      </w:r>
    </w:p>
    <w:p w14:paraId="28048466" w14:textId="281057C0" w:rsidR="00582959" w:rsidRPr="00EB2B54" w:rsidRDefault="00582959" w:rsidP="00582959">
      <w:pPr>
        <w:pStyle w:val="NumberedParagraph"/>
        <w:numPr>
          <w:ilvl w:val="1"/>
          <w:numId w:val="10"/>
        </w:numPr>
      </w:pPr>
      <w:r>
        <w:t>Even if the schemes were combined, the arm’s length dealing between the external lender and other parties to the schemes and the commercial manner in which the schemes were entered would not support their aggregation.</w:t>
      </w:r>
    </w:p>
    <w:p w14:paraId="5057FF24" w14:textId="77777777" w:rsidR="00582959" w:rsidRPr="009624EA" w:rsidRDefault="00582959" w:rsidP="00582959">
      <w:pPr>
        <w:pStyle w:val="NumberedParagraph"/>
        <w:tabs>
          <w:tab w:val="clear" w:pos="567"/>
        </w:tabs>
        <w:rPr>
          <w:rFonts w:ascii="Arial" w:hAnsi="Arial"/>
          <w:bCs/>
          <w:color w:val="000080"/>
          <w:sz w:val="20"/>
        </w:rPr>
      </w:pPr>
      <w:r>
        <w:rPr>
          <w:rFonts w:ascii="Arial" w:hAnsi="Arial"/>
          <w:bCs/>
          <w:color w:val="000080"/>
          <w:sz w:val="20"/>
        </w:rPr>
        <w:t>Mere link and commercial understandings</w:t>
      </w:r>
    </w:p>
    <w:p w14:paraId="6D09615A" w14:textId="54FA8BD9" w:rsidR="00582959" w:rsidRDefault="00582959" w:rsidP="00582959">
      <w:pPr>
        <w:pStyle w:val="NumberedParagraph"/>
        <w:numPr>
          <w:ilvl w:val="1"/>
          <w:numId w:val="10"/>
        </w:numPr>
      </w:pPr>
      <w:r>
        <w:t>Under normal commercial understandings, the external loan and the shares and/or units in this Example would be regarded as separate interests.</w:t>
      </w:r>
    </w:p>
    <w:p w14:paraId="3165EAC7" w14:textId="77A8365B" w:rsidR="008D66AB" w:rsidRPr="00667808" w:rsidRDefault="008D66AB" w:rsidP="00AF6AF1">
      <w:pPr>
        <w:pStyle w:val="Heading3"/>
      </w:pPr>
      <w:r w:rsidRPr="00667808">
        <w:lastRenderedPageBreak/>
        <w:t>Examp</w:t>
      </w:r>
      <w:r w:rsidRPr="005D4978">
        <w:t xml:space="preserve">le </w:t>
      </w:r>
      <w:r w:rsidR="005004B7">
        <w:t>8</w:t>
      </w:r>
      <w:r w:rsidRPr="005D4978">
        <w:t xml:space="preserve">: </w:t>
      </w:r>
      <w:r w:rsidR="000846CB">
        <w:t>C</w:t>
      </w:r>
      <w:r w:rsidRPr="005D4978">
        <w:t>ontra-</w:t>
      </w:r>
      <w:r w:rsidRPr="00AF6AF1">
        <w:t>put</w:t>
      </w:r>
      <w:r w:rsidRPr="005D4978">
        <w:t xml:space="preserve"> scheme – </w:t>
      </w:r>
      <w:r w:rsidR="00667808" w:rsidRPr="005D4978">
        <w:t>aggregat</w:t>
      </w:r>
      <w:r w:rsidR="00667808">
        <w:t>ion</w:t>
      </w:r>
    </w:p>
    <w:p w14:paraId="2DECB494" w14:textId="77777777" w:rsidR="008D66AB" w:rsidRPr="006F2FA8" w:rsidRDefault="008D66AB" w:rsidP="00AF6AF1">
      <w:pPr>
        <w:pStyle w:val="Heading4"/>
      </w:pPr>
      <w:r w:rsidRPr="006F2FA8">
        <w:t>Background Facts</w:t>
      </w:r>
    </w:p>
    <w:p w14:paraId="6CD854E6" w14:textId="011EF5D1" w:rsidR="008D66AB" w:rsidRPr="006F2FA8" w:rsidRDefault="008D66AB" w:rsidP="009B5310">
      <w:pPr>
        <w:pStyle w:val="NumberedParagraph3"/>
      </w:pPr>
      <w:r w:rsidRPr="006F2FA8">
        <w:rPr>
          <w:rFonts w:eastAsiaTheme="minorHAnsi"/>
          <w:lang w:eastAsia="en-US"/>
        </w:rPr>
        <w:t xml:space="preserve">A fully-owned subsidiary </w:t>
      </w:r>
      <w:r>
        <w:rPr>
          <w:rFonts w:eastAsiaTheme="minorHAnsi"/>
          <w:lang w:eastAsia="en-US"/>
        </w:rPr>
        <w:t>of Parent</w:t>
      </w:r>
      <w:r w:rsidRPr="006F2FA8">
        <w:rPr>
          <w:rFonts w:eastAsiaTheme="minorHAnsi"/>
          <w:lang w:eastAsia="en-US"/>
        </w:rPr>
        <w:t xml:space="preserve"> Company borrows $1</w:t>
      </w:r>
      <w:r w:rsidR="00464B29">
        <w:rPr>
          <w:rFonts w:eastAsiaTheme="minorHAnsi"/>
          <w:lang w:eastAsia="en-US"/>
        </w:rPr>
        <w:t xml:space="preserve">0 million from an </w:t>
      </w:r>
      <w:r w:rsidR="000846CB">
        <w:rPr>
          <w:rFonts w:eastAsiaTheme="minorHAnsi"/>
          <w:lang w:eastAsia="en-US"/>
        </w:rPr>
        <w:t>i</w:t>
      </w:r>
      <w:r w:rsidR="00464B29">
        <w:rPr>
          <w:rFonts w:eastAsiaTheme="minorHAnsi"/>
          <w:lang w:eastAsia="en-US"/>
        </w:rPr>
        <w:t xml:space="preserve">nvestor at </w:t>
      </w:r>
      <w:r w:rsidR="009A0D1E">
        <w:rPr>
          <w:rFonts w:eastAsiaTheme="minorHAnsi"/>
          <w:lang w:eastAsia="en-US"/>
        </w:rPr>
        <w:t xml:space="preserve">nine </w:t>
      </w:r>
      <w:r w:rsidR="00464B29">
        <w:rPr>
          <w:rFonts w:eastAsiaTheme="minorHAnsi"/>
          <w:lang w:eastAsia="en-US"/>
        </w:rPr>
        <w:t>per cent</w:t>
      </w:r>
      <w:r w:rsidRPr="006F2FA8">
        <w:rPr>
          <w:rFonts w:eastAsiaTheme="minorHAnsi"/>
          <w:lang w:eastAsia="en-US"/>
        </w:rPr>
        <w:t xml:space="preserve"> interest for </w:t>
      </w:r>
      <w:r w:rsidR="000846CB">
        <w:rPr>
          <w:rFonts w:eastAsiaTheme="minorHAnsi"/>
          <w:lang w:eastAsia="en-US"/>
        </w:rPr>
        <w:t>nine</w:t>
      </w:r>
      <w:r w:rsidRPr="006F2FA8">
        <w:rPr>
          <w:rFonts w:eastAsiaTheme="minorHAnsi"/>
          <w:lang w:eastAsia="en-US"/>
        </w:rPr>
        <w:t xml:space="preserve"> years.</w:t>
      </w:r>
    </w:p>
    <w:p w14:paraId="423DF22B" w14:textId="737EB67E" w:rsidR="008D66AB" w:rsidRDefault="008D66AB" w:rsidP="009B5310">
      <w:pPr>
        <w:pStyle w:val="NumberedParagraph3"/>
      </w:pPr>
      <w:r w:rsidRPr="006F2FA8">
        <w:rPr>
          <w:rFonts w:eastAsiaTheme="minorHAnsi"/>
          <w:lang w:eastAsia="en-US"/>
        </w:rPr>
        <w:t>T</w:t>
      </w:r>
      <w:r>
        <w:rPr>
          <w:rFonts w:eastAsiaTheme="minorHAnsi"/>
          <w:lang w:eastAsia="en-US"/>
        </w:rPr>
        <w:t xml:space="preserve">he </w:t>
      </w:r>
      <w:r w:rsidR="000846CB">
        <w:rPr>
          <w:rFonts w:eastAsiaTheme="minorHAnsi"/>
          <w:lang w:eastAsia="en-US"/>
        </w:rPr>
        <w:t>i</w:t>
      </w:r>
      <w:r>
        <w:rPr>
          <w:rFonts w:eastAsiaTheme="minorHAnsi"/>
          <w:lang w:eastAsia="en-US"/>
        </w:rPr>
        <w:t>nvestor provides Parent</w:t>
      </w:r>
      <w:r w:rsidRPr="006F2FA8">
        <w:rPr>
          <w:rFonts w:eastAsiaTheme="minorHAnsi"/>
          <w:lang w:eastAsia="en-US"/>
        </w:rPr>
        <w:t xml:space="preserve"> Company</w:t>
      </w:r>
      <w:r>
        <w:rPr>
          <w:rFonts w:eastAsiaTheme="minorHAnsi"/>
          <w:lang w:eastAsia="en-US"/>
        </w:rPr>
        <w:t xml:space="preserve"> with a put option over Parent </w:t>
      </w:r>
      <w:r w:rsidRPr="006F2FA8">
        <w:rPr>
          <w:rFonts w:eastAsiaTheme="minorHAnsi"/>
          <w:lang w:eastAsia="en-US"/>
        </w:rPr>
        <w:t>C</w:t>
      </w:r>
      <w:r>
        <w:rPr>
          <w:rFonts w:eastAsiaTheme="minorHAnsi"/>
          <w:lang w:eastAsia="en-US"/>
        </w:rPr>
        <w:t>ompany shares giving Parent</w:t>
      </w:r>
      <w:r w:rsidRPr="006F2FA8">
        <w:rPr>
          <w:rFonts w:eastAsiaTheme="minorHAnsi"/>
          <w:lang w:eastAsia="en-US"/>
        </w:rPr>
        <w:t xml:space="preserve"> Company the right, but not an obligation, to sell</w:t>
      </w:r>
      <w:r w:rsidR="004451EC">
        <w:rPr>
          <w:rFonts w:eastAsiaTheme="minorHAnsi"/>
          <w:lang w:eastAsia="en-US"/>
        </w:rPr>
        <w:br/>
      </w:r>
      <w:r w:rsidR="000846CB">
        <w:rPr>
          <w:rFonts w:eastAsiaTheme="minorHAnsi"/>
          <w:lang w:eastAsia="en-US"/>
        </w:rPr>
        <w:t>one</w:t>
      </w:r>
      <w:r w:rsidR="000846CB" w:rsidRPr="006F2FA8">
        <w:rPr>
          <w:rFonts w:eastAsiaTheme="minorHAnsi"/>
          <w:lang w:eastAsia="en-US"/>
        </w:rPr>
        <w:t> </w:t>
      </w:r>
      <w:r w:rsidRPr="006F2FA8">
        <w:rPr>
          <w:rFonts w:eastAsiaTheme="minorHAnsi"/>
          <w:lang w:eastAsia="en-US"/>
        </w:rPr>
        <w:t xml:space="preserve">million shares at $10 each to the </w:t>
      </w:r>
      <w:r w:rsidR="000846CB">
        <w:rPr>
          <w:rFonts w:eastAsiaTheme="minorHAnsi"/>
          <w:lang w:eastAsia="en-US"/>
        </w:rPr>
        <w:t>i</w:t>
      </w:r>
      <w:r w:rsidRPr="006F2FA8">
        <w:rPr>
          <w:rFonts w:eastAsiaTheme="minorHAnsi"/>
          <w:lang w:eastAsia="en-US"/>
        </w:rPr>
        <w:t xml:space="preserve">nvestor.  The put option </w:t>
      </w:r>
      <w:r w:rsidR="000846CB">
        <w:rPr>
          <w:rFonts w:eastAsiaTheme="minorHAnsi"/>
          <w:lang w:eastAsia="en-US"/>
        </w:rPr>
        <w:t>can</w:t>
      </w:r>
      <w:r w:rsidRPr="006F2FA8">
        <w:rPr>
          <w:rFonts w:eastAsiaTheme="minorHAnsi"/>
          <w:lang w:eastAsia="en-US"/>
        </w:rPr>
        <w:t xml:space="preserve"> only </w:t>
      </w:r>
      <w:r w:rsidR="000846CB">
        <w:rPr>
          <w:rFonts w:eastAsiaTheme="minorHAnsi"/>
          <w:lang w:eastAsia="en-US"/>
        </w:rPr>
        <w:t xml:space="preserve">be exercised </w:t>
      </w:r>
      <w:r w:rsidRPr="006F2FA8">
        <w:rPr>
          <w:rFonts w:eastAsiaTheme="minorHAnsi"/>
          <w:lang w:eastAsia="en-US"/>
        </w:rPr>
        <w:t>at the maturity of the loan.</w:t>
      </w:r>
    </w:p>
    <w:p w14:paraId="245159D8" w14:textId="4DE4F77E" w:rsidR="00C420DA" w:rsidRDefault="00B30514" w:rsidP="009854DE">
      <w:pPr>
        <w:pStyle w:val="Graphic"/>
        <w:rPr>
          <w:rFonts w:ascii="Arial" w:hAnsi="Arial" w:cs="Arial"/>
          <w:bCs/>
          <w:color w:val="000080"/>
          <w:sz w:val="26"/>
          <w:szCs w:val="26"/>
        </w:rPr>
      </w:pPr>
      <w:bookmarkStart w:id="75" w:name="_Toc406016553"/>
      <w:bookmarkStart w:id="76" w:name="_Toc406017112"/>
      <w:bookmarkStart w:id="77" w:name="_Toc406018706"/>
      <w:bookmarkStart w:id="78" w:name="_Toc406020099"/>
      <w:r>
        <w:rPr>
          <w:noProof/>
          <w:lang w:val="en-US" w:eastAsia="en-US"/>
        </w:rPr>
        <w:drawing>
          <wp:inline distT="0" distB="0" distL="0" distR="0" wp14:anchorId="4D872966" wp14:editId="1BCDC749">
            <wp:extent cx="2938575" cy="3050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X.png"/>
                    <pic:cNvPicPr/>
                  </pic:nvPicPr>
                  <pic:blipFill>
                    <a:blip r:embed="rId45">
                      <a:extLst>
                        <a:ext uri="{28A0092B-C50C-407E-A947-70E740481C1C}">
                          <a14:useLocalDpi xmlns:a14="http://schemas.microsoft.com/office/drawing/2010/main" val="0"/>
                        </a:ext>
                      </a:extLst>
                    </a:blip>
                    <a:stretch>
                      <a:fillRect/>
                    </a:stretch>
                  </pic:blipFill>
                  <pic:spPr>
                    <a:xfrm>
                      <a:off x="0" y="0"/>
                      <a:ext cx="2943351" cy="3055872"/>
                    </a:xfrm>
                    <a:prstGeom prst="rect">
                      <a:avLst/>
                    </a:prstGeom>
                  </pic:spPr>
                </pic:pic>
              </a:graphicData>
            </a:graphic>
          </wp:inline>
        </w:drawing>
      </w:r>
      <w:bookmarkEnd w:id="75"/>
      <w:bookmarkEnd w:id="76"/>
      <w:bookmarkEnd w:id="77"/>
      <w:bookmarkEnd w:id="78"/>
    </w:p>
    <w:p w14:paraId="17E96010" w14:textId="727F9A5A" w:rsidR="008D66AB" w:rsidRPr="00A17AA4" w:rsidRDefault="000846CB" w:rsidP="006644FB">
      <w:pPr>
        <w:pStyle w:val="Heading3"/>
      </w:pPr>
      <w:r w:rsidRPr="006F2FA8">
        <w:t>Appl</w:t>
      </w:r>
      <w:r>
        <w:t xml:space="preserve">ying the </w:t>
      </w:r>
      <w:r w:rsidR="008D66AB" w:rsidRPr="006F2FA8">
        <w:t>proposed new principles</w:t>
      </w:r>
    </w:p>
    <w:p w14:paraId="6F170653" w14:textId="77777777" w:rsidR="008D66AB" w:rsidRDefault="008D66AB" w:rsidP="006644FB">
      <w:pPr>
        <w:pStyle w:val="Heading4"/>
        <w:rPr>
          <w:rFonts w:eastAsiaTheme="minorEastAsia"/>
        </w:rPr>
      </w:pPr>
      <w:r w:rsidRPr="006F2FA8">
        <w:rPr>
          <w:rFonts w:eastAsiaTheme="minorEastAsia"/>
        </w:rPr>
        <w:t>Loan and put option – aggregated</w:t>
      </w:r>
    </w:p>
    <w:p w14:paraId="615A870D" w14:textId="77777777" w:rsidR="008D66AB" w:rsidRPr="00A17AA4" w:rsidRDefault="008D66AB" w:rsidP="006644FB">
      <w:pPr>
        <w:pStyle w:val="Heading5"/>
      </w:pPr>
      <w:r w:rsidRPr="003A6417">
        <w:t xml:space="preserve">Pricing, terms and </w:t>
      </w:r>
      <w:r w:rsidRPr="00AF6AF1">
        <w:t>conditions</w:t>
      </w:r>
      <w:r w:rsidRPr="003A6417">
        <w:t xml:space="preserve"> of the scheme</w:t>
      </w:r>
      <w:r>
        <w:t>s</w:t>
      </w:r>
    </w:p>
    <w:p w14:paraId="68FBE2F3" w14:textId="1B068916" w:rsidR="008D66AB" w:rsidRDefault="008D66AB" w:rsidP="009B5310">
      <w:pPr>
        <w:pStyle w:val="NumberedParagraph3"/>
      </w:pPr>
      <w:r w:rsidRPr="00F56A1C">
        <w:t>The pricing, terms and cond</w:t>
      </w:r>
      <w:r>
        <w:t>itions of the put option</w:t>
      </w:r>
      <w:r w:rsidRPr="00F56A1C">
        <w:t xml:space="preserve"> are not linked</w:t>
      </w:r>
      <w:r w:rsidR="000846CB">
        <w:t xml:space="preserve"> to</w:t>
      </w:r>
      <w:r w:rsidRPr="00F56A1C">
        <w:t xml:space="preserve"> or dependent on the pricing, terms </w:t>
      </w:r>
      <w:r w:rsidR="0057430B">
        <w:t>and</w:t>
      </w:r>
      <w:r w:rsidRPr="00F56A1C">
        <w:t xml:space="preserve"> conditions of the </w:t>
      </w:r>
      <w:r>
        <w:t xml:space="preserve">loan in a manner </w:t>
      </w:r>
      <w:r w:rsidR="007A368E">
        <w:t xml:space="preserve">that </w:t>
      </w:r>
      <w:r>
        <w:t>would affect the application of the debt or equity test</w:t>
      </w:r>
      <w:r w:rsidR="007A368E">
        <w:t>s</w:t>
      </w:r>
      <w:r>
        <w:t xml:space="preserve">, as the rights and obligations under the put option are not related to </w:t>
      </w:r>
      <w:r w:rsidR="007A368E">
        <w:t xml:space="preserve">fulfilling </w:t>
      </w:r>
      <w:r>
        <w:t>obligations under the loan (or vice versa).</w:t>
      </w:r>
    </w:p>
    <w:p w14:paraId="223E6D54" w14:textId="50F0CFD0" w:rsidR="008D66AB" w:rsidRDefault="008D66AB" w:rsidP="009B5310">
      <w:pPr>
        <w:pStyle w:val="NumberedParagraph3"/>
      </w:pPr>
      <w:r w:rsidRPr="006F2FA8">
        <w:t>The pricing, terms and conditions of the put option operate in a way that alters the economic consequences of the pricing, terms and conditions of the loan</w:t>
      </w:r>
      <w:r>
        <w:t xml:space="preserve"> in a manner that would affect the application of the debt or equity test</w:t>
      </w:r>
      <w:r w:rsidR="007A368E">
        <w:t>s</w:t>
      </w:r>
      <w:r w:rsidRPr="006F2FA8">
        <w:t>. The investor</w:t>
      </w:r>
      <w:r w:rsidR="007A368E">
        <w:t xml:space="preserve"> cannot </w:t>
      </w:r>
      <w:r w:rsidRPr="006F2FA8">
        <w:t>retain the repayment of the loan principal and may instead receive shares in an entity connected with the borrower, which would affect the application of the debt test (shares in a connected entity are not a financial benefit under subsection 974</w:t>
      </w:r>
      <w:r w:rsidRPr="006F2FA8">
        <w:noBreakHyphen/>
      </w:r>
      <w:proofErr w:type="gramStart"/>
      <w:r w:rsidRPr="006F2FA8">
        <w:t>30(</w:t>
      </w:r>
      <w:proofErr w:type="gramEnd"/>
      <w:r w:rsidRPr="006F2FA8">
        <w:t>1)).</w:t>
      </w:r>
    </w:p>
    <w:p w14:paraId="4FF4FC51" w14:textId="77777777" w:rsidR="008D66AB" w:rsidRDefault="008D66AB" w:rsidP="006644FB">
      <w:pPr>
        <w:pStyle w:val="Heading3"/>
      </w:pPr>
      <w:r w:rsidRPr="009E064F">
        <w:lastRenderedPageBreak/>
        <w:t xml:space="preserve">The schemes in </w:t>
      </w:r>
      <w:r w:rsidRPr="00AF6AF1">
        <w:t>combination</w:t>
      </w:r>
    </w:p>
    <w:p w14:paraId="532A1B59" w14:textId="518B3C99" w:rsidR="008D66AB" w:rsidRPr="007A368E" w:rsidRDefault="008D66AB" w:rsidP="009B5310">
      <w:pPr>
        <w:pStyle w:val="NumberedParagraph3"/>
        <w:rPr>
          <w:rFonts w:eastAsiaTheme="minorHAnsi"/>
          <w:lang w:eastAsia="en-US"/>
        </w:rPr>
      </w:pPr>
      <w:r>
        <w:t xml:space="preserve">The strong degree of issuer participation in the schemes </w:t>
      </w:r>
      <w:r w:rsidR="007A368E">
        <w:t>indicates</w:t>
      </w:r>
      <w:r>
        <w:t xml:space="preserve"> that they are dependent or linked </w:t>
      </w:r>
      <w:r w:rsidRPr="006F2FA8">
        <w:t>because</w:t>
      </w:r>
      <w:r w:rsidR="00A27D5F">
        <w:t xml:space="preserve"> </w:t>
      </w:r>
      <w:r w:rsidR="00A27D5F">
        <w:rPr>
          <w:rFonts w:eastAsiaTheme="minorHAnsi"/>
          <w:lang w:eastAsia="en-US"/>
        </w:rPr>
        <w:t>t</w:t>
      </w:r>
      <w:r w:rsidRPr="00A27D5F">
        <w:rPr>
          <w:rFonts w:eastAsiaTheme="minorHAnsi"/>
          <w:lang w:eastAsia="en-US"/>
        </w:rPr>
        <w:t xml:space="preserve">he </w:t>
      </w:r>
      <w:r w:rsidR="007A368E">
        <w:rPr>
          <w:rFonts w:eastAsiaTheme="minorHAnsi"/>
          <w:lang w:eastAsia="en-US"/>
        </w:rPr>
        <w:t>i</w:t>
      </w:r>
      <w:r w:rsidRPr="00A27D5F">
        <w:rPr>
          <w:rFonts w:eastAsiaTheme="minorHAnsi"/>
          <w:lang w:eastAsia="en-US"/>
        </w:rPr>
        <w:t>nvestor is a participant in both schemes, an</w:t>
      </w:r>
      <w:r w:rsidR="00A27D5F">
        <w:rPr>
          <w:rFonts w:eastAsiaTheme="minorHAnsi"/>
          <w:lang w:eastAsia="en-US"/>
        </w:rPr>
        <w:t xml:space="preserve">d </w:t>
      </w:r>
      <w:r w:rsidR="007A368E">
        <w:rPr>
          <w:rFonts w:eastAsiaTheme="minorHAnsi"/>
          <w:lang w:eastAsia="en-US"/>
        </w:rPr>
        <w:t xml:space="preserve">Parent Company’s </w:t>
      </w:r>
      <w:r w:rsidR="00A27D5F" w:rsidRPr="007A368E">
        <w:rPr>
          <w:rFonts w:eastAsiaTheme="minorHAnsi"/>
          <w:lang w:eastAsia="en-US"/>
        </w:rPr>
        <w:t xml:space="preserve">ownership of the </w:t>
      </w:r>
      <w:r w:rsidR="007A368E" w:rsidRPr="007A368E">
        <w:rPr>
          <w:rFonts w:eastAsiaTheme="minorHAnsi"/>
          <w:lang w:eastAsia="en-US"/>
        </w:rPr>
        <w:t>i</w:t>
      </w:r>
      <w:r w:rsidR="00A27D5F" w:rsidRPr="007A368E">
        <w:rPr>
          <w:rFonts w:eastAsiaTheme="minorHAnsi"/>
          <w:lang w:eastAsia="en-US"/>
        </w:rPr>
        <w:t>nvestors</w:t>
      </w:r>
      <w:r w:rsidR="007A368E" w:rsidRPr="007A368E">
        <w:rPr>
          <w:rFonts w:eastAsiaTheme="minorHAnsi"/>
          <w:lang w:eastAsia="en-US"/>
        </w:rPr>
        <w:t>’</w:t>
      </w:r>
      <w:r w:rsidR="00A27D5F" w:rsidRPr="007A368E">
        <w:rPr>
          <w:rFonts w:eastAsiaTheme="minorHAnsi"/>
          <w:lang w:eastAsia="en-US"/>
        </w:rPr>
        <w:t xml:space="preserve"> sub-company suggests that the schemes were designed to have an economic effect different from it</w:t>
      </w:r>
      <w:r w:rsidR="007A368E">
        <w:rPr>
          <w:rFonts w:eastAsiaTheme="minorHAnsi"/>
          <w:lang w:eastAsia="en-US"/>
        </w:rPr>
        <w:t>s</w:t>
      </w:r>
      <w:r w:rsidR="00A27D5F" w:rsidRPr="007A368E">
        <w:rPr>
          <w:rFonts w:eastAsiaTheme="minorHAnsi"/>
          <w:lang w:eastAsia="en-US"/>
        </w:rPr>
        <w:t xml:space="preserve"> legal form as a loan.</w:t>
      </w:r>
    </w:p>
    <w:p w14:paraId="5DB22CC9" w14:textId="65A096F1" w:rsidR="008D66AB" w:rsidRPr="00A17AA4" w:rsidRDefault="008D66AB" w:rsidP="006644FB">
      <w:pPr>
        <w:pStyle w:val="Heading3"/>
      </w:pPr>
      <w:r>
        <w:t xml:space="preserve">Mere link and commercial </w:t>
      </w:r>
      <w:r w:rsidRPr="00AF6AF1">
        <w:t>understandings</w:t>
      </w:r>
    </w:p>
    <w:p w14:paraId="176CF888" w14:textId="34A6E45A" w:rsidR="003B2D19" w:rsidRDefault="008D66AB" w:rsidP="009B5310">
      <w:pPr>
        <w:pStyle w:val="NumberedParagraph3"/>
      </w:pPr>
      <w:r>
        <w:t>It is arguable, but unlikely to be accepted, that the two schemes would be recognised as separate under normal commercial understandings. As noted above, the put option is linked</w:t>
      </w:r>
      <w:r w:rsidR="007A368E">
        <w:t xml:space="preserve"> to</w:t>
      </w:r>
      <w:r>
        <w:t xml:space="preserve"> or dependent on </w:t>
      </w:r>
      <w:r w:rsidR="007A368E">
        <w:t>repaying</w:t>
      </w:r>
      <w:r>
        <w:t>, or fail</w:t>
      </w:r>
      <w:r w:rsidR="007A368E">
        <w:t>ing</w:t>
      </w:r>
      <w:r>
        <w:t xml:space="preserve"> to repay the loan. However, the put option provides Parent </w:t>
      </w:r>
      <w:r w:rsidR="007A368E">
        <w:t>C</w:t>
      </w:r>
      <w:r>
        <w:t>ompany with the ability to</w:t>
      </w:r>
      <w:r w:rsidR="00A27D5F">
        <w:t xml:space="preserve"> </w:t>
      </w:r>
      <w:r>
        <w:t>convert the loan into an equity injection at</w:t>
      </w:r>
      <w:r w:rsidR="007A368E">
        <w:t xml:space="preserve"> the loan’s</w:t>
      </w:r>
      <w:r>
        <w:t xml:space="preserve"> maturity. </w:t>
      </w:r>
      <w:r w:rsidR="00A27D5F">
        <w:t xml:space="preserve">Given </w:t>
      </w:r>
      <w:r>
        <w:t>the common ownership of the sub-company and Parent Company, it would be</w:t>
      </w:r>
      <w:r w:rsidR="006736D5">
        <w:t xml:space="preserve"> difficult to succeed in arguing that the schemes are separate.</w:t>
      </w:r>
    </w:p>
    <w:p w14:paraId="10CE437A" w14:textId="5E222FAD" w:rsidR="003B2D19" w:rsidRDefault="009D2BBE" w:rsidP="006644FB">
      <w:pPr>
        <w:pStyle w:val="Heading3"/>
      </w:pPr>
      <w:r>
        <w:t xml:space="preserve">Variation </w:t>
      </w:r>
      <w:r w:rsidR="00A45EB1">
        <w:t>to this example</w:t>
      </w:r>
    </w:p>
    <w:p w14:paraId="41399934" w14:textId="69216915" w:rsidR="003B2D19" w:rsidRDefault="003B2D19" w:rsidP="009B5310">
      <w:pPr>
        <w:pStyle w:val="NumberedParagraph3"/>
      </w:pPr>
      <w:r w:rsidRPr="009624EA">
        <w:t xml:space="preserve">Contrary to this example, </w:t>
      </w:r>
      <w:r w:rsidR="00187F11">
        <w:t>synthetic instruments that are linked to the dividend yield or price of a share created and sold by financial intermediaries without any involvement of the applicable company, are not intended to be aggregated. While there is a clear linkage between the two schemes by reference to the express terms, there is no common involvement between the promoters of the instrument and the company in relation to the synthetic instrument. Accordingly, it is not appropriate to aggregate the synthe</w:t>
      </w:r>
      <w:r w:rsidR="000D17CB">
        <w:t>tic instrument with the shares.</w:t>
      </w:r>
    </w:p>
    <w:p w14:paraId="4A874742" w14:textId="77777777" w:rsidR="00E90231" w:rsidRPr="00F674DC" w:rsidRDefault="00E90231" w:rsidP="006644FB">
      <w:pPr>
        <w:pStyle w:val="Heading3"/>
      </w:pPr>
      <w:r w:rsidRPr="00F674DC">
        <w:t xml:space="preserve">Operation of the machinery provisions </w:t>
      </w:r>
    </w:p>
    <w:p w14:paraId="31C56111" w14:textId="493CF86D" w:rsidR="00E65993" w:rsidRDefault="00E65993" w:rsidP="009B5310">
      <w:pPr>
        <w:pStyle w:val="NumberedParagraph3"/>
      </w:pPr>
      <w:r>
        <w:t xml:space="preserve">As stated in paragraph </w:t>
      </w:r>
      <w:r w:rsidRPr="00AB19C8">
        <w:t>3.</w:t>
      </w:r>
      <w:r w:rsidR="00FB2658" w:rsidRPr="009624EA">
        <w:t>10</w:t>
      </w:r>
      <w:r>
        <w:t xml:space="preserve">, a three-step process </w:t>
      </w:r>
      <w:r w:rsidR="007A368E">
        <w:t>will apply:</w:t>
      </w:r>
      <w:r>
        <w:t xml:space="preserve"> </w:t>
      </w:r>
      <w:r w:rsidR="007A368E">
        <w:t xml:space="preserve">applying </w:t>
      </w:r>
      <w:r>
        <w:t>the new integrated provision to identify the scheme</w:t>
      </w:r>
      <w:r w:rsidR="007A368E">
        <w:t>;</w:t>
      </w:r>
      <w:r>
        <w:t xml:space="preserve"> </w:t>
      </w:r>
      <w:r w:rsidR="007A368E">
        <w:t xml:space="preserve">applying </w:t>
      </w:r>
      <w:r>
        <w:t>the debt and equity test</w:t>
      </w:r>
      <w:r w:rsidR="007A368E">
        <w:t>s</w:t>
      </w:r>
      <w:r>
        <w:t xml:space="preserve"> to the scheme identified under the integrated provisions to determine its character</w:t>
      </w:r>
      <w:r w:rsidR="007A368E">
        <w:t>;</w:t>
      </w:r>
      <w:r>
        <w:t xml:space="preserve"> and </w:t>
      </w:r>
      <w:r w:rsidR="007A368E">
        <w:t xml:space="preserve">applying </w:t>
      </w:r>
      <w:r>
        <w:t>the operative provisions in the Act</w:t>
      </w:r>
      <w:r w:rsidR="007A368E">
        <w:t>s</w:t>
      </w:r>
      <w:r>
        <w:t xml:space="preserve"> to each instrument</w:t>
      </w:r>
      <w:r w:rsidR="00701DC1">
        <w:t xml:space="preserve"> so characterised</w:t>
      </w:r>
      <w:r>
        <w:t xml:space="preserve"> to get an outcome for the scheme. </w:t>
      </w:r>
    </w:p>
    <w:p w14:paraId="1D54C315" w14:textId="6106EDDC" w:rsidR="00E65993" w:rsidRDefault="00E65993" w:rsidP="009B5310">
      <w:pPr>
        <w:pStyle w:val="NumberedParagraph3"/>
      </w:pPr>
      <w:r>
        <w:t>The Board notes that, as part of the implementation of the proposed new rule, careful consideration will be required as to how the rules interact with the operative provisions (for example, the deductibility and franking provisions) in the Act</w:t>
      </w:r>
      <w:r w:rsidR="00AF5667">
        <w:t>s</w:t>
      </w:r>
      <w:r>
        <w:t>.</w:t>
      </w:r>
    </w:p>
    <w:p w14:paraId="2D893DD6" w14:textId="77777777" w:rsidR="005F1C1C" w:rsidRPr="006644FB" w:rsidRDefault="005F1C1C" w:rsidP="006644FB"/>
    <w:p w14:paraId="0515F364" w14:textId="77777777" w:rsidR="00BD4F6F" w:rsidRPr="006644FB" w:rsidRDefault="00BD4F6F" w:rsidP="006644FB">
      <w:pPr>
        <w:sectPr w:rsidR="00BD4F6F" w:rsidRPr="006644FB" w:rsidSect="000E1936">
          <w:headerReference w:type="even" r:id="rId46"/>
          <w:headerReference w:type="default" r:id="rId47"/>
          <w:headerReference w:type="first" r:id="rId48"/>
          <w:type w:val="oddPage"/>
          <w:pgSz w:w="11909" w:h="16834" w:code="9"/>
          <w:pgMar w:top="1701" w:right="1701" w:bottom="1701" w:left="1701" w:header="851" w:footer="851" w:gutter="0"/>
          <w:cols w:space="708"/>
          <w:titlePg/>
          <w:docGrid w:linePitch="360"/>
        </w:sectPr>
      </w:pPr>
    </w:p>
    <w:p w14:paraId="36270318" w14:textId="58AAC2B3" w:rsidR="004E068E" w:rsidRDefault="004E068E" w:rsidP="00F62C55">
      <w:pPr>
        <w:pStyle w:val="Heading1"/>
      </w:pPr>
      <w:bookmarkStart w:id="79" w:name="_Toc394560503"/>
      <w:bookmarkStart w:id="80" w:name="_Toc394585101"/>
      <w:bookmarkStart w:id="81" w:name="_Toc395714443"/>
      <w:bookmarkStart w:id="82" w:name="_Toc397009280"/>
      <w:bookmarkStart w:id="83" w:name="_Toc397092177"/>
      <w:bookmarkStart w:id="84" w:name="_Toc406769454"/>
      <w:r>
        <w:lastRenderedPageBreak/>
        <w:t xml:space="preserve">Chapter </w:t>
      </w:r>
      <w:r w:rsidR="00486190">
        <w:t>4</w:t>
      </w:r>
      <w:r>
        <w:t xml:space="preserve">: </w:t>
      </w:r>
      <w:bookmarkEnd w:id="79"/>
      <w:bookmarkEnd w:id="80"/>
      <w:bookmarkEnd w:id="81"/>
      <w:bookmarkEnd w:id="82"/>
      <w:bookmarkEnd w:id="83"/>
      <w:r w:rsidR="001823ED">
        <w:t>A</w:t>
      </w:r>
      <w:r w:rsidR="00663021">
        <w:t xml:space="preserve">lternative solutions </w:t>
      </w:r>
      <w:r w:rsidR="007D7896">
        <w:t>not recommended</w:t>
      </w:r>
      <w:r w:rsidR="00663021">
        <w:t xml:space="preserve"> by the </w:t>
      </w:r>
      <w:r w:rsidR="001823ED">
        <w:t>B</w:t>
      </w:r>
      <w:r w:rsidR="00663021">
        <w:t>oard</w:t>
      </w:r>
      <w:bookmarkEnd w:id="84"/>
      <w:r w:rsidR="001E12D5">
        <w:t xml:space="preserve"> </w:t>
      </w:r>
    </w:p>
    <w:p w14:paraId="533AA764" w14:textId="77777777" w:rsidR="00024A79" w:rsidRDefault="00E95139" w:rsidP="00F62C55">
      <w:pPr>
        <w:pStyle w:val="Heading2"/>
      </w:pPr>
      <w:bookmarkStart w:id="85" w:name="_Toc394560504"/>
      <w:bookmarkStart w:id="86" w:name="_Toc394585102"/>
      <w:bookmarkStart w:id="87" w:name="_Toc395714444"/>
      <w:bookmarkStart w:id="88" w:name="_Toc397009281"/>
      <w:bookmarkStart w:id="89" w:name="_Toc397092178"/>
      <w:bookmarkStart w:id="90" w:name="_Toc406769455"/>
      <w:r w:rsidRPr="00F62C55">
        <w:t>Introduction</w:t>
      </w:r>
      <w:bookmarkEnd w:id="85"/>
      <w:bookmarkEnd w:id="86"/>
      <w:bookmarkEnd w:id="87"/>
      <w:bookmarkEnd w:id="88"/>
      <w:bookmarkEnd w:id="89"/>
      <w:bookmarkEnd w:id="90"/>
      <w:r>
        <w:t xml:space="preserve"> </w:t>
      </w:r>
    </w:p>
    <w:p w14:paraId="0C349660" w14:textId="29FC2E83" w:rsidR="002B6B05" w:rsidRDefault="002B6B05" w:rsidP="009B5310">
      <w:pPr>
        <w:pStyle w:val="NumberedParagraph4"/>
      </w:pPr>
      <w:r>
        <w:t>The Board considered a number of alternative solutions</w:t>
      </w:r>
      <w:r w:rsidR="00915803">
        <w:t xml:space="preserve"> as part of the </w:t>
      </w:r>
      <w:r w:rsidR="001823ED">
        <w:t>r</w:t>
      </w:r>
      <w:r w:rsidR="00915803">
        <w:t xml:space="preserve">eview </w:t>
      </w:r>
      <w:r>
        <w:t xml:space="preserve">but </w:t>
      </w:r>
      <w:r w:rsidR="007D7896">
        <w:t xml:space="preserve">does not recommend them </w:t>
      </w:r>
      <w:r>
        <w:t>for reasons</w:t>
      </w:r>
      <w:r w:rsidR="007D7896">
        <w:t xml:space="preserve"> set out </w:t>
      </w:r>
      <w:r w:rsidR="00915803">
        <w:t>in this chapter</w:t>
      </w:r>
      <w:r>
        <w:t xml:space="preserve">. </w:t>
      </w:r>
    </w:p>
    <w:p w14:paraId="58799BB1" w14:textId="3B312807" w:rsidR="00663021" w:rsidRDefault="00663021" w:rsidP="00F62C55">
      <w:pPr>
        <w:pStyle w:val="Heading3"/>
      </w:pPr>
      <w:r>
        <w:t>Repeal</w:t>
      </w:r>
      <w:r w:rsidR="001823ED">
        <w:t>ing</w:t>
      </w:r>
      <w:r>
        <w:t xml:space="preserve"> section </w:t>
      </w:r>
      <w:r w:rsidRPr="00F62C55">
        <w:t>974</w:t>
      </w:r>
      <w:r>
        <w:t>-80</w:t>
      </w:r>
      <w:r w:rsidR="001823ED">
        <w:t xml:space="preserve"> and relying</w:t>
      </w:r>
      <w:r>
        <w:t xml:space="preserve"> on Part IVA and the existing related scheme provisions in section 974-70</w:t>
      </w:r>
    </w:p>
    <w:p w14:paraId="4C56C5B1" w14:textId="6EEE9791" w:rsidR="002B6B05" w:rsidRDefault="00663021" w:rsidP="009B5310">
      <w:pPr>
        <w:pStyle w:val="NumberedParagraph4"/>
      </w:pPr>
      <w:bookmarkStart w:id="91" w:name="_Toc291777426"/>
      <w:r w:rsidRPr="00663021">
        <w:t>The Board received a number of submissions</w:t>
      </w:r>
      <w:r w:rsidR="001823ED">
        <w:t xml:space="preserve"> that</w:t>
      </w:r>
      <w:r w:rsidRPr="00663021">
        <w:t xml:space="preserve"> </w:t>
      </w:r>
      <w:r w:rsidR="007D7896">
        <w:t>propos</w:t>
      </w:r>
      <w:r w:rsidR="001823ED">
        <w:t>ed</w:t>
      </w:r>
      <w:r w:rsidR="007D7896" w:rsidRPr="00663021">
        <w:t xml:space="preserve"> </w:t>
      </w:r>
      <w:r w:rsidR="001823ED">
        <w:t>repealing section</w:t>
      </w:r>
      <w:r w:rsidRPr="00663021">
        <w:t xml:space="preserve"> 974-80 </w:t>
      </w:r>
      <w:r w:rsidR="001823ED">
        <w:t>and relying</w:t>
      </w:r>
      <w:r w:rsidRPr="00663021">
        <w:t xml:space="preserve"> on the existing section 974-70 and the general anti-avoidance provision in Part IVA. </w:t>
      </w:r>
      <w:r w:rsidR="007D7896">
        <w:t xml:space="preserve">The </w:t>
      </w:r>
      <w:r w:rsidR="001823ED">
        <w:t xml:space="preserve">Board considered the proposal at length. </w:t>
      </w:r>
      <w:r w:rsidR="002B6B05">
        <w:t xml:space="preserve">It concluded that this approach was </w:t>
      </w:r>
      <w:r w:rsidR="007D7896">
        <w:t xml:space="preserve">not </w:t>
      </w:r>
      <w:r w:rsidR="00915803">
        <w:t>an appropriate solution for the following reasons</w:t>
      </w:r>
      <w:r w:rsidR="002B6B05">
        <w:t xml:space="preserve">. </w:t>
      </w:r>
    </w:p>
    <w:p w14:paraId="37EB02D3" w14:textId="6969E33F" w:rsidR="00663021" w:rsidRDefault="0012480C" w:rsidP="009B5310">
      <w:pPr>
        <w:pStyle w:val="NumberedParagraph4"/>
      </w:pPr>
      <w:r>
        <w:t>S</w:t>
      </w:r>
      <w:r w:rsidR="00663021" w:rsidRPr="00663021">
        <w:t xml:space="preserve">ection 974-80 and Part IVA serve different purposes. Part IVA is not a self-executing provision but rather requires the Commissioner to make a determination to apply the provision and strike down an Australian income tax benefit where certain conditions are satisfied. </w:t>
      </w:r>
      <w:r w:rsidR="007D7896">
        <w:t>The</w:t>
      </w:r>
      <w:r w:rsidR="007D7896" w:rsidRPr="00663021">
        <w:t xml:space="preserve"> </w:t>
      </w:r>
      <w:r w:rsidR="00663021" w:rsidRPr="00663021">
        <w:t>determination requires an objective conclusion</w:t>
      </w:r>
      <w:r w:rsidR="007D7896">
        <w:t>, after</w:t>
      </w:r>
      <w:r w:rsidR="00663021" w:rsidRPr="00663021">
        <w:t xml:space="preserve"> having regard to eight specific </w:t>
      </w:r>
      <w:proofErr w:type="gramStart"/>
      <w:r w:rsidR="00663021" w:rsidRPr="00663021">
        <w:t>factors</w:t>
      </w:r>
      <w:r w:rsidR="007D7896">
        <w:t>,</w:t>
      </w:r>
      <w:r w:rsidR="00663021" w:rsidRPr="00663021">
        <w:t xml:space="preserve"> that</w:t>
      </w:r>
      <w:proofErr w:type="gramEnd"/>
      <w:r w:rsidR="00663021" w:rsidRPr="00663021">
        <w:t xml:space="preserve"> the scheme was carried out for the sole or dominant purpose of </w:t>
      </w:r>
      <w:r w:rsidR="007D7896">
        <w:t>obtaining</w:t>
      </w:r>
      <w:r w:rsidR="007D7896" w:rsidRPr="00663021">
        <w:t xml:space="preserve"> </w:t>
      </w:r>
      <w:r w:rsidR="00663021" w:rsidRPr="00663021">
        <w:t>a tax benefit. It is a last resort not a front</w:t>
      </w:r>
      <w:r w:rsidR="001823ED">
        <w:t>-</w:t>
      </w:r>
      <w:r w:rsidR="00663021" w:rsidRPr="00663021">
        <w:t xml:space="preserve">line </w:t>
      </w:r>
      <w:r w:rsidR="007D7896">
        <w:t>integrity measure,</w:t>
      </w:r>
      <w:r w:rsidR="007D7896" w:rsidRPr="00663021">
        <w:t xml:space="preserve"> </w:t>
      </w:r>
      <w:r w:rsidR="00663021" w:rsidRPr="00663021">
        <w:t xml:space="preserve">and its </w:t>
      </w:r>
      <w:r w:rsidR="007D7896">
        <w:t>broad</w:t>
      </w:r>
      <w:r w:rsidR="007D7896" w:rsidRPr="00663021">
        <w:t xml:space="preserve"> </w:t>
      </w:r>
      <w:r w:rsidR="00663021" w:rsidRPr="00663021">
        <w:t>terms are designed to capture undesirable arrangements that are not negated by other specific provision</w:t>
      </w:r>
      <w:r w:rsidR="001823ED">
        <w:t>s</w:t>
      </w:r>
      <w:r w:rsidR="00663021" w:rsidRPr="00663021">
        <w:t xml:space="preserve"> in the Acts.  </w:t>
      </w:r>
    </w:p>
    <w:p w14:paraId="4DD8253B" w14:textId="139DD8B4" w:rsidR="00663021" w:rsidRPr="00663021" w:rsidRDefault="00663021" w:rsidP="009B5310">
      <w:pPr>
        <w:pStyle w:val="NumberedParagraph4"/>
      </w:pPr>
      <w:r w:rsidRPr="00663021">
        <w:t xml:space="preserve">By comparison, section 974-80 </w:t>
      </w:r>
      <w:r w:rsidR="007D7896">
        <w:t>is intended to</w:t>
      </w:r>
      <w:r w:rsidRPr="00663021">
        <w:t xml:space="preserve"> ensur</w:t>
      </w:r>
      <w:r w:rsidR="007D7896">
        <w:t>e</w:t>
      </w:r>
      <w:r w:rsidRPr="00663021">
        <w:t xml:space="preserve"> that one or more instruments in a</w:t>
      </w:r>
      <w:r w:rsidR="007D7896">
        <w:t xml:space="preserve"> series of related</w:t>
      </w:r>
      <w:r w:rsidRPr="00663021">
        <w:t xml:space="preserve"> arrangement</w:t>
      </w:r>
      <w:r w:rsidR="007D7896">
        <w:t>s</w:t>
      </w:r>
      <w:r w:rsidRPr="00663021">
        <w:t xml:space="preserve"> are not classified as debt interests where th</w:t>
      </w:r>
      <w:r w:rsidR="007D7896">
        <w:t>ose</w:t>
      </w:r>
      <w:r w:rsidRPr="00663021">
        <w:t xml:space="preserve"> classification</w:t>
      </w:r>
      <w:r w:rsidR="007D7896">
        <w:t>s</w:t>
      </w:r>
      <w:r w:rsidRPr="00663021">
        <w:t xml:space="preserve"> </w:t>
      </w:r>
      <w:r w:rsidR="007D7896">
        <w:t>would be</w:t>
      </w:r>
      <w:r w:rsidR="007D7896" w:rsidRPr="00663021">
        <w:t xml:space="preserve"> </w:t>
      </w:r>
      <w:r w:rsidRPr="00663021">
        <w:t xml:space="preserve">inconsistent with the economic substance of </w:t>
      </w:r>
      <w:r w:rsidR="007D7896">
        <w:t xml:space="preserve">the entire series of </w:t>
      </w:r>
      <w:r w:rsidRPr="00663021">
        <w:t>arrangement</w:t>
      </w:r>
      <w:r w:rsidR="007D7896">
        <w:t>s</w:t>
      </w:r>
      <w:r w:rsidRPr="00663021">
        <w:t xml:space="preserve">. That is, section 974-80 is a specific integrity provision </w:t>
      </w:r>
      <w:r w:rsidR="007D7896">
        <w:t>that</w:t>
      </w:r>
      <w:r w:rsidRPr="00663021">
        <w:t xml:space="preserve"> reclassif</w:t>
      </w:r>
      <w:r w:rsidR="007D7896">
        <w:t>ies</w:t>
      </w:r>
      <w:r w:rsidRPr="00663021">
        <w:t xml:space="preserve"> what would otherwise </w:t>
      </w:r>
      <w:r w:rsidR="007D7896">
        <w:t xml:space="preserve">not </w:t>
      </w:r>
      <w:r w:rsidRPr="00663021">
        <w:t xml:space="preserve">be </w:t>
      </w:r>
      <w:r w:rsidR="007D7896">
        <w:t>equity interests</w:t>
      </w:r>
      <w:r w:rsidRPr="00663021">
        <w:t xml:space="preserve"> (upon which distributions would </w:t>
      </w:r>
      <w:r w:rsidR="007D7896">
        <w:t>probably</w:t>
      </w:r>
      <w:r w:rsidRPr="00663021">
        <w:t xml:space="preserve"> be deductible) as equity where </w:t>
      </w:r>
      <w:r w:rsidR="007D7896">
        <w:t>the overall arrangements</w:t>
      </w:r>
      <w:r w:rsidRPr="00663021">
        <w:t xml:space="preserve"> exhibit </w:t>
      </w:r>
      <w:r w:rsidR="007D7896">
        <w:t xml:space="preserve">sufficiently prescribed </w:t>
      </w:r>
      <w:r w:rsidRPr="00663021">
        <w:t xml:space="preserve">equity features. </w:t>
      </w:r>
      <w:r w:rsidR="007D7896">
        <w:t>S</w:t>
      </w:r>
      <w:r w:rsidR="007D7896" w:rsidRPr="00663021">
        <w:t xml:space="preserve">ection </w:t>
      </w:r>
      <w:r w:rsidRPr="00663021">
        <w:t xml:space="preserve">974-80 is first and foremost a provision to protect the integrity </w:t>
      </w:r>
      <w:r w:rsidR="007D7896">
        <w:t>of the debt</w:t>
      </w:r>
      <w:r w:rsidR="001823ED">
        <w:t xml:space="preserve"> and </w:t>
      </w:r>
      <w:r w:rsidR="007D7896">
        <w:t xml:space="preserve">equity rules by ensuring </w:t>
      </w:r>
      <w:r w:rsidRPr="00663021">
        <w:t xml:space="preserve">instruments </w:t>
      </w:r>
      <w:r w:rsidR="007D7896">
        <w:t xml:space="preserve">in the series </w:t>
      </w:r>
      <w:r w:rsidR="001823ED">
        <w:t xml:space="preserve">are appropriately classified </w:t>
      </w:r>
      <w:r w:rsidRPr="00663021">
        <w:t xml:space="preserve">as equity. </w:t>
      </w:r>
    </w:p>
    <w:p w14:paraId="78191455" w14:textId="298F38A6" w:rsidR="00663021" w:rsidRPr="00663021" w:rsidRDefault="00663021" w:rsidP="009B5310">
      <w:pPr>
        <w:pStyle w:val="NumberedParagraph4"/>
      </w:pPr>
      <w:r w:rsidRPr="00663021">
        <w:t xml:space="preserve">The </w:t>
      </w:r>
      <w:r w:rsidR="002B6B05">
        <w:t>Board</w:t>
      </w:r>
      <w:r w:rsidR="002B6B05" w:rsidRPr="00663021">
        <w:t xml:space="preserve"> </w:t>
      </w:r>
      <w:r w:rsidR="007D7896">
        <w:t>considered</w:t>
      </w:r>
      <w:r w:rsidRPr="00663021">
        <w:t xml:space="preserve"> that the uncertainty and complexity associated with the existing section 974-80 would likely be replaced with another </w:t>
      </w:r>
      <w:r w:rsidR="001823ED">
        <w:t>type</w:t>
      </w:r>
      <w:r w:rsidR="001823ED" w:rsidRPr="00663021">
        <w:t xml:space="preserve"> </w:t>
      </w:r>
      <w:r w:rsidRPr="00663021">
        <w:t xml:space="preserve">of complexity and uncertainty if section 974-80 was repealed and Part IVA was required to do the heavy lifting. </w:t>
      </w:r>
      <w:r w:rsidR="00EC12A8">
        <w:t>The</w:t>
      </w:r>
      <w:r w:rsidR="00EC12A8" w:rsidRPr="00663021">
        <w:t xml:space="preserve"> </w:t>
      </w:r>
      <w:r w:rsidRPr="00663021">
        <w:t xml:space="preserve">analysis </w:t>
      </w:r>
      <w:r w:rsidR="00EC12A8">
        <w:t xml:space="preserve">required </w:t>
      </w:r>
      <w:r w:rsidRPr="00663021">
        <w:t>to determine whether an</w:t>
      </w:r>
      <w:r w:rsidR="00EC12A8">
        <w:t>y series of financing</w:t>
      </w:r>
      <w:r w:rsidRPr="00663021">
        <w:t xml:space="preserve"> arrangement</w:t>
      </w:r>
      <w:r w:rsidR="00EC12A8">
        <w:t>s</w:t>
      </w:r>
      <w:r w:rsidRPr="00663021">
        <w:t xml:space="preserve"> </w:t>
      </w:r>
      <w:r w:rsidR="00EC12A8">
        <w:t>attracted the operation of</w:t>
      </w:r>
      <w:r w:rsidR="00EC12A8" w:rsidRPr="00663021">
        <w:t xml:space="preserve"> </w:t>
      </w:r>
      <w:r w:rsidRPr="00663021">
        <w:t>Part IVA was thought to be complex and uncertain</w:t>
      </w:r>
      <w:r w:rsidR="00EC12A8">
        <w:t xml:space="preserve">, and necessarily very specific to particular facts. Accordingly, </w:t>
      </w:r>
      <w:r w:rsidRPr="00663021">
        <w:t xml:space="preserve">it would be especially difficult to provide </w:t>
      </w:r>
      <w:r w:rsidR="00EC12A8">
        <w:t xml:space="preserve">useful general </w:t>
      </w:r>
      <w:r w:rsidRPr="00663021">
        <w:t>indicators or guidance o</w:t>
      </w:r>
      <w:r w:rsidR="00EC12A8">
        <w:t>n the possible application of</w:t>
      </w:r>
      <w:r w:rsidRPr="00663021">
        <w:t xml:space="preserve"> Part IVA to </w:t>
      </w:r>
      <w:r w:rsidR="00EC12A8">
        <w:t xml:space="preserve">individual </w:t>
      </w:r>
      <w:r w:rsidRPr="00663021">
        <w:t xml:space="preserve">debt and equity classification scenarios. </w:t>
      </w:r>
      <w:r w:rsidR="00EC12A8">
        <w:t xml:space="preserve">Further, </w:t>
      </w:r>
      <w:r w:rsidR="00EC12A8">
        <w:lastRenderedPageBreak/>
        <w:t xml:space="preserve">Part IVA (because of </w:t>
      </w:r>
      <w:r w:rsidR="00915803">
        <w:t xml:space="preserve">the </w:t>
      </w:r>
      <w:r w:rsidRPr="00663021">
        <w:t>tax benefit and dominant purpose elements</w:t>
      </w:r>
      <w:r w:rsidR="00EC12A8">
        <w:t>) might not adequately address the arrangements that</w:t>
      </w:r>
      <w:r w:rsidRPr="00663021">
        <w:t xml:space="preserve"> section 974-80 was intended to </w:t>
      </w:r>
      <w:r w:rsidR="00915803">
        <w:t>address</w:t>
      </w:r>
      <w:r w:rsidRPr="00663021">
        <w:t xml:space="preserve">. </w:t>
      </w:r>
    </w:p>
    <w:p w14:paraId="468AA704" w14:textId="56A7B339" w:rsidR="009A0D1E" w:rsidRDefault="004B6A98" w:rsidP="009B5310">
      <w:pPr>
        <w:pStyle w:val="NumberedParagraph4"/>
      </w:pPr>
      <w:r>
        <w:t>Importantly</w:t>
      </w:r>
      <w:r w:rsidR="007C7A5C">
        <w:t xml:space="preserve">, even if Part IVA can deny deductions for returns on relevant arrangements, it cannot go the extra step of ensuring that those arrangements are characterised as equity interests. On the other hand, </w:t>
      </w:r>
      <w:r w:rsidR="001823ED">
        <w:t xml:space="preserve">in these cases </w:t>
      </w:r>
      <w:r w:rsidR="007C7A5C">
        <w:t>section 974-80 is designed to ensure equity interests are properly classified</w:t>
      </w:r>
      <w:r w:rsidR="001823ED">
        <w:t>.</w:t>
      </w:r>
      <w:r w:rsidR="007C7A5C">
        <w:t xml:space="preserve"> </w:t>
      </w:r>
    </w:p>
    <w:p w14:paraId="752E0127" w14:textId="16B0C2BD" w:rsidR="00663021" w:rsidRPr="00663021" w:rsidRDefault="001823ED" w:rsidP="009B5310">
      <w:pPr>
        <w:pStyle w:val="NumberedParagraph4"/>
      </w:pPr>
      <w:r>
        <w:t>A</w:t>
      </w:r>
      <w:r w:rsidR="007C7A5C">
        <w:t>s a consequence, while returns on the individual arrangements in the series are not deductible, they can be franked (subject to the availability of franking credits). Section 974-80 seeks to ensure the integrity of the debt and equity rules by appropriate</w:t>
      </w:r>
      <w:r>
        <w:t>ly</w:t>
      </w:r>
      <w:r w:rsidR="007C7A5C">
        <w:t xml:space="preserve"> classif</w:t>
      </w:r>
      <w:r>
        <w:t>ying</w:t>
      </w:r>
      <w:r w:rsidR="007C7A5C">
        <w:t xml:space="preserve"> the interests </w:t>
      </w:r>
      <w:r w:rsidR="008C2C0D">
        <w:t>issued</w:t>
      </w:r>
      <w:r w:rsidR="007C7A5C">
        <w:t xml:space="preserve"> under a series of arrangements</w:t>
      </w:r>
      <w:r>
        <w:t xml:space="preserve"> at the outset</w:t>
      </w:r>
      <w:r w:rsidR="007C7A5C">
        <w:t xml:space="preserve">. </w:t>
      </w:r>
      <w:r w:rsidR="0012480C">
        <w:t xml:space="preserve">To create the appropriate reconstructive treatment </w:t>
      </w:r>
      <w:r>
        <w:t xml:space="preserve">as equity </w:t>
      </w:r>
      <w:r w:rsidR="0012480C">
        <w:t>of what would otherwise be</w:t>
      </w:r>
      <w:r>
        <w:t xml:space="preserve"> classified</w:t>
      </w:r>
      <w:r w:rsidR="0012480C">
        <w:t xml:space="preserve"> debt </w:t>
      </w:r>
      <w:r>
        <w:t>(</w:t>
      </w:r>
      <w:r w:rsidR="0012480C">
        <w:t>or vice versa</w:t>
      </w:r>
      <w:r>
        <w:t>)</w:t>
      </w:r>
      <w:r w:rsidR="0012480C">
        <w:t xml:space="preserve"> would require yet further amendment to Part IVA.</w:t>
      </w:r>
    </w:p>
    <w:p w14:paraId="00EF342D" w14:textId="77777777" w:rsidR="007C7A5C" w:rsidRDefault="007C7A5C" w:rsidP="009B5310">
      <w:pPr>
        <w:pStyle w:val="NumberedParagraph4"/>
      </w:pPr>
      <w:r>
        <w:t xml:space="preserve">The Board also noted that parties would be exposed to severe penalties and interest if Part IVA were to be applied to deny ‘tax benefit’ deductions </w:t>
      </w:r>
      <w:r w:rsidR="00B50B3B">
        <w:t>f</w:t>
      </w:r>
      <w:r>
        <w:t>r</w:t>
      </w:r>
      <w:r w:rsidR="00B50B3B">
        <w:t>o</w:t>
      </w:r>
      <w:r>
        <w:t xml:space="preserve">m the arrangements. </w:t>
      </w:r>
    </w:p>
    <w:p w14:paraId="03D9E4AD" w14:textId="21D362DE" w:rsidR="009A0D1E" w:rsidRDefault="007C7A5C" w:rsidP="009B5310">
      <w:pPr>
        <w:pStyle w:val="NumberedParagraph4"/>
      </w:pPr>
      <w:r>
        <w:t>If section 974-80 were to be repealed, the series of arrangements that it was intended to deal with could still be considered under the ‘related schemes’ provisions of section 974-70. In that event, the individual schemes in the series could be treated by section 974-70</w:t>
      </w:r>
      <w:r w:rsidR="00021278">
        <w:t xml:space="preserve"> as part of one single larger scheme under which only an equity interest was issued, so that the debt deductions would still be denied. Any application of section 974-70 would need to be considered before </w:t>
      </w:r>
      <w:r w:rsidR="001823ED">
        <w:t>applying</w:t>
      </w:r>
      <w:r w:rsidR="00021278">
        <w:t xml:space="preserve"> Part IVA. </w:t>
      </w:r>
    </w:p>
    <w:p w14:paraId="73B15153" w14:textId="5D214879" w:rsidR="00F57648" w:rsidRDefault="00663021" w:rsidP="009B5310">
      <w:pPr>
        <w:pStyle w:val="NumberedParagraph4"/>
      </w:pPr>
      <w:r w:rsidRPr="00663021">
        <w:t xml:space="preserve">While </w:t>
      </w:r>
      <w:r w:rsidR="001823ED">
        <w:t>repealing</w:t>
      </w:r>
      <w:r w:rsidRPr="00663021">
        <w:t xml:space="preserve"> section 974-80 would </w:t>
      </w:r>
      <w:r w:rsidR="00CC7C3F">
        <w:t xml:space="preserve">clearly remove </w:t>
      </w:r>
      <w:r w:rsidR="00915803">
        <w:t>some</w:t>
      </w:r>
      <w:r w:rsidR="00CC7C3F">
        <w:t xml:space="preserve"> uncertainty about whether section 974-80 or section 974-70</w:t>
      </w:r>
      <w:r w:rsidR="001823ED">
        <w:t xml:space="preserve"> applies</w:t>
      </w:r>
      <w:r w:rsidR="00CC7C3F">
        <w:t xml:space="preserve"> more appropriately to a particular case, some of the uncertainty</w:t>
      </w:r>
      <w:r w:rsidR="001823ED">
        <w:t xml:space="preserve"> surrounding</w:t>
      </w:r>
      <w:r w:rsidR="00915803">
        <w:t xml:space="preserve"> </w:t>
      </w:r>
      <w:r w:rsidR="00CC7C3F">
        <w:t xml:space="preserve">the present application of section 974-80 would still arise in considering the application of section 974-70. </w:t>
      </w:r>
    </w:p>
    <w:p w14:paraId="7489D915" w14:textId="5C6ADB45" w:rsidR="00CC7C3F" w:rsidRDefault="00CC7C3F" w:rsidP="009B5310">
      <w:pPr>
        <w:pStyle w:val="NumberedParagraph4"/>
      </w:pPr>
      <w:r>
        <w:t xml:space="preserve">In the course of consultation, </w:t>
      </w:r>
      <w:r w:rsidR="00F57648">
        <w:t xml:space="preserve">it </w:t>
      </w:r>
      <w:r>
        <w:t xml:space="preserve">appeared that the tax community is not </w:t>
      </w:r>
      <w:r w:rsidR="00F57648">
        <w:t>full</w:t>
      </w:r>
      <w:r>
        <w:t xml:space="preserve">y aware of the potential application of </w:t>
      </w:r>
      <w:r w:rsidR="00F57648">
        <w:t>section 974-70</w:t>
      </w:r>
      <w:r>
        <w:t xml:space="preserve"> to a series of schemes that are presently being considered under</w:t>
      </w:r>
      <w:r w:rsidR="0094031C">
        <w:t xml:space="preserve"> section 974-80</w:t>
      </w:r>
      <w:r w:rsidR="00F57648">
        <w:t>.</w:t>
      </w:r>
      <w:r w:rsidR="0011747C">
        <w:t xml:space="preserve"> </w:t>
      </w:r>
      <w:r>
        <w:t xml:space="preserve">The focus has been on </w:t>
      </w:r>
      <w:r w:rsidR="001823ED">
        <w:t xml:space="preserve">applying </w:t>
      </w:r>
      <w:r>
        <w:t>section 974-80 to these arrangements.</w:t>
      </w:r>
    </w:p>
    <w:p w14:paraId="6759F0A4" w14:textId="271CD3C3" w:rsidR="00527887" w:rsidRDefault="00527887" w:rsidP="009B5310">
      <w:pPr>
        <w:pStyle w:val="NumberedParagraph4"/>
      </w:pPr>
      <w:r>
        <w:t>The ATO has expressed a view</w:t>
      </w:r>
      <w:r w:rsidR="00B67B5B">
        <w:t xml:space="preserve">, based on a real </w:t>
      </w:r>
      <w:r w:rsidR="004B6A98">
        <w:t>arrangement</w:t>
      </w:r>
      <w:r w:rsidR="00B67B5B">
        <w:t>,</w:t>
      </w:r>
      <w:r>
        <w:t xml:space="preserve"> that</w:t>
      </w:r>
      <w:r w:rsidR="002A401A">
        <w:br/>
      </w:r>
      <w:r>
        <w:t>section 974-70(2) could apply to treat</w:t>
      </w:r>
      <w:r w:rsidR="004B6A98">
        <w:t xml:space="preserve"> what would otherwise be</w:t>
      </w:r>
      <w:r>
        <w:t xml:space="preserve"> a debt interest issued by a company to a trust as part of a larger equity interest where the units in the trust and the shares in the company are stapled to each other and the funds used to acquire the debt interest are raised from issuing the stapled securities to the stapled security investor (cross</w:t>
      </w:r>
      <w:r w:rsidR="00CC3CEA">
        <w:t>-</w:t>
      </w:r>
      <w:r>
        <w:t>staple</w:t>
      </w:r>
      <w:r w:rsidR="004B6A98">
        <w:t xml:space="preserve"> funding</w:t>
      </w:r>
      <w:r>
        <w:t xml:space="preserve"> arrangements).</w:t>
      </w:r>
    </w:p>
    <w:p w14:paraId="0071A0B8" w14:textId="3F81543A" w:rsidR="005E5E0A" w:rsidRDefault="005E5E0A" w:rsidP="009B5310">
      <w:pPr>
        <w:pStyle w:val="NumberedParagraph4"/>
      </w:pPr>
      <w:r>
        <w:t>The ATO ha</w:t>
      </w:r>
      <w:r w:rsidR="0012480C">
        <w:t>s</w:t>
      </w:r>
      <w:r>
        <w:t xml:space="preserve"> also stated that</w:t>
      </w:r>
      <w:r w:rsidR="0012480C">
        <w:t>, in its view,</w:t>
      </w:r>
      <w:r>
        <w:t xml:space="preserve"> where subsection 974-70(2) applies in respect of a cross staple funding arrangement such that it gives rise to a single equity </w:t>
      </w:r>
      <w:r>
        <w:lastRenderedPageBreak/>
        <w:t xml:space="preserve">interest, section 974-80 </w:t>
      </w:r>
      <w:r w:rsidR="00CC3CEA">
        <w:t>cannot be applied</w:t>
      </w:r>
      <w:r>
        <w:t xml:space="preserve">. In such circumstances, the ATO consider that the relevant interest for the purposes of section 974-80 is the single equity interest arising from the application of subsection 974-70(2) and </w:t>
      </w:r>
      <w:r w:rsidR="00CC3CEA">
        <w:t xml:space="preserve">that </w:t>
      </w:r>
      <w:r>
        <w:t>the requirement in paragraph 974-80(1</w:t>
      </w:r>
      <w:proofErr w:type="gramStart"/>
      <w:r>
        <w:t>)(</w:t>
      </w:r>
      <w:proofErr w:type="gramEnd"/>
      <w:r>
        <w:t xml:space="preserve">c) will not be satisfied. </w:t>
      </w:r>
    </w:p>
    <w:p w14:paraId="334F7E01" w14:textId="7A5421C8" w:rsidR="009A0D1E" w:rsidRDefault="00CC7C3F" w:rsidP="009B5310">
      <w:pPr>
        <w:pStyle w:val="NumberedParagraph4"/>
      </w:pPr>
      <w:r>
        <w:t xml:space="preserve">The Board recognises that </w:t>
      </w:r>
      <w:r w:rsidR="00663021" w:rsidRPr="00663021">
        <w:t>the existing related schemes provisions</w:t>
      </w:r>
      <w:r>
        <w:t xml:space="preserve"> in</w:t>
      </w:r>
      <w:r w:rsidR="002A401A">
        <w:br/>
      </w:r>
      <w:r>
        <w:t xml:space="preserve">section 974-70 also present some challenges. In particular, the provisions </w:t>
      </w:r>
      <w:r w:rsidR="00663021" w:rsidRPr="00663021">
        <w:t xml:space="preserve">do not operate </w:t>
      </w:r>
      <w:r w:rsidRPr="00663021">
        <w:t>pr</w:t>
      </w:r>
      <w:r>
        <w:t>ecisely</w:t>
      </w:r>
      <w:r w:rsidRPr="00663021">
        <w:t xml:space="preserve"> </w:t>
      </w:r>
      <w:r w:rsidR="00663021" w:rsidRPr="00663021">
        <w:t xml:space="preserve">to identify schemes that affect each other in </w:t>
      </w:r>
      <w:r>
        <w:t>such a</w:t>
      </w:r>
      <w:r w:rsidR="00663021" w:rsidRPr="00663021">
        <w:t xml:space="preserve"> way</w:t>
      </w:r>
      <w:r>
        <w:t xml:space="preserve"> that they should be aggregated</w:t>
      </w:r>
      <w:r w:rsidR="00663021" w:rsidRPr="00663021">
        <w:t xml:space="preserve">. </w:t>
      </w:r>
      <w:r>
        <w:t>Some commercial arrangements could be inappropriately aggregated in the first instance: affected taxpayers ultimately rely on the</w:t>
      </w:r>
      <w:r w:rsidR="00CC3CEA">
        <w:t xml:space="preserve"> Commissioner</w:t>
      </w:r>
      <w:r>
        <w:t xml:space="preserve"> exercis</w:t>
      </w:r>
      <w:r w:rsidR="00CC3CEA">
        <w:t>ing</w:t>
      </w:r>
      <w:r>
        <w:t xml:space="preserve"> discretion to not aggregate these schemes. </w:t>
      </w:r>
    </w:p>
    <w:p w14:paraId="222F5DDB" w14:textId="701BCFF2" w:rsidR="00663021" w:rsidRPr="00663021" w:rsidRDefault="00CC7C3F" w:rsidP="009B5310">
      <w:pPr>
        <w:pStyle w:val="NumberedParagraph4"/>
      </w:pPr>
      <w:r>
        <w:t xml:space="preserve">Arguably, some of the matters that the Commissioner is obliged to consider in this last resort (such as the ‘purpose’ and ‘effect’ of the schemes) </w:t>
      </w:r>
      <w:r w:rsidR="00CC3CEA">
        <w:t xml:space="preserve">- </w:t>
      </w:r>
      <w:r>
        <w:t xml:space="preserve">to decide whether or not to aggregate what would otherwise be </w:t>
      </w:r>
      <w:r w:rsidR="00CC3CEA">
        <w:t xml:space="preserve">considered </w:t>
      </w:r>
      <w:r>
        <w:t>related schemes</w:t>
      </w:r>
      <w:r w:rsidR="00CC3CEA">
        <w:t xml:space="preserve"> - </w:t>
      </w:r>
      <w:r>
        <w:t xml:space="preserve">should be considered earlier. The matters might be better </w:t>
      </w:r>
      <w:r w:rsidR="0093130F">
        <w:t>considered as threshold elements in the exercise of ‘relating’ so that taxpayers could be more certain of outcomes without having to resort to seeking</w:t>
      </w:r>
      <w:r w:rsidR="009152C0">
        <w:t xml:space="preserve"> the Commissioner’s discretion.</w:t>
      </w:r>
    </w:p>
    <w:p w14:paraId="0E305814" w14:textId="3DF25D72" w:rsidR="0094031C" w:rsidRDefault="00663021" w:rsidP="009B5310">
      <w:pPr>
        <w:pStyle w:val="NumberedParagraph4"/>
      </w:pPr>
      <w:r w:rsidRPr="00663021">
        <w:t xml:space="preserve">Under the existing provisions, the general rule is that schemes will be </w:t>
      </w:r>
      <w:r w:rsidR="00CC3CEA">
        <w:t>linked</w:t>
      </w:r>
      <w:r w:rsidR="00CC3CEA" w:rsidRPr="00663021">
        <w:t xml:space="preserve"> </w:t>
      </w:r>
      <w:r w:rsidRPr="00663021">
        <w:t xml:space="preserve">to each other if they are related in any way. This is a very broad test as many </w:t>
      </w:r>
      <w:r w:rsidR="00CC3CEA">
        <w:t>features</w:t>
      </w:r>
      <w:r w:rsidR="00CC3CEA" w:rsidRPr="00663021">
        <w:t xml:space="preserve"> </w:t>
      </w:r>
      <w:r w:rsidRPr="00663021">
        <w:t xml:space="preserve">will </w:t>
      </w:r>
      <w:r w:rsidR="00CC3CEA">
        <w:t xml:space="preserve">appear to </w:t>
      </w:r>
      <w:r w:rsidRPr="00663021">
        <w:t xml:space="preserve">be relevantly related under the test. </w:t>
      </w:r>
      <w:r w:rsidR="0094031C">
        <w:t>For example, schemes will be</w:t>
      </w:r>
      <w:r w:rsidR="00CC3CEA">
        <w:t xml:space="preserve"> considered</w:t>
      </w:r>
      <w:r w:rsidR="0094031C">
        <w:t xml:space="preserve"> related where the </w:t>
      </w:r>
      <w:r w:rsidR="0093130F">
        <w:t xml:space="preserve">schemes </w:t>
      </w:r>
      <w:r w:rsidR="0094031C">
        <w:t xml:space="preserve">are based on stapled instruments or where one scheme </w:t>
      </w:r>
      <w:r w:rsidR="0093130F">
        <w:t>compl</w:t>
      </w:r>
      <w:r w:rsidR="00BE4D32">
        <w:t>i</w:t>
      </w:r>
      <w:r w:rsidR="0093130F">
        <w:t xml:space="preserve">ments </w:t>
      </w:r>
      <w:r w:rsidR="0094031C">
        <w:t xml:space="preserve">or supplements the other. </w:t>
      </w:r>
      <w:r w:rsidR="00915803">
        <w:t>A</w:t>
      </w:r>
      <w:r w:rsidR="0094031C">
        <w:t xml:space="preserve">lthough the legislation acknowledges that schemes are not related merely because one refers to the other or they have a common party, since the related scheme provisions are </w:t>
      </w:r>
      <w:r w:rsidR="00CC3CEA">
        <w:t xml:space="preserve">applied broadly, </w:t>
      </w:r>
      <w:r w:rsidR="0094031C">
        <w:t>there is a risk that they could app</w:t>
      </w:r>
      <w:r w:rsidR="009152C0">
        <w:t>ly in unintended circumstances.</w:t>
      </w:r>
    </w:p>
    <w:p w14:paraId="6FAFBB1C" w14:textId="77777777" w:rsidR="00320E56" w:rsidRDefault="00320E56" w:rsidP="009B5310">
      <w:pPr>
        <w:pStyle w:val="NumberedParagraph4"/>
      </w:pPr>
      <w:r>
        <w:t xml:space="preserve">For instance, in a project financing circumstance where an entity is being financed for the first time, it would be usual to expect a combination of debt and equity funding (the debt funding consisting of both subordinated and senior debt). Initial funding arrangements may give rise to a related scheme under the existing provisions which can result in all the interests on issue initially being characterised as either wholly equity or wholly debt (usually the former). This outcome is not commercially sensible. </w:t>
      </w:r>
    </w:p>
    <w:p w14:paraId="43AA2070" w14:textId="42FE9FF9" w:rsidR="00320E56" w:rsidRDefault="00915803" w:rsidP="009B5310">
      <w:pPr>
        <w:pStyle w:val="NumberedParagraph4"/>
      </w:pPr>
      <w:r>
        <w:t>W</w:t>
      </w:r>
      <w:r w:rsidR="00320E56">
        <w:t>here both debt and equity interests have been issued at the same time to fulfil a funding requirement, the interests may be</w:t>
      </w:r>
      <w:r w:rsidR="00CC3CEA">
        <w:t xml:space="preserve"> considered</w:t>
      </w:r>
      <w:r w:rsidR="00320E56">
        <w:t xml:space="preserve"> ‘related’ because one of the schemes would, from a commercial point of view, be unlikely to be entered into unless the other scheme was entered into</w:t>
      </w:r>
      <w:r w:rsidR="004541E1">
        <w:t>. They may also be considered related because</w:t>
      </w:r>
      <w:r w:rsidR="009A0D1E">
        <w:t xml:space="preserve"> </w:t>
      </w:r>
      <w:r w:rsidR="00320E56">
        <w:t>one scheme compl</w:t>
      </w:r>
      <w:r w:rsidR="00143B5D">
        <w:t>e</w:t>
      </w:r>
      <w:r w:rsidR="00320E56">
        <w:t>ments or supplements the other. While it may be clear that the parties never intended the combined economic effects of the schemes to be the same, the broad operation of the related scheme rules signifies that the position is not clear given that the funding may be regarded as ‘compl</w:t>
      </w:r>
      <w:r w:rsidR="00143B5D">
        <w:t>e</w:t>
      </w:r>
      <w:r w:rsidR="00320E56">
        <w:t xml:space="preserve">mentary’ </w:t>
      </w:r>
      <w:r w:rsidR="006B1544">
        <w:t xml:space="preserve">in the context of initial funding issues. </w:t>
      </w:r>
      <w:r w:rsidR="002307F7">
        <w:t xml:space="preserve">Even where the equity contribution precedes the debt funding (which is </w:t>
      </w:r>
      <w:r w:rsidR="002307F7">
        <w:lastRenderedPageBreak/>
        <w:t xml:space="preserve">normally the case), the schemes could be regarded as a single arrangement due to the broad definition of a ‘scheme’. </w:t>
      </w:r>
    </w:p>
    <w:p w14:paraId="70AB4320" w14:textId="16E76294" w:rsidR="00C37095" w:rsidRDefault="00663021" w:rsidP="009B5310">
      <w:pPr>
        <w:pStyle w:val="NumberedParagraph4"/>
      </w:pPr>
      <w:r w:rsidRPr="00663021">
        <w:t>Given the uncertainty and potential overreach</w:t>
      </w:r>
      <w:r w:rsidR="00786C42">
        <w:t xml:space="preserve"> </w:t>
      </w:r>
      <w:r w:rsidR="00915803">
        <w:t>of the related scheme provisions (</w:t>
      </w:r>
      <w:r w:rsidR="00786C42">
        <w:t xml:space="preserve">discussed in </w:t>
      </w:r>
      <w:r w:rsidR="004541E1">
        <w:t>C</w:t>
      </w:r>
      <w:r w:rsidR="00786C42">
        <w:t>hapter 2</w:t>
      </w:r>
      <w:r w:rsidR="00915803">
        <w:t>)</w:t>
      </w:r>
      <w:proofErr w:type="gramStart"/>
      <w:r w:rsidRPr="00663021">
        <w:t>,</w:t>
      </w:r>
      <w:proofErr w:type="gramEnd"/>
      <w:r w:rsidRPr="00663021">
        <w:t xml:space="preserve"> </w:t>
      </w:r>
      <w:r w:rsidR="002307F7">
        <w:t xml:space="preserve">the Board understands that </w:t>
      </w:r>
      <w:r w:rsidRPr="00663021">
        <w:t xml:space="preserve">taxpayers are often left with no other option but to request that the Commissioner exercise </w:t>
      </w:r>
      <w:r w:rsidR="004541E1">
        <w:t>their</w:t>
      </w:r>
      <w:r w:rsidR="004541E1" w:rsidRPr="00663021">
        <w:t xml:space="preserve"> </w:t>
      </w:r>
      <w:r w:rsidRPr="00663021">
        <w:t xml:space="preserve">discretion to make a determination to not apply the related scheme provisions. </w:t>
      </w:r>
      <w:r w:rsidR="004541E1">
        <w:t>In consultation, a</w:t>
      </w:r>
      <w:r w:rsidR="002307F7">
        <w:t>ffected</w:t>
      </w:r>
      <w:r w:rsidR="009A0D1E">
        <w:t xml:space="preserve"> </w:t>
      </w:r>
      <w:r w:rsidR="002307F7">
        <w:t>s</w:t>
      </w:r>
      <w:r w:rsidRPr="00663021">
        <w:t>takeholders have indicated that this exercise can be time</w:t>
      </w:r>
      <w:r w:rsidR="004541E1">
        <w:t>-</w:t>
      </w:r>
      <w:r w:rsidRPr="00663021">
        <w:t>consuming</w:t>
      </w:r>
      <w:r w:rsidR="00915803">
        <w:t>,</w:t>
      </w:r>
      <w:r w:rsidRPr="00663021">
        <w:t xml:space="preserve"> costly</w:t>
      </w:r>
      <w:r w:rsidR="00915803">
        <w:t xml:space="preserve"> and can hold up commercial transactions</w:t>
      </w:r>
      <w:r w:rsidRPr="00663021">
        <w:t xml:space="preserve">. </w:t>
      </w:r>
    </w:p>
    <w:p w14:paraId="753B05AD" w14:textId="3C283BC0" w:rsidR="00527887" w:rsidRDefault="00527887" w:rsidP="009B5310">
      <w:pPr>
        <w:pStyle w:val="NumberedParagraph4"/>
      </w:pPr>
      <w:r>
        <w:t xml:space="preserve">Some stakeholders warranted the repeal of section 974-80 given the existence of section 25-85. </w:t>
      </w:r>
      <w:r w:rsidR="00915803">
        <w:t xml:space="preserve">One submission noted that </w:t>
      </w:r>
      <w:r>
        <w:t>section 25-85 explicitly accepts that debt interests featur</w:t>
      </w:r>
      <w:r w:rsidR="004541E1">
        <w:t>ing</w:t>
      </w:r>
      <w:r>
        <w:t xml:space="preserve"> certain equity-like returns (irrespective of whether or not those debt interests are held by related or unrelated parties) should not be precluded from deductibility, and </w:t>
      </w:r>
      <w:r w:rsidR="004541E1">
        <w:t>argued</w:t>
      </w:r>
      <w:r>
        <w:t xml:space="preserve"> that only the amount of the debt deduction that exceeds the benchmark rate of return plus 150 basis points should be regarded as a non-deductible return of an equity nature. </w:t>
      </w:r>
    </w:p>
    <w:p w14:paraId="7455C2FE" w14:textId="77777777" w:rsidR="00527887" w:rsidRDefault="00527887" w:rsidP="009B5310">
      <w:pPr>
        <w:pStyle w:val="NumberedParagraph4"/>
      </w:pPr>
      <w:r>
        <w:t xml:space="preserve">As a solution, </w:t>
      </w:r>
      <w:r w:rsidR="00915803">
        <w:t>it was</w:t>
      </w:r>
      <w:r>
        <w:t xml:space="preserve"> suggested that all transactions involving returns that do not exceed the benchmark plus 150 basis points should be excluded from the rules, with the possible exception of Tier 1 capital schemes. </w:t>
      </w:r>
    </w:p>
    <w:p w14:paraId="192681F0" w14:textId="176C91C9" w:rsidR="00527887" w:rsidRDefault="00527887" w:rsidP="009B5310">
      <w:pPr>
        <w:pStyle w:val="NumberedParagraph4"/>
      </w:pPr>
      <w:r>
        <w:t>Further</w:t>
      </w:r>
      <w:r w:rsidR="004541E1">
        <w:t>more</w:t>
      </w:r>
      <w:r>
        <w:t xml:space="preserve">, it was submitted that, to achieve greater certainty and policy consistency, the Board could repeal section 974-80, leaving section 25-85 as the relevant integrity provision to restrict excessive debt deductions for payments that effectively represent the holder’s equity participation in the underlying company. The other option was </w:t>
      </w:r>
      <w:r w:rsidR="004541E1">
        <w:t xml:space="preserve">amending </w:t>
      </w:r>
      <w:r>
        <w:t xml:space="preserve">section 974-80 to </w:t>
      </w:r>
      <w:r w:rsidR="00915803">
        <w:t>prevent</w:t>
      </w:r>
      <w:r>
        <w:t xml:space="preserve"> the provision </w:t>
      </w:r>
      <w:r w:rsidR="00915803">
        <w:t>from applying</w:t>
      </w:r>
      <w:r>
        <w:t xml:space="preserve"> where the return on the relevant debt interest issued by the underlying company does not exceed the benchmark rate of return for the relevant debt interest plus 150 basis points. </w:t>
      </w:r>
    </w:p>
    <w:p w14:paraId="75538ACF" w14:textId="3B218963" w:rsidR="00527887" w:rsidRDefault="00527887" w:rsidP="009B5310">
      <w:pPr>
        <w:pStyle w:val="NumberedParagraph4"/>
      </w:pPr>
      <w:r>
        <w:t xml:space="preserve">The Board considered that this proposal would too easily, and inappropriately, result in behavioural changes that would enable </w:t>
      </w:r>
      <w:r w:rsidR="004541E1">
        <w:t xml:space="preserve">debt interests to replace </w:t>
      </w:r>
      <w:r>
        <w:t>equity interests in many cases.</w:t>
      </w:r>
    </w:p>
    <w:p w14:paraId="21011100" w14:textId="77777777" w:rsidR="00663021" w:rsidRDefault="00663021" w:rsidP="00F62C55">
      <w:pPr>
        <w:pStyle w:val="Heading3"/>
      </w:pPr>
      <w:r>
        <w:t xml:space="preserve">Retain section 974-80 with some amendments </w:t>
      </w:r>
    </w:p>
    <w:p w14:paraId="40F5F2C2" w14:textId="66764BD8" w:rsidR="00663021" w:rsidRPr="001C7841" w:rsidRDefault="00915803" w:rsidP="009B5310">
      <w:pPr>
        <w:pStyle w:val="NumberedParagraph4"/>
      </w:pPr>
      <w:r>
        <w:t xml:space="preserve">As discussed in </w:t>
      </w:r>
      <w:r w:rsidR="004541E1">
        <w:t>C</w:t>
      </w:r>
      <w:r>
        <w:t xml:space="preserve">hapter 2, </w:t>
      </w:r>
      <w:r w:rsidR="00663021" w:rsidRPr="001C7841">
        <w:t>the then Government announced</w:t>
      </w:r>
      <w:r>
        <w:t xml:space="preserve"> in the 2011-12 Budget</w:t>
      </w:r>
      <w:r w:rsidR="00663021" w:rsidRPr="001C7841">
        <w:t>, with retrospective date of effect to the commencement of Division 974, that section 974-80 would be amended to ensure tha</w:t>
      </w:r>
      <w:r w:rsidR="00663021">
        <w:t>t the provision would apply only</w:t>
      </w:r>
      <w:r w:rsidR="00663021" w:rsidRPr="001C7841">
        <w:t xml:space="preserve"> to arrangements where both the purpose and effect was that the ultimate investor had, in substance, an equity interest in the issuer company. </w:t>
      </w:r>
      <w:r w:rsidR="004541E1">
        <w:t xml:space="preserve">The then Government </w:t>
      </w:r>
      <w:r w:rsidR="00663021" w:rsidRPr="001C7841">
        <w:t xml:space="preserve">also announced that the provision would not apply where the Commissioner considered that it would be unreasonable. </w:t>
      </w:r>
    </w:p>
    <w:p w14:paraId="31405E3D" w14:textId="77777777" w:rsidR="009854DE" w:rsidRDefault="009854DE">
      <w:pPr>
        <w:spacing w:after="0" w:line="240" w:lineRule="auto"/>
        <w:jc w:val="left"/>
      </w:pPr>
      <w:r>
        <w:br w:type="page"/>
      </w:r>
    </w:p>
    <w:p w14:paraId="366EDA70" w14:textId="40630194" w:rsidR="00663021" w:rsidRDefault="00663021" w:rsidP="009B5310">
      <w:pPr>
        <w:pStyle w:val="NumberedParagraph4"/>
      </w:pPr>
      <w:r w:rsidRPr="001C7841">
        <w:lastRenderedPageBreak/>
        <w:t xml:space="preserve">The current Government announced that it intended to proceed with </w:t>
      </w:r>
      <w:r w:rsidR="004541E1">
        <w:t xml:space="preserve">the </w:t>
      </w:r>
      <w:r w:rsidRPr="001C7841">
        <w:t>amendments to section 974-80</w:t>
      </w:r>
      <w:r w:rsidR="004541E1">
        <w:t>.</w:t>
      </w:r>
      <w:r w:rsidRPr="001C7841">
        <w:t xml:space="preserve"> </w:t>
      </w:r>
      <w:r w:rsidR="004541E1">
        <w:t>T</w:t>
      </w:r>
      <w:r w:rsidRPr="001C7841">
        <w:t xml:space="preserve">he design of the measure would be considered as part of the Board’s post-implementation review of the debt and equity tax rules. The Board’s review of section 974-80 was not restricted to any proposals previously announced. </w:t>
      </w:r>
    </w:p>
    <w:p w14:paraId="55BECBFC" w14:textId="3D7DD655" w:rsidR="00663021" w:rsidRPr="001C7841" w:rsidRDefault="00663021" w:rsidP="009B5310">
      <w:pPr>
        <w:pStyle w:val="NumberedParagraph4"/>
      </w:pPr>
      <w:r w:rsidRPr="001C7841">
        <w:t xml:space="preserve">The </w:t>
      </w:r>
      <w:r w:rsidR="008A4660">
        <w:t>Board</w:t>
      </w:r>
      <w:r w:rsidR="008A4660" w:rsidRPr="001C7841">
        <w:t xml:space="preserve"> </w:t>
      </w:r>
      <w:r w:rsidRPr="001C7841">
        <w:t xml:space="preserve">considered this option, but again thought that this approach was sub-optimal. As noted in the Board’s </w:t>
      </w:r>
      <w:r w:rsidR="004541E1">
        <w:t>d</w:t>
      </w:r>
      <w:r w:rsidRPr="001C7841">
        <w:t xml:space="preserve">iscussion </w:t>
      </w:r>
      <w:r w:rsidR="004541E1">
        <w:t>p</w:t>
      </w:r>
      <w:r w:rsidRPr="001C7841">
        <w:t xml:space="preserve">aper, </w:t>
      </w:r>
      <w:r w:rsidR="004541E1">
        <w:t xml:space="preserve">the </w:t>
      </w:r>
      <w:r w:rsidRPr="001C7841">
        <w:t xml:space="preserve">consultation and feedback the Government </w:t>
      </w:r>
      <w:r w:rsidR="004541E1">
        <w:t xml:space="preserve">received </w:t>
      </w:r>
      <w:r w:rsidRPr="001C7841">
        <w:t xml:space="preserve">after this announcement suggested that the proposed changes did not provide the necessary certainty. </w:t>
      </w:r>
      <w:r w:rsidR="00915803">
        <w:t>T</w:t>
      </w:r>
      <w:r w:rsidRPr="001C7841">
        <w:t xml:space="preserve">he </w:t>
      </w:r>
      <w:r w:rsidR="008A4660">
        <w:t>Board</w:t>
      </w:r>
      <w:r w:rsidR="008A4660" w:rsidRPr="001C7841">
        <w:t xml:space="preserve"> </w:t>
      </w:r>
      <w:r w:rsidRPr="001C7841">
        <w:t>considered other options to amend the existing section 974-80, which included inserting something other than the designed to operate test and the possibility of legislating both an ordering rule (</w:t>
      </w:r>
      <w:r w:rsidR="004541E1">
        <w:t>for example,</w:t>
      </w:r>
      <w:r w:rsidRPr="001C7841">
        <w:t xml:space="preserve"> stating that the related schemes rule would apply in the first instance) and an apportionment rule.  </w:t>
      </w:r>
    </w:p>
    <w:p w14:paraId="13A45F76" w14:textId="57BC1BE9" w:rsidR="00663021" w:rsidRDefault="00663021" w:rsidP="009B5310">
      <w:pPr>
        <w:pStyle w:val="NumberedParagraph4"/>
      </w:pPr>
      <w:r w:rsidRPr="001C7841">
        <w:t>While the Board acknowledges that</w:t>
      </w:r>
      <w:r w:rsidR="004541E1">
        <w:t xml:space="preserve"> it would be easier</w:t>
      </w:r>
      <w:r w:rsidRPr="001C7841">
        <w:t xml:space="preserve"> to prioritise the provisions and ensure that section 974-80 works properly, </w:t>
      </w:r>
      <w:r>
        <w:t xml:space="preserve">greater pressure would still be placed on the related scheme provisions in section 974-70. Without appropriate amendments to fix the existing </w:t>
      </w:r>
      <w:r w:rsidR="00077E46">
        <w:t>difficulties</w:t>
      </w:r>
      <w:r>
        <w:t xml:space="preserve"> with </w:t>
      </w:r>
      <w:r w:rsidR="00077E46">
        <w:t xml:space="preserve">the operation of </w:t>
      </w:r>
      <w:r>
        <w:t>section 974-70</w:t>
      </w:r>
      <w:r w:rsidR="00077E46">
        <w:t xml:space="preserve"> noted</w:t>
      </w:r>
      <w:r>
        <w:t xml:space="preserve"> in </w:t>
      </w:r>
      <w:r w:rsidR="004541E1">
        <w:t>C</w:t>
      </w:r>
      <w:r w:rsidR="00077E46">
        <w:t>hapter 2</w:t>
      </w:r>
      <w:r>
        <w:t>, the points of uncertainty or disagreement would simply be shifted to another provision</w:t>
      </w:r>
      <w:r w:rsidR="00077E46">
        <w:t>.</w:t>
      </w:r>
    </w:p>
    <w:p w14:paraId="23EEEE56" w14:textId="2A2E4479" w:rsidR="00E45D38" w:rsidRDefault="00663021" w:rsidP="009B5310">
      <w:pPr>
        <w:pStyle w:val="NumberedParagraph4"/>
      </w:pPr>
      <w:r>
        <w:t xml:space="preserve">This outcome is less than optimal. It is for this reason that the </w:t>
      </w:r>
      <w:r w:rsidR="009119B4">
        <w:t>Board</w:t>
      </w:r>
      <w:r>
        <w:t xml:space="preserve"> considers its approach </w:t>
      </w:r>
      <w:r w:rsidR="004541E1">
        <w:t xml:space="preserve">of </w:t>
      </w:r>
      <w:r>
        <w:t>solving the problems</w:t>
      </w:r>
      <w:r w:rsidR="00C523A0">
        <w:t xml:space="preserve"> inherent</w:t>
      </w:r>
      <w:r>
        <w:t xml:space="preserve"> in the law</w:t>
      </w:r>
      <w:r w:rsidR="004541E1">
        <w:t>, as outlined in this paper,</w:t>
      </w:r>
      <w:r>
        <w:t xml:space="preserve"> </w:t>
      </w:r>
      <w:r w:rsidR="004541E1">
        <w:t>a</w:t>
      </w:r>
      <w:r>
        <w:t xml:space="preserve">s the preferred option. </w:t>
      </w:r>
    </w:p>
    <w:p w14:paraId="203A2320" w14:textId="2652ED3A" w:rsidR="00915803" w:rsidRDefault="00915803" w:rsidP="009B5310">
      <w:pPr>
        <w:pStyle w:val="NumberedParagraph4"/>
      </w:pPr>
      <w:r>
        <w:t xml:space="preserve">Finally, the Board </w:t>
      </w:r>
      <w:r w:rsidR="004541E1">
        <w:t xml:space="preserve">received a suggestion </w:t>
      </w:r>
      <w:r>
        <w:t xml:space="preserve">during consultation that a </w:t>
      </w:r>
      <w:r>
        <w:rPr>
          <w:i/>
        </w:rPr>
        <w:t xml:space="preserve">de </w:t>
      </w:r>
      <w:proofErr w:type="spellStart"/>
      <w:r>
        <w:rPr>
          <w:i/>
        </w:rPr>
        <w:t>minimis</w:t>
      </w:r>
      <w:proofErr w:type="spellEnd"/>
      <w:r>
        <w:t xml:space="preserve"> </w:t>
      </w:r>
      <w:r w:rsidR="004541E1">
        <w:t xml:space="preserve">threshold </w:t>
      </w:r>
      <w:r>
        <w:t xml:space="preserve">should be legislated to carve out certain smaller entities from having to apply the related scheme and equity override provisions where the transaction is not above a certain threshold. Again, it was suggested that this </w:t>
      </w:r>
      <w:r w:rsidRPr="00F674DC">
        <w:rPr>
          <w:i/>
        </w:rPr>
        <w:t xml:space="preserve">de </w:t>
      </w:r>
      <w:proofErr w:type="spellStart"/>
      <w:r w:rsidRPr="00F674DC">
        <w:rPr>
          <w:i/>
        </w:rPr>
        <w:t>minimis</w:t>
      </w:r>
      <w:proofErr w:type="spellEnd"/>
      <w:r>
        <w:t xml:space="preserve"> threshold could be similar to the </w:t>
      </w:r>
      <w:r>
        <w:rPr>
          <w:i/>
        </w:rPr>
        <w:t xml:space="preserve">de </w:t>
      </w:r>
      <w:proofErr w:type="spellStart"/>
      <w:r>
        <w:rPr>
          <w:i/>
        </w:rPr>
        <w:t>minimis</w:t>
      </w:r>
      <w:proofErr w:type="spellEnd"/>
      <w:r>
        <w:t xml:space="preserve"> </w:t>
      </w:r>
      <w:r w:rsidR="004541E1">
        <w:t xml:space="preserve">threshold </w:t>
      </w:r>
      <w:r>
        <w:t>in the thin capitalisation provisions in Division</w:t>
      </w:r>
      <w:r w:rsidR="004451EC">
        <w:t> </w:t>
      </w:r>
      <w:r>
        <w:t>820.</w:t>
      </w:r>
    </w:p>
    <w:p w14:paraId="716239D8" w14:textId="0E58F7C3" w:rsidR="00915803" w:rsidRDefault="00915803" w:rsidP="009B5310">
      <w:pPr>
        <w:pStyle w:val="NumberedParagraph4"/>
      </w:pPr>
      <w:r>
        <w:t xml:space="preserve">However, the Board again considered that this proposal would too easily, and inappropriately, result in behavioural changes that would </w:t>
      </w:r>
      <w:r w:rsidR="004541E1">
        <w:t xml:space="preserve">in many cases </w:t>
      </w:r>
      <w:r>
        <w:t xml:space="preserve">enable equity interests to be replaced by debt interests.  </w:t>
      </w:r>
    </w:p>
    <w:p w14:paraId="60520EA6" w14:textId="77777777" w:rsidR="004175EA" w:rsidRDefault="004175EA" w:rsidP="009B5310">
      <w:pPr>
        <w:pStyle w:val="NumberedParagraph4"/>
        <w:sectPr w:rsidR="004175EA" w:rsidSect="000E1936">
          <w:headerReference w:type="even" r:id="rId49"/>
          <w:headerReference w:type="default" r:id="rId50"/>
          <w:footerReference w:type="even" r:id="rId51"/>
          <w:footerReference w:type="default" r:id="rId52"/>
          <w:headerReference w:type="first" r:id="rId53"/>
          <w:footerReference w:type="first" r:id="rId54"/>
          <w:type w:val="oddPage"/>
          <w:pgSz w:w="11909" w:h="16834" w:code="9"/>
          <w:pgMar w:top="1701" w:right="1701" w:bottom="1701" w:left="1701" w:header="851" w:footer="851" w:gutter="0"/>
          <w:cols w:space="708"/>
          <w:titlePg/>
          <w:docGrid w:linePitch="360"/>
        </w:sectPr>
      </w:pPr>
    </w:p>
    <w:p w14:paraId="4708E7D2" w14:textId="1EFC653A" w:rsidR="004E068E" w:rsidRDefault="00066025" w:rsidP="009152C0">
      <w:pPr>
        <w:pStyle w:val="AppendixHeading"/>
      </w:pPr>
      <w:bookmarkStart w:id="92" w:name="_Toc291777427"/>
      <w:bookmarkStart w:id="93" w:name="_Toc394560523"/>
      <w:bookmarkStart w:id="94" w:name="_Toc394585125"/>
      <w:bookmarkStart w:id="95" w:name="_Toc395714457"/>
      <w:bookmarkStart w:id="96" w:name="_Toc397009297"/>
      <w:bookmarkStart w:id="97" w:name="_Toc397078806"/>
      <w:bookmarkStart w:id="98" w:name="_Toc397092225"/>
      <w:bookmarkStart w:id="99" w:name="_Toc406769456"/>
      <w:bookmarkEnd w:id="91"/>
      <w:r>
        <w:lastRenderedPageBreak/>
        <w:t>Appendix A</w:t>
      </w:r>
      <w:r w:rsidR="004E068E">
        <w:t xml:space="preserve">: List of </w:t>
      </w:r>
      <w:r w:rsidR="004541E1">
        <w:t>p</w:t>
      </w:r>
      <w:r w:rsidR="00E822D0">
        <w:t xml:space="preserve">ublic </w:t>
      </w:r>
      <w:r w:rsidR="004541E1">
        <w:t>s</w:t>
      </w:r>
      <w:r w:rsidR="004E068E">
        <w:t>ubmissions</w:t>
      </w:r>
      <w:bookmarkEnd w:id="92"/>
      <w:bookmarkEnd w:id="93"/>
      <w:bookmarkEnd w:id="94"/>
      <w:bookmarkEnd w:id="95"/>
      <w:bookmarkEnd w:id="96"/>
      <w:bookmarkEnd w:id="97"/>
      <w:bookmarkEnd w:id="98"/>
      <w:bookmarkEnd w:id="99"/>
    </w:p>
    <w:p w14:paraId="40F10060" w14:textId="516985FF" w:rsidR="00C459F6" w:rsidRPr="00C420DA" w:rsidRDefault="00ED26F7" w:rsidP="00C420DA">
      <w:r w:rsidRPr="00C420DA">
        <w:t>Infrastructure Partnerships Australia</w:t>
      </w:r>
    </w:p>
    <w:p w14:paraId="78A83465" w14:textId="77777777" w:rsidR="00ED26F7" w:rsidRPr="00C420DA" w:rsidRDefault="00ED26F7" w:rsidP="00C420DA">
      <w:r w:rsidRPr="00C420DA">
        <w:t>Deloitte</w:t>
      </w:r>
    </w:p>
    <w:p w14:paraId="67EEF881" w14:textId="5FFD6126" w:rsidR="00ED26F7" w:rsidRPr="00C420DA" w:rsidRDefault="00ED26F7" w:rsidP="00C420DA">
      <w:r w:rsidRPr="00C420DA">
        <w:t>A</w:t>
      </w:r>
      <w:r w:rsidR="005D3067" w:rsidRPr="00C420DA">
        <w:t xml:space="preserve">ustralian Private Equity </w:t>
      </w:r>
      <w:r w:rsidR="004541E1" w:rsidRPr="00C420DA">
        <w:t>and</w:t>
      </w:r>
      <w:r w:rsidR="005D3067" w:rsidRPr="00C420DA">
        <w:t xml:space="preserve"> Venture Capital Association Limited</w:t>
      </w:r>
    </w:p>
    <w:p w14:paraId="55C069C5" w14:textId="77777777" w:rsidR="00ED26F7" w:rsidRPr="00C420DA" w:rsidRDefault="00ED26F7" w:rsidP="00C420DA">
      <w:r w:rsidRPr="00C420DA">
        <w:t>Ernst &amp; Young</w:t>
      </w:r>
    </w:p>
    <w:p w14:paraId="51A67C8A" w14:textId="192D4BE4" w:rsidR="00ED26F7" w:rsidRPr="00C420DA" w:rsidRDefault="00ED26F7" w:rsidP="00C420DA">
      <w:r w:rsidRPr="00C420DA">
        <w:t>PwC</w:t>
      </w:r>
      <w:r w:rsidR="005D3067" w:rsidRPr="00C420DA">
        <w:t xml:space="preserve"> Australia</w:t>
      </w:r>
    </w:p>
    <w:p w14:paraId="7B048907" w14:textId="0E64B413" w:rsidR="00ED26F7" w:rsidRPr="00C420DA" w:rsidRDefault="00ED26F7" w:rsidP="00C420DA">
      <w:r w:rsidRPr="00C420DA">
        <w:t>Law Council of Australia</w:t>
      </w:r>
      <w:r w:rsidR="0012480C" w:rsidRPr="00C420DA">
        <w:t xml:space="preserve">, Business Law Section </w:t>
      </w:r>
    </w:p>
    <w:p w14:paraId="7809DC02" w14:textId="77777777" w:rsidR="00ED26F7" w:rsidRPr="00C420DA" w:rsidRDefault="00ED26F7" w:rsidP="00C420DA">
      <w:r w:rsidRPr="00C420DA">
        <w:t>Australian Bankers Association</w:t>
      </w:r>
    </w:p>
    <w:p w14:paraId="2D4A2C58" w14:textId="77777777" w:rsidR="00ED26F7" w:rsidRPr="00C420DA" w:rsidRDefault="00ED26F7" w:rsidP="00C420DA">
      <w:r w:rsidRPr="00C420DA">
        <w:t>The Tax Institute</w:t>
      </w:r>
    </w:p>
    <w:p w14:paraId="1193E9F0" w14:textId="77777777" w:rsidR="00ED26F7" w:rsidRPr="00C420DA" w:rsidRDefault="00ED26F7" w:rsidP="00C420DA">
      <w:r w:rsidRPr="00C420DA">
        <w:t>Property Council of Australia</w:t>
      </w:r>
    </w:p>
    <w:p w14:paraId="728257FA" w14:textId="1E362115" w:rsidR="00586DEB" w:rsidRPr="00C420DA" w:rsidRDefault="00ED26F7" w:rsidP="00C420DA">
      <w:r w:rsidRPr="00C420DA">
        <w:t>C</w:t>
      </w:r>
      <w:r w:rsidR="005D3067" w:rsidRPr="00C420DA">
        <w:t>ustomer Owned Banking Association</w:t>
      </w:r>
    </w:p>
    <w:sectPr w:rsidR="00586DEB" w:rsidRPr="00C420DA" w:rsidSect="001A64B9">
      <w:headerReference w:type="first" r:id="rId55"/>
      <w:footerReference w:type="first" r:id="rId56"/>
      <w:type w:val="oddPage"/>
      <w:pgSz w:w="11909" w:h="16834" w:code="9"/>
      <w:pgMar w:top="1701" w:right="1701" w:bottom="170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2B80B" w14:textId="77777777" w:rsidR="00793B7B" w:rsidRDefault="00793B7B">
      <w:r>
        <w:separator/>
      </w:r>
    </w:p>
  </w:endnote>
  <w:endnote w:type="continuationSeparator" w:id="0">
    <w:p w14:paraId="2E47086F" w14:textId="77777777" w:rsidR="00793B7B" w:rsidRDefault="00793B7B">
      <w:r>
        <w:continuationSeparator/>
      </w:r>
    </w:p>
  </w:endnote>
  <w:endnote w:type="continuationNotice" w:id="1">
    <w:p w14:paraId="0FA8816E" w14:textId="77777777" w:rsidR="00793B7B" w:rsidRDefault="00793B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63782" w14:textId="77777777" w:rsidR="00F614FC" w:rsidRDefault="00F614F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B6A5" w14:textId="77777777" w:rsidR="00A415D1" w:rsidRPr="00AE77FC" w:rsidRDefault="00A415D1">
    <w:pPr>
      <w:pStyle w:val="FooterOdd"/>
    </w:pPr>
    <w:r w:rsidRPr="005317EF">
      <w:t xml:space="preserve">Page </w:t>
    </w:r>
    <w:r w:rsidRPr="00AE77FC">
      <w:rPr>
        <w:rStyle w:val="PageNumber"/>
      </w:rPr>
      <w:fldChar w:fldCharType="begin"/>
    </w:r>
    <w:r w:rsidRPr="00AE77FC">
      <w:rPr>
        <w:rStyle w:val="PageNumber"/>
      </w:rPr>
      <w:instrText xml:space="preserve"> PAGE </w:instrText>
    </w:r>
    <w:r w:rsidRPr="00AE77FC">
      <w:rPr>
        <w:rStyle w:val="PageNumber"/>
      </w:rPr>
      <w:fldChar w:fldCharType="separate"/>
    </w:r>
    <w:r w:rsidR="0096387B">
      <w:rPr>
        <w:rStyle w:val="PageNumber"/>
        <w:noProof/>
      </w:rPr>
      <w:t>5</w:t>
    </w:r>
    <w:r w:rsidRPr="00AE77FC">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985F" w14:textId="77777777" w:rsidR="00A415D1" w:rsidRPr="009F50E3" w:rsidRDefault="00A415D1" w:rsidP="004826E3">
    <w:pPr>
      <w:pStyle w:val="Footer"/>
    </w:pPr>
    <w:r>
      <w:t xml:space="preserve">Page </w:t>
    </w:r>
    <w:r>
      <w:fldChar w:fldCharType="begin"/>
    </w:r>
    <w:r>
      <w:instrText xml:space="preserve"> PAGE   \* MERGEFORMAT </w:instrText>
    </w:r>
    <w:r>
      <w:fldChar w:fldCharType="separate"/>
    </w:r>
    <w:r w:rsidR="0096387B">
      <w:rPr>
        <w:noProof/>
      </w:rPr>
      <w:t>44</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13476" w14:textId="77777777" w:rsidR="00A415D1" w:rsidRDefault="00A415D1">
    <w:pPr>
      <w:pStyle w:val="FooterOdd"/>
    </w:pPr>
    <w:r>
      <w:t xml:space="preserve">Page </w:t>
    </w:r>
    <w:r>
      <w:fldChar w:fldCharType="begin"/>
    </w:r>
    <w:r>
      <w:instrText xml:space="preserve"> PAGE   \* MERGEFORMAT </w:instrText>
    </w:r>
    <w:r>
      <w:fldChar w:fldCharType="separate"/>
    </w:r>
    <w:r w:rsidR="0096387B">
      <w:rPr>
        <w:noProof/>
      </w:rPr>
      <w:t>45</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49BB0" w14:textId="77777777" w:rsidR="00A415D1" w:rsidRPr="00AE77FC" w:rsidRDefault="00A415D1">
    <w:pPr>
      <w:pStyle w:val="FooterOdd"/>
    </w:pPr>
    <w:r w:rsidRPr="005317EF">
      <w:t xml:space="preserve">Page </w:t>
    </w:r>
    <w:r w:rsidRPr="00AE77FC">
      <w:rPr>
        <w:rStyle w:val="PageNumber"/>
      </w:rPr>
      <w:fldChar w:fldCharType="begin"/>
    </w:r>
    <w:r w:rsidRPr="00AE77FC">
      <w:rPr>
        <w:rStyle w:val="PageNumber"/>
      </w:rPr>
      <w:instrText xml:space="preserve"> PAGE </w:instrText>
    </w:r>
    <w:r w:rsidRPr="00AE77FC">
      <w:rPr>
        <w:rStyle w:val="PageNumber"/>
      </w:rPr>
      <w:fldChar w:fldCharType="separate"/>
    </w:r>
    <w:r w:rsidR="0096387B">
      <w:rPr>
        <w:rStyle w:val="PageNumber"/>
        <w:noProof/>
      </w:rPr>
      <w:t>41</w:t>
    </w:r>
    <w:r w:rsidRPr="00AE77FC">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8802" w14:textId="77777777" w:rsidR="00A415D1" w:rsidRPr="000E1936" w:rsidRDefault="00A415D1" w:rsidP="000E1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0F9F9" w14:textId="77777777" w:rsidR="00A415D1" w:rsidRDefault="00A415D1">
    <w:pPr>
      <w:pStyle w:val="FooterOdd"/>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F00FC" w14:textId="77777777" w:rsidR="00F614FC" w:rsidRDefault="00F614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73840" w14:textId="77777777" w:rsidR="00A415D1" w:rsidRPr="009F50E3" w:rsidRDefault="00A415D1" w:rsidP="004826E3">
    <w:pPr>
      <w:pStyle w:val="Footer"/>
    </w:pPr>
    <w:r>
      <w:t xml:space="preserve">Page </w:t>
    </w:r>
    <w:r>
      <w:fldChar w:fldCharType="begin"/>
    </w:r>
    <w:r>
      <w:instrText xml:space="preserve"> PAGE   \* MERGEFORMAT </w:instrText>
    </w:r>
    <w:r>
      <w:fldChar w:fldCharType="separate"/>
    </w:r>
    <w:r>
      <w:rPr>
        <w:noProof/>
      </w:rPr>
      <w:t>iv</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CD92" w14:textId="77777777" w:rsidR="00A415D1" w:rsidRDefault="00A415D1">
    <w:pPr>
      <w:pStyle w:val="FooterOdd"/>
    </w:pPr>
    <w:r>
      <w:t xml:space="preserve">Page </w:t>
    </w:r>
    <w:r>
      <w:fldChar w:fldCharType="begin"/>
    </w:r>
    <w:r>
      <w:instrText xml:space="preserve"> PAGE   \* MERGEFORMAT </w:instrText>
    </w:r>
    <w:r>
      <w:fldChar w:fldCharType="separate"/>
    </w:r>
    <w:r>
      <w:rPr>
        <w:noProof/>
      </w:rPr>
      <w:t>v</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F7EE3" w14:textId="77777777" w:rsidR="00A415D1" w:rsidRPr="009F50E3" w:rsidRDefault="00A415D1">
    <w:pPr>
      <w:pStyle w:val="FooterOdd"/>
    </w:pPr>
    <w:r>
      <w:t xml:space="preserve">Page </w:t>
    </w:r>
    <w:r>
      <w:fldChar w:fldCharType="begin"/>
    </w:r>
    <w:r>
      <w:instrText xml:space="preserve"> PAGE   \* MERGEFORMAT </w:instrText>
    </w:r>
    <w:r>
      <w:fldChar w:fldCharType="separate"/>
    </w:r>
    <w:r w:rsidR="00F614FC">
      <w:rPr>
        <w:noProof/>
      </w:rPr>
      <w:t>i</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4412E" w14:textId="77777777" w:rsidR="00A415D1" w:rsidRPr="00AE77FC" w:rsidRDefault="00A415D1">
    <w:pPr>
      <w:pStyle w:val="FooterOdd"/>
    </w:pPr>
    <w:r w:rsidRPr="005317EF">
      <w:t xml:space="preserve">Page </w:t>
    </w:r>
    <w:r w:rsidRPr="00AE77FC">
      <w:rPr>
        <w:rStyle w:val="PageNumber"/>
      </w:rPr>
      <w:fldChar w:fldCharType="begin"/>
    </w:r>
    <w:r w:rsidRPr="00AE77FC">
      <w:rPr>
        <w:rStyle w:val="PageNumber"/>
      </w:rPr>
      <w:instrText xml:space="preserve"> PAGE </w:instrText>
    </w:r>
    <w:r w:rsidRPr="00AE77FC">
      <w:rPr>
        <w:rStyle w:val="PageNumber"/>
      </w:rPr>
      <w:fldChar w:fldCharType="separate"/>
    </w:r>
    <w:r w:rsidR="0096387B">
      <w:rPr>
        <w:rStyle w:val="PageNumber"/>
        <w:noProof/>
      </w:rPr>
      <w:t>iii</w:t>
    </w:r>
    <w:r w:rsidRPr="00AE77FC">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A5B0E" w14:textId="77777777" w:rsidR="00A415D1" w:rsidRPr="009F50E3" w:rsidRDefault="00A415D1" w:rsidP="004826E3">
    <w:pPr>
      <w:pStyle w:val="Footer"/>
    </w:pPr>
    <w:r>
      <w:t xml:space="preserve">Page </w:t>
    </w:r>
    <w:r>
      <w:fldChar w:fldCharType="begin"/>
    </w:r>
    <w:r>
      <w:instrText xml:space="preserve"> PAGE   \* MERGEFORMAT </w:instrText>
    </w:r>
    <w:r>
      <w:fldChar w:fldCharType="separate"/>
    </w:r>
    <w:r w:rsidR="0096387B">
      <w:rPr>
        <w:noProof/>
      </w:rPr>
      <w:t>38</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B207E" w14:textId="77777777" w:rsidR="00A415D1" w:rsidRDefault="00A415D1">
    <w:pPr>
      <w:pStyle w:val="FooterOdd"/>
    </w:pPr>
    <w:r>
      <w:t xml:space="preserve">Page </w:t>
    </w:r>
    <w:r>
      <w:fldChar w:fldCharType="begin"/>
    </w:r>
    <w:r>
      <w:instrText xml:space="preserve"> PAGE   \* MERGEFORMAT </w:instrText>
    </w:r>
    <w:r>
      <w:fldChar w:fldCharType="separate"/>
    </w:r>
    <w:r w:rsidR="0096387B">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23F89" w14:textId="77777777" w:rsidR="00793B7B" w:rsidRDefault="00793B7B">
      <w:r>
        <w:separator/>
      </w:r>
    </w:p>
  </w:footnote>
  <w:footnote w:type="continuationSeparator" w:id="0">
    <w:p w14:paraId="524069F7" w14:textId="77777777" w:rsidR="00793B7B" w:rsidRDefault="00793B7B">
      <w:r>
        <w:continuationSeparator/>
      </w:r>
    </w:p>
  </w:footnote>
  <w:footnote w:type="continuationNotice" w:id="1">
    <w:p w14:paraId="5C1FACF8" w14:textId="77777777" w:rsidR="00793B7B" w:rsidRDefault="00793B7B">
      <w:pPr>
        <w:spacing w:after="0" w:line="240" w:lineRule="auto"/>
      </w:pPr>
    </w:p>
  </w:footnote>
  <w:footnote w:id="2">
    <w:p w14:paraId="67099A2A" w14:textId="5011D8D1" w:rsidR="00A415D1" w:rsidRPr="00032850" w:rsidRDefault="00A415D1" w:rsidP="00032850">
      <w:pPr>
        <w:pStyle w:val="FootnoteText"/>
      </w:pPr>
      <w:r w:rsidRPr="00032850">
        <w:rPr>
          <w:rStyle w:val="FootnoteReference"/>
          <w:sz w:val="18"/>
          <w:szCs w:val="18"/>
          <w:vertAlign w:val="baseline"/>
        </w:rPr>
        <w:footnoteRef/>
      </w:r>
      <w:r w:rsidRPr="00032850">
        <w:t xml:space="preserve"> </w:t>
      </w:r>
      <w:r>
        <w:tab/>
      </w:r>
      <w:proofErr w:type="gramStart"/>
      <w:r w:rsidRPr="00032850">
        <w:t>Subsections 974-15(2) and 974-70(2) of the ITAA 1997.</w:t>
      </w:r>
      <w:proofErr w:type="gramEnd"/>
    </w:p>
  </w:footnote>
  <w:footnote w:id="3">
    <w:p w14:paraId="766C2D7F" w14:textId="3680389C" w:rsidR="00A415D1" w:rsidRPr="00032850" w:rsidRDefault="00A415D1" w:rsidP="00032850">
      <w:pPr>
        <w:pStyle w:val="FootnoteText"/>
      </w:pPr>
      <w:r w:rsidRPr="00032850">
        <w:rPr>
          <w:rStyle w:val="FootnoteReference"/>
          <w:sz w:val="18"/>
          <w:szCs w:val="18"/>
          <w:vertAlign w:val="baseline"/>
        </w:rPr>
        <w:footnoteRef/>
      </w:r>
      <w:r w:rsidRPr="00032850">
        <w:t xml:space="preserve"> </w:t>
      </w:r>
      <w:r>
        <w:tab/>
      </w:r>
      <w:r w:rsidRPr="00032850">
        <w:t>Subsection 974-15(2) of the ITAA 1997.</w:t>
      </w:r>
    </w:p>
  </w:footnote>
  <w:footnote w:id="4">
    <w:p w14:paraId="2F1A6516" w14:textId="26F67B4B" w:rsidR="00A415D1" w:rsidRPr="00032850" w:rsidRDefault="00A415D1" w:rsidP="00032850">
      <w:pPr>
        <w:pStyle w:val="FootnoteText"/>
      </w:pPr>
      <w:r w:rsidRPr="00032850">
        <w:rPr>
          <w:rStyle w:val="FootnoteReference"/>
          <w:sz w:val="18"/>
          <w:szCs w:val="18"/>
          <w:vertAlign w:val="baseline"/>
        </w:rPr>
        <w:footnoteRef/>
      </w:r>
      <w:r w:rsidRPr="00032850">
        <w:t xml:space="preserve"> </w:t>
      </w:r>
      <w:r>
        <w:tab/>
      </w:r>
      <w:r w:rsidRPr="00032850">
        <w:t>Subsection 974-70(2) of the ITAA 1997</w:t>
      </w:r>
    </w:p>
  </w:footnote>
  <w:footnote w:id="5">
    <w:p w14:paraId="22A4D1E3" w14:textId="58E4A3FE" w:rsidR="00A415D1" w:rsidRPr="00032850" w:rsidRDefault="00A415D1" w:rsidP="00032850">
      <w:pPr>
        <w:pStyle w:val="FootnoteText"/>
      </w:pPr>
      <w:r w:rsidRPr="00032850">
        <w:rPr>
          <w:rStyle w:val="FootnoteReference"/>
          <w:sz w:val="18"/>
          <w:szCs w:val="18"/>
          <w:vertAlign w:val="baseline"/>
        </w:rPr>
        <w:footnoteRef/>
      </w:r>
      <w:r w:rsidRPr="00032850">
        <w:t xml:space="preserve"> </w:t>
      </w:r>
      <w:r>
        <w:tab/>
      </w:r>
      <w:r w:rsidRPr="00032850">
        <w:t>Explanatory Memorandum to New Business Tax System (Debt and Equity) Bill 2001, paragraph 2.41.</w:t>
      </w:r>
    </w:p>
  </w:footnote>
  <w:footnote w:id="6">
    <w:p w14:paraId="2814C397" w14:textId="3CE5BDC6" w:rsidR="00A415D1" w:rsidRPr="00032850" w:rsidRDefault="00A415D1" w:rsidP="00032850">
      <w:pPr>
        <w:pStyle w:val="FootnoteText"/>
      </w:pPr>
      <w:r w:rsidRPr="00032850">
        <w:rPr>
          <w:rStyle w:val="FootnoteReference"/>
          <w:sz w:val="18"/>
          <w:szCs w:val="18"/>
          <w:vertAlign w:val="baseline"/>
        </w:rPr>
        <w:footnoteRef/>
      </w:r>
      <w:r w:rsidRPr="00032850">
        <w:t xml:space="preserve"> </w:t>
      </w:r>
      <w:r>
        <w:tab/>
      </w:r>
      <w:r w:rsidRPr="00032850">
        <w:t xml:space="preserve">As noted in the discussion paper, the policy intention of section 974-80 as expressed in the Explanatory Memorandum was directed towards, but not limited to, preventing the deductibility of equity-like regulatory capital (that is, instruments marketed as deductible Tier 1 capital issued by some Banks). Diagram 2.1 in the Explanatory Memorandum, and depicted in the Board’s discussion paper, provides an illustrative example of the type of scenario that section 974-80 was intended to apply to.  </w:t>
      </w:r>
    </w:p>
  </w:footnote>
  <w:footnote w:id="7">
    <w:p w14:paraId="3FA02E54" w14:textId="54AE17C4" w:rsidR="00A415D1" w:rsidRPr="00032850" w:rsidRDefault="00A415D1" w:rsidP="00032850">
      <w:pPr>
        <w:pStyle w:val="FootnoteText"/>
      </w:pPr>
      <w:r w:rsidRPr="00032850">
        <w:rPr>
          <w:rStyle w:val="FootnoteReference"/>
          <w:sz w:val="18"/>
          <w:szCs w:val="18"/>
          <w:vertAlign w:val="baseline"/>
        </w:rPr>
        <w:footnoteRef/>
      </w:r>
      <w:r w:rsidRPr="00032850">
        <w:t xml:space="preserve"> </w:t>
      </w:r>
      <w:r>
        <w:tab/>
      </w:r>
      <w:r w:rsidRPr="00032850">
        <w:t>Explanatory Memorandum to New Business Tax System (Debt and Equity) Bill 2001, paragraph 2.49.</w:t>
      </w:r>
    </w:p>
  </w:footnote>
  <w:footnote w:id="8">
    <w:p w14:paraId="42FFDF3D" w14:textId="35D294F1" w:rsidR="00A415D1" w:rsidRPr="00032850" w:rsidRDefault="00A415D1" w:rsidP="00032850">
      <w:pPr>
        <w:pStyle w:val="FootnoteText"/>
      </w:pPr>
      <w:r w:rsidRPr="00032850">
        <w:rPr>
          <w:rStyle w:val="FootnoteReference"/>
          <w:sz w:val="18"/>
          <w:szCs w:val="18"/>
          <w:vertAlign w:val="baseline"/>
        </w:rPr>
        <w:footnoteRef/>
      </w:r>
      <w:r w:rsidRPr="00032850">
        <w:t xml:space="preserve"> </w:t>
      </w:r>
      <w:r>
        <w:tab/>
      </w:r>
      <w:r w:rsidRPr="00032850">
        <w:t>Federal Government, ‘Debt/Equity tax rules – clarification of the scope of an integrity provision’, Budget Paper No 2 – Part 1: Revenue Measures, Budget 2011-12.</w:t>
      </w:r>
    </w:p>
  </w:footnote>
  <w:footnote w:id="9">
    <w:p w14:paraId="6D240472" w14:textId="534A647E" w:rsidR="00A415D1" w:rsidRPr="00032850" w:rsidRDefault="00A415D1" w:rsidP="00032850">
      <w:pPr>
        <w:pStyle w:val="FootnoteText"/>
      </w:pPr>
      <w:r w:rsidRPr="00032850">
        <w:rPr>
          <w:rStyle w:val="FootnoteReference"/>
          <w:sz w:val="18"/>
          <w:szCs w:val="18"/>
          <w:vertAlign w:val="baseline"/>
        </w:rPr>
        <w:footnoteRef/>
      </w:r>
      <w:r w:rsidRPr="00032850">
        <w:t xml:space="preserve"> </w:t>
      </w:r>
      <w:r>
        <w:tab/>
      </w:r>
      <w:proofErr w:type="gramStart"/>
      <w:r w:rsidRPr="00C65F5B">
        <w:t>Section 170B of the Income Tax Assessment Act 1936 (</w:t>
      </w:r>
      <w:proofErr w:type="spellStart"/>
      <w:r w:rsidRPr="00C65F5B">
        <w:t>Cth</w:t>
      </w:r>
      <w:proofErr w:type="spellEnd"/>
      <w:r w:rsidRPr="00C65F5B">
        <w:t>) (ITAA 1936).</w:t>
      </w:r>
      <w:proofErr w:type="gramEnd"/>
    </w:p>
  </w:footnote>
  <w:footnote w:id="10">
    <w:p w14:paraId="658CD9E3" w14:textId="5D330CB3" w:rsidR="00A415D1" w:rsidRPr="00032850" w:rsidRDefault="00A415D1" w:rsidP="00032850">
      <w:pPr>
        <w:pStyle w:val="FootnoteText"/>
      </w:pPr>
      <w:r w:rsidRPr="00032850">
        <w:rPr>
          <w:rStyle w:val="FootnoteReference"/>
          <w:sz w:val="18"/>
          <w:szCs w:val="18"/>
          <w:vertAlign w:val="baseline"/>
        </w:rPr>
        <w:footnoteRef/>
      </w:r>
      <w:r w:rsidRPr="00032850">
        <w:t xml:space="preserve"> </w:t>
      </w:r>
      <w:r w:rsidRPr="00032850">
        <w:tab/>
        <w:t>The term ‘reasonably arguable’ has the meaning given by section 284-15 of Schedule 1 to the Tax</w:t>
      </w:r>
      <w:r>
        <w:t> </w:t>
      </w:r>
      <w:r w:rsidRPr="00032850">
        <w:t xml:space="preserve">Administration Act (TAA). The test is whether, having regard to the “relevant authorities”, and on an objective analysis of the law and application of the law to the relevant facts, it would be concluded that what is argued for is about as likely as not correct or is more likely than not correct. </w:t>
      </w:r>
    </w:p>
  </w:footnote>
  <w:footnote w:id="11">
    <w:p w14:paraId="62D38238" w14:textId="150276A1" w:rsidR="00A415D1" w:rsidRPr="00032850" w:rsidRDefault="00A415D1" w:rsidP="00032850">
      <w:pPr>
        <w:pStyle w:val="FootnoteText"/>
      </w:pPr>
      <w:r w:rsidRPr="00032850">
        <w:rPr>
          <w:rStyle w:val="FootnoteReference"/>
          <w:sz w:val="18"/>
          <w:szCs w:val="18"/>
          <w:vertAlign w:val="baseline"/>
        </w:rPr>
        <w:footnoteRef/>
      </w:r>
      <w:r w:rsidRPr="00032850">
        <w:t xml:space="preserve"> </w:t>
      </w:r>
      <w:r w:rsidRPr="00032850">
        <w:tab/>
        <w:t>As in the case of the debt test, the pricing, terms and conditions must be considered in their entirety. Although it is acknowledged that in a particular case, not all of the pricing, terms and conditions will be relevant, and of those that are relevant, some may be neutral. </w:t>
      </w:r>
    </w:p>
  </w:footnote>
  <w:footnote w:id="12">
    <w:p w14:paraId="19CB68BA" w14:textId="785C6F2C" w:rsidR="00A415D1" w:rsidRPr="00032850" w:rsidRDefault="00A415D1" w:rsidP="00032850">
      <w:pPr>
        <w:pStyle w:val="FootnoteText"/>
      </w:pPr>
      <w:r w:rsidRPr="00032850">
        <w:rPr>
          <w:rStyle w:val="FootnoteReference"/>
          <w:sz w:val="18"/>
          <w:szCs w:val="18"/>
          <w:vertAlign w:val="baseline"/>
        </w:rPr>
        <w:footnoteRef/>
      </w:r>
      <w:r w:rsidRPr="00032850">
        <w:t xml:space="preserve"> </w:t>
      </w:r>
      <w:r>
        <w:tab/>
      </w:r>
      <w:r w:rsidRPr="00032850">
        <w:t xml:space="preserve">This includes considering the method or procedure by which the particular scheme in question was established – </w:t>
      </w:r>
      <w:r w:rsidRPr="00032850">
        <w:rPr>
          <w:i/>
        </w:rPr>
        <w:t xml:space="preserve">FC of T v Spotless Services Limited 96 </w:t>
      </w:r>
      <w:r w:rsidRPr="00032850">
        <w:t>ATC at pages 5201 and 5209.</w:t>
      </w:r>
    </w:p>
  </w:footnote>
  <w:footnote w:id="13">
    <w:p w14:paraId="1499FAF5" w14:textId="03DDBBC1" w:rsidR="00A415D1" w:rsidRPr="00032850" w:rsidRDefault="00A415D1" w:rsidP="00032850">
      <w:pPr>
        <w:pStyle w:val="FootnoteText"/>
      </w:pPr>
      <w:r w:rsidRPr="00032850">
        <w:rPr>
          <w:rStyle w:val="FootnoteReference"/>
          <w:sz w:val="18"/>
          <w:szCs w:val="18"/>
          <w:vertAlign w:val="baseline"/>
        </w:rPr>
        <w:footnoteRef/>
      </w:r>
      <w:r w:rsidRPr="00032850">
        <w:t xml:space="preserve"> </w:t>
      </w:r>
      <w:r>
        <w:tab/>
      </w:r>
      <w:r w:rsidRPr="00032850">
        <w:t>Corresponding provisions occur in the stapling agreement and company constitution.</w:t>
      </w:r>
    </w:p>
  </w:footnote>
  <w:footnote w:id="14">
    <w:p w14:paraId="68B69DA3" w14:textId="5CE16E69" w:rsidR="00A415D1" w:rsidRPr="00032850" w:rsidRDefault="00A415D1" w:rsidP="00032850">
      <w:pPr>
        <w:pStyle w:val="FootnoteText"/>
      </w:pPr>
      <w:r w:rsidRPr="00032850">
        <w:rPr>
          <w:rStyle w:val="FootnoteReference"/>
          <w:sz w:val="18"/>
          <w:szCs w:val="18"/>
          <w:vertAlign w:val="baseline"/>
        </w:rPr>
        <w:footnoteRef/>
      </w:r>
      <w:r w:rsidRPr="00032850">
        <w:t xml:space="preserve"> </w:t>
      </w:r>
      <w:r>
        <w:tab/>
      </w:r>
      <w:r w:rsidRPr="00032850">
        <w:t>The dividend stopper is not a part of the company loan scheme, nor does it alter the economic consequences of the company loan.  In any event, the dividend stopper alters the economic consequences of the shares but does not affect the equity scheme’s application to the shares.</w:t>
      </w:r>
    </w:p>
  </w:footnote>
  <w:footnote w:id="15">
    <w:p w14:paraId="035FA9EE" w14:textId="62630E87" w:rsidR="00A415D1" w:rsidRPr="00A17AA4" w:rsidRDefault="00A415D1" w:rsidP="00032850">
      <w:pPr>
        <w:pStyle w:val="FootnoteText"/>
        <w:rPr>
          <w:lang w:val="en-US"/>
        </w:rPr>
      </w:pPr>
      <w:r w:rsidRPr="00032850">
        <w:rPr>
          <w:rStyle w:val="FootnoteReference"/>
          <w:sz w:val="18"/>
          <w:szCs w:val="18"/>
          <w:vertAlign w:val="baseline"/>
        </w:rPr>
        <w:footnoteRef/>
      </w:r>
      <w:r w:rsidRPr="00032850">
        <w:t xml:space="preserve"> </w:t>
      </w:r>
      <w:r>
        <w:tab/>
      </w:r>
      <w:r w:rsidRPr="00032850">
        <w:t>This example is based on Tax Determination (TD) 2014/D18.</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9AEF5" w14:textId="77777777" w:rsidR="00A415D1" w:rsidRDefault="00A415D1">
    <w:pPr>
      <w:framePr w:wrap="around" w:hAnchor="page" w:x="14460" w:yAlign="top" w:anchorLock="1"/>
      <w:textDirection w:val="tbRl"/>
      <w:rPr>
        <w:rStyle w:val="FramedHeader"/>
      </w:rPr>
    </w:pPr>
    <w:r>
      <w:rPr>
        <w:rStyle w:val="FramedHeader"/>
      </w:rPr>
      <w:t>Publication Title</w:t>
    </w:r>
  </w:p>
  <w:p w14:paraId="2E329442" w14:textId="77777777" w:rsidR="00A415D1" w:rsidRPr="009F50E3" w:rsidRDefault="00A415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58583" w14:textId="77777777" w:rsidR="00A415D1" w:rsidRPr="000127E1" w:rsidRDefault="00A415D1" w:rsidP="000127E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67C0" w14:textId="77777777" w:rsidR="00A415D1" w:rsidRPr="00F91D48" w:rsidRDefault="00A415D1" w:rsidP="00F91D4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1235E" w14:textId="77777777" w:rsidR="00A415D1" w:rsidRDefault="00A415D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F8210" w14:textId="77777777" w:rsidR="00A415D1" w:rsidRPr="00D56088" w:rsidRDefault="00A415D1" w:rsidP="00F54089">
    <w:pPr>
      <w:pStyle w:val="Header"/>
      <w:jc w:val="right"/>
    </w:pPr>
    <w:r>
      <w:t>Chapter 1: Introduction</w:t>
    </w:r>
  </w:p>
  <w:p w14:paraId="6E8D75FA" w14:textId="77777777" w:rsidR="00A415D1" w:rsidRPr="00D56088" w:rsidRDefault="00A415D1" w:rsidP="00F5408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176E" w14:textId="77777777" w:rsidR="00A415D1" w:rsidRPr="00D56088" w:rsidRDefault="00A415D1" w:rsidP="00210B68">
    <w:pPr>
      <w:pStyle w:val="Header"/>
      <w:jc w:val="right"/>
    </w:pPr>
    <w:r>
      <w:t>Chapter 1: Introduction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01DA" w14:textId="77777777" w:rsidR="00A415D1" w:rsidRPr="00D56088" w:rsidRDefault="00A415D1" w:rsidP="00D5608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E7592" w14:textId="77777777" w:rsidR="00A415D1" w:rsidRPr="00F91AA6" w:rsidRDefault="00A415D1" w:rsidP="00F91AA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E18A" w14:textId="77777777" w:rsidR="00A415D1" w:rsidRPr="00713C34" w:rsidRDefault="00A415D1" w:rsidP="00713C3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28E83" w14:textId="77777777" w:rsidR="00A415D1" w:rsidRDefault="00A415D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8421" w14:textId="77777777" w:rsidR="00A415D1" w:rsidRPr="005513E9" w:rsidRDefault="00A415D1" w:rsidP="005513E9">
    <w:pPr>
      <w:pStyle w:val="Header"/>
    </w:pPr>
    <w:r w:rsidRPr="005513E9">
      <w:t xml:space="preserve">Chapter </w:t>
    </w:r>
    <w:r>
      <w:t>4</w:t>
    </w:r>
    <w:r w:rsidRPr="005513E9">
      <w:t>:</w:t>
    </w:r>
    <w:r>
      <w:t xml:space="preserve"> Alternative solutions considered but dismissed by the Board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3DCCE" w14:textId="77777777" w:rsidR="00F614FC" w:rsidRDefault="00F614F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22235" w14:textId="77777777" w:rsidR="00A415D1" w:rsidRPr="005513E9" w:rsidRDefault="00A415D1" w:rsidP="00586DEB">
    <w:pPr>
      <w:pStyle w:val="Header"/>
    </w:pPr>
    <w:r w:rsidRPr="005513E9">
      <w:t xml:space="preserve">Chapter </w:t>
    </w:r>
    <w:r>
      <w:t>4</w:t>
    </w:r>
    <w:r w:rsidRPr="005513E9">
      <w:t>:</w:t>
    </w:r>
    <w:r>
      <w:t xml:space="preserve"> Alternative solutions considered but dismissed by the Board </w:t>
    </w:r>
  </w:p>
  <w:p w14:paraId="6C87216C" w14:textId="77777777" w:rsidR="00A415D1" w:rsidRPr="00ED3BFF" w:rsidRDefault="00A415D1" w:rsidP="00ED3BF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A9C4C" w14:textId="77777777" w:rsidR="00A415D1" w:rsidRDefault="00A415D1" w:rsidP="00334575">
    <w:pPr>
      <w:pStyle w:val="Header"/>
      <w:tabs>
        <w:tab w:val="left" w:pos="4814"/>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5C688" w14:textId="77777777" w:rsidR="00A415D1" w:rsidRDefault="00A41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1A346" w14:textId="77777777" w:rsidR="00A415D1" w:rsidRDefault="00A415D1">
    <w:pPr>
      <w:pStyle w:val="HeaderOdd"/>
    </w:pPr>
  </w:p>
  <w:p w14:paraId="2D0192D7" w14:textId="77777777" w:rsidR="00A415D1" w:rsidRDefault="00A415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86D62" w14:textId="77777777" w:rsidR="00A415D1" w:rsidRDefault="00A415D1">
    <w:pPr>
      <w:framePr w:wrap="around" w:hAnchor="page" w:x="14460" w:yAlign="top" w:anchorLock="1"/>
      <w:textDirection w:val="tbRl"/>
      <w:rPr>
        <w:rStyle w:val="FramedHeader"/>
      </w:rPr>
    </w:pPr>
    <w:r>
      <w:rPr>
        <w:rStyle w:val="FramedHeader"/>
      </w:rPr>
      <w:t>Publication Title</w:t>
    </w:r>
  </w:p>
  <w:p w14:paraId="36690751" w14:textId="77777777" w:rsidR="00A415D1" w:rsidRPr="009F50E3" w:rsidRDefault="00A415D1" w:rsidP="00F17969">
    <w:pPr>
      <w:pStyle w:val="HeaderEven"/>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482E" w14:textId="77777777" w:rsidR="00A415D1" w:rsidRDefault="00A415D1">
    <w:pPr>
      <w:pStyle w:val="HeaderOd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B1595" w14:textId="77777777" w:rsidR="00A415D1" w:rsidRDefault="00A415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C40D" w14:textId="77777777" w:rsidR="00A415D1" w:rsidRDefault="00A415D1">
    <w:pPr>
      <w:pStyle w:val="Header"/>
    </w:pPr>
    <w:r>
      <w:t>Executive summary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D8F0" w14:textId="77777777" w:rsidR="00A415D1" w:rsidRDefault="00A415D1" w:rsidP="00E46D1E">
    <w:pPr>
      <w:pStyle w:val="HeaderOdd"/>
    </w:pPr>
    <w:r>
      <w:t>Executive summary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4E86" w14:textId="77777777" w:rsidR="00A415D1" w:rsidRDefault="00A41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7C5722"/>
    <w:lvl w:ilvl="0">
      <w:start w:val="1"/>
      <w:numFmt w:val="decimal"/>
      <w:lvlText w:val="%1."/>
      <w:lvlJc w:val="left"/>
      <w:pPr>
        <w:tabs>
          <w:tab w:val="num" w:pos="1492"/>
        </w:tabs>
        <w:ind w:left="1492" w:hanging="360"/>
      </w:pPr>
    </w:lvl>
  </w:abstractNum>
  <w:abstractNum w:abstractNumId="1">
    <w:nsid w:val="FFFFFF7D"/>
    <w:multiLevelType w:val="singleLevel"/>
    <w:tmpl w:val="6A54A0F0"/>
    <w:lvl w:ilvl="0">
      <w:start w:val="1"/>
      <w:numFmt w:val="decimal"/>
      <w:lvlText w:val="%1."/>
      <w:lvlJc w:val="left"/>
      <w:pPr>
        <w:tabs>
          <w:tab w:val="num" w:pos="1209"/>
        </w:tabs>
        <w:ind w:left="1209" w:hanging="360"/>
      </w:pPr>
    </w:lvl>
  </w:abstractNum>
  <w:abstractNum w:abstractNumId="2">
    <w:nsid w:val="FFFFFF7E"/>
    <w:multiLevelType w:val="singleLevel"/>
    <w:tmpl w:val="88D0F812"/>
    <w:lvl w:ilvl="0">
      <w:start w:val="1"/>
      <w:numFmt w:val="decimal"/>
      <w:lvlText w:val="%1."/>
      <w:lvlJc w:val="left"/>
      <w:pPr>
        <w:tabs>
          <w:tab w:val="num" w:pos="926"/>
        </w:tabs>
        <w:ind w:left="926" w:hanging="360"/>
      </w:pPr>
    </w:lvl>
  </w:abstractNum>
  <w:abstractNum w:abstractNumId="3">
    <w:nsid w:val="FFFFFF7F"/>
    <w:multiLevelType w:val="singleLevel"/>
    <w:tmpl w:val="A6185184"/>
    <w:lvl w:ilvl="0">
      <w:start w:val="1"/>
      <w:numFmt w:val="decimal"/>
      <w:lvlText w:val="%1."/>
      <w:lvlJc w:val="left"/>
      <w:pPr>
        <w:tabs>
          <w:tab w:val="num" w:pos="643"/>
        </w:tabs>
        <w:ind w:left="643" w:hanging="360"/>
      </w:pPr>
    </w:lvl>
  </w:abstractNum>
  <w:abstractNum w:abstractNumId="4">
    <w:nsid w:val="FFFFFF80"/>
    <w:multiLevelType w:val="singleLevel"/>
    <w:tmpl w:val="B860E0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0C1D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A28A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E450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F05DD8"/>
    <w:lvl w:ilvl="0">
      <w:start w:val="1"/>
      <w:numFmt w:val="decimal"/>
      <w:lvlText w:val="%1."/>
      <w:lvlJc w:val="left"/>
      <w:pPr>
        <w:tabs>
          <w:tab w:val="num" w:pos="360"/>
        </w:tabs>
        <w:ind w:left="360" w:hanging="360"/>
      </w:pPr>
    </w:lvl>
  </w:abstractNum>
  <w:abstractNum w:abstractNumId="9">
    <w:nsid w:val="00BA0B92"/>
    <w:multiLevelType w:val="multilevel"/>
    <w:tmpl w:val="485427C0"/>
    <w:lvl w:ilvl="0">
      <w:start w:val="1"/>
      <w:numFmt w:val="decimal"/>
      <w:lvlRestart w:val="0"/>
      <w:pStyle w:val="ChapterHeading"/>
      <w:suff w:val="nothing"/>
      <w:lvlText w:val=""/>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Paragraph1"/>
      <w:lvlText w:val="%1.%2"/>
      <w:lvlJc w:val="left"/>
      <w:pPr>
        <w:tabs>
          <w:tab w:val="num" w:pos="567"/>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right"/>
      <w:pPr>
        <w:tabs>
          <w:tab w:val="num" w:pos="567"/>
        </w:tabs>
        <w:ind w:left="567" w:hanging="567"/>
      </w:pPr>
      <w:rPr>
        <w:rFonts w:hint="default"/>
        <w:b w:val="0"/>
        <w:i w:val="0"/>
        <w:color w:val="000000"/>
      </w:rPr>
    </w:lvl>
    <w:lvl w:ilvl="3">
      <w:start w:val="1"/>
      <w:numFmt w:val="bullet"/>
      <w:lvlText w:val=""/>
      <w:lvlJc w:val="left"/>
      <w:pPr>
        <w:tabs>
          <w:tab w:val="num" w:pos="567"/>
        </w:tabs>
        <w:ind w:left="567" w:hanging="567"/>
      </w:pPr>
      <w:rPr>
        <w:rFonts w:ascii="Symbol" w:hAnsi="Symbol" w:hint="default"/>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nsid w:val="04F60798"/>
    <w:multiLevelType w:val="hybridMultilevel"/>
    <w:tmpl w:val="1930C5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0A0479A9"/>
    <w:multiLevelType w:val="hybridMultilevel"/>
    <w:tmpl w:val="402AFEDE"/>
    <w:lvl w:ilvl="0" w:tplc="8180A4BA">
      <w:start w:val="1"/>
      <w:numFmt w:val="decimal"/>
      <w:pStyle w:val="NumberedParagraph4"/>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C21F48"/>
    <w:multiLevelType w:val="singleLevel"/>
    <w:tmpl w:val="F0B87A5C"/>
    <w:name w:val="Case study bullet List"/>
    <w:lvl w:ilvl="0">
      <w:start w:val="1"/>
      <w:numFmt w:val="bullet"/>
      <w:lvlRestart w:val="0"/>
      <w:pStyle w:val="Casestudybullet"/>
      <w:lvlText w:val="•"/>
      <w:lvlJc w:val="left"/>
      <w:pPr>
        <w:tabs>
          <w:tab w:val="num" w:pos="283"/>
        </w:tabs>
        <w:ind w:left="283" w:hanging="283"/>
      </w:pPr>
      <w:rPr>
        <w:rFonts w:ascii="Book Antiqua" w:hAnsi="Book Antiqua"/>
        <w:b w:val="0"/>
        <w:i w:val="0"/>
        <w:color w:val="000080"/>
        <w:sz w:val="16"/>
      </w:rPr>
    </w:lvl>
  </w:abstractNum>
  <w:abstractNum w:abstractNumId="13">
    <w:nsid w:val="19C960FD"/>
    <w:multiLevelType w:val="multilevel"/>
    <w:tmpl w:val="69265B00"/>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D018A1"/>
    <w:multiLevelType w:val="multilevel"/>
    <w:tmpl w:val="FB12AC3C"/>
    <w:lvl w:ilvl="0">
      <w:start w:val="1"/>
      <w:numFmt w:val="decimal"/>
      <w:suff w:val="nothing"/>
      <w:lvlText w:val=""/>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0" w:firstLine="0"/>
      </w:pPr>
      <w:rPr>
        <w:rFonts w:ascii="Symbol" w:hAnsi="Symbo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right"/>
      <w:pPr>
        <w:tabs>
          <w:tab w:val="num" w:pos="567"/>
        </w:tabs>
        <w:ind w:left="567" w:hanging="567"/>
      </w:pPr>
      <w:rPr>
        <w:b w:val="0"/>
        <w:i w:val="0"/>
        <w:color w:val="000000"/>
      </w:rPr>
    </w:lvl>
    <w:lvl w:ilvl="3">
      <w:start w:val="1"/>
      <w:numFmt w:val="bullet"/>
      <w:lvlText w:val=""/>
      <w:lvlJc w:val="left"/>
      <w:pPr>
        <w:tabs>
          <w:tab w:val="num" w:pos="567"/>
        </w:tabs>
        <w:ind w:left="567" w:hanging="567"/>
      </w:pPr>
      <w:rPr>
        <w:rFonts w:ascii="Symbol" w:hAnsi="Symbol" w:hint="default"/>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244237C5"/>
    <w:multiLevelType w:val="multilevel"/>
    <w:tmpl w:val="6E8A456A"/>
    <w:name w:val="StandardNumberedList"/>
    <w:lvl w:ilvl="0">
      <w:start w:val="1"/>
      <w:numFmt w:val="decimal"/>
      <w:pStyle w:val="OutlineNumbered1"/>
      <w:lvlText w:val="%1."/>
      <w:lvlJc w:val="left"/>
      <w:pPr>
        <w:tabs>
          <w:tab w:val="num" w:pos="520"/>
        </w:tabs>
        <w:ind w:left="520" w:hanging="520"/>
      </w:pPr>
      <w:rPr>
        <w:b w:val="0"/>
        <w:i w:val="0"/>
      </w:rPr>
    </w:lvl>
    <w:lvl w:ilvl="1">
      <w:start w:val="1"/>
      <w:numFmt w:val="decimal"/>
      <w:pStyle w:val="OutlineNumbered2"/>
      <w:lvlText w:val="%1.%2."/>
      <w:lvlJc w:val="left"/>
      <w:pPr>
        <w:tabs>
          <w:tab w:val="num" w:pos="1040"/>
        </w:tabs>
        <w:ind w:left="1040" w:hanging="520"/>
      </w:pPr>
      <w:rPr>
        <w:b w:val="0"/>
        <w:i w:val="0"/>
      </w:rPr>
    </w:lvl>
    <w:lvl w:ilvl="2">
      <w:start w:val="1"/>
      <w:numFmt w:val="decimal"/>
      <w:pStyle w:val="OutlineNumbered3"/>
      <w:lvlText w:val="%1.%2.%3."/>
      <w:lvlJc w:val="left"/>
      <w:pPr>
        <w:tabs>
          <w:tab w:val="num" w:pos="1560"/>
        </w:tabs>
        <w:ind w:left="1560" w:hanging="520"/>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27440C8B"/>
    <w:multiLevelType w:val="multilevel"/>
    <w:tmpl w:val="2E34CEC2"/>
    <w:name w:val="StandardBulletedList"/>
    <w:lvl w:ilvl="0">
      <w:start w:val="1"/>
      <w:numFmt w:val="bullet"/>
      <w:pStyle w:val="Bullet"/>
      <w:lvlText w:val="•"/>
      <w:lvlJc w:val="left"/>
      <w:pPr>
        <w:tabs>
          <w:tab w:val="num" w:pos="1087"/>
        </w:tabs>
        <w:ind w:left="1087" w:hanging="520"/>
      </w:pPr>
      <w:rPr>
        <w:rFonts w:ascii="Times New Roman" w:hAnsi="Times New Roman" w:cs="Times New Roman"/>
        <w:b w:val="0"/>
        <w:i w:val="0"/>
      </w:rPr>
    </w:lvl>
    <w:lvl w:ilvl="1">
      <w:start w:val="1"/>
      <w:numFmt w:val="bullet"/>
      <w:pStyle w:val="Dash"/>
      <w:lvlText w:val="–"/>
      <w:lvlJc w:val="left"/>
      <w:pPr>
        <w:tabs>
          <w:tab w:val="num" w:pos="1607"/>
        </w:tabs>
        <w:ind w:left="1607" w:hanging="520"/>
      </w:pPr>
      <w:rPr>
        <w:rFonts w:ascii="Times New Roman" w:hAnsi="Times New Roman" w:cs="Times New Roman"/>
        <w:b w:val="0"/>
        <w:i w:val="0"/>
      </w:rPr>
    </w:lvl>
    <w:lvl w:ilvl="2">
      <w:start w:val="1"/>
      <w:numFmt w:val="bullet"/>
      <w:pStyle w:val="DoubleDot"/>
      <w:lvlText w:val=":"/>
      <w:lvlJc w:val="left"/>
      <w:pPr>
        <w:tabs>
          <w:tab w:val="num" w:pos="2127"/>
        </w:tabs>
        <w:ind w:left="2127" w:hanging="520"/>
      </w:pPr>
      <w:rPr>
        <w:rFonts w:ascii="Times New Roman" w:hAnsi="Times New Roman" w:cs="Times New Roman"/>
        <w:b w:val="0"/>
        <w:i w:val="0"/>
      </w:rPr>
    </w:lvl>
    <w:lvl w:ilvl="3">
      <w:start w:val="1"/>
      <w:numFmt w:val="decimal"/>
      <w:lvlText w:val="(%4)"/>
      <w:lvlJc w:val="left"/>
      <w:pPr>
        <w:tabs>
          <w:tab w:val="num" w:pos="3049"/>
        </w:tabs>
        <w:ind w:left="3049" w:hanging="360"/>
      </w:pPr>
      <w:rPr>
        <w:b w:val="0"/>
        <w:i w:val="0"/>
      </w:rPr>
    </w:lvl>
    <w:lvl w:ilvl="4">
      <w:start w:val="1"/>
      <w:numFmt w:val="lowerLetter"/>
      <w:lvlText w:val="(%5)"/>
      <w:lvlJc w:val="left"/>
      <w:pPr>
        <w:tabs>
          <w:tab w:val="num" w:pos="3409"/>
        </w:tabs>
        <w:ind w:left="3409" w:hanging="360"/>
      </w:pPr>
      <w:rPr>
        <w:b w:val="0"/>
        <w:i w:val="0"/>
      </w:rPr>
    </w:lvl>
    <w:lvl w:ilvl="5">
      <w:start w:val="1"/>
      <w:numFmt w:val="lowerRoman"/>
      <w:lvlText w:val="(%6)"/>
      <w:lvlJc w:val="left"/>
      <w:pPr>
        <w:tabs>
          <w:tab w:val="num" w:pos="3769"/>
        </w:tabs>
        <w:ind w:left="3769" w:hanging="360"/>
      </w:pPr>
      <w:rPr>
        <w:b w:val="0"/>
        <w:i w:val="0"/>
      </w:rPr>
    </w:lvl>
    <w:lvl w:ilvl="6">
      <w:start w:val="1"/>
      <w:numFmt w:val="decimal"/>
      <w:lvlText w:val="%7."/>
      <w:lvlJc w:val="left"/>
      <w:pPr>
        <w:tabs>
          <w:tab w:val="num" w:pos="4129"/>
        </w:tabs>
        <w:ind w:left="4129" w:hanging="360"/>
      </w:pPr>
      <w:rPr>
        <w:b w:val="0"/>
        <w:i w:val="0"/>
      </w:rPr>
    </w:lvl>
    <w:lvl w:ilvl="7">
      <w:start w:val="1"/>
      <w:numFmt w:val="lowerLetter"/>
      <w:lvlText w:val="%8."/>
      <w:lvlJc w:val="left"/>
      <w:pPr>
        <w:tabs>
          <w:tab w:val="num" w:pos="4489"/>
        </w:tabs>
        <w:ind w:left="4489" w:hanging="360"/>
      </w:pPr>
      <w:rPr>
        <w:b w:val="0"/>
        <w:i w:val="0"/>
      </w:rPr>
    </w:lvl>
    <w:lvl w:ilvl="8">
      <w:start w:val="1"/>
      <w:numFmt w:val="lowerRoman"/>
      <w:lvlText w:val="%9."/>
      <w:lvlJc w:val="left"/>
      <w:pPr>
        <w:tabs>
          <w:tab w:val="num" w:pos="4849"/>
        </w:tabs>
        <w:ind w:left="4849" w:hanging="360"/>
      </w:pPr>
      <w:rPr>
        <w:b w:val="0"/>
        <w:i w:val="0"/>
      </w:rPr>
    </w:lvl>
  </w:abstractNum>
  <w:abstractNum w:abstractNumId="18">
    <w:nsid w:val="2D665DFA"/>
    <w:multiLevelType w:val="singleLevel"/>
    <w:tmpl w:val="02EEA0D2"/>
    <w:name w:val="OneLevelAlphaParagraphList_"/>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9">
    <w:nsid w:val="3824703D"/>
    <w:multiLevelType w:val="hybridMultilevel"/>
    <w:tmpl w:val="2A94BD6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BD755E9"/>
    <w:multiLevelType w:val="hybridMultilevel"/>
    <w:tmpl w:val="3230CA14"/>
    <w:lvl w:ilvl="0" w:tplc="DE46CBCE">
      <w:start w:val="1"/>
      <w:numFmt w:val="bullet"/>
      <w:lvlText w:val=""/>
      <w:lvlJc w:val="left"/>
      <w:pPr>
        <w:tabs>
          <w:tab w:val="num" w:pos="720"/>
        </w:tabs>
        <w:ind w:left="720" w:hanging="360"/>
      </w:pPr>
      <w:rPr>
        <w:rFonts w:ascii="Wingdings" w:hAnsi="Wingdings" w:hint="default"/>
      </w:rPr>
    </w:lvl>
    <w:lvl w:ilvl="1" w:tplc="233C3374" w:tentative="1">
      <w:start w:val="1"/>
      <w:numFmt w:val="bullet"/>
      <w:lvlText w:val=""/>
      <w:lvlJc w:val="left"/>
      <w:pPr>
        <w:tabs>
          <w:tab w:val="num" w:pos="1440"/>
        </w:tabs>
        <w:ind w:left="1440" w:hanging="360"/>
      </w:pPr>
      <w:rPr>
        <w:rFonts w:ascii="Wingdings" w:hAnsi="Wingdings" w:hint="default"/>
      </w:rPr>
    </w:lvl>
    <w:lvl w:ilvl="2" w:tplc="629C894A" w:tentative="1">
      <w:start w:val="1"/>
      <w:numFmt w:val="bullet"/>
      <w:lvlText w:val=""/>
      <w:lvlJc w:val="left"/>
      <w:pPr>
        <w:tabs>
          <w:tab w:val="num" w:pos="2160"/>
        </w:tabs>
        <w:ind w:left="2160" w:hanging="360"/>
      </w:pPr>
      <w:rPr>
        <w:rFonts w:ascii="Wingdings" w:hAnsi="Wingdings" w:hint="default"/>
      </w:rPr>
    </w:lvl>
    <w:lvl w:ilvl="3" w:tplc="54442208" w:tentative="1">
      <w:start w:val="1"/>
      <w:numFmt w:val="bullet"/>
      <w:lvlText w:val=""/>
      <w:lvlJc w:val="left"/>
      <w:pPr>
        <w:tabs>
          <w:tab w:val="num" w:pos="2880"/>
        </w:tabs>
        <w:ind w:left="2880" w:hanging="360"/>
      </w:pPr>
      <w:rPr>
        <w:rFonts w:ascii="Wingdings" w:hAnsi="Wingdings" w:hint="default"/>
      </w:rPr>
    </w:lvl>
    <w:lvl w:ilvl="4" w:tplc="D832752A" w:tentative="1">
      <w:start w:val="1"/>
      <w:numFmt w:val="bullet"/>
      <w:lvlText w:val=""/>
      <w:lvlJc w:val="left"/>
      <w:pPr>
        <w:tabs>
          <w:tab w:val="num" w:pos="3600"/>
        </w:tabs>
        <w:ind w:left="3600" w:hanging="360"/>
      </w:pPr>
      <w:rPr>
        <w:rFonts w:ascii="Wingdings" w:hAnsi="Wingdings" w:hint="default"/>
      </w:rPr>
    </w:lvl>
    <w:lvl w:ilvl="5" w:tplc="54B8A314" w:tentative="1">
      <w:start w:val="1"/>
      <w:numFmt w:val="bullet"/>
      <w:lvlText w:val=""/>
      <w:lvlJc w:val="left"/>
      <w:pPr>
        <w:tabs>
          <w:tab w:val="num" w:pos="4320"/>
        </w:tabs>
        <w:ind w:left="4320" w:hanging="360"/>
      </w:pPr>
      <w:rPr>
        <w:rFonts w:ascii="Wingdings" w:hAnsi="Wingdings" w:hint="default"/>
      </w:rPr>
    </w:lvl>
    <w:lvl w:ilvl="6" w:tplc="B7BE85B6" w:tentative="1">
      <w:start w:val="1"/>
      <w:numFmt w:val="bullet"/>
      <w:lvlText w:val=""/>
      <w:lvlJc w:val="left"/>
      <w:pPr>
        <w:tabs>
          <w:tab w:val="num" w:pos="5040"/>
        </w:tabs>
        <w:ind w:left="5040" w:hanging="360"/>
      </w:pPr>
      <w:rPr>
        <w:rFonts w:ascii="Wingdings" w:hAnsi="Wingdings" w:hint="default"/>
      </w:rPr>
    </w:lvl>
    <w:lvl w:ilvl="7" w:tplc="FF0E7A40" w:tentative="1">
      <w:start w:val="1"/>
      <w:numFmt w:val="bullet"/>
      <w:lvlText w:val=""/>
      <w:lvlJc w:val="left"/>
      <w:pPr>
        <w:tabs>
          <w:tab w:val="num" w:pos="5760"/>
        </w:tabs>
        <w:ind w:left="5760" w:hanging="360"/>
      </w:pPr>
      <w:rPr>
        <w:rFonts w:ascii="Wingdings" w:hAnsi="Wingdings" w:hint="default"/>
      </w:rPr>
    </w:lvl>
    <w:lvl w:ilvl="8" w:tplc="535C43F0" w:tentative="1">
      <w:start w:val="1"/>
      <w:numFmt w:val="bullet"/>
      <w:lvlText w:val=""/>
      <w:lvlJc w:val="left"/>
      <w:pPr>
        <w:tabs>
          <w:tab w:val="num" w:pos="6480"/>
        </w:tabs>
        <w:ind w:left="6480" w:hanging="360"/>
      </w:pPr>
      <w:rPr>
        <w:rFonts w:ascii="Wingdings" w:hAnsi="Wingdings" w:hint="default"/>
      </w:rPr>
    </w:lvl>
  </w:abstractNum>
  <w:abstractNum w:abstractNumId="21">
    <w:nsid w:val="3F1E2427"/>
    <w:multiLevelType w:val="hybridMultilevel"/>
    <w:tmpl w:val="3898A7D2"/>
    <w:lvl w:ilvl="0" w:tplc="C5A6EDBE">
      <w:start w:val="1"/>
      <w:numFmt w:val="bullet"/>
      <w:lvlText w:val=""/>
      <w:lvlJc w:val="left"/>
      <w:pPr>
        <w:tabs>
          <w:tab w:val="num" w:pos="720"/>
        </w:tabs>
        <w:ind w:left="720" w:hanging="360"/>
      </w:pPr>
      <w:rPr>
        <w:rFonts w:ascii="Wingdings" w:hAnsi="Wingdings" w:hint="default"/>
      </w:rPr>
    </w:lvl>
    <w:lvl w:ilvl="1" w:tplc="51545794" w:tentative="1">
      <w:start w:val="1"/>
      <w:numFmt w:val="bullet"/>
      <w:lvlText w:val=""/>
      <w:lvlJc w:val="left"/>
      <w:pPr>
        <w:tabs>
          <w:tab w:val="num" w:pos="1440"/>
        </w:tabs>
        <w:ind w:left="1440" w:hanging="360"/>
      </w:pPr>
      <w:rPr>
        <w:rFonts w:ascii="Wingdings" w:hAnsi="Wingdings" w:hint="default"/>
      </w:rPr>
    </w:lvl>
    <w:lvl w:ilvl="2" w:tplc="2F8216EA" w:tentative="1">
      <w:start w:val="1"/>
      <w:numFmt w:val="bullet"/>
      <w:lvlText w:val=""/>
      <w:lvlJc w:val="left"/>
      <w:pPr>
        <w:tabs>
          <w:tab w:val="num" w:pos="2160"/>
        </w:tabs>
        <w:ind w:left="2160" w:hanging="360"/>
      </w:pPr>
      <w:rPr>
        <w:rFonts w:ascii="Wingdings" w:hAnsi="Wingdings" w:hint="default"/>
      </w:rPr>
    </w:lvl>
    <w:lvl w:ilvl="3" w:tplc="9834724E" w:tentative="1">
      <w:start w:val="1"/>
      <w:numFmt w:val="bullet"/>
      <w:lvlText w:val=""/>
      <w:lvlJc w:val="left"/>
      <w:pPr>
        <w:tabs>
          <w:tab w:val="num" w:pos="2880"/>
        </w:tabs>
        <w:ind w:left="2880" w:hanging="360"/>
      </w:pPr>
      <w:rPr>
        <w:rFonts w:ascii="Wingdings" w:hAnsi="Wingdings" w:hint="default"/>
      </w:rPr>
    </w:lvl>
    <w:lvl w:ilvl="4" w:tplc="8AECE75A" w:tentative="1">
      <w:start w:val="1"/>
      <w:numFmt w:val="bullet"/>
      <w:lvlText w:val=""/>
      <w:lvlJc w:val="left"/>
      <w:pPr>
        <w:tabs>
          <w:tab w:val="num" w:pos="3600"/>
        </w:tabs>
        <w:ind w:left="3600" w:hanging="360"/>
      </w:pPr>
      <w:rPr>
        <w:rFonts w:ascii="Wingdings" w:hAnsi="Wingdings" w:hint="default"/>
      </w:rPr>
    </w:lvl>
    <w:lvl w:ilvl="5" w:tplc="1678591E" w:tentative="1">
      <w:start w:val="1"/>
      <w:numFmt w:val="bullet"/>
      <w:lvlText w:val=""/>
      <w:lvlJc w:val="left"/>
      <w:pPr>
        <w:tabs>
          <w:tab w:val="num" w:pos="4320"/>
        </w:tabs>
        <w:ind w:left="4320" w:hanging="360"/>
      </w:pPr>
      <w:rPr>
        <w:rFonts w:ascii="Wingdings" w:hAnsi="Wingdings" w:hint="default"/>
      </w:rPr>
    </w:lvl>
    <w:lvl w:ilvl="6" w:tplc="36ACF152" w:tentative="1">
      <w:start w:val="1"/>
      <w:numFmt w:val="bullet"/>
      <w:lvlText w:val=""/>
      <w:lvlJc w:val="left"/>
      <w:pPr>
        <w:tabs>
          <w:tab w:val="num" w:pos="5040"/>
        </w:tabs>
        <w:ind w:left="5040" w:hanging="360"/>
      </w:pPr>
      <w:rPr>
        <w:rFonts w:ascii="Wingdings" w:hAnsi="Wingdings" w:hint="default"/>
      </w:rPr>
    </w:lvl>
    <w:lvl w:ilvl="7" w:tplc="96A0FC0A" w:tentative="1">
      <w:start w:val="1"/>
      <w:numFmt w:val="bullet"/>
      <w:lvlText w:val=""/>
      <w:lvlJc w:val="left"/>
      <w:pPr>
        <w:tabs>
          <w:tab w:val="num" w:pos="5760"/>
        </w:tabs>
        <w:ind w:left="5760" w:hanging="360"/>
      </w:pPr>
      <w:rPr>
        <w:rFonts w:ascii="Wingdings" w:hAnsi="Wingdings" w:hint="default"/>
      </w:rPr>
    </w:lvl>
    <w:lvl w:ilvl="8" w:tplc="C360BF3A" w:tentative="1">
      <w:start w:val="1"/>
      <w:numFmt w:val="bullet"/>
      <w:lvlText w:val=""/>
      <w:lvlJc w:val="left"/>
      <w:pPr>
        <w:tabs>
          <w:tab w:val="num" w:pos="6480"/>
        </w:tabs>
        <w:ind w:left="6480" w:hanging="360"/>
      </w:pPr>
      <w:rPr>
        <w:rFonts w:ascii="Wingdings" w:hAnsi="Wingdings" w:hint="default"/>
      </w:rPr>
    </w:lvl>
  </w:abstractNum>
  <w:abstractNum w:abstractNumId="22">
    <w:nsid w:val="3FF26554"/>
    <w:multiLevelType w:val="hybridMultilevel"/>
    <w:tmpl w:val="98C669A4"/>
    <w:lvl w:ilvl="0" w:tplc="4FC8147C">
      <w:start w:val="1"/>
      <w:numFmt w:val="decimal"/>
      <w:pStyle w:val="NumberedParagraph3"/>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426B5E"/>
    <w:multiLevelType w:val="multilevel"/>
    <w:tmpl w:val="542474D0"/>
    <w:lvl w:ilvl="0">
      <w:start w:val="1"/>
      <w:numFmt w:val="decimal"/>
      <w:lvlText w:val="%1."/>
      <w:lvlJc w:val="left"/>
      <w:pPr>
        <w:tabs>
          <w:tab w:val="num" w:pos="520"/>
        </w:tabs>
        <w:ind w:left="520" w:hanging="520"/>
      </w:pPr>
      <w:rPr>
        <w:rFonts w:hint="default"/>
      </w:rPr>
    </w:lvl>
    <w:lvl w:ilvl="1">
      <w:start w:val="1"/>
      <w:numFmt w:val="decimal"/>
      <w:lvlText w:val="%1.%2."/>
      <w:lvlJc w:val="left"/>
      <w:pPr>
        <w:tabs>
          <w:tab w:val="num" w:pos="1040"/>
        </w:tabs>
        <w:ind w:left="1040" w:hanging="520"/>
      </w:pPr>
      <w:rPr>
        <w:rFonts w:hint="default"/>
      </w:rPr>
    </w:lvl>
    <w:lvl w:ilvl="2">
      <w:start w:val="1"/>
      <w:numFmt w:val="decimal"/>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4AB18FA"/>
    <w:multiLevelType w:val="multilevel"/>
    <w:tmpl w:val="C1BCD9C4"/>
    <w:lvl w:ilvl="0">
      <w:start w:val="1"/>
      <w:numFmt w:val="bullet"/>
      <w:lvlText w:val="•"/>
      <w:lvlJc w:val="left"/>
      <w:pPr>
        <w:tabs>
          <w:tab w:val="num" w:pos="1854"/>
        </w:tabs>
        <w:ind w:left="1854" w:hanging="567"/>
      </w:pPr>
      <w:rPr>
        <w:rFonts w:ascii="Times New Roman" w:hAnsi="Times New Roman" w:cs="Times New Roman"/>
      </w:rPr>
    </w:lvl>
    <w:lvl w:ilvl="1">
      <w:start w:val="1"/>
      <w:numFmt w:val="bullet"/>
      <w:lvlText w:val="–"/>
      <w:lvlJc w:val="left"/>
      <w:pPr>
        <w:tabs>
          <w:tab w:val="num" w:pos="2421"/>
        </w:tabs>
        <w:ind w:left="2421" w:hanging="567"/>
      </w:pPr>
      <w:rPr>
        <w:rFonts w:ascii="Times New Roman" w:hAnsi="Times New Roman" w:cs="Times New Roman"/>
      </w:rPr>
    </w:lvl>
    <w:lvl w:ilvl="2">
      <w:start w:val="1"/>
      <w:numFmt w:val="bullet"/>
      <w:lvlText w:val=":"/>
      <w:lvlJc w:val="left"/>
      <w:pPr>
        <w:tabs>
          <w:tab w:val="num" w:pos="2988"/>
        </w:tabs>
        <w:ind w:left="2988" w:hanging="567"/>
      </w:pPr>
      <w:rPr>
        <w:rFonts w:ascii="Times New Roman" w:hAnsi="Times New Roman" w:cs="Times New Roman"/>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25">
    <w:nsid w:val="470A060D"/>
    <w:multiLevelType w:val="singleLevel"/>
    <w:tmpl w:val="C8DE61C2"/>
    <w:name w:val="RecommendationAlphaList"/>
    <w:lvl w:ilvl="0">
      <w:start w:val="1"/>
      <w:numFmt w:val="lowerLetter"/>
      <w:lvlRestart w:val="0"/>
      <w:pStyle w:val="Recommendationalpha"/>
      <w:lvlText w:val="(%1)"/>
      <w:lvlJc w:val="left"/>
      <w:pPr>
        <w:tabs>
          <w:tab w:val="num" w:pos="567"/>
        </w:tabs>
        <w:ind w:left="0" w:firstLine="0"/>
      </w:pPr>
      <w:rPr>
        <w:rFonts w:ascii="Times New Roman" w:hAnsi="Times New Roman" w:cs="Times New Roman"/>
        <w:b w:val="0"/>
        <w:i w:val="0"/>
        <w:color w:val="000080"/>
      </w:rPr>
    </w:lvl>
  </w:abstractNum>
  <w:abstractNum w:abstractNumId="26">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7">
    <w:nsid w:val="4DCF3A8E"/>
    <w:multiLevelType w:val="singleLevel"/>
    <w:tmpl w:val="7F1A8F5C"/>
    <w:name w:val="Roman numeral list"/>
    <w:lvl w:ilvl="0">
      <w:start w:val="1"/>
      <w:numFmt w:val="lowerRoman"/>
      <w:lvlRestart w:val="0"/>
      <w:pStyle w:val="Romannumeral"/>
      <w:lvlText w:val="(%1)"/>
      <w:lvlJc w:val="left"/>
      <w:pPr>
        <w:tabs>
          <w:tab w:val="num" w:pos="1134"/>
        </w:tabs>
        <w:ind w:left="1134" w:hanging="567"/>
      </w:pPr>
      <w:rPr>
        <w:b w:val="0"/>
        <w:i w:val="0"/>
        <w:color w:val="000000"/>
      </w:rPr>
    </w:lvl>
  </w:abstractNum>
  <w:abstractNum w:abstractNumId="28">
    <w:nsid w:val="54020A92"/>
    <w:multiLevelType w:val="hybridMultilevel"/>
    <w:tmpl w:val="78A61678"/>
    <w:lvl w:ilvl="0" w:tplc="481A77CC">
      <w:start w:val="1"/>
      <w:numFmt w:val="bullet"/>
      <w:lvlText w:val=""/>
      <w:lvlJc w:val="left"/>
      <w:pPr>
        <w:tabs>
          <w:tab w:val="num" w:pos="720"/>
        </w:tabs>
        <w:ind w:left="720" w:hanging="360"/>
      </w:pPr>
      <w:rPr>
        <w:rFonts w:ascii="Wingdings" w:hAnsi="Wingdings" w:hint="default"/>
      </w:rPr>
    </w:lvl>
    <w:lvl w:ilvl="1" w:tplc="70C25D98" w:tentative="1">
      <w:start w:val="1"/>
      <w:numFmt w:val="bullet"/>
      <w:lvlText w:val=""/>
      <w:lvlJc w:val="left"/>
      <w:pPr>
        <w:tabs>
          <w:tab w:val="num" w:pos="1440"/>
        </w:tabs>
        <w:ind w:left="1440" w:hanging="360"/>
      </w:pPr>
      <w:rPr>
        <w:rFonts w:ascii="Wingdings" w:hAnsi="Wingdings" w:hint="default"/>
      </w:rPr>
    </w:lvl>
    <w:lvl w:ilvl="2" w:tplc="212870EC" w:tentative="1">
      <w:start w:val="1"/>
      <w:numFmt w:val="bullet"/>
      <w:lvlText w:val=""/>
      <w:lvlJc w:val="left"/>
      <w:pPr>
        <w:tabs>
          <w:tab w:val="num" w:pos="2160"/>
        </w:tabs>
        <w:ind w:left="2160" w:hanging="360"/>
      </w:pPr>
      <w:rPr>
        <w:rFonts w:ascii="Wingdings" w:hAnsi="Wingdings" w:hint="default"/>
      </w:rPr>
    </w:lvl>
    <w:lvl w:ilvl="3" w:tplc="6D62A638" w:tentative="1">
      <w:start w:val="1"/>
      <w:numFmt w:val="bullet"/>
      <w:lvlText w:val=""/>
      <w:lvlJc w:val="left"/>
      <w:pPr>
        <w:tabs>
          <w:tab w:val="num" w:pos="2880"/>
        </w:tabs>
        <w:ind w:left="2880" w:hanging="360"/>
      </w:pPr>
      <w:rPr>
        <w:rFonts w:ascii="Wingdings" w:hAnsi="Wingdings" w:hint="default"/>
      </w:rPr>
    </w:lvl>
    <w:lvl w:ilvl="4" w:tplc="3F32B9F0" w:tentative="1">
      <w:start w:val="1"/>
      <w:numFmt w:val="bullet"/>
      <w:lvlText w:val=""/>
      <w:lvlJc w:val="left"/>
      <w:pPr>
        <w:tabs>
          <w:tab w:val="num" w:pos="3600"/>
        </w:tabs>
        <w:ind w:left="3600" w:hanging="360"/>
      </w:pPr>
      <w:rPr>
        <w:rFonts w:ascii="Wingdings" w:hAnsi="Wingdings" w:hint="default"/>
      </w:rPr>
    </w:lvl>
    <w:lvl w:ilvl="5" w:tplc="CC38FA8A" w:tentative="1">
      <w:start w:val="1"/>
      <w:numFmt w:val="bullet"/>
      <w:lvlText w:val=""/>
      <w:lvlJc w:val="left"/>
      <w:pPr>
        <w:tabs>
          <w:tab w:val="num" w:pos="4320"/>
        </w:tabs>
        <w:ind w:left="4320" w:hanging="360"/>
      </w:pPr>
      <w:rPr>
        <w:rFonts w:ascii="Wingdings" w:hAnsi="Wingdings" w:hint="default"/>
      </w:rPr>
    </w:lvl>
    <w:lvl w:ilvl="6" w:tplc="0798A5A8" w:tentative="1">
      <w:start w:val="1"/>
      <w:numFmt w:val="bullet"/>
      <w:lvlText w:val=""/>
      <w:lvlJc w:val="left"/>
      <w:pPr>
        <w:tabs>
          <w:tab w:val="num" w:pos="5040"/>
        </w:tabs>
        <w:ind w:left="5040" w:hanging="360"/>
      </w:pPr>
      <w:rPr>
        <w:rFonts w:ascii="Wingdings" w:hAnsi="Wingdings" w:hint="default"/>
      </w:rPr>
    </w:lvl>
    <w:lvl w:ilvl="7" w:tplc="9C1671BC" w:tentative="1">
      <w:start w:val="1"/>
      <w:numFmt w:val="bullet"/>
      <w:lvlText w:val=""/>
      <w:lvlJc w:val="left"/>
      <w:pPr>
        <w:tabs>
          <w:tab w:val="num" w:pos="5760"/>
        </w:tabs>
        <w:ind w:left="5760" w:hanging="360"/>
      </w:pPr>
      <w:rPr>
        <w:rFonts w:ascii="Wingdings" w:hAnsi="Wingdings" w:hint="default"/>
      </w:rPr>
    </w:lvl>
    <w:lvl w:ilvl="8" w:tplc="D312FF1E" w:tentative="1">
      <w:start w:val="1"/>
      <w:numFmt w:val="bullet"/>
      <w:lvlText w:val=""/>
      <w:lvlJc w:val="left"/>
      <w:pPr>
        <w:tabs>
          <w:tab w:val="num" w:pos="6480"/>
        </w:tabs>
        <w:ind w:left="6480" w:hanging="360"/>
      </w:pPr>
      <w:rPr>
        <w:rFonts w:ascii="Wingdings" w:hAnsi="Wingdings" w:hint="default"/>
      </w:rPr>
    </w:lvl>
  </w:abstractNum>
  <w:abstractNum w:abstractNumId="29">
    <w:nsid w:val="559B66B7"/>
    <w:multiLevelType w:val="hybridMultilevel"/>
    <w:tmpl w:val="D3F289AE"/>
    <w:lvl w:ilvl="0" w:tplc="D8FE0748">
      <w:start w:val="1"/>
      <w:numFmt w:val="lowerRoman"/>
      <w:pStyle w:val="QuoteRomanNumer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nsid w:val="56DA39B8"/>
    <w:multiLevelType w:val="hybridMultilevel"/>
    <w:tmpl w:val="AFE440E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8101827"/>
    <w:multiLevelType w:val="multilevel"/>
    <w:tmpl w:val="A928D658"/>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927"/>
        </w:tabs>
        <w:ind w:left="927" w:hanging="360"/>
      </w:pPr>
      <w:rPr>
        <w:b w:val="0"/>
        <w:i/>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2">
    <w:nsid w:val="58481A85"/>
    <w:multiLevelType w:val="hybridMultilevel"/>
    <w:tmpl w:val="3D58E9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B5216AB"/>
    <w:multiLevelType w:val="hybridMultilevel"/>
    <w:tmpl w:val="9ED27548"/>
    <w:lvl w:ilvl="0" w:tplc="D5049506">
      <w:start w:val="1"/>
      <w:numFmt w:val="bullet"/>
      <w:lvlText w:val=""/>
      <w:lvlJc w:val="left"/>
      <w:pPr>
        <w:tabs>
          <w:tab w:val="num" w:pos="720"/>
        </w:tabs>
        <w:ind w:left="720" w:hanging="360"/>
      </w:pPr>
      <w:rPr>
        <w:rFonts w:ascii="Wingdings" w:hAnsi="Wingdings" w:hint="default"/>
      </w:rPr>
    </w:lvl>
    <w:lvl w:ilvl="1" w:tplc="AD0C2256" w:tentative="1">
      <w:start w:val="1"/>
      <w:numFmt w:val="bullet"/>
      <w:lvlText w:val=""/>
      <w:lvlJc w:val="left"/>
      <w:pPr>
        <w:tabs>
          <w:tab w:val="num" w:pos="1440"/>
        </w:tabs>
        <w:ind w:left="1440" w:hanging="360"/>
      </w:pPr>
      <w:rPr>
        <w:rFonts w:ascii="Wingdings" w:hAnsi="Wingdings" w:hint="default"/>
      </w:rPr>
    </w:lvl>
    <w:lvl w:ilvl="2" w:tplc="811C8E0C" w:tentative="1">
      <w:start w:val="1"/>
      <w:numFmt w:val="bullet"/>
      <w:lvlText w:val=""/>
      <w:lvlJc w:val="left"/>
      <w:pPr>
        <w:tabs>
          <w:tab w:val="num" w:pos="2160"/>
        </w:tabs>
        <w:ind w:left="2160" w:hanging="360"/>
      </w:pPr>
      <w:rPr>
        <w:rFonts w:ascii="Wingdings" w:hAnsi="Wingdings" w:hint="default"/>
      </w:rPr>
    </w:lvl>
    <w:lvl w:ilvl="3" w:tplc="D3AE50EA" w:tentative="1">
      <w:start w:val="1"/>
      <w:numFmt w:val="bullet"/>
      <w:lvlText w:val=""/>
      <w:lvlJc w:val="left"/>
      <w:pPr>
        <w:tabs>
          <w:tab w:val="num" w:pos="2880"/>
        </w:tabs>
        <w:ind w:left="2880" w:hanging="360"/>
      </w:pPr>
      <w:rPr>
        <w:rFonts w:ascii="Wingdings" w:hAnsi="Wingdings" w:hint="default"/>
      </w:rPr>
    </w:lvl>
    <w:lvl w:ilvl="4" w:tplc="AEF69C46" w:tentative="1">
      <w:start w:val="1"/>
      <w:numFmt w:val="bullet"/>
      <w:lvlText w:val=""/>
      <w:lvlJc w:val="left"/>
      <w:pPr>
        <w:tabs>
          <w:tab w:val="num" w:pos="3600"/>
        </w:tabs>
        <w:ind w:left="3600" w:hanging="360"/>
      </w:pPr>
      <w:rPr>
        <w:rFonts w:ascii="Wingdings" w:hAnsi="Wingdings" w:hint="default"/>
      </w:rPr>
    </w:lvl>
    <w:lvl w:ilvl="5" w:tplc="CD70E656" w:tentative="1">
      <w:start w:val="1"/>
      <w:numFmt w:val="bullet"/>
      <w:lvlText w:val=""/>
      <w:lvlJc w:val="left"/>
      <w:pPr>
        <w:tabs>
          <w:tab w:val="num" w:pos="4320"/>
        </w:tabs>
        <w:ind w:left="4320" w:hanging="360"/>
      </w:pPr>
      <w:rPr>
        <w:rFonts w:ascii="Wingdings" w:hAnsi="Wingdings" w:hint="default"/>
      </w:rPr>
    </w:lvl>
    <w:lvl w:ilvl="6" w:tplc="F9B8C81A" w:tentative="1">
      <w:start w:val="1"/>
      <w:numFmt w:val="bullet"/>
      <w:lvlText w:val=""/>
      <w:lvlJc w:val="left"/>
      <w:pPr>
        <w:tabs>
          <w:tab w:val="num" w:pos="5040"/>
        </w:tabs>
        <w:ind w:left="5040" w:hanging="360"/>
      </w:pPr>
      <w:rPr>
        <w:rFonts w:ascii="Wingdings" w:hAnsi="Wingdings" w:hint="default"/>
      </w:rPr>
    </w:lvl>
    <w:lvl w:ilvl="7" w:tplc="3F1A3E6A" w:tentative="1">
      <w:start w:val="1"/>
      <w:numFmt w:val="bullet"/>
      <w:lvlText w:val=""/>
      <w:lvlJc w:val="left"/>
      <w:pPr>
        <w:tabs>
          <w:tab w:val="num" w:pos="5760"/>
        </w:tabs>
        <w:ind w:left="5760" w:hanging="360"/>
      </w:pPr>
      <w:rPr>
        <w:rFonts w:ascii="Wingdings" w:hAnsi="Wingdings" w:hint="default"/>
      </w:rPr>
    </w:lvl>
    <w:lvl w:ilvl="8" w:tplc="C994C97C" w:tentative="1">
      <w:start w:val="1"/>
      <w:numFmt w:val="bullet"/>
      <w:lvlText w:val=""/>
      <w:lvlJc w:val="left"/>
      <w:pPr>
        <w:tabs>
          <w:tab w:val="num" w:pos="6480"/>
        </w:tabs>
        <w:ind w:left="6480" w:hanging="360"/>
      </w:pPr>
      <w:rPr>
        <w:rFonts w:ascii="Wingdings" w:hAnsi="Wingdings" w:hint="default"/>
      </w:rPr>
    </w:lvl>
  </w:abstractNum>
  <w:abstractNum w:abstractNumId="34">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5">
    <w:nsid w:val="662442AE"/>
    <w:multiLevelType w:val="singleLevel"/>
    <w:tmpl w:val="A87ABB18"/>
    <w:lvl w:ilvl="0">
      <w:start w:val="1"/>
      <w:numFmt w:val="lowerRoman"/>
      <w:lvlRestart w:val="0"/>
      <w:pStyle w:val="Recommendationromannumeral"/>
      <w:lvlText w:val="(%1)"/>
      <w:lvlJc w:val="left"/>
      <w:pPr>
        <w:tabs>
          <w:tab w:val="num" w:pos="567"/>
        </w:tabs>
        <w:ind w:left="0" w:firstLine="0"/>
      </w:pPr>
      <w:rPr>
        <w:rFonts w:ascii="Times New Roman" w:hAnsi="Times New Roman" w:cs="Times New Roman"/>
        <w:b w:val="0"/>
        <w:i w:val="0"/>
        <w:color w:val="000000"/>
      </w:rPr>
    </w:lvl>
  </w:abstractNum>
  <w:abstractNum w:abstractNumId="36">
    <w:nsid w:val="6A30063B"/>
    <w:multiLevelType w:val="hybridMultilevel"/>
    <w:tmpl w:val="775ED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A5F7B45"/>
    <w:multiLevelType w:val="hybridMultilevel"/>
    <w:tmpl w:val="B9407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C9B3C2C"/>
    <w:multiLevelType w:val="hybridMultilevel"/>
    <w:tmpl w:val="34064C48"/>
    <w:lvl w:ilvl="0" w:tplc="F6BC445A">
      <w:start w:val="1"/>
      <w:numFmt w:val="bullet"/>
      <w:lvlText w:val=""/>
      <w:lvlJc w:val="left"/>
      <w:pPr>
        <w:tabs>
          <w:tab w:val="num" w:pos="720"/>
        </w:tabs>
        <w:ind w:left="720" w:hanging="360"/>
      </w:pPr>
      <w:rPr>
        <w:rFonts w:ascii="Wingdings" w:hAnsi="Wingdings" w:hint="default"/>
      </w:rPr>
    </w:lvl>
    <w:lvl w:ilvl="1" w:tplc="981A9248" w:tentative="1">
      <w:start w:val="1"/>
      <w:numFmt w:val="bullet"/>
      <w:lvlText w:val=""/>
      <w:lvlJc w:val="left"/>
      <w:pPr>
        <w:tabs>
          <w:tab w:val="num" w:pos="1440"/>
        </w:tabs>
        <w:ind w:left="1440" w:hanging="360"/>
      </w:pPr>
      <w:rPr>
        <w:rFonts w:ascii="Wingdings" w:hAnsi="Wingdings" w:hint="default"/>
      </w:rPr>
    </w:lvl>
    <w:lvl w:ilvl="2" w:tplc="52C47B40" w:tentative="1">
      <w:start w:val="1"/>
      <w:numFmt w:val="bullet"/>
      <w:lvlText w:val=""/>
      <w:lvlJc w:val="left"/>
      <w:pPr>
        <w:tabs>
          <w:tab w:val="num" w:pos="2160"/>
        </w:tabs>
        <w:ind w:left="2160" w:hanging="360"/>
      </w:pPr>
      <w:rPr>
        <w:rFonts w:ascii="Wingdings" w:hAnsi="Wingdings" w:hint="default"/>
      </w:rPr>
    </w:lvl>
    <w:lvl w:ilvl="3" w:tplc="DDE662B0" w:tentative="1">
      <w:start w:val="1"/>
      <w:numFmt w:val="bullet"/>
      <w:lvlText w:val=""/>
      <w:lvlJc w:val="left"/>
      <w:pPr>
        <w:tabs>
          <w:tab w:val="num" w:pos="2880"/>
        </w:tabs>
        <w:ind w:left="2880" w:hanging="360"/>
      </w:pPr>
      <w:rPr>
        <w:rFonts w:ascii="Wingdings" w:hAnsi="Wingdings" w:hint="default"/>
      </w:rPr>
    </w:lvl>
    <w:lvl w:ilvl="4" w:tplc="4F1E8C78" w:tentative="1">
      <w:start w:val="1"/>
      <w:numFmt w:val="bullet"/>
      <w:lvlText w:val=""/>
      <w:lvlJc w:val="left"/>
      <w:pPr>
        <w:tabs>
          <w:tab w:val="num" w:pos="3600"/>
        </w:tabs>
        <w:ind w:left="3600" w:hanging="360"/>
      </w:pPr>
      <w:rPr>
        <w:rFonts w:ascii="Wingdings" w:hAnsi="Wingdings" w:hint="default"/>
      </w:rPr>
    </w:lvl>
    <w:lvl w:ilvl="5" w:tplc="834C9BD0" w:tentative="1">
      <w:start w:val="1"/>
      <w:numFmt w:val="bullet"/>
      <w:lvlText w:val=""/>
      <w:lvlJc w:val="left"/>
      <w:pPr>
        <w:tabs>
          <w:tab w:val="num" w:pos="4320"/>
        </w:tabs>
        <w:ind w:left="4320" w:hanging="360"/>
      </w:pPr>
      <w:rPr>
        <w:rFonts w:ascii="Wingdings" w:hAnsi="Wingdings" w:hint="default"/>
      </w:rPr>
    </w:lvl>
    <w:lvl w:ilvl="6" w:tplc="141605E2" w:tentative="1">
      <w:start w:val="1"/>
      <w:numFmt w:val="bullet"/>
      <w:lvlText w:val=""/>
      <w:lvlJc w:val="left"/>
      <w:pPr>
        <w:tabs>
          <w:tab w:val="num" w:pos="5040"/>
        </w:tabs>
        <w:ind w:left="5040" w:hanging="360"/>
      </w:pPr>
      <w:rPr>
        <w:rFonts w:ascii="Wingdings" w:hAnsi="Wingdings" w:hint="default"/>
      </w:rPr>
    </w:lvl>
    <w:lvl w:ilvl="7" w:tplc="04C65804" w:tentative="1">
      <w:start w:val="1"/>
      <w:numFmt w:val="bullet"/>
      <w:lvlText w:val=""/>
      <w:lvlJc w:val="left"/>
      <w:pPr>
        <w:tabs>
          <w:tab w:val="num" w:pos="5760"/>
        </w:tabs>
        <w:ind w:left="5760" w:hanging="360"/>
      </w:pPr>
      <w:rPr>
        <w:rFonts w:ascii="Wingdings" w:hAnsi="Wingdings" w:hint="default"/>
      </w:rPr>
    </w:lvl>
    <w:lvl w:ilvl="8" w:tplc="068C85EA" w:tentative="1">
      <w:start w:val="1"/>
      <w:numFmt w:val="bullet"/>
      <w:lvlText w:val=""/>
      <w:lvlJc w:val="left"/>
      <w:pPr>
        <w:tabs>
          <w:tab w:val="num" w:pos="6480"/>
        </w:tabs>
        <w:ind w:left="6480" w:hanging="360"/>
      </w:pPr>
      <w:rPr>
        <w:rFonts w:ascii="Wingdings" w:hAnsi="Wingdings" w:hint="default"/>
      </w:rPr>
    </w:lvl>
  </w:abstractNum>
  <w:abstractNum w:abstractNumId="39">
    <w:nsid w:val="76823467"/>
    <w:multiLevelType w:val="hybridMultilevel"/>
    <w:tmpl w:val="23D06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FFB269F"/>
    <w:multiLevelType w:val="hybridMultilevel"/>
    <w:tmpl w:val="196A45FE"/>
    <w:lvl w:ilvl="0" w:tplc="8D546AB4">
      <w:start w:val="1"/>
      <w:numFmt w:val="decimal"/>
      <w:pStyle w:val="NumberedParagraph2"/>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6"/>
  </w:num>
  <w:num w:numId="3">
    <w:abstractNumId w:val="18"/>
  </w:num>
  <w:num w:numId="4">
    <w:abstractNumId w:val="26"/>
  </w:num>
  <w:num w:numId="5">
    <w:abstractNumId w:val="31"/>
  </w:num>
  <w:num w:numId="6">
    <w:abstractNumId w:val="13"/>
  </w:num>
  <w:num w:numId="7">
    <w:abstractNumId w:val="25"/>
  </w:num>
  <w:num w:numId="8">
    <w:abstractNumId w:val="35"/>
  </w:num>
  <w:num w:numId="9">
    <w:abstractNumId w:val="12"/>
  </w:num>
  <w:num w:numId="10">
    <w:abstractNumId w:val="9"/>
  </w:num>
  <w:num w:numId="11">
    <w:abstractNumId w:val="27"/>
  </w:num>
  <w:num w:numId="12">
    <w:abstractNumId w:val="34"/>
  </w:num>
  <w:num w:numId="1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9"/>
  </w:num>
  <w:num w:numId="24">
    <w:abstractNumId w:val="9"/>
  </w:num>
  <w:num w:numId="25">
    <w:abstractNumId w:val="23"/>
  </w:num>
  <w:num w:numId="26">
    <w:abstractNumId w:val="9"/>
  </w:num>
  <w:num w:numId="27">
    <w:abstractNumId w:val="19"/>
  </w:num>
  <w:num w:numId="28">
    <w:abstractNumId w:val="32"/>
  </w:num>
  <w:num w:numId="29">
    <w:abstractNumId w:val="39"/>
  </w:num>
  <w:num w:numId="30">
    <w:abstractNumId w:val="37"/>
  </w:num>
  <w:num w:numId="31">
    <w:abstractNumId w:val="9"/>
  </w:num>
  <w:num w:numId="32">
    <w:abstractNumId w:val="9"/>
  </w:num>
  <w:num w:numId="33">
    <w:abstractNumId w:val="28"/>
  </w:num>
  <w:num w:numId="34">
    <w:abstractNumId w:val="17"/>
  </w:num>
  <w:num w:numId="35">
    <w:abstractNumId w:val="21"/>
  </w:num>
  <w:num w:numId="36">
    <w:abstractNumId w:val="38"/>
  </w:num>
  <w:num w:numId="37">
    <w:abstractNumId w:val="9"/>
  </w:num>
  <w:num w:numId="38">
    <w:abstractNumId w:val="33"/>
  </w:num>
  <w:num w:numId="39">
    <w:abstractNumId w:val="20"/>
  </w:num>
  <w:num w:numId="40">
    <w:abstractNumId w:val="36"/>
  </w:num>
  <w:num w:numId="41">
    <w:abstractNumId w:val="30"/>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14"/>
  </w:num>
  <w:num w:numId="68">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1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9"/>
  </w:num>
  <w:num w:numId="75">
    <w:abstractNumId w:val="9"/>
  </w:num>
  <w:num w:numId="76">
    <w:abstractNumId w:val="40"/>
  </w:num>
  <w:num w:numId="77">
    <w:abstractNumId w:val="22"/>
  </w:num>
  <w:num w:numId="78">
    <w:abstractNumId w:val="11"/>
  </w:num>
  <w:num w:numId="79">
    <w:abstractNumId w:val="29"/>
  </w:num>
  <w:num w:numId="80">
    <w:abstractNumId w:val="27"/>
    <w:lvlOverride w:ilvl="0">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2D"/>
    <w:rsid w:val="0000007E"/>
    <w:rsid w:val="0000030D"/>
    <w:rsid w:val="00000DF5"/>
    <w:rsid w:val="000013D4"/>
    <w:rsid w:val="000019EF"/>
    <w:rsid w:val="00001B02"/>
    <w:rsid w:val="00001C9C"/>
    <w:rsid w:val="00001DD1"/>
    <w:rsid w:val="00001E42"/>
    <w:rsid w:val="000021F7"/>
    <w:rsid w:val="00002935"/>
    <w:rsid w:val="00002A9E"/>
    <w:rsid w:val="00002C70"/>
    <w:rsid w:val="00002C86"/>
    <w:rsid w:val="00003129"/>
    <w:rsid w:val="000039DE"/>
    <w:rsid w:val="00003DE0"/>
    <w:rsid w:val="0000424C"/>
    <w:rsid w:val="0000440F"/>
    <w:rsid w:val="000046A1"/>
    <w:rsid w:val="000046FC"/>
    <w:rsid w:val="000048C6"/>
    <w:rsid w:val="00005681"/>
    <w:rsid w:val="000056AE"/>
    <w:rsid w:val="00005EBB"/>
    <w:rsid w:val="00006235"/>
    <w:rsid w:val="00006A0B"/>
    <w:rsid w:val="00007272"/>
    <w:rsid w:val="00007AAB"/>
    <w:rsid w:val="00007DCF"/>
    <w:rsid w:val="00007EF5"/>
    <w:rsid w:val="000101AE"/>
    <w:rsid w:val="0001050A"/>
    <w:rsid w:val="000106EF"/>
    <w:rsid w:val="00010810"/>
    <w:rsid w:val="00010E90"/>
    <w:rsid w:val="00011559"/>
    <w:rsid w:val="00011B52"/>
    <w:rsid w:val="00011FC8"/>
    <w:rsid w:val="000127E1"/>
    <w:rsid w:val="00012ABD"/>
    <w:rsid w:val="000130F3"/>
    <w:rsid w:val="000134F9"/>
    <w:rsid w:val="00013590"/>
    <w:rsid w:val="000137BD"/>
    <w:rsid w:val="000137C0"/>
    <w:rsid w:val="00013E9E"/>
    <w:rsid w:val="000143C0"/>
    <w:rsid w:val="0001467C"/>
    <w:rsid w:val="00014A95"/>
    <w:rsid w:val="00014CC3"/>
    <w:rsid w:val="00014DDB"/>
    <w:rsid w:val="00015129"/>
    <w:rsid w:val="00015271"/>
    <w:rsid w:val="000160AF"/>
    <w:rsid w:val="000164D8"/>
    <w:rsid w:val="00016870"/>
    <w:rsid w:val="000174E8"/>
    <w:rsid w:val="0001789A"/>
    <w:rsid w:val="000208B9"/>
    <w:rsid w:val="000209E5"/>
    <w:rsid w:val="00020DB6"/>
    <w:rsid w:val="00021144"/>
    <w:rsid w:val="00021278"/>
    <w:rsid w:val="000217E3"/>
    <w:rsid w:val="0002227C"/>
    <w:rsid w:val="000229DC"/>
    <w:rsid w:val="00022A33"/>
    <w:rsid w:val="00022CA0"/>
    <w:rsid w:val="00024427"/>
    <w:rsid w:val="0002444A"/>
    <w:rsid w:val="0002495C"/>
    <w:rsid w:val="00024A79"/>
    <w:rsid w:val="000255E0"/>
    <w:rsid w:val="00025716"/>
    <w:rsid w:val="00025E8C"/>
    <w:rsid w:val="00025FCD"/>
    <w:rsid w:val="0002651A"/>
    <w:rsid w:val="00026792"/>
    <w:rsid w:val="00026A26"/>
    <w:rsid w:val="00026E56"/>
    <w:rsid w:val="00026E70"/>
    <w:rsid w:val="00026F26"/>
    <w:rsid w:val="00027291"/>
    <w:rsid w:val="00027521"/>
    <w:rsid w:val="0002765A"/>
    <w:rsid w:val="000305F1"/>
    <w:rsid w:val="00030777"/>
    <w:rsid w:val="0003082B"/>
    <w:rsid w:val="000308F9"/>
    <w:rsid w:val="00030D55"/>
    <w:rsid w:val="00030E0D"/>
    <w:rsid w:val="000318E1"/>
    <w:rsid w:val="00031BDD"/>
    <w:rsid w:val="00031E96"/>
    <w:rsid w:val="0003211F"/>
    <w:rsid w:val="0003241D"/>
    <w:rsid w:val="000326CB"/>
    <w:rsid w:val="00032850"/>
    <w:rsid w:val="00032CE7"/>
    <w:rsid w:val="00032DF6"/>
    <w:rsid w:val="0003323C"/>
    <w:rsid w:val="00034169"/>
    <w:rsid w:val="000341BE"/>
    <w:rsid w:val="000345E7"/>
    <w:rsid w:val="00034E4E"/>
    <w:rsid w:val="00035539"/>
    <w:rsid w:val="00036200"/>
    <w:rsid w:val="0003777A"/>
    <w:rsid w:val="00037A82"/>
    <w:rsid w:val="00037A90"/>
    <w:rsid w:val="00037B59"/>
    <w:rsid w:val="000401CA"/>
    <w:rsid w:val="0004022F"/>
    <w:rsid w:val="00040C04"/>
    <w:rsid w:val="000424BE"/>
    <w:rsid w:val="00042CBA"/>
    <w:rsid w:val="000432EA"/>
    <w:rsid w:val="0004335B"/>
    <w:rsid w:val="00043AB1"/>
    <w:rsid w:val="00043AF5"/>
    <w:rsid w:val="00043CB8"/>
    <w:rsid w:val="00043E25"/>
    <w:rsid w:val="000446C8"/>
    <w:rsid w:val="000446E5"/>
    <w:rsid w:val="000447A1"/>
    <w:rsid w:val="00044F57"/>
    <w:rsid w:val="00045149"/>
    <w:rsid w:val="000455BC"/>
    <w:rsid w:val="00045846"/>
    <w:rsid w:val="00045FED"/>
    <w:rsid w:val="000469CC"/>
    <w:rsid w:val="00046A71"/>
    <w:rsid w:val="00046C25"/>
    <w:rsid w:val="00046D2A"/>
    <w:rsid w:val="00046FDB"/>
    <w:rsid w:val="000471AB"/>
    <w:rsid w:val="00047E90"/>
    <w:rsid w:val="00047ED3"/>
    <w:rsid w:val="000500E4"/>
    <w:rsid w:val="00050352"/>
    <w:rsid w:val="00050C29"/>
    <w:rsid w:val="00050DF7"/>
    <w:rsid w:val="00051341"/>
    <w:rsid w:val="0005239A"/>
    <w:rsid w:val="00052E44"/>
    <w:rsid w:val="00053244"/>
    <w:rsid w:val="00053ABC"/>
    <w:rsid w:val="00053D6F"/>
    <w:rsid w:val="00053D7B"/>
    <w:rsid w:val="00053F53"/>
    <w:rsid w:val="00054408"/>
    <w:rsid w:val="00054420"/>
    <w:rsid w:val="0005467F"/>
    <w:rsid w:val="00054EF5"/>
    <w:rsid w:val="00054FC9"/>
    <w:rsid w:val="0005526D"/>
    <w:rsid w:val="000553DA"/>
    <w:rsid w:val="000554E4"/>
    <w:rsid w:val="0005553A"/>
    <w:rsid w:val="0005679A"/>
    <w:rsid w:val="0005696E"/>
    <w:rsid w:val="0005723A"/>
    <w:rsid w:val="000609CA"/>
    <w:rsid w:val="00060CDB"/>
    <w:rsid w:val="00060D93"/>
    <w:rsid w:val="00060F74"/>
    <w:rsid w:val="0006143D"/>
    <w:rsid w:val="0006225D"/>
    <w:rsid w:val="00063117"/>
    <w:rsid w:val="0006375F"/>
    <w:rsid w:val="00064108"/>
    <w:rsid w:val="00064147"/>
    <w:rsid w:val="00065249"/>
    <w:rsid w:val="00065490"/>
    <w:rsid w:val="00065D56"/>
    <w:rsid w:val="00065FA0"/>
    <w:rsid w:val="00066025"/>
    <w:rsid w:val="000667CD"/>
    <w:rsid w:val="00066A04"/>
    <w:rsid w:val="00066D12"/>
    <w:rsid w:val="00066E42"/>
    <w:rsid w:val="0006750F"/>
    <w:rsid w:val="00067D60"/>
    <w:rsid w:val="00067F2F"/>
    <w:rsid w:val="000701F3"/>
    <w:rsid w:val="0007038F"/>
    <w:rsid w:val="0007066D"/>
    <w:rsid w:val="00070685"/>
    <w:rsid w:val="0007092D"/>
    <w:rsid w:val="00070FF0"/>
    <w:rsid w:val="0007104E"/>
    <w:rsid w:val="000713B8"/>
    <w:rsid w:val="00071C89"/>
    <w:rsid w:val="00072DB7"/>
    <w:rsid w:val="00072F2D"/>
    <w:rsid w:val="000734F4"/>
    <w:rsid w:val="00073918"/>
    <w:rsid w:val="00073A92"/>
    <w:rsid w:val="00073B6F"/>
    <w:rsid w:val="00073C45"/>
    <w:rsid w:val="0007464A"/>
    <w:rsid w:val="000746BC"/>
    <w:rsid w:val="00074A7D"/>
    <w:rsid w:val="00074BCA"/>
    <w:rsid w:val="00075853"/>
    <w:rsid w:val="000764E2"/>
    <w:rsid w:val="0007652E"/>
    <w:rsid w:val="00076E0C"/>
    <w:rsid w:val="00077BE0"/>
    <w:rsid w:val="00077E46"/>
    <w:rsid w:val="00077FBB"/>
    <w:rsid w:val="00080030"/>
    <w:rsid w:val="000800E4"/>
    <w:rsid w:val="00080876"/>
    <w:rsid w:val="0008087F"/>
    <w:rsid w:val="00080920"/>
    <w:rsid w:val="000810BB"/>
    <w:rsid w:val="000816D8"/>
    <w:rsid w:val="000818E1"/>
    <w:rsid w:val="00081A95"/>
    <w:rsid w:val="00081C3D"/>
    <w:rsid w:val="00081E14"/>
    <w:rsid w:val="00081F9F"/>
    <w:rsid w:val="0008200E"/>
    <w:rsid w:val="00082515"/>
    <w:rsid w:val="000831A3"/>
    <w:rsid w:val="000834D8"/>
    <w:rsid w:val="00083991"/>
    <w:rsid w:val="00084040"/>
    <w:rsid w:val="000846CB"/>
    <w:rsid w:val="00084E0B"/>
    <w:rsid w:val="00085170"/>
    <w:rsid w:val="00085AAD"/>
    <w:rsid w:val="00085DFC"/>
    <w:rsid w:val="000867CE"/>
    <w:rsid w:val="00086ED8"/>
    <w:rsid w:val="0008727E"/>
    <w:rsid w:val="00087B7B"/>
    <w:rsid w:val="00087E89"/>
    <w:rsid w:val="00090448"/>
    <w:rsid w:val="0009066D"/>
    <w:rsid w:val="00090EB5"/>
    <w:rsid w:val="00091D2C"/>
    <w:rsid w:val="00091DB5"/>
    <w:rsid w:val="00091DD0"/>
    <w:rsid w:val="00091F8A"/>
    <w:rsid w:val="0009201F"/>
    <w:rsid w:val="00092DAD"/>
    <w:rsid w:val="00092F98"/>
    <w:rsid w:val="00093129"/>
    <w:rsid w:val="000931CC"/>
    <w:rsid w:val="00093A32"/>
    <w:rsid w:val="00094938"/>
    <w:rsid w:val="00094A03"/>
    <w:rsid w:val="00094BAA"/>
    <w:rsid w:val="000951F1"/>
    <w:rsid w:val="00095537"/>
    <w:rsid w:val="00095729"/>
    <w:rsid w:val="00095736"/>
    <w:rsid w:val="00095A3E"/>
    <w:rsid w:val="0009693A"/>
    <w:rsid w:val="000972BB"/>
    <w:rsid w:val="00097C09"/>
    <w:rsid w:val="00097C86"/>
    <w:rsid w:val="000A0092"/>
    <w:rsid w:val="000A037A"/>
    <w:rsid w:val="000A07C1"/>
    <w:rsid w:val="000A0A34"/>
    <w:rsid w:val="000A0BEC"/>
    <w:rsid w:val="000A0F14"/>
    <w:rsid w:val="000A11CA"/>
    <w:rsid w:val="000A11FE"/>
    <w:rsid w:val="000A14DD"/>
    <w:rsid w:val="000A1B0B"/>
    <w:rsid w:val="000A1B69"/>
    <w:rsid w:val="000A2082"/>
    <w:rsid w:val="000A277B"/>
    <w:rsid w:val="000A2E18"/>
    <w:rsid w:val="000A34E0"/>
    <w:rsid w:val="000A38AE"/>
    <w:rsid w:val="000A3F03"/>
    <w:rsid w:val="000A4887"/>
    <w:rsid w:val="000A494E"/>
    <w:rsid w:val="000A4F06"/>
    <w:rsid w:val="000A527C"/>
    <w:rsid w:val="000A5293"/>
    <w:rsid w:val="000A52CA"/>
    <w:rsid w:val="000A54CA"/>
    <w:rsid w:val="000A56D9"/>
    <w:rsid w:val="000A57D7"/>
    <w:rsid w:val="000A5B2E"/>
    <w:rsid w:val="000A6685"/>
    <w:rsid w:val="000A66B8"/>
    <w:rsid w:val="000A681B"/>
    <w:rsid w:val="000A6E03"/>
    <w:rsid w:val="000A74FE"/>
    <w:rsid w:val="000A7EDD"/>
    <w:rsid w:val="000B0340"/>
    <w:rsid w:val="000B03E4"/>
    <w:rsid w:val="000B051F"/>
    <w:rsid w:val="000B07B2"/>
    <w:rsid w:val="000B105C"/>
    <w:rsid w:val="000B1465"/>
    <w:rsid w:val="000B18BF"/>
    <w:rsid w:val="000B197A"/>
    <w:rsid w:val="000B1B7A"/>
    <w:rsid w:val="000B1BFB"/>
    <w:rsid w:val="000B22A7"/>
    <w:rsid w:val="000B2491"/>
    <w:rsid w:val="000B27E9"/>
    <w:rsid w:val="000B3427"/>
    <w:rsid w:val="000B3686"/>
    <w:rsid w:val="000B3875"/>
    <w:rsid w:val="000B4157"/>
    <w:rsid w:val="000B52B0"/>
    <w:rsid w:val="000B5C1A"/>
    <w:rsid w:val="000B6539"/>
    <w:rsid w:val="000B6AC3"/>
    <w:rsid w:val="000B6BFF"/>
    <w:rsid w:val="000B6DD1"/>
    <w:rsid w:val="000B757A"/>
    <w:rsid w:val="000B7F3E"/>
    <w:rsid w:val="000C01F5"/>
    <w:rsid w:val="000C0616"/>
    <w:rsid w:val="000C064D"/>
    <w:rsid w:val="000C078F"/>
    <w:rsid w:val="000C1220"/>
    <w:rsid w:val="000C126E"/>
    <w:rsid w:val="000C14F3"/>
    <w:rsid w:val="000C1566"/>
    <w:rsid w:val="000C1820"/>
    <w:rsid w:val="000C1951"/>
    <w:rsid w:val="000C19BD"/>
    <w:rsid w:val="000C1C8B"/>
    <w:rsid w:val="000C1F2C"/>
    <w:rsid w:val="000C2820"/>
    <w:rsid w:val="000C2F24"/>
    <w:rsid w:val="000C2FB4"/>
    <w:rsid w:val="000C3433"/>
    <w:rsid w:val="000C3853"/>
    <w:rsid w:val="000C44A1"/>
    <w:rsid w:val="000C469D"/>
    <w:rsid w:val="000C4B7D"/>
    <w:rsid w:val="000C654A"/>
    <w:rsid w:val="000C67B5"/>
    <w:rsid w:val="000C695E"/>
    <w:rsid w:val="000C6BE2"/>
    <w:rsid w:val="000C7200"/>
    <w:rsid w:val="000C7A73"/>
    <w:rsid w:val="000D06F4"/>
    <w:rsid w:val="000D089C"/>
    <w:rsid w:val="000D0E69"/>
    <w:rsid w:val="000D10C1"/>
    <w:rsid w:val="000D12FA"/>
    <w:rsid w:val="000D1791"/>
    <w:rsid w:val="000D17CB"/>
    <w:rsid w:val="000D1C76"/>
    <w:rsid w:val="000D2783"/>
    <w:rsid w:val="000D2F42"/>
    <w:rsid w:val="000D3001"/>
    <w:rsid w:val="000D370E"/>
    <w:rsid w:val="000D37C7"/>
    <w:rsid w:val="000D3F25"/>
    <w:rsid w:val="000D3F68"/>
    <w:rsid w:val="000D409D"/>
    <w:rsid w:val="000D40F4"/>
    <w:rsid w:val="000D461D"/>
    <w:rsid w:val="000D5BBF"/>
    <w:rsid w:val="000D5D18"/>
    <w:rsid w:val="000D6185"/>
    <w:rsid w:val="000D6AC4"/>
    <w:rsid w:val="000D7746"/>
    <w:rsid w:val="000D7925"/>
    <w:rsid w:val="000D79F5"/>
    <w:rsid w:val="000E000C"/>
    <w:rsid w:val="000E02E4"/>
    <w:rsid w:val="000E0452"/>
    <w:rsid w:val="000E131C"/>
    <w:rsid w:val="000E1936"/>
    <w:rsid w:val="000E1F61"/>
    <w:rsid w:val="000E1FA7"/>
    <w:rsid w:val="000E205B"/>
    <w:rsid w:val="000E21F2"/>
    <w:rsid w:val="000E225A"/>
    <w:rsid w:val="000E23B9"/>
    <w:rsid w:val="000E270A"/>
    <w:rsid w:val="000E27B5"/>
    <w:rsid w:val="000E2F2D"/>
    <w:rsid w:val="000E326D"/>
    <w:rsid w:val="000E3F1F"/>
    <w:rsid w:val="000E414D"/>
    <w:rsid w:val="000E5103"/>
    <w:rsid w:val="000E560D"/>
    <w:rsid w:val="000E5823"/>
    <w:rsid w:val="000E60AF"/>
    <w:rsid w:val="000E6118"/>
    <w:rsid w:val="000E663F"/>
    <w:rsid w:val="000E6796"/>
    <w:rsid w:val="000E6F50"/>
    <w:rsid w:val="000E7547"/>
    <w:rsid w:val="000E75D5"/>
    <w:rsid w:val="000E7638"/>
    <w:rsid w:val="000E7A70"/>
    <w:rsid w:val="000E7ACB"/>
    <w:rsid w:val="000E7BED"/>
    <w:rsid w:val="000E7C06"/>
    <w:rsid w:val="000F03E5"/>
    <w:rsid w:val="000F15E4"/>
    <w:rsid w:val="000F1721"/>
    <w:rsid w:val="000F206A"/>
    <w:rsid w:val="000F21FD"/>
    <w:rsid w:val="000F23A5"/>
    <w:rsid w:val="000F24E2"/>
    <w:rsid w:val="000F2AE6"/>
    <w:rsid w:val="000F2B86"/>
    <w:rsid w:val="000F2DD1"/>
    <w:rsid w:val="000F2E54"/>
    <w:rsid w:val="000F322C"/>
    <w:rsid w:val="000F32E0"/>
    <w:rsid w:val="000F33CF"/>
    <w:rsid w:val="000F34EA"/>
    <w:rsid w:val="000F35F1"/>
    <w:rsid w:val="000F3A8F"/>
    <w:rsid w:val="000F441A"/>
    <w:rsid w:val="000F4689"/>
    <w:rsid w:val="000F4932"/>
    <w:rsid w:val="000F65F7"/>
    <w:rsid w:val="000F671C"/>
    <w:rsid w:val="000F6B6C"/>
    <w:rsid w:val="000F7036"/>
    <w:rsid w:val="000F77C3"/>
    <w:rsid w:val="00100843"/>
    <w:rsid w:val="0010086D"/>
    <w:rsid w:val="001015FA"/>
    <w:rsid w:val="00102BE0"/>
    <w:rsid w:val="0010349E"/>
    <w:rsid w:val="001036E4"/>
    <w:rsid w:val="001039FA"/>
    <w:rsid w:val="00104652"/>
    <w:rsid w:val="00104C48"/>
    <w:rsid w:val="00104ECE"/>
    <w:rsid w:val="001056E0"/>
    <w:rsid w:val="0010601A"/>
    <w:rsid w:val="00106214"/>
    <w:rsid w:val="00106468"/>
    <w:rsid w:val="00107321"/>
    <w:rsid w:val="00107C52"/>
    <w:rsid w:val="00107D07"/>
    <w:rsid w:val="00107E35"/>
    <w:rsid w:val="001100CF"/>
    <w:rsid w:val="00110E37"/>
    <w:rsid w:val="0011112C"/>
    <w:rsid w:val="001111C0"/>
    <w:rsid w:val="00112404"/>
    <w:rsid w:val="00114324"/>
    <w:rsid w:val="00114BB0"/>
    <w:rsid w:val="0011561D"/>
    <w:rsid w:val="00115C0F"/>
    <w:rsid w:val="00115E79"/>
    <w:rsid w:val="00115FF1"/>
    <w:rsid w:val="001166A5"/>
    <w:rsid w:val="001166F1"/>
    <w:rsid w:val="00116E4C"/>
    <w:rsid w:val="00116F90"/>
    <w:rsid w:val="001170BE"/>
    <w:rsid w:val="0011747C"/>
    <w:rsid w:val="0011789C"/>
    <w:rsid w:val="001203BC"/>
    <w:rsid w:val="00120565"/>
    <w:rsid w:val="00120AB1"/>
    <w:rsid w:val="001213B8"/>
    <w:rsid w:val="00121A32"/>
    <w:rsid w:val="001222BD"/>
    <w:rsid w:val="001222EB"/>
    <w:rsid w:val="001222EF"/>
    <w:rsid w:val="001224F1"/>
    <w:rsid w:val="0012284A"/>
    <w:rsid w:val="001228D0"/>
    <w:rsid w:val="001231E4"/>
    <w:rsid w:val="001232FA"/>
    <w:rsid w:val="0012480C"/>
    <w:rsid w:val="001250C6"/>
    <w:rsid w:val="00125938"/>
    <w:rsid w:val="00125A6D"/>
    <w:rsid w:val="00126032"/>
    <w:rsid w:val="00126939"/>
    <w:rsid w:val="00126C8A"/>
    <w:rsid w:val="001272A8"/>
    <w:rsid w:val="00130038"/>
    <w:rsid w:val="0013057A"/>
    <w:rsid w:val="0013084E"/>
    <w:rsid w:val="00130DAC"/>
    <w:rsid w:val="001329BE"/>
    <w:rsid w:val="00132E6A"/>
    <w:rsid w:val="00133AFD"/>
    <w:rsid w:val="00134E34"/>
    <w:rsid w:val="00135587"/>
    <w:rsid w:val="001358CC"/>
    <w:rsid w:val="00135DEB"/>
    <w:rsid w:val="00136DFF"/>
    <w:rsid w:val="00137065"/>
    <w:rsid w:val="001377E7"/>
    <w:rsid w:val="00140AD6"/>
    <w:rsid w:val="00140B34"/>
    <w:rsid w:val="00140EFD"/>
    <w:rsid w:val="001411EF"/>
    <w:rsid w:val="00141374"/>
    <w:rsid w:val="00141384"/>
    <w:rsid w:val="001414F8"/>
    <w:rsid w:val="0014196C"/>
    <w:rsid w:val="00142114"/>
    <w:rsid w:val="0014218A"/>
    <w:rsid w:val="00142E3E"/>
    <w:rsid w:val="00143039"/>
    <w:rsid w:val="00143059"/>
    <w:rsid w:val="001430A7"/>
    <w:rsid w:val="001430F3"/>
    <w:rsid w:val="0014360C"/>
    <w:rsid w:val="00143800"/>
    <w:rsid w:val="00143966"/>
    <w:rsid w:val="00143B5D"/>
    <w:rsid w:val="00143BBC"/>
    <w:rsid w:val="00143E0A"/>
    <w:rsid w:val="0014417E"/>
    <w:rsid w:val="0014487B"/>
    <w:rsid w:val="00145B2E"/>
    <w:rsid w:val="00146ADF"/>
    <w:rsid w:val="00146CE6"/>
    <w:rsid w:val="00146FD8"/>
    <w:rsid w:val="001475FA"/>
    <w:rsid w:val="0014792A"/>
    <w:rsid w:val="00150AD7"/>
    <w:rsid w:val="0015139D"/>
    <w:rsid w:val="0015163F"/>
    <w:rsid w:val="00151C60"/>
    <w:rsid w:val="00151D9D"/>
    <w:rsid w:val="001522E8"/>
    <w:rsid w:val="00152B32"/>
    <w:rsid w:val="00153379"/>
    <w:rsid w:val="00153826"/>
    <w:rsid w:val="00154635"/>
    <w:rsid w:val="00154989"/>
    <w:rsid w:val="001552D2"/>
    <w:rsid w:val="00155651"/>
    <w:rsid w:val="00155984"/>
    <w:rsid w:val="00155EC1"/>
    <w:rsid w:val="0015611B"/>
    <w:rsid w:val="00156A88"/>
    <w:rsid w:val="00157217"/>
    <w:rsid w:val="00157530"/>
    <w:rsid w:val="001578DB"/>
    <w:rsid w:val="00160285"/>
    <w:rsid w:val="001602EE"/>
    <w:rsid w:val="0016108D"/>
    <w:rsid w:val="00161497"/>
    <w:rsid w:val="0016149A"/>
    <w:rsid w:val="00161743"/>
    <w:rsid w:val="001617C5"/>
    <w:rsid w:val="00161CC1"/>
    <w:rsid w:val="00161F0F"/>
    <w:rsid w:val="00161F59"/>
    <w:rsid w:val="00161F92"/>
    <w:rsid w:val="001621D3"/>
    <w:rsid w:val="00162CE3"/>
    <w:rsid w:val="00162D27"/>
    <w:rsid w:val="00163041"/>
    <w:rsid w:val="001634A8"/>
    <w:rsid w:val="001634C1"/>
    <w:rsid w:val="001634CA"/>
    <w:rsid w:val="00163944"/>
    <w:rsid w:val="00163C21"/>
    <w:rsid w:val="00163EB6"/>
    <w:rsid w:val="00163F1C"/>
    <w:rsid w:val="00163FA7"/>
    <w:rsid w:val="0016437C"/>
    <w:rsid w:val="00165205"/>
    <w:rsid w:val="001652D5"/>
    <w:rsid w:val="001654A6"/>
    <w:rsid w:val="00165B36"/>
    <w:rsid w:val="00165C88"/>
    <w:rsid w:val="0016647D"/>
    <w:rsid w:val="00166525"/>
    <w:rsid w:val="001669C4"/>
    <w:rsid w:val="0016711A"/>
    <w:rsid w:val="001674A6"/>
    <w:rsid w:val="0016785F"/>
    <w:rsid w:val="00167A5A"/>
    <w:rsid w:val="0017107B"/>
    <w:rsid w:val="001710F5"/>
    <w:rsid w:val="001715F1"/>
    <w:rsid w:val="00171A0C"/>
    <w:rsid w:val="00171EF9"/>
    <w:rsid w:val="001724B4"/>
    <w:rsid w:val="00172BE6"/>
    <w:rsid w:val="00173479"/>
    <w:rsid w:val="001742FB"/>
    <w:rsid w:val="00174B42"/>
    <w:rsid w:val="00174C21"/>
    <w:rsid w:val="00174CFC"/>
    <w:rsid w:val="00174EF9"/>
    <w:rsid w:val="00175F8A"/>
    <w:rsid w:val="001764EB"/>
    <w:rsid w:val="00176848"/>
    <w:rsid w:val="0017708C"/>
    <w:rsid w:val="001775DC"/>
    <w:rsid w:val="00177BB0"/>
    <w:rsid w:val="0018005B"/>
    <w:rsid w:val="0018005D"/>
    <w:rsid w:val="001800D3"/>
    <w:rsid w:val="00180DDC"/>
    <w:rsid w:val="00181170"/>
    <w:rsid w:val="0018166C"/>
    <w:rsid w:val="00181D8D"/>
    <w:rsid w:val="00181E5D"/>
    <w:rsid w:val="00181F6C"/>
    <w:rsid w:val="001823ED"/>
    <w:rsid w:val="00182CFD"/>
    <w:rsid w:val="001834E9"/>
    <w:rsid w:val="00184861"/>
    <w:rsid w:val="001853A0"/>
    <w:rsid w:val="001854D6"/>
    <w:rsid w:val="00185A71"/>
    <w:rsid w:val="001862C2"/>
    <w:rsid w:val="00187F11"/>
    <w:rsid w:val="00187F25"/>
    <w:rsid w:val="00190076"/>
    <w:rsid w:val="00191A1A"/>
    <w:rsid w:val="00191C19"/>
    <w:rsid w:val="00192975"/>
    <w:rsid w:val="00193081"/>
    <w:rsid w:val="00193630"/>
    <w:rsid w:val="00194573"/>
    <w:rsid w:val="00194753"/>
    <w:rsid w:val="001948A4"/>
    <w:rsid w:val="001955AE"/>
    <w:rsid w:val="00195730"/>
    <w:rsid w:val="00195D33"/>
    <w:rsid w:val="001966E9"/>
    <w:rsid w:val="0019676D"/>
    <w:rsid w:val="00196771"/>
    <w:rsid w:val="00196774"/>
    <w:rsid w:val="00196B14"/>
    <w:rsid w:val="001973DA"/>
    <w:rsid w:val="00197EB1"/>
    <w:rsid w:val="001A0057"/>
    <w:rsid w:val="001A00B3"/>
    <w:rsid w:val="001A032D"/>
    <w:rsid w:val="001A08CD"/>
    <w:rsid w:val="001A0920"/>
    <w:rsid w:val="001A0BA1"/>
    <w:rsid w:val="001A1346"/>
    <w:rsid w:val="001A1421"/>
    <w:rsid w:val="001A1CD7"/>
    <w:rsid w:val="001A26CC"/>
    <w:rsid w:val="001A2DD8"/>
    <w:rsid w:val="001A361E"/>
    <w:rsid w:val="001A4181"/>
    <w:rsid w:val="001A4294"/>
    <w:rsid w:val="001A4867"/>
    <w:rsid w:val="001A4E1D"/>
    <w:rsid w:val="001A4E75"/>
    <w:rsid w:val="001A6015"/>
    <w:rsid w:val="001A64B9"/>
    <w:rsid w:val="001A64D3"/>
    <w:rsid w:val="001A6993"/>
    <w:rsid w:val="001A69F9"/>
    <w:rsid w:val="001A758F"/>
    <w:rsid w:val="001A767A"/>
    <w:rsid w:val="001A77DC"/>
    <w:rsid w:val="001A7BDE"/>
    <w:rsid w:val="001B0117"/>
    <w:rsid w:val="001B090A"/>
    <w:rsid w:val="001B0D0D"/>
    <w:rsid w:val="001B10A8"/>
    <w:rsid w:val="001B1574"/>
    <w:rsid w:val="001B15AC"/>
    <w:rsid w:val="001B1C1B"/>
    <w:rsid w:val="001B236D"/>
    <w:rsid w:val="001B2BD3"/>
    <w:rsid w:val="001B3380"/>
    <w:rsid w:val="001B37E5"/>
    <w:rsid w:val="001B3A77"/>
    <w:rsid w:val="001B3E34"/>
    <w:rsid w:val="001B4D01"/>
    <w:rsid w:val="001B4D14"/>
    <w:rsid w:val="001B5E8F"/>
    <w:rsid w:val="001B5E9D"/>
    <w:rsid w:val="001B5F28"/>
    <w:rsid w:val="001B60B1"/>
    <w:rsid w:val="001B6510"/>
    <w:rsid w:val="001B6551"/>
    <w:rsid w:val="001B6634"/>
    <w:rsid w:val="001B6744"/>
    <w:rsid w:val="001B6D01"/>
    <w:rsid w:val="001B6E93"/>
    <w:rsid w:val="001B7BF9"/>
    <w:rsid w:val="001B7C46"/>
    <w:rsid w:val="001C0790"/>
    <w:rsid w:val="001C0F3E"/>
    <w:rsid w:val="001C126C"/>
    <w:rsid w:val="001C17AD"/>
    <w:rsid w:val="001C1AB2"/>
    <w:rsid w:val="001C33F2"/>
    <w:rsid w:val="001C3463"/>
    <w:rsid w:val="001C39FF"/>
    <w:rsid w:val="001C3F8A"/>
    <w:rsid w:val="001C47F2"/>
    <w:rsid w:val="001C4AD9"/>
    <w:rsid w:val="001C4C0A"/>
    <w:rsid w:val="001C5153"/>
    <w:rsid w:val="001C58CE"/>
    <w:rsid w:val="001C6704"/>
    <w:rsid w:val="001C704C"/>
    <w:rsid w:val="001C76B5"/>
    <w:rsid w:val="001D04CD"/>
    <w:rsid w:val="001D15AC"/>
    <w:rsid w:val="001D1F0E"/>
    <w:rsid w:val="001D26F9"/>
    <w:rsid w:val="001D2E41"/>
    <w:rsid w:val="001D3378"/>
    <w:rsid w:val="001D35FE"/>
    <w:rsid w:val="001D3BE2"/>
    <w:rsid w:val="001D3CA7"/>
    <w:rsid w:val="001D3D9C"/>
    <w:rsid w:val="001D4124"/>
    <w:rsid w:val="001D6779"/>
    <w:rsid w:val="001D6F37"/>
    <w:rsid w:val="001D72E0"/>
    <w:rsid w:val="001D7344"/>
    <w:rsid w:val="001D7731"/>
    <w:rsid w:val="001D7735"/>
    <w:rsid w:val="001D7D54"/>
    <w:rsid w:val="001E0B05"/>
    <w:rsid w:val="001E12D5"/>
    <w:rsid w:val="001E1381"/>
    <w:rsid w:val="001E18CA"/>
    <w:rsid w:val="001E19A6"/>
    <w:rsid w:val="001E21CC"/>
    <w:rsid w:val="001E236F"/>
    <w:rsid w:val="001E24C4"/>
    <w:rsid w:val="001E26CD"/>
    <w:rsid w:val="001E326C"/>
    <w:rsid w:val="001E32D4"/>
    <w:rsid w:val="001E33E1"/>
    <w:rsid w:val="001E3510"/>
    <w:rsid w:val="001E3E0B"/>
    <w:rsid w:val="001E3FB2"/>
    <w:rsid w:val="001E4C21"/>
    <w:rsid w:val="001E4ED9"/>
    <w:rsid w:val="001E577C"/>
    <w:rsid w:val="001E5B07"/>
    <w:rsid w:val="001E6135"/>
    <w:rsid w:val="001E64DE"/>
    <w:rsid w:val="001E697B"/>
    <w:rsid w:val="001E6B1D"/>
    <w:rsid w:val="001E77CE"/>
    <w:rsid w:val="001E7842"/>
    <w:rsid w:val="001F0E78"/>
    <w:rsid w:val="001F1440"/>
    <w:rsid w:val="001F14F1"/>
    <w:rsid w:val="001F16F6"/>
    <w:rsid w:val="001F1799"/>
    <w:rsid w:val="001F30C3"/>
    <w:rsid w:val="001F363B"/>
    <w:rsid w:val="001F3DB5"/>
    <w:rsid w:val="001F4066"/>
    <w:rsid w:val="001F4263"/>
    <w:rsid w:val="001F51C4"/>
    <w:rsid w:val="001F58FD"/>
    <w:rsid w:val="001F5D1B"/>
    <w:rsid w:val="001F60ED"/>
    <w:rsid w:val="001F66E9"/>
    <w:rsid w:val="001F676D"/>
    <w:rsid w:val="001F71EE"/>
    <w:rsid w:val="001F778D"/>
    <w:rsid w:val="00200BE0"/>
    <w:rsid w:val="0020110A"/>
    <w:rsid w:val="00202762"/>
    <w:rsid w:val="00202B7B"/>
    <w:rsid w:val="00202C91"/>
    <w:rsid w:val="00203045"/>
    <w:rsid w:val="002036B9"/>
    <w:rsid w:val="0020474F"/>
    <w:rsid w:val="00205B35"/>
    <w:rsid w:val="0020636D"/>
    <w:rsid w:val="00206450"/>
    <w:rsid w:val="00206947"/>
    <w:rsid w:val="00206C67"/>
    <w:rsid w:val="00207453"/>
    <w:rsid w:val="00207A38"/>
    <w:rsid w:val="00210AE9"/>
    <w:rsid w:val="00210B68"/>
    <w:rsid w:val="00210F1D"/>
    <w:rsid w:val="002112E9"/>
    <w:rsid w:val="00212731"/>
    <w:rsid w:val="0021279D"/>
    <w:rsid w:val="00212ADF"/>
    <w:rsid w:val="0021305B"/>
    <w:rsid w:val="00215018"/>
    <w:rsid w:val="00215311"/>
    <w:rsid w:val="002153E3"/>
    <w:rsid w:val="0021540D"/>
    <w:rsid w:val="0021543F"/>
    <w:rsid w:val="002157C5"/>
    <w:rsid w:val="002157C7"/>
    <w:rsid w:val="00215892"/>
    <w:rsid w:val="00215B31"/>
    <w:rsid w:val="00215F65"/>
    <w:rsid w:val="0021636B"/>
    <w:rsid w:val="002163B9"/>
    <w:rsid w:val="00216427"/>
    <w:rsid w:val="0021668F"/>
    <w:rsid w:val="002166C1"/>
    <w:rsid w:val="00216A39"/>
    <w:rsid w:val="00217307"/>
    <w:rsid w:val="002175A0"/>
    <w:rsid w:val="0021776E"/>
    <w:rsid w:val="00217E3D"/>
    <w:rsid w:val="002200AE"/>
    <w:rsid w:val="0022032E"/>
    <w:rsid w:val="002205C4"/>
    <w:rsid w:val="00220D3D"/>
    <w:rsid w:val="00221454"/>
    <w:rsid w:val="0022164B"/>
    <w:rsid w:val="00221689"/>
    <w:rsid w:val="00221B59"/>
    <w:rsid w:val="00221EA9"/>
    <w:rsid w:val="002225FF"/>
    <w:rsid w:val="002226EE"/>
    <w:rsid w:val="00222BC2"/>
    <w:rsid w:val="00222E6C"/>
    <w:rsid w:val="00222FEC"/>
    <w:rsid w:val="00223072"/>
    <w:rsid w:val="00223A83"/>
    <w:rsid w:val="00223CC5"/>
    <w:rsid w:val="002241C9"/>
    <w:rsid w:val="0022497C"/>
    <w:rsid w:val="00224E0C"/>
    <w:rsid w:val="00225104"/>
    <w:rsid w:val="00225730"/>
    <w:rsid w:val="00225856"/>
    <w:rsid w:val="0022592D"/>
    <w:rsid w:val="00225BBF"/>
    <w:rsid w:val="00226457"/>
    <w:rsid w:val="002264E4"/>
    <w:rsid w:val="00226CBB"/>
    <w:rsid w:val="00226F8A"/>
    <w:rsid w:val="0022746E"/>
    <w:rsid w:val="00227BF5"/>
    <w:rsid w:val="00227F53"/>
    <w:rsid w:val="0023003F"/>
    <w:rsid w:val="002301F1"/>
    <w:rsid w:val="002307F7"/>
    <w:rsid w:val="00230A42"/>
    <w:rsid w:val="00230E14"/>
    <w:rsid w:val="00230FC6"/>
    <w:rsid w:val="00230FCA"/>
    <w:rsid w:val="002316CC"/>
    <w:rsid w:val="002316F7"/>
    <w:rsid w:val="002319EC"/>
    <w:rsid w:val="00231E51"/>
    <w:rsid w:val="0023224B"/>
    <w:rsid w:val="002322DB"/>
    <w:rsid w:val="00232913"/>
    <w:rsid w:val="00232C6E"/>
    <w:rsid w:val="00232F72"/>
    <w:rsid w:val="00233AFE"/>
    <w:rsid w:val="0023468D"/>
    <w:rsid w:val="00234FFD"/>
    <w:rsid w:val="002353C3"/>
    <w:rsid w:val="00235673"/>
    <w:rsid w:val="00236065"/>
    <w:rsid w:val="00236274"/>
    <w:rsid w:val="00236903"/>
    <w:rsid w:val="00237BB1"/>
    <w:rsid w:val="00237CEC"/>
    <w:rsid w:val="0024096B"/>
    <w:rsid w:val="00240BD6"/>
    <w:rsid w:val="002412DE"/>
    <w:rsid w:val="0024133B"/>
    <w:rsid w:val="0024159E"/>
    <w:rsid w:val="00241678"/>
    <w:rsid w:val="00241916"/>
    <w:rsid w:val="00241A89"/>
    <w:rsid w:val="00241EB9"/>
    <w:rsid w:val="0024243E"/>
    <w:rsid w:val="00242740"/>
    <w:rsid w:val="0024289A"/>
    <w:rsid w:val="00243340"/>
    <w:rsid w:val="00243700"/>
    <w:rsid w:val="00244E91"/>
    <w:rsid w:val="002453D0"/>
    <w:rsid w:val="002459E3"/>
    <w:rsid w:val="00245DAE"/>
    <w:rsid w:val="00246383"/>
    <w:rsid w:val="002466A3"/>
    <w:rsid w:val="002473B5"/>
    <w:rsid w:val="0024775C"/>
    <w:rsid w:val="00247A38"/>
    <w:rsid w:val="002503EA"/>
    <w:rsid w:val="00250DBC"/>
    <w:rsid w:val="00251029"/>
    <w:rsid w:val="002512FF"/>
    <w:rsid w:val="00251397"/>
    <w:rsid w:val="002513C9"/>
    <w:rsid w:val="0025163E"/>
    <w:rsid w:val="00251E32"/>
    <w:rsid w:val="0025249A"/>
    <w:rsid w:val="002527A1"/>
    <w:rsid w:val="00253116"/>
    <w:rsid w:val="002531D2"/>
    <w:rsid w:val="00253964"/>
    <w:rsid w:val="00253ABB"/>
    <w:rsid w:val="0025446D"/>
    <w:rsid w:val="00254961"/>
    <w:rsid w:val="00255218"/>
    <w:rsid w:val="0025571E"/>
    <w:rsid w:val="00256C08"/>
    <w:rsid w:val="00256C0F"/>
    <w:rsid w:val="00256E87"/>
    <w:rsid w:val="00256EA6"/>
    <w:rsid w:val="00257951"/>
    <w:rsid w:val="00257D8A"/>
    <w:rsid w:val="002601B0"/>
    <w:rsid w:val="0026024E"/>
    <w:rsid w:val="00260D7C"/>
    <w:rsid w:val="00260EED"/>
    <w:rsid w:val="00261084"/>
    <w:rsid w:val="002610B6"/>
    <w:rsid w:val="0026169F"/>
    <w:rsid w:val="0026265E"/>
    <w:rsid w:val="00262AB6"/>
    <w:rsid w:val="0026389C"/>
    <w:rsid w:val="002643AC"/>
    <w:rsid w:val="0026456E"/>
    <w:rsid w:val="00264A17"/>
    <w:rsid w:val="00264B77"/>
    <w:rsid w:val="0026605E"/>
    <w:rsid w:val="00266BF0"/>
    <w:rsid w:val="0026727E"/>
    <w:rsid w:val="00267426"/>
    <w:rsid w:val="00267A96"/>
    <w:rsid w:val="00267DE7"/>
    <w:rsid w:val="00270093"/>
    <w:rsid w:val="00270547"/>
    <w:rsid w:val="0027107B"/>
    <w:rsid w:val="00271128"/>
    <w:rsid w:val="0027139C"/>
    <w:rsid w:val="00271A98"/>
    <w:rsid w:val="00271D07"/>
    <w:rsid w:val="00271E85"/>
    <w:rsid w:val="00272148"/>
    <w:rsid w:val="002723B8"/>
    <w:rsid w:val="00272699"/>
    <w:rsid w:val="00272E85"/>
    <w:rsid w:val="002737F9"/>
    <w:rsid w:val="0027398E"/>
    <w:rsid w:val="002739EA"/>
    <w:rsid w:val="00273A5B"/>
    <w:rsid w:val="002743AE"/>
    <w:rsid w:val="002744F9"/>
    <w:rsid w:val="002745C5"/>
    <w:rsid w:val="00274749"/>
    <w:rsid w:val="00274F42"/>
    <w:rsid w:val="0027549D"/>
    <w:rsid w:val="00275922"/>
    <w:rsid w:val="0027690B"/>
    <w:rsid w:val="00276B99"/>
    <w:rsid w:val="002777A4"/>
    <w:rsid w:val="002777D0"/>
    <w:rsid w:val="00277F30"/>
    <w:rsid w:val="00277F7C"/>
    <w:rsid w:val="0028004B"/>
    <w:rsid w:val="00280151"/>
    <w:rsid w:val="00281120"/>
    <w:rsid w:val="002812BF"/>
    <w:rsid w:val="00281944"/>
    <w:rsid w:val="00281BFB"/>
    <w:rsid w:val="00281C50"/>
    <w:rsid w:val="00283203"/>
    <w:rsid w:val="00283445"/>
    <w:rsid w:val="002840B4"/>
    <w:rsid w:val="00284447"/>
    <w:rsid w:val="002847ED"/>
    <w:rsid w:val="00284C86"/>
    <w:rsid w:val="00284F92"/>
    <w:rsid w:val="00285187"/>
    <w:rsid w:val="002852D9"/>
    <w:rsid w:val="00285E19"/>
    <w:rsid w:val="00286507"/>
    <w:rsid w:val="002866D3"/>
    <w:rsid w:val="00286754"/>
    <w:rsid w:val="00286C40"/>
    <w:rsid w:val="00286E4E"/>
    <w:rsid w:val="00287718"/>
    <w:rsid w:val="00290501"/>
    <w:rsid w:val="00290E95"/>
    <w:rsid w:val="00290FA8"/>
    <w:rsid w:val="00292126"/>
    <w:rsid w:val="00292ED5"/>
    <w:rsid w:val="0029405F"/>
    <w:rsid w:val="0029490A"/>
    <w:rsid w:val="00296095"/>
    <w:rsid w:val="00296A76"/>
    <w:rsid w:val="00296F42"/>
    <w:rsid w:val="00297375"/>
    <w:rsid w:val="002A01F5"/>
    <w:rsid w:val="002A05E3"/>
    <w:rsid w:val="002A0A4C"/>
    <w:rsid w:val="002A0A9F"/>
    <w:rsid w:val="002A1073"/>
    <w:rsid w:val="002A1944"/>
    <w:rsid w:val="002A1A79"/>
    <w:rsid w:val="002A1AED"/>
    <w:rsid w:val="002A1C03"/>
    <w:rsid w:val="002A22B1"/>
    <w:rsid w:val="002A238C"/>
    <w:rsid w:val="002A2A1E"/>
    <w:rsid w:val="002A2A56"/>
    <w:rsid w:val="002A2D33"/>
    <w:rsid w:val="002A2D50"/>
    <w:rsid w:val="002A2E01"/>
    <w:rsid w:val="002A3A6F"/>
    <w:rsid w:val="002A401A"/>
    <w:rsid w:val="002A4612"/>
    <w:rsid w:val="002A48AE"/>
    <w:rsid w:val="002A4D7F"/>
    <w:rsid w:val="002A594F"/>
    <w:rsid w:val="002A5975"/>
    <w:rsid w:val="002A61A4"/>
    <w:rsid w:val="002A6504"/>
    <w:rsid w:val="002A6530"/>
    <w:rsid w:val="002A66B5"/>
    <w:rsid w:val="002A6E76"/>
    <w:rsid w:val="002B00D3"/>
    <w:rsid w:val="002B0563"/>
    <w:rsid w:val="002B05D0"/>
    <w:rsid w:val="002B06BE"/>
    <w:rsid w:val="002B07FA"/>
    <w:rsid w:val="002B08F0"/>
    <w:rsid w:val="002B0972"/>
    <w:rsid w:val="002B0BBC"/>
    <w:rsid w:val="002B0C44"/>
    <w:rsid w:val="002B12A0"/>
    <w:rsid w:val="002B13B9"/>
    <w:rsid w:val="002B1618"/>
    <w:rsid w:val="002B1D05"/>
    <w:rsid w:val="002B1FD9"/>
    <w:rsid w:val="002B2640"/>
    <w:rsid w:val="002B281C"/>
    <w:rsid w:val="002B2B28"/>
    <w:rsid w:val="002B3478"/>
    <w:rsid w:val="002B365A"/>
    <w:rsid w:val="002B3BE4"/>
    <w:rsid w:val="002B40E9"/>
    <w:rsid w:val="002B4E5F"/>
    <w:rsid w:val="002B5112"/>
    <w:rsid w:val="002B5B7A"/>
    <w:rsid w:val="002B62A9"/>
    <w:rsid w:val="002B6B05"/>
    <w:rsid w:val="002B7089"/>
    <w:rsid w:val="002B7282"/>
    <w:rsid w:val="002B7775"/>
    <w:rsid w:val="002B7A19"/>
    <w:rsid w:val="002B7BDC"/>
    <w:rsid w:val="002C072C"/>
    <w:rsid w:val="002C091F"/>
    <w:rsid w:val="002C0F75"/>
    <w:rsid w:val="002C10F7"/>
    <w:rsid w:val="002C11E2"/>
    <w:rsid w:val="002C12E5"/>
    <w:rsid w:val="002C1362"/>
    <w:rsid w:val="002C155C"/>
    <w:rsid w:val="002C1AE6"/>
    <w:rsid w:val="002C1E0D"/>
    <w:rsid w:val="002C1E9A"/>
    <w:rsid w:val="002C21CF"/>
    <w:rsid w:val="002C2277"/>
    <w:rsid w:val="002C24BB"/>
    <w:rsid w:val="002C2AFD"/>
    <w:rsid w:val="002C3054"/>
    <w:rsid w:val="002C3177"/>
    <w:rsid w:val="002C340A"/>
    <w:rsid w:val="002C3612"/>
    <w:rsid w:val="002C372F"/>
    <w:rsid w:val="002C4A82"/>
    <w:rsid w:val="002C4FB1"/>
    <w:rsid w:val="002C62F1"/>
    <w:rsid w:val="002C64FC"/>
    <w:rsid w:val="002C65C1"/>
    <w:rsid w:val="002C6956"/>
    <w:rsid w:val="002C6F9E"/>
    <w:rsid w:val="002C795B"/>
    <w:rsid w:val="002D0AAA"/>
    <w:rsid w:val="002D0D3C"/>
    <w:rsid w:val="002D167B"/>
    <w:rsid w:val="002D1BD5"/>
    <w:rsid w:val="002D1C28"/>
    <w:rsid w:val="002D1E81"/>
    <w:rsid w:val="002D298B"/>
    <w:rsid w:val="002D2BFE"/>
    <w:rsid w:val="002D31ED"/>
    <w:rsid w:val="002D39F0"/>
    <w:rsid w:val="002D46D1"/>
    <w:rsid w:val="002D484E"/>
    <w:rsid w:val="002D498E"/>
    <w:rsid w:val="002D4B2B"/>
    <w:rsid w:val="002D5711"/>
    <w:rsid w:val="002D59B5"/>
    <w:rsid w:val="002D5FBC"/>
    <w:rsid w:val="002D6245"/>
    <w:rsid w:val="002D6BAA"/>
    <w:rsid w:val="002D7C08"/>
    <w:rsid w:val="002D7F36"/>
    <w:rsid w:val="002E0696"/>
    <w:rsid w:val="002E0BCA"/>
    <w:rsid w:val="002E0CD2"/>
    <w:rsid w:val="002E0E4A"/>
    <w:rsid w:val="002E14EC"/>
    <w:rsid w:val="002E1EE9"/>
    <w:rsid w:val="002E2058"/>
    <w:rsid w:val="002E228C"/>
    <w:rsid w:val="002E22E6"/>
    <w:rsid w:val="002E2437"/>
    <w:rsid w:val="002E2AEB"/>
    <w:rsid w:val="002E2E98"/>
    <w:rsid w:val="002E321F"/>
    <w:rsid w:val="002E38D9"/>
    <w:rsid w:val="002E4140"/>
    <w:rsid w:val="002E4868"/>
    <w:rsid w:val="002E4E40"/>
    <w:rsid w:val="002E4E96"/>
    <w:rsid w:val="002E52F4"/>
    <w:rsid w:val="002E580E"/>
    <w:rsid w:val="002E5AE8"/>
    <w:rsid w:val="002E6C3D"/>
    <w:rsid w:val="002E70A0"/>
    <w:rsid w:val="002E77C6"/>
    <w:rsid w:val="002F000B"/>
    <w:rsid w:val="002F07BD"/>
    <w:rsid w:val="002F07DC"/>
    <w:rsid w:val="002F0CC4"/>
    <w:rsid w:val="002F108C"/>
    <w:rsid w:val="002F1DA6"/>
    <w:rsid w:val="002F1E85"/>
    <w:rsid w:val="002F27AC"/>
    <w:rsid w:val="002F2CFF"/>
    <w:rsid w:val="002F2FC2"/>
    <w:rsid w:val="002F30D4"/>
    <w:rsid w:val="002F3152"/>
    <w:rsid w:val="002F3229"/>
    <w:rsid w:val="002F4340"/>
    <w:rsid w:val="002F4541"/>
    <w:rsid w:val="002F4A19"/>
    <w:rsid w:val="002F59D5"/>
    <w:rsid w:val="002F5F91"/>
    <w:rsid w:val="002F615E"/>
    <w:rsid w:val="002F6651"/>
    <w:rsid w:val="002F67E7"/>
    <w:rsid w:val="002F6FD9"/>
    <w:rsid w:val="00300684"/>
    <w:rsid w:val="00300CC1"/>
    <w:rsid w:val="003014D0"/>
    <w:rsid w:val="00301A1B"/>
    <w:rsid w:val="00301E8F"/>
    <w:rsid w:val="00301F86"/>
    <w:rsid w:val="00302809"/>
    <w:rsid w:val="00302BDC"/>
    <w:rsid w:val="0030386D"/>
    <w:rsid w:val="00303C4A"/>
    <w:rsid w:val="00303F63"/>
    <w:rsid w:val="003040D8"/>
    <w:rsid w:val="003045A5"/>
    <w:rsid w:val="00304D45"/>
    <w:rsid w:val="0030511A"/>
    <w:rsid w:val="00305443"/>
    <w:rsid w:val="0030552E"/>
    <w:rsid w:val="003055F3"/>
    <w:rsid w:val="0030571D"/>
    <w:rsid w:val="00305E86"/>
    <w:rsid w:val="0030635C"/>
    <w:rsid w:val="003063C7"/>
    <w:rsid w:val="003069C2"/>
    <w:rsid w:val="00306A62"/>
    <w:rsid w:val="00306AAA"/>
    <w:rsid w:val="00307825"/>
    <w:rsid w:val="00307C54"/>
    <w:rsid w:val="00307C8E"/>
    <w:rsid w:val="00307D5D"/>
    <w:rsid w:val="00307DF5"/>
    <w:rsid w:val="00307F13"/>
    <w:rsid w:val="00307F85"/>
    <w:rsid w:val="00310656"/>
    <w:rsid w:val="00311C5A"/>
    <w:rsid w:val="00311F2C"/>
    <w:rsid w:val="00312DE3"/>
    <w:rsid w:val="00312FC8"/>
    <w:rsid w:val="00313480"/>
    <w:rsid w:val="00313B33"/>
    <w:rsid w:val="00313E09"/>
    <w:rsid w:val="00313FAE"/>
    <w:rsid w:val="00314A2C"/>
    <w:rsid w:val="00315707"/>
    <w:rsid w:val="00315D37"/>
    <w:rsid w:val="0031615D"/>
    <w:rsid w:val="00316A60"/>
    <w:rsid w:val="00316B39"/>
    <w:rsid w:val="0031702B"/>
    <w:rsid w:val="003172B3"/>
    <w:rsid w:val="00320098"/>
    <w:rsid w:val="003204E4"/>
    <w:rsid w:val="0032080C"/>
    <w:rsid w:val="00320B60"/>
    <w:rsid w:val="00320E56"/>
    <w:rsid w:val="0032106E"/>
    <w:rsid w:val="0032126D"/>
    <w:rsid w:val="00321A96"/>
    <w:rsid w:val="00322272"/>
    <w:rsid w:val="003227D4"/>
    <w:rsid w:val="00322898"/>
    <w:rsid w:val="003230B2"/>
    <w:rsid w:val="00323942"/>
    <w:rsid w:val="00324474"/>
    <w:rsid w:val="0032496C"/>
    <w:rsid w:val="00324AAD"/>
    <w:rsid w:val="00324DE3"/>
    <w:rsid w:val="00324FFE"/>
    <w:rsid w:val="00325B7F"/>
    <w:rsid w:val="00325CC5"/>
    <w:rsid w:val="00325CF0"/>
    <w:rsid w:val="00326498"/>
    <w:rsid w:val="0032664D"/>
    <w:rsid w:val="00327220"/>
    <w:rsid w:val="00327278"/>
    <w:rsid w:val="00327727"/>
    <w:rsid w:val="00330C7D"/>
    <w:rsid w:val="00331192"/>
    <w:rsid w:val="0033175D"/>
    <w:rsid w:val="0033196B"/>
    <w:rsid w:val="00331D72"/>
    <w:rsid w:val="00331DB5"/>
    <w:rsid w:val="00331E03"/>
    <w:rsid w:val="00331FC3"/>
    <w:rsid w:val="003322C9"/>
    <w:rsid w:val="00333166"/>
    <w:rsid w:val="003337DA"/>
    <w:rsid w:val="00333AC2"/>
    <w:rsid w:val="00334575"/>
    <w:rsid w:val="003345A1"/>
    <w:rsid w:val="0033498A"/>
    <w:rsid w:val="00334E5A"/>
    <w:rsid w:val="00335512"/>
    <w:rsid w:val="00335D88"/>
    <w:rsid w:val="003365BE"/>
    <w:rsid w:val="0033677E"/>
    <w:rsid w:val="003373A1"/>
    <w:rsid w:val="00337A29"/>
    <w:rsid w:val="00337C2D"/>
    <w:rsid w:val="00337DF9"/>
    <w:rsid w:val="00337F3D"/>
    <w:rsid w:val="003408E7"/>
    <w:rsid w:val="00340B41"/>
    <w:rsid w:val="00340B8D"/>
    <w:rsid w:val="00340E0D"/>
    <w:rsid w:val="003417B6"/>
    <w:rsid w:val="00341AC4"/>
    <w:rsid w:val="00342133"/>
    <w:rsid w:val="003429D0"/>
    <w:rsid w:val="00343222"/>
    <w:rsid w:val="003432E4"/>
    <w:rsid w:val="00343929"/>
    <w:rsid w:val="00343ED3"/>
    <w:rsid w:val="0034467F"/>
    <w:rsid w:val="003447F8"/>
    <w:rsid w:val="00344CA0"/>
    <w:rsid w:val="00344D07"/>
    <w:rsid w:val="003454D7"/>
    <w:rsid w:val="00345830"/>
    <w:rsid w:val="00345C89"/>
    <w:rsid w:val="003467B7"/>
    <w:rsid w:val="00347702"/>
    <w:rsid w:val="00347734"/>
    <w:rsid w:val="00347E3C"/>
    <w:rsid w:val="0035066B"/>
    <w:rsid w:val="00350762"/>
    <w:rsid w:val="003509F6"/>
    <w:rsid w:val="00350A10"/>
    <w:rsid w:val="00350A63"/>
    <w:rsid w:val="00350C94"/>
    <w:rsid w:val="0035160D"/>
    <w:rsid w:val="00351703"/>
    <w:rsid w:val="00351C5C"/>
    <w:rsid w:val="003521E2"/>
    <w:rsid w:val="0035257D"/>
    <w:rsid w:val="00352DAC"/>
    <w:rsid w:val="00353533"/>
    <w:rsid w:val="00353B3B"/>
    <w:rsid w:val="00353B5D"/>
    <w:rsid w:val="00353FA3"/>
    <w:rsid w:val="00354407"/>
    <w:rsid w:val="00354E2C"/>
    <w:rsid w:val="00355254"/>
    <w:rsid w:val="003555D5"/>
    <w:rsid w:val="003557AB"/>
    <w:rsid w:val="00355C76"/>
    <w:rsid w:val="00355DC1"/>
    <w:rsid w:val="00356927"/>
    <w:rsid w:val="00356AF4"/>
    <w:rsid w:val="00356B08"/>
    <w:rsid w:val="00356D91"/>
    <w:rsid w:val="00356E33"/>
    <w:rsid w:val="00357083"/>
    <w:rsid w:val="00357456"/>
    <w:rsid w:val="003576C9"/>
    <w:rsid w:val="00357A2E"/>
    <w:rsid w:val="00357BCC"/>
    <w:rsid w:val="00357DE2"/>
    <w:rsid w:val="00360752"/>
    <w:rsid w:val="00360DA7"/>
    <w:rsid w:val="00360DAF"/>
    <w:rsid w:val="00360E1B"/>
    <w:rsid w:val="003610D3"/>
    <w:rsid w:val="0036117A"/>
    <w:rsid w:val="003615EF"/>
    <w:rsid w:val="00361AB7"/>
    <w:rsid w:val="00361B33"/>
    <w:rsid w:val="00361D80"/>
    <w:rsid w:val="00362141"/>
    <w:rsid w:val="00362524"/>
    <w:rsid w:val="00362A03"/>
    <w:rsid w:val="00363546"/>
    <w:rsid w:val="00363713"/>
    <w:rsid w:val="00363880"/>
    <w:rsid w:val="003640DF"/>
    <w:rsid w:val="00364269"/>
    <w:rsid w:val="00364B68"/>
    <w:rsid w:val="00365126"/>
    <w:rsid w:val="00365268"/>
    <w:rsid w:val="0036631E"/>
    <w:rsid w:val="003670F3"/>
    <w:rsid w:val="00367A11"/>
    <w:rsid w:val="003702B9"/>
    <w:rsid w:val="0037071F"/>
    <w:rsid w:val="00370939"/>
    <w:rsid w:val="00370D72"/>
    <w:rsid w:val="00370FD7"/>
    <w:rsid w:val="00371768"/>
    <w:rsid w:val="00372489"/>
    <w:rsid w:val="00372AEC"/>
    <w:rsid w:val="00372BA7"/>
    <w:rsid w:val="0037395D"/>
    <w:rsid w:val="00373A28"/>
    <w:rsid w:val="00373E05"/>
    <w:rsid w:val="0037433B"/>
    <w:rsid w:val="003746D7"/>
    <w:rsid w:val="00374773"/>
    <w:rsid w:val="0037478F"/>
    <w:rsid w:val="00374AB8"/>
    <w:rsid w:val="00374B5D"/>
    <w:rsid w:val="00374D4E"/>
    <w:rsid w:val="00375930"/>
    <w:rsid w:val="0037596B"/>
    <w:rsid w:val="003764BC"/>
    <w:rsid w:val="00376938"/>
    <w:rsid w:val="00377672"/>
    <w:rsid w:val="003807EE"/>
    <w:rsid w:val="003809D2"/>
    <w:rsid w:val="00380DE8"/>
    <w:rsid w:val="00380E44"/>
    <w:rsid w:val="00381B9D"/>
    <w:rsid w:val="00381D6C"/>
    <w:rsid w:val="00382002"/>
    <w:rsid w:val="003822DC"/>
    <w:rsid w:val="003822FB"/>
    <w:rsid w:val="00382450"/>
    <w:rsid w:val="003826FD"/>
    <w:rsid w:val="00382B97"/>
    <w:rsid w:val="00382F2E"/>
    <w:rsid w:val="00383DEE"/>
    <w:rsid w:val="0038438A"/>
    <w:rsid w:val="00384AA4"/>
    <w:rsid w:val="00384E1D"/>
    <w:rsid w:val="00385744"/>
    <w:rsid w:val="00385C0D"/>
    <w:rsid w:val="00385C1B"/>
    <w:rsid w:val="00385DCF"/>
    <w:rsid w:val="00385F02"/>
    <w:rsid w:val="0038638A"/>
    <w:rsid w:val="003868E0"/>
    <w:rsid w:val="0038763F"/>
    <w:rsid w:val="003876B9"/>
    <w:rsid w:val="00387AE3"/>
    <w:rsid w:val="00387C9D"/>
    <w:rsid w:val="0039041E"/>
    <w:rsid w:val="003929C7"/>
    <w:rsid w:val="0039392E"/>
    <w:rsid w:val="003939B5"/>
    <w:rsid w:val="00393E97"/>
    <w:rsid w:val="00394549"/>
    <w:rsid w:val="00394A17"/>
    <w:rsid w:val="00394B9A"/>
    <w:rsid w:val="00396610"/>
    <w:rsid w:val="003968FE"/>
    <w:rsid w:val="00396A2D"/>
    <w:rsid w:val="00396DA9"/>
    <w:rsid w:val="003973C1"/>
    <w:rsid w:val="00397516"/>
    <w:rsid w:val="003976FE"/>
    <w:rsid w:val="00397BEF"/>
    <w:rsid w:val="00397D47"/>
    <w:rsid w:val="003A0653"/>
    <w:rsid w:val="003A075A"/>
    <w:rsid w:val="003A0900"/>
    <w:rsid w:val="003A09F9"/>
    <w:rsid w:val="003A0A33"/>
    <w:rsid w:val="003A0B1A"/>
    <w:rsid w:val="003A1028"/>
    <w:rsid w:val="003A23B9"/>
    <w:rsid w:val="003A2C85"/>
    <w:rsid w:val="003A39E8"/>
    <w:rsid w:val="003A3DE4"/>
    <w:rsid w:val="003A477B"/>
    <w:rsid w:val="003A4A8A"/>
    <w:rsid w:val="003A50FF"/>
    <w:rsid w:val="003A57FB"/>
    <w:rsid w:val="003A5A44"/>
    <w:rsid w:val="003A5C14"/>
    <w:rsid w:val="003A5CEF"/>
    <w:rsid w:val="003A5E48"/>
    <w:rsid w:val="003A5F13"/>
    <w:rsid w:val="003A5FB1"/>
    <w:rsid w:val="003A6044"/>
    <w:rsid w:val="003A761F"/>
    <w:rsid w:val="003A7B78"/>
    <w:rsid w:val="003A7FA8"/>
    <w:rsid w:val="003B0100"/>
    <w:rsid w:val="003B011E"/>
    <w:rsid w:val="003B0142"/>
    <w:rsid w:val="003B044D"/>
    <w:rsid w:val="003B072B"/>
    <w:rsid w:val="003B0818"/>
    <w:rsid w:val="003B0A49"/>
    <w:rsid w:val="003B0C6C"/>
    <w:rsid w:val="003B0EF6"/>
    <w:rsid w:val="003B0F6E"/>
    <w:rsid w:val="003B0FE5"/>
    <w:rsid w:val="003B1021"/>
    <w:rsid w:val="003B1EDA"/>
    <w:rsid w:val="003B2080"/>
    <w:rsid w:val="003B2509"/>
    <w:rsid w:val="003B2645"/>
    <w:rsid w:val="003B2BE3"/>
    <w:rsid w:val="003B2D19"/>
    <w:rsid w:val="003B2DB8"/>
    <w:rsid w:val="003B3173"/>
    <w:rsid w:val="003B326E"/>
    <w:rsid w:val="003B32BE"/>
    <w:rsid w:val="003B34F0"/>
    <w:rsid w:val="003B35C5"/>
    <w:rsid w:val="003B37B9"/>
    <w:rsid w:val="003B396F"/>
    <w:rsid w:val="003B5265"/>
    <w:rsid w:val="003B5967"/>
    <w:rsid w:val="003B59A5"/>
    <w:rsid w:val="003B5E3C"/>
    <w:rsid w:val="003B620D"/>
    <w:rsid w:val="003B685E"/>
    <w:rsid w:val="003B6A96"/>
    <w:rsid w:val="003B6BD2"/>
    <w:rsid w:val="003B7441"/>
    <w:rsid w:val="003B7FDB"/>
    <w:rsid w:val="003C0185"/>
    <w:rsid w:val="003C0B58"/>
    <w:rsid w:val="003C0CB0"/>
    <w:rsid w:val="003C0E7E"/>
    <w:rsid w:val="003C0F4B"/>
    <w:rsid w:val="003C167E"/>
    <w:rsid w:val="003C17A5"/>
    <w:rsid w:val="003C204B"/>
    <w:rsid w:val="003C2EF4"/>
    <w:rsid w:val="003C33D0"/>
    <w:rsid w:val="003C3419"/>
    <w:rsid w:val="003C3444"/>
    <w:rsid w:val="003C36D5"/>
    <w:rsid w:val="003C39F3"/>
    <w:rsid w:val="003C3F05"/>
    <w:rsid w:val="003C453F"/>
    <w:rsid w:val="003C45A5"/>
    <w:rsid w:val="003C47C8"/>
    <w:rsid w:val="003C49D5"/>
    <w:rsid w:val="003C4AD9"/>
    <w:rsid w:val="003C4F20"/>
    <w:rsid w:val="003C5365"/>
    <w:rsid w:val="003C539C"/>
    <w:rsid w:val="003C5497"/>
    <w:rsid w:val="003C55CF"/>
    <w:rsid w:val="003C58F4"/>
    <w:rsid w:val="003C5A3E"/>
    <w:rsid w:val="003C5F43"/>
    <w:rsid w:val="003C64EA"/>
    <w:rsid w:val="003C6525"/>
    <w:rsid w:val="003C6788"/>
    <w:rsid w:val="003C68C5"/>
    <w:rsid w:val="003C6CEC"/>
    <w:rsid w:val="003C6F10"/>
    <w:rsid w:val="003C765C"/>
    <w:rsid w:val="003C7758"/>
    <w:rsid w:val="003C7B42"/>
    <w:rsid w:val="003D013E"/>
    <w:rsid w:val="003D030F"/>
    <w:rsid w:val="003D0F58"/>
    <w:rsid w:val="003D1B3F"/>
    <w:rsid w:val="003D1BA2"/>
    <w:rsid w:val="003D1D6F"/>
    <w:rsid w:val="003D2503"/>
    <w:rsid w:val="003D25EA"/>
    <w:rsid w:val="003D271F"/>
    <w:rsid w:val="003D2993"/>
    <w:rsid w:val="003D2B75"/>
    <w:rsid w:val="003D2C45"/>
    <w:rsid w:val="003D2D5B"/>
    <w:rsid w:val="003D2E0C"/>
    <w:rsid w:val="003D2FC7"/>
    <w:rsid w:val="003D3221"/>
    <w:rsid w:val="003D4082"/>
    <w:rsid w:val="003D40BB"/>
    <w:rsid w:val="003D4A43"/>
    <w:rsid w:val="003D4D15"/>
    <w:rsid w:val="003D51AB"/>
    <w:rsid w:val="003D51F6"/>
    <w:rsid w:val="003D534B"/>
    <w:rsid w:val="003D548E"/>
    <w:rsid w:val="003D5FFD"/>
    <w:rsid w:val="003D603E"/>
    <w:rsid w:val="003D6799"/>
    <w:rsid w:val="003D6999"/>
    <w:rsid w:val="003D6B35"/>
    <w:rsid w:val="003D6B46"/>
    <w:rsid w:val="003D6D94"/>
    <w:rsid w:val="003D6F98"/>
    <w:rsid w:val="003D7307"/>
    <w:rsid w:val="003D749F"/>
    <w:rsid w:val="003D776B"/>
    <w:rsid w:val="003D7989"/>
    <w:rsid w:val="003D7B8B"/>
    <w:rsid w:val="003D7EA1"/>
    <w:rsid w:val="003D7FC4"/>
    <w:rsid w:val="003E0416"/>
    <w:rsid w:val="003E0AAA"/>
    <w:rsid w:val="003E0FCC"/>
    <w:rsid w:val="003E12CB"/>
    <w:rsid w:val="003E1B1E"/>
    <w:rsid w:val="003E1BF6"/>
    <w:rsid w:val="003E2B6E"/>
    <w:rsid w:val="003E2CE0"/>
    <w:rsid w:val="003E3371"/>
    <w:rsid w:val="003E394B"/>
    <w:rsid w:val="003E3D2A"/>
    <w:rsid w:val="003E4DAE"/>
    <w:rsid w:val="003E5198"/>
    <w:rsid w:val="003E533C"/>
    <w:rsid w:val="003E5674"/>
    <w:rsid w:val="003E5A8D"/>
    <w:rsid w:val="003E5AA2"/>
    <w:rsid w:val="003E609F"/>
    <w:rsid w:val="003E68D5"/>
    <w:rsid w:val="003E6E35"/>
    <w:rsid w:val="003E745E"/>
    <w:rsid w:val="003E7DE7"/>
    <w:rsid w:val="003F03F4"/>
    <w:rsid w:val="003F042A"/>
    <w:rsid w:val="003F0727"/>
    <w:rsid w:val="003F1072"/>
    <w:rsid w:val="003F20A2"/>
    <w:rsid w:val="003F3141"/>
    <w:rsid w:val="003F3330"/>
    <w:rsid w:val="003F347B"/>
    <w:rsid w:val="003F35C3"/>
    <w:rsid w:val="003F4670"/>
    <w:rsid w:val="003F46AC"/>
    <w:rsid w:val="003F5DBC"/>
    <w:rsid w:val="003F5DF7"/>
    <w:rsid w:val="003F5E07"/>
    <w:rsid w:val="003F6594"/>
    <w:rsid w:val="003F6722"/>
    <w:rsid w:val="003F67D5"/>
    <w:rsid w:val="003F6913"/>
    <w:rsid w:val="003F6920"/>
    <w:rsid w:val="003F6C3E"/>
    <w:rsid w:val="003F7038"/>
    <w:rsid w:val="003F710F"/>
    <w:rsid w:val="003F75A8"/>
    <w:rsid w:val="003F77BF"/>
    <w:rsid w:val="003F782C"/>
    <w:rsid w:val="003F78E7"/>
    <w:rsid w:val="003F799A"/>
    <w:rsid w:val="00400935"/>
    <w:rsid w:val="00401B40"/>
    <w:rsid w:val="00401E00"/>
    <w:rsid w:val="00401EAE"/>
    <w:rsid w:val="00402135"/>
    <w:rsid w:val="0040231D"/>
    <w:rsid w:val="004033C9"/>
    <w:rsid w:val="00403407"/>
    <w:rsid w:val="004034F7"/>
    <w:rsid w:val="004037B2"/>
    <w:rsid w:val="00404940"/>
    <w:rsid w:val="00404B15"/>
    <w:rsid w:val="0040524D"/>
    <w:rsid w:val="004057A5"/>
    <w:rsid w:val="00405F44"/>
    <w:rsid w:val="004060F0"/>
    <w:rsid w:val="004062F8"/>
    <w:rsid w:val="004075A4"/>
    <w:rsid w:val="00407D61"/>
    <w:rsid w:val="00410122"/>
    <w:rsid w:val="0041032D"/>
    <w:rsid w:val="0041042E"/>
    <w:rsid w:val="00410446"/>
    <w:rsid w:val="00410737"/>
    <w:rsid w:val="00411928"/>
    <w:rsid w:val="00411CC5"/>
    <w:rsid w:val="00411F55"/>
    <w:rsid w:val="00413239"/>
    <w:rsid w:val="00413DF3"/>
    <w:rsid w:val="0041424F"/>
    <w:rsid w:val="004142B8"/>
    <w:rsid w:val="00414336"/>
    <w:rsid w:val="0041449F"/>
    <w:rsid w:val="00414520"/>
    <w:rsid w:val="00414A51"/>
    <w:rsid w:val="004152FC"/>
    <w:rsid w:val="00415341"/>
    <w:rsid w:val="0041537D"/>
    <w:rsid w:val="004155E4"/>
    <w:rsid w:val="0041569B"/>
    <w:rsid w:val="00415CC0"/>
    <w:rsid w:val="00415D34"/>
    <w:rsid w:val="004160A4"/>
    <w:rsid w:val="00416B1B"/>
    <w:rsid w:val="00417141"/>
    <w:rsid w:val="004175EA"/>
    <w:rsid w:val="00417C61"/>
    <w:rsid w:val="00417E45"/>
    <w:rsid w:val="00420049"/>
    <w:rsid w:val="00420137"/>
    <w:rsid w:val="0042019D"/>
    <w:rsid w:val="00420FD3"/>
    <w:rsid w:val="00421294"/>
    <w:rsid w:val="004228FF"/>
    <w:rsid w:val="00422D86"/>
    <w:rsid w:val="004230B5"/>
    <w:rsid w:val="00423257"/>
    <w:rsid w:val="00423333"/>
    <w:rsid w:val="00423482"/>
    <w:rsid w:val="00423946"/>
    <w:rsid w:val="00423A55"/>
    <w:rsid w:val="0042499C"/>
    <w:rsid w:val="00424D0A"/>
    <w:rsid w:val="00425376"/>
    <w:rsid w:val="004261E1"/>
    <w:rsid w:val="004265C6"/>
    <w:rsid w:val="00426E15"/>
    <w:rsid w:val="00426E28"/>
    <w:rsid w:val="0042751B"/>
    <w:rsid w:val="0042756B"/>
    <w:rsid w:val="00427812"/>
    <w:rsid w:val="00430445"/>
    <w:rsid w:val="00430760"/>
    <w:rsid w:val="004317F1"/>
    <w:rsid w:val="004319E4"/>
    <w:rsid w:val="00431E9F"/>
    <w:rsid w:val="00432805"/>
    <w:rsid w:val="00432D86"/>
    <w:rsid w:val="00433190"/>
    <w:rsid w:val="00433628"/>
    <w:rsid w:val="00433852"/>
    <w:rsid w:val="00433B80"/>
    <w:rsid w:val="00433FBC"/>
    <w:rsid w:val="004341E1"/>
    <w:rsid w:val="0043580D"/>
    <w:rsid w:val="00435B71"/>
    <w:rsid w:val="004361EF"/>
    <w:rsid w:val="004363A5"/>
    <w:rsid w:val="004368BB"/>
    <w:rsid w:val="00436C42"/>
    <w:rsid w:val="00437408"/>
    <w:rsid w:val="004400EF"/>
    <w:rsid w:val="00440667"/>
    <w:rsid w:val="0044073C"/>
    <w:rsid w:val="00440C6F"/>
    <w:rsid w:val="00441C52"/>
    <w:rsid w:val="00441DCD"/>
    <w:rsid w:val="0044225C"/>
    <w:rsid w:val="004423BE"/>
    <w:rsid w:val="004425FC"/>
    <w:rsid w:val="00442732"/>
    <w:rsid w:val="00442A1A"/>
    <w:rsid w:val="00442DF3"/>
    <w:rsid w:val="00442E07"/>
    <w:rsid w:val="004432CA"/>
    <w:rsid w:val="004433C5"/>
    <w:rsid w:val="004435F2"/>
    <w:rsid w:val="00443DD4"/>
    <w:rsid w:val="00444658"/>
    <w:rsid w:val="00444715"/>
    <w:rsid w:val="00444752"/>
    <w:rsid w:val="00445062"/>
    <w:rsid w:val="004451EC"/>
    <w:rsid w:val="004458C0"/>
    <w:rsid w:val="004464DE"/>
    <w:rsid w:val="004472BB"/>
    <w:rsid w:val="004474FA"/>
    <w:rsid w:val="00447EC9"/>
    <w:rsid w:val="00447FD6"/>
    <w:rsid w:val="004502F1"/>
    <w:rsid w:val="00450701"/>
    <w:rsid w:val="00450AD2"/>
    <w:rsid w:val="004513E2"/>
    <w:rsid w:val="00451A62"/>
    <w:rsid w:val="00451FF3"/>
    <w:rsid w:val="00453026"/>
    <w:rsid w:val="0045310D"/>
    <w:rsid w:val="00453137"/>
    <w:rsid w:val="00453175"/>
    <w:rsid w:val="004539F0"/>
    <w:rsid w:val="004541E1"/>
    <w:rsid w:val="0045464D"/>
    <w:rsid w:val="00454D75"/>
    <w:rsid w:val="00454EB0"/>
    <w:rsid w:val="00454FAB"/>
    <w:rsid w:val="00455609"/>
    <w:rsid w:val="00456817"/>
    <w:rsid w:val="00456919"/>
    <w:rsid w:val="00457234"/>
    <w:rsid w:val="004577A6"/>
    <w:rsid w:val="0045787F"/>
    <w:rsid w:val="00457C36"/>
    <w:rsid w:val="00457E16"/>
    <w:rsid w:val="00457F98"/>
    <w:rsid w:val="00460068"/>
    <w:rsid w:val="004603D5"/>
    <w:rsid w:val="00460C9F"/>
    <w:rsid w:val="00460CE3"/>
    <w:rsid w:val="004610EB"/>
    <w:rsid w:val="00461687"/>
    <w:rsid w:val="00461851"/>
    <w:rsid w:val="00461C37"/>
    <w:rsid w:val="00461DB1"/>
    <w:rsid w:val="00461ED1"/>
    <w:rsid w:val="004621C4"/>
    <w:rsid w:val="004621DF"/>
    <w:rsid w:val="00462322"/>
    <w:rsid w:val="00462399"/>
    <w:rsid w:val="00462982"/>
    <w:rsid w:val="004630FC"/>
    <w:rsid w:val="00463958"/>
    <w:rsid w:val="00464B29"/>
    <w:rsid w:val="00464FA3"/>
    <w:rsid w:val="00465901"/>
    <w:rsid w:val="0046663B"/>
    <w:rsid w:val="0046666E"/>
    <w:rsid w:val="0046683E"/>
    <w:rsid w:val="004669D8"/>
    <w:rsid w:val="00466D4F"/>
    <w:rsid w:val="00466E6B"/>
    <w:rsid w:val="00467BC8"/>
    <w:rsid w:val="00470822"/>
    <w:rsid w:val="00470919"/>
    <w:rsid w:val="00470B6B"/>
    <w:rsid w:val="00471121"/>
    <w:rsid w:val="00471CF6"/>
    <w:rsid w:val="0047220F"/>
    <w:rsid w:val="00472D51"/>
    <w:rsid w:val="00472D62"/>
    <w:rsid w:val="00473449"/>
    <w:rsid w:val="004736C6"/>
    <w:rsid w:val="00473815"/>
    <w:rsid w:val="00473F19"/>
    <w:rsid w:val="004742A7"/>
    <w:rsid w:val="00474BDD"/>
    <w:rsid w:val="00474C90"/>
    <w:rsid w:val="00474E38"/>
    <w:rsid w:val="004750B1"/>
    <w:rsid w:val="00475E9B"/>
    <w:rsid w:val="00475F03"/>
    <w:rsid w:val="00476F31"/>
    <w:rsid w:val="00477ECB"/>
    <w:rsid w:val="004800B8"/>
    <w:rsid w:val="0048013F"/>
    <w:rsid w:val="00480846"/>
    <w:rsid w:val="00480AD5"/>
    <w:rsid w:val="0048184F"/>
    <w:rsid w:val="00481E72"/>
    <w:rsid w:val="00482188"/>
    <w:rsid w:val="004821E6"/>
    <w:rsid w:val="004826E3"/>
    <w:rsid w:val="004835AA"/>
    <w:rsid w:val="00483AC0"/>
    <w:rsid w:val="004849AF"/>
    <w:rsid w:val="00484A08"/>
    <w:rsid w:val="00485D95"/>
    <w:rsid w:val="00486106"/>
    <w:rsid w:val="00486190"/>
    <w:rsid w:val="004862A6"/>
    <w:rsid w:val="00486487"/>
    <w:rsid w:val="00486A95"/>
    <w:rsid w:val="00486BB7"/>
    <w:rsid w:val="004873FB"/>
    <w:rsid w:val="004874DC"/>
    <w:rsid w:val="0048774D"/>
    <w:rsid w:val="004878A7"/>
    <w:rsid w:val="0049188B"/>
    <w:rsid w:val="00492140"/>
    <w:rsid w:val="004927C5"/>
    <w:rsid w:val="004928E0"/>
    <w:rsid w:val="00492AB6"/>
    <w:rsid w:val="004930DB"/>
    <w:rsid w:val="00493CCB"/>
    <w:rsid w:val="004947F7"/>
    <w:rsid w:val="00494C40"/>
    <w:rsid w:val="00494D8E"/>
    <w:rsid w:val="00494FC9"/>
    <w:rsid w:val="00495013"/>
    <w:rsid w:val="00495633"/>
    <w:rsid w:val="00496800"/>
    <w:rsid w:val="00496B63"/>
    <w:rsid w:val="00497336"/>
    <w:rsid w:val="004979A3"/>
    <w:rsid w:val="00497C0F"/>
    <w:rsid w:val="00497D15"/>
    <w:rsid w:val="004A009B"/>
    <w:rsid w:val="004A0A7C"/>
    <w:rsid w:val="004A183C"/>
    <w:rsid w:val="004A1E2D"/>
    <w:rsid w:val="004A27D7"/>
    <w:rsid w:val="004A3220"/>
    <w:rsid w:val="004A3BC7"/>
    <w:rsid w:val="004A4478"/>
    <w:rsid w:val="004A45A4"/>
    <w:rsid w:val="004A4C62"/>
    <w:rsid w:val="004A4ECB"/>
    <w:rsid w:val="004A4F81"/>
    <w:rsid w:val="004A5461"/>
    <w:rsid w:val="004A5670"/>
    <w:rsid w:val="004A5A4F"/>
    <w:rsid w:val="004A5B31"/>
    <w:rsid w:val="004A6021"/>
    <w:rsid w:val="004A69D8"/>
    <w:rsid w:val="004A6F33"/>
    <w:rsid w:val="004A7161"/>
    <w:rsid w:val="004A75A8"/>
    <w:rsid w:val="004A7705"/>
    <w:rsid w:val="004A7923"/>
    <w:rsid w:val="004B03D0"/>
    <w:rsid w:val="004B0971"/>
    <w:rsid w:val="004B101F"/>
    <w:rsid w:val="004B1DCE"/>
    <w:rsid w:val="004B2025"/>
    <w:rsid w:val="004B2861"/>
    <w:rsid w:val="004B29B2"/>
    <w:rsid w:val="004B2A65"/>
    <w:rsid w:val="004B39F1"/>
    <w:rsid w:val="004B4281"/>
    <w:rsid w:val="004B438E"/>
    <w:rsid w:val="004B44E9"/>
    <w:rsid w:val="004B44FB"/>
    <w:rsid w:val="004B45F8"/>
    <w:rsid w:val="004B48E0"/>
    <w:rsid w:val="004B4A3E"/>
    <w:rsid w:val="004B4A76"/>
    <w:rsid w:val="004B65EB"/>
    <w:rsid w:val="004B67E7"/>
    <w:rsid w:val="004B6A98"/>
    <w:rsid w:val="004B75FD"/>
    <w:rsid w:val="004B79D3"/>
    <w:rsid w:val="004C1129"/>
    <w:rsid w:val="004C1AA7"/>
    <w:rsid w:val="004C1BEF"/>
    <w:rsid w:val="004C1FF3"/>
    <w:rsid w:val="004C2217"/>
    <w:rsid w:val="004C2AE2"/>
    <w:rsid w:val="004C3B8B"/>
    <w:rsid w:val="004C3C05"/>
    <w:rsid w:val="004C487D"/>
    <w:rsid w:val="004C4886"/>
    <w:rsid w:val="004C4887"/>
    <w:rsid w:val="004C4B11"/>
    <w:rsid w:val="004C5127"/>
    <w:rsid w:val="004C58C1"/>
    <w:rsid w:val="004C5B65"/>
    <w:rsid w:val="004C619F"/>
    <w:rsid w:val="004C6582"/>
    <w:rsid w:val="004C6AA2"/>
    <w:rsid w:val="004C6FDA"/>
    <w:rsid w:val="004C744E"/>
    <w:rsid w:val="004C7802"/>
    <w:rsid w:val="004C7B0E"/>
    <w:rsid w:val="004C7DFB"/>
    <w:rsid w:val="004C7EC9"/>
    <w:rsid w:val="004C7F9B"/>
    <w:rsid w:val="004D0B1D"/>
    <w:rsid w:val="004D133B"/>
    <w:rsid w:val="004D16E7"/>
    <w:rsid w:val="004D1740"/>
    <w:rsid w:val="004D1E65"/>
    <w:rsid w:val="004D1FC3"/>
    <w:rsid w:val="004D2574"/>
    <w:rsid w:val="004D27EE"/>
    <w:rsid w:val="004D2A18"/>
    <w:rsid w:val="004D30FD"/>
    <w:rsid w:val="004D3317"/>
    <w:rsid w:val="004D383A"/>
    <w:rsid w:val="004D3BB6"/>
    <w:rsid w:val="004D3D9A"/>
    <w:rsid w:val="004D455A"/>
    <w:rsid w:val="004D4710"/>
    <w:rsid w:val="004D49FF"/>
    <w:rsid w:val="004D54B3"/>
    <w:rsid w:val="004D636A"/>
    <w:rsid w:val="004D6915"/>
    <w:rsid w:val="004D69F0"/>
    <w:rsid w:val="004D6C84"/>
    <w:rsid w:val="004D6CA8"/>
    <w:rsid w:val="004D6F45"/>
    <w:rsid w:val="004D6FD7"/>
    <w:rsid w:val="004D794B"/>
    <w:rsid w:val="004D7CB0"/>
    <w:rsid w:val="004E068E"/>
    <w:rsid w:val="004E0EFE"/>
    <w:rsid w:val="004E14CB"/>
    <w:rsid w:val="004E18D6"/>
    <w:rsid w:val="004E1AD8"/>
    <w:rsid w:val="004E1C23"/>
    <w:rsid w:val="004E1E2E"/>
    <w:rsid w:val="004E217D"/>
    <w:rsid w:val="004E2440"/>
    <w:rsid w:val="004E29CD"/>
    <w:rsid w:val="004E3792"/>
    <w:rsid w:val="004E3D87"/>
    <w:rsid w:val="004E413A"/>
    <w:rsid w:val="004E4632"/>
    <w:rsid w:val="004E48F0"/>
    <w:rsid w:val="004E4D14"/>
    <w:rsid w:val="004E5039"/>
    <w:rsid w:val="004E53C9"/>
    <w:rsid w:val="004E5B1A"/>
    <w:rsid w:val="004E5F5D"/>
    <w:rsid w:val="004E61AB"/>
    <w:rsid w:val="004E6509"/>
    <w:rsid w:val="004E69FD"/>
    <w:rsid w:val="004E7571"/>
    <w:rsid w:val="004E77B5"/>
    <w:rsid w:val="004E7B9F"/>
    <w:rsid w:val="004F01DF"/>
    <w:rsid w:val="004F022F"/>
    <w:rsid w:val="004F06F5"/>
    <w:rsid w:val="004F0BE2"/>
    <w:rsid w:val="004F1DDB"/>
    <w:rsid w:val="004F2381"/>
    <w:rsid w:val="004F2874"/>
    <w:rsid w:val="004F3353"/>
    <w:rsid w:val="004F343C"/>
    <w:rsid w:val="004F3653"/>
    <w:rsid w:val="004F3E87"/>
    <w:rsid w:val="004F3F1D"/>
    <w:rsid w:val="004F4A3B"/>
    <w:rsid w:val="004F4E9D"/>
    <w:rsid w:val="004F5C83"/>
    <w:rsid w:val="004F6961"/>
    <w:rsid w:val="004F6E36"/>
    <w:rsid w:val="00500438"/>
    <w:rsid w:val="005004B7"/>
    <w:rsid w:val="005007F6"/>
    <w:rsid w:val="00500868"/>
    <w:rsid w:val="00500F5A"/>
    <w:rsid w:val="00501250"/>
    <w:rsid w:val="00501EBB"/>
    <w:rsid w:val="0050210D"/>
    <w:rsid w:val="00502280"/>
    <w:rsid w:val="005028B9"/>
    <w:rsid w:val="00502A91"/>
    <w:rsid w:val="00502EEE"/>
    <w:rsid w:val="00502F08"/>
    <w:rsid w:val="005032F7"/>
    <w:rsid w:val="00503975"/>
    <w:rsid w:val="00503A67"/>
    <w:rsid w:val="00503AC3"/>
    <w:rsid w:val="00503B66"/>
    <w:rsid w:val="00503D8E"/>
    <w:rsid w:val="00504370"/>
    <w:rsid w:val="005045E3"/>
    <w:rsid w:val="00504DDC"/>
    <w:rsid w:val="005056A7"/>
    <w:rsid w:val="00505B1B"/>
    <w:rsid w:val="00505D8D"/>
    <w:rsid w:val="00505FB0"/>
    <w:rsid w:val="00505FE4"/>
    <w:rsid w:val="005062BB"/>
    <w:rsid w:val="005069FA"/>
    <w:rsid w:val="00506AF7"/>
    <w:rsid w:val="00507561"/>
    <w:rsid w:val="0050771E"/>
    <w:rsid w:val="005078B5"/>
    <w:rsid w:val="00507939"/>
    <w:rsid w:val="00507DD0"/>
    <w:rsid w:val="00507F56"/>
    <w:rsid w:val="0051012B"/>
    <w:rsid w:val="005101E6"/>
    <w:rsid w:val="0051031D"/>
    <w:rsid w:val="00510C95"/>
    <w:rsid w:val="00511143"/>
    <w:rsid w:val="00511355"/>
    <w:rsid w:val="0051155D"/>
    <w:rsid w:val="00511648"/>
    <w:rsid w:val="005116EE"/>
    <w:rsid w:val="00511B78"/>
    <w:rsid w:val="00511BF9"/>
    <w:rsid w:val="00511F64"/>
    <w:rsid w:val="005122F3"/>
    <w:rsid w:val="00512807"/>
    <w:rsid w:val="005128A1"/>
    <w:rsid w:val="0051329A"/>
    <w:rsid w:val="00513915"/>
    <w:rsid w:val="0051391B"/>
    <w:rsid w:val="00513F7E"/>
    <w:rsid w:val="0051402E"/>
    <w:rsid w:val="005145B1"/>
    <w:rsid w:val="005145E0"/>
    <w:rsid w:val="0051466B"/>
    <w:rsid w:val="00514A7C"/>
    <w:rsid w:val="00515426"/>
    <w:rsid w:val="005159C3"/>
    <w:rsid w:val="00515A9E"/>
    <w:rsid w:val="0051646C"/>
    <w:rsid w:val="005165B6"/>
    <w:rsid w:val="00516611"/>
    <w:rsid w:val="0051662D"/>
    <w:rsid w:val="00516E59"/>
    <w:rsid w:val="00517341"/>
    <w:rsid w:val="005176F4"/>
    <w:rsid w:val="00517790"/>
    <w:rsid w:val="00517E91"/>
    <w:rsid w:val="0052054D"/>
    <w:rsid w:val="0052069D"/>
    <w:rsid w:val="005217EA"/>
    <w:rsid w:val="005218E8"/>
    <w:rsid w:val="00523586"/>
    <w:rsid w:val="005236B3"/>
    <w:rsid w:val="0052376A"/>
    <w:rsid w:val="00524A01"/>
    <w:rsid w:val="00524F9C"/>
    <w:rsid w:val="00525444"/>
    <w:rsid w:val="0052560C"/>
    <w:rsid w:val="0052582C"/>
    <w:rsid w:val="005260E9"/>
    <w:rsid w:val="00526118"/>
    <w:rsid w:val="0052641E"/>
    <w:rsid w:val="00526932"/>
    <w:rsid w:val="00526C71"/>
    <w:rsid w:val="00527827"/>
    <w:rsid w:val="00527887"/>
    <w:rsid w:val="0052791A"/>
    <w:rsid w:val="005279A2"/>
    <w:rsid w:val="00527A29"/>
    <w:rsid w:val="00527C5F"/>
    <w:rsid w:val="00527EB2"/>
    <w:rsid w:val="005303BB"/>
    <w:rsid w:val="005306AE"/>
    <w:rsid w:val="005310DA"/>
    <w:rsid w:val="0053155E"/>
    <w:rsid w:val="00531768"/>
    <w:rsid w:val="0053177D"/>
    <w:rsid w:val="005317EF"/>
    <w:rsid w:val="00531DF7"/>
    <w:rsid w:val="0053227C"/>
    <w:rsid w:val="00533261"/>
    <w:rsid w:val="005334E6"/>
    <w:rsid w:val="005335E8"/>
    <w:rsid w:val="00533DBC"/>
    <w:rsid w:val="00534154"/>
    <w:rsid w:val="005342D8"/>
    <w:rsid w:val="00534473"/>
    <w:rsid w:val="005344F1"/>
    <w:rsid w:val="0053471C"/>
    <w:rsid w:val="00535125"/>
    <w:rsid w:val="005353A1"/>
    <w:rsid w:val="005353A5"/>
    <w:rsid w:val="005354AF"/>
    <w:rsid w:val="00535719"/>
    <w:rsid w:val="00535722"/>
    <w:rsid w:val="00535851"/>
    <w:rsid w:val="00535A80"/>
    <w:rsid w:val="00535BD6"/>
    <w:rsid w:val="00536A60"/>
    <w:rsid w:val="00536AC5"/>
    <w:rsid w:val="00536D55"/>
    <w:rsid w:val="00536E42"/>
    <w:rsid w:val="00537280"/>
    <w:rsid w:val="005376A0"/>
    <w:rsid w:val="0054052B"/>
    <w:rsid w:val="00540861"/>
    <w:rsid w:val="005410AF"/>
    <w:rsid w:val="00541591"/>
    <w:rsid w:val="00541CEB"/>
    <w:rsid w:val="00542318"/>
    <w:rsid w:val="00542641"/>
    <w:rsid w:val="00542C49"/>
    <w:rsid w:val="00543020"/>
    <w:rsid w:val="00546146"/>
    <w:rsid w:val="00546CCA"/>
    <w:rsid w:val="005503E8"/>
    <w:rsid w:val="0055071F"/>
    <w:rsid w:val="0055072D"/>
    <w:rsid w:val="0055108E"/>
    <w:rsid w:val="005513E9"/>
    <w:rsid w:val="0055180C"/>
    <w:rsid w:val="005519C7"/>
    <w:rsid w:val="00551D47"/>
    <w:rsid w:val="00551FFA"/>
    <w:rsid w:val="00552534"/>
    <w:rsid w:val="005525D4"/>
    <w:rsid w:val="0055266D"/>
    <w:rsid w:val="005526AE"/>
    <w:rsid w:val="005527B3"/>
    <w:rsid w:val="00552DA3"/>
    <w:rsid w:val="00553525"/>
    <w:rsid w:val="00554D2E"/>
    <w:rsid w:val="0055557B"/>
    <w:rsid w:val="0055583B"/>
    <w:rsid w:val="00555C7E"/>
    <w:rsid w:val="00555D7F"/>
    <w:rsid w:val="005567A2"/>
    <w:rsid w:val="00556AB1"/>
    <w:rsid w:val="00556F2F"/>
    <w:rsid w:val="0055758A"/>
    <w:rsid w:val="0055777E"/>
    <w:rsid w:val="005577B0"/>
    <w:rsid w:val="00557D65"/>
    <w:rsid w:val="005601B3"/>
    <w:rsid w:val="00560A38"/>
    <w:rsid w:val="005619EC"/>
    <w:rsid w:val="00561BCB"/>
    <w:rsid w:val="00561E4A"/>
    <w:rsid w:val="00562C57"/>
    <w:rsid w:val="00563F4A"/>
    <w:rsid w:val="005641B1"/>
    <w:rsid w:val="005653B2"/>
    <w:rsid w:val="005653C3"/>
    <w:rsid w:val="0056571E"/>
    <w:rsid w:val="00565A2F"/>
    <w:rsid w:val="00565F98"/>
    <w:rsid w:val="00567099"/>
    <w:rsid w:val="00567574"/>
    <w:rsid w:val="005675CF"/>
    <w:rsid w:val="00567D97"/>
    <w:rsid w:val="00570058"/>
    <w:rsid w:val="005704ED"/>
    <w:rsid w:val="0057063D"/>
    <w:rsid w:val="00571089"/>
    <w:rsid w:val="00571C1D"/>
    <w:rsid w:val="00572396"/>
    <w:rsid w:val="00573FE3"/>
    <w:rsid w:val="0057430B"/>
    <w:rsid w:val="005749EC"/>
    <w:rsid w:val="00574B44"/>
    <w:rsid w:val="005751CE"/>
    <w:rsid w:val="005754B2"/>
    <w:rsid w:val="005757D4"/>
    <w:rsid w:val="005762B9"/>
    <w:rsid w:val="00576CDB"/>
    <w:rsid w:val="00577360"/>
    <w:rsid w:val="00577881"/>
    <w:rsid w:val="005800A7"/>
    <w:rsid w:val="0058044C"/>
    <w:rsid w:val="005809A9"/>
    <w:rsid w:val="00580FF8"/>
    <w:rsid w:val="0058119E"/>
    <w:rsid w:val="005811DF"/>
    <w:rsid w:val="00581A52"/>
    <w:rsid w:val="00581B48"/>
    <w:rsid w:val="00582959"/>
    <w:rsid w:val="005829D6"/>
    <w:rsid w:val="005829EE"/>
    <w:rsid w:val="00582E4E"/>
    <w:rsid w:val="00582EBD"/>
    <w:rsid w:val="005832A0"/>
    <w:rsid w:val="00583CBF"/>
    <w:rsid w:val="00584B13"/>
    <w:rsid w:val="00584C14"/>
    <w:rsid w:val="00585565"/>
    <w:rsid w:val="00585714"/>
    <w:rsid w:val="005857DC"/>
    <w:rsid w:val="00585B54"/>
    <w:rsid w:val="00585B93"/>
    <w:rsid w:val="00585BC4"/>
    <w:rsid w:val="00585DA1"/>
    <w:rsid w:val="00585F05"/>
    <w:rsid w:val="005861BA"/>
    <w:rsid w:val="00586237"/>
    <w:rsid w:val="00586375"/>
    <w:rsid w:val="00586B05"/>
    <w:rsid w:val="00586DEB"/>
    <w:rsid w:val="005900D3"/>
    <w:rsid w:val="0059084A"/>
    <w:rsid w:val="00590AF3"/>
    <w:rsid w:val="00590BBF"/>
    <w:rsid w:val="00591C53"/>
    <w:rsid w:val="00591F03"/>
    <w:rsid w:val="00591FB2"/>
    <w:rsid w:val="00592037"/>
    <w:rsid w:val="0059237E"/>
    <w:rsid w:val="00592647"/>
    <w:rsid w:val="00592744"/>
    <w:rsid w:val="00592B33"/>
    <w:rsid w:val="0059372C"/>
    <w:rsid w:val="005938CC"/>
    <w:rsid w:val="00593931"/>
    <w:rsid w:val="00593B53"/>
    <w:rsid w:val="00593C53"/>
    <w:rsid w:val="00593F5F"/>
    <w:rsid w:val="00594D5D"/>
    <w:rsid w:val="00594E00"/>
    <w:rsid w:val="005951E5"/>
    <w:rsid w:val="0059586A"/>
    <w:rsid w:val="005961A1"/>
    <w:rsid w:val="0059694C"/>
    <w:rsid w:val="005976A7"/>
    <w:rsid w:val="005979E3"/>
    <w:rsid w:val="005A0019"/>
    <w:rsid w:val="005A0089"/>
    <w:rsid w:val="005A080A"/>
    <w:rsid w:val="005A097A"/>
    <w:rsid w:val="005A0FF2"/>
    <w:rsid w:val="005A13A6"/>
    <w:rsid w:val="005A23A7"/>
    <w:rsid w:val="005A38DE"/>
    <w:rsid w:val="005A3DE3"/>
    <w:rsid w:val="005A40F0"/>
    <w:rsid w:val="005A419C"/>
    <w:rsid w:val="005A4228"/>
    <w:rsid w:val="005A44B6"/>
    <w:rsid w:val="005A4A2D"/>
    <w:rsid w:val="005A4C8C"/>
    <w:rsid w:val="005A4ECC"/>
    <w:rsid w:val="005A503C"/>
    <w:rsid w:val="005A5159"/>
    <w:rsid w:val="005A61FC"/>
    <w:rsid w:val="005A630D"/>
    <w:rsid w:val="005A67D4"/>
    <w:rsid w:val="005A7212"/>
    <w:rsid w:val="005A7E04"/>
    <w:rsid w:val="005B0131"/>
    <w:rsid w:val="005B047E"/>
    <w:rsid w:val="005B0815"/>
    <w:rsid w:val="005B0FA2"/>
    <w:rsid w:val="005B13EF"/>
    <w:rsid w:val="005B1BED"/>
    <w:rsid w:val="005B1F40"/>
    <w:rsid w:val="005B2458"/>
    <w:rsid w:val="005B3071"/>
    <w:rsid w:val="005B30C7"/>
    <w:rsid w:val="005B32D5"/>
    <w:rsid w:val="005B334C"/>
    <w:rsid w:val="005B340A"/>
    <w:rsid w:val="005B387D"/>
    <w:rsid w:val="005B3DA2"/>
    <w:rsid w:val="005B4C80"/>
    <w:rsid w:val="005B4C91"/>
    <w:rsid w:val="005B508C"/>
    <w:rsid w:val="005B5425"/>
    <w:rsid w:val="005B59F0"/>
    <w:rsid w:val="005B64BC"/>
    <w:rsid w:val="005B6742"/>
    <w:rsid w:val="005B6D64"/>
    <w:rsid w:val="005B7BB9"/>
    <w:rsid w:val="005B7D5C"/>
    <w:rsid w:val="005C091E"/>
    <w:rsid w:val="005C09FC"/>
    <w:rsid w:val="005C0A94"/>
    <w:rsid w:val="005C0CA9"/>
    <w:rsid w:val="005C1280"/>
    <w:rsid w:val="005C1A1E"/>
    <w:rsid w:val="005C1E65"/>
    <w:rsid w:val="005C2166"/>
    <w:rsid w:val="005C21CF"/>
    <w:rsid w:val="005C2FC2"/>
    <w:rsid w:val="005C3372"/>
    <w:rsid w:val="005C43D3"/>
    <w:rsid w:val="005C4660"/>
    <w:rsid w:val="005C4E6F"/>
    <w:rsid w:val="005C554E"/>
    <w:rsid w:val="005C5B8F"/>
    <w:rsid w:val="005C605C"/>
    <w:rsid w:val="005C6939"/>
    <w:rsid w:val="005C7B78"/>
    <w:rsid w:val="005C7CAF"/>
    <w:rsid w:val="005D0875"/>
    <w:rsid w:val="005D0937"/>
    <w:rsid w:val="005D0C5F"/>
    <w:rsid w:val="005D163B"/>
    <w:rsid w:val="005D19DA"/>
    <w:rsid w:val="005D1AC4"/>
    <w:rsid w:val="005D1E38"/>
    <w:rsid w:val="005D1F8E"/>
    <w:rsid w:val="005D2259"/>
    <w:rsid w:val="005D2641"/>
    <w:rsid w:val="005D3067"/>
    <w:rsid w:val="005D3B1E"/>
    <w:rsid w:val="005D4978"/>
    <w:rsid w:val="005D4F10"/>
    <w:rsid w:val="005D5053"/>
    <w:rsid w:val="005D572F"/>
    <w:rsid w:val="005D5AF5"/>
    <w:rsid w:val="005D5CC5"/>
    <w:rsid w:val="005D5CE2"/>
    <w:rsid w:val="005D64E2"/>
    <w:rsid w:val="005D66B2"/>
    <w:rsid w:val="005D6E46"/>
    <w:rsid w:val="005D7248"/>
    <w:rsid w:val="005D728B"/>
    <w:rsid w:val="005D7F31"/>
    <w:rsid w:val="005E0F95"/>
    <w:rsid w:val="005E11DC"/>
    <w:rsid w:val="005E19A2"/>
    <w:rsid w:val="005E1A40"/>
    <w:rsid w:val="005E1D16"/>
    <w:rsid w:val="005E25AE"/>
    <w:rsid w:val="005E2752"/>
    <w:rsid w:val="005E2964"/>
    <w:rsid w:val="005E2E44"/>
    <w:rsid w:val="005E3564"/>
    <w:rsid w:val="005E392B"/>
    <w:rsid w:val="005E3AF9"/>
    <w:rsid w:val="005E3B56"/>
    <w:rsid w:val="005E3E10"/>
    <w:rsid w:val="005E4692"/>
    <w:rsid w:val="005E4B5F"/>
    <w:rsid w:val="005E4C88"/>
    <w:rsid w:val="005E51A2"/>
    <w:rsid w:val="005E52E7"/>
    <w:rsid w:val="005E539D"/>
    <w:rsid w:val="005E56CA"/>
    <w:rsid w:val="005E5E0A"/>
    <w:rsid w:val="005E60E8"/>
    <w:rsid w:val="005E658D"/>
    <w:rsid w:val="005E696C"/>
    <w:rsid w:val="005E6EB9"/>
    <w:rsid w:val="005E7075"/>
    <w:rsid w:val="005E7121"/>
    <w:rsid w:val="005F067C"/>
    <w:rsid w:val="005F068B"/>
    <w:rsid w:val="005F076A"/>
    <w:rsid w:val="005F17A1"/>
    <w:rsid w:val="005F182E"/>
    <w:rsid w:val="005F1C1C"/>
    <w:rsid w:val="005F20E9"/>
    <w:rsid w:val="005F22E3"/>
    <w:rsid w:val="005F2C4F"/>
    <w:rsid w:val="005F3FA6"/>
    <w:rsid w:val="005F483B"/>
    <w:rsid w:val="005F63F0"/>
    <w:rsid w:val="005F7539"/>
    <w:rsid w:val="005F7607"/>
    <w:rsid w:val="005F7A20"/>
    <w:rsid w:val="005F7AAD"/>
    <w:rsid w:val="00600232"/>
    <w:rsid w:val="0060168D"/>
    <w:rsid w:val="00601702"/>
    <w:rsid w:val="0060181C"/>
    <w:rsid w:val="00601B80"/>
    <w:rsid w:val="00601F68"/>
    <w:rsid w:val="00602200"/>
    <w:rsid w:val="0060297D"/>
    <w:rsid w:val="006029A8"/>
    <w:rsid w:val="00602D2D"/>
    <w:rsid w:val="0060355A"/>
    <w:rsid w:val="006037E8"/>
    <w:rsid w:val="00604B50"/>
    <w:rsid w:val="00604BC0"/>
    <w:rsid w:val="00605041"/>
    <w:rsid w:val="00606234"/>
    <w:rsid w:val="00606247"/>
    <w:rsid w:val="00606522"/>
    <w:rsid w:val="00606C8F"/>
    <w:rsid w:val="006076AA"/>
    <w:rsid w:val="00610097"/>
    <w:rsid w:val="0061012C"/>
    <w:rsid w:val="00610201"/>
    <w:rsid w:val="00610302"/>
    <w:rsid w:val="006108C8"/>
    <w:rsid w:val="0061104A"/>
    <w:rsid w:val="006118F4"/>
    <w:rsid w:val="00611C30"/>
    <w:rsid w:val="00612989"/>
    <w:rsid w:val="00612AA8"/>
    <w:rsid w:val="00612D3E"/>
    <w:rsid w:val="00613259"/>
    <w:rsid w:val="00614255"/>
    <w:rsid w:val="006148A1"/>
    <w:rsid w:val="006148CD"/>
    <w:rsid w:val="00614FC5"/>
    <w:rsid w:val="00615112"/>
    <w:rsid w:val="00615DD2"/>
    <w:rsid w:val="00615E7A"/>
    <w:rsid w:val="00616402"/>
    <w:rsid w:val="0061661C"/>
    <w:rsid w:val="00616857"/>
    <w:rsid w:val="00616DDB"/>
    <w:rsid w:val="00617383"/>
    <w:rsid w:val="0061795B"/>
    <w:rsid w:val="00617F23"/>
    <w:rsid w:val="006200B3"/>
    <w:rsid w:val="00620864"/>
    <w:rsid w:val="00620B7D"/>
    <w:rsid w:val="00620BC8"/>
    <w:rsid w:val="00620DA6"/>
    <w:rsid w:val="00621859"/>
    <w:rsid w:val="00621A1B"/>
    <w:rsid w:val="0062269C"/>
    <w:rsid w:val="00622C3C"/>
    <w:rsid w:val="00623C13"/>
    <w:rsid w:val="0062401D"/>
    <w:rsid w:val="00624983"/>
    <w:rsid w:val="00624C69"/>
    <w:rsid w:val="00625039"/>
    <w:rsid w:val="006250E2"/>
    <w:rsid w:val="00625F5B"/>
    <w:rsid w:val="00625FC4"/>
    <w:rsid w:val="00626465"/>
    <w:rsid w:val="006264FC"/>
    <w:rsid w:val="006265E1"/>
    <w:rsid w:val="00626E7A"/>
    <w:rsid w:val="006270D6"/>
    <w:rsid w:val="006274A6"/>
    <w:rsid w:val="00627BB0"/>
    <w:rsid w:val="006304C1"/>
    <w:rsid w:val="00630621"/>
    <w:rsid w:val="00630666"/>
    <w:rsid w:val="00630F89"/>
    <w:rsid w:val="006316E7"/>
    <w:rsid w:val="00631986"/>
    <w:rsid w:val="006320D0"/>
    <w:rsid w:val="00632799"/>
    <w:rsid w:val="00632B91"/>
    <w:rsid w:val="0063350A"/>
    <w:rsid w:val="006335D9"/>
    <w:rsid w:val="006339CC"/>
    <w:rsid w:val="00633BE6"/>
    <w:rsid w:val="00633CDF"/>
    <w:rsid w:val="00633F09"/>
    <w:rsid w:val="00634C8F"/>
    <w:rsid w:val="00634E27"/>
    <w:rsid w:val="0063504D"/>
    <w:rsid w:val="006351E2"/>
    <w:rsid w:val="00635268"/>
    <w:rsid w:val="0063594C"/>
    <w:rsid w:val="00635A08"/>
    <w:rsid w:val="00635E7F"/>
    <w:rsid w:val="006369B0"/>
    <w:rsid w:val="006370ED"/>
    <w:rsid w:val="00637883"/>
    <w:rsid w:val="00637884"/>
    <w:rsid w:val="00637C21"/>
    <w:rsid w:val="00637D26"/>
    <w:rsid w:val="00640ECB"/>
    <w:rsid w:val="006412A9"/>
    <w:rsid w:val="006412C6"/>
    <w:rsid w:val="00641C2B"/>
    <w:rsid w:val="00641EEF"/>
    <w:rsid w:val="006421B5"/>
    <w:rsid w:val="00642277"/>
    <w:rsid w:val="00642770"/>
    <w:rsid w:val="00642822"/>
    <w:rsid w:val="006428B6"/>
    <w:rsid w:val="00643C8D"/>
    <w:rsid w:val="00644002"/>
    <w:rsid w:val="0064429B"/>
    <w:rsid w:val="00644733"/>
    <w:rsid w:val="006458D4"/>
    <w:rsid w:val="0064636B"/>
    <w:rsid w:val="00646C2C"/>
    <w:rsid w:val="00646E07"/>
    <w:rsid w:val="00647B10"/>
    <w:rsid w:val="006502FC"/>
    <w:rsid w:val="00650AE2"/>
    <w:rsid w:val="00651061"/>
    <w:rsid w:val="006512BA"/>
    <w:rsid w:val="006514D8"/>
    <w:rsid w:val="00651539"/>
    <w:rsid w:val="00651F9C"/>
    <w:rsid w:val="006521EC"/>
    <w:rsid w:val="00652842"/>
    <w:rsid w:val="00652985"/>
    <w:rsid w:val="00652EF7"/>
    <w:rsid w:val="0065330E"/>
    <w:rsid w:val="00653B8F"/>
    <w:rsid w:val="00654EFB"/>
    <w:rsid w:val="00655DAB"/>
    <w:rsid w:val="0065658E"/>
    <w:rsid w:val="00656640"/>
    <w:rsid w:val="00656869"/>
    <w:rsid w:val="00656C8E"/>
    <w:rsid w:val="00656CC7"/>
    <w:rsid w:val="00656CF4"/>
    <w:rsid w:val="00656D85"/>
    <w:rsid w:val="00657C12"/>
    <w:rsid w:val="00657D45"/>
    <w:rsid w:val="00657FD2"/>
    <w:rsid w:val="0066006E"/>
    <w:rsid w:val="00660239"/>
    <w:rsid w:val="006609B9"/>
    <w:rsid w:val="00660D6C"/>
    <w:rsid w:val="00661295"/>
    <w:rsid w:val="00661547"/>
    <w:rsid w:val="00661A34"/>
    <w:rsid w:val="00662101"/>
    <w:rsid w:val="0066267C"/>
    <w:rsid w:val="00662E1B"/>
    <w:rsid w:val="00663021"/>
    <w:rsid w:val="00663097"/>
    <w:rsid w:val="00663651"/>
    <w:rsid w:val="006644FB"/>
    <w:rsid w:val="00664584"/>
    <w:rsid w:val="00664AC1"/>
    <w:rsid w:val="00664FEA"/>
    <w:rsid w:val="0066517D"/>
    <w:rsid w:val="00665C2D"/>
    <w:rsid w:val="00666040"/>
    <w:rsid w:val="006661C5"/>
    <w:rsid w:val="0066632D"/>
    <w:rsid w:val="0066636F"/>
    <w:rsid w:val="00666CCD"/>
    <w:rsid w:val="0066735C"/>
    <w:rsid w:val="006676E7"/>
    <w:rsid w:val="00667808"/>
    <w:rsid w:val="0067015D"/>
    <w:rsid w:val="006704A9"/>
    <w:rsid w:val="006705A7"/>
    <w:rsid w:val="0067088A"/>
    <w:rsid w:val="00670AC2"/>
    <w:rsid w:val="00671A5C"/>
    <w:rsid w:val="00671B5D"/>
    <w:rsid w:val="006723A4"/>
    <w:rsid w:val="006725D5"/>
    <w:rsid w:val="00672E9D"/>
    <w:rsid w:val="0067352C"/>
    <w:rsid w:val="006736D5"/>
    <w:rsid w:val="00673B43"/>
    <w:rsid w:val="00674053"/>
    <w:rsid w:val="00674382"/>
    <w:rsid w:val="006748A5"/>
    <w:rsid w:val="00674C0A"/>
    <w:rsid w:val="00674D1D"/>
    <w:rsid w:val="0067515C"/>
    <w:rsid w:val="00675693"/>
    <w:rsid w:val="00675A3C"/>
    <w:rsid w:val="0067603F"/>
    <w:rsid w:val="00677334"/>
    <w:rsid w:val="0068085A"/>
    <w:rsid w:val="006808F6"/>
    <w:rsid w:val="006809D4"/>
    <w:rsid w:val="00680A5E"/>
    <w:rsid w:val="00680BB9"/>
    <w:rsid w:val="00680C12"/>
    <w:rsid w:val="00680CF0"/>
    <w:rsid w:val="00680EE4"/>
    <w:rsid w:val="00680F08"/>
    <w:rsid w:val="00680FC6"/>
    <w:rsid w:val="006814FE"/>
    <w:rsid w:val="006829E1"/>
    <w:rsid w:val="00683BD1"/>
    <w:rsid w:val="006843CE"/>
    <w:rsid w:val="00684521"/>
    <w:rsid w:val="006846F5"/>
    <w:rsid w:val="00684925"/>
    <w:rsid w:val="00684AFB"/>
    <w:rsid w:val="0068508E"/>
    <w:rsid w:val="0068541D"/>
    <w:rsid w:val="00685946"/>
    <w:rsid w:val="006866BB"/>
    <w:rsid w:val="00686DCF"/>
    <w:rsid w:val="00686F3B"/>
    <w:rsid w:val="006877BA"/>
    <w:rsid w:val="00687E17"/>
    <w:rsid w:val="006904E0"/>
    <w:rsid w:val="006906BF"/>
    <w:rsid w:val="00690953"/>
    <w:rsid w:val="006909FF"/>
    <w:rsid w:val="00690C0E"/>
    <w:rsid w:val="00690D81"/>
    <w:rsid w:val="0069144A"/>
    <w:rsid w:val="0069145F"/>
    <w:rsid w:val="00691B27"/>
    <w:rsid w:val="00691CAC"/>
    <w:rsid w:val="00692404"/>
    <w:rsid w:val="00692541"/>
    <w:rsid w:val="006926E2"/>
    <w:rsid w:val="0069282D"/>
    <w:rsid w:val="00692CEC"/>
    <w:rsid w:val="006937FD"/>
    <w:rsid w:val="00693A7F"/>
    <w:rsid w:val="00693DCE"/>
    <w:rsid w:val="0069464A"/>
    <w:rsid w:val="00696762"/>
    <w:rsid w:val="006974E6"/>
    <w:rsid w:val="00697714"/>
    <w:rsid w:val="006A0123"/>
    <w:rsid w:val="006A01A6"/>
    <w:rsid w:val="006A03AB"/>
    <w:rsid w:val="006A056A"/>
    <w:rsid w:val="006A0D81"/>
    <w:rsid w:val="006A0D8E"/>
    <w:rsid w:val="006A19D2"/>
    <w:rsid w:val="006A1E95"/>
    <w:rsid w:val="006A2274"/>
    <w:rsid w:val="006A2734"/>
    <w:rsid w:val="006A286D"/>
    <w:rsid w:val="006A28D7"/>
    <w:rsid w:val="006A3595"/>
    <w:rsid w:val="006A37CB"/>
    <w:rsid w:val="006A3C91"/>
    <w:rsid w:val="006A41FD"/>
    <w:rsid w:val="006A420F"/>
    <w:rsid w:val="006A42AB"/>
    <w:rsid w:val="006A463F"/>
    <w:rsid w:val="006A5215"/>
    <w:rsid w:val="006A52C7"/>
    <w:rsid w:val="006A5781"/>
    <w:rsid w:val="006A5FD7"/>
    <w:rsid w:val="006A607B"/>
    <w:rsid w:val="006A6322"/>
    <w:rsid w:val="006A6B9A"/>
    <w:rsid w:val="006A6D6B"/>
    <w:rsid w:val="006A71A3"/>
    <w:rsid w:val="006A7489"/>
    <w:rsid w:val="006A7E16"/>
    <w:rsid w:val="006B0103"/>
    <w:rsid w:val="006B04E0"/>
    <w:rsid w:val="006B136B"/>
    <w:rsid w:val="006B148C"/>
    <w:rsid w:val="006B1544"/>
    <w:rsid w:val="006B1C14"/>
    <w:rsid w:val="006B31E3"/>
    <w:rsid w:val="006B33CE"/>
    <w:rsid w:val="006B38AE"/>
    <w:rsid w:val="006B3C3C"/>
    <w:rsid w:val="006B413F"/>
    <w:rsid w:val="006B4996"/>
    <w:rsid w:val="006B4A69"/>
    <w:rsid w:val="006B554C"/>
    <w:rsid w:val="006B5931"/>
    <w:rsid w:val="006B5ED2"/>
    <w:rsid w:val="006B627C"/>
    <w:rsid w:val="006B67B0"/>
    <w:rsid w:val="006B7C3E"/>
    <w:rsid w:val="006B7D2F"/>
    <w:rsid w:val="006C0113"/>
    <w:rsid w:val="006C040E"/>
    <w:rsid w:val="006C0E8E"/>
    <w:rsid w:val="006C1051"/>
    <w:rsid w:val="006C1B94"/>
    <w:rsid w:val="006C1CBD"/>
    <w:rsid w:val="006C2B6B"/>
    <w:rsid w:val="006C359B"/>
    <w:rsid w:val="006C4270"/>
    <w:rsid w:val="006C4F9C"/>
    <w:rsid w:val="006C505E"/>
    <w:rsid w:val="006C55E5"/>
    <w:rsid w:val="006C57F2"/>
    <w:rsid w:val="006C58E1"/>
    <w:rsid w:val="006C5C58"/>
    <w:rsid w:val="006C5E02"/>
    <w:rsid w:val="006C6564"/>
    <w:rsid w:val="006C6A73"/>
    <w:rsid w:val="006C6E36"/>
    <w:rsid w:val="006C7C3E"/>
    <w:rsid w:val="006C7D71"/>
    <w:rsid w:val="006D02BD"/>
    <w:rsid w:val="006D0733"/>
    <w:rsid w:val="006D09FD"/>
    <w:rsid w:val="006D0EE1"/>
    <w:rsid w:val="006D125C"/>
    <w:rsid w:val="006D200A"/>
    <w:rsid w:val="006D2185"/>
    <w:rsid w:val="006D2415"/>
    <w:rsid w:val="006D2861"/>
    <w:rsid w:val="006D287F"/>
    <w:rsid w:val="006D29F9"/>
    <w:rsid w:val="006D2B3B"/>
    <w:rsid w:val="006D3AB7"/>
    <w:rsid w:val="006D3AE5"/>
    <w:rsid w:val="006D41BC"/>
    <w:rsid w:val="006D5517"/>
    <w:rsid w:val="006D5BE0"/>
    <w:rsid w:val="006D5C83"/>
    <w:rsid w:val="006D5CE9"/>
    <w:rsid w:val="006D5D0D"/>
    <w:rsid w:val="006D6606"/>
    <w:rsid w:val="006D6870"/>
    <w:rsid w:val="006D6ECF"/>
    <w:rsid w:val="006D70EC"/>
    <w:rsid w:val="006D719A"/>
    <w:rsid w:val="006D7779"/>
    <w:rsid w:val="006D7AD4"/>
    <w:rsid w:val="006E01AB"/>
    <w:rsid w:val="006E0362"/>
    <w:rsid w:val="006E0D3B"/>
    <w:rsid w:val="006E0E76"/>
    <w:rsid w:val="006E101F"/>
    <w:rsid w:val="006E1A9E"/>
    <w:rsid w:val="006E2166"/>
    <w:rsid w:val="006E23EA"/>
    <w:rsid w:val="006E24AA"/>
    <w:rsid w:val="006E296D"/>
    <w:rsid w:val="006E2BF5"/>
    <w:rsid w:val="006E2DC9"/>
    <w:rsid w:val="006E3B4D"/>
    <w:rsid w:val="006E3E75"/>
    <w:rsid w:val="006E436F"/>
    <w:rsid w:val="006E4FC1"/>
    <w:rsid w:val="006E546B"/>
    <w:rsid w:val="006E5992"/>
    <w:rsid w:val="006E5BA6"/>
    <w:rsid w:val="006E61F4"/>
    <w:rsid w:val="006E6615"/>
    <w:rsid w:val="006E6893"/>
    <w:rsid w:val="006E6AF0"/>
    <w:rsid w:val="006E7822"/>
    <w:rsid w:val="006E7895"/>
    <w:rsid w:val="006F0233"/>
    <w:rsid w:val="006F0572"/>
    <w:rsid w:val="006F06F4"/>
    <w:rsid w:val="006F1829"/>
    <w:rsid w:val="006F1E84"/>
    <w:rsid w:val="006F261D"/>
    <w:rsid w:val="006F2943"/>
    <w:rsid w:val="006F2962"/>
    <w:rsid w:val="006F2AC6"/>
    <w:rsid w:val="006F2FA8"/>
    <w:rsid w:val="006F37ED"/>
    <w:rsid w:val="006F3819"/>
    <w:rsid w:val="006F3843"/>
    <w:rsid w:val="006F3915"/>
    <w:rsid w:val="006F3F0E"/>
    <w:rsid w:val="006F448F"/>
    <w:rsid w:val="006F458D"/>
    <w:rsid w:val="006F49EE"/>
    <w:rsid w:val="006F5253"/>
    <w:rsid w:val="006F55BF"/>
    <w:rsid w:val="006F5EE9"/>
    <w:rsid w:val="006F61EC"/>
    <w:rsid w:val="006F69B7"/>
    <w:rsid w:val="006F6DF6"/>
    <w:rsid w:val="006F72FE"/>
    <w:rsid w:val="006F7C24"/>
    <w:rsid w:val="006F7DAF"/>
    <w:rsid w:val="00701174"/>
    <w:rsid w:val="00701C58"/>
    <w:rsid w:val="00701DC1"/>
    <w:rsid w:val="00702343"/>
    <w:rsid w:val="007023CB"/>
    <w:rsid w:val="0070264D"/>
    <w:rsid w:val="00703055"/>
    <w:rsid w:val="007032E3"/>
    <w:rsid w:val="00703415"/>
    <w:rsid w:val="00703B50"/>
    <w:rsid w:val="0070412C"/>
    <w:rsid w:val="0070479F"/>
    <w:rsid w:val="00704D99"/>
    <w:rsid w:val="00705B07"/>
    <w:rsid w:val="00705C53"/>
    <w:rsid w:val="00706017"/>
    <w:rsid w:val="00706147"/>
    <w:rsid w:val="007064C8"/>
    <w:rsid w:val="00706728"/>
    <w:rsid w:val="00707320"/>
    <w:rsid w:val="00707A97"/>
    <w:rsid w:val="00707C85"/>
    <w:rsid w:val="00710102"/>
    <w:rsid w:val="00710375"/>
    <w:rsid w:val="00710C6D"/>
    <w:rsid w:val="00710CAC"/>
    <w:rsid w:val="007115C7"/>
    <w:rsid w:val="00711D6F"/>
    <w:rsid w:val="007133EC"/>
    <w:rsid w:val="007136E7"/>
    <w:rsid w:val="007139A8"/>
    <w:rsid w:val="00713C34"/>
    <w:rsid w:val="00713E04"/>
    <w:rsid w:val="00714798"/>
    <w:rsid w:val="007150C5"/>
    <w:rsid w:val="007156EA"/>
    <w:rsid w:val="00715806"/>
    <w:rsid w:val="00716485"/>
    <w:rsid w:val="0071659F"/>
    <w:rsid w:val="007167AB"/>
    <w:rsid w:val="007169A0"/>
    <w:rsid w:val="00716CDB"/>
    <w:rsid w:val="00717336"/>
    <w:rsid w:val="0071735D"/>
    <w:rsid w:val="00720475"/>
    <w:rsid w:val="007204E7"/>
    <w:rsid w:val="007208E2"/>
    <w:rsid w:val="007212C5"/>
    <w:rsid w:val="00721635"/>
    <w:rsid w:val="0072163F"/>
    <w:rsid w:val="00721A58"/>
    <w:rsid w:val="00721C38"/>
    <w:rsid w:val="00721C4E"/>
    <w:rsid w:val="00721D37"/>
    <w:rsid w:val="00721DEB"/>
    <w:rsid w:val="00722152"/>
    <w:rsid w:val="0072266A"/>
    <w:rsid w:val="007228C0"/>
    <w:rsid w:val="00722A7F"/>
    <w:rsid w:val="00722ECE"/>
    <w:rsid w:val="007232B8"/>
    <w:rsid w:val="00723467"/>
    <w:rsid w:val="00723510"/>
    <w:rsid w:val="00723618"/>
    <w:rsid w:val="00724086"/>
    <w:rsid w:val="007242D4"/>
    <w:rsid w:val="00724436"/>
    <w:rsid w:val="00724B6F"/>
    <w:rsid w:val="00724E52"/>
    <w:rsid w:val="00725930"/>
    <w:rsid w:val="00725A45"/>
    <w:rsid w:val="00725D7C"/>
    <w:rsid w:val="00725F43"/>
    <w:rsid w:val="007261FC"/>
    <w:rsid w:val="007263A8"/>
    <w:rsid w:val="00726B64"/>
    <w:rsid w:val="00727059"/>
    <w:rsid w:val="007272BD"/>
    <w:rsid w:val="007276BC"/>
    <w:rsid w:val="00727872"/>
    <w:rsid w:val="0073083A"/>
    <w:rsid w:val="007321ED"/>
    <w:rsid w:val="00732367"/>
    <w:rsid w:val="007325BE"/>
    <w:rsid w:val="007325D0"/>
    <w:rsid w:val="00732C8C"/>
    <w:rsid w:val="0073301B"/>
    <w:rsid w:val="007332BB"/>
    <w:rsid w:val="007336A0"/>
    <w:rsid w:val="007336B1"/>
    <w:rsid w:val="00733CAA"/>
    <w:rsid w:val="00733FFD"/>
    <w:rsid w:val="007347ED"/>
    <w:rsid w:val="00734E5B"/>
    <w:rsid w:val="00735194"/>
    <w:rsid w:val="00735325"/>
    <w:rsid w:val="0073550D"/>
    <w:rsid w:val="00735815"/>
    <w:rsid w:val="007367C9"/>
    <w:rsid w:val="007369B8"/>
    <w:rsid w:val="00736FA9"/>
    <w:rsid w:val="007370D8"/>
    <w:rsid w:val="0073734C"/>
    <w:rsid w:val="00737521"/>
    <w:rsid w:val="00737671"/>
    <w:rsid w:val="00737C24"/>
    <w:rsid w:val="007403C6"/>
    <w:rsid w:val="0074069D"/>
    <w:rsid w:val="00740957"/>
    <w:rsid w:val="007409D3"/>
    <w:rsid w:val="00740A10"/>
    <w:rsid w:val="00740AD0"/>
    <w:rsid w:val="00741063"/>
    <w:rsid w:val="007425C8"/>
    <w:rsid w:val="00742670"/>
    <w:rsid w:val="0074273D"/>
    <w:rsid w:val="00742AEC"/>
    <w:rsid w:val="00742E88"/>
    <w:rsid w:val="00743E50"/>
    <w:rsid w:val="00744754"/>
    <w:rsid w:val="007448F6"/>
    <w:rsid w:val="00745205"/>
    <w:rsid w:val="007453CE"/>
    <w:rsid w:val="00745BF5"/>
    <w:rsid w:val="00746207"/>
    <w:rsid w:val="00746617"/>
    <w:rsid w:val="007467B8"/>
    <w:rsid w:val="00746EEE"/>
    <w:rsid w:val="00747184"/>
    <w:rsid w:val="0074758F"/>
    <w:rsid w:val="007476D9"/>
    <w:rsid w:val="00747A75"/>
    <w:rsid w:val="00750279"/>
    <w:rsid w:val="00750779"/>
    <w:rsid w:val="007507CC"/>
    <w:rsid w:val="00750AB3"/>
    <w:rsid w:val="00751525"/>
    <w:rsid w:val="007515B4"/>
    <w:rsid w:val="0075167D"/>
    <w:rsid w:val="0075174C"/>
    <w:rsid w:val="00751F56"/>
    <w:rsid w:val="00752151"/>
    <w:rsid w:val="0075230D"/>
    <w:rsid w:val="00752362"/>
    <w:rsid w:val="007523D8"/>
    <w:rsid w:val="00752B6E"/>
    <w:rsid w:val="00752DF3"/>
    <w:rsid w:val="00752F32"/>
    <w:rsid w:val="00753272"/>
    <w:rsid w:val="007538F3"/>
    <w:rsid w:val="007541D5"/>
    <w:rsid w:val="0075430F"/>
    <w:rsid w:val="007543B3"/>
    <w:rsid w:val="00754518"/>
    <w:rsid w:val="00754546"/>
    <w:rsid w:val="00755018"/>
    <w:rsid w:val="007557C0"/>
    <w:rsid w:val="0075605D"/>
    <w:rsid w:val="00756242"/>
    <w:rsid w:val="00756363"/>
    <w:rsid w:val="00756A60"/>
    <w:rsid w:val="007576D9"/>
    <w:rsid w:val="00757B0B"/>
    <w:rsid w:val="007604B2"/>
    <w:rsid w:val="007609B7"/>
    <w:rsid w:val="00760C2B"/>
    <w:rsid w:val="00760EC1"/>
    <w:rsid w:val="0076107D"/>
    <w:rsid w:val="00761472"/>
    <w:rsid w:val="00761520"/>
    <w:rsid w:val="00761AC6"/>
    <w:rsid w:val="00761E67"/>
    <w:rsid w:val="0076289D"/>
    <w:rsid w:val="00763792"/>
    <w:rsid w:val="00763F39"/>
    <w:rsid w:val="00763F64"/>
    <w:rsid w:val="0076419F"/>
    <w:rsid w:val="00764823"/>
    <w:rsid w:val="00764ACB"/>
    <w:rsid w:val="00764F00"/>
    <w:rsid w:val="00765474"/>
    <w:rsid w:val="00765E7E"/>
    <w:rsid w:val="00766287"/>
    <w:rsid w:val="007662D7"/>
    <w:rsid w:val="00766880"/>
    <w:rsid w:val="00766A94"/>
    <w:rsid w:val="00766D20"/>
    <w:rsid w:val="00767061"/>
    <w:rsid w:val="0076743D"/>
    <w:rsid w:val="00767563"/>
    <w:rsid w:val="00767C7E"/>
    <w:rsid w:val="00770773"/>
    <w:rsid w:val="00770A57"/>
    <w:rsid w:val="00770CCE"/>
    <w:rsid w:val="00771162"/>
    <w:rsid w:val="00771243"/>
    <w:rsid w:val="007713BF"/>
    <w:rsid w:val="00771FA1"/>
    <w:rsid w:val="0077249A"/>
    <w:rsid w:val="00772678"/>
    <w:rsid w:val="00772D5E"/>
    <w:rsid w:val="00773405"/>
    <w:rsid w:val="00773559"/>
    <w:rsid w:val="00773B04"/>
    <w:rsid w:val="00774507"/>
    <w:rsid w:val="00774BFB"/>
    <w:rsid w:val="00775062"/>
    <w:rsid w:val="00775BE2"/>
    <w:rsid w:val="007761D7"/>
    <w:rsid w:val="00776502"/>
    <w:rsid w:val="00776908"/>
    <w:rsid w:val="00776BA3"/>
    <w:rsid w:val="00776E14"/>
    <w:rsid w:val="00777A52"/>
    <w:rsid w:val="00777AF4"/>
    <w:rsid w:val="00777B29"/>
    <w:rsid w:val="00777DB8"/>
    <w:rsid w:val="00777EC2"/>
    <w:rsid w:val="00780191"/>
    <w:rsid w:val="0078076B"/>
    <w:rsid w:val="0078236A"/>
    <w:rsid w:val="00782891"/>
    <w:rsid w:val="00783465"/>
    <w:rsid w:val="00783D23"/>
    <w:rsid w:val="00784705"/>
    <w:rsid w:val="00784D2A"/>
    <w:rsid w:val="007854B3"/>
    <w:rsid w:val="00785548"/>
    <w:rsid w:val="0078562F"/>
    <w:rsid w:val="00785BB6"/>
    <w:rsid w:val="00785D54"/>
    <w:rsid w:val="00785DD2"/>
    <w:rsid w:val="00786743"/>
    <w:rsid w:val="0078675A"/>
    <w:rsid w:val="0078686C"/>
    <w:rsid w:val="00786C42"/>
    <w:rsid w:val="007877E8"/>
    <w:rsid w:val="007879D0"/>
    <w:rsid w:val="00787E09"/>
    <w:rsid w:val="00790F2B"/>
    <w:rsid w:val="00791051"/>
    <w:rsid w:val="00791240"/>
    <w:rsid w:val="007913A9"/>
    <w:rsid w:val="00791A38"/>
    <w:rsid w:val="00792082"/>
    <w:rsid w:val="007927C0"/>
    <w:rsid w:val="0079287E"/>
    <w:rsid w:val="00792E11"/>
    <w:rsid w:val="00792FE6"/>
    <w:rsid w:val="00793724"/>
    <w:rsid w:val="00793B7B"/>
    <w:rsid w:val="0079470E"/>
    <w:rsid w:val="0079545B"/>
    <w:rsid w:val="00795F3B"/>
    <w:rsid w:val="00796683"/>
    <w:rsid w:val="007967E7"/>
    <w:rsid w:val="00796949"/>
    <w:rsid w:val="00796D47"/>
    <w:rsid w:val="00796DD9"/>
    <w:rsid w:val="0079706A"/>
    <w:rsid w:val="007A02CB"/>
    <w:rsid w:val="007A0E8E"/>
    <w:rsid w:val="007A0F11"/>
    <w:rsid w:val="007A15EA"/>
    <w:rsid w:val="007A1619"/>
    <w:rsid w:val="007A1710"/>
    <w:rsid w:val="007A2468"/>
    <w:rsid w:val="007A2985"/>
    <w:rsid w:val="007A2D03"/>
    <w:rsid w:val="007A2DDA"/>
    <w:rsid w:val="007A32D5"/>
    <w:rsid w:val="007A368E"/>
    <w:rsid w:val="007A3716"/>
    <w:rsid w:val="007A3AD5"/>
    <w:rsid w:val="007A3CCF"/>
    <w:rsid w:val="007A3EF2"/>
    <w:rsid w:val="007A46A4"/>
    <w:rsid w:val="007A5A3D"/>
    <w:rsid w:val="007A65A4"/>
    <w:rsid w:val="007A6982"/>
    <w:rsid w:val="007A772A"/>
    <w:rsid w:val="007A792C"/>
    <w:rsid w:val="007A7C1B"/>
    <w:rsid w:val="007B08C8"/>
    <w:rsid w:val="007B0CA1"/>
    <w:rsid w:val="007B103E"/>
    <w:rsid w:val="007B1147"/>
    <w:rsid w:val="007B219B"/>
    <w:rsid w:val="007B24C5"/>
    <w:rsid w:val="007B2676"/>
    <w:rsid w:val="007B2955"/>
    <w:rsid w:val="007B2C47"/>
    <w:rsid w:val="007B3142"/>
    <w:rsid w:val="007B34CC"/>
    <w:rsid w:val="007B37E6"/>
    <w:rsid w:val="007B3BF7"/>
    <w:rsid w:val="007B4460"/>
    <w:rsid w:val="007B4735"/>
    <w:rsid w:val="007B47D4"/>
    <w:rsid w:val="007B4CEF"/>
    <w:rsid w:val="007B4D67"/>
    <w:rsid w:val="007B51A1"/>
    <w:rsid w:val="007B536E"/>
    <w:rsid w:val="007B56CF"/>
    <w:rsid w:val="007B5A39"/>
    <w:rsid w:val="007B62C0"/>
    <w:rsid w:val="007B62F2"/>
    <w:rsid w:val="007B67B6"/>
    <w:rsid w:val="007B6BCB"/>
    <w:rsid w:val="007B786B"/>
    <w:rsid w:val="007C027E"/>
    <w:rsid w:val="007C0A8A"/>
    <w:rsid w:val="007C1086"/>
    <w:rsid w:val="007C18EA"/>
    <w:rsid w:val="007C1DAE"/>
    <w:rsid w:val="007C22FA"/>
    <w:rsid w:val="007C2729"/>
    <w:rsid w:val="007C3B8B"/>
    <w:rsid w:val="007C3DA3"/>
    <w:rsid w:val="007C4D3D"/>
    <w:rsid w:val="007C4E17"/>
    <w:rsid w:val="007C5C2C"/>
    <w:rsid w:val="007C5F82"/>
    <w:rsid w:val="007C663C"/>
    <w:rsid w:val="007C71DE"/>
    <w:rsid w:val="007C7258"/>
    <w:rsid w:val="007C777B"/>
    <w:rsid w:val="007C77D6"/>
    <w:rsid w:val="007C7A5C"/>
    <w:rsid w:val="007C7EBF"/>
    <w:rsid w:val="007D0BA5"/>
    <w:rsid w:val="007D0D07"/>
    <w:rsid w:val="007D13FB"/>
    <w:rsid w:val="007D1CBA"/>
    <w:rsid w:val="007D2382"/>
    <w:rsid w:val="007D24D1"/>
    <w:rsid w:val="007D261E"/>
    <w:rsid w:val="007D284F"/>
    <w:rsid w:val="007D2F58"/>
    <w:rsid w:val="007D35AF"/>
    <w:rsid w:val="007D3676"/>
    <w:rsid w:val="007D39FC"/>
    <w:rsid w:val="007D3F4E"/>
    <w:rsid w:val="007D402D"/>
    <w:rsid w:val="007D4209"/>
    <w:rsid w:val="007D4515"/>
    <w:rsid w:val="007D50B1"/>
    <w:rsid w:val="007D5F29"/>
    <w:rsid w:val="007D63B4"/>
    <w:rsid w:val="007D6852"/>
    <w:rsid w:val="007D6C02"/>
    <w:rsid w:val="007D714B"/>
    <w:rsid w:val="007D7896"/>
    <w:rsid w:val="007D7EED"/>
    <w:rsid w:val="007E0824"/>
    <w:rsid w:val="007E0DC3"/>
    <w:rsid w:val="007E1053"/>
    <w:rsid w:val="007E165F"/>
    <w:rsid w:val="007E2130"/>
    <w:rsid w:val="007E247B"/>
    <w:rsid w:val="007E2AEB"/>
    <w:rsid w:val="007E2C66"/>
    <w:rsid w:val="007E313C"/>
    <w:rsid w:val="007E3182"/>
    <w:rsid w:val="007E31DC"/>
    <w:rsid w:val="007E356C"/>
    <w:rsid w:val="007E40A2"/>
    <w:rsid w:val="007E49F9"/>
    <w:rsid w:val="007E535B"/>
    <w:rsid w:val="007E5AFF"/>
    <w:rsid w:val="007E6117"/>
    <w:rsid w:val="007E639A"/>
    <w:rsid w:val="007E68DB"/>
    <w:rsid w:val="007E6C92"/>
    <w:rsid w:val="007E75B7"/>
    <w:rsid w:val="007E77B6"/>
    <w:rsid w:val="007E7CB6"/>
    <w:rsid w:val="007E7FD8"/>
    <w:rsid w:val="007F0031"/>
    <w:rsid w:val="007F14CF"/>
    <w:rsid w:val="007F14FD"/>
    <w:rsid w:val="007F1674"/>
    <w:rsid w:val="007F1776"/>
    <w:rsid w:val="007F2C07"/>
    <w:rsid w:val="007F2D3F"/>
    <w:rsid w:val="007F2E22"/>
    <w:rsid w:val="007F33FC"/>
    <w:rsid w:val="007F371E"/>
    <w:rsid w:val="007F42A9"/>
    <w:rsid w:val="007F4970"/>
    <w:rsid w:val="007F537D"/>
    <w:rsid w:val="007F57AF"/>
    <w:rsid w:val="007F5F3A"/>
    <w:rsid w:val="007F60BB"/>
    <w:rsid w:val="007F6873"/>
    <w:rsid w:val="007F6C1B"/>
    <w:rsid w:val="007F74A6"/>
    <w:rsid w:val="007F7D04"/>
    <w:rsid w:val="0080001D"/>
    <w:rsid w:val="00800A52"/>
    <w:rsid w:val="0080101C"/>
    <w:rsid w:val="00801347"/>
    <w:rsid w:val="00801675"/>
    <w:rsid w:val="008020A0"/>
    <w:rsid w:val="00802883"/>
    <w:rsid w:val="00802B5F"/>
    <w:rsid w:val="00802F5C"/>
    <w:rsid w:val="00803112"/>
    <w:rsid w:val="00803513"/>
    <w:rsid w:val="008039F8"/>
    <w:rsid w:val="00803D3F"/>
    <w:rsid w:val="0080445B"/>
    <w:rsid w:val="008047C1"/>
    <w:rsid w:val="00804CA2"/>
    <w:rsid w:val="00804D7D"/>
    <w:rsid w:val="0080524C"/>
    <w:rsid w:val="008058FB"/>
    <w:rsid w:val="00805D1D"/>
    <w:rsid w:val="00805DC8"/>
    <w:rsid w:val="0080601B"/>
    <w:rsid w:val="008060CF"/>
    <w:rsid w:val="008060D5"/>
    <w:rsid w:val="00810118"/>
    <w:rsid w:val="00811421"/>
    <w:rsid w:val="00811468"/>
    <w:rsid w:val="008115B4"/>
    <w:rsid w:val="0081260C"/>
    <w:rsid w:val="00812B19"/>
    <w:rsid w:val="00812EB9"/>
    <w:rsid w:val="00813B6E"/>
    <w:rsid w:val="00814104"/>
    <w:rsid w:val="008147C4"/>
    <w:rsid w:val="00814DCD"/>
    <w:rsid w:val="00814F5E"/>
    <w:rsid w:val="00815051"/>
    <w:rsid w:val="008150F8"/>
    <w:rsid w:val="0081561D"/>
    <w:rsid w:val="00815830"/>
    <w:rsid w:val="008161FD"/>
    <w:rsid w:val="00816AAB"/>
    <w:rsid w:val="00816B2F"/>
    <w:rsid w:val="00816E7B"/>
    <w:rsid w:val="008173B0"/>
    <w:rsid w:val="0081794A"/>
    <w:rsid w:val="00817CFA"/>
    <w:rsid w:val="00820346"/>
    <w:rsid w:val="00820E12"/>
    <w:rsid w:val="00820F39"/>
    <w:rsid w:val="00821860"/>
    <w:rsid w:val="00821B1B"/>
    <w:rsid w:val="0082318D"/>
    <w:rsid w:val="008236F8"/>
    <w:rsid w:val="00824420"/>
    <w:rsid w:val="008245DD"/>
    <w:rsid w:val="00825039"/>
    <w:rsid w:val="008253A8"/>
    <w:rsid w:val="00825554"/>
    <w:rsid w:val="00825D2A"/>
    <w:rsid w:val="00826786"/>
    <w:rsid w:val="00826AB8"/>
    <w:rsid w:val="00826D2E"/>
    <w:rsid w:val="00826FB0"/>
    <w:rsid w:val="00827455"/>
    <w:rsid w:val="00827DC1"/>
    <w:rsid w:val="00830064"/>
    <w:rsid w:val="008304F7"/>
    <w:rsid w:val="0083081A"/>
    <w:rsid w:val="008308B2"/>
    <w:rsid w:val="00830B18"/>
    <w:rsid w:val="00830D95"/>
    <w:rsid w:val="00831CDE"/>
    <w:rsid w:val="00831D1D"/>
    <w:rsid w:val="0083352D"/>
    <w:rsid w:val="00833682"/>
    <w:rsid w:val="00834147"/>
    <w:rsid w:val="0083566A"/>
    <w:rsid w:val="00835710"/>
    <w:rsid w:val="00836E82"/>
    <w:rsid w:val="00837572"/>
    <w:rsid w:val="0083764B"/>
    <w:rsid w:val="008379E4"/>
    <w:rsid w:val="00837B4C"/>
    <w:rsid w:val="00840233"/>
    <w:rsid w:val="008409C6"/>
    <w:rsid w:val="008409F3"/>
    <w:rsid w:val="00840BD9"/>
    <w:rsid w:val="00840D06"/>
    <w:rsid w:val="00841199"/>
    <w:rsid w:val="008412FB"/>
    <w:rsid w:val="00842297"/>
    <w:rsid w:val="008423BB"/>
    <w:rsid w:val="0084287E"/>
    <w:rsid w:val="00843CB1"/>
    <w:rsid w:val="00844184"/>
    <w:rsid w:val="00844242"/>
    <w:rsid w:val="0084541F"/>
    <w:rsid w:val="00845E1A"/>
    <w:rsid w:val="008464B5"/>
    <w:rsid w:val="00846510"/>
    <w:rsid w:val="00847338"/>
    <w:rsid w:val="00847345"/>
    <w:rsid w:val="00847392"/>
    <w:rsid w:val="00847CE2"/>
    <w:rsid w:val="008503F3"/>
    <w:rsid w:val="008509E5"/>
    <w:rsid w:val="00850A90"/>
    <w:rsid w:val="00851A75"/>
    <w:rsid w:val="00851B44"/>
    <w:rsid w:val="00852296"/>
    <w:rsid w:val="00852591"/>
    <w:rsid w:val="008533EB"/>
    <w:rsid w:val="00853B66"/>
    <w:rsid w:val="0085411E"/>
    <w:rsid w:val="0085436E"/>
    <w:rsid w:val="008543F0"/>
    <w:rsid w:val="00854535"/>
    <w:rsid w:val="00854701"/>
    <w:rsid w:val="00854803"/>
    <w:rsid w:val="0085482E"/>
    <w:rsid w:val="008557B6"/>
    <w:rsid w:val="00856229"/>
    <w:rsid w:val="008562B4"/>
    <w:rsid w:val="008568DB"/>
    <w:rsid w:val="008576DF"/>
    <w:rsid w:val="008578EB"/>
    <w:rsid w:val="00857A0D"/>
    <w:rsid w:val="00857B7D"/>
    <w:rsid w:val="008602EC"/>
    <w:rsid w:val="00860581"/>
    <w:rsid w:val="00860CD6"/>
    <w:rsid w:val="00860DD1"/>
    <w:rsid w:val="00861297"/>
    <w:rsid w:val="008615EE"/>
    <w:rsid w:val="0086163B"/>
    <w:rsid w:val="0086175A"/>
    <w:rsid w:val="0086209C"/>
    <w:rsid w:val="008623E8"/>
    <w:rsid w:val="00862440"/>
    <w:rsid w:val="008624DC"/>
    <w:rsid w:val="008625D0"/>
    <w:rsid w:val="0086270C"/>
    <w:rsid w:val="008628C9"/>
    <w:rsid w:val="008628DE"/>
    <w:rsid w:val="00862ED1"/>
    <w:rsid w:val="00862FD0"/>
    <w:rsid w:val="008635C1"/>
    <w:rsid w:val="008637FB"/>
    <w:rsid w:val="008650E2"/>
    <w:rsid w:val="008651EE"/>
    <w:rsid w:val="00865A80"/>
    <w:rsid w:val="00865FF0"/>
    <w:rsid w:val="00866430"/>
    <w:rsid w:val="0086670E"/>
    <w:rsid w:val="00867305"/>
    <w:rsid w:val="00867336"/>
    <w:rsid w:val="00867351"/>
    <w:rsid w:val="008677A1"/>
    <w:rsid w:val="00867A45"/>
    <w:rsid w:val="00867D5A"/>
    <w:rsid w:val="008700AE"/>
    <w:rsid w:val="008707DC"/>
    <w:rsid w:val="00870ADB"/>
    <w:rsid w:val="00870C8A"/>
    <w:rsid w:val="00871247"/>
    <w:rsid w:val="00871573"/>
    <w:rsid w:val="00871A27"/>
    <w:rsid w:val="00871CC2"/>
    <w:rsid w:val="00872DAC"/>
    <w:rsid w:val="00872ED4"/>
    <w:rsid w:val="008735ED"/>
    <w:rsid w:val="00873D06"/>
    <w:rsid w:val="00874A21"/>
    <w:rsid w:val="00874CCC"/>
    <w:rsid w:val="00874E25"/>
    <w:rsid w:val="008756E5"/>
    <w:rsid w:val="00875888"/>
    <w:rsid w:val="0087603C"/>
    <w:rsid w:val="008765C3"/>
    <w:rsid w:val="00876A38"/>
    <w:rsid w:val="00876AF7"/>
    <w:rsid w:val="00877363"/>
    <w:rsid w:val="00877759"/>
    <w:rsid w:val="0087792B"/>
    <w:rsid w:val="00880212"/>
    <w:rsid w:val="00880888"/>
    <w:rsid w:val="00880BC7"/>
    <w:rsid w:val="00882B80"/>
    <w:rsid w:val="008830F7"/>
    <w:rsid w:val="00883308"/>
    <w:rsid w:val="00883A06"/>
    <w:rsid w:val="00884067"/>
    <w:rsid w:val="0088453F"/>
    <w:rsid w:val="00884CCD"/>
    <w:rsid w:val="00884FD1"/>
    <w:rsid w:val="00885B55"/>
    <w:rsid w:val="00885F44"/>
    <w:rsid w:val="00886607"/>
    <w:rsid w:val="00886B89"/>
    <w:rsid w:val="00886BE3"/>
    <w:rsid w:val="00887AF2"/>
    <w:rsid w:val="0089108A"/>
    <w:rsid w:val="008921F2"/>
    <w:rsid w:val="0089265F"/>
    <w:rsid w:val="00893007"/>
    <w:rsid w:val="008930E5"/>
    <w:rsid w:val="00893E0C"/>
    <w:rsid w:val="00893E93"/>
    <w:rsid w:val="00894823"/>
    <w:rsid w:val="008948D2"/>
    <w:rsid w:val="00894F78"/>
    <w:rsid w:val="008950C5"/>
    <w:rsid w:val="008959A2"/>
    <w:rsid w:val="00896733"/>
    <w:rsid w:val="0089674A"/>
    <w:rsid w:val="0089699E"/>
    <w:rsid w:val="00896A97"/>
    <w:rsid w:val="00896C42"/>
    <w:rsid w:val="00896DB8"/>
    <w:rsid w:val="00896F38"/>
    <w:rsid w:val="008971F9"/>
    <w:rsid w:val="00897222"/>
    <w:rsid w:val="008976E6"/>
    <w:rsid w:val="00897D5E"/>
    <w:rsid w:val="008A0497"/>
    <w:rsid w:val="008A0F1C"/>
    <w:rsid w:val="008A1242"/>
    <w:rsid w:val="008A1FE9"/>
    <w:rsid w:val="008A201F"/>
    <w:rsid w:val="008A205B"/>
    <w:rsid w:val="008A226F"/>
    <w:rsid w:val="008A278C"/>
    <w:rsid w:val="008A2867"/>
    <w:rsid w:val="008A2D41"/>
    <w:rsid w:val="008A3257"/>
    <w:rsid w:val="008A33CA"/>
    <w:rsid w:val="008A3411"/>
    <w:rsid w:val="008A3513"/>
    <w:rsid w:val="008A36E3"/>
    <w:rsid w:val="008A39D8"/>
    <w:rsid w:val="008A4660"/>
    <w:rsid w:val="008A4A78"/>
    <w:rsid w:val="008A4DEB"/>
    <w:rsid w:val="008A4DEF"/>
    <w:rsid w:val="008A5598"/>
    <w:rsid w:val="008A57A1"/>
    <w:rsid w:val="008A5CB4"/>
    <w:rsid w:val="008A5F31"/>
    <w:rsid w:val="008A604B"/>
    <w:rsid w:val="008A6071"/>
    <w:rsid w:val="008A6975"/>
    <w:rsid w:val="008A6C8F"/>
    <w:rsid w:val="008A6E12"/>
    <w:rsid w:val="008A71AF"/>
    <w:rsid w:val="008A7311"/>
    <w:rsid w:val="008A7775"/>
    <w:rsid w:val="008B07B9"/>
    <w:rsid w:val="008B0ABA"/>
    <w:rsid w:val="008B0B15"/>
    <w:rsid w:val="008B0B55"/>
    <w:rsid w:val="008B0B71"/>
    <w:rsid w:val="008B0CDF"/>
    <w:rsid w:val="008B104B"/>
    <w:rsid w:val="008B125F"/>
    <w:rsid w:val="008B152E"/>
    <w:rsid w:val="008B157E"/>
    <w:rsid w:val="008B15B8"/>
    <w:rsid w:val="008B15E6"/>
    <w:rsid w:val="008B18F8"/>
    <w:rsid w:val="008B1CC3"/>
    <w:rsid w:val="008B1D0B"/>
    <w:rsid w:val="008B2631"/>
    <w:rsid w:val="008B2DF7"/>
    <w:rsid w:val="008B3598"/>
    <w:rsid w:val="008B4212"/>
    <w:rsid w:val="008B4728"/>
    <w:rsid w:val="008B52A0"/>
    <w:rsid w:val="008B561A"/>
    <w:rsid w:val="008B580C"/>
    <w:rsid w:val="008B5DD7"/>
    <w:rsid w:val="008B6442"/>
    <w:rsid w:val="008C0007"/>
    <w:rsid w:val="008C036D"/>
    <w:rsid w:val="008C0678"/>
    <w:rsid w:val="008C122F"/>
    <w:rsid w:val="008C15DB"/>
    <w:rsid w:val="008C1B52"/>
    <w:rsid w:val="008C1D9A"/>
    <w:rsid w:val="008C1EAA"/>
    <w:rsid w:val="008C2063"/>
    <w:rsid w:val="008C2C0D"/>
    <w:rsid w:val="008C33E9"/>
    <w:rsid w:val="008C3441"/>
    <w:rsid w:val="008C389A"/>
    <w:rsid w:val="008C4165"/>
    <w:rsid w:val="008C42B3"/>
    <w:rsid w:val="008C42C8"/>
    <w:rsid w:val="008C44D9"/>
    <w:rsid w:val="008C49C1"/>
    <w:rsid w:val="008C4A39"/>
    <w:rsid w:val="008C4B82"/>
    <w:rsid w:val="008C53B7"/>
    <w:rsid w:val="008C5AB1"/>
    <w:rsid w:val="008C5C72"/>
    <w:rsid w:val="008C5DBD"/>
    <w:rsid w:val="008C60C1"/>
    <w:rsid w:val="008C67DF"/>
    <w:rsid w:val="008C690A"/>
    <w:rsid w:val="008C6928"/>
    <w:rsid w:val="008C6B24"/>
    <w:rsid w:val="008C6DEC"/>
    <w:rsid w:val="008C73F6"/>
    <w:rsid w:val="008C7C7D"/>
    <w:rsid w:val="008D0133"/>
    <w:rsid w:val="008D08AE"/>
    <w:rsid w:val="008D0DEF"/>
    <w:rsid w:val="008D180C"/>
    <w:rsid w:val="008D23EA"/>
    <w:rsid w:val="008D2A1C"/>
    <w:rsid w:val="008D2A74"/>
    <w:rsid w:val="008D2D42"/>
    <w:rsid w:val="008D3226"/>
    <w:rsid w:val="008D34F8"/>
    <w:rsid w:val="008D3714"/>
    <w:rsid w:val="008D392B"/>
    <w:rsid w:val="008D3AE4"/>
    <w:rsid w:val="008D40CD"/>
    <w:rsid w:val="008D4337"/>
    <w:rsid w:val="008D46C5"/>
    <w:rsid w:val="008D46FC"/>
    <w:rsid w:val="008D4B4E"/>
    <w:rsid w:val="008D59A9"/>
    <w:rsid w:val="008D5DBD"/>
    <w:rsid w:val="008D647B"/>
    <w:rsid w:val="008D66AB"/>
    <w:rsid w:val="008D723F"/>
    <w:rsid w:val="008D7772"/>
    <w:rsid w:val="008D79BB"/>
    <w:rsid w:val="008D7D6D"/>
    <w:rsid w:val="008D7E76"/>
    <w:rsid w:val="008E0256"/>
    <w:rsid w:val="008E1103"/>
    <w:rsid w:val="008E1FA1"/>
    <w:rsid w:val="008E244C"/>
    <w:rsid w:val="008E2653"/>
    <w:rsid w:val="008E2EF1"/>
    <w:rsid w:val="008E3497"/>
    <w:rsid w:val="008E36A0"/>
    <w:rsid w:val="008E3B65"/>
    <w:rsid w:val="008E3D4D"/>
    <w:rsid w:val="008E42DE"/>
    <w:rsid w:val="008E4760"/>
    <w:rsid w:val="008E478A"/>
    <w:rsid w:val="008E47EE"/>
    <w:rsid w:val="008E4E9F"/>
    <w:rsid w:val="008E4EB8"/>
    <w:rsid w:val="008E50F3"/>
    <w:rsid w:val="008E5475"/>
    <w:rsid w:val="008E550A"/>
    <w:rsid w:val="008E5961"/>
    <w:rsid w:val="008E59D4"/>
    <w:rsid w:val="008E5FB0"/>
    <w:rsid w:val="008E634F"/>
    <w:rsid w:val="008E6991"/>
    <w:rsid w:val="008E7F2A"/>
    <w:rsid w:val="008F0393"/>
    <w:rsid w:val="008F05C8"/>
    <w:rsid w:val="008F0CE2"/>
    <w:rsid w:val="008F1315"/>
    <w:rsid w:val="008F24B8"/>
    <w:rsid w:val="008F254A"/>
    <w:rsid w:val="008F26C6"/>
    <w:rsid w:val="008F288A"/>
    <w:rsid w:val="008F2A75"/>
    <w:rsid w:val="008F30C7"/>
    <w:rsid w:val="008F382E"/>
    <w:rsid w:val="008F408C"/>
    <w:rsid w:val="008F4747"/>
    <w:rsid w:val="008F477D"/>
    <w:rsid w:val="008F5074"/>
    <w:rsid w:val="008F5624"/>
    <w:rsid w:val="008F58E9"/>
    <w:rsid w:val="008F5C30"/>
    <w:rsid w:val="008F5F59"/>
    <w:rsid w:val="008F626A"/>
    <w:rsid w:val="008F63F0"/>
    <w:rsid w:val="008F67D2"/>
    <w:rsid w:val="008F68F8"/>
    <w:rsid w:val="008F6946"/>
    <w:rsid w:val="008F6958"/>
    <w:rsid w:val="008F7281"/>
    <w:rsid w:val="008F72DD"/>
    <w:rsid w:val="008F750E"/>
    <w:rsid w:val="008F79CC"/>
    <w:rsid w:val="008F7C24"/>
    <w:rsid w:val="008F7C57"/>
    <w:rsid w:val="009000A1"/>
    <w:rsid w:val="00901479"/>
    <w:rsid w:val="009018A3"/>
    <w:rsid w:val="00902656"/>
    <w:rsid w:val="00902E4C"/>
    <w:rsid w:val="00902F60"/>
    <w:rsid w:val="00903925"/>
    <w:rsid w:val="00903FAA"/>
    <w:rsid w:val="00904581"/>
    <w:rsid w:val="00905364"/>
    <w:rsid w:val="009054C3"/>
    <w:rsid w:val="009057B8"/>
    <w:rsid w:val="009059B3"/>
    <w:rsid w:val="00905A3C"/>
    <w:rsid w:val="00905A46"/>
    <w:rsid w:val="00906481"/>
    <w:rsid w:val="009064A3"/>
    <w:rsid w:val="00906729"/>
    <w:rsid w:val="009068E3"/>
    <w:rsid w:val="00906D22"/>
    <w:rsid w:val="00907168"/>
    <w:rsid w:val="009077B7"/>
    <w:rsid w:val="00907BB5"/>
    <w:rsid w:val="00910180"/>
    <w:rsid w:val="00910E89"/>
    <w:rsid w:val="00911045"/>
    <w:rsid w:val="009111D4"/>
    <w:rsid w:val="009119B4"/>
    <w:rsid w:val="00911E38"/>
    <w:rsid w:val="00911FA4"/>
    <w:rsid w:val="00912944"/>
    <w:rsid w:val="0091352B"/>
    <w:rsid w:val="0091352E"/>
    <w:rsid w:val="0091388B"/>
    <w:rsid w:val="009139DB"/>
    <w:rsid w:val="00913BA7"/>
    <w:rsid w:val="00913DC3"/>
    <w:rsid w:val="00914340"/>
    <w:rsid w:val="009148C3"/>
    <w:rsid w:val="009152C0"/>
    <w:rsid w:val="00915803"/>
    <w:rsid w:val="00915B5F"/>
    <w:rsid w:val="00916D67"/>
    <w:rsid w:val="0091704E"/>
    <w:rsid w:val="0091766F"/>
    <w:rsid w:val="00920AD5"/>
    <w:rsid w:val="00920D0A"/>
    <w:rsid w:val="0092155F"/>
    <w:rsid w:val="00921A86"/>
    <w:rsid w:val="00921FF3"/>
    <w:rsid w:val="0092262C"/>
    <w:rsid w:val="00922F1C"/>
    <w:rsid w:val="009238B8"/>
    <w:rsid w:val="00923A6E"/>
    <w:rsid w:val="00923C2D"/>
    <w:rsid w:val="00923DF9"/>
    <w:rsid w:val="00923E9F"/>
    <w:rsid w:val="00923FB4"/>
    <w:rsid w:val="0092443A"/>
    <w:rsid w:val="00924A81"/>
    <w:rsid w:val="00925589"/>
    <w:rsid w:val="00925846"/>
    <w:rsid w:val="0092599C"/>
    <w:rsid w:val="009262C4"/>
    <w:rsid w:val="009268C9"/>
    <w:rsid w:val="00926CEC"/>
    <w:rsid w:val="009277DE"/>
    <w:rsid w:val="00927844"/>
    <w:rsid w:val="009279CF"/>
    <w:rsid w:val="00927D60"/>
    <w:rsid w:val="00930161"/>
    <w:rsid w:val="00930465"/>
    <w:rsid w:val="0093049A"/>
    <w:rsid w:val="009304E3"/>
    <w:rsid w:val="0093094C"/>
    <w:rsid w:val="00930AE6"/>
    <w:rsid w:val="00930CA4"/>
    <w:rsid w:val="00930EFD"/>
    <w:rsid w:val="0093104C"/>
    <w:rsid w:val="00931114"/>
    <w:rsid w:val="0093120C"/>
    <w:rsid w:val="0093130F"/>
    <w:rsid w:val="00931910"/>
    <w:rsid w:val="009324C7"/>
    <w:rsid w:val="009338AD"/>
    <w:rsid w:val="009338C2"/>
    <w:rsid w:val="00933D43"/>
    <w:rsid w:val="009343A3"/>
    <w:rsid w:val="00934609"/>
    <w:rsid w:val="0093491C"/>
    <w:rsid w:val="00934A6A"/>
    <w:rsid w:val="00934DDE"/>
    <w:rsid w:val="009350AB"/>
    <w:rsid w:val="00935477"/>
    <w:rsid w:val="0093552E"/>
    <w:rsid w:val="00935EDF"/>
    <w:rsid w:val="0093624F"/>
    <w:rsid w:val="00936569"/>
    <w:rsid w:val="00936A95"/>
    <w:rsid w:val="00937ADF"/>
    <w:rsid w:val="0094011D"/>
    <w:rsid w:val="0094031C"/>
    <w:rsid w:val="0094032B"/>
    <w:rsid w:val="00940FA8"/>
    <w:rsid w:val="00941518"/>
    <w:rsid w:val="00941848"/>
    <w:rsid w:val="00941A21"/>
    <w:rsid w:val="00942CCE"/>
    <w:rsid w:val="00942F78"/>
    <w:rsid w:val="00943589"/>
    <w:rsid w:val="00943971"/>
    <w:rsid w:val="00943FAE"/>
    <w:rsid w:val="0094424D"/>
    <w:rsid w:val="00945151"/>
    <w:rsid w:val="0094594C"/>
    <w:rsid w:val="00945B2F"/>
    <w:rsid w:val="009460A2"/>
    <w:rsid w:val="009463B1"/>
    <w:rsid w:val="0094690B"/>
    <w:rsid w:val="00946AE6"/>
    <w:rsid w:val="00947402"/>
    <w:rsid w:val="009477EC"/>
    <w:rsid w:val="009507AC"/>
    <w:rsid w:val="00950987"/>
    <w:rsid w:val="00951329"/>
    <w:rsid w:val="00951A40"/>
    <w:rsid w:val="0095246E"/>
    <w:rsid w:val="00952A1E"/>
    <w:rsid w:val="0095346E"/>
    <w:rsid w:val="00953557"/>
    <w:rsid w:val="00953D90"/>
    <w:rsid w:val="0095410C"/>
    <w:rsid w:val="0095419C"/>
    <w:rsid w:val="009542FF"/>
    <w:rsid w:val="009543F5"/>
    <w:rsid w:val="00954B29"/>
    <w:rsid w:val="00955732"/>
    <w:rsid w:val="00955C2F"/>
    <w:rsid w:val="00955F60"/>
    <w:rsid w:val="0095639C"/>
    <w:rsid w:val="00956669"/>
    <w:rsid w:val="00957D0B"/>
    <w:rsid w:val="00957F49"/>
    <w:rsid w:val="00957F95"/>
    <w:rsid w:val="009600D2"/>
    <w:rsid w:val="009601C5"/>
    <w:rsid w:val="009605BA"/>
    <w:rsid w:val="00960FBD"/>
    <w:rsid w:val="00961245"/>
    <w:rsid w:val="0096184F"/>
    <w:rsid w:val="00961C98"/>
    <w:rsid w:val="00961E9E"/>
    <w:rsid w:val="00961FE7"/>
    <w:rsid w:val="0096224F"/>
    <w:rsid w:val="009624EA"/>
    <w:rsid w:val="009629C9"/>
    <w:rsid w:val="009633E7"/>
    <w:rsid w:val="00963866"/>
    <w:rsid w:val="0096387B"/>
    <w:rsid w:val="00963AE2"/>
    <w:rsid w:val="00963D27"/>
    <w:rsid w:val="009642EF"/>
    <w:rsid w:val="009648D3"/>
    <w:rsid w:val="00964DB8"/>
    <w:rsid w:val="00965067"/>
    <w:rsid w:val="00965699"/>
    <w:rsid w:val="00965806"/>
    <w:rsid w:val="009659AE"/>
    <w:rsid w:val="00965FB2"/>
    <w:rsid w:val="009660A4"/>
    <w:rsid w:val="00966391"/>
    <w:rsid w:val="009665CA"/>
    <w:rsid w:val="00966895"/>
    <w:rsid w:val="00966DF7"/>
    <w:rsid w:val="00967340"/>
    <w:rsid w:val="00967746"/>
    <w:rsid w:val="00967765"/>
    <w:rsid w:val="00967782"/>
    <w:rsid w:val="00967F09"/>
    <w:rsid w:val="00970248"/>
    <w:rsid w:val="00970594"/>
    <w:rsid w:val="009705CC"/>
    <w:rsid w:val="009707BF"/>
    <w:rsid w:val="00970872"/>
    <w:rsid w:val="0097097E"/>
    <w:rsid w:val="00970A99"/>
    <w:rsid w:val="00970C29"/>
    <w:rsid w:val="009710C1"/>
    <w:rsid w:val="009714AB"/>
    <w:rsid w:val="00971CF0"/>
    <w:rsid w:val="00972119"/>
    <w:rsid w:val="009723B7"/>
    <w:rsid w:val="00972C66"/>
    <w:rsid w:val="009730E8"/>
    <w:rsid w:val="00973380"/>
    <w:rsid w:val="009733B3"/>
    <w:rsid w:val="009739B7"/>
    <w:rsid w:val="0097414C"/>
    <w:rsid w:val="009746B4"/>
    <w:rsid w:val="00974B58"/>
    <w:rsid w:val="009753AF"/>
    <w:rsid w:val="00975513"/>
    <w:rsid w:val="0097653D"/>
    <w:rsid w:val="009766B5"/>
    <w:rsid w:val="00976ACF"/>
    <w:rsid w:val="00976B6A"/>
    <w:rsid w:val="00977892"/>
    <w:rsid w:val="00980054"/>
    <w:rsid w:val="00980205"/>
    <w:rsid w:val="00981214"/>
    <w:rsid w:val="00981D9B"/>
    <w:rsid w:val="009824AD"/>
    <w:rsid w:val="0098279B"/>
    <w:rsid w:val="009829EC"/>
    <w:rsid w:val="00982A98"/>
    <w:rsid w:val="00982B8B"/>
    <w:rsid w:val="00983158"/>
    <w:rsid w:val="009842BE"/>
    <w:rsid w:val="00984738"/>
    <w:rsid w:val="00985168"/>
    <w:rsid w:val="0098535D"/>
    <w:rsid w:val="009853F0"/>
    <w:rsid w:val="009854DE"/>
    <w:rsid w:val="0098561F"/>
    <w:rsid w:val="00986587"/>
    <w:rsid w:val="009868AA"/>
    <w:rsid w:val="009868DD"/>
    <w:rsid w:val="00986A2A"/>
    <w:rsid w:val="00987168"/>
    <w:rsid w:val="0098747B"/>
    <w:rsid w:val="00987AD7"/>
    <w:rsid w:val="009900E8"/>
    <w:rsid w:val="009903A4"/>
    <w:rsid w:val="00990C93"/>
    <w:rsid w:val="00990DE6"/>
    <w:rsid w:val="00990FAA"/>
    <w:rsid w:val="00991009"/>
    <w:rsid w:val="00991120"/>
    <w:rsid w:val="00993571"/>
    <w:rsid w:val="00994631"/>
    <w:rsid w:val="0099463B"/>
    <w:rsid w:val="00994989"/>
    <w:rsid w:val="00994E53"/>
    <w:rsid w:val="00995136"/>
    <w:rsid w:val="00995F8C"/>
    <w:rsid w:val="0099604D"/>
    <w:rsid w:val="00996B76"/>
    <w:rsid w:val="00996BC4"/>
    <w:rsid w:val="00997105"/>
    <w:rsid w:val="009971DD"/>
    <w:rsid w:val="00997872"/>
    <w:rsid w:val="00997AC6"/>
    <w:rsid w:val="00997CC1"/>
    <w:rsid w:val="00997CDA"/>
    <w:rsid w:val="00997EE8"/>
    <w:rsid w:val="009A01F7"/>
    <w:rsid w:val="009A0794"/>
    <w:rsid w:val="009A0D1E"/>
    <w:rsid w:val="009A0DAE"/>
    <w:rsid w:val="009A169D"/>
    <w:rsid w:val="009A1A08"/>
    <w:rsid w:val="009A1E20"/>
    <w:rsid w:val="009A1EEF"/>
    <w:rsid w:val="009A2640"/>
    <w:rsid w:val="009A277B"/>
    <w:rsid w:val="009A2C98"/>
    <w:rsid w:val="009A2E6F"/>
    <w:rsid w:val="009A3A71"/>
    <w:rsid w:val="009A3F67"/>
    <w:rsid w:val="009A40F6"/>
    <w:rsid w:val="009A497D"/>
    <w:rsid w:val="009A498D"/>
    <w:rsid w:val="009A5066"/>
    <w:rsid w:val="009A529C"/>
    <w:rsid w:val="009A549F"/>
    <w:rsid w:val="009A5A3D"/>
    <w:rsid w:val="009A5EB3"/>
    <w:rsid w:val="009A5F15"/>
    <w:rsid w:val="009A656D"/>
    <w:rsid w:val="009A6693"/>
    <w:rsid w:val="009A6CFE"/>
    <w:rsid w:val="009A761B"/>
    <w:rsid w:val="009A7C40"/>
    <w:rsid w:val="009B0004"/>
    <w:rsid w:val="009B02CE"/>
    <w:rsid w:val="009B04CF"/>
    <w:rsid w:val="009B0808"/>
    <w:rsid w:val="009B086B"/>
    <w:rsid w:val="009B0904"/>
    <w:rsid w:val="009B1062"/>
    <w:rsid w:val="009B1170"/>
    <w:rsid w:val="009B1473"/>
    <w:rsid w:val="009B176B"/>
    <w:rsid w:val="009B178F"/>
    <w:rsid w:val="009B1BFA"/>
    <w:rsid w:val="009B1CEE"/>
    <w:rsid w:val="009B1FA8"/>
    <w:rsid w:val="009B2026"/>
    <w:rsid w:val="009B2127"/>
    <w:rsid w:val="009B218E"/>
    <w:rsid w:val="009B2377"/>
    <w:rsid w:val="009B2546"/>
    <w:rsid w:val="009B2C05"/>
    <w:rsid w:val="009B3B2D"/>
    <w:rsid w:val="009B3D60"/>
    <w:rsid w:val="009B4D55"/>
    <w:rsid w:val="009B5310"/>
    <w:rsid w:val="009B570B"/>
    <w:rsid w:val="009B637C"/>
    <w:rsid w:val="009B67AF"/>
    <w:rsid w:val="009B6817"/>
    <w:rsid w:val="009B6ABD"/>
    <w:rsid w:val="009B6C2E"/>
    <w:rsid w:val="009B7187"/>
    <w:rsid w:val="009B7644"/>
    <w:rsid w:val="009B7871"/>
    <w:rsid w:val="009B7899"/>
    <w:rsid w:val="009B7924"/>
    <w:rsid w:val="009B7BC6"/>
    <w:rsid w:val="009C050B"/>
    <w:rsid w:val="009C05BE"/>
    <w:rsid w:val="009C155E"/>
    <w:rsid w:val="009C18A6"/>
    <w:rsid w:val="009C2733"/>
    <w:rsid w:val="009C2D67"/>
    <w:rsid w:val="009C302D"/>
    <w:rsid w:val="009C37DE"/>
    <w:rsid w:val="009C38D4"/>
    <w:rsid w:val="009C3909"/>
    <w:rsid w:val="009C39B9"/>
    <w:rsid w:val="009C3A31"/>
    <w:rsid w:val="009C3DF1"/>
    <w:rsid w:val="009C4791"/>
    <w:rsid w:val="009C4D38"/>
    <w:rsid w:val="009C4E41"/>
    <w:rsid w:val="009C51D3"/>
    <w:rsid w:val="009C56D5"/>
    <w:rsid w:val="009C5A3F"/>
    <w:rsid w:val="009C5D2B"/>
    <w:rsid w:val="009C6A21"/>
    <w:rsid w:val="009C6E92"/>
    <w:rsid w:val="009C7357"/>
    <w:rsid w:val="009C73F2"/>
    <w:rsid w:val="009C75CF"/>
    <w:rsid w:val="009C7CE0"/>
    <w:rsid w:val="009C7D06"/>
    <w:rsid w:val="009D0350"/>
    <w:rsid w:val="009D15F7"/>
    <w:rsid w:val="009D16BF"/>
    <w:rsid w:val="009D1DE0"/>
    <w:rsid w:val="009D228E"/>
    <w:rsid w:val="009D2524"/>
    <w:rsid w:val="009D2BBE"/>
    <w:rsid w:val="009D2CF4"/>
    <w:rsid w:val="009D2E74"/>
    <w:rsid w:val="009D33B7"/>
    <w:rsid w:val="009D3969"/>
    <w:rsid w:val="009D4031"/>
    <w:rsid w:val="009D4A5E"/>
    <w:rsid w:val="009D4DBD"/>
    <w:rsid w:val="009D5213"/>
    <w:rsid w:val="009D562E"/>
    <w:rsid w:val="009D5D02"/>
    <w:rsid w:val="009D63AB"/>
    <w:rsid w:val="009D662A"/>
    <w:rsid w:val="009D6C74"/>
    <w:rsid w:val="009D7C24"/>
    <w:rsid w:val="009E0254"/>
    <w:rsid w:val="009E0D04"/>
    <w:rsid w:val="009E1624"/>
    <w:rsid w:val="009E1D16"/>
    <w:rsid w:val="009E1DDC"/>
    <w:rsid w:val="009E1F74"/>
    <w:rsid w:val="009E4AA6"/>
    <w:rsid w:val="009E4D09"/>
    <w:rsid w:val="009E4EB2"/>
    <w:rsid w:val="009E5D66"/>
    <w:rsid w:val="009E5E10"/>
    <w:rsid w:val="009E6732"/>
    <w:rsid w:val="009E699F"/>
    <w:rsid w:val="009E7941"/>
    <w:rsid w:val="009E7988"/>
    <w:rsid w:val="009E7B5D"/>
    <w:rsid w:val="009F025A"/>
    <w:rsid w:val="009F09A9"/>
    <w:rsid w:val="009F0A9C"/>
    <w:rsid w:val="009F0C46"/>
    <w:rsid w:val="009F1012"/>
    <w:rsid w:val="009F1489"/>
    <w:rsid w:val="009F2109"/>
    <w:rsid w:val="009F39AD"/>
    <w:rsid w:val="009F3D00"/>
    <w:rsid w:val="009F4B00"/>
    <w:rsid w:val="009F4F80"/>
    <w:rsid w:val="009F50E3"/>
    <w:rsid w:val="009F560A"/>
    <w:rsid w:val="009F606D"/>
    <w:rsid w:val="009F70B6"/>
    <w:rsid w:val="009F75A7"/>
    <w:rsid w:val="009F76D7"/>
    <w:rsid w:val="009F7A6C"/>
    <w:rsid w:val="009F7AB1"/>
    <w:rsid w:val="009F7E58"/>
    <w:rsid w:val="009F7F92"/>
    <w:rsid w:val="00A000F8"/>
    <w:rsid w:val="00A003CB"/>
    <w:rsid w:val="00A0090A"/>
    <w:rsid w:val="00A00A9D"/>
    <w:rsid w:val="00A018F1"/>
    <w:rsid w:val="00A021F2"/>
    <w:rsid w:val="00A037ED"/>
    <w:rsid w:val="00A0396E"/>
    <w:rsid w:val="00A052CD"/>
    <w:rsid w:val="00A05C88"/>
    <w:rsid w:val="00A066D5"/>
    <w:rsid w:val="00A069A1"/>
    <w:rsid w:val="00A069E6"/>
    <w:rsid w:val="00A06BB3"/>
    <w:rsid w:val="00A06EDA"/>
    <w:rsid w:val="00A06FBD"/>
    <w:rsid w:val="00A0702D"/>
    <w:rsid w:val="00A0724A"/>
    <w:rsid w:val="00A07ED1"/>
    <w:rsid w:val="00A101B4"/>
    <w:rsid w:val="00A10966"/>
    <w:rsid w:val="00A10C40"/>
    <w:rsid w:val="00A1139B"/>
    <w:rsid w:val="00A117C6"/>
    <w:rsid w:val="00A11A78"/>
    <w:rsid w:val="00A12116"/>
    <w:rsid w:val="00A121C2"/>
    <w:rsid w:val="00A12370"/>
    <w:rsid w:val="00A123E8"/>
    <w:rsid w:val="00A12406"/>
    <w:rsid w:val="00A124B5"/>
    <w:rsid w:val="00A129D6"/>
    <w:rsid w:val="00A13209"/>
    <w:rsid w:val="00A141A9"/>
    <w:rsid w:val="00A14270"/>
    <w:rsid w:val="00A14314"/>
    <w:rsid w:val="00A14429"/>
    <w:rsid w:val="00A150DD"/>
    <w:rsid w:val="00A151A2"/>
    <w:rsid w:val="00A15549"/>
    <w:rsid w:val="00A1616A"/>
    <w:rsid w:val="00A163BB"/>
    <w:rsid w:val="00A16AE8"/>
    <w:rsid w:val="00A16BB7"/>
    <w:rsid w:val="00A16CB0"/>
    <w:rsid w:val="00A17014"/>
    <w:rsid w:val="00A1728D"/>
    <w:rsid w:val="00A179D3"/>
    <w:rsid w:val="00A2024D"/>
    <w:rsid w:val="00A202C0"/>
    <w:rsid w:val="00A213E5"/>
    <w:rsid w:val="00A215A1"/>
    <w:rsid w:val="00A219AB"/>
    <w:rsid w:val="00A21A34"/>
    <w:rsid w:val="00A21C7B"/>
    <w:rsid w:val="00A221A8"/>
    <w:rsid w:val="00A22318"/>
    <w:rsid w:val="00A226B2"/>
    <w:rsid w:val="00A22C29"/>
    <w:rsid w:val="00A22FFB"/>
    <w:rsid w:val="00A231A2"/>
    <w:rsid w:val="00A234C2"/>
    <w:rsid w:val="00A2387F"/>
    <w:rsid w:val="00A23CA6"/>
    <w:rsid w:val="00A2534A"/>
    <w:rsid w:val="00A25A22"/>
    <w:rsid w:val="00A25C6C"/>
    <w:rsid w:val="00A25FC5"/>
    <w:rsid w:val="00A2616A"/>
    <w:rsid w:val="00A268E0"/>
    <w:rsid w:val="00A268F8"/>
    <w:rsid w:val="00A27CCB"/>
    <w:rsid w:val="00A27D55"/>
    <w:rsid w:val="00A27D5F"/>
    <w:rsid w:val="00A27E64"/>
    <w:rsid w:val="00A27FCD"/>
    <w:rsid w:val="00A301AA"/>
    <w:rsid w:val="00A30939"/>
    <w:rsid w:val="00A30A09"/>
    <w:rsid w:val="00A30E01"/>
    <w:rsid w:val="00A31263"/>
    <w:rsid w:val="00A31AB4"/>
    <w:rsid w:val="00A31C72"/>
    <w:rsid w:val="00A31DC0"/>
    <w:rsid w:val="00A31E84"/>
    <w:rsid w:val="00A328A3"/>
    <w:rsid w:val="00A32A7B"/>
    <w:rsid w:val="00A32F57"/>
    <w:rsid w:val="00A33705"/>
    <w:rsid w:val="00A33ADB"/>
    <w:rsid w:val="00A33F4A"/>
    <w:rsid w:val="00A34127"/>
    <w:rsid w:val="00A3419B"/>
    <w:rsid w:val="00A34359"/>
    <w:rsid w:val="00A343C9"/>
    <w:rsid w:val="00A34FD9"/>
    <w:rsid w:val="00A350F8"/>
    <w:rsid w:val="00A35B46"/>
    <w:rsid w:val="00A35C68"/>
    <w:rsid w:val="00A35DA7"/>
    <w:rsid w:val="00A360C2"/>
    <w:rsid w:val="00A36138"/>
    <w:rsid w:val="00A363FD"/>
    <w:rsid w:val="00A36714"/>
    <w:rsid w:val="00A37680"/>
    <w:rsid w:val="00A37A1C"/>
    <w:rsid w:val="00A4001D"/>
    <w:rsid w:val="00A40219"/>
    <w:rsid w:val="00A40535"/>
    <w:rsid w:val="00A40559"/>
    <w:rsid w:val="00A40A91"/>
    <w:rsid w:val="00A40D82"/>
    <w:rsid w:val="00A40D8D"/>
    <w:rsid w:val="00A40FE8"/>
    <w:rsid w:val="00A415D1"/>
    <w:rsid w:val="00A41A7E"/>
    <w:rsid w:val="00A424D1"/>
    <w:rsid w:val="00A4287E"/>
    <w:rsid w:val="00A42FB6"/>
    <w:rsid w:val="00A430B7"/>
    <w:rsid w:val="00A4399A"/>
    <w:rsid w:val="00A44C21"/>
    <w:rsid w:val="00A44CE9"/>
    <w:rsid w:val="00A44FE3"/>
    <w:rsid w:val="00A456B4"/>
    <w:rsid w:val="00A45DA5"/>
    <w:rsid w:val="00A45EB1"/>
    <w:rsid w:val="00A46288"/>
    <w:rsid w:val="00A46773"/>
    <w:rsid w:val="00A46B50"/>
    <w:rsid w:val="00A46E51"/>
    <w:rsid w:val="00A50088"/>
    <w:rsid w:val="00A5043C"/>
    <w:rsid w:val="00A50698"/>
    <w:rsid w:val="00A513A1"/>
    <w:rsid w:val="00A51542"/>
    <w:rsid w:val="00A51713"/>
    <w:rsid w:val="00A51E58"/>
    <w:rsid w:val="00A52069"/>
    <w:rsid w:val="00A52CE5"/>
    <w:rsid w:val="00A52D6B"/>
    <w:rsid w:val="00A530D8"/>
    <w:rsid w:val="00A5341E"/>
    <w:rsid w:val="00A53EF6"/>
    <w:rsid w:val="00A54CD8"/>
    <w:rsid w:val="00A54E2B"/>
    <w:rsid w:val="00A55412"/>
    <w:rsid w:val="00A55637"/>
    <w:rsid w:val="00A55A47"/>
    <w:rsid w:val="00A55B5A"/>
    <w:rsid w:val="00A55C60"/>
    <w:rsid w:val="00A56BAD"/>
    <w:rsid w:val="00A56E17"/>
    <w:rsid w:val="00A570C5"/>
    <w:rsid w:val="00A570FE"/>
    <w:rsid w:val="00A572AF"/>
    <w:rsid w:val="00A57B90"/>
    <w:rsid w:val="00A57E2C"/>
    <w:rsid w:val="00A57F53"/>
    <w:rsid w:val="00A600F7"/>
    <w:rsid w:val="00A6037D"/>
    <w:rsid w:val="00A60BF9"/>
    <w:rsid w:val="00A60FC6"/>
    <w:rsid w:val="00A61835"/>
    <w:rsid w:val="00A6196D"/>
    <w:rsid w:val="00A619EF"/>
    <w:rsid w:val="00A61AD1"/>
    <w:rsid w:val="00A61CFC"/>
    <w:rsid w:val="00A63455"/>
    <w:rsid w:val="00A635D3"/>
    <w:rsid w:val="00A63916"/>
    <w:rsid w:val="00A63ED7"/>
    <w:rsid w:val="00A63FFB"/>
    <w:rsid w:val="00A6430E"/>
    <w:rsid w:val="00A6469B"/>
    <w:rsid w:val="00A647A4"/>
    <w:rsid w:val="00A64D14"/>
    <w:rsid w:val="00A64F09"/>
    <w:rsid w:val="00A64F86"/>
    <w:rsid w:val="00A65294"/>
    <w:rsid w:val="00A65644"/>
    <w:rsid w:val="00A657C7"/>
    <w:rsid w:val="00A659C2"/>
    <w:rsid w:val="00A6605C"/>
    <w:rsid w:val="00A66707"/>
    <w:rsid w:val="00A672AB"/>
    <w:rsid w:val="00A67436"/>
    <w:rsid w:val="00A67528"/>
    <w:rsid w:val="00A67A72"/>
    <w:rsid w:val="00A70D4F"/>
    <w:rsid w:val="00A71483"/>
    <w:rsid w:val="00A71582"/>
    <w:rsid w:val="00A715BF"/>
    <w:rsid w:val="00A723FD"/>
    <w:rsid w:val="00A7258A"/>
    <w:rsid w:val="00A7274B"/>
    <w:rsid w:val="00A73CE8"/>
    <w:rsid w:val="00A73D41"/>
    <w:rsid w:val="00A7448E"/>
    <w:rsid w:val="00A74FF3"/>
    <w:rsid w:val="00A75234"/>
    <w:rsid w:val="00A755F6"/>
    <w:rsid w:val="00A75A6C"/>
    <w:rsid w:val="00A76781"/>
    <w:rsid w:val="00A76B31"/>
    <w:rsid w:val="00A77ADB"/>
    <w:rsid w:val="00A77C7D"/>
    <w:rsid w:val="00A8033F"/>
    <w:rsid w:val="00A80BE9"/>
    <w:rsid w:val="00A80FF0"/>
    <w:rsid w:val="00A813BC"/>
    <w:rsid w:val="00A8141F"/>
    <w:rsid w:val="00A819F4"/>
    <w:rsid w:val="00A824B6"/>
    <w:rsid w:val="00A827AD"/>
    <w:rsid w:val="00A83222"/>
    <w:rsid w:val="00A83CE9"/>
    <w:rsid w:val="00A83F00"/>
    <w:rsid w:val="00A846CC"/>
    <w:rsid w:val="00A848DE"/>
    <w:rsid w:val="00A8549A"/>
    <w:rsid w:val="00A85B23"/>
    <w:rsid w:val="00A86487"/>
    <w:rsid w:val="00A87802"/>
    <w:rsid w:val="00A90B06"/>
    <w:rsid w:val="00A90B94"/>
    <w:rsid w:val="00A90FAF"/>
    <w:rsid w:val="00A91344"/>
    <w:rsid w:val="00A91536"/>
    <w:rsid w:val="00A91801"/>
    <w:rsid w:val="00A926C8"/>
    <w:rsid w:val="00A927CE"/>
    <w:rsid w:val="00A92D5A"/>
    <w:rsid w:val="00A92E5D"/>
    <w:rsid w:val="00A943CE"/>
    <w:rsid w:val="00A946A2"/>
    <w:rsid w:val="00A94A90"/>
    <w:rsid w:val="00A961F6"/>
    <w:rsid w:val="00A964FF"/>
    <w:rsid w:val="00A966CA"/>
    <w:rsid w:val="00A96BF1"/>
    <w:rsid w:val="00A96E28"/>
    <w:rsid w:val="00A96F03"/>
    <w:rsid w:val="00A972DA"/>
    <w:rsid w:val="00A976FC"/>
    <w:rsid w:val="00A97C33"/>
    <w:rsid w:val="00A97EB4"/>
    <w:rsid w:val="00AA0914"/>
    <w:rsid w:val="00AA0B82"/>
    <w:rsid w:val="00AA15C0"/>
    <w:rsid w:val="00AA15D0"/>
    <w:rsid w:val="00AA1905"/>
    <w:rsid w:val="00AA1CDA"/>
    <w:rsid w:val="00AA1F4C"/>
    <w:rsid w:val="00AA21C6"/>
    <w:rsid w:val="00AA2C34"/>
    <w:rsid w:val="00AA2DAB"/>
    <w:rsid w:val="00AA3110"/>
    <w:rsid w:val="00AA3E1C"/>
    <w:rsid w:val="00AA3F82"/>
    <w:rsid w:val="00AA480A"/>
    <w:rsid w:val="00AA48A8"/>
    <w:rsid w:val="00AA5B47"/>
    <w:rsid w:val="00AA609E"/>
    <w:rsid w:val="00AA6191"/>
    <w:rsid w:val="00AA6497"/>
    <w:rsid w:val="00AA64F3"/>
    <w:rsid w:val="00AA6862"/>
    <w:rsid w:val="00AA6920"/>
    <w:rsid w:val="00AA6FCB"/>
    <w:rsid w:val="00AA7FA6"/>
    <w:rsid w:val="00AB0042"/>
    <w:rsid w:val="00AB178A"/>
    <w:rsid w:val="00AB19C8"/>
    <w:rsid w:val="00AB19FB"/>
    <w:rsid w:val="00AB1F33"/>
    <w:rsid w:val="00AB2A50"/>
    <w:rsid w:val="00AB2BE0"/>
    <w:rsid w:val="00AB2E72"/>
    <w:rsid w:val="00AB3B64"/>
    <w:rsid w:val="00AB3E38"/>
    <w:rsid w:val="00AB42C8"/>
    <w:rsid w:val="00AB493C"/>
    <w:rsid w:val="00AB4E81"/>
    <w:rsid w:val="00AB566B"/>
    <w:rsid w:val="00AB58A1"/>
    <w:rsid w:val="00AB59EC"/>
    <w:rsid w:val="00AB5CFD"/>
    <w:rsid w:val="00AB5E71"/>
    <w:rsid w:val="00AB6126"/>
    <w:rsid w:val="00AB619B"/>
    <w:rsid w:val="00AB6C67"/>
    <w:rsid w:val="00AB71CD"/>
    <w:rsid w:val="00AB722D"/>
    <w:rsid w:val="00AB7E74"/>
    <w:rsid w:val="00AC06A8"/>
    <w:rsid w:val="00AC06C2"/>
    <w:rsid w:val="00AC08D0"/>
    <w:rsid w:val="00AC0A1E"/>
    <w:rsid w:val="00AC0A50"/>
    <w:rsid w:val="00AC155B"/>
    <w:rsid w:val="00AC158A"/>
    <w:rsid w:val="00AC1892"/>
    <w:rsid w:val="00AC1F47"/>
    <w:rsid w:val="00AC21F4"/>
    <w:rsid w:val="00AC2624"/>
    <w:rsid w:val="00AC2761"/>
    <w:rsid w:val="00AC27DA"/>
    <w:rsid w:val="00AC2887"/>
    <w:rsid w:val="00AC2EE8"/>
    <w:rsid w:val="00AC3594"/>
    <w:rsid w:val="00AC3807"/>
    <w:rsid w:val="00AC428B"/>
    <w:rsid w:val="00AC4527"/>
    <w:rsid w:val="00AC4DCD"/>
    <w:rsid w:val="00AC5D6F"/>
    <w:rsid w:val="00AC65D0"/>
    <w:rsid w:val="00AC670D"/>
    <w:rsid w:val="00AC6825"/>
    <w:rsid w:val="00AC7406"/>
    <w:rsid w:val="00AD0EC3"/>
    <w:rsid w:val="00AD14D7"/>
    <w:rsid w:val="00AD1795"/>
    <w:rsid w:val="00AD1F08"/>
    <w:rsid w:val="00AD24B6"/>
    <w:rsid w:val="00AD26F9"/>
    <w:rsid w:val="00AD2AC4"/>
    <w:rsid w:val="00AD2B1D"/>
    <w:rsid w:val="00AD2D80"/>
    <w:rsid w:val="00AD3095"/>
    <w:rsid w:val="00AD352B"/>
    <w:rsid w:val="00AD370B"/>
    <w:rsid w:val="00AD4808"/>
    <w:rsid w:val="00AD4AC1"/>
    <w:rsid w:val="00AD5821"/>
    <w:rsid w:val="00AD5B34"/>
    <w:rsid w:val="00AD682D"/>
    <w:rsid w:val="00AD6E82"/>
    <w:rsid w:val="00AD735B"/>
    <w:rsid w:val="00AD7B8F"/>
    <w:rsid w:val="00AE1232"/>
    <w:rsid w:val="00AE189F"/>
    <w:rsid w:val="00AE1B2A"/>
    <w:rsid w:val="00AE1CFE"/>
    <w:rsid w:val="00AE2A6C"/>
    <w:rsid w:val="00AE3B90"/>
    <w:rsid w:val="00AE41EF"/>
    <w:rsid w:val="00AE4277"/>
    <w:rsid w:val="00AE4568"/>
    <w:rsid w:val="00AE4DD4"/>
    <w:rsid w:val="00AE5B3C"/>
    <w:rsid w:val="00AE5BD6"/>
    <w:rsid w:val="00AE5E88"/>
    <w:rsid w:val="00AE5FD5"/>
    <w:rsid w:val="00AE6F35"/>
    <w:rsid w:val="00AE71F9"/>
    <w:rsid w:val="00AE77FC"/>
    <w:rsid w:val="00AE780C"/>
    <w:rsid w:val="00AE7E57"/>
    <w:rsid w:val="00AE7E79"/>
    <w:rsid w:val="00AF0CCA"/>
    <w:rsid w:val="00AF1999"/>
    <w:rsid w:val="00AF1D68"/>
    <w:rsid w:val="00AF1ED2"/>
    <w:rsid w:val="00AF22D8"/>
    <w:rsid w:val="00AF3F24"/>
    <w:rsid w:val="00AF3F47"/>
    <w:rsid w:val="00AF432D"/>
    <w:rsid w:val="00AF4D7C"/>
    <w:rsid w:val="00AF4EC2"/>
    <w:rsid w:val="00AF5139"/>
    <w:rsid w:val="00AF5667"/>
    <w:rsid w:val="00AF5D0A"/>
    <w:rsid w:val="00AF5FA6"/>
    <w:rsid w:val="00AF65D8"/>
    <w:rsid w:val="00AF6AF1"/>
    <w:rsid w:val="00AF7322"/>
    <w:rsid w:val="00AF73FD"/>
    <w:rsid w:val="00AF7479"/>
    <w:rsid w:val="00AF7999"/>
    <w:rsid w:val="00AF7BC2"/>
    <w:rsid w:val="00AF7F28"/>
    <w:rsid w:val="00B002D1"/>
    <w:rsid w:val="00B002F7"/>
    <w:rsid w:val="00B018B8"/>
    <w:rsid w:val="00B01C08"/>
    <w:rsid w:val="00B0265F"/>
    <w:rsid w:val="00B031D4"/>
    <w:rsid w:val="00B036D4"/>
    <w:rsid w:val="00B03869"/>
    <w:rsid w:val="00B039C3"/>
    <w:rsid w:val="00B03D1E"/>
    <w:rsid w:val="00B04270"/>
    <w:rsid w:val="00B0436F"/>
    <w:rsid w:val="00B044D3"/>
    <w:rsid w:val="00B047E1"/>
    <w:rsid w:val="00B0488F"/>
    <w:rsid w:val="00B05101"/>
    <w:rsid w:val="00B05235"/>
    <w:rsid w:val="00B06174"/>
    <w:rsid w:val="00B063DF"/>
    <w:rsid w:val="00B06EE5"/>
    <w:rsid w:val="00B0774A"/>
    <w:rsid w:val="00B109B9"/>
    <w:rsid w:val="00B10ADD"/>
    <w:rsid w:val="00B129C1"/>
    <w:rsid w:val="00B12EEB"/>
    <w:rsid w:val="00B13EB0"/>
    <w:rsid w:val="00B14421"/>
    <w:rsid w:val="00B14918"/>
    <w:rsid w:val="00B15025"/>
    <w:rsid w:val="00B15DEA"/>
    <w:rsid w:val="00B164F7"/>
    <w:rsid w:val="00B170CD"/>
    <w:rsid w:val="00B17236"/>
    <w:rsid w:val="00B17DB1"/>
    <w:rsid w:val="00B20715"/>
    <w:rsid w:val="00B20859"/>
    <w:rsid w:val="00B20AA6"/>
    <w:rsid w:val="00B20AB1"/>
    <w:rsid w:val="00B20BCB"/>
    <w:rsid w:val="00B21BF5"/>
    <w:rsid w:val="00B21EEB"/>
    <w:rsid w:val="00B21F62"/>
    <w:rsid w:val="00B22861"/>
    <w:rsid w:val="00B22AAC"/>
    <w:rsid w:val="00B22C0B"/>
    <w:rsid w:val="00B23A94"/>
    <w:rsid w:val="00B23B6D"/>
    <w:rsid w:val="00B24352"/>
    <w:rsid w:val="00B24403"/>
    <w:rsid w:val="00B24AB4"/>
    <w:rsid w:val="00B2541E"/>
    <w:rsid w:val="00B2550F"/>
    <w:rsid w:val="00B25F68"/>
    <w:rsid w:val="00B26560"/>
    <w:rsid w:val="00B26777"/>
    <w:rsid w:val="00B27068"/>
    <w:rsid w:val="00B272A3"/>
    <w:rsid w:val="00B3007F"/>
    <w:rsid w:val="00B301E8"/>
    <w:rsid w:val="00B3041F"/>
    <w:rsid w:val="00B30514"/>
    <w:rsid w:val="00B30D43"/>
    <w:rsid w:val="00B316ED"/>
    <w:rsid w:val="00B318D2"/>
    <w:rsid w:val="00B31B56"/>
    <w:rsid w:val="00B31DF1"/>
    <w:rsid w:val="00B32205"/>
    <w:rsid w:val="00B3227E"/>
    <w:rsid w:val="00B325C0"/>
    <w:rsid w:val="00B328E3"/>
    <w:rsid w:val="00B3293D"/>
    <w:rsid w:val="00B3379B"/>
    <w:rsid w:val="00B3424C"/>
    <w:rsid w:val="00B348F9"/>
    <w:rsid w:val="00B34959"/>
    <w:rsid w:val="00B34999"/>
    <w:rsid w:val="00B34D4A"/>
    <w:rsid w:val="00B34EB2"/>
    <w:rsid w:val="00B354C8"/>
    <w:rsid w:val="00B359AC"/>
    <w:rsid w:val="00B36068"/>
    <w:rsid w:val="00B36536"/>
    <w:rsid w:val="00B36602"/>
    <w:rsid w:val="00B36840"/>
    <w:rsid w:val="00B368BA"/>
    <w:rsid w:val="00B36B55"/>
    <w:rsid w:val="00B3738B"/>
    <w:rsid w:val="00B37FE3"/>
    <w:rsid w:val="00B405F0"/>
    <w:rsid w:val="00B40F0E"/>
    <w:rsid w:val="00B41231"/>
    <w:rsid w:val="00B41861"/>
    <w:rsid w:val="00B41D99"/>
    <w:rsid w:val="00B4221E"/>
    <w:rsid w:val="00B424EC"/>
    <w:rsid w:val="00B426B8"/>
    <w:rsid w:val="00B42AB4"/>
    <w:rsid w:val="00B43A01"/>
    <w:rsid w:val="00B44226"/>
    <w:rsid w:val="00B44905"/>
    <w:rsid w:val="00B4589A"/>
    <w:rsid w:val="00B45998"/>
    <w:rsid w:val="00B46022"/>
    <w:rsid w:val="00B467A7"/>
    <w:rsid w:val="00B470F7"/>
    <w:rsid w:val="00B47437"/>
    <w:rsid w:val="00B47E07"/>
    <w:rsid w:val="00B50113"/>
    <w:rsid w:val="00B50378"/>
    <w:rsid w:val="00B50B3B"/>
    <w:rsid w:val="00B515D8"/>
    <w:rsid w:val="00B519EC"/>
    <w:rsid w:val="00B51DE4"/>
    <w:rsid w:val="00B51F39"/>
    <w:rsid w:val="00B52452"/>
    <w:rsid w:val="00B52490"/>
    <w:rsid w:val="00B52CDD"/>
    <w:rsid w:val="00B52D72"/>
    <w:rsid w:val="00B5395D"/>
    <w:rsid w:val="00B540F1"/>
    <w:rsid w:val="00B54272"/>
    <w:rsid w:val="00B54641"/>
    <w:rsid w:val="00B54816"/>
    <w:rsid w:val="00B5487B"/>
    <w:rsid w:val="00B54899"/>
    <w:rsid w:val="00B55A30"/>
    <w:rsid w:val="00B56A81"/>
    <w:rsid w:val="00B60741"/>
    <w:rsid w:val="00B607BD"/>
    <w:rsid w:val="00B6098D"/>
    <w:rsid w:val="00B6153C"/>
    <w:rsid w:val="00B615EE"/>
    <w:rsid w:val="00B6182F"/>
    <w:rsid w:val="00B62CB2"/>
    <w:rsid w:val="00B631D5"/>
    <w:rsid w:val="00B637C2"/>
    <w:rsid w:val="00B6388F"/>
    <w:rsid w:val="00B64046"/>
    <w:rsid w:val="00B642A3"/>
    <w:rsid w:val="00B64404"/>
    <w:rsid w:val="00B64A4C"/>
    <w:rsid w:val="00B64D6D"/>
    <w:rsid w:val="00B64E3C"/>
    <w:rsid w:val="00B656AC"/>
    <w:rsid w:val="00B6593D"/>
    <w:rsid w:val="00B65B73"/>
    <w:rsid w:val="00B65F21"/>
    <w:rsid w:val="00B66FF6"/>
    <w:rsid w:val="00B6703A"/>
    <w:rsid w:val="00B67B5B"/>
    <w:rsid w:val="00B67CA9"/>
    <w:rsid w:val="00B67D79"/>
    <w:rsid w:val="00B70014"/>
    <w:rsid w:val="00B70C4D"/>
    <w:rsid w:val="00B70E9B"/>
    <w:rsid w:val="00B71757"/>
    <w:rsid w:val="00B71777"/>
    <w:rsid w:val="00B719CA"/>
    <w:rsid w:val="00B72252"/>
    <w:rsid w:val="00B72386"/>
    <w:rsid w:val="00B727CF"/>
    <w:rsid w:val="00B72A67"/>
    <w:rsid w:val="00B72FA7"/>
    <w:rsid w:val="00B734C9"/>
    <w:rsid w:val="00B738FE"/>
    <w:rsid w:val="00B73B41"/>
    <w:rsid w:val="00B7565E"/>
    <w:rsid w:val="00B7658F"/>
    <w:rsid w:val="00B769EA"/>
    <w:rsid w:val="00B76F6D"/>
    <w:rsid w:val="00B773E8"/>
    <w:rsid w:val="00B7752E"/>
    <w:rsid w:val="00B807FC"/>
    <w:rsid w:val="00B80A56"/>
    <w:rsid w:val="00B80E5A"/>
    <w:rsid w:val="00B80EA3"/>
    <w:rsid w:val="00B81307"/>
    <w:rsid w:val="00B81C9E"/>
    <w:rsid w:val="00B81E9A"/>
    <w:rsid w:val="00B8206C"/>
    <w:rsid w:val="00B82526"/>
    <w:rsid w:val="00B827CB"/>
    <w:rsid w:val="00B82A32"/>
    <w:rsid w:val="00B82B66"/>
    <w:rsid w:val="00B833C2"/>
    <w:rsid w:val="00B833F6"/>
    <w:rsid w:val="00B838F1"/>
    <w:rsid w:val="00B83A71"/>
    <w:rsid w:val="00B83FDA"/>
    <w:rsid w:val="00B842E0"/>
    <w:rsid w:val="00B84A22"/>
    <w:rsid w:val="00B84E4F"/>
    <w:rsid w:val="00B86170"/>
    <w:rsid w:val="00B87560"/>
    <w:rsid w:val="00B87DE5"/>
    <w:rsid w:val="00B90D12"/>
    <w:rsid w:val="00B91455"/>
    <w:rsid w:val="00B914A4"/>
    <w:rsid w:val="00B921E3"/>
    <w:rsid w:val="00B92221"/>
    <w:rsid w:val="00B92300"/>
    <w:rsid w:val="00B92DAF"/>
    <w:rsid w:val="00B92FAF"/>
    <w:rsid w:val="00B9400E"/>
    <w:rsid w:val="00B944D4"/>
    <w:rsid w:val="00B949C7"/>
    <w:rsid w:val="00B95550"/>
    <w:rsid w:val="00B95856"/>
    <w:rsid w:val="00B95B37"/>
    <w:rsid w:val="00B95F2D"/>
    <w:rsid w:val="00B96225"/>
    <w:rsid w:val="00B96388"/>
    <w:rsid w:val="00B96440"/>
    <w:rsid w:val="00B969CE"/>
    <w:rsid w:val="00B96B77"/>
    <w:rsid w:val="00B96F6D"/>
    <w:rsid w:val="00B971C1"/>
    <w:rsid w:val="00B978D5"/>
    <w:rsid w:val="00B97DC4"/>
    <w:rsid w:val="00BA0C19"/>
    <w:rsid w:val="00BA0E9B"/>
    <w:rsid w:val="00BA1296"/>
    <w:rsid w:val="00BA15CF"/>
    <w:rsid w:val="00BA181B"/>
    <w:rsid w:val="00BA19A6"/>
    <w:rsid w:val="00BA19E1"/>
    <w:rsid w:val="00BA23A8"/>
    <w:rsid w:val="00BA266C"/>
    <w:rsid w:val="00BA2BAC"/>
    <w:rsid w:val="00BA2CA4"/>
    <w:rsid w:val="00BA303B"/>
    <w:rsid w:val="00BA33E0"/>
    <w:rsid w:val="00BA470F"/>
    <w:rsid w:val="00BA476D"/>
    <w:rsid w:val="00BA4CA6"/>
    <w:rsid w:val="00BA55E0"/>
    <w:rsid w:val="00BA6392"/>
    <w:rsid w:val="00BA6468"/>
    <w:rsid w:val="00BA6E11"/>
    <w:rsid w:val="00BA7275"/>
    <w:rsid w:val="00BA7C41"/>
    <w:rsid w:val="00BA7CC2"/>
    <w:rsid w:val="00BA7D67"/>
    <w:rsid w:val="00BA7DA6"/>
    <w:rsid w:val="00BB0840"/>
    <w:rsid w:val="00BB1E64"/>
    <w:rsid w:val="00BB23B7"/>
    <w:rsid w:val="00BB28B4"/>
    <w:rsid w:val="00BB2C6A"/>
    <w:rsid w:val="00BB4325"/>
    <w:rsid w:val="00BB4431"/>
    <w:rsid w:val="00BB4F6E"/>
    <w:rsid w:val="00BB5330"/>
    <w:rsid w:val="00BB538D"/>
    <w:rsid w:val="00BB5458"/>
    <w:rsid w:val="00BB5558"/>
    <w:rsid w:val="00BB5911"/>
    <w:rsid w:val="00BB5F23"/>
    <w:rsid w:val="00BB60E9"/>
    <w:rsid w:val="00BB672B"/>
    <w:rsid w:val="00BB6B11"/>
    <w:rsid w:val="00BB7156"/>
    <w:rsid w:val="00BB7E73"/>
    <w:rsid w:val="00BB7EB7"/>
    <w:rsid w:val="00BC0957"/>
    <w:rsid w:val="00BC13AC"/>
    <w:rsid w:val="00BC13AD"/>
    <w:rsid w:val="00BC1915"/>
    <w:rsid w:val="00BC208C"/>
    <w:rsid w:val="00BC2BA3"/>
    <w:rsid w:val="00BC2C6A"/>
    <w:rsid w:val="00BC2E07"/>
    <w:rsid w:val="00BC2EB5"/>
    <w:rsid w:val="00BC360A"/>
    <w:rsid w:val="00BC3D98"/>
    <w:rsid w:val="00BC3F55"/>
    <w:rsid w:val="00BC42A3"/>
    <w:rsid w:val="00BC4338"/>
    <w:rsid w:val="00BC48FD"/>
    <w:rsid w:val="00BC4C78"/>
    <w:rsid w:val="00BC4D4E"/>
    <w:rsid w:val="00BC54EA"/>
    <w:rsid w:val="00BC553A"/>
    <w:rsid w:val="00BC5BCF"/>
    <w:rsid w:val="00BC69AA"/>
    <w:rsid w:val="00BC6D18"/>
    <w:rsid w:val="00BC7872"/>
    <w:rsid w:val="00BC78DA"/>
    <w:rsid w:val="00BC7F7A"/>
    <w:rsid w:val="00BD0180"/>
    <w:rsid w:val="00BD030D"/>
    <w:rsid w:val="00BD040C"/>
    <w:rsid w:val="00BD168B"/>
    <w:rsid w:val="00BD1974"/>
    <w:rsid w:val="00BD1EFF"/>
    <w:rsid w:val="00BD2071"/>
    <w:rsid w:val="00BD2138"/>
    <w:rsid w:val="00BD2AB9"/>
    <w:rsid w:val="00BD2E60"/>
    <w:rsid w:val="00BD300D"/>
    <w:rsid w:val="00BD306E"/>
    <w:rsid w:val="00BD324C"/>
    <w:rsid w:val="00BD4733"/>
    <w:rsid w:val="00BD4A0C"/>
    <w:rsid w:val="00BD4EA7"/>
    <w:rsid w:val="00BD4F6F"/>
    <w:rsid w:val="00BD5109"/>
    <w:rsid w:val="00BD5458"/>
    <w:rsid w:val="00BD5BD0"/>
    <w:rsid w:val="00BD5BF0"/>
    <w:rsid w:val="00BD659A"/>
    <w:rsid w:val="00BD680D"/>
    <w:rsid w:val="00BD6D1A"/>
    <w:rsid w:val="00BD6DD9"/>
    <w:rsid w:val="00BD6EA4"/>
    <w:rsid w:val="00BD6F64"/>
    <w:rsid w:val="00BD710A"/>
    <w:rsid w:val="00BD72BA"/>
    <w:rsid w:val="00BD72F9"/>
    <w:rsid w:val="00BD76E6"/>
    <w:rsid w:val="00BD7923"/>
    <w:rsid w:val="00BD7C1F"/>
    <w:rsid w:val="00BE06C8"/>
    <w:rsid w:val="00BE0F3C"/>
    <w:rsid w:val="00BE10F2"/>
    <w:rsid w:val="00BE14C4"/>
    <w:rsid w:val="00BE1651"/>
    <w:rsid w:val="00BE1789"/>
    <w:rsid w:val="00BE1A85"/>
    <w:rsid w:val="00BE1F2B"/>
    <w:rsid w:val="00BE286F"/>
    <w:rsid w:val="00BE2915"/>
    <w:rsid w:val="00BE29C9"/>
    <w:rsid w:val="00BE2AD1"/>
    <w:rsid w:val="00BE32E5"/>
    <w:rsid w:val="00BE4099"/>
    <w:rsid w:val="00BE4846"/>
    <w:rsid w:val="00BE4D32"/>
    <w:rsid w:val="00BE55C6"/>
    <w:rsid w:val="00BE5612"/>
    <w:rsid w:val="00BE6B6C"/>
    <w:rsid w:val="00BE6B9C"/>
    <w:rsid w:val="00BE74CA"/>
    <w:rsid w:val="00BE7B46"/>
    <w:rsid w:val="00BE7F51"/>
    <w:rsid w:val="00BF0356"/>
    <w:rsid w:val="00BF0467"/>
    <w:rsid w:val="00BF05D4"/>
    <w:rsid w:val="00BF072E"/>
    <w:rsid w:val="00BF0E30"/>
    <w:rsid w:val="00BF0F9A"/>
    <w:rsid w:val="00BF155A"/>
    <w:rsid w:val="00BF15F8"/>
    <w:rsid w:val="00BF1699"/>
    <w:rsid w:val="00BF1791"/>
    <w:rsid w:val="00BF1B2E"/>
    <w:rsid w:val="00BF2320"/>
    <w:rsid w:val="00BF2328"/>
    <w:rsid w:val="00BF264F"/>
    <w:rsid w:val="00BF294D"/>
    <w:rsid w:val="00BF3FEF"/>
    <w:rsid w:val="00BF44C9"/>
    <w:rsid w:val="00BF4B6B"/>
    <w:rsid w:val="00BF4F37"/>
    <w:rsid w:val="00BF55C6"/>
    <w:rsid w:val="00BF563E"/>
    <w:rsid w:val="00BF604F"/>
    <w:rsid w:val="00BF61C0"/>
    <w:rsid w:val="00BF638C"/>
    <w:rsid w:val="00BF6C6B"/>
    <w:rsid w:val="00BF7385"/>
    <w:rsid w:val="00BF7587"/>
    <w:rsid w:val="00BF7746"/>
    <w:rsid w:val="00C00180"/>
    <w:rsid w:val="00C00664"/>
    <w:rsid w:val="00C016A4"/>
    <w:rsid w:val="00C020AE"/>
    <w:rsid w:val="00C02441"/>
    <w:rsid w:val="00C02708"/>
    <w:rsid w:val="00C02787"/>
    <w:rsid w:val="00C02900"/>
    <w:rsid w:val="00C029B7"/>
    <w:rsid w:val="00C035EE"/>
    <w:rsid w:val="00C03C54"/>
    <w:rsid w:val="00C04266"/>
    <w:rsid w:val="00C04BE2"/>
    <w:rsid w:val="00C04C14"/>
    <w:rsid w:val="00C04D05"/>
    <w:rsid w:val="00C04F74"/>
    <w:rsid w:val="00C04FFE"/>
    <w:rsid w:val="00C052E5"/>
    <w:rsid w:val="00C057D7"/>
    <w:rsid w:val="00C058AF"/>
    <w:rsid w:val="00C05E9C"/>
    <w:rsid w:val="00C068F9"/>
    <w:rsid w:val="00C07028"/>
    <w:rsid w:val="00C07671"/>
    <w:rsid w:val="00C0789F"/>
    <w:rsid w:val="00C07AD6"/>
    <w:rsid w:val="00C07E7A"/>
    <w:rsid w:val="00C10529"/>
    <w:rsid w:val="00C10664"/>
    <w:rsid w:val="00C111BF"/>
    <w:rsid w:val="00C115DE"/>
    <w:rsid w:val="00C12282"/>
    <w:rsid w:val="00C127C0"/>
    <w:rsid w:val="00C1329D"/>
    <w:rsid w:val="00C13A66"/>
    <w:rsid w:val="00C13A70"/>
    <w:rsid w:val="00C13D1E"/>
    <w:rsid w:val="00C14654"/>
    <w:rsid w:val="00C146EE"/>
    <w:rsid w:val="00C14756"/>
    <w:rsid w:val="00C147B5"/>
    <w:rsid w:val="00C14BEE"/>
    <w:rsid w:val="00C14BF8"/>
    <w:rsid w:val="00C15874"/>
    <w:rsid w:val="00C15C59"/>
    <w:rsid w:val="00C15EB5"/>
    <w:rsid w:val="00C1619D"/>
    <w:rsid w:val="00C16B09"/>
    <w:rsid w:val="00C1736B"/>
    <w:rsid w:val="00C173CD"/>
    <w:rsid w:val="00C1751F"/>
    <w:rsid w:val="00C176BA"/>
    <w:rsid w:val="00C17B7D"/>
    <w:rsid w:val="00C203F7"/>
    <w:rsid w:val="00C20E84"/>
    <w:rsid w:val="00C20EA5"/>
    <w:rsid w:val="00C21219"/>
    <w:rsid w:val="00C21C9E"/>
    <w:rsid w:val="00C220E5"/>
    <w:rsid w:val="00C22284"/>
    <w:rsid w:val="00C2290F"/>
    <w:rsid w:val="00C22BFA"/>
    <w:rsid w:val="00C23814"/>
    <w:rsid w:val="00C248B2"/>
    <w:rsid w:val="00C25974"/>
    <w:rsid w:val="00C26292"/>
    <w:rsid w:val="00C26B9E"/>
    <w:rsid w:val="00C26DD1"/>
    <w:rsid w:val="00C26FF7"/>
    <w:rsid w:val="00C27E97"/>
    <w:rsid w:val="00C27F08"/>
    <w:rsid w:val="00C30356"/>
    <w:rsid w:val="00C30478"/>
    <w:rsid w:val="00C3064F"/>
    <w:rsid w:val="00C308B0"/>
    <w:rsid w:val="00C30F03"/>
    <w:rsid w:val="00C31244"/>
    <w:rsid w:val="00C318A2"/>
    <w:rsid w:val="00C31AB0"/>
    <w:rsid w:val="00C31CFC"/>
    <w:rsid w:val="00C31E1A"/>
    <w:rsid w:val="00C32F12"/>
    <w:rsid w:val="00C32F94"/>
    <w:rsid w:val="00C33CBA"/>
    <w:rsid w:val="00C33CDD"/>
    <w:rsid w:val="00C34178"/>
    <w:rsid w:val="00C347B0"/>
    <w:rsid w:val="00C34CC0"/>
    <w:rsid w:val="00C34F19"/>
    <w:rsid w:val="00C351F9"/>
    <w:rsid w:val="00C35356"/>
    <w:rsid w:val="00C354DC"/>
    <w:rsid w:val="00C35B35"/>
    <w:rsid w:val="00C35E46"/>
    <w:rsid w:val="00C35ED9"/>
    <w:rsid w:val="00C35FC9"/>
    <w:rsid w:val="00C364A2"/>
    <w:rsid w:val="00C36693"/>
    <w:rsid w:val="00C36A9A"/>
    <w:rsid w:val="00C37095"/>
    <w:rsid w:val="00C40F78"/>
    <w:rsid w:val="00C41408"/>
    <w:rsid w:val="00C420DA"/>
    <w:rsid w:val="00C42FDF"/>
    <w:rsid w:val="00C43B60"/>
    <w:rsid w:val="00C43DF9"/>
    <w:rsid w:val="00C44560"/>
    <w:rsid w:val="00C449B4"/>
    <w:rsid w:val="00C44C5A"/>
    <w:rsid w:val="00C44C8B"/>
    <w:rsid w:val="00C45403"/>
    <w:rsid w:val="00C459F6"/>
    <w:rsid w:val="00C45E16"/>
    <w:rsid w:val="00C4646E"/>
    <w:rsid w:val="00C473F3"/>
    <w:rsid w:val="00C475EC"/>
    <w:rsid w:val="00C47B87"/>
    <w:rsid w:val="00C47E5A"/>
    <w:rsid w:val="00C50252"/>
    <w:rsid w:val="00C502C5"/>
    <w:rsid w:val="00C50898"/>
    <w:rsid w:val="00C517BA"/>
    <w:rsid w:val="00C51EEE"/>
    <w:rsid w:val="00C523A0"/>
    <w:rsid w:val="00C52988"/>
    <w:rsid w:val="00C52BBE"/>
    <w:rsid w:val="00C52BCC"/>
    <w:rsid w:val="00C52D4F"/>
    <w:rsid w:val="00C52D56"/>
    <w:rsid w:val="00C539C7"/>
    <w:rsid w:val="00C53BC5"/>
    <w:rsid w:val="00C53DFD"/>
    <w:rsid w:val="00C53FFA"/>
    <w:rsid w:val="00C542E3"/>
    <w:rsid w:val="00C5457B"/>
    <w:rsid w:val="00C557D3"/>
    <w:rsid w:val="00C55888"/>
    <w:rsid w:val="00C559E8"/>
    <w:rsid w:val="00C55BFF"/>
    <w:rsid w:val="00C55C2C"/>
    <w:rsid w:val="00C567CF"/>
    <w:rsid w:val="00C56BC0"/>
    <w:rsid w:val="00C574D9"/>
    <w:rsid w:val="00C603CC"/>
    <w:rsid w:val="00C60AD8"/>
    <w:rsid w:val="00C61844"/>
    <w:rsid w:val="00C62358"/>
    <w:rsid w:val="00C626FA"/>
    <w:rsid w:val="00C62843"/>
    <w:rsid w:val="00C62C40"/>
    <w:rsid w:val="00C62DD5"/>
    <w:rsid w:val="00C63167"/>
    <w:rsid w:val="00C63397"/>
    <w:rsid w:val="00C63AE2"/>
    <w:rsid w:val="00C63AEF"/>
    <w:rsid w:val="00C65491"/>
    <w:rsid w:val="00C65678"/>
    <w:rsid w:val="00C6592C"/>
    <w:rsid w:val="00C65F5B"/>
    <w:rsid w:val="00C66078"/>
    <w:rsid w:val="00C6679D"/>
    <w:rsid w:val="00C66C33"/>
    <w:rsid w:val="00C66E0B"/>
    <w:rsid w:val="00C6743C"/>
    <w:rsid w:val="00C67793"/>
    <w:rsid w:val="00C67905"/>
    <w:rsid w:val="00C7071A"/>
    <w:rsid w:val="00C709C9"/>
    <w:rsid w:val="00C70D33"/>
    <w:rsid w:val="00C70DA4"/>
    <w:rsid w:val="00C70EFC"/>
    <w:rsid w:val="00C70FE9"/>
    <w:rsid w:val="00C71586"/>
    <w:rsid w:val="00C72068"/>
    <w:rsid w:val="00C72205"/>
    <w:rsid w:val="00C7292F"/>
    <w:rsid w:val="00C729CB"/>
    <w:rsid w:val="00C72C3B"/>
    <w:rsid w:val="00C72E67"/>
    <w:rsid w:val="00C72EAD"/>
    <w:rsid w:val="00C730DF"/>
    <w:rsid w:val="00C73426"/>
    <w:rsid w:val="00C73519"/>
    <w:rsid w:val="00C742AC"/>
    <w:rsid w:val="00C745B5"/>
    <w:rsid w:val="00C74DE1"/>
    <w:rsid w:val="00C75A13"/>
    <w:rsid w:val="00C7677B"/>
    <w:rsid w:val="00C76C99"/>
    <w:rsid w:val="00C772E2"/>
    <w:rsid w:val="00C77EFF"/>
    <w:rsid w:val="00C804E0"/>
    <w:rsid w:val="00C808ED"/>
    <w:rsid w:val="00C80E1F"/>
    <w:rsid w:val="00C80E45"/>
    <w:rsid w:val="00C816DD"/>
    <w:rsid w:val="00C81747"/>
    <w:rsid w:val="00C81BA4"/>
    <w:rsid w:val="00C82352"/>
    <w:rsid w:val="00C824C8"/>
    <w:rsid w:val="00C82534"/>
    <w:rsid w:val="00C8261E"/>
    <w:rsid w:val="00C82B8F"/>
    <w:rsid w:val="00C82F4E"/>
    <w:rsid w:val="00C8340C"/>
    <w:rsid w:val="00C837B7"/>
    <w:rsid w:val="00C83DAF"/>
    <w:rsid w:val="00C847E2"/>
    <w:rsid w:val="00C84B1C"/>
    <w:rsid w:val="00C84B86"/>
    <w:rsid w:val="00C84E70"/>
    <w:rsid w:val="00C84F68"/>
    <w:rsid w:val="00C85732"/>
    <w:rsid w:val="00C8574E"/>
    <w:rsid w:val="00C85A68"/>
    <w:rsid w:val="00C869A7"/>
    <w:rsid w:val="00C878CA"/>
    <w:rsid w:val="00C87957"/>
    <w:rsid w:val="00C901DC"/>
    <w:rsid w:val="00C90286"/>
    <w:rsid w:val="00C90499"/>
    <w:rsid w:val="00C9090B"/>
    <w:rsid w:val="00C90D20"/>
    <w:rsid w:val="00C91338"/>
    <w:rsid w:val="00C914BF"/>
    <w:rsid w:val="00C91EED"/>
    <w:rsid w:val="00C92EC6"/>
    <w:rsid w:val="00C9347F"/>
    <w:rsid w:val="00C9438A"/>
    <w:rsid w:val="00C943C0"/>
    <w:rsid w:val="00C958A8"/>
    <w:rsid w:val="00C95E68"/>
    <w:rsid w:val="00C95E8F"/>
    <w:rsid w:val="00C95F82"/>
    <w:rsid w:val="00C96332"/>
    <w:rsid w:val="00C967BE"/>
    <w:rsid w:val="00C969B6"/>
    <w:rsid w:val="00C97682"/>
    <w:rsid w:val="00C97B48"/>
    <w:rsid w:val="00CA03BC"/>
    <w:rsid w:val="00CA0E33"/>
    <w:rsid w:val="00CA12EC"/>
    <w:rsid w:val="00CA14BD"/>
    <w:rsid w:val="00CA1912"/>
    <w:rsid w:val="00CA1C0D"/>
    <w:rsid w:val="00CA2165"/>
    <w:rsid w:val="00CA2633"/>
    <w:rsid w:val="00CA47CE"/>
    <w:rsid w:val="00CA4A8F"/>
    <w:rsid w:val="00CA4D52"/>
    <w:rsid w:val="00CA62D3"/>
    <w:rsid w:val="00CA7069"/>
    <w:rsid w:val="00CA743E"/>
    <w:rsid w:val="00CA74E0"/>
    <w:rsid w:val="00CA7A4F"/>
    <w:rsid w:val="00CA7D60"/>
    <w:rsid w:val="00CB0636"/>
    <w:rsid w:val="00CB08EC"/>
    <w:rsid w:val="00CB0FB8"/>
    <w:rsid w:val="00CB17F0"/>
    <w:rsid w:val="00CB1C31"/>
    <w:rsid w:val="00CB20BA"/>
    <w:rsid w:val="00CB20FA"/>
    <w:rsid w:val="00CB220C"/>
    <w:rsid w:val="00CB2396"/>
    <w:rsid w:val="00CB2774"/>
    <w:rsid w:val="00CB2EE5"/>
    <w:rsid w:val="00CB2EFD"/>
    <w:rsid w:val="00CB2FD1"/>
    <w:rsid w:val="00CB3509"/>
    <w:rsid w:val="00CB42B3"/>
    <w:rsid w:val="00CB4389"/>
    <w:rsid w:val="00CB48CF"/>
    <w:rsid w:val="00CB4B9F"/>
    <w:rsid w:val="00CB5EA9"/>
    <w:rsid w:val="00CB6A08"/>
    <w:rsid w:val="00CB6FF4"/>
    <w:rsid w:val="00CB719B"/>
    <w:rsid w:val="00CB7493"/>
    <w:rsid w:val="00CB7748"/>
    <w:rsid w:val="00CB7AB8"/>
    <w:rsid w:val="00CC050D"/>
    <w:rsid w:val="00CC11C2"/>
    <w:rsid w:val="00CC1393"/>
    <w:rsid w:val="00CC1922"/>
    <w:rsid w:val="00CC1CF7"/>
    <w:rsid w:val="00CC2224"/>
    <w:rsid w:val="00CC24BF"/>
    <w:rsid w:val="00CC25CC"/>
    <w:rsid w:val="00CC2746"/>
    <w:rsid w:val="00CC28C7"/>
    <w:rsid w:val="00CC2FA4"/>
    <w:rsid w:val="00CC3678"/>
    <w:rsid w:val="00CC3C53"/>
    <w:rsid w:val="00CC3CEA"/>
    <w:rsid w:val="00CC3D1B"/>
    <w:rsid w:val="00CC43AC"/>
    <w:rsid w:val="00CC4B50"/>
    <w:rsid w:val="00CC4EC0"/>
    <w:rsid w:val="00CC4FE6"/>
    <w:rsid w:val="00CC5580"/>
    <w:rsid w:val="00CC5D38"/>
    <w:rsid w:val="00CC623E"/>
    <w:rsid w:val="00CC7B9B"/>
    <w:rsid w:val="00CC7C3F"/>
    <w:rsid w:val="00CC7D49"/>
    <w:rsid w:val="00CC7E37"/>
    <w:rsid w:val="00CD01B6"/>
    <w:rsid w:val="00CD08DF"/>
    <w:rsid w:val="00CD0E33"/>
    <w:rsid w:val="00CD0EBC"/>
    <w:rsid w:val="00CD0F5F"/>
    <w:rsid w:val="00CD1029"/>
    <w:rsid w:val="00CD133C"/>
    <w:rsid w:val="00CD198A"/>
    <w:rsid w:val="00CD1F83"/>
    <w:rsid w:val="00CD1FC3"/>
    <w:rsid w:val="00CD26AD"/>
    <w:rsid w:val="00CD3967"/>
    <w:rsid w:val="00CD3F82"/>
    <w:rsid w:val="00CD531A"/>
    <w:rsid w:val="00CD5430"/>
    <w:rsid w:val="00CD54B6"/>
    <w:rsid w:val="00CD5705"/>
    <w:rsid w:val="00CD586C"/>
    <w:rsid w:val="00CD5A6B"/>
    <w:rsid w:val="00CD5D45"/>
    <w:rsid w:val="00CD60A6"/>
    <w:rsid w:val="00CD61D9"/>
    <w:rsid w:val="00CD66C2"/>
    <w:rsid w:val="00CD7763"/>
    <w:rsid w:val="00CD7987"/>
    <w:rsid w:val="00CD7BB6"/>
    <w:rsid w:val="00CD7D04"/>
    <w:rsid w:val="00CD7E99"/>
    <w:rsid w:val="00CE0540"/>
    <w:rsid w:val="00CE0812"/>
    <w:rsid w:val="00CE08A4"/>
    <w:rsid w:val="00CE0A14"/>
    <w:rsid w:val="00CE10DE"/>
    <w:rsid w:val="00CE1485"/>
    <w:rsid w:val="00CE1B61"/>
    <w:rsid w:val="00CE2CAE"/>
    <w:rsid w:val="00CE2E2C"/>
    <w:rsid w:val="00CE2FC5"/>
    <w:rsid w:val="00CE345D"/>
    <w:rsid w:val="00CE4B29"/>
    <w:rsid w:val="00CE4DE3"/>
    <w:rsid w:val="00CE58E8"/>
    <w:rsid w:val="00CE5E01"/>
    <w:rsid w:val="00CE5E76"/>
    <w:rsid w:val="00CE603A"/>
    <w:rsid w:val="00CE6229"/>
    <w:rsid w:val="00CE62B6"/>
    <w:rsid w:val="00CE6711"/>
    <w:rsid w:val="00CE71F6"/>
    <w:rsid w:val="00CE7ED3"/>
    <w:rsid w:val="00CE7FDB"/>
    <w:rsid w:val="00CF0258"/>
    <w:rsid w:val="00CF0710"/>
    <w:rsid w:val="00CF108F"/>
    <w:rsid w:val="00CF18D3"/>
    <w:rsid w:val="00CF1A57"/>
    <w:rsid w:val="00CF2499"/>
    <w:rsid w:val="00CF2808"/>
    <w:rsid w:val="00CF2913"/>
    <w:rsid w:val="00CF2998"/>
    <w:rsid w:val="00CF31E3"/>
    <w:rsid w:val="00CF41F3"/>
    <w:rsid w:val="00CF42DA"/>
    <w:rsid w:val="00CF439F"/>
    <w:rsid w:val="00CF468E"/>
    <w:rsid w:val="00CF4957"/>
    <w:rsid w:val="00CF52ED"/>
    <w:rsid w:val="00CF60F0"/>
    <w:rsid w:val="00CF6154"/>
    <w:rsid w:val="00CF6289"/>
    <w:rsid w:val="00CF66EF"/>
    <w:rsid w:val="00CF6F8D"/>
    <w:rsid w:val="00CF716D"/>
    <w:rsid w:val="00CF7326"/>
    <w:rsid w:val="00D0074B"/>
    <w:rsid w:val="00D00786"/>
    <w:rsid w:val="00D00C25"/>
    <w:rsid w:val="00D011E6"/>
    <w:rsid w:val="00D01539"/>
    <w:rsid w:val="00D015AF"/>
    <w:rsid w:val="00D016C3"/>
    <w:rsid w:val="00D01B63"/>
    <w:rsid w:val="00D02015"/>
    <w:rsid w:val="00D0218D"/>
    <w:rsid w:val="00D02389"/>
    <w:rsid w:val="00D033D2"/>
    <w:rsid w:val="00D03452"/>
    <w:rsid w:val="00D035A9"/>
    <w:rsid w:val="00D038B6"/>
    <w:rsid w:val="00D03B9C"/>
    <w:rsid w:val="00D04331"/>
    <w:rsid w:val="00D04A82"/>
    <w:rsid w:val="00D04AE6"/>
    <w:rsid w:val="00D0505F"/>
    <w:rsid w:val="00D0513A"/>
    <w:rsid w:val="00D05CF0"/>
    <w:rsid w:val="00D064C1"/>
    <w:rsid w:val="00D06893"/>
    <w:rsid w:val="00D075FD"/>
    <w:rsid w:val="00D07D7D"/>
    <w:rsid w:val="00D07E46"/>
    <w:rsid w:val="00D07F94"/>
    <w:rsid w:val="00D10057"/>
    <w:rsid w:val="00D100B0"/>
    <w:rsid w:val="00D103F9"/>
    <w:rsid w:val="00D10888"/>
    <w:rsid w:val="00D110FF"/>
    <w:rsid w:val="00D11276"/>
    <w:rsid w:val="00D112B1"/>
    <w:rsid w:val="00D11C0F"/>
    <w:rsid w:val="00D11CB1"/>
    <w:rsid w:val="00D11E81"/>
    <w:rsid w:val="00D120FC"/>
    <w:rsid w:val="00D1241A"/>
    <w:rsid w:val="00D125EF"/>
    <w:rsid w:val="00D12DCC"/>
    <w:rsid w:val="00D13319"/>
    <w:rsid w:val="00D1367B"/>
    <w:rsid w:val="00D13BA8"/>
    <w:rsid w:val="00D13EB8"/>
    <w:rsid w:val="00D13F90"/>
    <w:rsid w:val="00D14251"/>
    <w:rsid w:val="00D1481D"/>
    <w:rsid w:val="00D14A71"/>
    <w:rsid w:val="00D150E0"/>
    <w:rsid w:val="00D152E3"/>
    <w:rsid w:val="00D15764"/>
    <w:rsid w:val="00D15BDB"/>
    <w:rsid w:val="00D16418"/>
    <w:rsid w:val="00D166D9"/>
    <w:rsid w:val="00D16D4F"/>
    <w:rsid w:val="00D16DA2"/>
    <w:rsid w:val="00D170CE"/>
    <w:rsid w:val="00D17871"/>
    <w:rsid w:val="00D20613"/>
    <w:rsid w:val="00D20EA7"/>
    <w:rsid w:val="00D21246"/>
    <w:rsid w:val="00D216F9"/>
    <w:rsid w:val="00D21C39"/>
    <w:rsid w:val="00D22059"/>
    <w:rsid w:val="00D2255C"/>
    <w:rsid w:val="00D23670"/>
    <w:rsid w:val="00D24386"/>
    <w:rsid w:val="00D244FA"/>
    <w:rsid w:val="00D25630"/>
    <w:rsid w:val="00D25A69"/>
    <w:rsid w:val="00D25D9E"/>
    <w:rsid w:val="00D26A56"/>
    <w:rsid w:val="00D270D1"/>
    <w:rsid w:val="00D2728B"/>
    <w:rsid w:val="00D27A33"/>
    <w:rsid w:val="00D30612"/>
    <w:rsid w:val="00D306FA"/>
    <w:rsid w:val="00D31480"/>
    <w:rsid w:val="00D31967"/>
    <w:rsid w:val="00D319A9"/>
    <w:rsid w:val="00D31E9A"/>
    <w:rsid w:val="00D324C3"/>
    <w:rsid w:val="00D32B7A"/>
    <w:rsid w:val="00D32C2C"/>
    <w:rsid w:val="00D32DE4"/>
    <w:rsid w:val="00D32E47"/>
    <w:rsid w:val="00D333E7"/>
    <w:rsid w:val="00D3340C"/>
    <w:rsid w:val="00D33D61"/>
    <w:rsid w:val="00D33D9A"/>
    <w:rsid w:val="00D33DA1"/>
    <w:rsid w:val="00D3455E"/>
    <w:rsid w:val="00D345F4"/>
    <w:rsid w:val="00D34C8D"/>
    <w:rsid w:val="00D354FA"/>
    <w:rsid w:val="00D357F8"/>
    <w:rsid w:val="00D35C6A"/>
    <w:rsid w:val="00D3601E"/>
    <w:rsid w:val="00D36CB0"/>
    <w:rsid w:val="00D36F10"/>
    <w:rsid w:val="00D407F9"/>
    <w:rsid w:val="00D41A3A"/>
    <w:rsid w:val="00D4272D"/>
    <w:rsid w:val="00D430DB"/>
    <w:rsid w:val="00D435D7"/>
    <w:rsid w:val="00D43762"/>
    <w:rsid w:val="00D43884"/>
    <w:rsid w:val="00D43970"/>
    <w:rsid w:val="00D43E64"/>
    <w:rsid w:val="00D4464A"/>
    <w:rsid w:val="00D44C78"/>
    <w:rsid w:val="00D45002"/>
    <w:rsid w:val="00D4547F"/>
    <w:rsid w:val="00D45AFD"/>
    <w:rsid w:val="00D4706F"/>
    <w:rsid w:val="00D470AB"/>
    <w:rsid w:val="00D47850"/>
    <w:rsid w:val="00D47F1F"/>
    <w:rsid w:val="00D50040"/>
    <w:rsid w:val="00D50ACE"/>
    <w:rsid w:val="00D51485"/>
    <w:rsid w:val="00D51519"/>
    <w:rsid w:val="00D51AD6"/>
    <w:rsid w:val="00D5233C"/>
    <w:rsid w:val="00D52514"/>
    <w:rsid w:val="00D5261D"/>
    <w:rsid w:val="00D528CD"/>
    <w:rsid w:val="00D52980"/>
    <w:rsid w:val="00D52D55"/>
    <w:rsid w:val="00D53262"/>
    <w:rsid w:val="00D532F8"/>
    <w:rsid w:val="00D53543"/>
    <w:rsid w:val="00D53A0C"/>
    <w:rsid w:val="00D53D26"/>
    <w:rsid w:val="00D545FE"/>
    <w:rsid w:val="00D54612"/>
    <w:rsid w:val="00D54698"/>
    <w:rsid w:val="00D54F61"/>
    <w:rsid w:val="00D55AB0"/>
    <w:rsid w:val="00D55DBD"/>
    <w:rsid w:val="00D56088"/>
    <w:rsid w:val="00D57877"/>
    <w:rsid w:val="00D60356"/>
    <w:rsid w:val="00D604DA"/>
    <w:rsid w:val="00D6076B"/>
    <w:rsid w:val="00D60807"/>
    <w:rsid w:val="00D60C5D"/>
    <w:rsid w:val="00D61AE3"/>
    <w:rsid w:val="00D62CC7"/>
    <w:rsid w:val="00D62F7E"/>
    <w:rsid w:val="00D63794"/>
    <w:rsid w:val="00D63C41"/>
    <w:rsid w:val="00D63C6F"/>
    <w:rsid w:val="00D6458E"/>
    <w:rsid w:val="00D650E2"/>
    <w:rsid w:val="00D658AD"/>
    <w:rsid w:val="00D65AE8"/>
    <w:rsid w:val="00D66A85"/>
    <w:rsid w:val="00D6735A"/>
    <w:rsid w:val="00D67683"/>
    <w:rsid w:val="00D67758"/>
    <w:rsid w:val="00D67950"/>
    <w:rsid w:val="00D67ABD"/>
    <w:rsid w:val="00D67CB6"/>
    <w:rsid w:val="00D704EC"/>
    <w:rsid w:val="00D70984"/>
    <w:rsid w:val="00D70D07"/>
    <w:rsid w:val="00D70E15"/>
    <w:rsid w:val="00D712EC"/>
    <w:rsid w:val="00D71A3A"/>
    <w:rsid w:val="00D72677"/>
    <w:rsid w:val="00D72FE7"/>
    <w:rsid w:val="00D72FFC"/>
    <w:rsid w:val="00D73BEB"/>
    <w:rsid w:val="00D73C56"/>
    <w:rsid w:val="00D7416E"/>
    <w:rsid w:val="00D745E2"/>
    <w:rsid w:val="00D74E07"/>
    <w:rsid w:val="00D75B5B"/>
    <w:rsid w:val="00D768B8"/>
    <w:rsid w:val="00D772BE"/>
    <w:rsid w:val="00D779B0"/>
    <w:rsid w:val="00D80133"/>
    <w:rsid w:val="00D80151"/>
    <w:rsid w:val="00D80C9B"/>
    <w:rsid w:val="00D8140D"/>
    <w:rsid w:val="00D816C3"/>
    <w:rsid w:val="00D82060"/>
    <w:rsid w:val="00D82585"/>
    <w:rsid w:val="00D82E14"/>
    <w:rsid w:val="00D83C2A"/>
    <w:rsid w:val="00D83FBB"/>
    <w:rsid w:val="00D8401F"/>
    <w:rsid w:val="00D8564F"/>
    <w:rsid w:val="00D85FCE"/>
    <w:rsid w:val="00D86221"/>
    <w:rsid w:val="00D8682E"/>
    <w:rsid w:val="00D868AB"/>
    <w:rsid w:val="00D87235"/>
    <w:rsid w:val="00D87410"/>
    <w:rsid w:val="00D874B3"/>
    <w:rsid w:val="00D87503"/>
    <w:rsid w:val="00D875E8"/>
    <w:rsid w:val="00D87BC2"/>
    <w:rsid w:val="00D87DF7"/>
    <w:rsid w:val="00D90337"/>
    <w:rsid w:val="00D903A1"/>
    <w:rsid w:val="00D903F8"/>
    <w:rsid w:val="00D90A58"/>
    <w:rsid w:val="00D90D28"/>
    <w:rsid w:val="00D91EB4"/>
    <w:rsid w:val="00D92355"/>
    <w:rsid w:val="00D92A20"/>
    <w:rsid w:val="00D92F73"/>
    <w:rsid w:val="00D935D2"/>
    <w:rsid w:val="00D93E01"/>
    <w:rsid w:val="00D95BAC"/>
    <w:rsid w:val="00D96B57"/>
    <w:rsid w:val="00D96F4B"/>
    <w:rsid w:val="00D97252"/>
    <w:rsid w:val="00D972C9"/>
    <w:rsid w:val="00D97718"/>
    <w:rsid w:val="00D97EC2"/>
    <w:rsid w:val="00D97F30"/>
    <w:rsid w:val="00DA0DD5"/>
    <w:rsid w:val="00DA134B"/>
    <w:rsid w:val="00DA15D4"/>
    <w:rsid w:val="00DA182D"/>
    <w:rsid w:val="00DA1CCA"/>
    <w:rsid w:val="00DA2035"/>
    <w:rsid w:val="00DA2F30"/>
    <w:rsid w:val="00DA2F3F"/>
    <w:rsid w:val="00DA4111"/>
    <w:rsid w:val="00DA470F"/>
    <w:rsid w:val="00DA49F7"/>
    <w:rsid w:val="00DA4E0E"/>
    <w:rsid w:val="00DA56E2"/>
    <w:rsid w:val="00DA5BA9"/>
    <w:rsid w:val="00DA6C62"/>
    <w:rsid w:val="00DA6C8A"/>
    <w:rsid w:val="00DA7A49"/>
    <w:rsid w:val="00DA7C5C"/>
    <w:rsid w:val="00DB0258"/>
    <w:rsid w:val="00DB0AF4"/>
    <w:rsid w:val="00DB0C27"/>
    <w:rsid w:val="00DB0E2D"/>
    <w:rsid w:val="00DB10CF"/>
    <w:rsid w:val="00DB18A6"/>
    <w:rsid w:val="00DB251D"/>
    <w:rsid w:val="00DB2CEE"/>
    <w:rsid w:val="00DB2E6F"/>
    <w:rsid w:val="00DB3289"/>
    <w:rsid w:val="00DB337F"/>
    <w:rsid w:val="00DB33E4"/>
    <w:rsid w:val="00DB3737"/>
    <w:rsid w:val="00DB3878"/>
    <w:rsid w:val="00DB4C4D"/>
    <w:rsid w:val="00DB4EE7"/>
    <w:rsid w:val="00DB52FB"/>
    <w:rsid w:val="00DB56C1"/>
    <w:rsid w:val="00DB6037"/>
    <w:rsid w:val="00DB613C"/>
    <w:rsid w:val="00DB6407"/>
    <w:rsid w:val="00DB65DD"/>
    <w:rsid w:val="00DB66E6"/>
    <w:rsid w:val="00DB6DB1"/>
    <w:rsid w:val="00DB7082"/>
    <w:rsid w:val="00DB7FE0"/>
    <w:rsid w:val="00DC022E"/>
    <w:rsid w:val="00DC0322"/>
    <w:rsid w:val="00DC06EE"/>
    <w:rsid w:val="00DC13AE"/>
    <w:rsid w:val="00DC1C0E"/>
    <w:rsid w:val="00DC1D8B"/>
    <w:rsid w:val="00DC2008"/>
    <w:rsid w:val="00DC2373"/>
    <w:rsid w:val="00DC294D"/>
    <w:rsid w:val="00DC2C39"/>
    <w:rsid w:val="00DC31B0"/>
    <w:rsid w:val="00DC3739"/>
    <w:rsid w:val="00DC3E7F"/>
    <w:rsid w:val="00DC43BD"/>
    <w:rsid w:val="00DC4504"/>
    <w:rsid w:val="00DC4800"/>
    <w:rsid w:val="00DC4BEC"/>
    <w:rsid w:val="00DC5C99"/>
    <w:rsid w:val="00DC652B"/>
    <w:rsid w:val="00DC685F"/>
    <w:rsid w:val="00DC6E33"/>
    <w:rsid w:val="00DC6F56"/>
    <w:rsid w:val="00DC6F8B"/>
    <w:rsid w:val="00DC7D03"/>
    <w:rsid w:val="00DD0A84"/>
    <w:rsid w:val="00DD0E62"/>
    <w:rsid w:val="00DD125F"/>
    <w:rsid w:val="00DD1305"/>
    <w:rsid w:val="00DD152F"/>
    <w:rsid w:val="00DD18CB"/>
    <w:rsid w:val="00DD2135"/>
    <w:rsid w:val="00DD284A"/>
    <w:rsid w:val="00DD3443"/>
    <w:rsid w:val="00DD3A76"/>
    <w:rsid w:val="00DD4332"/>
    <w:rsid w:val="00DD49CE"/>
    <w:rsid w:val="00DD4A67"/>
    <w:rsid w:val="00DD508F"/>
    <w:rsid w:val="00DD5243"/>
    <w:rsid w:val="00DD59A3"/>
    <w:rsid w:val="00DD5A83"/>
    <w:rsid w:val="00DD5C3C"/>
    <w:rsid w:val="00DD5D33"/>
    <w:rsid w:val="00DD5EAA"/>
    <w:rsid w:val="00DD65D9"/>
    <w:rsid w:val="00DD6893"/>
    <w:rsid w:val="00DD70D3"/>
    <w:rsid w:val="00DD772A"/>
    <w:rsid w:val="00DD7FDA"/>
    <w:rsid w:val="00DE0344"/>
    <w:rsid w:val="00DE036E"/>
    <w:rsid w:val="00DE0507"/>
    <w:rsid w:val="00DE14FB"/>
    <w:rsid w:val="00DE1DE0"/>
    <w:rsid w:val="00DE267C"/>
    <w:rsid w:val="00DE3520"/>
    <w:rsid w:val="00DE3563"/>
    <w:rsid w:val="00DE39A2"/>
    <w:rsid w:val="00DE49A8"/>
    <w:rsid w:val="00DE4C84"/>
    <w:rsid w:val="00DE563E"/>
    <w:rsid w:val="00DE580A"/>
    <w:rsid w:val="00DE5BB3"/>
    <w:rsid w:val="00DE5C0E"/>
    <w:rsid w:val="00DE6124"/>
    <w:rsid w:val="00DE6493"/>
    <w:rsid w:val="00DE66A0"/>
    <w:rsid w:val="00DE6789"/>
    <w:rsid w:val="00DE6BF6"/>
    <w:rsid w:val="00DE73F6"/>
    <w:rsid w:val="00DF08A5"/>
    <w:rsid w:val="00DF12D4"/>
    <w:rsid w:val="00DF16EA"/>
    <w:rsid w:val="00DF21BD"/>
    <w:rsid w:val="00DF2316"/>
    <w:rsid w:val="00DF2D03"/>
    <w:rsid w:val="00DF2D5A"/>
    <w:rsid w:val="00DF35AC"/>
    <w:rsid w:val="00DF36E5"/>
    <w:rsid w:val="00DF39AD"/>
    <w:rsid w:val="00DF3E4E"/>
    <w:rsid w:val="00DF404D"/>
    <w:rsid w:val="00DF42B0"/>
    <w:rsid w:val="00DF42D0"/>
    <w:rsid w:val="00DF4903"/>
    <w:rsid w:val="00DF4918"/>
    <w:rsid w:val="00DF4FA0"/>
    <w:rsid w:val="00DF50A3"/>
    <w:rsid w:val="00DF51F6"/>
    <w:rsid w:val="00DF5423"/>
    <w:rsid w:val="00DF562D"/>
    <w:rsid w:val="00DF56D0"/>
    <w:rsid w:val="00DF56FE"/>
    <w:rsid w:val="00DF5707"/>
    <w:rsid w:val="00DF5CA5"/>
    <w:rsid w:val="00DF643E"/>
    <w:rsid w:val="00DF649D"/>
    <w:rsid w:val="00DF6E22"/>
    <w:rsid w:val="00DF753A"/>
    <w:rsid w:val="00DF7DEC"/>
    <w:rsid w:val="00E007FA"/>
    <w:rsid w:val="00E00E4A"/>
    <w:rsid w:val="00E010DD"/>
    <w:rsid w:val="00E0115D"/>
    <w:rsid w:val="00E015FC"/>
    <w:rsid w:val="00E016AC"/>
    <w:rsid w:val="00E016F6"/>
    <w:rsid w:val="00E019AE"/>
    <w:rsid w:val="00E02098"/>
    <w:rsid w:val="00E0315E"/>
    <w:rsid w:val="00E036DD"/>
    <w:rsid w:val="00E043BD"/>
    <w:rsid w:val="00E0495C"/>
    <w:rsid w:val="00E04BB8"/>
    <w:rsid w:val="00E0547A"/>
    <w:rsid w:val="00E05941"/>
    <w:rsid w:val="00E0609A"/>
    <w:rsid w:val="00E061B2"/>
    <w:rsid w:val="00E06796"/>
    <w:rsid w:val="00E06FA7"/>
    <w:rsid w:val="00E07146"/>
    <w:rsid w:val="00E07152"/>
    <w:rsid w:val="00E07362"/>
    <w:rsid w:val="00E073CE"/>
    <w:rsid w:val="00E07573"/>
    <w:rsid w:val="00E0790C"/>
    <w:rsid w:val="00E103FE"/>
    <w:rsid w:val="00E110E3"/>
    <w:rsid w:val="00E11244"/>
    <w:rsid w:val="00E1131E"/>
    <w:rsid w:val="00E11CC2"/>
    <w:rsid w:val="00E125FF"/>
    <w:rsid w:val="00E14217"/>
    <w:rsid w:val="00E14A94"/>
    <w:rsid w:val="00E1565C"/>
    <w:rsid w:val="00E1599A"/>
    <w:rsid w:val="00E16142"/>
    <w:rsid w:val="00E162DC"/>
    <w:rsid w:val="00E16305"/>
    <w:rsid w:val="00E16573"/>
    <w:rsid w:val="00E1679C"/>
    <w:rsid w:val="00E167BD"/>
    <w:rsid w:val="00E16A54"/>
    <w:rsid w:val="00E16CC6"/>
    <w:rsid w:val="00E16DB4"/>
    <w:rsid w:val="00E16ED6"/>
    <w:rsid w:val="00E174B3"/>
    <w:rsid w:val="00E178ED"/>
    <w:rsid w:val="00E17F6E"/>
    <w:rsid w:val="00E212F6"/>
    <w:rsid w:val="00E2170C"/>
    <w:rsid w:val="00E2171F"/>
    <w:rsid w:val="00E21D2F"/>
    <w:rsid w:val="00E2229F"/>
    <w:rsid w:val="00E2249C"/>
    <w:rsid w:val="00E2270C"/>
    <w:rsid w:val="00E237CD"/>
    <w:rsid w:val="00E25119"/>
    <w:rsid w:val="00E25FB3"/>
    <w:rsid w:val="00E26669"/>
    <w:rsid w:val="00E269F7"/>
    <w:rsid w:val="00E26B3E"/>
    <w:rsid w:val="00E27388"/>
    <w:rsid w:val="00E27992"/>
    <w:rsid w:val="00E27CF5"/>
    <w:rsid w:val="00E30192"/>
    <w:rsid w:val="00E30945"/>
    <w:rsid w:val="00E30AF4"/>
    <w:rsid w:val="00E31876"/>
    <w:rsid w:val="00E31CB2"/>
    <w:rsid w:val="00E31DD1"/>
    <w:rsid w:val="00E3250E"/>
    <w:rsid w:val="00E32893"/>
    <w:rsid w:val="00E334B3"/>
    <w:rsid w:val="00E334B4"/>
    <w:rsid w:val="00E336FE"/>
    <w:rsid w:val="00E33E08"/>
    <w:rsid w:val="00E34188"/>
    <w:rsid w:val="00E34591"/>
    <w:rsid w:val="00E346E4"/>
    <w:rsid w:val="00E3548C"/>
    <w:rsid w:val="00E356A8"/>
    <w:rsid w:val="00E35708"/>
    <w:rsid w:val="00E35B08"/>
    <w:rsid w:val="00E35D06"/>
    <w:rsid w:val="00E36FD3"/>
    <w:rsid w:val="00E37199"/>
    <w:rsid w:val="00E37259"/>
    <w:rsid w:val="00E378D8"/>
    <w:rsid w:val="00E37A59"/>
    <w:rsid w:val="00E4033D"/>
    <w:rsid w:val="00E40608"/>
    <w:rsid w:val="00E408C0"/>
    <w:rsid w:val="00E40B2B"/>
    <w:rsid w:val="00E41252"/>
    <w:rsid w:val="00E415C2"/>
    <w:rsid w:val="00E41737"/>
    <w:rsid w:val="00E41EBD"/>
    <w:rsid w:val="00E4202B"/>
    <w:rsid w:val="00E42089"/>
    <w:rsid w:val="00E42862"/>
    <w:rsid w:val="00E431F8"/>
    <w:rsid w:val="00E444BE"/>
    <w:rsid w:val="00E44B10"/>
    <w:rsid w:val="00E44CBA"/>
    <w:rsid w:val="00E4548D"/>
    <w:rsid w:val="00E455BA"/>
    <w:rsid w:val="00E45D38"/>
    <w:rsid w:val="00E46499"/>
    <w:rsid w:val="00E46D1E"/>
    <w:rsid w:val="00E47724"/>
    <w:rsid w:val="00E47885"/>
    <w:rsid w:val="00E478EC"/>
    <w:rsid w:val="00E47B23"/>
    <w:rsid w:val="00E47E1F"/>
    <w:rsid w:val="00E47EF8"/>
    <w:rsid w:val="00E50084"/>
    <w:rsid w:val="00E50F94"/>
    <w:rsid w:val="00E51AFB"/>
    <w:rsid w:val="00E51D6F"/>
    <w:rsid w:val="00E525BD"/>
    <w:rsid w:val="00E528FE"/>
    <w:rsid w:val="00E52CC3"/>
    <w:rsid w:val="00E53166"/>
    <w:rsid w:val="00E533C9"/>
    <w:rsid w:val="00E53685"/>
    <w:rsid w:val="00E538D0"/>
    <w:rsid w:val="00E53AED"/>
    <w:rsid w:val="00E53D6A"/>
    <w:rsid w:val="00E53EBD"/>
    <w:rsid w:val="00E54B91"/>
    <w:rsid w:val="00E54E7B"/>
    <w:rsid w:val="00E5512D"/>
    <w:rsid w:val="00E552C7"/>
    <w:rsid w:val="00E55325"/>
    <w:rsid w:val="00E55C2D"/>
    <w:rsid w:val="00E56C68"/>
    <w:rsid w:val="00E57A23"/>
    <w:rsid w:val="00E6031D"/>
    <w:rsid w:val="00E60D16"/>
    <w:rsid w:val="00E60E9A"/>
    <w:rsid w:val="00E61271"/>
    <w:rsid w:val="00E612CF"/>
    <w:rsid w:val="00E61442"/>
    <w:rsid w:val="00E61775"/>
    <w:rsid w:val="00E619BA"/>
    <w:rsid w:val="00E61C9C"/>
    <w:rsid w:val="00E61D7D"/>
    <w:rsid w:val="00E61EF1"/>
    <w:rsid w:val="00E62E21"/>
    <w:rsid w:val="00E62F66"/>
    <w:rsid w:val="00E62FEE"/>
    <w:rsid w:val="00E63279"/>
    <w:rsid w:val="00E6383B"/>
    <w:rsid w:val="00E64195"/>
    <w:rsid w:val="00E64320"/>
    <w:rsid w:val="00E6448D"/>
    <w:rsid w:val="00E64833"/>
    <w:rsid w:val="00E652ED"/>
    <w:rsid w:val="00E6552A"/>
    <w:rsid w:val="00E65771"/>
    <w:rsid w:val="00E657DA"/>
    <w:rsid w:val="00E6594A"/>
    <w:rsid w:val="00E65993"/>
    <w:rsid w:val="00E6599C"/>
    <w:rsid w:val="00E65B44"/>
    <w:rsid w:val="00E65F9C"/>
    <w:rsid w:val="00E663CA"/>
    <w:rsid w:val="00E66945"/>
    <w:rsid w:val="00E66F6D"/>
    <w:rsid w:val="00E6703B"/>
    <w:rsid w:val="00E6740F"/>
    <w:rsid w:val="00E6789C"/>
    <w:rsid w:val="00E678B2"/>
    <w:rsid w:val="00E67CB3"/>
    <w:rsid w:val="00E703BB"/>
    <w:rsid w:val="00E704A6"/>
    <w:rsid w:val="00E704F2"/>
    <w:rsid w:val="00E705C6"/>
    <w:rsid w:val="00E709BC"/>
    <w:rsid w:val="00E716F2"/>
    <w:rsid w:val="00E71938"/>
    <w:rsid w:val="00E72001"/>
    <w:rsid w:val="00E72261"/>
    <w:rsid w:val="00E7236E"/>
    <w:rsid w:val="00E72422"/>
    <w:rsid w:val="00E72A40"/>
    <w:rsid w:val="00E72ACD"/>
    <w:rsid w:val="00E73799"/>
    <w:rsid w:val="00E73A48"/>
    <w:rsid w:val="00E73CF3"/>
    <w:rsid w:val="00E74257"/>
    <w:rsid w:val="00E748A8"/>
    <w:rsid w:val="00E749B6"/>
    <w:rsid w:val="00E75507"/>
    <w:rsid w:val="00E76512"/>
    <w:rsid w:val="00E76B04"/>
    <w:rsid w:val="00E76F10"/>
    <w:rsid w:val="00E775BD"/>
    <w:rsid w:val="00E77D7F"/>
    <w:rsid w:val="00E806C8"/>
    <w:rsid w:val="00E80991"/>
    <w:rsid w:val="00E809E9"/>
    <w:rsid w:val="00E81187"/>
    <w:rsid w:val="00E81B9C"/>
    <w:rsid w:val="00E822D0"/>
    <w:rsid w:val="00E82D5A"/>
    <w:rsid w:val="00E831A5"/>
    <w:rsid w:val="00E835D8"/>
    <w:rsid w:val="00E83875"/>
    <w:rsid w:val="00E83E5E"/>
    <w:rsid w:val="00E83F35"/>
    <w:rsid w:val="00E846D0"/>
    <w:rsid w:val="00E84C4D"/>
    <w:rsid w:val="00E853D4"/>
    <w:rsid w:val="00E858A8"/>
    <w:rsid w:val="00E85ECB"/>
    <w:rsid w:val="00E86357"/>
    <w:rsid w:val="00E863A3"/>
    <w:rsid w:val="00E86C09"/>
    <w:rsid w:val="00E86F8B"/>
    <w:rsid w:val="00E87076"/>
    <w:rsid w:val="00E870CA"/>
    <w:rsid w:val="00E8761D"/>
    <w:rsid w:val="00E90231"/>
    <w:rsid w:val="00E9074B"/>
    <w:rsid w:val="00E907E0"/>
    <w:rsid w:val="00E910DD"/>
    <w:rsid w:val="00E910F1"/>
    <w:rsid w:val="00E911E5"/>
    <w:rsid w:val="00E91311"/>
    <w:rsid w:val="00E918C6"/>
    <w:rsid w:val="00E921D0"/>
    <w:rsid w:val="00E921FA"/>
    <w:rsid w:val="00E92D62"/>
    <w:rsid w:val="00E92E54"/>
    <w:rsid w:val="00E931D9"/>
    <w:rsid w:val="00E93D6E"/>
    <w:rsid w:val="00E946DE"/>
    <w:rsid w:val="00E9486B"/>
    <w:rsid w:val="00E94AA4"/>
    <w:rsid w:val="00E94AEE"/>
    <w:rsid w:val="00E94F1A"/>
    <w:rsid w:val="00E9511D"/>
    <w:rsid w:val="00E95139"/>
    <w:rsid w:val="00E95356"/>
    <w:rsid w:val="00E954E8"/>
    <w:rsid w:val="00E96597"/>
    <w:rsid w:val="00E96A94"/>
    <w:rsid w:val="00E96AFE"/>
    <w:rsid w:val="00E971F8"/>
    <w:rsid w:val="00E976F1"/>
    <w:rsid w:val="00E97885"/>
    <w:rsid w:val="00E978C4"/>
    <w:rsid w:val="00E97AC3"/>
    <w:rsid w:val="00E97EFA"/>
    <w:rsid w:val="00EA0341"/>
    <w:rsid w:val="00EA0448"/>
    <w:rsid w:val="00EA0538"/>
    <w:rsid w:val="00EA0ACD"/>
    <w:rsid w:val="00EA13F9"/>
    <w:rsid w:val="00EA15C3"/>
    <w:rsid w:val="00EA20F5"/>
    <w:rsid w:val="00EA220C"/>
    <w:rsid w:val="00EA2AF9"/>
    <w:rsid w:val="00EA3444"/>
    <w:rsid w:val="00EA37ED"/>
    <w:rsid w:val="00EA468A"/>
    <w:rsid w:val="00EA4833"/>
    <w:rsid w:val="00EA4C7B"/>
    <w:rsid w:val="00EA5043"/>
    <w:rsid w:val="00EA5088"/>
    <w:rsid w:val="00EA5BA8"/>
    <w:rsid w:val="00EA63CA"/>
    <w:rsid w:val="00EA6532"/>
    <w:rsid w:val="00EA69B6"/>
    <w:rsid w:val="00EA6C6E"/>
    <w:rsid w:val="00EA7081"/>
    <w:rsid w:val="00EA739D"/>
    <w:rsid w:val="00EA7E56"/>
    <w:rsid w:val="00EB0666"/>
    <w:rsid w:val="00EB0767"/>
    <w:rsid w:val="00EB0AA5"/>
    <w:rsid w:val="00EB0EAD"/>
    <w:rsid w:val="00EB1328"/>
    <w:rsid w:val="00EB17F5"/>
    <w:rsid w:val="00EB1D00"/>
    <w:rsid w:val="00EB1FDC"/>
    <w:rsid w:val="00EB2FC9"/>
    <w:rsid w:val="00EB315F"/>
    <w:rsid w:val="00EB32D0"/>
    <w:rsid w:val="00EB37CC"/>
    <w:rsid w:val="00EB47D9"/>
    <w:rsid w:val="00EB5E35"/>
    <w:rsid w:val="00EB5F3D"/>
    <w:rsid w:val="00EB63B3"/>
    <w:rsid w:val="00EB6820"/>
    <w:rsid w:val="00EB6A99"/>
    <w:rsid w:val="00EB6BA5"/>
    <w:rsid w:val="00EB6CCA"/>
    <w:rsid w:val="00EC0090"/>
    <w:rsid w:val="00EC00ED"/>
    <w:rsid w:val="00EC0689"/>
    <w:rsid w:val="00EC08EC"/>
    <w:rsid w:val="00EC0935"/>
    <w:rsid w:val="00EC09BF"/>
    <w:rsid w:val="00EC12A8"/>
    <w:rsid w:val="00EC1427"/>
    <w:rsid w:val="00EC1684"/>
    <w:rsid w:val="00EC1BB9"/>
    <w:rsid w:val="00EC1E3E"/>
    <w:rsid w:val="00EC21BF"/>
    <w:rsid w:val="00EC29F2"/>
    <w:rsid w:val="00EC2A58"/>
    <w:rsid w:val="00EC2E92"/>
    <w:rsid w:val="00EC365E"/>
    <w:rsid w:val="00EC368A"/>
    <w:rsid w:val="00EC40A9"/>
    <w:rsid w:val="00EC4BBA"/>
    <w:rsid w:val="00EC54BD"/>
    <w:rsid w:val="00EC5926"/>
    <w:rsid w:val="00EC643B"/>
    <w:rsid w:val="00EC672B"/>
    <w:rsid w:val="00EC7049"/>
    <w:rsid w:val="00EC7613"/>
    <w:rsid w:val="00EC764E"/>
    <w:rsid w:val="00EC786F"/>
    <w:rsid w:val="00EC7B43"/>
    <w:rsid w:val="00EC7F33"/>
    <w:rsid w:val="00ED016A"/>
    <w:rsid w:val="00ED0171"/>
    <w:rsid w:val="00ED0D65"/>
    <w:rsid w:val="00ED120C"/>
    <w:rsid w:val="00ED121A"/>
    <w:rsid w:val="00ED1943"/>
    <w:rsid w:val="00ED1ACC"/>
    <w:rsid w:val="00ED1EBB"/>
    <w:rsid w:val="00ED2070"/>
    <w:rsid w:val="00ED2225"/>
    <w:rsid w:val="00ED238E"/>
    <w:rsid w:val="00ED2484"/>
    <w:rsid w:val="00ED26F7"/>
    <w:rsid w:val="00ED28D8"/>
    <w:rsid w:val="00ED28DF"/>
    <w:rsid w:val="00ED2B6E"/>
    <w:rsid w:val="00ED2D4B"/>
    <w:rsid w:val="00ED319B"/>
    <w:rsid w:val="00ED3421"/>
    <w:rsid w:val="00ED3968"/>
    <w:rsid w:val="00ED3BFF"/>
    <w:rsid w:val="00ED428E"/>
    <w:rsid w:val="00ED57BC"/>
    <w:rsid w:val="00ED5D28"/>
    <w:rsid w:val="00ED62EC"/>
    <w:rsid w:val="00ED62F6"/>
    <w:rsid w:val="00ED633F"/>
    <w:rsid w:val="00ED6345"/>
    <w:rsid w:val="00ED65E9"/>
    <w:rsid w:val="00ED6815"/>
    <w:rsid w:val="00ED691D"/>
    <w:rsid w:val="00ED6B0F"/>
    <w:rsid w:val="00ED6BB2"/>
    <w:rsid w:val="00ED6BD6"/>
    <w:rsid w:val="00ED77F2"/>
    <w:rsid w:val="00ED7FA9"/>
    <w:rsid w:val="00EE0047"/>
    <w:rsid w:val="00EE0D2D"/>
    <w:rsid w:val="00EE0DDE"/>
    <w:rsid w:val="00EE0F4B"/>
    <w:rsid w:val="00EE0F61"/>
    <w:rsid w:val="00EE19B7"/>
    <w:rsid w:val="00EE1A75"/>
    <w:rsid w:val="00EE1DC5"/>
    <w:rsid w:val="00EE2597"/>
    <w:rsid w:val="00EE267B"/>
    <w:rsid w:val="00EE343C"/>
    <w:rsid w:val="00EE3B25"/>
    <w:rsid w:val="00EE3DF3"/>
    <w:rsid w:val="00EE4637"/>
    <w:rsid w:val="00EE4AC8"/>
    <w:rsid w:val="00EE509F"/>
    <w:rsid w:val="00EE51F9"/>
    <w:rsid w:val="00EE52CE"/>
    <w:rsid w:val="00EE5BAE"/>
    <w:rsid w:val="00EE65E6"/>
    <w:rsid w:val="00EE6DFE"/>
    <w:rsid w:val="00EE736D"/>
    <w:rsid w:val="00EE746C"/>
    <w:rsid w:val="00EE767E"/>
    <w:rsid w:val="00EF0DA7"/>
    <w:rsid w:val="00EF0EE0"/>
    <w:rsid w:val="00EF1273"/>
    <w:rsid w:val="00EF12AA"/>
    <w:rsid w:val="00EF1FD2"/>
    <w:rsid w:val="00EF2059"/>
    <w:rsid w:val="00EF2363"/>
    <w:rsid w:val="00EF2722"/>
    <w:rsid w:val="00EF2B19"/>
    <w:rsid w:val="00EF2BC2"/>
    <w:rsid w:val="00EF2E2B"/>
    <w:rsid w:val="00EF33F2"/>
    <w:rsid w:val="00EF364E"/>
    <w:rsid w:val="00EF3FF7"/>
    <w:rsid w:val="00EF4304"/>
    <w:rsid w:val="00EF44B3"/>
    <w:rsid w:val="00EF44E7"/>
    <w:rsid w:val="00EF5C4A"/>
    <w:rsid w:val="00EF5E31"/>
    <w:rsid w:val="00EF61B8"/>
    <w:rsid w:val="00EF6AAB"/>
    <w:rsid w:val="00EF7232"/>
    <w:rsid w:val="00EF72C6"/>
    <w:rsid w:val="00EF7A21"/>
    <w:rsid w:val="00F00EB7"/>
    <w:rsid w:val="00F00F74"/>
    <w:rsid w:val="00F00F8C"/>
    <w:rsid w:val="00F01345"/>
    <w:rsid w:val="00F0143D"/>
    <w:rsid w:val="00F01656"/>
    <w:rsid w:val="00F020D4"/>
    <w:rsid w:val="00F027DA"/>
    <w:rsid w:val="00F02CBF"/>
    <w:rsid w:val="00F02E02"/>
    <w:rsid w:val="00F02E5E"/>
    <w:rsid w:val="00F0346A"/>
    <w:rsid w:val="00F03C8F"/>
    <w:rsid w:val="00F0501D"/>
    <w:rsid w:val="00F0562C"/>
    <w:rsid w:val="00F05A50"/>
    <w:rsid w:val="00F05BFF"/>
    <w:rsid w:val="00F06787"/>
    <w:rsid w:val="00F06A21"/>
    <w:rsid w:val="00F07316"/>
    <w:rsid w:val="00F10926"/>
    <w:rsid w:val="00F109AD"/>
    <w:rsid w:val="00F10CC5"/>
    <w:rsid w:val="00F12170"/>
    <w:rsid w:val="00F122F7"/>
    <w:rsid w:val="00F12D2D"/>
    <w:rsid w:val="00F13110"/>
    <w:rsid w:val="00F1333B"/>
    <w:rsid w:val="00F1377C"/>
    <w:rsid w:val="00F13E89"/>
    <w:rsid w:val="00F14159"/>
    <w:rsid w:val="00F14A91"/>
    <w:rsid w:val="00F151EA"/>
    <w:rsid w:val="00F1630B"/>
    <w:rsid w:val="00F16D10"/>
    <w:rsid w:val="00F17969"/>
    <w:rsid w:val="00F17AB4"/>
    <w:rsid w:val="00F17F00"/>
    <w:rsid w:val="00F20237"/>
    <w:rsid w:val="00F20590"/>
    <w:rsid w:val="00F2199D"/>
    <w:rsid w:val="00F21ADD"/>
    <w:rsid w:val="00F21C43"/>
    <w:rsid w:val="00F21E95"/>
    <w:rsid w:val="00F220B2"/>
    <w:rsid w:val="00F22127"/>
    <w:rsid w:val="00F221A2"/>
    <w:rsid w:val="00F2317B"/>
    <w:rsid w:val="00F236E7"/>
    <w:rsid w:val="00F23A7E"/>
    <w:rsid w:val="00F241C1"/>
    <w:rsid w:val="00F24658"/>
    <w:rsid w:val="00F247B5"/>
    <w:rsid w:val="00F248B7"/>
    <w:rsid w:val="00F24F27"/>
    <w:rsid w:val="00F25030"/>
    <w:rsid w:val="00F259E2"/>
    <w:rsid w:val="00F25FAB"/>
    <w:rsid w:val="00F26222"/>
    <w:rsid w:val="00F263CC"/>
    <w:rsid w:val="00F26CCD"/>
    <w:rsid w:val="00F27310"/>
    <w:rsid w:val="00F273A0"/>
    <w:rsid w:val="00F273B2"/>
    <w:rsid w:val="00F27907"/>
    <w:rsid w:val="00F27E55"/>
    <w:rsid w:val="00F303DA"/>
    <w:rsid w:val="00F30CA2"/>
    <w:rsid w:val="00F314A9"/>
    <w:rsid w:val="00F31518"/>
    <w:rsid w:val="00F31E31"/>
    <w:rsid w:val="00F31F7D"/>
    <w:rsid w:val="00F31FE4"/>
    <w:rsid w:val="00F32C42"/>
    <w:rsid w:val="00F33505"/>
    <w:rsid w:val="00F34168"/>
    <w:rsid w:val="00F343A3"/>
    <w:rsid w:val="00F345F3"/>
    <w:rsid w:val="00F34AF5"/>
    <w:rsid w:val="00F3612A"/>
    <w:rsid w:val="00F366F7"/>
    <w:rsid w:val="00F36ADB"/>
    <w:rsid w:val="00F37886"/>
    <w:rsid w:val="00F37C2C"/>
    <w:rsid w:val="00F37CDA"/>
    <w:rsid w:val="00F41C77"/>
    <w:rsid w:val="00F41ECD"/>
    <w:rsid w:val="00F4262D"/>
    <w:rsid w:val="00F42722"/>
    <w:rsid w:val="00F42AA8"/>
    <w:rsid w:val="00F42F99"/>
    <w:rsid w:val="00F43241"/>
    <w:rsid w:val="00F43823"/>
    <w:rsid w:val="00F43939"/>
    <w:rsid w:val="00F44107"/>
    <w:rsid w:val="00F44248"/>
    <w:rsid w:val="00F44856"/>
    <w:rsid w:val="00F449BE"/>
    <w:rsid w:val="00F44DDC"/>
    <w:rsid w:val="00F45BCB"/>
    <w:rsid w:val="00F45EE3"/>
    <w:rsid w:val="00F4616E"/>
    <w:rsid w:val="00F466AD"/>
    <w:rsid w:val="00F470A9"/>
    <w:rsid w:val="00F475C8"/>
    <w:rsid w:val="00F47ACD"/>
    <w:rsid w:val="00F502E3"/>
    <w:rsid w:val="00F51034"/>
    <w:rsid w:val="00F51B8C"/>
    <w:rsid w:val="00F522BB"/>
    <w:rsid w:val="00F522DC"/>
    <w:rsid w:val="00F52955"/>
    <w:rsid w:val="00F52D87"/>
    <w:rsid w:val="00F536A7"/>
    <w:rsid w:val="00F54089"/>
    <w:rsid w:val="00F54CFB"/>
    <w:rsid w:val="00F550C7"/>
    <w:rsid w:val="00F55E05"/>
    <w:rsid w:val="00F565AB"/>
    <w:rsid w:val="00F56A1C"/>
    <w:rsid w:val="00F571D3"/>
    <w:rsid w:val="00F57541"/>
    <w:rsid w:val="00F57648"/>
    <w:rsid w:val="00F577A3"/>
    <w:rsid w:val="00F5790B"/>
    <w:rsid w:val="00F57948"/>
    <w:rsid w:val="00F57A0B"/>
    <w:rsid w:val="00F57BF8"/>
    <w:rsid w:val="00F57F99"/>
    <w:rsid w:val="00F57FF7"/>
    <w:rsid w:val="00F614FC"/>
    <w:rsid w:val="00F617AA"/>
    <w:rsid w:val="00F61DAD"/>
    <w:rsid w:val="00F62126"/>
    <w:rsid w:val="00F62136"/>
    <w:rsid w:val="00F622F7"/>
    <w:rsid w:val="00F62377"/>
    <w:rsid w:val="00F6268C"/>
    <w:rsid w:val="00F62C2A"/>
    <w:rsid w:val="00F62C55"/>
    <w:rsid w:val="00F62DEB"/>
    <w:rsid w:val="00F631F6"/>
    <w:rsid w:val="00F633E7"/>
    <w:rsid w:val="00F63712"/>
    <w:rsid w:val="00F638CB"/>
    <w:rsid w:val="00F63B59"/>
    <w:rsid w:val="00F65F78"/>
    <w:rsid w:val="00F66105"/>
    <w:rsid w:val="00F663B6"/>
    <w:rsid w:val="00F66414"/>
    <w:rsid w:val="00F66C1C"/>
    <w:rsid w:val="00F66C61"/>
    <w:rsid w:val="00F66D42"/>
    <w:rsid w:val="00F66E2E"/>
    <w:rsid w:val="00F67058"/>
    <w:rsid w:val="00F673EB"/>
    <w:rsid w:val="00F674DC"/>
    <w:rsid w:val="00F67B5F"/>
    <w:rsid w:val="00F67BFC"/>
    <w:rsid w:val="00F7116F"/>
    <w:rsid w:val="00F711D5"/>
    <w:rsid w:val="00F713B3"/>
    <w:rsid w:val="00F719FD"/>
    <w:rsid w:val="00F71A5E"/>
    <w:rsid w:val="00F71CF3"/>
    <w:rsid w:val="00F720B7"/>
    <w:rsid w:val="00F72CBC"/>
    <w:rsid w:val="00F73725"/>
    <w:rsid w:val="00F737D7"/>
    <w:rsid w:val="00F738A2"/>
    <w:rsid w:val="00F73C59"/>
    <w:rsid w:val="00F74640"/>
    <w:rsid w:val="00F746BC"/>
    <w:rsid w:val="00F75045"/>
    <w:rsid w:val="00F76A61"/>
    <w:rsid w:val="00F76C4E"/>
    <w:rsid w:val="00F76D2F"/>
    <w:rsid w:val="00F776D8"/>
    <w:rsid w:val="00F807AD"/>
    <w:rsid w:val="00F80832"/>
    <w:rsid w:val="00F81146"/>
    <w:rsid w:val="00F8153D"/>
    <w:rsid w:val="00F815D8"/>
    <w:rsid w:val="00F81F50"/>
    <w:rsid w:val="00F820D7"/>
    <w:rsid w:val="00F82500"/>
    <w:rsid w:val="00F82911"/>
    <w:rsid w:val="00F83734"/>
    <w:rsid w:val="00F84ABC"/>
    <w:rsid w:val="00F84D58"/>
    <w:rsid w:val="00F84EB6"/>
    <w:rsid w:val="00F84F61"/>
    <w:rsid w:val="00F84FBC"/>
    <w:rsid w:val="00F8525C"/>
    <w:rsid w:val="00F8527F"/>
    <w:rsid w:val="00F8554B"/>
    <w:rsid w:val="00F85E48"/>
    <w:rsid w:val="00F8617A"/>
    <w:rsid w:val="00F864B7"/>
    <w:rsid w:val="00F86F16"/>
    <w:rsid w:val="00F86FF8"/>
    <w:rsid w:val="00F870B9"/>
    <w:rsid w:val="00F873D1"/>
    <w:rsid w:val="00F87813"/>
    <w:rsid w:val="00F879BF"/>
    <w:rsid w:val="00F87FE1"/>
    <w:rsid w:val="00F904AE"/>
    <w:rsid w:val="00F90DC8"/>
    <w:rsid w:val="00F91AA6"/>
    <w:rsid w:val="00F91B1B"/>
    <w:rsid w:val="00F91BD5"/>
    <w:rsid w:val="00F91D48"/>
    <w:rsid w:val="00F92163"/>
    <w:rsid w:val="00F93FF0"/>
    <w:rsid w:val="00F9517B"/>
    <w:rsid w:val="00F951A2"/>
    <w:rsid w:val="00F958BA"/>
    <w:rsid w:val="00F965DE"/>
    <w:rsid w:val="00F96EFF"/>
    <w:rsid w:val="00F97A0D"/>
    <w:rsid w:val="00F97DDD"/>
    <w:rsid w:val="00F97F88"/>
    <w:rsid w:val="00FA054E"/>
    <w:rsid w:val="00FA07F0"/>
    <w:rsid w:val="00FA0C1C"/>
    <w:rsid w:val="00FA1435"/>
    <w:rsid w:val="00FA1588"/>
    <w:rsid w:val="00FA1D07"/>
    <w:rsid w:val="00FA2002"/>
    <w:rsid w:val="00FA21BB"/>
    <w:rsid w:val="00FA2A02"/>
    <w:rsid w:val="00FA2BA1"/>
    <w:rsid w:val="00FA2E15"/>
    <w:rsid w:val="00FA2E18"/>
    <w:rsid w:val="00FA3A1A"/>
    <w:rsid w:val="00FA4BF7"/>
    <w:rsid w:val="00FA5180"/>
    <w:rsid w:val="00FA5AD1"/>
    <w:rsid w:val="00FA6A7E"/>
    <w:rsid w:val="00FA6E2D"/>
    <w:rsid w:val="00FA7133"/>
    <w:rsid w:val="00FA759D"/>
    <w:rsid w:val="00FB1221"/>
    <w:rsid w:val="00FB1534"/>
    <w:rsid w:val="00FB15F8"/>
    <w:rsid w:val="00FB2115"/>
    <w:rsid w:val="00FB2658"/>
    <w:rsid w:val="00FB27C1"/>
    <w:rsid w:val="00FB27CC"/>
    <w:rsid w:val="00FB2B5A"/>
    <w:rsid w:val="00FB3A6F"/>
    <w:rsid w:val="00FB3ACE"/>
    <w:rsid w:val="00FB3C26"/>
    <w:rsid w:val="00FB4504"/>
    <w:rsid w:val="00FB56D3"/>
    <w:rsid w:val="00FB60DA"/>
    <w:rsid w:val="00FB6B77"/>
    <w:rsid w:val="00FB6CEE"/>
    <w:rsid w:val="00FB70E5"/>
    <w:rsid w:val="00FC0C3D"/>
    <w:rsid w:val="00FC0D63"/>
    <w:rsid w:val="00FC0F63"/>
    <w:rsid w:val="00FC117E"/>
    <w:rsid w:val="00FC1849"/>
    <w:rsid w:val="00FC1AAE"/>
    <w:rsid w:val="00FC3418"/>
    <w:rsid w:val="00FC3A9D"/>
    <w:rsid w:val="00FC420C"/>
    <w:rsid w:val="00FC50E2"/>
    <w:rsid w:val="00FC5790"/>
    <w:rsid w:val="00FC590C"/>
    <w:rsid w:val="00FC59FA"/>
    <w:rsid w:val="00FC5D2C"/>
    <w:rsid w:val="00FC621A"/>
    <w:rsid w:val="00FC6325"/>
    <w:rsid w:val="00FC6980"/>
    <w:rsid w:val="00FC6A81"/>
    <w:rsid w:val="00FC7895"/>
    <w:rsid w:val="00FC7C73"/>
    <w:rsid w:val="00FC7EE9"/>
    <w:rsid w:val="00FD0489"/>
    <w:rsid w:val="00FD0825"/>
    <w:rsid w:val="00FD0B5E"/>
    <w:rsid w:val="00FD0E33"/>
    <w:rsid w:val="00FD1217"/>
    <w:rsid w:val="00FD1F00"/>
    <w:rsid w:val="00FD1FF1"/>
    <w:rsid w:val="00FD21DB"/>
    <w:rsid w:val="00FD29D8"/>
    <w:rsid w:val="00FD2A12"/>
    <w:rsid w:val="00FD2AE2"/>
    <w:rsid w:val="00FD30BD"/>
    <w:rsid w:val="00FD3431"/>
    <w:rsid w:val="00FD39F0"/>
    <w:rsid w:val="00FD3E8F"/>
    <w:rsid w:val="00FD4109"/>
    <w:rsid w:val="00FD4528"/>
    <w:rsid w:val="00FD466C"/>
    <w:rsid w:val="00FD55F8"/>
    <w:rsid w:val="00FD60DD"/>
    <w:rsid w:val="00FD69D8"/>
    <w:rsid w:val="00FD6AE0"/>
    <w:rsid w:val="00FD6C3C"/>
    <w:rsid w:val="00FD7910"/>
    <w:rsid w:val="00FD796A"/>
    <w:rsid w:val="00FE0320"/>
    <w:rsid w:val="00FE0396"/>
    <w:rsid w:val="00FE0A5F"/>
    <w:rsid w:val="00FE12CE"/>
    <w:rsid w:val="00FE139D"/>
    <w:rsid w:val="00FE1B2D"/>
    <w:rsid w:val="00FE23A0"/>
    <w:rsid w:val="00FE2870"/>
    <w:rsid w:val="00FE2888"/>
    <w:rsid w:val="00FE301F"/>
    <w:rsid w:val="00FE3093"/>
    <w:rsid w:val="00FE339B"/>
    <w:rsid w:val="00FE347B"/>
    <w:rsid w:val="00FE35E4"/>
    <w:rsid w:val="00FE39DC"/>
    <w:rsid w:val="00FE3B5B"/>
    <w:rsid w:val="00FE3BFE"/>
    <w:rsid w:val="00FE3F58"/>
    <w:rsid w:val="00FE451A"/>
    <w:rsid w:val="00FE456A"/>
    <w:rsid w:val="00FE4674"/>
    <w:rsid w:val="00FE5439"/>
    <w:rsid w:val="00FE54E4"/>
    <w:rsid w:val="00FE5AC3"/>
    <w:rsid w:val="00FE5DED"/>
    <w:rsid w:val="00FE63EF"/>
    <w:rsid w:val="00FE6683"/>
    <w:rsid w:val="00FE6848"/>
    <w:rsid w:val="00FE763D"/>
    <w:rsid w:val="00FE7839"/>
    <w:rsid w:val="00FE793E"/>
    <w:rsid w:val="00FE7EEA"/>
    <w:rsid w:val="00FF07B8"/>
    <w:rsid w:val="00FF0816"/>
    <w:rsid w:val="00FF0B81"/>
    <w:rsid w:val="00FF0D08"/>
    <w:rsid w:val="00FF0D2E"/>
    <w:rsid w:val="00FF0F1C"/>
    <w:rsid w:val="00FF105F"/>
    <w:rsid w:val="00FF1108"/>
    <w:rsid w:val="00FF122E"/>
    <w:rsid w:val="00FF17AD"/>
    <w:rsid w:val="00FF1B56"/>
    <w:rsid w:val="00FF2495"/>
    <w:rsid w:val="00FF26F9"/>
    <w:rsid w:val="00FF27FA"/>
    <w:rsid w:val="00FF304A"/>
    <w:rsid w:val="00FF3412"/>
    <w:rsid w:val="00FF3476"/>
    <w:rsid w:val="00FF3927"/>
    <w:rsid w:val="00FF3A7E"/>
    <w:rsid w:val="00FF3C17"/>
    <w:rsid w:val="00FF3F01"/>
    <w:rsid w:val="00FF4364"/>
    <w:rsid w:val="00FF4604"/>
    <w:rsid w:val="00FF4B10"/>
    <w:rsid w:val="00FF51FC"/>
    <w:rsid w:val="00FF55D3"/>
    <w:rsid w:val="00FF5E2D"/>
    <w:rsid w:val="00FF5F91"/>
    <w:rsid w:val="00FF635F"/>
    <w:rsid w:val="00FF683E"/>
    <w:rsid w:val="00FF7306"/>
    <w:rsid w:val="00FF7F8B"/>
    <w:rsid w:val="00FF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E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footnote text" w:locked="1" w:semiHidden="0" w:unhideWhenUsed="0"/>
    <w:lsdException w:name="header" w:uiPriority="0"/>
    <w:lsdException w:name="footer" w:locked="1" w:semiHidden="0" w:uiPriority="0" w:unhideWhenUsed="0"/>
    <w:lsdException w:name="caption" w:locked="1" w:uiPriority="0" w:qFormat="1"/>
    <w:lsdException w:name="footnote reference" w:locked="1" w:semiHidden="0" w:unhideWhenUsed="0"/>
    <w:lsdException w:name="page number" w:uiPriority="0"/>
    <w:lsdException w:name="Title" w:locked="1" w:semiHidden="0" w:uiPriority="0" w:unhideWhenUsed="0" w:qFormat="1"/>
    <w:lsdException w:name="Default Paragraph Font" w:uiPriority="1"/>
    <w:lsdException w:name="Body Text" w:locked="1" w:semiHidden="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68"/>
    <w:pPr>
      <w:spacing w:after="240" w:line="300" w:lineRule="exact"/>
      <w:jc w:val="both"/>
    </w:pPr>
    <w:rPr>
      <w:rFonts w:ascii="Book Antiqua" w:hAnsi="Book Antiqua"/>
      <w:color w:val="000000"/>
      <w:sz w:val="22"/>
      <w:szCs w:val="22"/>
    </w:rPr>
  </w:style>
  <w:style w:type="paragraph" w:styleId="Heading1">
    <w:name w:val="heading 1"/>
    <w:basedOn w:val="HeadingBase"/>
    <w:next w:val="Normal"/>
    <w:link w:val="Heading1Char"/>
    <w:qFormat/>
    <w:rsid w:val="00C420DA"/>
    <w:pPr>
      <w:keepNext/>
      <w:pBdr>
        <w:bottom w:val="single" w:sz="2" w:space="1" w:color="000080"/>
      </w:pBdr>
      <w:spacing w:before="560" w:after="560"/>
      <w:outlineLvl w:val="0"/>
    </w:pPr>
    <w:rPr>
      <w:rFonts w:cs="Arial"/>
      <w:bCs/>
      <w:smallCaps/>
      <w:kern w:val="32"/>
      <w:sz w:val="38"/>
      <w:szCs w:val="38"/>
    </w:rPr>
  </w:style>
  <w:style w:type="paragraph" w:styleId="Heading2">
    <w:name w:val="heading 2"/>
    <w:basedOn w:val="HeadingBase"/>
    <w:next w:val="NumberedParagraph1"/>
    <w:link w:val="Heading2Char"/>
    <w:qFormat/>
    <w:rsid w:val="00210B68"/>
    <w:pPr>
      <w:keepNext/>
      <w:spacing w:before="360" w:after="240"/>
      <w:outlineLvl w:val="1"/>
    </w:pPr>
    <w:rPr>
      <w:rFonts w:cs="Arial"/>
      <w:bCs/>
      <w:iCs/>
      <w:smallCaps/>
      <w:sz w:val="30"/>
      <w:szCs w:val="30"/>
    </w:rPr>
  </w:style>
  <w:style w:type="paragraph" w:styleId="Heading3">
    <w:name w:val="heading 3"/>
    <w:basedOn w:val="HeadingBase"/>
    <w:next w:val="NumberedParagraph1"/>
    <w:link w:val="Heading3Char"/>
    <w:qFormat/>
    <w:rsid w:val="00210B68"/>
    <w:pPr>
      <w:keepNext/>
      <w:spacing w:before="180" w:after="120"/>
      <w:outlineLvl w:val="2"/>
    </w:pPr>
    <w:rPr>
      <w:rFonts w:cs="Arial"/>
      <w:bCs/>
      <w:sz w:val="26"/>
      <w:szCs w:val="26"/>
    </w:rPr>
  </w:style>
  <w:style w:type="paragraph" w:styleId="Heading4">
    <w:name w:val="heading 4"/>
    <w:basedOn w:val="HeadingBase"/>
    <w:next w:val="NumberedParagraph1"/>
    <w:link w:val="Heading4Char"/>
    <w:qFormat/>
    <w:rsid w:val="00210B68"/>
    <w:pPr>
      <w:keepNext/>
      <w:spacing w:before="120" w:after="120"/>
      <w:outlineLvl w:val="3"/>
    </w:pPr>
    <w:rPr>
      <w:bCs/>
      <w:sz w:val="23"/>
      <w:szCs w:val="23"/>
    </w:rPr>
  </w:style>
  <w:style w:type="paragraph" w:styleId="Heading5">
    <w:name w:val="heading 5"/>
    <w:basedOn w:val="HeadingBase"/>
    <w:next w:val="NumberedParagraph1"/>
    <w:link w:val="Heading5Char"/>
    <w:qFormat/>
    <w:rsid w:val="00210B68"/>
    <w:pPr>
      <w:spacing w:before="160" w:after="80"/>
      <w:outlineLvl w:val="4"/>
    </w:pPr>
    <w:rPr>
      <w:bCs/>
      <w:i/>
      <w:iCs/>
      <w:sz w:val="22"/>
    </w:rPr>
  </w:style>
  <w:style w:type="paragraph" w:styleId="Heading6">
    <w:name w:val="heading 6"/>
    <w:basedOn w:val="HeadingBase"/>
    <w:next w:val="Normal"/>
    <w:link w:val="Heading6Char"/>
    <w:qFormat/>
    <w:rsid w:val="00210B68"/>
    <w:pPr>
      <w:spacing w:after="120"/>
      <w:outlineLvl w:val="5"/>
    </w:pPr>
    <w:rPr>
      <w:bCs/>
    </w:rPr>
  </w:style>
  <w:style w:type="paragraph" w:styleId="Heading7">
    <w:name w:val="heading 7"/>
    <w:basedOn w:val="HeadingBase"/>
    <w:next w:val="Normal"/>
    <w:link w:val="Heading7Char"/>
    <w:qFormat/>
    <w:rsid w:val="00210B68"/>
    <w:pPr>
      <w:spacing w:after="120"/>
      <w:outlineLvl w:val="6"/>
    </w:pPr>
    <w:rPr>
      <w:szCs w:val="24"/>
    </w:rPr>
  </w:style>
  <w:style w:type="paragraph" w:styleId="Heading8">
    <w:name w:val="heading 8"/>
    <w:basedOn w:val="HeadingBase"/>
    <w:next w:val="Normal"/>
    <w:link w:val="Heading8Char"/>
    <w:qFormat/>
    <w:rsid w:val="00210B68"/>
    <w:pPr>
      <w:spacing w:after="120"/>
      <w:outlineLvl w:val="7"/>
    </w:pPr>
    <w:rPr>
      <w:iCs/>
      <w:szCs w:val="24"/>
    </w:rPr>
  </w:style>
  <w:style w:type="paragraph" w:styleId="Heading9">
    <w:name w:val="heading 9"/>
    <w:basedOn w:val="HeadingBase"/>
    <w:next w:val="Normal"/>
    <w:link w:val="Heading9Char"/>
    <w:qFormat/>
    <w:rsid w:val="00210B68"/>
    <w:p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420DA"/>
    <w:rPr>
      <w:rFonts w:ascii="Arial" w:hAnsi="Arial" w:cs="Arial"/>
      <w:bCs/>
      <w:smallCaps/>
      <w:color w:val="000080"/>
      <w:kern w:val="32"/>
      <w:sz w:val="38"/>
      <w:szCs w:val="38"/>
    </w:rPr>
  </w:style>
  <w:style w:type="character" w:customStyle="1" w:styleId="Heading2Char">
    <w:name w:val="Heading 2 Char"/>
    <w:link w:val="Heading2"/>
    <w:locked/>
    <w:rsid w:val="00296A76"/>
    <w:rPr>
      <w:rFonts w:ascii="Arial" w:hAnsi="Arial" w:cs="Arial"/>
      <w:bCs/>
      <w:iCs/>
      <w:smallCaps/>
      <w:color w:val="000080"/>
      <w:sz w:val="30"/>
      <w:szCs w:val="30"/>
    </w:rPr>
  </w:style>
  <w:style w:type="character" w:customStyle="1" w:styleId="Heading3Char">
    <w:name w:val="Heading 3 Char"/>
    <w:link w:val="Heading3"/>
    <w:locked/>
    <w:rsid w:val="00296A76"/>
    <w:rPr>
      <w:rFonts w:ascii="Arial" w:hAnsi="Arial" w:cs="Arial"/>
      <w:bCs/>
      <w:color w:val="000080"/>
      <w:sz w:val="26"/>
      <w:szCs w:val="26"/>
    </w:rPr>
  </w:style>
  <w:style w:type="character" w:customStyle="1" w:styleId="Heading4Char">
    <w:name w:val="Heading 4 Char"/>
    <w:link w:val="Heading4"/>
    <w:locked/>
    <w:rsid w:val="00002C70"/>
    <w:rPr>
      <w:rFonts w:ascii="Arial" w:hAnsi="Arial"/>
      <w:bCs/>
      <w:color w:val="000080"/>
      <w:sz w:val="23"/>
      <w:szCs w:val="23"/>
    </w:rPr>
  </w:style>
  <w:style w:type="character" w:customStyle="1" w:styleId="Heading5Char">
    <w:name w:val="Heading 5 Char"/>
    <w:link w:val="Heading5"/>
    <w:rsid w:val="0075776A"/>
    <w:rPr>
      <w:rFonts w:ascii="Arial" w:hAnsi="Arial"/>
      <w:bCs/>
      <w:i/>
      <w:iCs/>
      <w:color w:val="000080"/>
      <w:sz w:val="22"/>
      <w:szCs w:val="22"/>
    </w:rPr>
  </w:style>
  <w:style w:type="character" w:customStyle="1" w:styleId="Heading6Char">
    <w:name w:val="Heading 6 Char"/>
    <w:link w:val="Heading6"/>
    <w:rsid w:val="0075776A"/>
    <w:rPr>
      <w:rFonts w:ascii="Arial" w:hAnsi="Arial"/>
      <w:bCs/>
      <w:color w:val="000080"/>
      <w:szCs w:val="22"/>
    </w:rPr>
  </w:style>
  <w:style w:type="character" w:customStyle="1" w:styleId="Heading7Char">
    <w:name w:val="Heading 7 Char"/>
    <w:link w:val="Heading7"/>
    <w:rsid w:val="0075776A"/>
    <w:rPr>
      <w:rFonts w:ascii="Arial" w:hAnsi="Arial"/>
      <w:color w:val="000080"/>
      <w:szCs w:val="24"/>
    </w:rPr>
  </w:style>
  <w:style w:type="character" w:customStyle="1" w:styleId="Heading8Char">
    <w:name w:val="Heading 8 Char"/>
    <w:link w:val="Heading8"/>
    <w:rsid w:val="0075776A"/>
    <w:rPr>
      <w:rFonts w:ascii="Arial" w:hAnsi="Arial"/>
      <w:iCs/>
      <w:color w:val="000080"/>
      <w:szCs w:val="24"/>
    </w:rPr>
  </w:style>
  <w:style w:type="character" w:customStyle="1" w:styleId="Heading9Char">
    <w:name w:val="Heading 9 Char"/>
    <w:link w:val="Heading9"/>
    <w:rsid w:val="0075776A"/>
    <w:rPr>
      <w:rFonts w:ascii="Arial" w:hAnsi="Arial" w:cs="Arial"/>
      <w:color w:val="000080"/>
      <w:szCs w:val="22"/>
    </w:rPr>
  </w:style>
  <w:style w:type="paragraph" w:customStyle="1" w:styleId="HeadingBase">
    <w:name w:val="Heading Base"/>
    <w:next w:val="Normal"/>
    <w:rsid w:val="00210B68"/>
    <w:rPr>
      <w:rFonts w:ascii="Arial" w:hAnsi="Arial"/>
      <w:color w:val="000080"/>
      <w:szCs w:val="22"/>
    </w:rPr>
  </w:style>
  <w:style w:type="paragraph" w:customStyle="1" w:styleId="NumberedParagraph1">
    <w:name w:val="Numbered Paragraph 1"/>
    <w:basedOn w:val="Normal"/>
    <w:link w:val="NumberedParagraph1Char"/>
    <w:uiPriority w:val="99"/>
    <w:rsid w:val="00210B68"/>
    <w:pPr>
      <w:numPr>
        <w:ilvl w:val="1"/>
        <w:numId w:val="10"/>
      </w:numPr>
    </w:pPr>
  </w:style>
  <w:style w:type="paragraph" w:customStyle="1" w:styleId="SingleParagraph">
    <w:name w:val="Single Paragraph"/>
    <w:basedOn w:val="Normal"/>
    <w:link w:val="SingleParagraphChar"/>
    <w:rsid w:val="00210B68"/>
    <w:pPr>
      <w:spacing w:after="0"/>
    </w:pPr>
  </w:style>
  <w:style w:type="character" w:styleId="Hyperlink">
    <w:name w:val="Hyperlink"/>
    <w:rsid w:val="00210B68"/>
    <w:rPr>
      <w:color w:val="0000FF"/>
      <w:u w:val="single"/>
    </w:rPr>
  </w:style>
  <w:style w:type="paragraph" w:customStyle="1" w:styleId="ChapterHeading">
    <w:name w:val="ChapterHeading"/>
    <w:basedOn w:val="HeadingBase"/>
    <w:next w:val="NumberedParagraph1"/>
    <w:rsid w:val="00210B68"/>
    <w:pPr>
      <w:numPr>
        <w:numId w:val="10"/>
      </w:numPr>
      <w:pBdr>
        <w:bottom w:val="single" w:sz="2" w:space="1" w:color="000080"/>
      </w:pBdr>
      <w:spacing w:before="720" w:after="800"/>
    </w:pPr>
    <w:rPr>
      <w:smallCaps/>
      <w:sz w:val="38"/>
      <w:szCs w:val="38"/>
    </w:rPr>
  </w:style>
  <w:style w:type="character" w:styleId="PageNumber">
    <w:name w:val="page number"/>
    <w:rsid w:val="00210B68"/>
    <w:rPr>
      <w:rFonts w:ascii="Arial" w:hAnsi="Arial"/>
      <w:sz w:val="18"/>
    </w:rPr>
  </w:style>
  <w:style w:type="paragraph" w:customStyle="1" w:styleId="CaseStudyHeading">
    <w:name w:val="Case Study Heading"/>
    <w:basedOn w:val="HeadingBase"/>
    <w:next w:val="Casestudytext"/>
    <w:rsid w:val="00210B68"/>
    <w:pPr>
      <w:spacing w:before="120" w:after="240"/>
    </w:pPr>
    <w:rPr>
      <w:b/>
      <w:sz w:val="22"/>
    </w:rPr>
  </w:style>
  <w:style w:type="paragraph" w:customStyle="1" w:styleId="Casestudytext">
    <w:name w:val="Case study text"/>
    <w:basedOn w:val="Normal"/>
    <w:rsid w:val="00210B68"/>
    <w:pPr>
      <w:spacing w:line="240" w:lineRule="auto"/>
    </w:pPr>
    <w:rPr>
      <w:color w:val="000080"/>
    </w:rPr>
  </w:style>
  <w:style w:type="paragraph" w:customStyle="1" w:styleId="Bullet">
    <w:name w:val="Bullet"/>
    <w:aliases w:val="b,b1,b + line,level 1,Body,BodyNum"/>
    <w:basedOn w:val="Normal"/>
    <w:link w:val="BulletChar"/>
    <w:rsid w:val="00C420DA"/>
    <w:pPr>
      <w:numPr>
        <w:numId w:val="1"/>
      </w:numPr>
      <w:tabs>
        <w:tab w:val="left" w:pos="567"/>
      </w:tabs>
      <w:spacing w:after="180"/>
      <w:ind w:left="567" w:hanging="567"/>
    </w:pPr>
  </w:style>
  <w:style w:type="paragraph" w:customStyle="1" w:styleId="Dash">
    <w:name w:val="Dash"/>
    <w:basedOn w:val="Normal"/>
    <w:link w:val="DashChar"/>
    <w:rsid w:val="001724B4"/>
    <w:pPr>
      <w:numPr>
        <w:ilvl w:val="1"/>
        <w:numId w:val="1"/>
      </w:numPr>
      <w:tabs>
        <w:tab w:val="left" w:pos="1134"/>
      </w:tabs>
      <w:spacing w:after="180"/>
      <w:ind w:left="1134" w:hanging="567"/>
    </w:pPr>
  </w:style>
  <w:style w:type="paragraph" w:customStyle="1" w:styleId="DoubleDot">
    <w:name w:val="Double Dot"/>
    <w:basedOn w:val="Normal"/>
    <w:rsid w:val="00210B68"/>
    <w:pPr>
      <w:numPr>
        <w:ilvl w:val="2"/>
        <w:numId w:val="1"/>
      </w:numPr>
    </w:pPr>
  </w:style>
  <w:style w:type="paragraph" w:customStyle="1" w:styleId="OutlineNumbered1">
    <w:name w:val="Outline Numbered 1"/>
    <w:basedOn w:val="Normal"/>
    <w:link w:val="OutlineNumbered1Char"/>
    <w:rsid w:val="00210B68"/>
    <w:pPr>
      <w:numPr>
        <w:numId w:val="2"/>
      </w:numPr>
    </w:pPr>
  </w:style>
  <w:style w:type="paragraph" w:customStyle="1" w:styleId="OutlineNumbered2">
    <w:name w:val="Outline Numbered 2"/>
    <w:basedOn w:val="Normal"/>
    <w:rsid w:val="00210B68"/>
    <w:pPr>
      <w:numPr>
        <w:ilvl w:val="1"/>
        <w:numId w:val="2"/>
      </w:numPr>
    </w:pPr>
  </w:style>
  <w:style w:type="paragraph" w:customStyle="1" w:styleId="OutlineNumbered3">
    <w:name w:val="Outline Numbered 3"/>
    <w:basedOn w:val="Normal"/>
    <w:rsid w:val="00210B68"/>
    <w:pPr>
      <w:numPr>
        <w:ilvl w:val="2"/>
        <w:numId w:val="2"/>
      </w:numPr>
    </w:pPr>
  </w:style>
  <w:style w:type="paragraph" w:customStyle="1" w:styleId="AlphaParagraph">
    <w:name w:val="Alpha Paragraph"/>
    <w:basedOn w:val="Normal"/>
    <w:rsid w:val="00210B68"/>
    <w:pPr>
      <w:numPr>
        <w:numId w:val="3"/>
      </w:numPr>
    </w:pPr>
  </w:style>
  <w:style w:type="paragraph" w:customStyle="1" w:styleId="AppendixHeading">
    <w:name w:val="Appendix Heading"/>
    <w:basedOn w:val="HeadingBase"/>
    <w:next w:val="Normal"/>
    <w:rsid w:val="009152C0"/>
    <w:pPr>
      <w:pBdr>
        <w:bottom w:val="single" w:sz="2" w:space="1" w:color="000080"/>
      </w:pBdr>
      <w:spacing w:before="560" w:after="560"/>
    </w:pPr>
    <w:rPr>
      <w:smallCaps/>
      <w:sz w:val="38"/>
      <w:szCs w:val="38"/>
    </w:rPr>
  </w:style>
  <w:style w:type="character" w:customStyle="1" w:styleId="Bold">
    <w:name w:val="Bold"/>
    <w:rsid w:val="00210B68"/>
    <w:rPr>
      <w:b/>
    </w:rPr>
  </w:style>
  <w:style w:type="paragraph" w:customStyle="1" w:styleId="BoxHeading">
    <w:name w:val="Box Heading"/>
    <w:basedOn w:val="HeadingBase"/>
    <w:next w:val="BoxText"/>
    <w:rsid w:val="00210B68"/>
    <w:pPr>
      <w:spacing w:before="240" w:after="240"/>
    </w:pPr>
    <w:rPr>
      <w:b/>
      <w:sz w:val="22"/>
    </w:rPr>
  </w:style>
  <w:style w:type="paragraph" w:customStyle="1" w:styleId="BoxText">
    <w:name w:val="Box Text"/>
    <w:basedOn w:val="BoxTextBase"/>
    <w:rsid w:val="00210B68"/>
  </w:style>
  <w:style w:type="paragraph" w:customStyle="1" w:styleId="BoxTextBase">
    <w:name w:val="Box Text Base"/>
    <w:basedOn w:val="Normal"/>
    <w:rsid w:val="00210B68"/>
    <w:pPr>
      <w:spacing w:line="240" w:lineRule="auto"/>
    </w:pPr>
  </w:style>
  <w:style w:type="paragraph" w:customStyle="1" w:styleId="ChartandTableFootnoteAlpha">
    <w:name w:val="Chart and Table Footnote Alpha"/>
    <w:rsid w:val="00210B68"/>
    <w:pPr>
      <w:numPr>
        <w:numId w:val="4"/>
      </w:numPr>
      <w:ind w:left="284" w:hanging="284"/>
      <w:jc w:val="both"/>
    </w:pPr>
    <w:rPr>
      <w:rFonts w:ascii="Arial" w:hAnsi="Arial"/>
      <w:color w:val="000000"/>
      <w:sz w:val="16"/>
      <w:szCs w:val="16"/>
    </w:rPr>
  </w:style>
  <w:style w:type="paragraph" w:customStyle="1" w:styleId="ChartGraphic">
    <w:name w:val="Chart Graphic"/>
    <w:basedOn w:val="HeadingBase"/>
    <w:next w:val="Normal"/>
    <w:rsid w:val="00210B68"/>
    <w:pPr>
      <w:spacing w:after="20"/>
      <w:jc w:val="center"/>
    </w:pPr>
  </w:style>
  <w:style w:type="paragraph" w:customStyle="1" w:styleId="ChartMainHeading">
    <w:name w:val="Chart Main Heading"/>
    <w:basedOn w:val="HeadingBase"/>
    <w:next w:val="ChartGraphic"/>
    <w:rsid w:val="00210B68"/>
    <w:pPr>
      <w:keepNext/>
      <w:spacing w:after="20"/>
      <w:jc w:val="center"/>
    </w:pPr>
    <w:rPr>
      <w:b/>
      <w:sz w:val="22"/>
    </w:rPr>
  </w:style>
  <w:style w:type="paragraph" w:customStyle="1" w:styleId="ChartorTableNote">
    <w:name w:val="Chart or Table Note"/>
    <w:next w:val="Normal"/>
    <w:rsid w:val="00210B68"/>
    <w:pPr>
      <w:jc w:val="both"/>
    </w:pPr>
    <w:rPr>
      <w:rFonts w:ascii="Arial" w:hAnsi="Arial"/>
      <w:color w:val="000000"/>
      <w:sz w:val="16"/>
    </w:rPr>
  </w:style>
  <w:style w:type="paragraph" w:customStyle="1" w:styleId="ChartSecondHeading">
    <w:name w:val="Chart Second Heading"/>
    <w:basedOn w:val="HeadingBase"/>
    <w:next w:val="ChartGraphic"/>
    <w:rsid w:val="00210B68"/>
    <w:pPr>
      <w:keepNext/>
      <w:spacing w:after="20"/>
      <w:jc w:val="center"/>
    </w:pPr>
  </w:style>
  <w:style w:type="paragraph" w:customStyle="1" w:styleId="Classification">
    <w:name w:val="Classification"/>
    <w:basedOn w:val="HeadingBase"/>
    <w:next w:val="Footer"/>
    <w:rsid w:val="00210B68"/>
    <w:pPr>
      <w:spacing w:after="120"/>
      <w:jc w:val="center"/>
    </w:pPr>
    <w:rPr>
      <w:b/>
      <w:smallCaps/>
    </w:rPr>
  </w:style>
  <w:style w:type="paragraph" w:styleId="Footer">
    <w:name w:val="footer"/>
    <w:basedOn w:val="HeadingBase"/>
    <w:link w:val="FooterChar"/>
    <w:rsid w:val="00210B68"/>
    <w:rPr>
      <w:sz w:val="18"/>
    </w:rPr>
  </w:style>
  <w:style w:type="character" w:customStyle="1" w:styleId="FooterChar">
    <w:name w:val="Footer Char"/>
    <w:link w:val="Footer"/>
    <w:locked/>
    <w:rsid w:val="008C3441"/>
    <w:rPr>
      <w:rFonts w:ascii="Arial" w:hAnsi="Arial"/>
      <w:color w:val="000080"/>
      <w:sz w:val="18"/>
      <w:szCs w:val="22"/>
    </w:rPr>
  </w:style>
  <w:style w:type="paragraph" w:customStyle="1" w:styleId="ContentsHeading">
    <w:name w:val="Contents Heading"/>
    <w:basedOn w:val="HeadingBase"/>
    <w:next w:val="Normal"/>
    <w:rsid w:val="00210B68"/>
    <w:pPr>
      <w:pBdr>
        <w:bottom w:val="single" w:sz="2" w:space="1" w:color="000080"/>
      </w:pBdr>
      <w:spacing w:before="720" w:after="800"/>
    </w:pPr>
    <w:rPr>
      <w:smallCaps/>
      <w:sz w:val="38"/>
      <w:szCs w:val="38"/>
    </w:rPr>
  </w:style>
  <w:style w:type="paragraph" w:customStyle="1" w:styleId="CoverTitleMain">
    <w:name w:val="Cover Title Main"/>
    <w:basedOn w:val="HeadingBase"/>
    <w:next w:val="Normal"/>
    <w:rsid w:val="00210B68"/>
    <w:pPr>
      <w:spacing w:after="240"/>
      <w:jc w:val="center"/>
    </w:pPr>
    <w:rPr>
      <w:b/>
      <w:spacing w:val="20"/>
      <w:sz w:val="52"/>
      <w:szCs w:val="52"/>
    </w:rPr>
  </w:style>
  <w:style w:type="paragraph" w:customStyle="1" w:styleId="CoverTitleSub">
    <w:name w:val="Cover Title Sub"/>
    <w:basedOn w:val="HeadingBase"/>
    <w:rsid w:val="00210B68"/>
    <w:pPr>
      <w:spacing w:after="120" w:line="420" w:lineRule="exact"/>
      <w:jc w:val="center"/>
    </w:pPr>
    <w:rPr>
      <w:sz w:val="36"/>
      <w:szCs w:val="36"/>
    </w:rPr>
  </w:style>
  <w:style w:type="paragraph" w:customStyle="1" w:styleId="FooterCentered">
    <w:name w:val="Footer Centered"/>
    <w:basedOn w:val="Footer"/>
    <w:rsid w:val="00210B68"/>
    <w:pPr>
      <w:jc w:val="center"/>
    </w:pPr>
  </w:style>
  <w:style w:type="paragraph" w:customStyle="1" w:styleId="FooterEven">
    <w:name w:val="Footer Even"/>
    <w:basedOn w:val="Footer"/>
    <w:rsid w:val="00210B68"/>
  </w:style>
  <w:style w:type="paragraph" w:customStyle="1" w:styleId="FooterOdd">
    <w:name w:val="Footer Odd"/>
    <w:basedOn w:val="Footer"/>
    <w:rsid w:val="00210B68"/>
    <w:pPr>
      <w:jc w:val="right"/>
    </w:pPr>
  </w:style>
  <w:style w:type="character" w:customStyle="1" w:styleId="FramedFooter">
    <w:name w:val="Framed Footer"/>
    <w:rsid w:val="00210B68"/>
    <w:rPr>
      <w:rFonts w:ascii="Arial" w:hAnsi="Arial"/>
      <w:color w:val="000080"/>
      <w:sz w:val="18"/>
      <w:szCs w:val="18"/>
    </w:rPr>
  </w:style>
  <w:style w:type="character" w:customStyle="1" w:styleId="FramedHeader">
    <w:name w:val="Framed Header"/>
    <w:rsid w:val="00210B68"/>
    <w:rPr>
      <w:rFonts w:ascii="Arial" w:hAnsi="Arial"/>
      <w:dstrike w:val="0"/>
      <w:color w:val="000080"/>
      <w:sz w:val="18"/>
      <w:szCs w:val="18"/>
      <w:vertAlign w:val="baseline"/>
    </w:rPr>
  </w:style>
  <w:style w:type="paragraph" w:styleId="Header">
    <w:name w:val="header"/>
    <w:basedOn w:val="HeadingBase"/>
    <w:link w:val="HeaderChar"/>
    <w:rsid w:val="00210B68"/>
    <w:rPr>
      <w:sz w:val="18"/>
    </w:rPr>
  </w:style>
  <w:style w:type="character" w:customStyle="1" w:styleId="HeaderChar">
    <w:name w:val="Header Char"/>
    <w:link w:val="Header"/>
    <w:rsid w:val="0075776A"/>
    <w:rPr>
      <w:rFonts w:ascii="Arial" w:hAnsi="Arial"/>
      <w:color w:val="000080"/>
      <w:sz w:val="18"/>
      <w:szCs w:val="22"/>
    </w:rPr>
  </w:style>
  <w:style w:type="paragraph" w:customStyle="1" w:styleId="HeaderEven">
    <w:name w:val="Header Even"/>
    <w:basedOn w:val="Header"/>
    <w:rsid w:val="00210B68"/>
  </w:style>
  <w:style w:type="paragraph" w:customStyle="1" w:styleId="HeaderOdd">
    <w:name w:val="Header Odd"/>
    <w:basedOn w:val="Header"/>
    <w:rsid w:val="00210B68"/>
    <w:pPr>
      <w:jc w:val="right"/>
    </w:pPr>
  </w:style>
  <w:style w:type="paragraph" w:styleId="NormalIndent">
    <w:name w:val="Normal Indent"/>
    <w:basedOn w:val="Normal"/>
    <w:link w:val="NormalIndentChar"/>
    <w:rsid w:val="00210B68"/>
    <w:pPr>
      <w:ind w:left="567"/>
    </w:pPr>
    <w:rPr>
      <w:sz w:val="20"/>
    </w:rPr>
  </w:style>
  <w:style w:type="paragraph" w:customStyle="1" w:styleId="RecommendationHeading">
    <w:name w:val="Recommendation Heading"/>
    <w:basedOn w:val="HeadingBase"/>
    <w:next w:val="RecommendationText"/>
    <w:link w:val="RecommendationHeadingChar"/>
    <w:rsid w:val="00210B68"/>
    <w:pPr>
      <w:spacing w:before="120" w:after="240"/>
    </w:pPr>
    <w:rPr>
      <w:b/>
      <w:sz w:val="22"/>
    </w:rPr>
  </w:style>
  <w:style w:type="paragraph" w:customStyle="1" w:styleId="RecommendationText">
    <w:name w:val="Recommendation Text"/>
    <w:basedOn w:val="RecommendationTextBase"/>
    <w:rsid w:val="00210B68"/>
    <w:pPr>
      <w:spacing w:before="120" w:after="120"/>
    </w:pPr>
  </w:style>
  <w:style w:type="paragraph" w:customStyle="1" w:styleId="RecommendationTextBase">
    <w:name w:val="Recommendation Text Base"/>
    <w:basedOn w:val="Normal"/>
    <w:rsid w:val="00210B68"/>
    <w:rPr>
      <w:color w:val="000080"/>
    </w:rPr>
  </w:style>
  <w:style w:type="paragraph" w:customStyle="1" w:styleId="TableTextBase">
    <w:name w:val="Table Text Base"/>
    <w:rsid w:val="00210B68"/>
    <w:pPr>
      <w:spacing w:after="120"/>
    </w:pPr>
    <w:rPr>
      <w:rFonts w:ascii="Arial" w:hAnsi="Arial"/>
      <w:color w:val="000000"/>
      <w:sz w:val="18"/>
      <w:szCs w:val="18"/>
    </w:rPr>
  </w:style>
  <w:style w:type="paragraph" w:customStyle="1" w:styleId="TableColumnHeadingCentred">
    <w:name w:val="Table Column Heading Centred"/>
    <w:basedOn w:val="TableTextBase"/>
    <w:rsid w:val="00210B68"/>
    <w:pPr>
      <w:spacing w:before="60" w:after="60"/>
      <w:jc w:val="center"/>
    </w:pPr>
    <w:rPr>
      <w:b/>
      <w:color w:val="000080"/>
      <w:sz w:val="20"/>
    </w:rPr>
  </w:style>
  <w:style w:type="paragraph" w:customStyle="1" w:styleId="TableColumnHeadingLeft">
    <w:name w:val="Table Column Heading Left"/>
    <w:basedOn w:val="TableTextBase"/>
    <w:rsid w:val="00210B68"/>
    <w:pPr>
      <w:spacing w:before="60" w:after="60"/>
    </w:pPr>
    <w:rPr>
      <w:b/>
      <w:color w:val="000080"/>
      <w:sz w:val="20"/>
    </w:rPr>
  </w:style>
  <w:style w:type="paragraph" w:customStyle="1" w:styleId="TableColumnHeadingRight">
    <w:name w:val="Table Column Heading Right"/>
    <w:basedOn w:val="TableTextBase"/>
    <w:rsid w:val="00210B68"/>
    <w:pPr>
      <w:spacing w:before="60" w:after="60"/>
      <w:jc w:val="right"/>
    </w:pPr>
    <w:rPr>
      <w:b/>
      <w:color w:val="000080"/>
      <w:sz w:val="20"/>
    </w:rPr>
  </w:style>
  <w:style w:type="paragraph" w:customStyle="1" w:styleId="TableGraphic">
    <w:name w:val="Table Graphic"/>
    <w:basedOn w:val="HeadingBase"/>
    <w:next w:val="Normal"/>
    <w:rsid w:val="00210B68"/>
    <w:pPr>
      <w:spacing w:after="40"/>
      <w:ind w:right="-113"/>
    </w:pPr>
  </w:style>
  <w:style w:type="paragraph" w:customStyle="1" w:styleId="TableMainHeading">
    <w:name w:val="Table Main Heading"/>
    <w:basedOn w:val="HeadingBase"/>
    <w:next w:val="TableGraphic"/>
    <w:rsid w:val="00210B68"/>
    <w:pPr>
      <w:keepNext/>
      <w:spacing w:after="20"/>
    </w:pPr>
    <w:rPr>
      <w:b/>
      <w:sz w:val="22"/>
    </w:rPr>
  </w:style>
  <w:style w:type="paragraph" w:customStyle="1" w:styleId="TableMainHeadingContd">
    <w:name w:val="Table Main Heading Contd"/>
    <w:basedOn w:val="HeadingBase"/>
    <w:next w:val="TableGraphic"/>
    <w:rsid w:val="00210B68"/>
    <w:pPr>
      <w:keepNext/>
      <w:spacing w:after="20"/>
    </w:pPr>
    <w:rPr>
      <w:b/>
      <w:sz w:val="22"/>
    </w:rPr>
  </w:style>
  <w:style w:type="paragraph" w:customStyle="1" w:styleId="TableSecondHeading">
    <w:name w:val="Table Second Heading"/>
    <w:basedOn w:val="HeadingBase"/>
    <w:next w:val="TableGraphic"/>
    <w:rsid w:val="00210B68"/>
    <w:pPr>
      <w:keepNext/>
      <w:spacing w:after="20"/>
    </w:pPr>
  </w:style>
  <w:style w:type="paragraph" w:customStyle="1" w:styleId="TableTextCentered">
    <w:name w:val="Table Text Centered"/>
    <w:basedOn w:val="TableTextBase"/>
    <w:rsid w:val="00210B68"/>
    <w:pPr>
      <w:jc w:val="center"/>
    </w:pPr>
  </w:style>
  <w:style w:type="paragraph" w:customStyle="1" w:styleId="TableTextIndented">
    <w:name w:val="Table Text Indented"/>
    <w:basedOn w:val="TableTextBase"/>
    <w:rsid w:val="00210B68"/>
    <w:pPr>
      <w:ind w:left="284"/>
    </w:pPr>
  </w:style>
  <w:style w:type="paragraph" w:customStyle="1" w:styleId="TableTextLeft">
    <w:name w:val="Table Text Left"/>
    <w:basedOn w:val="TableTextBase"/>
    <w:rsid w:val="00210B68"/>
    <w:pPr>
      <w:spacing w:before="30" w:after="80"/>
    </w:pPr>
  </w:style>
  <w:style w:type="paragraph" w:customStyle="1" w:styleId="TableTextRight">
    <w:name w:val="Table Text Right"/>
    <w:basedOn w:val="TableTextBase"/>
    <w:rsid w:val="00210B68"/>
    <w:pPr>
      <w:jc w:val="right"/>
    </w:pPr>
  </w:style>
  <w:style w:type="paragraph" w:styleId="TOC1">
    <w:name w:val="toc 1"/>
    <w:basedOn w:val="HeadingBase"/>
    <w:next w:val="Normal"/>
    <w:uiPriority w:val="39"/>
    <w:rsid w:val="00210B68"/>
    <w:pPr>
      <w:tabs>
        <w:tab w:val="right" w:leader="dot" w:pos="8505"/>
      </w:tabs>
      <w:spacing w:before="120"/>
      <w:ind w:right="1134"/>
    </w:pPr>
    <w:rPr>
      <w:rFonts w:ascii="Arial Bold" w:hAnsi="Arial Bold"/>
      <w:b/>
      <w:smallCaps/>
      <w:sz w:val="22"/>
    </w:rPr>
  </w:style>
  <w:style w:type="paragraph" w:styleId="TOC2">
    <w:name w:val="toc 2"/>
    <w:basedOn w:val="Normal"/>
    <w:next w:val="Normal"/>
    <w:uiPriority w:val="39"/>
    <w:rsid w:val="00210B68"/>
    <w:pPr>
      <w:tabs>
        <w:tab w:val="right" w:leader="dot" w:pos="8505"/>
      </w:tabs>
      <w:spacing w:before="60" w:after="60" w:line="240" w:lineRule="auto"/>
      <w:ind w:right="1134"/>
    </w:pPr>
    <w:rPr>
      <w:rFonts w:ascii="Arial" w:hAnsi="Arial"/>
      <w:color w:val="000080"/>
      <w:sz w:val="20"/>
      <w:szCs w:val="20"/>
    </w:rPr>
  </w:style>
  <w:style w:type="paragraph" w:styleId="TOC3">
    <w:name w:val="toc 3"/>
    <w:basedOn w:val="Normal"/>
    <w:next w:val="Normal"/>
    <w:uiPriority w:val="39"/>
    <w:rsid w:val="00825554"/>
    <w:pPr>
      <w:tabs>
        <w:tab w:val="right" w:pos="8504"/>
      </w:tabs>
      <w:spacing w:before="20" w:after="0" w:line="240" w:lineRule="auto"/>
      <w:ind w:left="284" w:right="1274"/>
    </w:pPr>
    <w:rPr>
      <w:rFonts w:ascii="Arial" w:hAnsi="Arial"/>
      <w:noProof/>
      <w:color w:val="000080"/>
      <w:sz w:val="18"/>
    </w:rPr>
  </w:style>
  <w:style w:type="paragraph" w:styleId="TOC4">
    <w:name w:val="toc 4"/>
    <w:basedOn w:val="Normal"/>
    <w:next w:val="Normal"/>
    <w:rsid w:val="00210B68"/>
    <w:pPr>
      <w:tabs>
        <w:tab w:val="right" w:pos="7700"/>
      </w:tabs>
      <w:spacing w:after="0" w:line="240" w:lineRule="auto"/>
      <w:ind w:left="284" w:right="851"/>
    </w:pPr>
  </w:style>
  <w:style w:type="character" w:customStyle="1" w:styleId="italic">
    <w:name w:val="italic"/>
    <w:rsid w:val="00210B68"/>
    <w:rPr>
      <w:i/>
    </w:rPr>
  </w:style>
  <w:style w:type="paragraph" w:customStyle="1" w:styleId="OneLevelNumberedParagraph">
    <w:name w:val="One Level Numbered Paragraph"/>
    <w:basedOn w:val="Normal"/>
    <w:rsid w:val="00210B68"/>
    <w:pPr>
      <w:numPr>
        <w:numId w:val="6"/>
      </w:numPr>
    </w:pPr>
  </w:style>
  <w:style w:type="paragraph" w:customStyle="1" w:styleId="BoxBullet">
    <w:name w:val="Box Bullet"/>
    <w:basedOn w:val="BoxTextBase"/>
    <w:rsid w:val="00210B68"/>
    <w:pPr>
      <w:numPr>
        <w:numId w:val="5"/>
      </w:numPr>
    </w:pPr>
  </w:style>
  <w:style w:type="paragraph" w:customStyle="1" w:styleId="BoxDash">
    <w:name w:val="Box Dash"/>
    <w:basedOn w:val="Normal"/>
    <w:rsid w:val="00210B68"/>
    <w:pPr>
      <w:numPr>
        <w:ilvl w:val="1"/>
        <w:numId w:val="5"/>
      </w:numPr>
    </w:pPr>
  </w:style>
  <w:style w:type="paragraph" w:customStyle="1" w:styleId="BoxDoubleDot">
    <w:name w:val="Box Double Dot"/>
    <w:basedOn w:val="BoxTextBase"/>
    <w:rsid w:val="00210B68"/>
    <w:pPr>
      <w:numPr>
        <w:ilvl w:val="2"/>
        <w:numId w:val="5"/>
      </w:numPr>
    </w:pPr>
  </w:style>
  <w:style w:type="paragraph" w:customStyle="1" w:styleId="RecommendationBullet">
    <w:name w:val="Recommendation Bullet"/>
    <w:basedOn w:val="RecommendationTextBase"/>
    <w:link w:val="RecommendationBulletChar"/>
    <w:rsid w:val="00210B68"/>
    <w:pPr>
      <w:numPr>
        <w:numId w:val="12"/>
      </w:numPr>
    </w:pPr>
  </w:style>
  <w:style w:type="paragraph" w:customStyle="1" w:styleId="RecommendationDash">
    <w:name w:val="Recommendation Dash"/>
    <w:basedOn w:val="RecommendationTextBase"/>
    <w:rsid w:val="00210B68"/>
    <w:pPr>
      <w:numPr>
        <w:ilvl w:val="1"/>
        <w:numId w:val="12"/>
      </w:numPr>
    </w:pPr>
  </w:style>
  <w:style w:type="paragraph" w:customStyle="1" w:styleId="RecommendationDoubleDot">
    <w:name w:val="Recommendation Double Dot"/>
    <w:basedOn w:val="RecommendationTextBase"/>
    <w:rsid w:val="00210B68"/>
    <w:pPr>
      <w:numPr>
        <w:ilvl w:val="2"/>
        <w:numId w:val="12"/>
      </w:numPr>
    </w:pPr>
  </w:style>
  <w:style w:type="paragraph" w:customStyle="1" w:styleId="Casestudysourcenote">
    <w:name w:val="Case study source note"/>
    <w:basedOn w:val="HeadingBase"/>
    <w:rsid w:val="00210B68"/>
    <w:pPr>
      <w:jc w:val="both"/>
    </w:pPr>
    <w:rPr>
      <w:sz w:val="16"/>
      <w:szCs w:val="16"/>
    </w:rPr>
  </w:style>
  <w:style w:type="paragraph" w:customStyle="1" w:styleId="Recommendationalpha">
    <w:name w:val="Recommendation alpha"/>
    <w:basedOn w:val="RecommendationTextBase"/>
    <w:rsid w:val="00210B68"/>
    <w:pPr>
      <w:numPr>
        <w:numId w:val="7"/>
      </w:numPr>
    </w:pPr>
  </w:style>
  <w:style w:type="paragraph" w:customStyle="1" w:styleId="Recommendationindent">
    <w:name w:val="Recommendation indent"/>
    <w:basedOn w:val="RecommendationTextBase"/>
    <w:rsid w:val="00210B68"/>
    <w:pPr>
      <w:ind w:left="567"/>
    </w:pPr>
  </w:style>
  <w:style w:type="paragraph" w:customStyle="1" w:styleId="Recommendationromannumeral">
    <w:name w:val="Recommendation roman numeral"/>
    <w:basedOn w:val="RecommendationTextBase"/>
    <w:rsid w:val="00210B68"/>
    <w:pPr>
      <w:numPr>
        <w:numId w:val="8"/>
      </w:numPr>
    </w:pPr>
  </w:style>
  <w:style w:type="paragraph" w:customStyle="1" w:styleId="CoverTitleSub2">
    <w:name w:val="Cover Title Sub 2"/>
    <w:basedOn w:val="HeadingBase"/>
    <w:rsid w:val="00210B68"/>
    <w:pPr>
      <w:spacing w:after="120" w:line="420" w:lineRule="exact"/>
      <w:jc w:val="center"/>
    </w:pPr>
    <w:rPr>
      <w:sz w:val="28"/>
      <w:szCs w:val="28"/>
    </w:rPr>
  </w:style>
  <w:style w:type="character" w:styleId="FootnoteReference">
    <w:name w:val="footnote reference"/>
    <w:uiPriority w:val="99"/>
    <w:rsid w:val="00210B68"/>
    <w:rPr>
      <w:sz w:val="20"/>
      <w:szCs w:val="20"/>
      <w:vertAlign w:val="superscript"/>
    </w:rPr>
  </w:style>
  <w:style w:type="paragraph" w:styleId="FootnoteText">
    <w:name w:val="footnote text"/>
    <w:basedOn w:val="Normal"/>
    <w:link w:val="FootnoteTextChar"/>
    <w:uiPriority w:val="99"/>
    <w:rsid w:val="00032850"/>
    <w:pPr>
      <w:tabs>
        <w:tab w:val="left" w:pos="284"/>
      </w:tabs>
      <w:spacing w:after="0" w:line="240" w:lineRule="auto"/>
      <w:ind w:left="284" w:hanging="284"/>
    </w:pPr>
    <w:rPr>
      <w:sz w:val="18"/>
      <w:szCs w:val="18"/>
    </w:rPr>
  </w:style>
  <w:style w:type="character" w:customStyle="1" w:styleId="FootnoteTextChar">
    <w:name w:val="Footnote Text Char"/>
    <w:link w:val="FootnoteText"/>
    <w:uiPriority w:val="99"/>
    <w:locked/>
    <w:rsid w:val="00032850"/>
    <w:rPr>
      <w:rFonts w:ascii="Book Antiqua" w:hAnsi="Book Antiqua"/>
      <w:color w:val="000000"/>
      <w:sz w:val="18"/>
      <w:szCs w:val="18"/>
    </w:rPr>
  </w:style>
  <w:style w:type="table" w:styleId="TableContemporary">
    <w:name w:val="Table Contemporary"/>
    <w:basedOn w:val="TableNormal"/>
    <w:rsid w:val="00210B68"/>
    <w:pPr>
      <w:spacing w:after="24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rsid w:val="00210B68"/>
    <w:rPr>
      <w:b/>
      <w:i/>
    </w:rPr>
  </w:style>
  <w:style w:type="paragraph" w:customStyle="1" w:styleId="Graphic">
    <w:name w:val="Graphic"/>
    <w:basedOn w:val="Normal"/>
    <w:rsid w:val="00210B68"/>
    <w:pPr>
      <w:spacing w:after="0" w:line="240" w:lineRule="auto"/>
      <w:jc w:val="center"/>
    </w:pPr>
  </w:style>
  <w:style w:type="paragraph" w:customStyle="1" w:styleId="Casestudybullet">
    <w:name w:val="Case study bullet"/>
    <w:basedOn w:val="Casestudytext"/>
    <w:rsid w:val="00210B68"/>
    <w:pPr>
      <w:numPr>
        <w:numId w:val="9"/>
      </w:numPr>
    </w:pPr>
  </w:style>
  <w:style w:type="paragraph" w:customStyle="1" w:styleId="Casestudyheading2">
    <w:name w:val="Case study heading 2"/>
    <w:basedOn w:val="HeadingBase"/>
    <w:rsid w:val="00210B68"/>
    <w:pPr>
      <w:spacing w:after="120"/>
    </w:pPr>
    <w:rPr>
      <w:i/>
      <w:sz w:val="22"/>
    </w:rPr>
  </w:style>
  <w:style w:type="paragraph" w:customStyle="1" w:styleId="Normalindentitalics">
    <w:name w:val="Normal indent italics"/>
    <w:basedOn w:val="NormalIndent"/>
    <w:rsid w:val="00210B68"/>
    <w:pPr>
      <w:tabs>
        <w:tab w:val="left" w:pos="1134"/>
      </w:tabs>
    </w:pPr>
    <w:rPr>
      <w:i/>
      <w:szCs w:val="20"/>
    </w:rPr>
  </w:style>
  <w:style w:type="paragraph" w:customStyle="1" w:styleId="NormalIndentbold">
    <w:name w:val="Normal Indent bold"/>
    <w:basedOn w:val="Normal"/>
    <w:rsid w:val="00210B68"/>
    <w:pPr>
      <w:tabs>
        <w:tab w:val="left" w:pos="1134"/>
      </w:tabs>
      <w:spacing w:after="0"/>
      <w:ind w:left="567"/>
    </w:pPr>
    <w:rPr>
      <w:b/>
      <w:sz w:val="20"/>
      <w:szCs w:val="20"/>
    </w:rPr>
  </w:style>
  <w:style w:type="character" w:customStyle="1" w:styleId="Italics">
    <w:name w:val="Italics"/>
    <w:rsid w:val="00210B68"/>
    <w:rPr>
      <w:i/>
    </w:rPr>
  </w:style>
  <w:style w:type="paragraph" w:customStyle="1" w:styleId="Romannumeral">
    <w:name w:val="Roman numeral"/>
    <w:basedOn w:val="Normal"/>
    <w:rsid w:val="00210B68"/>
    <w:pPr>
      <w:numPr>
        <w:numId w:val="11"/>
      </w:numPr>
    </w:pPr>
  </w:style>
  <w:style w:type="character" w:customStyle="1" w:styleId="SingleParagraphChar">
    <w:name w:val="Single Paragraph Char"/>
    <w:link w:val="SingleParagraph"/>
    <w:locked/>
    <w:rsid w:val="00296A76"/>
    <w:rPr>
      <w:rFonts w:ascii="Book Antiqua" w:hAnsi="Book Antiqua"/>
      <w:color w:val="000000"/>
      <w:sz w:val="22"/>
      <w:szCs w:val="22"/>
    </w:rPr>
  </w:style>
  <w:style w:type="character" w:customStyle="1" w:styleId="BulletChar">
    <w:name w:val="Bullet Char"/>
    <w:aliases w:val="b Char,b Char Char,b + line Char Char"/>
    <w:link w:val="Bullet"/>
    <w:locked/>
    <w:rsid w:val="00C420DA"/>
    <w:rPr>
      <w:rFonts w:ascii="Book Antiqua" w:hAnsi="Book Antiqua"/>
      <w:color w:val="000000"/>
      <w:sz w:val="22"/>
      <w:szCs w:val="22"/>
    </w:rPr>
  </w:style>
  <w:style w:type="character" w:customStyle="1" w:styleId="NumberedParagraph1Char">
    <w:name w:val="Numbered Paragraph 1 Char"/>
    <w:link w:val="NumberedParagraph1"/>
    <w:uiPriority w:val="99"/>
    <w:locked/>
    <w:rsid w:val="00296A76"/>
    <w:rPr>
      <w:rFonts w:ascii="Book Antiqua" w:hAnsi="Book Antiqua"/>
      <w:color w:val="000000"/>
      <w:sz w:val="22"/>
      <w:szCs w:val="22"/>
    </w:rPr>
  </w:style>
  <w:style w:type="character" w:customStyle="1" w:styleId="NormalIndentChar">
    <w:name w:val="Normal Indent Char"/>
    <w:link w:val="NormalIndent"/>
    <w:locked/>
    <w:rsid w:val="00296A76"/>
    <w:rPr>
      <w:rFonts w:ascii="Book Antiqua" w:hAnsi="Book Antiqua"/>
      <w:color w:val="000000"/>
      <w:szCs w:val="22"/>
    </w:rPr>
  </w:style>
  <w:style w:type="character" w:customStyle="1" w:styleId="RecommendationHeadingChar">
    <w:name w:val="Recommendation Heading Char"/>
    <w:link w:val="RecommendationHeading"/>
    <w:locked/>
    <w:rsid w:val="00722ECE"/>
    <w:rPr>
      <w:rFonts w:ascii="Arial" w:hAnsi="Arial"/>
      <w:b/>
      <w:color w:val="000080"/>
      <w:sz w:val="22"/>
      <w:szCs w:val="22"/>
    </w:rPr>
  </w:style>
  <w:style w:type="character" w:customStyle="1" w:styleId="RecommendationBulletChar">
    <w:name w:val="Recommendation Bullet Char"/>
    <w:link w:val="RecommendationBullet"/>
    <w:locked/>
    <w:rsid w:val="00A73CE8"/>
    <w:rPr>
      <w:rFonts w:ascii="Book Antiqua" w:hAnsi="Book Antiqua"/>
      <w:color w:val="000080"/>
      <w:sz w:val="22"/>
      <w:szCs w:val="22"/>
    </w:rPr>
  </w:style>
  <w:style w:type="paragraph" w:styleId="BalloonText">
    <w:name w:val="Balloon Text"/>
    <w:basedOn w:val="Normal"/>
    <w:link w:val="BalloonTextChar"/>
    <w:uiPriority w:val="99"/>
    <w:rsid w:val="008F288A"/>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8F288A"/>
    <w:rPr>
      <w:rFonts w:ascii="Tahoma" w:hAnsi="Tahoma" w:cs="Tahoma"/>
      <w:color w:val="000000"/>
      <w:sz w:val="16"/>
      <w:szCs w:val="16"/>
    </w:rPr>
  </w:style>
  <w:style w:type="paragraph" w:styleId="BodyText">
    <w:name w:val="Body Text"/>
    <w:basedOn w:val="Normal"/>
    <w:link w:val="BodyTextChar"/>
    <w:uiPriority w:val="99"/>
    <w:rsid w:val="003C47C8"/>
    <w:pPr>
      <w:spacing w:after="120"/>
    </w:pPr>
  </w:style>
  <w:style w:type="character" w:customStyle="1" w:styleId="BodyTextChar">
    <w:name w:val="Body Text Char"/>
    <w:link w:val="BodyText"/>
    <w:uiPriority w:val="99"/>
    <w:locked/>
    <w:rsid w:val="003C47C8"/>
    <w:rPr>
      <w:rFonts w:ascii="Book Antiqua" w:hAnsi="Book Antiqua" w:cs="Times New Roman"/>
      <w:color w:val="000000"/>
      <w:sz w:val="22"/>
      <w:szCs w:val="22"/>
    </w:rPr>
  </w:style>
  <w:style w:type="paragraph" w:customStyle="1" w:styleId="Default">
    <w:name w:val="Default"/>
    <w:rsid w:val="006351E2"/>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94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1EE9"/>
    <w:rPr>
      <w:sz w:val="16"/>
      <w:szCs w:val="16"/>
    </w:rPr>
  </w:style>
  <w:style w:type="paragraph" w:styleId="CommentText">
    <w:name w:val="annotation text"/>
    <w:basedOn w:val="Normal"/>
    <w:link w:val="CommentTextChar"/>
    <w:uiPriority w:val="99"/>
    <w:unhideWhenUsed/>
    <w:rsid w:val="002E1EE9"/>
    <w:rPr>
      <w:sz w:val="20"/>
      <w:szCs w:val="20"/>
    </w:rPr>
  </w:style>
  <w:style w:type="character" w:customStyle="1" w:styleId="CommentTextChar">
    <w:name w:val="Comment Text Char"/>
    <w:link w:val="CommentText"/>
    <w:uiPriority w:val="99"/>
    <w:rsid w:val="002E1EE9"/>
    <w:rPr>
      <w:rFonts w:ascii="Book Antiqua" w:hAnsi="Book Antiqua"/>
      <w:color w:val="000000"/>
      <w:sz w:val="20"/>
      <w:szCs w:val="20"/>
    </w:rPr>
  </w:style>
  <w:style w:type="paragraph" w:styleId="CommentSubject">
    <w:name w:val="annotation subject"/>
    <w:basedOn w:val="CommentText"/>
    <w:next w:val="CommentText"/>
    <w:link w:val="CommentSubjectChar"/>
    <w:uiPriority w:val="99"/>
    <w:semiHidden/>
    <w:unhideWhenUsed/>
    <w:rsid w:val="002E1EE9"/>
    <w:rPr>
      <w:b/>
      <w:bCs/>
    </w:rPr>
  </w:style>
  <w:style w:type="character" w:customStyle="1" w:styleId="CommentSubjectChar">
    <w:name w:val="Comment Subject Char"/>
    <w:link w:val="CommentSubject"/>
    <w:uiPriority w:val="99"/>
    <w:semiHidden/>
    <w:rsid w:val="002E1EE9"/>
    <w:rPr>
      <w:rFonts w:ascii="Book Antiqua" w:hAnsi="Book Antiqua"/>
      <w:b/>
      <w:bCs/>
      <w:color w:val="000000"/>
      <w:sz w:val="20"/>
      <w:szCs w:val="20"/>
    </w:rPr>
  </w:style>
  <w:style w:type="paragraph" w:styleId="Revision">
    <w:name w:val="Revision"/>
    <w:hidden/>
    <w:uiPriority w:val="99"/>
    <w:semiHidden/>
    <w:rsid w:val="002E1EE9"/>
    <w:rPr>
      <w:rFonts w:ascii="Book Antiqua" w:hAnsi="Book Antiqua"/>
      <w:color w:val="000000"/>
      <w:sz w:val="22"/>
      <w:szCs w:val="22"/>
    </w:rPr>
  </w:style>
  <w:style w:type="paragraph" w:styleId="ListBullet">
    <w:name w:val="List Bullet"/>
    <w:basedOn w:val="Normal"/>
    <w:uiPriority w:val="99"/>
    <w:rsid w:val="00450701"/>
    <w:pPr>
      <w:tabs>
        <w:tab w:val="num" w:pos="360"/>
      </w:tabs>
      <w:ind w:left="360" w:hanging="360"/>
    </w:pPr>
  </w:style>
  <w:style w:type="paragraph" w:customStyle="1" w:styleId="CharChar1CharCharCharChar">
    <w:name w:val="Char Char1 Char Char Char Char"/>
    <w:basedOn w:val="Normal"/>
    <w:rsid w:val="00450701"/>
    <w:pPr>
      <w:spacing w:after="0" w:line="240" w:lineRule="auto"/>
      <w:jc w:val="left"/>
    </w:pPr>
    <w:rPr>
      <w:rFonts w:ascii="Arial" w:hAnsi="Arial" w:cs="Arial"/>
      <w:color w:val="auto"/>
      <w:lang w:eastAsia="en-US"/>
    </w:rPr>
  </w:style>
  <w:style w:type="character" w:customStyle="1" w:styleId="NumberedParagraphChar">
    <w:name w:val="Numbered Paragraph Char"/>
    <w:uiPriority w:val="99"/>
    <w:locked/>
    <w:rsid w:val="00450701"/>
    <w:rPr>
      <w:rFonts w:ascii="Book Antiqua" w:hAnsi="Book Antiqua"/>
      <w:color w:val="000000"/>
    </w:rPr>
  </w:style>
  <w:style w:type="character" w:customStyle="1" w:styleId="Heading2Char1">
    <w:name w:val="Heading 2 Char1"/>
    <w:uiPriority w:val="99"/>
    <w:locked/>
    <w:rsid w:val="00D14251"/>
    <w:rPr>
      <w:rFonts w:ascii="Arial" w:hAnsi="Arial" w:cs="Arial"/>
      <w:bCs/>
      <w:iCs/>
      <w:smallCaps/>
      <w:color w:val="000080"/>
      <w:sz w:val="30"/>
      <w:szCs w:val="30"/>
      <w:lang w:val="en-AU" w:eastAsia="en-AU" w:bidi="ar-SA"/>
    </w:rPr>
  </w:style>
  <w:style w:type="paragraph" w:styleId="NormalWeb">
    <w:name w:val="Normal (Web)"/>
    <w:basedOn w:val="Normal"/>
    <w:uiPriority w:val="99"/>
    <w:unhideWhenUsed/>
    <w:rsid w:val="00343222"/>
    <w:pPr>
      <w:spacing w:before="100" w:beforeAutospacing="1" w:after="100" w:afterAutospacing="1" w:line="240" w:lineRule="auto"/>
      <w:jc w:val="left"/>
    </w:pPr>
    <w:rPr>
      <w:rFonts w:ascii="Arial" w:eastAsia="Calibri" w:hAnsi="Arial" w:cs="Arial"/>
      <w:sz w:val="20"/>
      <w:szCs w:val="20"/>
    </w:rPr>
  </w:style>
  <w:style w:type="character" w:customStyle="1" w:styleId="FootnoteTextChar1">
    <w:name w:val="Footnote Text Char1"/>
    <w:rsid w:val="00343222"/>
    <w:rPr>
      <w:rFonts w:ascii="Book Antiqua" w:hAnsi="Book Antiqua"/>
      <w:color w:val="000000"/>
      <w:sz w:val="18"/>
      <w:szCs w:val="18"/>
      <w:lang w:val="en-AU" w:eastAsia="en-AU" w:bidi="ar-SA"/>
    </w:rPr>
  </w:style>
  <w:style w:type="paragraph" w:styleId="EndnoteText">
    <w:name w:val="endnote text"/>
    <w:basedOn w:val="Normal"/>
    <w:link w:val="EndnoteTextChar"/>
    <w:uiPriority w:val="99"/>
    <w:semiHidden/>
    <w:unhideWhenUsed/>
    <w:rsid w:val="00DF35AC"/>
    <w:pPr>
      <w:spacing w:after="0" w:line="240" w:lineRule="auto"/>
      <w:jc w:val="left"/>
    </w:pPr>
    <w:rPr>
      <w:rFonts w:ascii="Calibri" w:eastAsia="Calibri" w:hAnsi="Calibri"/>
      <w:color w:val="auto"/>
      <w:sz w:val="20"/>
      <w:szCs w:val="20"/>
      <w:lang w:eastAsia="en-US"/>
    </w:rPr>
  </w:style>
  <w:style w:type="character" w:customStyle="1" w:styleId="EndnoteTextChar">
    <w:name w:val="Endnote Text Char"/>
    <w:link w:val="EndnoteText"/>
    <w:uiPriority w:val="99"/>
    <w:semiHidden/>
    <w:rsid w:val="00DF35AC"/>
    <w:rPr>
      <w:rFonts w:ascii="Calibri" w:eastAsia="Calibri" w:hAnsi="Calibri"/>
      <w:lang w:eastAsia="en-US"/>
    </w:rPr>
  </w:style>
  <w:style w:type="character" w:styleId="EndnoteReference">
    <w:name w:val="endnote reference"/>
    <w:uiPriority w:val="99"/>
    <w:semiHidden/>
    <w:unhideWhenUsed/>
    <w:rsid w:val="00DF35AC"/>
    <w:rPr>
      <w:vertAlign w:val="superscript"/>
    </w:rPr>
  </w:style>
  <w:style w:type="paragraph" w:styleId="ListParagraph">
    <w:name w:val="List Paragraph"/>
    <w:basedOn w:val="Normal"/>
    <w:uiPriority w:val="34"/>
    <w:qFormat/>
    <w:rsid w:val="00DF35AC"/>
    <w:pPr>
      <w:spacing w:after="200" w:line="276" w:lineRule="auto"/>
      <w:ind w:left="720"/>
      <w:contextualSpacing/>
      <w:jc w:val="left"/>
    </w:pPr>
    <w:rPr>
      <w:rFonts w:ascii="Calibri" w:eastAsia="Calibri" w:hAnsi="Calibri"/>
      <w:color w:val="auto"/>
      <w:lang w:eastAsia="en-US"/>
    </w:rPr>
  </w:style>
  <w:style w:type="table" w:customStyle="1" w:styleId="TableGrid1">
    <w:name w:val="Table Grid1"/>
    <w:basedOn w:val="TableNormal"/>
    <w:next w:val="TableGrid"/>
    <w:uiPriority w:val="59"/>
    <w:rsid w:val="00DA2F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B5310"/>
    <w:pPr>
      <w:ind w:left="567"/>
    </w:pPr>
    <w:rPr>
      <w:i/>
      <w:iCs/>
    </w:rPr>
  </w:style>
  <w:style w:type="character" w:customStyle="1" w:styleId="QuoteChar">
    <w:name w:val="Quote Char"/>
    <w:link w:val="Quote"/>
    <w:uiPriority w:val="29"/>
    <w:rsid w:val="009B5310"/>
    <w:rPr>
      <w:rFonts w:ascii="Book Antiqua" w:hAnsi="Book Antiqua"/>
      <w:i/>
      <w:iCs/>
      <w:color w:val="000000"/>
      <w:sz w:val="22"/>
      <w:szCs w:val="22"/>
    </w:rPr>
  </w:style>
  <w:style w:type="paragraph" w:customStyle="1" w:styleId="tabletext">
    <w:name w:val="tabletext"/>
    <w:basedOn w:val="Normal"/>
    <w:rsid w:val="00074A7D"/>
    <w:pPr>
      <w:spacing w:before="100" w:beforeAutospacing="1" w:after="100" w:afterAutospacing="1" w:line="240" w:lineRule="auto"/>
      <w:jc w:val="left"/>
    </w:pPr>
    <w:rPr>
      <w:rFonts w:ascii="Times New Roman" w:hAnsi="Times New Roman"/>
      <w:color w:val="auto"/>
      <w:sz w:val="24"/>
      <w:szCs w:val="24"/>
    </w:rPr>
  </w:style>
  <w:style w:type="character" w:customStyle="1" w:styleId="legtitle1">
    <w:name w:val="legtitle1"/>
    <w:rsid w:val="00074A7D"/>
    <w:rPr>
      <w:rFonts w:ascii="Helvetica Neue" w:hAnsi="Helvetica Neue" w:hint="default"/>
      <w:b/>
      <w:bCs/>
      <w:color w:val="10418E"/>
      <w:sz w:val="40"/>
      <w:szCs w:val="40"/>
    </w:rPr>
  </w:style>
  <w:style w:type="character" w:styleId="FollowedHyperlink">
    <w:name w:val="FollowedHyperlink"/>
    <w:uiPriority w:val="99"/>
    <w:semiHidden/>
    <w:unhideWhenUsed/>
    <w:rsid w:val="00074A7D"/>
    <w:rPr>
      <w:color w:val="800080"/>
      <w:u w:val="single"/>
    </w:rPr>
  </w:style>
  <w:style w:type="character" w:customStyle="1" w:styleId="DashChar">
    <w:name w:val="Dash Char"/>
    <w:link w:val="Dash"/>
    <w:rsid w:val="001724B4"/>
    <w:rPr>
      <w:rFonts w:ascii="Book Antiqua" w:hAnsi="Book Antiqua"/>
      <w:color w:val="000000"/>
      <w:sz w:val="22"/>
      <w:szCs w:val="22"/>
    </w:rPr>
  </w:style>
  <w:style w:type="character" w:customStyle="1" w:styleId="OutlineNumbered1Char">
    <w:name w:val="Outline Numbered 1 Char"/>
    <w:link w:val="OutlineNumbered1"/>
    <w:rsid w:val="00663021"/>
    <w:rPr>
      <w:rFonts w:ascii="Book Antiqua" w:hAnsi="Book Antiqua"/>
      <w:color w:val="000000"/>
      <w:sz w:val="22"/>
      <w:szCs w:val="22"/>
    </w:rPr>
  </w:style>
  <w:style w:type="paragraph" w:customStyle="1" w:styleId="BodyPara">
    <w:name w:val="BodyPara"/>
    <w:aliases w:val="ba"/>
    <w:basedOn w:val="Normal"/>
    <w:rsid w:val="00C115DE"/>
    <w:pPr>
      <w:tabs>
        <w:tab w:val="num" w:pos="1440"/>
      </w:tabs>
      <w:spacing w:before="240" w:after="0" w:line="240" w:lineRule="auto"/>
      <w:ind w:left="1440" w:hanging="720"/>
      <w:jc w:val="left"/>
    </w:pPr>
    <w:rPr>
      <w:rFonts w:ascii="Times New Roman" w:eastAsiaTheme="minorHAnsi" w:hAnsi="Times New Roman"/>
      <w:color w:val="auto"/>
      <w:sz w:val="24"/>
      <w:szCs w:val="24"/>
    </w:rPr>
  </w:style>
  <w:style w:type="paragraph" w:customStyle="1" w:styleId="BodyParaBullet">
    <w:name w:val="BodyParaBullet"/>
    <w:aliases w:val="bpb"/>
    <w:basedOn w:val="Normal"/>
    <w:rsid w:val="00C115DE"/>
    <w:pPr>
      <w:tabs>
        <w:tab w:val="num" w:pos="1440"/>
      </w:tabs>
      <w:spacing w:before="240" w:after="0" w:line="240" w:lineRule="auto"/>
      <w:ind w:left="1440" w:hanging="720"/>
      <w:jc w:val="left"/>
    </w:pPr>
    <w:rPr>
      <w:rFonts w:ascii="Times New Roman" w:eastAsiaTheme="minorHAnsi" w:hAnsi="Times New Roman"/>
      <w:color w:val="auto"/>
      <w:sz w:val="24"/>
      <w:szCs w:val="24"/>
    </w:rPr>
  </w:style>
  <w:style w:type="paragraph" w:customStyle="1" w:styleId="BodySubPara">
    <w:name w:val="BodySubPara"/>
    <w:aliases w:val="bi"/>
    <w:basedOn w:val="Normal"/>
    <w:rsid w:val="00C115DE"/>
    <w:pPr>
      <w:tabs>
        <w:tab w:val="num" w:pos="2160"/>
      </w:tabs>
      <w:spacing w:before="240" w:after="0" w:line="240" w:lineRule="auto"/>
      <w:ind w:left="2160" w:hanging="720"/>
      <w:jc w:val="left"/>
    </w:pPr>
    <w:rPr>
      <w:rFonts w:ascii="Times New Roman" w:eastAsiaTheme="minorHAnsi" w:hAnsi="Times New Roman"/>
      <w:color w:val="auto"/>
      <w:sz w:val="24"/>
      <w:szCs w:val="24"/>
    </w:rPr>
  </w:style>
  <w:style w:type="numbering" w:customStyle="1" w:styleId="OPCBodyList">
    <w:name w:val="OPCBodyList"/>
    <w:uiPriority w:val="99"/>
    <w:rsid w:val="00C115DE"/>
    <w:pPr>
      <w:numPr>
        <w:numId w:val="67"/>
      </w:numPr>
    </w:pPr>
  </w:style>
  <w:style w:type="paragraph" w:customStyle="1" w:styleId="NumberedParagraph2">
    <w:name w:val="Numbered Paragraph 2"/>
    <w:basedOn w:val="NumberedParagraph1"/>
    <w:qFormat/>
    <w:rsid w:val="008D2A74"/>
    <w:pPr>
      <w:numPr>
        <w:ilvl w:val="0"/>
        <w:numId w:val="76"/>
      </w:numPr>
      <w:tabs>
        <w:tab w:val="left" w:pos="567"/>
      </w:tabs>
      <w:ind w:left="0" w:firstLine="0"/>
    </w:pPr>
  </w:style>
  <w:style w:type="paragraph" w:customStyle="1" w:styleId="NumberedParagraph3">
    <w:name w:val="Numbered Paragraph 3"/>
    <w:basedOn w:val="NumberedParagraph2"/>
    <w:qFormat/>
    <w:rsid w:val="00EF7A21"/>
    <w:pPr>
      <w:numPr>
        <w:numId w:val="77"/>
      </w:numPr>
      <w:ind w:left="0" w:firstLine="0"/>
    </w:pPr>
  </w:style>
  <w:style w:type="paragraph" w:customStyle="1" w:styleId="NumberedParagraph4">
    <w:name w:val="Numbered Paragraph 4"/>
    <w:basedOn w:val="NumberedParagraph3"/>
    <w:qFormat/>
    <w:rsid w:val="009B5310"/>
    <w:pPr>
      <w:numPr>
        <w:numId w:val="78"/>
      </w:numPr>
      <w:ind w:left="0" w:firstLine="0"/>
    </w:pPr>
  </w:style>
  <w:style w:type="paragraph" w:customStyle="1" w:styleId="QuoteRomanNumeral">
    <w:name w:val="Quote Roman Numeral"/>
    <w:basedOn w:val="Quote"/>
    <w:qFormat/>
    <w:rsid w:val="009B5310"/>
    <w:pPr>
      <w:numPr>
        <w:numId w:val="79"/>
      </w:numPr>
    </w:pPr>
  </w:style>
  <w:style w:type="paragraph" w:customStyle="1" w:styleId="NumberedParagraph">
    <w:name w:val="Numbered Paragraph"/>
    <w:basedOn w:val="Normal"/>
    <w:link w:val="NumberedParagraphChar1"/>
    <w:rsid w:val="00E918C6"/>
    <w:pPr>
      <w:tabs>
        <w:tab w:val="num" w:pos="567"/>
      </w:tabs>
    </w:pPr>
  </w:style>
  <w:style w:type="character" w:customStyle="1" w:styleId="NumberedParagraphChar1">
    <w:name w:val="Numbered Paragraph Char1"/>
    <w:link w:val="NumberedParagraph"/>
    <w:locked/>
    <w:rsid w:val="00E918C6"/>
    <w:rPr>
      <w:rFonts w:ascii="Book Antiqua" w:hAnsi="Book Antiqu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footnote text" w:locked="1" w:semiHidden="0" w:unhideWhenUsed="0"/>
    <w:lsdException w:name="header" w:uiPriority="0"/>
    <w:lsdException w:name="footer" w:locked="1" w:semiHidden="0" w:uiPriority="0" w:unhideWhenUsed="0"/>
    <w:lsdException w:name="caption" w:locked="1" w:uiPriority="0" w:qFormat="1"/>
    <w:lsdException w:name="footnote reference" w:locked="1" w:semiHidden="0" w:unhideWhenUsed="0"/>
    <w:lsdException w:name="page number" w:uiPriority="0"/>
    <w:lsdException w:name="Title" w:locked="1" w:semiHidden="0" w:uiPriority="0" w:unhideWhenUsed="0" w:qFormat="1"/>
    <w:lsdException w:name="Default Paragraph Font" w:uiPriority="1"/>
    <w:lsdException w:name="Body Text" w:locked="1" w:semiHidden="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68"/>
    <w:pPr>
      <w:spacing w:after="240" w:line="300" w:lineRule="exact"/>
      <w:jc w:val="both"/>
    </w:pPr>
    <w:rPr>
      <w:rFonts w:ascii="Book Antiqua" w:hAnsi="Book Antiqua"/>
      <w:color w:val="000000"/>
      <w:sz w:val="22"/>
      <w:szCs w:val="22"/>
    </w:rPr>
  </w:style>
  <w:style w:type="paragraph" w:styleId="Heading1">
    <w:name w:val="heading 1"/>
    <w:basedOn w:val="HeadingBase"/>
    <w:next w:val="Normal"/>
    <w:link w:val="Heading1Char"/>
    <w:qFormat/>
    <w:rsid w:val="00C420DA"/>
    <w:pPr>
      <w:keepNext/>
      <w:pBdr>
        <w:bottom w:val="single" w:sz="2" w:space="1" w:color="000080"/>
      </w:pBdr>
      <w:spacing w:before="560" w:after="560"/>
      <w:outlineLvl w:val="0"/>
    </w:pPr>
    <w:rPr>
      <w:rFonts w:cs="Arial"/>
      <w:bCs/>
      <w:smallCaps/>
      <w:kern w:val="32"/>
      <w:sz w:val="38"/>
      <w:szCs w:val="38"/>
    </w:rPr>
  </w:style>
  <w:style w:type="paragraph" w:styleId="Heading2">
    <w:name w:val="heading 2"/>
    <w:basedOn w:val="HeadingBase"/>
    <w:next w:val="NumberedParagraph1"/>
    <w:link w:val="Heading2Char"/>
    <w:qFormat/>
    <w:rsid w:val="00210B68"/>
    <w:pPr>
      <w:keepNext/>
      <w:spacing w:before="360" w:after="240"/>
      <w:outlineLvl w:val="1"/>
    </w:pPr>
    <w:rPr>
      <w:rFonts w:cs="Arial"/>
      <w:bCs/>
      <w:iCs/>
      <w:smallCaps/>
      <w:sz w:val="30"/>
      <w:szCs w:val="30"/>
    </w:rPr>
  </w:style>
  <w:style w:type="paragraph" w:styleId="Heading3">
    <w:name w:val="heading 3"/>
    <w:basedOn w:val="HeadingBase"/>
    <w:next w:val="NumberedParagraph1"/>
    <w:link w:val="Heading3Char"/>
    <w:qFormat/>
    <w:rsid w:val="00210B68"/>
    <w:pPr>
      <w:keepNext/>
      <w:spacing w:before="180" w:after="120"/>
      <w:outlineLvl w:val="2"/>
    </w:pPr>
    <w:rPr>
      <w:rFonts w:cs="Arial"/>
      <w:bCs/>
      <w:sz w:val="26"/>
      <w:szCs w:val="26"/>
    </w:rPr>
  </w:style>
  <w:style w:type="paragraph" w:styleId="Heading4">
    <w:name w:val="heading 4"/>
    <w:basedOn w:val="HeadingBase"/>
    <w:next w:val="NumberedParagraph1"/>
    <w:link w:val="Heading4Char"/>
    <w:qFormat/>
    <w:rsid w:val="00210B68"/>
    <w:pPr>
      <w:keepNext/>
      <w:spacing w:before="120" w:after="120"/>
      <w:outlineLvl w:val="3"/>
    </w:pPr>
    <w:rPr>
      <w:bCs/>
      <w:sz w:val="23"/>
      <w:szCs w:val="23"/>
    </w:rPr>
  </w:style>
  <w:style w:type="paragraph" w:styleId="Heading5">
    <w:name w:val="heading 5"/>
    <w:basedOn w:val="HeadingBase"/>
    <w:next w:val="NumberedParagraph1"/>
    <w:link w:val="Heading5Char"/>
    <w:qFormat/>
    <w:rsid w:val="00210B68"/>
    <w:pPr>
      <w:spacing w:before="160" w:after="80"/>
      <w:outlineLvl w:val="4"/>
    </w:pPr>
    <w:rPr>
      <w:bCs/>
      <w:i/>
      <w:iCs/>
      <w:sz w:val="22"/>
    </w:rPr>
  </w:style>
  <w:style w:type="paragraph" w:styleId="Heading6">
    <w:name w:val="heading 6"/>
    <w:basedOn w:val="HeadingBase"/>
    <w:next w:val="Normal"/>
    <w:link w:val="Heading6Char"/>
    <w:qFormat/>
    <w:rsid w:val="00210B68"/>
    <w:pPr>
      <w:spacing w:after="120"/>
      <w:outlineLvl w:val="5"/>
    </w:pPr>
    <w:rPr>
      <w:bCs/>
    </w:rPr>
  </w:style>
  <w:style w:type="paragraph" w:styleId="Heading7">
    <w:name w:val="heading 7"/>
    <w:basedOn w:val="HeadingBase"/>
    <w:next w:val="Normal"/>
    <w:link w:val="Heading7Char"/>
    <w:qFormat/>
    <w:rsid w:val="00210B68"/>
    <w:pPr>
      <w:spacing w:after="120"/>
      <w:outlineLvl w:val="6"/>
    </w:pPr>
    <w:rPr>
      <w:szCs w:val="24"/>
    </w:rPr>
  </w:style>
  <w:style w:type="paragraph" w:styleId="Heading8">
    <w:name w:val="heading 8"/>
    <w:basedOn w:val="HeadingBase"/>
    <w:next w:val="Normal"/>
    <w:link w:val="Heading8Char"/>
    <w:qFormat/>
    <w:rsid w:val="00210B68"/>
    <w:pPr>
      <w:spacing w:after="120"/>
      <w:outlineLvl w:val="7"/>
    </w:pPr>
    <w:rPr>
      <w:iCs/>
      <w:szCs w:val="24"/>
    </w:rPr>
  </w:style>
  <w:style w:type="paragraph" w:styleId="Heading9">
    <w:name w:val="heading 9"/>
    <w:basedOn w:val="HeadingBase"/>
    <w:next w:val="Normal"/>
    <w:link w:val="Heading9Char"/>
    <w:qFormat/>
    <w:rsid w:val="00210B68"/>
    <w:p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420DA"/>
    <w:rPr>
      <w:rFonts w:ascii="Arial" w:hAnsi="Arial" w:cs="Arial"/>
      <w:bCs/>
      <w:smallCaps/>
      <w:color w:val="000080"/>
      <w:kern w:val="32"/>
      <w:sz w:val="38"/>
      <w:szCs w:val="38"/>
    </w:rPr>
  </w:style>
  <w:style w:type="character" w:customStyle="1" w:styleId="Heading2Char">
    <w:name w:val="Heading 2 Char"/>
    <w:link w:val="Heading2"/>
    <w:locked/>
    <w:rsid w:val="00296A76"/>
    <w:rPr>
      <w:rFonts w:ascii="Arial" w:hAnsi="Arial" w:cs="Arial"/>
      <w:bCs/>
      <w:iCs/>
      <w:smallCaps/>
      <w:color w:val="000080"/>
      <w:sz w:val="30"/>
      <w:szCs w:val="30"/>
    </w:rPr>
  </w:style>
  <w:style w:type="character" w:customStyle="1" w:styleId="Heading3Char">
    <w:name w:val="Heading 3 Char"/>
    <w:link w:val="Heading3"/>
    <w:locked/>
    <w:rsid w:val="00296A76"/>
    <w:rPr>
      <w:rFonts w:ascii="Arial" w:hAnsi="Arial" w:cs="Arial"/>
      <w:bCs/>
      <w:color w:val="000080"/>
      <w:sz w:val="26"/>
      <w:szCs w:val="26"/>
    </w:rPr>
  </w:style>
  <w:style w:type="character" w:customStyle="1" w:styleId="Heading4Char">
    <w:name w:val="Heading 4 Char"/>
    <w:link w:val="Heading4"/>
    <w:locked/>
    <w:rsid w:val="00002C70"/>
    <w:rPr>
      <w:rFonts w:ascii="Arial" w:hAnsi="Arial"/>
      <w:bCs/>
      <w:color w:val="000080"/>
      <w:sz w:val="23"/>
      <w:szCs w:val="23"/>
    </w:rPr>
  </w:style>
  <w:style w:type="character" w:customStyle="1" w:styleId="Heading5Char">
    <w:name w:val="Heading 5 Char"/>
    <w:link w:val="Heading5"/>
    <w:rsid w:val="0075776A"/>
    <w:rPr>
      <w:rFonts w:ascii="Arial" w:hAnsi="Arial"/>
      <w:bCs/>
      <w:i/>
      <w:iCs/>
      <w:color w:val="000080"/>
      <w:sz w:val="22"/>
      <w:szCs w:val="22"/>
    </w:rPr>
  </w:style>
  <w:style w:type="character" w:customStyle="1" w:styleId="Heading6Char">
    <w:name w:val="Heading 6 Char"/>
    <w:link w:val="Heading6"/>
    <w:rsid w:val="0075776A"/>
    <w:rPr>
      <w:rFonts w:ascii="Arial" w:hAnsi="Arial"/>
      <w:bCs/>
      <w:color w:val="000080"/>
      <w:szCs w:val="22"/>
    </w:rPr>
  </w:style>
  <w:style w:type="character" w:customStyle="1" w:styleId="Heading7Char">
    <w:name w:val="Heading 7 Char"/>
    <w:link w:val="Heading7"/>
    <w:rsid w:val="0075776A"/>
    <w:rPr>
      <w:rFonts w:ascii="Arial" w:hAnsi="Arial"/>
      <w:color w:val="000080"/>
      <w:szCs w:val="24"/>
    </w:rPr>
  </w:style>
  <w:style w:type="character" w:customStyle="1" w:styleId="Heading8Char">
    <w:name w:val="Heading 8 Char"/>
    <w:link w:val="Heading8"/>
    <w:rsid w:val="0075776A"/>
    <w:rPr>
      <w:rFonts w:ascii="Arial" w:hAnsi="Arial"/>
      <w:iCs/>
      <w:color w:val="000080"/>
      <w:szCs w:val="24"/>
    </w:rPr>
  </w:style>
  <w:style w:type="character" w:customStyle="1" w:styleId="Heading9Char">
    <w:name w:val="Heading 9 Char"/>
    <w:link w:val="Heading9"/>
    <w:rsid w:val="0075776A"/>
    <w:rPr>
      <w:rFonts w:ascii="Arial" w:hAnsi="Arial" w:cs="Arial"/>
      <w:color w:val="000080"/>
      <w:szCs w:val="22"/>
    </w:rPr>
  </w:style>
  <w:style w:type="paragraph" w:customStyle="1" w:styleId="HeadingBase">
    <w:name w:val="Heading Base"/>
    <w:next w:val="Normal"/>
    <w:rsid w:val="00210B68"/>
    <w:rPr>
      <w:rFonts w:ascii="Arial" w:hAnsi="Arial"/>
      <w:color w:val="000080"/>
      <w:szCs w:val="22"/>
    </w:rPr>
  </w:style>
  <w:style w:type="paragraph" w:customStyle="1" w:styleId="NumberedParagraph1">
    <w:name w:val="Numbered Paragraph 1"/>
    <w:basedOn w:val="Normal"/>
    <w:link w:val="NumberedParagraph1Char"/>
    <w:uiPriority w:val="99"/>
    <w:rsid w:val="00210B68"/>
    <w:pPr>
      <w:numPr>
        <w:ilvl w:val="1"/>
        <w:numId w:val="10"/>
      </w:numPr>
    </w:pPr>
  </w:style>
  <w:style w:type="paragraph" w:customStyle="1" w:styleId="SingleParagraph">
    <w:name w:val="Single Paragraph"/>
    <w:basedOn w:val="Normal"/>
    <w:link w:val="SingleParagraphChar"/>
    <w:rsid w:val="00210B68"/>
    <w:pPr>
      <w:spacing w:after="0"/>
    </w:pPr>
  </w:style>
  <w:style w:type="character" w:styleId="Hyperlink">
    <w:name w:val="Hyperlink"/>
    <w:rsid w:val="00210B68"/>
    <w:rPr>
      <w:color w:val="0000FF"/>
      <w:u w:val="single"/>
    </w:rPr>
  </w:style>
  <w:style w:type="paragraph" w:customStyle="1" w:styleId="ChapterHeading">
    <w:name w:val="ChapterHeading"/>
    <w:basedOn w:val="HeadingBase"/>
    <w:next w:val="NumberedParagraph1"/>
    <w:rsid w:val="00210B68"/>
    <w:pPr>
      <w:numPr>
        <w:numId w:val="10"/>
      </w:numPr>
      <w:pBdr>
        <w:bottom w:val="single" w:sz="2" w:space="1" w:color="000080"/>
      </w:pBdr>
      <w:spacing w:before="720" w:after="800"/>
    </w:pPr>
    <w:rPr>
      <w:smallCaps/>
      <w:sz w:val="38"/>
      <w:szCs w:val="38"/>
    </w:rPr>
  </w:style>
  <w:style w:type="character" w:styleId="PageNumber">
    <w:name w:val="page number"/>
    <w:rsid w:val="00210B68"/>
    <w:rPr>
      <w:rFonts w:ascii="Arial" w:hAnsi="Arial"/>
      <w:sz w:val="18"/>
    </w:rPr>
  </w:style>
  <w:style w:type="paragraph" w:customStyle="1" w:styleId="CaseStudyHeading">
    <w:name w:val="Case Study Heading"/>
    <w:basedOn w:val="HeadingBase"/>
    <w:next w:val="Casestudytext"/>
    <w:rsid w:val="00210B68"/>
    <w:pPr>
      <w:spacing w:before="120" w:after="240"/>
    </w:pPr>
    <w:rPr>
      <w:b/>
      <w:sz w:val="22"/>
    </w:rPr>
  </w:style>
  <w:style w:type="paragraph" w:customStyle="1" w:styleId="Casestudytext">
    <w:name w:val="Case study text"/>
    <w:basedOn w:val="Normal"/>
    <w:rsid w:val="00210B68"/>
    <w:pPr>
      <w:spacing w:line="240" w:lineRule="auto"/>
    </w:pPr>
    <w:rPr>
      <w:color w:val="000080"/>
    </w:rPr>
  </w:style>
  <w:style w:type="paragraph" w:customStyle="1" w:styleId="Bullet">
    <w:name w:val="Bullet"/>
    <w:aliases w:val="b,b1,b + line,level 1,Body,BodyNum"/>
    <w:basedOn w:val="Normal"/>
    <w:link w:val="BulletChar"/>
    <w:rsid w:val="00C420DA"/>
    <w:pPr>
      <w:numPr>
        <w:numId w:val="1"/>
      </w:numPr>
      <w:tabs>
        <w:tab w:val="left" w:pos="567"/>
      </w:tabs>
      <w:spacing w:after="180"/>
      <w:ind w:left="567" w:hanging="567"/>
    </w:pPr>
  </w:style>
  <w:style w:type="paragraph" w:customStyle="1" w:styleId="Dash">
    <w:name w:val="Dash"/>
    <w:basedOn w:val="Normal"/>
    <w:link w:val="DashChar"/>
    <w:rsid w:val="001724B4"/>
    <w:pPr>
      <w:numPr>
        <w:ilvl w:val="1"/>
        <w:numId w:val="1"/>
      </w:numPr>
      <w:tabs>
        <w:tab w:val="left" w:pos="1134"/>
      </w:tabs>
      <w:spacing w:after="180"/>
      <w:ind w:left="1134" w:hanging="567"/>
    </w:pPr>
  </w:style>
  <w:style w:type="paragraph" w:customStyle="1" w:styleId="DoubleDot">
    <w:name w:val="Double Dot"/>
    <w:basedOn w:val="Normal"/>
    <w:rsid w:val="00210B68"/>
    <w:pPr>
      <w:numPr>
        <w:ilvl w:val="2"/>
        <w:numId w:val="1"/>
      </w:numPr>
    </w:pPr>
  </w:style>
  <w:style w:type="paragraph" w:customStyle="1" w:styleId="OutlineNumbered1">
    <w:name w:val="Outline Numbered 1"/>
    <w:basedOn w:val="Normal"/>
    <w:link w:val="OutlineNumbered1Char"/>
    <w:rsid w:val="00210B68"/>
    <w:pPr>
      <w:numPr>
        <w:numId w:val="2"/>
      </w:numPr>
    </w:pPr>
  </w:style>
  <w:style w:type="paragraph" w:customStyle="1" w:styleId="OutlineNumbered2">
    <w:name w:val="Outline Numbered 2"/>
    <w:basedOn w:val="Normal"/>
    <w:rsid w:val="00210B68"/>
    <w:pPr>
      <w:numPr>
        <w:ilvl w:val="1"/>
        <w:numId w:val="2"/>
      </w:numPr>
    </w:pPr>
  </w:style>
  <w:style w:type="paragraph" w:customStyle="1" w:styleId="OutlineNumbered3">
    <w:name w:val="Outline Numbered 3"/>
    <w:basedOn w:val="Normal"/>
    <w:rsid w:val="00210B68"/>
    <w:pPr>
      <w:numPr>
        <w:ilvl w:val="2"/>
        <w:numId w:val="2"/>
      </w:numPr>
    </w:pPr>
  </w:style>
  <w:style w:type="paragraph" w:customStyle="1" w:styleId="AlphaParagraph">
    <w:name w:val="Alpha Paragraph"/>
    <w:basedOn w:val="Normal"/>
    <w:rsid w:val="00210B68"/>
    <w:pPr>
      <w:numPr>
        <w:numId w:val="3"/>
      </w:numPr>
    </w:pPr>
  </w:style>
  <w:style w:type="paragraph" w:customStyle="1" w:styleId="AppendixHeading">
    <w:name w:val="Appendix Heading"/>
    <w:basedOn w:val="HeadingBase"/>
    <w:next w:val="Normal"/>
    <w:rsid w:val="009152C0"/>
    <w:pPr>
      <w:pBdr>
        <w:bottom w:val="single" w:sz="2" w:space="1" w:color="000080"/>
      </w:pBdr>
      <w:spacing w:before="560" w:after="560"/>
    </w:pPr>
    <w:rPr>
      <w:smallCaps/>
      <w:sz w:val="38"/>
      <w:szCs w:val="38"/>
    </w:rPr>
  </w:style>
  <w:style w:type="character" w:customStyle="1" w:styleId="Bold">
    <w:name w:val="Bold"/>
    <w:rsid w:val="00210B68"/>
    <w:rPr>
      <w:b/>
    </w:rPr>
  </w:style>
  <w:style w:type="paragraph" w:customStyle="1" w:styleId="BoxHeading">
    <w:name w:val="Box Heading"/>
    <w:basedOn w:val="HeadingBase"/>
    <w:next w:val="BoxText"/>
    <w:rsid w:val="00210B68"/>
    <w:pPr>
      <w:spacing w:before="240" w:after="240"/>
    </w:pPr>
    <w:rPr>
      <w:b/>
      <w:sz w:val="22"/>
    </w:rPr>
  </w:style>
  <w:style w:type="paragraph" w:customStyle="1" w:styleId="BoxText">
    <w:name w:val="Box Text"/>
    <w:basedOn w:val="BoxTextBase"/>
    <w:rsid w:val="00210B68"/>
  </w:style>
  <w:style w:type="paragraph" w:customStyle="1" w:styleId="BoxTextBase">
    <w:name w:val="Box Text Base"/>
    <w:basedOn w:val="Normal"/>
    <w:rsid w:val="00210B68"/>
    <w:pPr>
      <w:spacing w:line="240" w:lineRule="auto"/>
    </w:pPr>
  </w:style>
  <w:style w:type="paragraph" w:customStyle="1" w:styleId="ChartandTableFootnoteAlpha">
    <w:name w:val="Chart and Table Footnote Alpha"/>
    <w:rsid w:val="00210B68"/>
    <w:pPr>
      <w:numPr>
        <w:numId w:val="4"/>
      </w:numPr>
      <w:ind w:left="284" w:hanging="284"/>
      <w:jc w:val="both"/>
    </w:pPr>
    <w:rPr>
      <w:rFonts w:ascii="Arial" w:hAnsi="Arial"/>
      <w:color w:val="000000"/>
      <w:sz w:val="16"/>
      <w:szCs w:val="16"/>
    </w:rPr>
  </w:style>
  <w:style w:type="paragraph" w:customStyle="1" w:styleId="ChartGraphic">
    <w:name w:val="Chart Graphic"/>
    <w:basedOn w:val="HeadingBase"/>
    <w:next w:val="Normal"/>
    <w:rsid w:val="00210B68"/>
    <w:pPr>
      <w:spacing w:after="20"/>
      <w:jc w:val="center"/>
    </w:pPr>
  </w:style>
  <w:style w:type="paragraph" w:customStyle="1" w:styleId="ChartMainHeading">
    <w:name w:val="Chart Main Heading"/>
    <w:basedOn w:val="HeadingBase"/>
    <w:next w:val="ChartGraphic"/>
    <w:rsid w:val="00210B68"/>
    <w:pPr>
      <w:keepNext/>
      <w:spacing w:after="20"/>
      <w:jc w:val="center"/>
    </w:pPr>
    <w:rPr>
      <w:b/>
      <w:sz w:val="22"/>
    </w:rPr>
  </w:style>
  <w:style w:type="paragraph" w:customStyle="1" w:styleId="ChartorTableNote">
    <w:name w:val="Chart or Table Note"/>
    <w:next w:val="Normal"/>
    <w:rsid w:val="00210B68"/>
    <w:pPr>
      <w:jc w:val="both"/>
    </w:pPr>
    <w:rPr>
      <w:rFonts w:ascii="Arial" w:hAnsi="Arial"/>
      <w:color w:val="000000"/>
      <w:sz w:val="16"/>
    </w:rPr>
  </w:style>
  <w:style w:type="paragraph" w:customStyle="1" w:styleId="ChartSecondHeading">
    <w:name w:val="Chart Second Heading"/>
    <w:basedOn w:val="HeadingBase"/>
    <w:next w:val="ChartGraphic"/>
    <w:rsid w:val="00210B68"/>
    <w:pPr>
      <w:keepNext/>
      <w:spacing w:after="20"/>
      <w:jc w:val="center"/>
    </w:pPr>
  </w:style>
  <w:style w:type="paragraph" w:customStyle="1" w:styleId="Classification">
    <w:name w:val="Classification"/>
    <w:basedOn w:val="HeadingBase"/>
    <w:next w:val="Footer"/>
    <w:rsid w:val="00210B68"/>
    <w:pPr>
      <w:spacing w:after="120"/>
      <w:jc w:val="center"/>
    </w:pPr>
    <w:rPr>
      <w:b/>
      <w:smallCaps/>
    </w:rPr>
  </w:style>
  <w:style w:type="paragraph" w:styleId="Footer">
    <w:name w:val="footer"/>
    <w:basedOn w:val="HeadingBase"/>
    <w:link w:val="FooterChar"/>
    <w:rsid w:val="00210B68"/>
    <w:rPr>
      <w:sz w:val="18"/>
    </w:rPr>
  </w:style>
  <w:style w:type="character" w:customStyle="1" w:styleId="FooterChar">
    <w:name w:val="Footer Char"/>
    <w:link w:val="Footer"/>
    <w:locked/>
    <w:rsid w:val="008C3441"/>
    <w:rPr>
      <w:rFonts w:ascii="Arial" w:hAnsi="Arial"/>
      <w:color w:val="000080"/>
      <w:sz w:val="18"/>
      <w:szCs w:val="22"/>
    </w:rPr>
  </w:style>
  <w:style w:type="paragraph" w:customStyle="1" w:styleId="ContentsHeading">
    <w:name w:val="Contents Heading"/>
    <w:basedOn w:val="HeadingBase"/>
    <w:next w:val="Normal"/>
    <w:rsid w:val="00210B68"/>
    <w:pPr>
      <w:pBdr>
        <w:bottom w:val="single" w:sz="2" w:space="1" w:color="000080"/>
      </w:pBdr>
      <w:spacing w:before="720" w:after="800"/>
    </w:pPr>
    <w:rPr>
      <w:smallCaps/>
      <w:sz w:val="38"/>
      <w:szCs w:val="38"/>
    </w:rPr>
  </w:style>
  <w:style w:type="paragraph" w:customStyle="1" w:styleId="CoverTitleMain">
    <w:name w:val="Cover Title Main"/>
    <w:basedOn w:val="HeadingBase"/>
    <w:next w:val="Normal"/>
    <w:rsid w:val="00210B68"/>
    <w:pPr>
      <w:spacing w:after="240"/>
      <w:jc w:val="center"/>
    </w:pPr>
    <w:rPr>
      <w:b/>
      <w:spacing w:val="20"/>
      <w:sz w:val="52"/>
      <w:szCs w:val="52"/>
    </w:rPr>
  </w:style>
  <w:style w:type="paragraph" w:customStyle="1" w:styleId="CoverTitleSub">
    <w:name w:val="Cover Title Sub"/>
    <w:basedOn w:val="HeadingBase"/>
    <w:rsid w:val="00210B68"/>
    <w:pPr>
      <w:spacing w:after="120" w:line="420" w:lineRule="exact"/>
      <w:jc w:val="center"/>
    </w:pPr>
    <w:rPr>
      <w:sz w:val="36"/>
      <w:szCs w:val="36"/>
    </w:rPr>
  </w:style>
  <w:style w:type="paragraph" w:customStyle="1" w:styleId="FooterCentered">
    <w:name w:val="Footer Centered"/>
    <w:basedOn w:val="Footer"/>
    <w:rsid w:val="00210B68"/>
    <w:pPr>
      <w:jc w:val="center"/>
    </w:pPr>
  </w:style>
  <w:style w:type="paragraph" w:customStyle="1" w:styleId="FooterEven">
    <w:name w:val="Footer Even"/>
    <w:basedOn w:val="Footer"/>
    <w:rsid w:val="00210B68"/>
  </w:style>
  <w:style w:type="paragraph" w:customStyle="1" w:styleId="FooterOdd">
    <w:name w:val="Footer Odd"/>
    <w:basedOn w:val="Footer"/>
    <w:rsid w:val="00210B68"/>
    <w:pPr>
      <w:jc w:val="right"/>
    </w:pPr>
  </w:style>
  <w:style w:type="character" w:customStyle="1" w:styleId="FramedFooter">
    <w:name w:val="Framed Footer"/>
    <w:rsid w:val="00210B68"/>
    <w:rPr>
      <w:rFonts w:ascii="Arial" w:hAnsi="Arial"/>
      <w:color w:val="000080"/>
      <w:sz w:val="18"/>
      <w:szCs w:val="18"/>
    </w:rPr>
  </w:style>
  <w:style w:type="character" w:customStyle="1" w:styleId="FramedHeader">
    <w:name w:val="Framed Header"/>
    <w:rsid w:val="00210B68"/>
    <w:rPr>
      <w:rFonts w:ascii="Arial" w:hAnsi="Arial"/>
      <w:dstrike w:val="0"/>
      <w:color w:val="000080"/>
      <w:sz w:val="18"/>
      <w:szCs w:val="18"/>
      <w:vertAlign w:val="baseline"/>
    </w:rPr>
  </w:style>
  <w:style w:type="paragraph" w:styleId="Header">
    <w:name w:val="header"/>
    <w:basedOn w:val="HeadingBase"/>
    <w:link w:val="HeaderChar"/>
    <w:rsid w:val="00210B68"/>
    <w:rPr>
      <w:sz w:val="18"/>
    </w:rPr>
  </w:style>
  <w:style w:type="character" w:customStyle="1" w:styleId="HeaderChar">
    <w:name w:val="Header Char"/>
    <w:link w:val="Header"/>
    <w:rsid w:val="0075776A"/>
    <w:rPr>
      <w:rFonts w:ascii="Arial" w:hAnsi="Arial"/>
      <w:color w:val="000080"/>
      <w:sz w:val="18"/>
      <w:szCs w:val="22"/>
    </w:rPr>
  </w:style>
  <w:style w:type="paragraph" w:customStyle="1" w:styleId="HeaderEven">
    <w:name w:val="Header Even"/>
    <w:basedOn w:val="Header"/>
    <w:rsid w:val="00210B68"/>
  </w:style>
  <w:style w:type="paragraph" w:customStyle="1" w:styleId="HeaderOdd">
    <w:name w:val="Header Odd"/>
    <w:basedOn w:val="Header"/>
    <w:rsid w:val="00210B68"/>
    <w:pPr>
      <w:jc w:val="right"/>
    </w:pPr>
  </w:style>
  <w:style w:type="paragraph" w:styleId="NormalIndent">
    <w:name w:val="Normal Indent"/>
    <w:basedOn w:val="Normal"/>
    <w:link w:val="NormalIndentChar"/>
    <w:rsid w:val="00210B68"/>
    <w:pPr>
      <w:ind w:left="567"/>
    </w:pPr>
    <w:rPr>
      <w:sz w:val="20"/>
    </w:rPr>
  </w:style>
  <w:style w:type="paragraph" w:customStyle="1" w:styleId="RecommendationHeading">
    <w:name w:val="Recommendation Heading"/>
    <w:basedOn w:val="HeadingBase"/>
    <w:next w:val="RecommendationText"/>
    <w:link w:val="RecommendationHeadingChar"/>
    <w:rsid w:val="00210B68"/>
    <w:pPr>
      <w:spacing w:before="120" w:after="240"/>
    </w:pPr>
    <w:rPr>
      <w:b/>
      <w:sz w:val="22"/>
    </w:rPr>
  </w:style>
  <w:style w:type="paragraph" w:customStyle="1" w:styleId="RecommendationText">
    <w:name w:val="Recommendation Text"/>
    <w:basedOn w:val="RecommendationTextBase"/>
    <w:rsid w:val="00210B68"/>
    <w:pPr>
      <w:spacing w:before="120" w:after="120"/>
    </w:pPr>
  </w:style>
  <w:style w:type="paragraph" w:customStyle="1" w:styleId="RecommendationTextBase">
    <w:name w:val="Recommendation Text Base"/>
    <w:basedOn w:val="Normal"/>
    <w:rsid w:val="00210B68"/>
    <w:rPr>
      <w:color w:val="000080"/>
    </w:rPr>
  </w:style>
  <w:style w:type="paragraph" w:customStyle="1" w:styleId="TableTextBase">
    <w:name w:val="Table Text Base"/>
    <w:rsid w:val="00210B68"/>
    <w:pPr>
      <w:spacing w:after="120"/>
    </w:pPr>
    <w:rPr>
      <w:rFonts w:ascii="Arial" w:hAnsi="Arial"/>
      <w:color w:val="000000"/>
      <w:sz w:val="18"/>
      <w:szCs w:val="18"/>
    </w:rPr>
  </w:style>
  <w:style w:type="paragraph" w:customStyle="1" w:styleId="TableColumnHeadingCentred">
    <w:name w:val="Table Column Heading Centred"/>
    <w:basedOn w:val="TableTextBase"/>
    <w:rsid w:val="00210B68"/>
    <w:pPr>
      <w:spacing w:before="60" w:after="60"/>
      <w:jc w:val="center"/>
    </w:pPr>
    <w:rPr>
      <w:b/>
      <w:color w:val="000080"/>
      <w:sz w:val="20"/>
    </w:rPr>
  </w:style>
  <w:style w:type="paragraph" w:customStyle="1" w:styleId="TableColumnHeadingLeft">
    <w:name w:val="Table Column Heading Left"/>
    <w:basedOn w:val="TableTextBase"/>
    <w:rsid w:val="00210B68"/>
    <w:pPr>
      <w:spacing w:before="60" w:after="60"/>
    </w:pPr>
    <w:rPr>
      <w:b/>
      <w:color w:val="000080"/>
      <w:sz w:val="20"/>
    </w:rPr>
  </w:style>
  <w:style w:type="paragraph" w:customStyle="1" w:styleId="TableColumnHeadingRight">
    <w:name w:val="Table Column Heading Right"/>
    <w:basedOn w:val="TableTextBase"/>
    <w:rsid w:val="00210B68"/>
    <w:pPr>
      <w:spacing w:before="60" w:after="60"/>
      <w:jc w:val="right"/>
    </w:pPr>
    <w:rPr>
      <w:b/>
      <w:color w:val="000080"/>
      <w:sz w:val="20"/>
    </w:rPr>
  </w:style>
  <w:style w:type="paragraph" w:customStyle="1" w:styleId="TableGraphic">
    <w:name w:val="Table Graphic"/>
    <w:basedOn w:val="HeadingBase"/>
    <w:next w:val="Normal"/>
    <w:rsid w:val="00210B68"/>
    <w:pPr>
      <w:spacing w:after="40"/>
      <w:ind w:right="-113"/>
    </w:pPr>
  </w:style>
  <w:style w:type="paragraph" w:customStyle="1" w:styleId="TableMainHeading">
    <w:name w:val="Table Main Heading"/>
    <w:basedOn w:val="HeadingBase"/>
    <w:next w:val="TableGraphic"/>
    <w:rsid w:val="00210B68"/>
    <w:pPr>
      <w:keepNext/>
      <w:spacing w:after="20"/>
    </w:pPr>
    <w:rPr>
      <w:b/>
      <w:sz w:val="22"/>
    </w:rPr>
  </w:style>
  <w:style w:type="paragraph" w:customStyle="1" w:styleId="TableMainHeadingContd">
    <w:name w:val="Table Main Heading Contd"/>
    <w:basedOn w:val="HeadingBase"/>
    <w:next w:val="TableGraphic"/>
    <w:rsid w:val="00210B68"/>
    <w:pPr>
      <w:keepNext/>
      <w:spacing w:after="20"/>
    </w:pPr>
    <w:rPr>
      <w:b/>
      <w:sz w:val="22"/>
    </w:rPr>
  </w:style>
  <w:style w:type="paragraph" w:customStyle="1" w:styleId="TableSecondHeading">
    <w:name w:val="Table Second Heading"/>
    <w:basedOn w:val="HeadingBase"/>
    <w:next w:val="TableGraphic"/>
    <w:rsid w:val="00210B68"/>
    <w:pPr>
      <w:keepNext/>
      <w:spacing w:after="20"/>
    </w:pPr>
  </w:style>
  <w:style w:type="paragraph" w:customStyle="1" w:styleId="TableTextCentered">
    <w:name w:val="Table Text Centered"/>
    <w:basedOn w:val="TableTextBase"/>
    <w:rsid w:val="00210B68"/>
    <w:pPr>
      <w:jc w:val="center"/>
    </w:pPr>
  </w:style>
  <w:style w:type="paragraph" w:customStyle="1" w:styleId="TableTextIndented">
    <w:name w:val="Table Text Indented"/>
    <w:basedOn w:val="TableTextBase"/>
    <w:rsid w:val="00210B68"/>
    <w:pPr>
      <w:ind w:left="284"/>
    </w:pPr>
  </w:style>
  <w:style w:type="paragraph" w:customStyle="1" w:styleId="TableTextLeft">
    <w:name w:val="Table Text Left"/>
    <w:basedOn w:val="TableTextBase"/>
    <w:rsid w:val="00210B68"/>
    <w:pPr>
      <w:spacing w:before="30" w:after="80"/>
    </w:pPr>
  </w:style>
  <w:style w:type="paragraph" w:customStyle="1" w:styleId="TableTextRight">
    <w:name w:val="Table Text Right"/>
    <w:basedOn w:val="TableTextBase"/>
    <w:rsid w:val="00210B68"/>
    <w:pPr>
      <w:jc w:val="right"/>
    </w:pPr>
  </w:style>
  <w:style w:type="paragraph" w:styleId="TOC1">
    <w:name w:val="toc 1"/>
    <w:basedOn w:val="HeadingBase"/>
    <w:next w:val="Normal"/>
    <w:uiPriority w:val="39"/>
    <w:rsid w:val="00210B68"/>
    <w:pPr>
      <w:tabs>
        <w:tab w:val="right" w:leader="dot" w:pos="8505"/>
      </w:tabs>
      <w:spacing w:before="120"/>
      <w:ind w:right="1134"/>
    </w:pPr>
    <w:rPr>
      <w:rFonts w:ascii="Arial Bold" w:hAnsi="Arial Bold"/>
      <w:b/>
      <w:smallCaps/>
      <w:sz w:val="22"/>
    </w:rPr>
  </w:style>
  <w:style w:type="paragraph" w:styleId="TOC2">
    <w:name w:val="toc 2"/>
    <w:basedOn w:val="Normal"/>
    <w:next w:val="Normal"/>
    <w:uiPriority w:val="39"/>
    <w:rsid w:val="00210B68"/>
    <w:pPr>
      <w:tabs>
        <w:tab w:val="right" w:leader="dot" w:pos="8505"/>
      </w:tabs>
      <w:spacing w:before="60" w:after="60" w:line="240" w:lineRule="auto"/>
      <w:ind w:right="1134"/>
    </w:pPr>
    <w:rPr>
      <w:rFonts w:ascii="Arial" w:hAnsi="Arial"/>
      <w:color w:val="000080"/>
      <w:sz w:val="20"/>
      <w:szCs w:val="20"/>
    </w:rPr>
  </w:style>
  <w:style w:type="paragraph" w:styleId="TOC3">
    <w:name w:val="toc 3"/>
    <w:basedOn w:val="Normal"/>
    <w:next w:val="Normal"/>
    <w:uiPriority w:val="39"/>
    <w:rsid w:val="00825554"/>
    <w:pPr>
      <w:tabs>
        <w:tab w:val="right" w:pos="8504"/>
      </w:tabs>
      <w:spacing w:before="20" w:after="0" w:line="240" w:lineRule="auto"/>
      <w:ind w:left="284" w:right="1274"/>
    </w:pPr>
    <w:rPr>
      <w:rFonts w:ascii="Arial" w:hAnsi="Arial"/>
      <w:noProof/>
      <w:color w:val="000080"/>
      <w:sz w:val="18"/>
    </w:rPr>
  </w:style>
  <w:style w:type="paragraph" w:styleId="TOC4">
    <w:name w:val="toc 4"/>
    <w:basedOn w:val="Normal"/>
    <w:next w:val="Normal"/>
    <w:rsid w:val="00210B68"/>
    <w:pPr>
      <w:tabs>
        <w:tab w:val="right" w:pos="7700"/>
      </w:tabs>
      <w:spacing w:after="0" w:line="240" w:lineRule="auto"/>
      <w:ind w:left="284" w:right="851"/>
    </w:pPr>
  </w:style>
  <w:style w:type="character" w:customStyle="1" w:styleId="italic">
    <w:name w:val="italic"/>
    <w:rsid w:val="00210B68"/>
    <w:rPr>
      <w:i/>
    </w:rPr>
  </w:style>
  <w:style w:type="paragraph" w:customStyle="1" w:styleId="OneLevelNumberedParagraph">
    <w:name w:val="One Level Numbered Paragraph"/>
    <w:basedOn w:val="Normal"/>
    <w:rsid w:val="00210B68"/>
    <w:pPr>
      <w:numPr>
        <w:numId w:val="6"/>
      </w:numPr>
    </w:pPr>
  </w:style>
  <w:style w:type="paragraph" w:customStyle="1" w:styleId="BoxBullet">
    <w:name w:val="Box Bullet"/>
    <w:basedOn w:val="BoxTextBase"/>
    <w:rsid w:val="00210B68"/>
    <w:pPr>
      <w:numPr>
        <w:numId w:val="5"/>
      </w:numPr>
    </w:pPr>
  </w:style>
  <w:style w:type="paragraph" w:customStyle="1" w:styleId="BoxDash">
    <w:name w:val="Box Dash"/>
    <w:basedOn w:val="Normal"/>
    <w:rsid w:val="00210B68"/>
    <w:pPr>
      <w:numPr>
        <w:ilvl w:val="1"/>
        <w:numId w:val="5"/>
      </w:numPr>
    </w:pPr>
  </w:style>
  <w:style w:type="paragraph" w:customStyle="1" w:styleId="BoxDoubleDot">
    <w:name w:val="Box Double Dot"/>
    <w:basedOn w:val="BoxTextBase"/>
    <w:rsid w:val="00210B68"/>
    <w:pPr>
      <w:numPr>
        <w:ilvl w:val="2"/>
        <w:numId w:val="5"/>
      </w:numPr>
    </w:pPr>
  </w:style>
  <w:style w:type="paragraph" w:customStyle="1" w:styleId="RecommendationBullet">
    <w:name w:val="Recommendation Bullet"/>
    <w:basedOn w:val="RecommendationTextBase"/>
    <w:link w:val="RecommendationBulletChar"/>
    <w:rsid w:val="00210B68"/>
    <w:pPr>
      <w:numPr>
        <w:numId w:val="12"/>
      </w:numPr>
    </w:pPr>
  </w:style>
  <w:style w:type="paragraph" w:customStyle="1" w:styleId="RecommendationDash">
    <w:name w:val="Recommendation Dash"/>
    <w:basedOn w:val="RecommendationTextBase"/>
    <w:rsid w:val="00210B68"/>
    <w:pPr>
      <w:numPr>
        <w:ilvl w:val="1"/>
        <w:numId w:val="12"/>
      </w:numPr>
    </w:pPr>
  </w:style>
  <w:style w:type="paragraph" w:customStyle="1" w:styleId="RecommendationDoubleDot">
    <w:name w:val="Recommendation Double Dot"/>
    <w:basedOn w:val="RecommendationTextBase"/>
    <w:rsid w:val="00210B68"/>
    <w:pPr>
      <w:numPr>
        <w:ilvl w:val="2"/>
        <w:numId w:val="12"/>
      </w:numPr>
    </w:pPr>
  </w:style>
  <w:style w:type="paragraph" w:customStyle="1" w:styleId="Casestudysourcenote">
    <w:name w:val="Case study source note"/>
    <w:basedOn w:val="HeadingBase"/>
    <w:rsid w:val="00210B68"/>
    <w:pPr>
      <w:jc w:val="both"/>
    </w:pPr>
    <w:rPr>
      <w:sz w:val="16"/>
      <w:szCs w:val="16"/>
    </w:rPr>
  </w:style>
  <w:style w:type="paragraph" w:customStyle="1" w:styleId="Recommendationalpha">
    <w:name w:val="Recommendation alpha"/>
    <w:basedOn w:val="RecommendationTextBase"/>
    <w:rsid w:val="00210B68"/>
    <w:pPr>
      <w:numPr>
        <w:numId w:val="7"/>
      </w:numPr>
    </w:pPr>
  </w:style>
  <w:style w:type="paragraph" w:customStyle="1" w:styleId="Recommendationindent">
    <w:name w:val="Recommendation indent"/>
    <w:basedOn w:val="RecommendationTextBase"/>
    <w:rsid w:val="00210B68"/>
    <w:pPr>
      <w:ind w:left="567"/>
    </w:pPr>
  </w:style>
  <w:style w:type="paragraph" w:customStyle="1" w:styleId="Recommendationromannumeral">
    <w:name w:val="Recommendation roman numeral"/>
    <w:basedOn w:val="RecommendationTextBase"/>
    <w:rsid w:val="00210B68"/>
    <w:pPr>
      <w:numPr>
        <w:numId w:val="8"/>
      </w:numPr>
    </w:pPr>
  </w:style>
  <w:style w:type="paragraph" w:customStyle="1" w:styleId="CoverTitleSub2">
    <w:name w:val="Cover Title Sub 2"/>
    <w:basedOn w:val="HeadingBase"/>
    <w:rsid w:val="00210B68"/>
    <w:pPr>
      <w:spacing w:after="120" w:line="420" w:lineRule="exact"/>
      <w:jc w:val="center"/>
    </w:pPr>
    <w:rPr>
      <w:sz w:val="28"/>
      <w:szCs w:val="28"/>
    </w:rPr>
  </w:style>
  <w:style w:type="character" w:styleId="FootnoteReference">
    <w:name w:val="footnote reference"/>
    <w:uiPriority w:val="99"/>
    <w:rsid w:val="00210B68"/>
    <w:rPr>
      <w:sz w:val="20"/>
      <w:szCs w:val="20"/>
      <w:vertAlign w:val="superscript"/>
    </w:rPr>
  </w:style>
  <w:style w:type="paragraph" w:styleId="FootnoteText">
    <w:name w:val="footnote text"/>
    <w:basedOn w:val="Normal"/>
    <w:link w:val="FootnoteTextChar"/>
    <w:uiPriority w:val="99"/>
    <w:rsid w:val="00032850"/>
    <w:pPr>
      <w:tabs>
        <w:tab w:val="left" w:pos="284"/>
      </w:tabs>
      <w:spacing w:after="0" w:line="240" w:lineRule="auto"/>
      <w:ind w:left="284" w:hanging="284"/>
    </w:pPr>
    <w:rPr>
      <w:sz w:val="18"/>
      <w:szCs w:val="18"/>
    </w:rPr>
  </w:style>
  <w:style w:type="character" w:customStyle="1" w:styleId="FootnoteTextChar">
    <w:name w:val="Footnote Text Char"/>
    <w:link w:val="FootnoteText"/>
    <w:uiPriority w:val="99"/>
    <w:locked/>
    <w:rsid w:val="00032850"/>
    <w:rPr>
      <w:rFonts w:ascii="Book Antiqua" w:hAnsi="Book Antiqua"/>
      <w:color w:val="000000"/>
      <w:sz w:val="18"/>
      <w:szCs w:val="18"/>
    </w:rPr>
  </w:style>
  <w:style w:type="table" w:styleId="TableContemporary">
    <w:name w:val="Table Contemporary"/>
    <w:basedOn w:val="TableNormal"/>
    <w:rsid w:val="00210B68"/>
    <w:pPr>
      <w:spacing w:after="24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rsid w:val="00210B68"/>
    <w:rPr>
      <w:b/>
      <w:i/>
    </w:rPr>
  </w:style>
  <w:style w:type="paragraph" w:customStyle="1" w:styleId="Graphic">
    <w:name w:val="Graphic"/>
    <w:basedOn w:val="Normal"/>
    <w:rsid w:val="00210B68"/>
    <w:pPr>
      <w:spacing w:after="0" w:line="240" w:lineRule="auto"/>
      <w:jc w:val="center"/>
    </w:pPr>
  </w:style>
  <w:style w:type="paragraph" w:customStyle="1" w:styleId="Casestudybullet">
    <w:name w:val="Case study bullet"/>
    <w:basedOn w:val="Casestudytext"/>
    <w:rsid w:val="00210B68"/>
    <w:pPr>
      <w:numPr>
        <w:numId w:val="9"/>
      </w:numPr>
    </w:pPr>
  </w:style>
  <w:style w:type="paragraph" w:customStyle="1" w:styleId="Casestudyheading2">
    <w:name w:val="Case study heading 2"/>
    <w:basedOn w:val="HeadingBase"/>
    <w:rsid w:val="00210B68"/>
    <w:pPr>
      <w:spacing w:after="120"/>
    </w:pPr>
    <w:rPr>
      <w:i/>
      <w:sz w:val="22"/>
    </w:rPr>
  </w:style>
  <w:style w:type="paragraph" w:customStyle="1" w:styleId="Normalindentitalics">
    <w:name w:val="Normal indent italics"/>
    <w:basedOn w:val="NormalIndent"/>
    <w:rsid w:val="00210B68"/>
    <w:pPr>
      <w:tabs>
        <w:tab w:val="left" w:pos="1134"/>
      </w:tabs>
    </w:pPr>
    <w:rPr>
      <w:i/>
      <w:szCs w:val="20"/>
    </w:rPr>
  </w:style>
  <w:style w:type="paragraph" w:customStyle="1" w:styleId="NormalIndentbold">
    <w:name w:val="Normal Indent bold"/>
    <w:basedOn w:val="Normal"/>
    <w:rsid w:val="00210B68"/>
    <w:pPr>
      <w:tabs>
        <w:tab w:val="left" w:pos="1134"/>
      </w:tabs>
      <w:spacing w:after="0"/>
      <w:ind w:left="567"/>
    </w:pPr>
    <w:rPr>
      <w:b/>
      <w:sz w:val="20"/>
      <w:szCs w:val="20"/>
    </w:rPr>
  </w:style>
  <w:style w:type="character" w:customStyle="1" w:styleId="Italics">
    <w:name w:val="Italics"/>
    <w:rsid w:val="00210B68"/>
    <w:rPr>
      <w:i/>
    </w:rPr>
  </w:style>
  <w:style w:type="paragraph" w:customStyle="1" w:styleId="Romannumeral">
    <w:name w:val="Roman numeral"/>
    <w:basedOn w:val="Normal"/>
    <w:rsid w:val="00210B68"/>
    <w:pPr>
      <w:numPr>
        <w:numId w:val="11"/>
      </w:numPr>
    </w:pPr>
  </w:style>
  <w:style w:type="character" w:customStyle="1" w:styleId="SingleParagraphChar">
    <w:name w:val="Single Paragraph Char"/>
    <w:link w:val="SingleParagraph"/>
    <w:locked/>
    <w:rsid w:val="00296A76"/>
    <w:rPr>
      <w:rFonts w:ascii="Book Antiqua" w:hAnsi="Book Antiqua"/>
      <w:color w:val="000000"/>
      <w:sz w:val="22"/>
      <w:szCs w:val="22"/>
    </w:rPr>
  </w:style>
  <w:style w:type="character" w:customStyle="1" w:styleId="BulletChar">
    <w:name w:val="Bullet Char"/>
    <w:aliases w:val="b Char,b Char Char,b + line Char Char"/>
    <w:link w:val="Bullet"/>
    <w:locked/>
    <w:rsid w:val="00C420DA"/>
    <w:rPr>
      <w:rFonts w:ascii="Book Antiqua" w:hAnsi="Book Antiqua"/>
      <w:color w:val="000000"/>
      <w:sz w:val="22"/>
      <w:szCs w:val="22"/>
    </w:rPr>
  </w:style>
  <w:style w:type="character" w:customStyle="1" w:styleId="NumberedParagraph1Char">
    <w:name w:val="Numbered Paragraph 1 Char"/>
    <w:link w:val="NumberedParagraph1"/>
    <w:uiPriority w:val="99"/>
    <w:locked/>
    <w:rsid w:val="00296A76"/>
    <w:rPr>
      <w:rFonts w:ascii="Book Antiqua" w:hAnsi="Book Antiqua"/>
      <w:color w:val="000000"/>
      <w:sz w:val="22"/>
      <w:szCs w:val="22"/>
    </w:rPr>
  </w:style>
  <w:style w:type="character" w:customStyle="1" w:styleId="NormalIndentChar">
    <w:name w:val="Normal Indent Char"/>
    <w:link w:val="NormalIndent"/>
    <w:locked/>
    <w:rsid w:val="00296A76"/>
    <w:rPr>
      <w:rFonts w:ascii="Book Antiqua" w:hAnsi="Book Antiqua"/>
      <w:color w:val="000000"/>
      <w:szCs w:val="22"/>
    </w:rPr>
  </w:style>
  <w:style w:type="character" w:customStyle="1" w:styleId="RecommendationHeadingChar">
    <w:name w:val="Recommendation Heading Char"/>
    <w:link w:val="RecommendationHeading"/>
    <w:locked/>
    <w:rsid w:val="00722ECE"/>
    <w:rPr>
      <w:rFonts w:ascii="Arial" w:hAnsi="Arial"/>
      <w:b/>
      <w:color w:val="000080"/>
      <w:sz w:val="22"/>
      <w:szCs w:val="22"/>
    </w:rPr>
  </w:style>
  <w:style w:type="character" w:customStyle="1" w:styleId="RecommendationBulletChar">
    <w:name w:val="Recommendation Bullet Char"/>
    <w:link w:val="RecommendationBullet"/>
    <w:locked/>
    <w:rsid w:val="00A73CE8"/>
    <w:rPr>
      <w:rFonts w:ascii="Book Antiqua" w:hAnsi="Book Antiqua"/>
      <w:color w:val="000080"/>
      <w:sz w:val="22"/>
      <w:szCs w:val="22"/>
    </w:rPr>
  </w:style>
  <w:style w:type="paragraph" w:styleId="BalloonText">
    <w:name w:val="Balloon Text"/>
    <w:basedOn w:val="Normal"/>
    <w:link w:val="BalloonTextChar"/>
    <w:uiPriority w:val="99"/>
    <w:rsid w:val="008F288A"/>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8F288A"/>
    <w:rPr>
      <w:rFonts w:ascii="Tahoma" w:hAnsi="Tahoma" w:cs="Tahoma"/>
      <w:color w:val="000000"/>
      <w:sz w:val="16"/>
      <w:szCs w:val="16"/>
    </w:rPr>
  </w:style>
  <w:style w:type="paragraph" w:styleId="BodyText">
    <w:name w:val="Body Text"/>
    <w:basedOn w:val="Normal"/>
    <w:link w:val="BodyTextChar"/>
    <w:uiPriority w:val="99"/>
    <w:rsid w:val="003C47C8"/>
    <w:pPr>
      <w:spacing w:after="120"/>
    </w:pPr>
  </w:style>
  <w:style w:type="character" w:customStyle="1" w:styleId="BodyTextChar">
    <w:name w:val="Body Text Char"/>
    <w:link w:val="BodyText"/>
    <w:uiPriority w:val="99"/>
    <w:locked/>
    <w:rsid w:val="003C47C8"/>
    <w:rPr>
      <w:rFonts w:ascii="Book Antiqua" w:hAnsi="Book Antiqua" w:cs="Times New Roman"/>
      <w:color w:val="000000"/>
      <w:sz w:val="22"/>
      <w:szCs w:val="22"/>
    </w:rPr>
  </w:style>
  <w:style w:type="paragraph" w:customStyle="1" w:styleId="Default">
    <w:name w:val="Default"/>
    <w:rsid w:val="006351E2"/>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94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1EE9"/>
    <w:rPr>
      <w:sz w:val="16"/>
      <w:szCs w:val="16"/>
    </w:rPr>
  </w:style>
  <w:style w:type="paragraph" w:styleId="CommentText">
    <w:name w:val="annotation text"/>
    <w:basedOn w:val="Normal"/>
    <w:link w:val="CommentTextChar"/>
    <w:uiPriority w:val="99"/>
    <w:unhideWhenUsed/>
    <w:rsid w:val="002E1EE9"/>
    <w:rPr>
      <w:sz w:val="20"/>
      <w:szCs w:val="20"/>
    </w:rPr>
  </w:style>
  <w:style w:type="character" w:customStyle="1" w:styleId="CommentTextChar">
    <w:name w:val="Comment Text Char"/>
    <w:link w:val="CommentText"/>
    <w:uiPriority w:val="99"/>
    <w:rsid w:val="002E1EE9"/>
    <w:rPr>
      <w:rFonts w:ascii="Book Antiqua" w:hAnsi="Book Antiqua"/>
      <w:color w:val="000000"/>
      <w:sz w:val="20"/>
      <w:szCs w:val="20"/>
    </w:rPr>
  </w:style>
  <w:style w:type="paragraph" w:styleId="CommentSubject">
    <w:name w:val="annotation subject"/>
    <w:basedOn w:val="CommentText"/>
    <w:next w:val="CommentText"/>
    <w:link w:val="CommentSubjectChar"/>
    <w:uiPriority w:val="99"/>
    <w:semiHidden/>
    <w:unhideWhenUsed/>
    <w:rsid w:val="002E1EE9"/>
    <w:rPr>
      <w:b/>
      <w:bCs/>
    </w:rPr>
  </w:style>
  <w:style w:type="character" w:customStyle="1" w:styleId="CommentSubjectChar">
    <w:name w:val="Comment Subject Char"/>
    <w:link w:val="CommentSubject"/>
    <w:uiPriority w:val="99"/>
    <w:semiHidden/>
    <w:rsid w:val="002E1EE9"/>
    <w:rPr>
      <w:rFonts w:ascii="Book Antiqua" w:hAnsi="Book Antiqua"/>
      <w:b/>
      <w:bCs/>
      <w:color w:val="000000"/>
      <w:sz w:val="20"/>
      <w:szCs w:val="20"/>
    </w:rPr>
  </w:style>
  <w:style w:type="paragraph" w:styleId="Revision">
    <w:name w:val="Revision"/>
    <w:hidden/>
    <w:uiPriority w:val="99"/>
    <w:semiHidden/>
    <w:rsid w:val="002E1EE9"/>
    <w:rPr>
      <w:rFonts w:ascii="Book Antiqua" w:hAnsi="Book Antiqua"/>
      <w:color w:val="000000"/>
      <w:sz w:val="22"/>
      <w:szCs w:val="22"/>
    </w:rPr>
  </w:style>
  <w:style w:type="paragraph" w:styleId="ListBullet">
    <w:name w:val="List Bullet"/>
    <w:basedOn w:val="Normal"/>
    <w:uiPriority w:val="99"/>
    <w:rsid w:val="00450701"/>
    <w:pPr>
      <w:tabs>
        <w:tab w:val="num" w:pos="360"/>
      </w:tabs>
      <w:ind w:left="360" w:hanging="360"/>
    </w:pPr>
  </w:style>
  <w:style w:type="paragraph" w:customStyle="1" w:styleId="CharChar1CharCharCharChar">
    <w:name w:val="Char Char1 Char Char Char Char"/>
    <w:basedOn w:val="Normal"/>
    <w:rsid w:val="00450701"/>
    <w:pPr>
      <w:spacing w:after="0" w:line="240" w:lineRule="auto"/>
      <w:jc w:val="left"/>
    </w:pPr>
    <w:rPr>
      <w:rFonts w:ascii="Arial" w:hAnsi="Arial" w:cs="Arial"/>
      <w:color w:val="auto"/>
      <w:lang w:eastAsia="en-US"/>
    </w:rPr>
  </w:style>
  <w:style w:type="character" w:customStyle="1" w:styleId="NumberedParagraphChar">
    <w:name w:val="Numbered Paragraph Char"/>
    <w:uiPriority w:val="99"/>
    <w:locked/>
    <w:rsid w:val="00450701"/>
    <w:rPr>
      <w:rFonts w:ascii="Book Antiqua" w:hAnsi="Book Antiqua"/>
      <w:color w:val="000000"/>
    </w:rPr>
  </w:style>
  <w:style w:type="character" w:customStyle="1" w:styleId="Heading2Char1">
    <w:name w:val="Heading 2 Char1"/>
    <w:uiPriority w:val="99"/>
    <w:locked/>
    <w:rsid w:val="00D14251"/>
    <w:rPr>
      <w:rFonts w:ascii="Arial" w:hAnsi="Arial" w:cs="Arial"/>
      <w:bCs/>
      <w:iCs/>
      <w:smallCaps/>
      <w:color w:val="000080"/>
      <w:sz w:val="30"/>
      <w:szCs w:val="30"/>
      <w:lang w:val="en-AU" w:eastAsia="en-AU" w:bidi="ar-SA"/>
    </w:rPr>
  </w:style>
  <w:style w:type="paragraph" w:styleId="NormalWeb">
    <w:name w:val="Normal (Web)"/>
    <w:basedOn w:val="Normal"/>
    <w:uiPriority w:val="99"/>
    <w:unhideWhenUsed/>
    <w:rsid w:val="00343222"/>
    <w:pPr>
      <w:spacing w:before="100" w:beforeAutospacing="1" w:after="100" w:afterAutospacing="1" w:line="240" w:lineRule="auto"/>
      <w:jc w:val="left"/>
    </w:pPr>
    <w:rPr>
      <w:rFonts w:ascii="Arial" w:eastAsia="Calibri" w:hAnsi="Arial" w:cs="Arial"/>
      <w:sz w:val="20"/>
      <w:szCs w:val="20"/>
    </w:rPr>
  </w:style>
  <w:style w:type="character" w:customStyle="1" w:styleId="FootnoteTextChar1">
    <w:name w:val="Footnote Text Char1"/>
    <w:rsid w:val="00343222"/>
    <w:rPr>
      <w:rFonts w:ascii="Book Antiqua" w:hAnsi="Book Antiqua"/>
      <w:color w:val="000000"/>
      <w:sz w:val="18"/>
      <w:szCs w:val="18"/>
      <w:lang w:val="en-AU" w:eastAsia="en-AU" w:bidi="ar-SA"/>
    </w:rPr>
  </w:style>
  <w:style w:type="paragraph" w:styleId="EndnoteText">
    <w:name w:val="endnote text"/>
    <w:basedOn w:val="Normal"/>
    <w:link w:val="EndnoteTextChar"/>
    <w:uiPriority w:val="99"/>
    <w:semiHidden/>
    <w:unhideWhenUsed/>
    <w:rsid w:val="00DF35AC"/>
    <w:pPr>
      <w:spacing w:after="0" w:line="240" w:lineRule="auto"/>
      <w:jc w:val="left"/>
    </w:pPr>
    <w:rPr>
      <w:rFonts w:ascii="Calibri" w:eastAsia="Calibri" w:hAnsi="Calibri"/>
      <w:color w:val="auto"/>
      <w:sz w:val="20"/>
      <w:szCs w:val="20"/>
      <w:lang w:eastAsia="en-US"/>
    </w:rPr>
  </w:style>
  <w:style w:type="character" w:customStyle="1" w:styleId="EndnoteTextChar">
    <w:name w:val="Endnote Text Char"/>
    <w:link w:val="EndnoteText"/>
    <w:uiPriority w:val="99"/>
    <w:semiHidden/>
    <w:rsid w:val="00DF35AC"/>
    <w:rPr>
      <w:rFonts w:ascii="Calibri" w:eastAsia="Calibri" w:hAnsi="Calibri"/>
      <w:lang w:eastAsia="en-US"/>
    </w:rPr>
  </w:style>
  <w:style w:type="character" w:styleId="EndnoteReference">
    <w:name w:val="endnote reference"/>
    <w:uiPriority w:val="99"/>
    <w:semiHidden/>
    <w:unhideWhenUsed/>
    <w:rsid w:val="00DF35AC"/>
    <w:rPr>
      <w:vertAlign w:val="superscript"/>
    </w:rPr>
  </w:style>
  <w:style w:type="paragraph" w:styleId="ListParagraph">
    <w:name w:val="List Paragraph"/>
    <w:basedOn w:val="Normal"/>
    <w:uiPriority w:val="34"/>
    <w:qFormat/>
    <w:rsid w:val="00DF35AC"/>
    <w:pPr>
      <w:spacing w:after="200" w:line="276" w:lineRule="auto"/>
      <w:ind w:left="720"/>
      <w:contextualSpacing/>
      <w:jc w:val="left"/>
    </w:pPr>
    <w:rPr>
      <w:rFonts w:ascii="Calibri" w:eastAsia="Calibri" w:hAnsi="Calibri"/>
      <w:color w:val="auto"/>
      <w:lang w:eastAsia="en-US"/>
    </w:rPr>
  </w:style>
  <w:style w:type="table" w:customStyle="1" w:styleId="TableGrid1">
    <w:name w:val="Table Grid1"/>
    <w:basedOn w:val="TableNormal"/>
    <w:next w:val="TableGrid"/>
    <w:uiPriority w:val="59"/>
    <w:rsid w:val="00DA2F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B5310"/>
    <w:pPr>
      <w:ind w:left="567"/>
    </w:pPr>
    <w:rPr>
      <w:i/>
      <w:iCs/>
    </w:rPr>
  </w:style>
  <w:style w:type="character" w:customStyle="1" w:styleId="QuoteChar">
    <w:name w:val="Quote Char"/>
    <w:link w:val="Quote"/>
    <w:uiPriority w:val="29"/>
    <w:rsid w:val="009B5310"/>
    <w:rPr>
      <w:rFonts w:ascii="Book Antiqua" w:hAnsi="Book Antiqua"/>
      <w:i/>
      <w:iCs/>
      <w:color w:val="000000"/>
      <w:sz w:val="22"/>
      <w:szCs w:val="22"/>
    </w:rPr>
  </w:style>
  <w:style w:type="paragraph" w:customStyle="1" w:styleId="tabletext">
    <w:name w:val="tabletext"/>
    <w:basedOn w:val="Normal"/>
    <w:rsid w:val="00074A7D"/>
    <w:pPr>
      <w:spacing w:before="100" w:beforeAutospacing="1" w:after="100" w:afterAutospacing="1" w:line="240" w:lineRule="auto"/>
      <w:jc w:val="left"/>
    </w:pPr>
    <w:rPr>
      <w:rFonts w:ascii="Times New Roman" w:hAnsi="Times New Roman"/>
      <w:color w:val="auto"/>
      <w:sz w:val="24"/>
      <w:szCs w:val="24"/>
    </w:rPr>
  </w:style>
  <w:style w:type="character" w:customStyle="1" w:styleId="legtitle1">
    <w:name w:val="legtitle1"/>
    <w:rsid w:val="00074A7D"/>
    <w:rPr>
      <w:rFonts w:ascii="Helvetica Neue" w:hAnsi="Helvetica Neue" w:hint="default"/>
      <w:b/>
      <w:bCs/>
      <w:color w:val="10418E"/>
      <w:sz w:val="40"/>
      <w:szCs w:val="40"/>
    </w:rPr>
  </w:style>
  <w:style w:type="character" w:styleId="FollowedHyperlink">
    <w:name w:val="FollowedHyperlink"/>
    <w:uiPriority w:val="99"/>
    <w:semiHidden/>
    <w:unhideWhenUsed/>
    <w:rsid w:val="00074A7D"/>
    <w:rPr>
      <w:color w:val="800080"/>
      <w:u w:val="single"/>
    </w:rPr>
  </w:style>
  <w:style w:type="character" w:customStyle="1" w:styleId="DashChar">
    <w:name w:val="Dash Char"/>
    <w:link w:val="Dash"/>
    <w:rsid w:val="001724B4"/>
    <w:rPr>
      <w:rFonts w:ascii="Book Antiqua" w:hAnsi="Book Antiqua"/>
      <w:color w:val="000000"/>
      <w:sz w:val="22"/>
      <w:szCs w:val="22"/>
    </w:rPr>
  </w:style>
  <w:style w:type="character" w:customStyle="1" w:styleId="OutlineNumbered1Char">
    <w:name w:val="Outline Numbered 1 Char"/>
    <w:link w:val="OutlineNumbered1"/>
    <w:rsid w:val="00663021"/>
    <w:rPr>
      <w:rFonts w:ascii="Book Antiqua" w:hAnsi="Book Antiqua"/>
      <w:color w:val="000000"/>
      <w:sz w:val="22"/>
      <w:szCs w:val="22"/>
    </w:rPr>
  </w:style>
  <w:style w:type="paragraph" w:customStyle="1" w:styleId="BodyPara">
    <w:name w:val="BodyPara"/>
    <w:aliases w:val="ba"/>
    <w:basedOn w:val="Normal"/>
    <w:rsid w:val="00C115DE"/>
    <w:pPr>
      <w:tabs>
        <w:tab w:val="num" w:pos="1440"/>
      </w:tabs>
      <w:spacing w:before="240" w:after="0" w:line="240" w:lineRule="auto"/>
      <w:ind w:left="1440" w:hanging="720"/>
      <w:jc w:val="left"/>
    </w:pPr>
    <w:rPr>
      <w:rFonts w:ascii="Times New Roman" w:eastAsiaTheme="minorHAnsi" w:hAnsi="Times New Roman"/>
      <w:color w:val="auto"/>
      <w:sz w:val="24"/>
      <w:szCs w:val="24"/>
    </w:rPr>
  </w:style>
  <w:style w:type="paragraph" w:customStyle="1" w:styleId="BodyParaBullet">
    <w:name w:val="BodyParaBullet"/>
    <w:aliases w:val="bpb"/>
    <w:basedOn w:val="Normal"/>
    <w:rsid w:val="00C115DE"/>
    <w:pPr>
      <w:tabs>
        <w:tab w:val="num" w:pos="1440"/>
      </w:tabs>
      <w:spacing w:before="240" w:after="0" w:line="240" w:lineRule="auto"/>
      <w:ind w:left="1440" w:hanging="720"/>
      <w:jc w:val="left"/>
    </w:pPr>
    <w:rPr>
      <w:rFonts w:ascii="Times New Roman" w:eastAsiaTheme="minorHAnsi" w:hAnsi="Times New Roman"/>
      <w:color w:val="auto"/>
      <w:sz w:val="24"/>
      <w:szCs w:val="24"/>
    </w:rPr>
  </w:style>
  <w:style w:type="paragraph" w:customStyle="1" w:styleId="BodySubPara">
    <w:name w:val="BodySubPara"/>
    <w:aliases w:val="bi"/>
    <w:basedOn w:val="Normal"/>
    <w:rsid w:val="00C115DE"/>
    <w:pPr>
      <w:tabs>
        <w:tab w:val="num" w:pos="2160"/>
      </w:tabs>
      <w:spacing w:before="240" w:after="0" w:line="240" w:lineRule="auto"/>
      <w:ind w:left="2160" w:hanging="720"/>
      <w:jc w:val="left"/>
    </w:pPr>
    <w:rPr>
      <w:rFonts w:ascii="Times New Roman" w:eastAsiaTheme="minorHAnsi" w:hAnsi="Times New Roman"/>
      <w:color w:val="auto"/>
      <w:sz w:val="24"/>
      <w:szCs w:val="24"/>
    </w:rPr>
  </w:style>
  <w:style w:type="numbering" w:customStyle="1" w:styleId="OPCBodyList">
    <w:name w:val="OPCBodyList"/>
    <w:uiPriority w:val="99"/>
    <w:rsid w:val="00C115DE"/>
    <w:pPr>
      <w:numPr>
        <w:numId w:val="67"/>
      </w:numPr>
    </w:pPr>
  </w:style>
  <w:style w:type="paragraph" w:customStyle="1" w:styleId="NumberedParagraph2">
    <w:name w:val="Numbered Paragraph 2"/>
    <w:basedOn w:val="NumberedParagraph1"/>
    <w:qFormat/>
    <w:rsid w:val="008D2A74"/>
    <w:pPr>
      <w:numPr>
        <w:ilvl w:val="0"/>
        <w:numId w:val="76"/>
      </w:numPr>
      <w:tabs>
        <w:tab w:val="left" w:pos="567"/>
      </w:tabs>
      <w:ind w:left="0" w:firstLine="0"/>
    </w:pPr>
  </w:style>
  <w:style w:type="paragraph" w:customStyle="1" w:styleId="NumberedParagraph3">
    <w:name w:val="Numbered Paragraph 3"/>
    <w:basedOn w:val="NumberedParagraph2"/>
    <w:qFormat/>
    <w:rsid w:val="00EF7A21"/>
    <w:pPr>
      <w:numPr>
        <w:numId w:val="77"/>
      </w:numPr>
      <w:ind w:left="0" w:firstLine="0"/>
    </w:pPr>
  </w:style>
  <w:style w:type="paragraph" w:customStyle="1" w:styleId="NumberedParagraph4">
    <w:name w:val="Numbered Paragraph 4"/>
    <w:basedOn w:val="NumberedParagraph3"/>
    <w:qFormat/>
    <w:rsid w:val="009B5310"/>
    <w:pPr>
      <w:numPr>
        <w:numId w:val="78"/>
      </w:numPr>
      <w:ind w:left="0" w:firstLine="0"/>
    </w:pPr>
  </w:style>
  <w:style w:type="paragraph" w:customStyle="1" w:styleId="QuoteRomanNumeral">
    <w:name w:val="Quote Roman Numeral"/>
    <w:basedOn w:val="Quote"/>
    <w:qFormat/>
    <w:rsid w:val="009B5310"/>
    <w:pPr>
      <w:numPr>
        <w:numId w:val="79"/>
      </w:numPr>
    </w:pPr>
  </w:style>
  <w:style w:type="paragraph" w:customStyle="1" w:styleId="NumberedParagraph">
    <w:name w:val="Numbered Paragraph"/>
    <w:basedOn w:val="Normal"/>
    <w:link w:val="NumberedParagraphChar1"/>
    <w:rsid w:val="00E918C6"/>
    <w:pPr>
      <w:tabs>
        <w:tab w:val="num" w:pos="567"/>
      </w:tabs>
    </w:pPr>
  </w:style>
  <w:style w:type="character" w:customStyle="1" w:styleId="NumberedParagraphChar1">
    <w:name w:val="Numbered Paragraph Char1"/>
    <w:link w:val="NumberedParagraph"/>
    <w:locked/>
    <w:rsid w:val="00E918C6"/>
    <w:rPr>
      <w:rFonts w:ascii="Book Antiqua" w:hAnsi="Book Antiqu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29270">
      <w:bodyDiv w:val="1"/>
      <w:marLeft w:val="0"/>
      <w:marRight w:val="0"/>
      <w:marTop w:val="0"/>
      <w:marBottom w:val="0"/>
      <w:divBdr>
        <w:top w:val="none" w:sz="0" w:space="0" w:color="auto"/>
        <w:left w:val="none" w:sz="0" w:space="0" w:color="auto"/>
        <w:bottom w:val="none" w:sz="0" w:space="0" w:color="auto"/>
        <w:right w:val="none" w:sz="0" w:space="0" w:color="auto"/>
      </w:divBdr>
    </w:div>
    <w:div w:id="288360205">
      <w:bodyDiv w:val="1"/>
      <w:marLeft w:val="0"/>
      <w:marRight w:val="0"/>
      <w:marTop w:val="0"/>
      <w:marBottom w:val="0"/>
      <w:divBdr>
        <w:top w:val="none" w:sz="0" w:space="0" w:color="auto"/>
        <w:left w:val="none" w:sz="0" w:space="0" w:color="auto"/>
        <w:bottom w:val="none" w:sz="0" w:space="0" w:color="auto"/>
        <w:right w:val="none" w:sz="0" w:space="0" w:color="auto"/>
      </w:divBdr>
    </w:div>
    <w:div w:id="298189973">
      <w:bodyDiv w:val="1"/>
      <w:marLeft w:val="0"/>
      <w:marRight w:val="0"/>
      <w:marTop w:val="0"/>
      <w:marBottom w:val="0"/>
      <w:divBdr>
        <w:top w:val="none" w:sz="0" w:space="0" w:color="auto"/>
        <w:left w:val="none" w:sz="0" w:space="0" w:color="auto"/>
        <w:bottom w:val="none" w:sz="0" w:space="0" w:color="auto"/>
        <w:right w:val="none" w:sz="0" w:space="0" w:color="auto"/>
      </w:divBdr>
    </w:div>
    <w:div w:id="405811284">
      <w:bodyDiv w:val="1"/>
      <w:marLeft w:val="0"/>
      <w:marRight w:val="0"/>
      <w:marTop w:val="0"/>
      <w:marBottom w:val="0"/>
      <w:divBdr>
        <w:top w:val="none" w:sz="0" w:space="0" w:color="auto"/>
        <w:left w:val="none" w:sz="0" w:space="0" w:color="auto"/>
        <w:bottom w:val="none" w:sz="0" w:space="0" w:color="auto"/>
        <w:right w:val="none" w:sz="0" w:space="0" w:color="auto"/>
      </w:divBdr>
    </w:div>
    <w:div w:id="468789766">
      <w:bodyDiv w:val="1"/>
      <w:marLeft w:val="0"/>
      <w:marRight w:val="0"/>
      <w:marTop w:val="0"/>
      <w:marBottom w:val="0"/>
      <w:divBdr>
        <w:top w:val="none" w:sz="0" w:space="0" w:color="auto"/>
        <w:left w:val="none" w:sz="0" w:space="0" w:color="auto"/>
        <w:bottom w:val="none" w:sz="0" w:space="0" w:color="auto"/>
        <w:right w:val="none" w:sz="0" w:space="0" w:color="auto"/>
      </w:divBdr>
    </w:div>
    <w:div w:id="481504512">
      <w:bodyDiv w:val="1"/>
      <w:marLeft w:val="0"/>
      <w:marRight w:val="0"/>
      <w:marTop w:val="0"/>
      <w:marBottom w:val="0"/>
      <w:divBdr>
        <w:top w:val="none" w:sz="0" w:space="0" w:color="auto"/>
        <w:left w:val="none" w:sz="0" w:space="0" w:color="auto"/>
        <w:bottom w:val="none" w:sz="0" w:space="0" w:color="auto"/>
        <w:right w:val="none" w:sz="0" w:space="0" w:color="auto"/>
      </w:divBdr>
    </w:div>
    <w:div w:id="547567785">
      <w:bodyDiv w:val="1"/>
      <w:marLeft w:val="0"/>
      <w:marRight w:val="0"/>
      <w:marTop w:val="0"/>
      <w:marBottom w:val="0"/>
      <w:divBdr>
        <w:top w:val="none" w:sz="0" w:space="0" w:color="auto"/>
        <w:left w:val="none" w:sz="0" w:space="0" w:color="auto"/>
        <w:bottom w:val="none" w:sz="0" w:space="0" w:color="auto"/>
        <w:right w:val="none" w:sz="0" w:space="0" w:color="auto"/>
      </w:divBdr>
    </w:div>
    <w:div w:id="581063550">
      <w:bodyDiv w:val="1"/>
      <w:marLeft w:val="0"/>
      <w:marRight w:val="0"/>
      <w:marTop w:val="0"/>
      <w:marBottom w:val="0"/>
      <w:divBdr>
        <w:top w:val="none" w:sz="0" w:space="0" w:color="auto"/>
        <w:left w:val="none" w:sz="0" w:space="0" w:color="auto"/>
        <w:bottom w:val="none" w:sz="0" w:space="0" w:color="auto"/>
        <w:right w:val="none" w:sz="0" w:space="0" w:color="auto"/>
      </w:divBdr>
    </w:div>
    <w:div w:id="661348030">
      <w:bodyDiv w:val="1"/>
      <w:marLeft w:val="0"/>
      <w:marRight w:val="0"/>
      <w:marTop w:val="0"/>
      <w:marBottom w:val="0"/>
      <w:divBdr>
        <w:top w:val="none" w:sz="0" w:space="0" w:color="auto"/>
        <w:left w:val="none" w:sz="0" w:space="0" w:color="auto"/>
        <w:bottom w:val="none" w:sz="0" w:space="0" w:color="auto"/>
        <w:right w:val="none" w:sz="0" w:space="0" w:color="auto"/>
      </w:divBdr>
    </w:div>
    <w:div w:id="727724996">
      <w:bodyDiv w:val="1"/>
      <w:marLeft w:val="0"/>
      <w:marRight w:val="0"/>
      <w:marTop w:val="0"/>
      <w:marBottom w:val="0"/>
      <w:divBdr>
        <w:top w:val="none" w:sz="0" w:space="0" w:color="auto"/>
        <w:left w:val="none" w:sz="0" w:space="0" w:color="auto"/>
        <w:bottom w:val="none" w:sz="0" w:space="0" w:color="auto"/>
        <w:right w:val="none" w:sz="0" w:space="0" w:color="auto"/>
      </w:divBdr>
      <w:divsChild>
        <w:div w:id="1032802251">
          <w:marLeft w:val="0"/>
          <w:marRight w:val="0"/>
          <w:marTop w:val="0"/>
          <w:marBottom w:val="0"/>
          <w:divBdr>
            <w:top w:val="none" w:sz="0" w:space="0" w:color="auto"/>
            <w:left w:val="none" w:sz="0" w:space="0" w:color="auto"/>
            <w:bottom w:val="none" w:sz="0" w:space="0" w:color="auto"/>
            <w:right w:val="none" w:sz="0" w:space="0" w:color="auto"/>
          </w:divBdr>
          <w:divsChild>
            <w:div w:id="93404606">
              <w:marLeft w:val="0"/>
              <w:marRight w:val="0"/>
              <w:marTop w:val="0"/>
              <w:marBottom w:val="0"/>
              <w:divBdr>
                <w:top w:val="none" w:sz="0" w:space="0" w:color="auto"/>
                <w:left w:val="none" w:sz="0" w:space="0" w:color="auto"/>
                <w:bottom w:val="none" w:sz="0" w:space="0" w:color="auto"/>
                <w:right w:val="none" w:sz="0" w:space="0" w:color="auto"/>
              </w:divBdr>
              <w:divsChild>
                <w:div w:id="1466007037">
                  <w:marLeft w:val="0"/>
                  <w:marRight w:val="0"/>
                  <w:marTop w:val="0"/>
                  <w:marBottom w:val="0"/>
                  <w:divBdr>
                    <w:top w:val="none" w:sz="0" w:space="0" w:color="auto"/>
                    <w:left w:val="none" w:sz="0" w:space="0" w:color="auto"/>
                    <w:bottom w:val="none" w:sz="0" w:space="0" w:color="auto"/>
                    <w:right w:val="none" w:sz="0" w:space="0" w:color="auto"/>
                  </w:divBdr>
                  <w:divsChild>
                    <w:div w:id="396519176">
                      <w:marLeft w:val="0"/>
                      <w:marRight w:val="0"/>
                      <w:marTop w:val="0"/>
                      <w:marBottom w:val="0"/>
                      <w:divBdr>
                        <w:top w:val="none" w:sz="0" w:space="0" w:color="auto"/>
                        <w:left w:val="none" w:sz="0" w:space="0" w:color="auto"/>
                        <w:bottom w:val="none" w:sz="0" w:space="0" w:color="auto"/>
                        <w:right w:val="none" w:sz="0" w:space="0" w:color="auto"/>
                      </w:divBdr>
                      <w:divsChild>
                        <w:div w:id="1567451511">
                          <w:marLeft w:val="0"/>
                          <w:marRight w:val="0"/>
                          <w:marTop w:val="0"/>
                          <w:marBottom w:val="0"/>
                          <w:divBdr>
                            <w:top w:val="none" w:sz="0" w:space="0" w:color="auto"/>
                            <w:left w:val="none" w:sz="0" w:space="0" w:color="auto"/>
                            <w:bottom w:val="none" w:sz="0" w:space="0" w:color="auto"/>
                            <w:right w:val="none" w:sz="0" w:space="0" w:color="auto"/>
                          </w:divBdr>
                          <w:divsChild>
                            <w:div w:id="1259634112">
                              <w:marLeft w:val="0"/>
                              <w:marRight w:val="0"/>
                              <w:marTop w:val="0"/>
                              <w:marBottom w:val="0"/>
                              <w:divBdr>
                                <w:top w:val="none" w:sz="0" w:space="0" w:color="auto"/>
                                <w:left w:val="none" w:sz="0" w:space="0" w:color="auto"/>
                                <w:bottom w:val="none" w:sz="0" w:space="0" w:color="auto"/>
                                <w:right w:val="none" w:sz="0" w:space="0" w:color="auto"/>
                              </w:divBdr>
                              <w:divsChild>
                                <w:div w:id="1922057917">
                                  <w:marLeft w:val="0"/>
                                  <w:marRight w:val="0"/>
                                  <w:marTop w:val="0"/>
                                  <w:marBottom w:val="0"/>
                                  <w:divBdr>
                                    <w:top w:val="none" w:sz="0" w:space="0" w:color="auto"/>
                                    <w:left w:val="none" w:sz="0" w:space="0" w:color="auto"/>
                                    <w:bottom w:val="none" w:sz="0" w:space="0" w:color="auto"/>
                                    <w:right w:val="none" w:sz="0" w:space="0" w:color="auto"/>
                                  </w:divBdr>
                                  <w:divsChild>
                                    <w:div w:id="1687513939">
                                      <w:marLeft w:val="0"/>
                                      <w:marRight w:val="0"/>
                                      <w:marTop w:val="0"/>
                                      <w:marBottom w:val="0"/>
                                      <w:divBdr>
                                        <w:top w:val="none" w:sz="0" w:space="0" w:color="auto"/>
                                        <w:left w:val="none" w:sz="0" w:space="0" w:color="auto"/>
                                        <w:bottom w:val="none" w:sz="0" w:space="0" w:color="auto"/>
                                        <w:right w:val="none" w:sz="0" w:space="0" w:color="auto"/>
                                      </w:divBdr>
                                      <w:divsChild>
                                        <w:div w:id="1467970727">
                                          <w:marLeft w:val="0"/>
                                          <w:marRight w:val="0"/>
                                          <w:marTop w:val="0"/>
                                          <w:marBottom w:val="0"/>
                                          <w:divBdr>
                                            <w:top w:val="none" w:sz="0" w:space="0" w:color="auto"/>
                                            <w:left w:val="none" w:sz="0" w:space="0" w:color="auto"/>
                                            <w:bottom w:val="none" w:sz="0" w:space="0" w:color="auto"/>
                                            <w:right w:val="none" w:sz="0" w:space="0" w:color="auto"/>
                                          </w:divBdr>
                                          <w:divsChild>
                                            <w:div w:id="1069621389">
                                              <w:marLeft w:val="0"/>
                                              <w:marRight w:val="0"/>
                                              <w:marTop w:val="0"/>
                                              <w:marBottom w:val="0"/>
                                              <w:divBdr>
                                                <w:top w:val="none" w:sz="0" w:space="0" w:color="auto"/>
                                                <w:left w:val="none" w:sz="0" w:space="0" w:color="auto"/>
                                                <w:bottom w:val="none" w:sz="0" w:space="0" w:color="auto"/>
                                                <w:right w:val="none" w:sz="0" w:space="0" w:color="auto"/>
                                              </w:divBdr>
                                              <w:divsChild>
                                                <w:div w:id="266692787">
                                                  <w:marLeft w:val="0"/>
                                                  <w:marRight w:val="0"/>
                                                  <w:marTop w:val="0"/>
                                                  <w:marBottom w:val="0"/>
                                                  <w:divBdr>
                                                    <w:top w:val="none" w:sz="0" w:space="0" w:color="auto"/>
                                                    <w:left w:val="none" w:sz="0" w:space="0" w:color="auto"/>
                                                    <w:bottom w:val="none" w:sz="0" w:space="0" w:color="auto"/>
                                                    <w:right w:val="none" w:sz="0" w:space="0" w:color="auto"/>
                                                  </w:divBdr>
                                                  <w:divsChild>
                                                    <w:div w:id="1961103728">
                                                      <w:marLeft w:val="0"/>
                                                      <w:marRight w:val="0"/>
                                                      <w:marTop w:val="0"/>
                                                      <w:marBottom w:val="0"/>
                                                      <w:divBdr>
                                                        <w:top w:val="none" w:sz="0" w:space="0" w:color="auto"/>
                                                        <w:left w:val="none" w:sz="0" w:space="0" w:color="auto"/>
                                                        <w:bottom w:val="none" w:sz="0" w:space="0" w:color="auto"/>
                                                        <w:right w:val="none" w:sz="0" w:space="0" w:color="auto"/>
                                                      </w:divBdr>
                                                      <w:divsChild>
                                                        <w:div w:id="1788889987">
                                                          <w:marLeft w:val="0"/>
                                                          <w:marRight w:val="0"/>
                                                          <w:marTop w:val="0"/>
                                                          <w:marBottom w:val="0"/>
                                                          <w:divBdr>
                                                            <w:top w:val="none" w:sz="0" w:space="0" w:color="auto"/>
                                                            <w:left w:val="none" w:sz="0" w:space="0" w:color="auto"/>
                                                            <w:bottom w:val="none" w:sz="0" w:space="0" w:color="auto"/>
                                                            <w:right w:val="none" w:sz="0" w:space="0" w:color="auto"/>
                                                          </w:divBdr>
                                                          <w:divsChild>
                                                            <w:div w:id="466968649">
                                                              <w:marLeft w:val="0"/>
                                                              <w:marRight w:val="0"/>
                                                              <w:marTop w:val="0"/>
                                                              <w:marBottom w:val="0"/>
                                                              <w:divBdr>
                                                                <w:top w:val="none" w:sz="0" w:space="0" w:color="auto"/>
                                                                <w:left w:val="none" w:sz="0" w:space="0" w:color="auto"/>
                                                                <w:bottom w:val="none" w:sz="0" w:space="0" w:color="auto"/>
                                                                <w:right w:val="none" w:sz="0" w:space="0" w:color="auto"/>
                                                              </w:divBdr>
                                                              <w:divsChild>
                                                                <w:div w:id="1534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1119010">
      <w:bodyDiv w:val="1"/>
      <w:marLeft w:val="0"/>
      <w:marRight w:val="0"/>
      <w:marTop w:val="0"/>
      <w:marBottom w:val="0"/>
      <w:divBdr>
        <w:top w:val="none" w:sz="0" w:space="0" w:color="auto"/>
        <w:left w:val="none" w:sz="0" w:space="0" w:color="auto"/>
        <w:bottom w:val="none" w:sz="0" w:space="0" w:color="auto"/>
        <w:right w:val="none" w:sz="0" w:space="0" w:color="auto"/>
      </w:divBdr>
    </w:div>
    <w:div w:id="815607440">
      <w:bodyDiv w:val="1"/>
      <w:marLeft w:val="0"/>
      <w:marRight w:val="0"/>
      <w:marTop w:val="0"/>
      <w:marBottom w:val="0"/>
      <w:divBdr>
        <w:top w:val="none" w:sz="0" w:space="0" w:color="auto"/>
        <w:left w:val="none" w:sz="0" w:space="0" w:color="auto"/>
        <w:bottom w:val="none" w:sz="0" w:space="0" w:color="auto"/>
        <w:right w:val="none" w:sz="0" w:space="0" w:color="auto"/>
      </w:divBdr>
      <w:divsChild>
        <w:div w:id="872885339">
          <w:marLeft w:val="0"/>
          <w:marRight w:val="0"/>
          <w:marTop w:val="0"/>
          <w:marBottom w:val="0"/>
          <w:divBdr>
            <w:top w:val="none" w:sz="0" w:space="0" w:color="auto"/>
            <w:left w:val="none" w:sz="0" w:space="0" w:color="auto"/>
            <w:bottom w:val="none" w:sz="0" w:space="0" w:color="auto"/>
            <w:right w:val="none" w:sz="0" w:space="0" w:color="auto"/>
          </w:divBdr>
          <w:divsChild>
            <w:div w:id="2027052510">
              <w:marLeft w:val="0"/>
              <w:marRight w:val="0"/>
              <w:marTop w:val="0"/>
              <w:marBottom w:val="0"/>
              <w:divBdr>
                <w:top w:val="none" w:sz="0" w:space="0" w:color="auto"/>
                <w:left w:val="none" w:sz="0" w:space="0" w:color="auto"/>
                <w:bottom w:val="none" w:sz="0" w:space="0" w:color="auto"/>
                <w:right w:val="none" w:sz="0" w:space="0" w:color="auto"/>
              </w:divBdr>
              <w:divsChild>
                <w:div w:id="674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78360">
      <w:bodyDiv w:val="1"/>
      <w:marLeft w:val="0"/>
      <w:marRight w:val="0"/>
      <w:marTop w:val="0"/>
      <w:marBottom w:val="0"/>
      <w:divBdr>
        <w:top w:val="none" w:sz="0" w:space="0" w:color="auto"/>
        <w:left w:val="none" w:sz="0" w:space="0" w:color="auto"/>
        <w:bottom w:val="none" w:sz="0" w:space="0" w:color="auto"/>
        <w:right w:val="none" w:sz="0" w:space="0" w:color="auto"/>
      </w:divBdr>
    </w:div>
    <w:div w:id="834338968">
      <w:bodyDiv w:val="1"/>
      <w:marLeft w:val="0"/>
      <w:marRight w:val="0"/>
      <w:marTop w:val="0"/>
      <w:marBottom w:val="0"/>
      <w:divBdr>
        <w:top w:val="none" w:sz="0" w:space="0" w:color="auto"/>
        <w:left w:val="none" w:sz="0" w:space="0" w:color="auto"/>
        <w:bottom w:val="none" w:sz="0" w:space="0" w:color="auto"/>
        <w:right w:val="none" w:sz="0" w:space="0" w:color="auto"/>
      </w:divBdr>
    </w:div>
    <w:div w:id="856428263">
      <w:bodyDiv w:val="1"/>
      <w:marLeft w:val="0"/>
      <w:marRight w:val="0"/>
      <w:marTop w:val="0"/>
      <w:marBottom w:val="0"/>
      <w:divBdr>
        <w:top w:val="none" w:sz="0" w:space="0" w:color="auto"/>
        <w:left w:val="none" w:sz="0" w:space="0" w:color="auto"/>
        <w:bottom w:val="none" w:sz="0" w:space="0" w:color="auto"/>
        <w:right w:val="none" w:sz="0" w:space="0" w:color="auto"/>
      </w:divBdr>
    </w:div>
    <w:div w:id="872885877">
      <w:bodyDiv w:val="1"/>
      <w:marLeft w:val="0"/>
      <w:marRight w:val="0"/>
      <w:marTop w:val="0"/>
      <w:marBottom w:val="0"/>
      <w:divBdr>
        <w:top w:val="none" w:sz="0" w:space="0" w:color="auto"/>
        <w:left w:val="none" w:sz="0" w:space="0" w:color="auto"/>
        <w:bottom w:val="none" w:sz="0" w:space="0" w:color="auto"/>
        <w:right w:val="none" w:sz="0" w:space="0" w:color="auto"/>
      </w:divBdr>
    </w:div>
    <w:div w:id="902301957">
      <w:bodyDiv w:val="1"/>
      <w:marLeft w:val="0"/>
      <w:marRight w:val="0"/>
      <w:marTop w:val="0"/>
      <w:marBottom w:val="0"/>
      <w:divBdr>
        <w:top w:val="none" w:sz="0" w:space="0" w:color="auto"/>
        <w:left w:val="none" w:sz="0" w:space="0" w:color="auto"/>
        <w:bottom w:val="none" w:sz="0" w:space="0" w:color="auto"/>
        <w:right w:val="none" w:sz="0" w:space="0" w:color="auto"/>
      </w:divBdr>
      <w:divsChild>
        <w:div w:id="191117322">
          <w:marLeft w:val="446"/>
          <w:marRight w:val="0"/>
          <w:marTop w:val="0"/>
          <w:marBottom w:val="180"/>
          <w:divBdr>
            <w:top w:val="none" w:sz="0" w:space="0" w:color="auto"/>
            <w:left w:val="none" w:sz="0" w:space="0" w:color="auto"/>
            <w:bottom w:val="none" w:sz="0" w:space="0" w:color="auto"/>
            <w:right w:val="none" w:sz="0" w:space="0" w:color="auto"/>
          </w:divBdr>
        </w:div>
        <w:div w:id="484080746">
          <w:marLeft w:val="446"/>
          <w:marRight w:val="0"/>
          <w:marTop w:val="0"/>
          <w:marBottom w:val="180"/>
          <w:divBdr>
            <w:top w:val="none" w:sz="0" w:space="0" w:color="auto"/>
            <w:left w:val="none" w:sz="0" w:space="0" w:color="auto"/>
            <w:bottom w:val="none" w:sz="0" w:space="0" w:color="auto"/>
            <w:right w:val="none" w:sz="0" w:space="0" w:color="auto"/>
          </w:divBdr>
        </w:div>
        <w:div w:id="858546980">
          <w:marLeft w:val="446"/>
          <w:marRight w:val="0"/>
          <w:marTop w:val="0"/>
          <w:marBottom w:val="180"/>
          <w:divBdr>
            <w:top w:val="none" w:sz="0" w:space="0" w:color="auto"/>
            <w:left w:val="none" w:sz="0" w:space="0" w:color="auto"/>
            <w:bottom w:val="none" w:sz="0" w:space="0" w:color="auto"/>
            <w:right w:val="none" w:sz="0" w:space="0" w:color="auto"/>
          </w:divBdr>
        </w:div>
        <w:div w:id="915432854">
          <w:marLeft w:val="446"/>
          <w:marRight w:val="0"/>
          <w:marTop w:val="0"/>
          <w:marBottom w:val="180"/>
          <w:divBdr>
            <w:top w:val="none" w:sz="0" w:space="0" w:color="auto"/>
            <w:left w:val="none" w:sz="0" w:space="0" w:color="auto"/>
            <w:bottom w:val="none" w:sz="0" w:space="0" w:color="auto"/>
            <w:right w:val="none" w:sz="0" w:space="0" w:color="auto"/>
          </w:divBdr>
        </w:div>
        <w:div w:id="1878733372">
          <w:marLeft w:val="446"/>
          <w:marRight w:val="0"/>
          <w:marTop w:val="0"/>
          <w:marBottom w:val="180"/>
          <w:divBdr>
            <w:top w:val="none" w:sz="0" w:space="0" w:color="auto"/>
            <w:left w:val="none" w:sz="0" w:space="0" w:color="auto"/>
            <w:bottom w:val="none" w:sz="0" w:space="0" w:color="auto"/>
            <w:right w:val="none" w:sz="0" w:space="0" w:color="auto"/>
          </w:divBdr>
        </w:div>
      </w:divsChild>
    </w:div>
    <w:div w:id="949167390">
      <w:bodyDiv w:val="1"/>
      <w:marLeft w:val="0"/>
      <w:marRight w:val="0"/>
      <w:marTop w:val="0"/>
      <w:marBottom w:val="0"/>
      <w:divBdr>
        <w:top w:val="none" w:sz="0" w:space="0" w:color="auto"/>
        <w:left w:val="none" w:sz="0" w:space="0" w:color="auto"/>
        <w:bottom w:val="none" w:sz="0" w:space="0" w:color="auto"/>
        <w:right w:val="none" w:sz="0" w:space="0" w:color="auto"/>
      </w:divBdr>
    </w:div>
    <w:div w:id="960112383">
      <w:bodyDiv w:val="1"/>
      <w:marLeft w:val="0"/>
      <w:marRight w:val="0"/>
      <w:marTop w:val="0"/>
      <w:marBottom w:val="0"/>
      <w:divBdr>
        <w:top w:val="none" w:sz="0" w:space="0" w:color="auto"/>
        <w:left w:val="none" w:sz="0" w:space="0" w:color="auto"/>
        <w:bottom w:val="none" w:sz="0" w:space="0" w:color="auto"/>
        <w:right w:val="none" w:sz="0" w:space="0" w:color="auto"/>
      </w:divBdr>
    </w:div>
    <w:div w:id="988678874">
      <w:bodyDiv w:val="1"/>
      <w:marLeft w:val="0"/>
      <w:marRight w:val="0"/>
      <w:marTop w:val="0"/>
      <w:marBottom w:val="0"/>
      <w:divBdr>
        <w:top w:val="none" w:sz="0" w:space="0" w:color="auto"/>
        <w:left w:val="none" w:sz="0" w:space="0" w:color="auto"/>
        <w:bottom w:val="none" w:sz="0" w:space="0" w:color="auto"/>
        <w:right w:val="none" w:sz="0" w:space="0" w:color="auto"/>
      </w:divBdr>
    </w:div>
    <w:div w:id="1031225098">
      <w:bodyDiv w:val="1"/>
      <w:marLeft w:val="0"/>
      <w:marRight w:val="0"/>
      <w:marTop w:val="0"/>
      <w:marBottom w:val="0"/>
      <w:divBdr>
        <w:top w:val="none" w:sz="0" w:space="0" w:color="auto"/>
        <w:left w:val="none" w:sz="0" w:space="0" w:color="auto"/>
        <w:bottom w:val="none" w:sz="0" w:space="0" w:color="auto"/>
        <w:right w:val="none" w:sz="0" w:space="0" w:color="auto"/>
      </w:divBdr>
    </w:div>
    <w:div w:id="1031298800">
      <w:bodyDiv w:val="1"/>
      <w:marLeft w:val="0"/>
      <w:marRight w:val="0"/>
      <w:marTop w:val="0"/>
      <w:marBottom w:val="0"/>
      <w:divBdr>
        <w:top w:val="none" w:sz="0" w:space="0" w:color="auto"/>
        <w:left w:val="none" w:sz="0" w:space="0" w:color="auto"/>
        <w:bottom w:val="none" w:sz="0" w:space="0" w:color="auto"/>
        <w:right w:val="none" w:sz="0" w:space="0" w:color="auto"/>
      </w:divBdr>
    </w:div>
    <w:div w:id="1034766057">
      <w:bodyDiv w:val="1"/>
      <w:marLeft w:val="0"/>
      <w:marRight w:val="0"/>
      <w:marTop w:val="0"/>
      <w:marBottom w:val="0"/>
      <w:divBdr>
        <w:top w:val="none" w:sz="0" w:space="0" w:color="auto"/>
        <w:left w:val="none" w:sz="0" w:space="0" w:color="auto"/>
        <w:bottom w:val="none" w:sz="0" w:space="0" w:color="auto"/>
        <w:right w:val="none" w:sz="0" w:space="0" w:color="auto"/>
      </w:divBdr>
    </w:div>
    <w:div w:id="1056395624">
      <w:bodyDiv w:val="1"/>
      <w:marLeft w:val="0"/>
      <w:marRight w:val="0"/>
      <w:marTop w:val="0"/>
      <w:marBottom w:val="0"/>
      <w:divBdr>
        <w:top w:val="none" w:sz="0" w:space="0" w:color="auto"/>
        <w:left w:val="none" w:sz="0" w:space="0" w:color="auto"/>
        <w:bottom w:val="none" w:sz="0" w:space="0" w:color="auto"/>
        <w:right w:val="none" w:sz="0" w:space="0" w:color="auto"/>
      </w:divBdr>
      <w:divsChild>
        <w:div w:id="1179347296">
          <w:marLeft w:val="0"/>
          <w:marRight w:val="0"/>
          <w:marTop w:val="0"/>
          <w:marBottom w:val="0"/>
          <w:divBdr>
            <w:top w:val="none" w:sz="0" w:space="0" w:color="auto"/>
            <w:left w:val="none" w:sz="0" w:space="0" w:color="auto"/>
            <w:bottom w:val="none" w:sz="0" w:space="0" w:color="auto"/>
            <w:right w:val="none" w:sz="0" w:space="0" w:color="auto"/>
          </w:divBdr>
          <w:divsChild>
            <w:div w:id="883101108">
              <w:marLeft w:val="0"/>
              <w:marRight w:val="0"/>
              <w:marTop w:val="0"/>
              <w:marBottom w:val="0"/>
              <w:divBdr>
                <w:top w:val="none" w:sz="0" w:space="0" w:color="auto"/>
                <w:left w:val="none" w:sz="0" w:space="0" w:color="auto"/>
                <w:bottom w:val="none" w:sz="0" w:space="0" w:color="auto"/>
                <w:right w:val="none" w:sz="0" w:space="0" w:color="auto"/>
              </w:divBdr>
              <w:divsChild>
                <w:div w:id="1286697713">
                  <w:marLeft w:val="3935"/>
                  <w:marRight w:val="335"/>
                  <w:marTop w:val="84"/>
                  <w:marBottom w:val="335"/>
                  <w:divBdr>
                    <w:top w:val="none" w:sz="0" w:space="0" w:color="auto"/>
                    <w:left w:val="none" w:sz="0" w:space="0" w:color="auto"/>
                    <w:bottom w:val="none" w:sz="0" w:space="0" w:color="auto"/>
                    <w:right w:val="none" w:sz="0" w:space="0" w:color="auto"/>
                  </w:divBdr>
                  <w:divsChild>
                    <w:div w:id="958224666">
                      <w:marLeft w:val="0"/>
                      <w:marRight w:val="0"/>
                      <w:marTop w:val="167"/>
                      <w:marBottom w:val="0"/>
                      <w:divBdr>
                        <w:top w:val="none" w:sz="0" w:space="0" w:color="auto"/>
                        <w:left w:val="none" w:sz="0" w:space="0" w:color="auto"/>
                        <w:bottom w:val="none" w:sz="0" w:space="0" w:color="auto"/>
                        <w:right w:val="none" w:sz="0" w:space="0" w:color="auto"/>
                      </w:divBdr>
                      <w:divsChild>
                        <w:div w:id="697435888">
                          <w:marLeft w:val="0"/>
                          <w:marRight w:val="0"/>
                          <w:marTop w:val="0"/>
                          <w:marBottom w:val="0"/>
                          <w:divBdr>
                            <w:top w:val="none" w:sz="0" w:space="0" w:color="auto"/>
                            <w:left w:val="none" w:sz="0" w:space="0" w:color="auto"/>
                            <w:bottom w:val="none" w:sz="0" w:space="0" w:color="auto"/>
                            <w:right w:val="none" w:sz="0" w:space="0" w:color="auto"/>
                          </w:divBdr>
                          <w:divsChild>
                            <w:div w:id="401099702">
                              <w:marLeft w:val="11721"/>
                              <w:marRight w:val="0"/>
                              <w:marTop w:val="0"/>
                              <w:marBottom w:val="0"/>
                              <w:divBdr>
                                <w:top w:val="none" w:sz="0" w:space="0" w:color="auto"/>
                                <w:left w:val="none" w:sz="0" w:space="0" w:color="auto"/>
                                <w:bottom w:val="none" w:sz="0" w:space="0" w:color="auto"/>
                                <w:right w:val="none" w:sz="0" w:space="0" w:color="auto"/>
                              </w:divBdr>
                              <w:divsChild>
                                <w:div w:id="1113329759">
                                  <w:marLeft w:val="-117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462468">
      <w:bodyDiv w:val="1"/>
      <w:marLeft w:val="0"/>
      <w:marRight w:val="0"/>
      <w:marTop w:val="0"/>
      <w:marBottom w:val="0"/>
      <w:divBdr>
        <w:top w:val="none" w:sz="0" w:space="0" w:color="auto"/>
        <w:left w:val="none" w:sz="0" w:space="0" w:color="auto"/>
        <w:bottom w:val="none" w:sz="0" w:space="0" w:color="auto"/>
        <w:right w:val="none" w:sz="0" w:space="0" w:color="auto"/>
      </w:divBdr>
      <w:divsChild>
        <w:div w:id="894198132">
          <w:marLeft w:val="0"/>
          <w:marRight w:val="0"/>
          <w:marTop w:val="0"/>
          <w:marBottom w:val="0"/>
          <w:divBdr>
            <w:top w:val="none" w:sz="0" w:space="0" w:color="auto"/>
            <w:left w:val="none" w:sz="0" w:space="0" w:color="auto"/>
            <w:bottom w:val="none" w:sz="0" w:space="0" w:color="auto"/>
            <w:right w:val="none" w:sz="0" w:space="0" w:color="auto"/>
          </w:divBdr>
          <w:divsChild>
            <w:div w:id="1455053281">
              <w:marLeft w:val="0"/>
              <w:marRight w:val="0"/>
              <w:marTop w:val="0"/>
              <w:marBottom w:val="0"/>
              <w:divBdr>
                <w:top w:val="none" w:sz="0" w:space="0" w:color="auto"/>
                <w:left w:val="none" w:sz="0" w:space="0" w:color="auto"/>
                <w:bottom w:val="none" w:sz="0" w:space="0" w:color="auto"/>
                <w:right w:val="none" w:sz="0" w:space="0" w:color="auto"/>
              </w:divBdr>
              <w:divsChild>
                <w:div w:id="60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23081">
      <w:bodyDiv w:val="1"/>
      <w:marLeft w:val="0"/>
      <w:marRight w:val="0"/>
      <w:marTop w:val="0"/>
      <w:marBottom w:val="0"/>
      <w:divBdr>
        <w:top w:val="none" w:sz="0" w:space="0" w:color="auto"/>
        <w:left w:val="none" w:sz="0" w:space="0" w:color="auto"/>
        <w:bottom w:val="none" w:sz="0" w:space="0" w:color="auto"/>
        <w:right w:val="none" w:sz="0" w:space="0" w:color="auto"/>
      </w:divBdr>
    </w:div>
    <w:div w:id="1375931906">
      <w:bodyDiv w:val="1"/>
      <w:marLeft w:val="0"/>
      <w:marRight w:val="0"/>
      <w:marTop w:val="0"/>
      <w:marBottom w:val="0"/>
      <w:divBdr>
        <w:top w:val="none" w:sz="0" w:space="0" w:color="auto"/>
        <w:left w:val="none" w:sz="0" w:space="0" w:color="auto"/>
        <w:bottom w:val="none" w:sz="0" w:space="0" w:color="auto"/>
        <w:right w:val="none" w:sz="0" w:space="0" w:color="auto"/>
      </w:divBdr>
    </w:div>
    <w:div w:id="1402945781">
      <w:bodyDiv w:val="1"/>
      <w:marLeft w:val="0"/>
      <w:marRight w:val="0"/>
      <w:marTop w:val="0"/>
      <w:marBottom w:val="0"/>
      <w:divBdr>
        <w:top w:val="none" w:sz="0" w:space="0" w:color="auto"/>
        <w:left w:val="none" w:sz="0" w:space="0" w:color="auto"/>
        <w:bottom w:val="none" w:sz="0" w:space="0" w:color="auto"/>
        <w:right w:val="none" w:sz="0" w:space="0" w:color="auto"/>
      </w:divBdr>
    </w:div>
    <w:div w:id="1473643976">
      <w:bodyDiv w:val="1"/>
      <w:marLeft w:val="0"/>
      <w:marRight w:val="0"/>
      <w:marTop w:val="0"/>
      <w:marBottom w:val="0"/>
      <w:divBdr>
        <w:top w:val="none" w:sz="0" w:space="0" w:color="auto"/>
        <w:left w:val="none" w:sz="0" w:space="0" w:color="auto"/>
        <w:bottom w:val="none" w:sz="0" w:space="0" w:color="auto"/>
        <w:right w:val="none" w:sz="0" w:space="0" w:color="auto"/>
      </w:divBdr>
      <w:divsChild>
        <w:div w:id="21103053">
          <w:marLeft w:val="446"/>
          <w:marRight w:val="0"/>
          <w:marTop w:val="0"/>
          <w:marBottom w:val="180"/>
          <w:divBdr>
            <w:top w:val="none" w:sz="0" w:space="0" w:color="auto"/>
            <w:left w:val="none" w:sz="0" w:space="0" w:color="auto"/>
            <w:bottom w:val="none" w:sz="0" w:space="0" w:color="auto"/>
            <w:right w:val="none" w:sz="0" w:space="0" w:color="auto"/>
          </w:divBdr>
        </w:div>
        <w:div w:id="457187983">
          <w:marLeft w:val="446"/>
          <w:marRight w:val="0"/>
          <w:marTop w:val="0"/>
          <w:marBottom w:val="180"/>
          <w:divBdr>
            <w:top w:val="none" w:sz="0" w:space="0" w:color="auto"/>
            <w:left w:val="none" w:sz="0" w:space="0" w:color="auto"/>
            <w:bottom w:val="none" w:sz="0" w:space="0" w:color="auto"/>
            <w:right w:val="none" w:sz="0" w:space="0" w:color="auto"/>
          </w:divBdr>
        </w:div>
        <w:div w:id="732195661">
          <w:marLeft w:val="446"/>
          <w:marRight w:val="0"/>
          <w:marTop w:val="0"/>
          <w:marBottom w:val="180"/>
          <w:divBdr>
            <w:top w:val="none" w:sz="0" w:space="0" w:color="auto"/>
            <w:left w:val="none" w:sz="0" w:space="0" w:color="auto"/>
            <w:bottom w:val="none" w:sz="0" w:space="0" w:color="auto"/>
            <w:right w:val="none" w:sz="0" w:space="0" w:color="auto"/>
          </w:divBdr>
        </w:div>
      </w:divsChild>
    </w:div>
    <w:div w:id="1482848124">
      <w:bodyDiv w:val="1"/>
      <w:marLeft w:val="0"/>
      <w:marRight w:val="0"/>
      <w:marTop w:val="0"/>
      <w:marBottom w:val="0"/>
      <w:divBdr>
        <w:top w:val="none" w:sz="0" w:space="0" w:color="auto"/>
        <w:left w:val="none" w:sz="0" w:space="0" w:color="auto"/>
        <w:bottom w:val="none" w:sz="0" w:space="0" w:color="auto"/>
        <w:right w:val="none" w:sz="0" w:space="0" w:color="auto"/>
      </w:divBdr>
    </w:div>
    <w:div w:id="1520387693">
      <w:bodyDiv w:val="1"/>
      <w:marLeft w:val="0"/>
      <w:marRight w:val="0"/>
      <w:marTop w:val="0"/>
      <w:marBottom w:val="0"/>
      <w:divBdr>
        <w:top w:val="none" w:sz="0" w:space="0" w:color="auto"/>
        <w:left w:val="none" w:sz="0" w:space="0" w:color="auto"/>
        <w:bottom w:val="none" w:sz="0" w:space="0" w:color="auto"/>
        <w:right w:val="none" w:sz="0" w:space="0" w:color="auto"/>
      </w:divBdr>
    </w:div>
    <w:div w:id="1550796328">
      <w:bodyDiv w:val="1"/>
      <w:marLeft w:val="0"/>
      <w:marRight w:val="0"/>
      <w:marTop w:val="0"/>
      <w:marBottom w:val="0"/>
      <w:divBdr>
        <w:top w:val="none" w:sz="0" w:space="0" w:color="auto"/>
        <w:left w:val="none" w:sz="0" w:space="0" w:color="auto"/>
        <w:bottom w:val="none" w:sz="0" w:space="0" w:color="auto"/>
        <w:right w:val="none" w:sz="0" w:space="0" w:color="auto"/>
      </w:divBdr>
      <w:divsChild>
        <w:div w:id="707605400">
          <w:marLeft w:val="0"/>
          <w:marRight w:val="216"/>
          <w:marTop w:val="480"/>
          <w:marBottom w:val="216"/>
          <w:divBdr>
            <w:top w:val="none" w:sz="0" w:space="0" w:color="auto"/>
            <w:left w:val="none" w:sz="0" w:space="0" w:color="auto"/>
            <w:bottom w:val="none" w:sz="0" w:space="0" w:color="auto"/>
            <w:right w:val="none" w:sz="0" w:space="0" w:color="auto"/>
          </w:divBdr>
          <w:divsChild>
            <w:div w:id="1351372440">
              <w:marLeft w:val="2700"/>
              <w:marRight w:val="240"/>
              <w:marTop w:val="0"/>
              <w:marBottom w:val="0"/>
              <w:divBdr>
                <w:top w:val="none" w:sz="0" w:space="0" w:color="auto"/>
                <w:left w:val="none" w:sz="0" w:space="0" w:color="auto"/>
                <w:bottom w:val="none" w:sz="0" w:space="0" w:color="auto"/>
                <w:right w:val="none" w:sz="0" w:space="0" w:color="auto"/>
              </w:divBdr>
              <w:divsChild>
                <w:div w:id="5707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4548">
      <w:bodyDiv w:val="1"/>
      <w:marLeft w:val="0"/>
      <w:marRight w:val="0"/>
      <w:marTop w:val="0"/>
      <w:marBottom w:val="0"/>
      <w:divBdr>
        <w:top w:val="none" w:sz="0" w:space="0" w:color="auto"/>
        <w:left w:val="none" w:sz="0" w:space="0" w:color="auto"/>
        <w:bottom w:val="none" w:sz="0" w:space="0" w:color="auto"/>
        <w:right w:val="none" w:sz="0" w:space="0" w:color="auto"/>
      </w:divBdr>
      <w:divsChild>
        <w:div w:id="424959061">
          <w:marLeft w:val="446"/>
          <w:marRight w:val="0"/>
          <w:marTop w:val="0"/>
          <w:marBottom w:val="180"/>
          <w:divBdr>
            <w:top w:val="none" w:sz="0" w:space="0" w:color="auto"/>
            <w:left w:val="none" w:sz="0" w:space="0" w:color="auto"/>
            <w:bottom w:val="none" w:sz="0" w:space="0" w:color="auto"/>
            <w:right w:val="none" w:sz="0" w:space="0" w:color="auto"/>
          </w:divBdr>
        </w:div>
        <w:div w:id="567501676">
          <w:marLeft w:val="446"/>
          <w:marRight w:val="0"/>
          <w:marTop w:val="0"/>
          <w:marBottom w:val="180"/>
          <w:divBdr>
            <w:top w:val="none" w:sz="0" w:space="0" w:color="auto"/>
            <w:left w:val="none" w:sz="0" w:space="0" w:color="auto"/>
            <w:bottom w:val="none" w:sz="0" w:space="0" w:color="auto"/>
            <w:right w:val="none" w:sz="0" w:space="0" w:color="auto"/>
          </w:divBdr>
        </w:div>
        <w:div w:id="1330015148">
          <w:marLeft w:val="446"/>
          <w:marRight w:val="0"/>
          <w:marTop w:val="0"/>
          <w:marBottom w:val="180"/>
          <w:divBdr>
            <w:top w:val="none" w:sz="0" w:space="0" w:color="auto"/>
            <w:left w:val="none" w:sz="0" w:space="0" w:color="auto"/>
            <w:bottom w:val="none" w:sz="0" w:space="0" w:color="auto"/>
            <w:right w:val="none" w:sz="0" w:space="0" w:color="auto"/>
          </w:divBdr>
        </w:div>
        <w:div w:id="1432319889">
          <w:marLeft w:val="446"/>
          <w:marRight w:val="0"/>
          <w:marTop w:val="0"/>
          <w:marBottom w:val="180"/>
          <w:divBdr>
            <w:top w:val="none" w:sz="0" w:space="0" w:color="auto"/>
            <w:left w:val="none" w:sz="0" w:space="0" w:color="auto"/>
            <w:bottom w:val="none" w:sz="0" w:space="0" w:color="auto"/>
            <w:right w:val="none" w:sz="0" w:space="0" w:color="auto"/>
          </w:divBdr>
        </w:div>
      </w:divsChild>
    </w:div>
    <w:div w:id="1633320634">
      <w:bodyDiv w:val="1"/>
      <w:marLeft w:val="0"/>
      <w:marRight w:val="0"/>
      <w:marTop w:val="0"/>
      <w:marBottom w:val="0"/>
      <w:divBdr>
        <w:top w:val="none" w:sz="0" w:space="0" w:color="auto"/>
        <w:left w:val="none" w:sz="0" w:space="0" w:color="auto"/>
        <w:bottom w:val="none" w:sz="0" w:space="0" w:color="auto"/>
        <w:right w:val="none" w:sz="0" w:space="0" w:color="auto"/>
      </w:divBdr>
      <w:divsChild>
        <w:div w:id="306133799">
          <w:marLeft w:val="0"/>
          <w:marRight w:val="0"/>
          <w:marTop w:val="0"/>
          <w:marBottom w:val="0"/>
          <w:divBdr>
            <w:top w:val="none" w:sz="0" w:space="0" w:color="auto"/>
            <w:left w:val="none" w:sz="0" w:space="0" w:color="auto"/>
            <w:bottom w:val="none" w:sz="0" w:space="0" w:color="auto"/>
            <w:right w:val="none" w:sz="0" w:space="0" w:color="auto"/>
          </w:divBdr>
          <w:divsChild>
            <w:div w:id="1056590333">
              <w:marLeft w:val="0"/>
              <w:marRight w:val="0"/>
              <w:marTop w:val="0"/>
              <w:marBottom w:val="0"/>
              <w:divBdr>
                <w:top w:val="none" w:sz="0" w:space="0" w:color="auto"/>
                <w:left w:val="none" w:sz="0" w:space="0" w:color="auto"/>
                <w:bottom w:val="none" w:sz="0" w:space="0" w:color="auto"/>
                <w:right w:val="none" w:sz="0" w:space="0" w:color="auto"/>
              </w:divBdr>
              <w:divsChild>
                <w:div w:id="545875837">
                  <w:marLeft w:val="0"/>
                  <w:marRight w:val="0"/>
                  <w:marTop w:val="0"/>
                  <w:marBottom w:val="0"/>
                  <w:divBdr>
                    <w:top w:val="none" w:sz="0" w:space="0" w:color="auto"/>
                    <w:left w:val="none" w:sz="0" w:space="0" w:color="auto"/>
                    <w:bottom w:val="none" w:sz="0" w:space="0" w:color="auto"/>
                    <w:right w:val="none" w:sz="0" w:space="0" w:color="auto"/>
                  </w:divBdr>
                  <w:divsChild>
                    <w:div w:id="1849324796">
                      <w:marLeft w:val="0"/>
                      <w:marRight w:val="0"/>
                      <w:marTop w:val="0"/>
                      <w:marBottom w:val="0"/>
                      <w:divBdr>
                        <w:top w:val="none" w:sz="0" w:space="0" w:color="auto"/>
                        <w:left w:val="none" w:sz="0" w:space="0" w:color="auto"/>
                        <w:bottom w:val="none" w:sz="0" w:space="0" w:color="auto"/>
                        <w:right w:val="none" w:sz="0" w:space="0" w:color="auto"/>
                      </w:divBdr>
                      <w:divsChild>
                        <w:div w:id="1972634884">
                          <w:marLeft w:val="0"/>
                          <w:marRight w:val="0"/>
                          <w:marTop w:val="0"/>
                          <w:marBottom w:val="0"/>
                          <w:divBdr>
                            <w:top w:val="none" w:sz="0" w:space="0" w:color="auto"/>
                            <w:left w:val="none" w:sz="0" w:space="0" w:color="auto"/>
                            <w:bottom w:val="none" w:sz="0" w:space="0" w:color="auto"/>
                            <w:right w:val="none" w:sz="0" w:space="0" w:color="auto"/>
                          </w:divBdr>
                          <w:divsChild>
                            <w:div w:id="1983851866">
                              <w:marLeft w:val="0"/>
                              <w:marRight w:val="0"/>
                              <w:marTop w:val="0"/>
                              <w:marBottom w:val="0"/>
                              <w:divBdr>
                                <w:top w:val="none" w:sz="0" w:space="0" w:color="auto"/>
                                <w:left w:val="none" w:sz="0" w:space="0" w:color="auto"/>
                                <w:bottom w:val="none" w:sz="0" w:space="0" w:color="auto"/>
                                <w:right w:val="none" w:sz="0" w:space="0" w:color="auto"/>
                              </w:divBdr>
                              <w:divsChild>
                                <w:div w:id="1941792645">
                                  <w:marLeft w:val="0"/>
                                  <w:marRight w:val="0"/>
                                  <w:marTop w:val="0"/>
                                  <w:marBottom w:val="0"/>
                                  <w:divBdr>
                                    <w:top w:val="none" w:sz="0" w:space="0" w:color="auto"/>
                                    <w:left w:val="none" w:sz="0" w:space="0" w:color="auto"/>
                                    <w:bottom w:val="none" w:sz="0" w:space="0" w:color="auto"/>
                                    <w:right w:val="none" w:sz="0" w:space="0" w:color="auto"/>
                                  </w:divBdr>
                                  <w:divsChild>
                                    <w:div w:id="1474984838">
                                      <w:marLeft w:val="0"/>
                                      <w:marRight w:val="0"/>
                                      <w:marTop w:val="0"/>
                                      <w:marBottom w:val="0"/>
                                      <w:divBdr>
                                        <w:top w:val="none" w:sz="0" w:space="0" w:color="auto"/>
                                        <w:left w:val="none" w:sz="0" w:space="0" w:color="auto"/>
                                        <w:bottom w:val="none" w:sz="0" w:space="0" w:color="auto"/>
                                        <w:right w:val="none" w:sz="0" w:space="0" w:color="auto"/>
                                      </w:divBdr>
                                      <w:divsChild>
                                        <w:div w:id="1648317158">
                                          <w:marLeft w:val="0"/>
                                          <w:marRight w:val="0"/>
                                          <w:marTop w:val="0"/>
                                          <w:marBottom w:val="0"/>
                                          <w:divBdr>
                                            <w:top w:val="none" w:sz="0" w:space="0" w:color="auto"/>
                                            <w:left w:val="none" w:sz="0" w:space="0" w:color="auto"/>
                                            <w:bottom w:val="none" w:sz="0" w:space="0" w:color="auto"/>
                                            <w:right w:val="none" w:sz="0" w:space="0" w:color="auto"/>
                                          </w:divBdr>
                                          <w:divsChild>
                                            <w:div w:id="1011102082">
                                              <w:marLeft w:val="0"/>
                                              <w:marRight w:val="0"/>
                                              <w:marTop w:val="0"/>
                                              <w:marBottom w:val="0"/>
                                              <w:divBdr>
                                                <w:top w:val="none" w:sz="0" w:space="0" w:color="auto"/>
                                                <w:left w:val="none" w:sz="0" w:space="0" w:color="auto"/>
                                                <w:bottom w:val="none" w:sz="0" w:space="0" w:color="auto"/>
                                                <w:right w:val="none" w:sz="0" w:space="0" w:color="auto"/>
                                              </w:divBdr>
                                              <w:divsChild>
                                                <w:div w:id="1090128725">
                                                  <w:marLeft w:val="0"/>
                                                  <w:marRight w:val="0"/>
                                                  <w:marTop w:val="0"/>
                                                  <w:marBottom w:val="0"/>
                                                  <w:divBdr>
                                                    <w:top w:val="none" w:sz="0" w:space="0" w:color="auto"/>
                                                    <w:left w:val="none" w:sz="0" w:space="0" w:color="auto"/>
                                                    <w:bottom w:val="none" w:sz="0" w:space="0" w:color="auto"/>
                                                    <w:right w:val="none" w:sz="0" w:space="0" w:color="auto"/>
                                                  </w:divBdr>
                                                  <w:divsChild>
                                                    <w:div w:id="135102087">
                                                      <w:marLeft w:val="0"/>
                                                      <w:marRight w:val="0"/>
                                                      <w:marTop w:val="0"/>
                                                      <w:marBottom w:val="0"/>
                                                      <w:divBdr>
                                                        <w:top w:val="none" w:sz="0" w:space="0" w:color="auto"/>
                                                        <w:left w:val="none" w:sz="0" w:space="0" w:color="auto"/>
                                                        <w:bottom w:val="none" w:sz="0" w:space="0" w:color="auto"/>
                                                        <w:right w:val="none" w:sz="0" w:space="0" w:color="auto"/>
                                                      </w:divBdr>
                                                      <w:divsChild>
                                                        <w:div w:id="1180201625">
                                                          <w:marLeft w:val="0"/>
                                                          <w:marRight w:val="0"/>
                                                          <w:marTop w:val="0"/>
                                                          <w:marBottom w:val="0"/>
                                                          <w:divBdr>
                                                            <w:top w:val="none" w:sz="0" w:space="0" w:color="auto"/>
                                                            <w:left w:val="none" w:sz="0" w:space="0" w:color="auto"/>
                                                            <w:bottom w:val="none" w:sz="0" w:space="0" w:color="auto"/>
                                                            <w:right w:val="none" w:sz="0" w:space="0" w:color="auto"/>
                                                          </w:divBdr>
                                                          <w:divsChild>
                                                            <w:div w:id="231502217">
                                                              <w:marLeft w:val="0"/>
                                                              <w:marRight w:val="0"/>
                                                              <w:marTop w:val="0"/>
                                                              <w:marBottom w:val="0"/>
                                                              <w:divBdr>
                                                                <w:top w:val="none" w:sz="0" w:space="0" w:color="auto"/>
                                                                <w:left w:val="none" w:sz="0" w:space="0" w:color="auto"/>
                                                                <w:bottom w:val="none" w:sz="0" w:space="0" w:color="auto"/>
                                                                <w:right w:val="none" w:sz="0" w:space="0" w:color="auto"/>
                                                              </w:divBdr>
                                                              <w:divsChild>
                                                                <w:div w:id="10166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9504223">
      <w:bodyDiv w:val="1"/>
      <w:marLeft w:val="0"/>
      <w:marRight w:val="0"/>
      <w:marTop w:val="0"/>
      <w:marBottom w:val="0"/>
      <w:divBdr>
        <w:top w:val="none" w:sz="0" w:space="0" w:color="auto"/>
        <w:left w:val="none" w:sz="0" w:space="0" w:color="auto"/>
        <w:bottom w:val="none" w:sz="0" w:space="0" w:color="auto"/>
        <w:right w:val="none" w:sz="0" w:space="0" w:color="auto"/>
      </w:divBdr>
      <w:divsChild>
        <w:div w:id="184559111">
          <w:marLeft w:val="0"/>
          <w:marRight w:val="0"/>
          <w:marTop w:val="0"/>
          <w:marBottom w:val="0"/>
          <w:divBdr>
            <w:top w:val="none" w:sz="0" w:space="0" w:color="auto"/>
            <w:left w:val="none" w:sz="0" w:space="0" w:color="auto"/>
            <w:bottom w:val="none" w:sz="0" w:space="0" w:color="auto"/>
            <w:right w:val="none" w:sz="0" w:space="0" w:color="auto"/>
          </w:divBdr>
          <w:divsChild>
            <w:div w:id="830487720">
              <w:marLeft w:val="0"/>
              <w:marRight w:val="0"/>
              <w:marTop w:val="0"/>
              <w:marBottom w:val="0"/>
              <w:divBdr>
                <w:top w:val="none" w:sz="0" w:space="0" w:color="auto"/>
                <w:left w:val="none" w:sz="0" w:space="0" w:color="auto"/>
                <w:bottom w:val="none" w:sz="0" w:space="0" w:color="auto"/>
                <w:right w:val="none" w:sz="0" w:space="0" w:color="auto"/>
              </w:divBdr>
              <w:divsChild>
                <w:div w:id="1570580074">
                  <w:marLeft w:val="3935"/>
                  <w:marRight w:val="335"/>
                  <w:marTop w:val="84"/>
                  <w:marBottom w:val="335"/>
                  <w:divBdr>
                    <w:top w:val="none" w:sz="0" w:space="0" w:color="auto"/>
                    <w:left w:val="none" w:sz="0" w:space="0" w:color="auto"/>
                    <w:bottom w:val="none" w:sz="0" w:space="0" w:color="auto"/>
                    <w:right w:val="none" w:sz="0" w:space="0" w:color="auto"/>
                  </w:divBdr>
                  <w:divsChild>
                    <w:div w:id="859004450">
                      <w:marLeft w:val="0"/>
                      <w:marRight w:val="0"/>
                      <w:marTop w:val="167"/>
                      <w:marBottom w:val="0"/>
                      <w:divBdr>
                        <w:top w:val="none" w:sz="0" w:space="0" w:color="auto"/>
                        <w:left w:val="none" w:sz="0" w:space="0" w:color="auto"/>
                        <w:bottom w:val="none" w:sz="0" w:space="0" w:color="auto"/>
                        <w:right w:val="none" w:sz="0" w:space="0" w:color="auto"/>
                      </w:divBdr>
                      <w:divsChild>
                        <w:div w:id="1647510790">
                          <w:marLeft w:val="0"/>
                          <w:marRight w:val="0"/>
                          <w:marTop w:val="0"/>
                          <w:marBottom w:val="0"/>
                          <w:divBdr>
                            <w:top w:val="none" w:sz="0" w:space="0" w:color="auto"/>
                            <w:left w:val="none" w:sz="0" w:space="0" w:color="auto"/>
                            <w:bottom w:val="none" w:sz="0" w:space="0" w:color="auto"/>
                            <w:right w:val="none" w:sz="0" w:space="0" w:color="auto"/>
                          </w:divBdr>
                          <w:divsChild>
                            <w:div w:id="1936863605">
                              <w:marLeft w:val="11721"/>
                              <w:marRight w:val="0"/>
                              <w:marTop w:val="0"/>
                              <w:marBottom w:val="0"/>
                              <w:divBdr>
                                <w:top w:val="none" w:sz="0" w:space="0" w:color="auto"/>
                                <w:left w:val="none" w:sz="0" w:space="0" w:color="auto"/>
                                <w:bottom w:val="none" w:sz="0" w:space="0" w:color="auto"/>
                                <w:right w:val="none" w:sz="0" w:space="0" w:color="auto"/>
                              </w:divBdr>
                              <w:divsChild>
                                <w:div w:id="1126464700">
                                  <w:marLeft w:val="-117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186774">
      <w:bodyDiv w:val="1"/>
      <w:marLeft w:val="0"/>
      <w:marRight w:val="0"/>
      <w:marTop w:val="0"/>
      <w:marBottom w:val="0"/>
      <w:divBdr>
        <w:top w:val="none" w:sz="0" w:space="0" w:color="auto"/>
        <w:left w:val="none" w:sz="0" w:space="0" w:color="auto"/>
        <w:bottom w:val="none" w:sz="0" w:space="0" w:color="auto"/>
        <w:right w:val="none" w:sz="0" w:space="0" w:color="auto"/>
      </w:divBdr>
    </w:div>
    <w:div w:id="1691032482">
      <w:bodyDiv w:val="1"/>
      <w:marLeft w:val="0"/>
      <w:marRight w:val="0"/>
      <w:marTop w:val="0"/>
      <w:marBottom w:val="0"/>
      <w:divBdr>
        <w:top w:val="none" w:sz="0" w:space="0" w:color="auto"/>
        <w:left w:val="none" w:sz="0" w:space="0" w:color="auto"/>
        <w:bottom w:val="none" w:sz="0" w:space="0" w:color="auto"/>
        <w:right w:val="none" w:sz="0" w:space="0" w:color="auto"/>
      </w:divBdr>
    </w:div>
    <w:div w:id="1711108126">
      <w:bodyDiv w:val="1"/>
      <w:marLeft w:val="0"/>
      <w:marRight w:val="0"/>
      <w:marTop w:val="0"/>
      <w:marBottom w:val="0"/>
      <w:divBdr>
        <w:top w:val="none" w:sz="0" w:space="0" w:color="auto"/>
        <w:left w:val="none" w:sz="0" w:space="0" w:color="auto"/>
        <w:bottom w:val="none" w:sz="0" w:space="0" w:color="auto"/>
        <w:right w:val="none" w:sz="0" w:space="0" w:color="auto"/>
      </w:divBdr>
      <w:divsChild>
        <w:div w:id="116947235">
          <w:marLeft w:val="446"/>
          <w:marRight w:val="0"/>
          <w:marTop w:val="0"/>
          <w:marBottom w:val="120"/>
          <w:divBdr>
            <w:top w:val="none" w:sz="0" w:space="0" w:color="auto"/>
            <w:left w:val="none" w:sz="0" w:space="0" w:color="auto"/>
            <w:bottom w:val="none" w:sz="0" w:space="0" w:color="auto"/>
            <w:right w:val="none" w:sz="0" w:space="0" w:color="auto"/>
          </w:divBdr>
        </w:div>
        <w:div w:id="205607949">
          <w:marLeft w:val="446"/>
          <w:marRight w:val="0"/>
          <w:marTop w:val="0"/>
          <w:marBottom w:val="120"/>
          <w:divBdr>
            <w:top w:val="none" w:sz="0" w:space="0" w:color="auto"/>
            <w:left w:val="none" w:sz="0" w:space="0" w:color="auto"/>
            <w:bottom w:val="none" w:sz="0" w:space="0" w:color="auto"/>
            <w:right w:val="none" w:sz="0" w:space="0" w:color="auto"/>
          </w:divBdr>
        </w:div>
        <w:div w:id="728267981">
          <w:marLeft w:val="446"/>
          <w:marRight w:val="0"/>
          <w:marTop w:val="0"/>
          <w:marBottom w:val="120"/>
          <w:divBdr>
            <w:top w:val="none" w:sz="0" w:space="0" w:color="auto"/>
            <w:left w:val="none" w:sz="0" w:space="0" w:color="auto"/>
            <w:bottom w:val="none" w:sz="0" w:space="0" w:color="auto"/>
            <w:right w:val="none" w:sz="0" w:space="0" w:color="auto"/>
          </w:divBdr>
        </w:div>
        <w:div w:id="778648443">
          <w:marLeft w:val="446"/>
          <w:marRight w:val="0"/>
          <w:marTop w:val="0"/>
          <w:marBottom w:val="120"/>
          <w:divBdr>
            <w:top w:val="none" w:sz="0" w:space="0" w:color="auto"/>
            <w:left w:val="none" w:sz="0" w:space="0" w:color="auto"/>
            <w:bottom w:val="none" w:sz="0" w:space="0" w:color="auto"/>
            <w:right w:val="none" w:sz="0" w:space="0" w:color="auto"/>
          </w:divBdr>
        </w:div>
        <w:div w:id="948001666">
          <w:marLeft w:val="446"/>
          <w:marRight w:val="0"/>
          <w:marTop w:val="0"/>
          <w:marBottom w:val="120"/>
          <w:divBdr>
            <w:top w:val="none" w:sz="0" w:space="0" w:color="auto"/>
            <w:left w:val="none" w:sz="0" w:space="0" w:color="auto"/>
            <w:bottom w:val="none" w:sz="0" w:space="0" w:color="auto"/>
            <w:right w:val="none" w:sz="0" w:space="0" w:color="auto"/>
          </w:divBdr>
        </w:div>
        <w:div w:id="1207182327">
          <w:marLeft w:val="446"/>
          <w:marRight w:val="0"/>
          <w:marTop w:val="0"/>
          <w:marBottom w:val="120"/>
          <w:divBdr>
            <w:top w:val="none" w:sz="0" w:space="0" w:color="auto"/>
            <w:left w:val="none" w:sz="0" w:space="0" w:color="auto"/>
            <w:bottom w:val="none" w:sz="0" w:space="0" w:color="auto"/>
            <w:right w:val="none" w:sz="0" w:space="0" w:color="auto"/>
          </w:divBdr>
        </w:div>
      </w:divsChild>
    </w:div>
    <w:div w:id="1817989362">
      <w:bodyDiv w:val="1"/>
      <w:marLeft w:val="0"/>
      <w:marRight w:val="0"/>
      <w:marTop w:val="0"/>
      <w:marBottom w:val="0"/>
      <w:divBdr>
        <w:top w:val="none" w:sz="0" w:space="0" w:color="auto"/>
        <w:left w:val="none" w:sz="0" w:space="0" w:color="auto"/>
        <w:bottom w:val="none" w:sz="0" w:space="0" w:color="auto"/>
        <w:right w:val="none" w:sz="0" w:space="0" w:color="auto"/>
      </w:divBdr>
    </w:div>
    <w:div w:id="1847594158">
      <w:bodyDiv w:val="1"/>
      <w:marLeft w:val="0"/>
      <w:marRight w:val="0"/>
      <w:marTop w:val="0"/>
      <w:marBottom w:val="0"/>
      <w:divBdr>
        <w:top w:val="none" w:sz="0" w:space="0" w:color="auto"/>
        <w:left w:val="none" w:sz="0" w:space="0" w:color="auto"/>
        <w:bottom w:val="none" w:sz="0" w:space="0" w:color="auto"/>
        <w:right w:val="none" w:sz="0" w:space="0" w:color="auto"/>
      </w:divBdr>
    </w:div>
    <w:div w:id="1886941241">
      <w:bodyDiv w:val="1"/>
      <w:marLeft w:val="0"/>
      <w:marRight w:val="0"/>
      <w:marTop w:val="0"/>
      <w:marBottom w:val="0"/>
      <w:divBdr>
        <w:top w:val="none" w:sz="0" w:space="0" w:color="auto"/>
        <w:left w:val="none" w:sz="0" w:space="0" w:color="auto"/>
        <w:bottom w:val="none" w:sz="0" w:space="0" w:color="auto"/>
        <w:right w:val="none" w:sz="0" w:space="0" w:color="auto"/>
      </w:divBdr>
    </w:div>
    <w:div w:id="1915579696">
      <w:marLeft w:val="0"/>
      <w:marRight w:val="0"/>
      <w:marTop w:val="0"/>
      <w:marBottom w:val="0"/>
      <w:divBdr>
        <w:top w:val="none" w:sz="0" w:space="0" w:color="auto"/>
        <w:left w:val="none" w:sz="0" w:space="0" w:color="auto"/>
        <w:bottom w:val="none" w:sz="0" w:space="0" w:color="auto"/>
        <w:right w:val="none" w:sz="0" w:space="0" w:color="auto"/>
      </w:divBdr>
    </w:div>
    <w:div w:id="1915579697">
      <w:marLeft w:val="0"/>
      <w:marRight w:val="0"/>
      <w:marTop w:val="0"/>
      <w:marBottom w:val="0"/>
      <w:divBdr>
        <w:top w:val="none" w:sz="0" w:space="0" w:color="auto"/>
        <w:left w:val="none" w:sz="0" w:space="0" w:color="auto"/>
        <w:bottom w:val="none" w:sz="0" w:space="0" w:color="auto"/>
        <w:right w:val="none" w:sz="0" w:space="0" w:color="auto"/>
      </w:divBdr>
    </w:div>
    <w:div w:id="1934389672">
      <w:bodyDiv w:val="1"/>
      <w:marLeft w:val="0"/>
      <w:marRight w:val="0"/>
      <w:marTop w:val="0"/>
      <w:marBottom w:val="0"/>
      <w:divBdr>
        <w:top w:val="none" w:sz="0" w:space="0" w:color="auto"/>
        <w:left w:val="none" w:sz="0" w:space="0" w:color="auto"/>
        <w:bottom w:val="none" w:sz="0" w:space="0" w:color="auto"/>
        <w:right w:val="none" w:sz="0" w:space="0" w:color="auto"/>
      </w:divBdr>
    </w:div>
    <w:div w:id="1964461297">
      <w:bodyDiv w:val="1"/>
      <w:marLeft w:val="0"/>
      <w:marRight w:val="0"/>
      <w:marTop w:val="0"/>
      <w:marBottom w:val="0"/>
      <w:divBdr>
        <w:top w:val="none" w:sz="0" w:space="0" w:color="auto"/>
        <w:left w:val="none" w:sz="0" w:space="0" w:color="auto"/>
        <w:bottom w:val="none" w:sz="0" w:space="0" w:color="auto"/>
        <w:right w:val="none" w:sz="0" w:space="0" w:color="auto"/>
      </w:divBdr>
    </w:div>
    <w:div w:id="1982953760">
      <w:bodyDiv w:val="1"/>
      <w:marLeft w:val="0"/>
      <w:marRight w:val="0"/>
      <w:marTop w:val="0"/>
      <w:marBottom w:val="0"/>
      <w:divBdr>
        <w:top w:val="none" w:sz="0" w:space="0" w:color="auto"/>
        <w:left w:val="none" w:sz="0" w:space="0" w:color="auto"/>
        <w:bottom w:val="none" w:sz="0" w:space="0" w:color="auto"/>
        <w:right w:val="none" w:sz="0" w:space="0" w:color="auto"/>
      </w:divBdr>
    </w:div>
    <w:div w:id="21275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image" Target="media/image4.png"/><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image" Target="media/image7.png"/><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image" Target="media/image3.png"/><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http://www.itsanhonour.gov.au" TargetMode="Externa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image" Target="media/image6.png"/><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footer" Target="footer9.xml"/><Relationship Id="rId37" Type="http://schemas.openxmlformats.org/officeDocument/2006/relationships/header" Target="header15.xml"/><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header" Target="header2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2.png"/><Relationship Id="rId28" Type="http://schemas.openxmlformats.org/officeDocument/2006/relationships/footer" Target="footer7.xml"/><Relationship Id="rId36" Type="http://schemas.openxmlformats.org/officeDocument/2006/relationships/header" Target="header14.xml"/><Relationship Id="rId49" Type="http://schemas.openxmlformats.org/officeDocument/2006/relationships/header" Target="header19.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8.xml"/><Relationship Id="rId44" Type="http://schemas.openxmlformats.org/officeDocument/2006/relationships/image" Target="media/image9.png"/><Relationship Id="rId52"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image" Target="media/image8.png"/><Relationship Id="rId48" Type="http://schemas.openxmlformats.org/officeDocument/2006/relationships/header" Target="header18.xml"/><Relationship Id="rId56"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footer" Target="footer1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DAF5-8EFF-4012-931B-CF3F5520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14870</Words>
  <Characters>84760</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99432</CharactersWithSpaces>
  <SharedDoc>false</SharedDoc>
  <HLinks>
    <vt:vector size="114" baseType="variant">
      <vt:variant>
        <vt:i4>7995454</vt:i4>
      </vt:variant>
      <vt:variant>
        <vt:i4>153</vt:i4>
      </vt:variant>
      <vt:variant>
        <vt:i4>0</vt:i4>
      </vt:variant>
      <vt:variant>
        <vt:i4>5</vt:i4>
      </vt:variant>
      <vt:variant>
        <vt:lpwstr>http://www.ato.gov.au/</vt:lpwstr>
      </vt:variant>
      <vt:variant>
        <vt:lpwstr/>
      </vt:variant>
      <vt:variant>
        <vt:i4>1769497</vt:i4>
      </vt:variant>
      <vt:variant>
        <vt:i4>150</vt:i4>
      </vt:variant>
      <vt:variant>
        <vt:i4>0</vt:i4>
      </vt:variant>
      <vt:variant>
        <vt:i4>5</vt:i4>
      </vt:variant>
      <vt:variant>
        <vt:lpwstr>https://www.ato.gov.au/General/Online-services/In-detail/Online/ATO-Tax-2013-app/</vt:lpwstr>
      </vt:variant>
      <vt:variant>
        <vt:lpwstr/>
      </vt:variant>
      <vt:variant>
        <vt:i4>6815858</vt:i4>
      </vt:variant>
      <vt:variant>
        <vt:i4>147</vt:i4>
      </vt:variant>
      <vt:variant>
        <vt:i4>0</vt:i4>
      </vt:variant>
      <vt:variant>
        <vt:i4>5</vt:i4>
      </vt:variant>
      <vt:variant>
        <vt:lpwstr>http://www.sba.ato.gov.au/</vt:lpwstr>
      </vt:variant>
      <vt:variant>
        <vt:lpwstr/>
      </vt:variant>
      <vt:variant>
        <vt:i4>2162798</vt:i4>
      </vt:variant>
      <vt:variant>
        <vt:i4>144</vt:i4>
      </vt:variant>
      <vt:variant>
        <vt:i4>0</vt:i4>
      </vt:variant>
      <vt:variant>
        <vt:i4>5</vt:i4>
      </vt:variant>
      <vt:variant>
        <vt:lpwstr>https://www.ato.gov.au/General/ATO-advice-and-guidance/Private-rulings/</vt:lpwstr>
      </vt:variant>
      <vt:variant>
        <vt:lpwstr/>
      </vt:variant>
      <vt:variant>
        <vt:i4>3997745</vt:i4>
      </vt:variant>
      <vt:variant>
        <vt:i4>141</vt:i4>
      </vt:variant>
      <vt:variant>
        <vt:i4>0</vt:i4>
      </vt:variant>
      <vt:variant>
        <vt:i4>5</vt:i4>
      </vt:variant>
      <vt:variant>
        <vt:lpwstr>https://www.ato.gov.au/General/ATO-advice-and-guidance/Public-rulings/</vt:lpwstr>
      </vt:variant>
      <vt:variant>
        <vt:lpwstr/>
      </vt:variant>
      <vt:variant>
        <vt:i4>4653125</vt:i4>
      </vt:variant>
      <vt:variant>
        <vt:i4>138</vt:i4>
      </vt:variant>
      <vt:variant>
        <vt:i4>0</vt:i4>
      </vt:variant>
      <vt:variant>
        <vt:i4>5</vt:i4>
      </vt:variant>
      <vt:variant>
        <vt:lpwstr>http://law.ato.gov.au/atolaw/Browse.htm?ImA=Collapse&amp;Node=5~0&amp;OpenNodes=5~3~1,5~0,5,5~3</vt:lpwstr>
      </vt:variant>
      <vt:variant>
        <vt:lpwstr>5~0</vt:lpwstr>
      </vt:variant>
      <vt:variant>
        <vt:i4>7012399</vt:i4>
      </vt:variant>
      <vt:variant>
        <vt:i4>135</vt:i4>
      </vt:variant>
      <vt:variant>
        <vt:i4>0</vt:i4>
      </vt:variant>
      <vt:variant>
        <vt:i4>5</vt:i4>
      </vt:variant>
      <vt:variant>
        <vt:lpwstr>http://www.ato.gov.au/employeeContractorEssentials</vt:lpwstr>
      </vt:variant>
      <vt:variant>
        <vt:lpwstr/>
      </vt:variant>
      <vt:variant>
        <vt:i4>1769554</vt:i4>
      </vt:variant>
      <vt:variant>
        <vt:i4>132</vt:i4>
      </vt:variant>
      <vt:variant>
        <vt:i4>0</vt:i4>
      </vt:variant>
      <vt:variant>
        <vt:i4>5</vt:i4>
      </vt:variant>
      <vt:variant>
        <vt:lpwstr>http://www.ato.gov.au/EmployeeContractor</vt:lpwstr>
      </vt:variant>
      <vt:variant>
        <vt:lpwstr/>
      </vt:variant>
      <vt:variant>
        <vt:i4>5439492</vt:i4>
      </vt:variant>
      <vt:variant>
        <vt:i4>129</vt:i4>
      </vt:variant>
      <vt:variant>
        <vt:i4>0</vt:i4>
      </vt:variant>
      <vt:variant>
        <vt:i4>5</vt:i4>
      </vt:variant>
      <vt:variant>
        <vt:lpwstr>https://www.ato.gov.au/General/Correct-a-mistake-or-dispute-a-decision/In-detail/Avoiding-and-resolving-disputes/Alternative-Dispute-Resolution/Facilitation-process/</vt:lpwstr>
      </vt:variant>
      <vt:variant>
        <vt:lpwstr/>
      </vt:variant>
      <vt:variant>
        <vt:i4>786496</vt:i4>
      </vt:variant>
      <vt:variant>
        <vt:i4>126</vt:i4>
      </vt:variant>
      <vt:variant>
        <vt:i4>0</vt:i4>
      </vt:variant>
      <vt:variant>
        <vt:i4>5</vt:i4>
      </vt:variant>
      <vt:variant>
        <vt:lpwstr>https://www.ato.gov.au/About-ATO/About-us/In-detail/Key-documents/ATO-plain-English-guide-to-alternative-dispute-resolution/</vt:lpwstr>
      </vt:variant>
      <vt:variant>
        <vt:lpwstr/>
      </vt:variant>
      <vt:variant>
        <vt:i4>5636117</vt:i4>
      </vt:variant>
      <vt:variant>
        <vt:i4>123</vt:i4>
      </vt:variant>
      <vt:variant>
        <vt:i4>0</vt:i4>
      </vt:variant>
      <vt:variant>
        <vt:i4>5</vt:i4>
      </vt:variant>
      <vt:variant>
        <vt:lpwstr>http://law.ato.gov.au/atolaw/view.htm?locid='PSR/PS20133/NAT/ATO'&amp;PiT=99991231235958</vt:lpwstr>
      </vt:variant>
      <vt:variant>
        <vt:lpwstr/>
      </vt:variant>
      <vt:variant>
        <vt:i4>852059</vt:i4>
      </vt:variant>
      <vt:variant>
        <vt:i4>120</vt:i4>
      </vt:variant>
      <vt:variant>
        <vt:i4>0</vt:i4>
      </vt:variant>
      <vt:variant>
        <vt:i4>5</vt:i4>
      </vt:variant>
      <vt:variant>
        <vt:lpwstr>http://www.comlaw.gov.au/Details/C2004A00846</vt:lpwstr>
      </vt:variant>
      <vt:variant>
        <vt:lpwstr/>
      </vt:variant>
      <vt:variant>
        <vt:i4>1835084</vt:i4>
      </vt:variant>
      <vt:variant>
        <vt:i4>117</vt:i4>
      </vt:variant>
      <vt:variant>
        <vt:i4>0</vt:i4>
      </vt:variant>
      <vt:variant>
        <vt:i4>5</vt:i4>
      </vt:variant>
      <vt:variant>
        <vt:lpwstr>http://bfb.ministers.treasury.gov.au/media-release/015-2014/</vt:lpwstr>
      </vt:variant>
      <vt:variant>
        <vt:lpwstr/>
      </vt:variant>
      <vt:variant>
        <vt:i4>7471148</vt:i4>
      </vt:variant>
      <vt:variant>
        <vt:i4>0</vt:i4>
      </vt:variant>
      <vt:variant>
        <vt:i4>0</vt:i4>
      </vt:variant>
      <vt:variant>
        <vt:i4>5</vt:i4>
      </vt:variant>
      <vt:variant>
        <vt:lpwstr>http://www.itsanhonour.gov.au/</vt:lpwstr>
      </vt:variant>
      <vt:variant>
        <vt:lpwstr/>
      </vt:variant>
      <vt:variant>
        <vt:i4>2097184</vt:i4>
      </vt:variant>
      <vt:variant>
        <vt:i4>12</vt:i4>
      </vt:variant>
      <vt:variant>
        <vt:i4>0</vt:i4>
      </vt:variant>
      <vt:variant>
        <vt:i4>5</vt:i4>
      </vt:variant>
      <vt:variant>
        <vt:lpwstr>http://www.pm.gov.au/media/2013-12-18/securing-australias-manufacturing-future</vt:lpwstr>
      </vt:variant>
      <vt:variant>
        <vt:lpwstr/>
      </vt:variant>
      <vt:variant>
        <vt:i4>786517</vt:i4>
      </vt:variant>
      <vt:variant>
        <vt:i4>9</vt:i4>
      </vt:variant>
      <vt:variant>
        <vt:i4>0</vt:i4>
      </vt:variant>
      <vt:variant>
        <vt:i4>5</vt:i4>
      </vt:variant>
      <vt:variant>
        <vt:lpwstr>http://www.comlaw.gov.au/Details/C2013B00189</vt:lpwstr>
      </vt:variant>
      <vt:variant>
        <vt:lpwstr/>
      </vt:variant>
      <vt:variant>
        <vt:i4>4718668</vt:i4>
      </vt:variant>
      <vt:variant>
        <vt:i4>6</vt:i4>
      </vt:variant>
      <vt:variant>
        <vt:i4>0</vt:i4>
      </vt:variant>
      <vt:variant>
        <vt:i4>5</vt:i4>
      </vt:variant>
      <vt:variant>
        <vt:lpwstr>https://www.ato.gov.au/rates/luxury-car-tax-rate-and-thresholds/</vt:lpwstr>
      </vt:variant>
      <vt:variant>
        <vt:lpwstr/>
      </vt:variant>
      <vt:variant>
        <vt:i4>2490430</vt:i4>
      </vt:variant>
      <vt:variant>
        <vt:i4>3</vt:i4>
      </vt:variant>
      <vt:variant>
        <vt:i4>0</vt:i4>
      </vt:variant>
      <vt:variant>
        <vt:i4>5</vt:i4>
      </vt:variant>
      <vt:variant>
        <vt:lpwstr>https://www.ato.gov.au/</vt:lpwstr>
      </vt:variant>
      <vt:variant>
        <vt:lpwstr/>
      </vt:variant>
      <vt:variant>
        <vt:i4>2490430</vt:i4>
      </vt:variant>
      <vt:variant>
        <vt:i4>0</vt:i4>
      </vt:variant>
      <vt:variant>
        <vt:i4>0</vt:i4>
      </vt:variant>
      <vt:variant>
        <vt:i4>5</vt:i4>
      </vt:variant>
      <vt:variant>
        <vt:lpwstr>https://www.ato.gov.au/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debt and equity tax rules – The related scheme and equity override integrity provisions</dc:title>
  <dc:subject/>
  <dc:creator/>
  <cp:keywords/>
  <cp:lastModifiedBy/>
  <cp:revision>1</cp:revision>
  <dcterms:created xsi:type="dcterms:W3CDTF">2015-04-01T03:45:00Z</dcterms:created>
  <dcterms:modified xsi:type="dcterms:W3CDTF">2015-04-01T03:46:00Z</dcterms:modified>
</cp:coreProperties>
</file>