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60012700"/>
    <w:bookmarkStart w:id="1" w:name="_Toc178088490"/>
    <w:bookmarkStart w:id="2" w:name="_Toc209006403"/>
    <w:bookmarkStart w:id="3" w:name="_Toc209006579"/>
    <w:p w14:paraId="4EF08F7B" w14:textId="21746F06" w:rsidR="00464518" w:rsidRDefault="00000000" w:rsidP="00464518">
      <w:pPr>
        <w:pStyle w:val="CoverTitleMain"/>
        <w:ind w:right="3402"/>
      </w:pPr>
      <w:sdt>
        <w:sdtPr>
          <w:id w:val="1209766061"/>
          <w:docPartObj>
            <w:docPartGallery w:val="Cover Pages"/>
            <w:docPartUnique/>
          </w:docPartObj>
        </w:sdtPr>
        <w:sdtContent>
          <w:r w:rsidR="007739FD">
            <w:rPr>
              <w:noProof/>
              <w14:numForm w14:val="default"/>
              <w14:numSpacing w14:val="default"/>
            </w:rPr>
            <w:drawing>
              <wp:anchor distT="0" distB="0" distL="114300" distR="114300" simplePos="0" relativeHeight="251658240" behindDoc="1" locked="1" layoutInCell="1" allowOverlap="1" wp14:anchorId="5E24F66F" wp14:editId="1E4BE8FF">
                <wp:simplePos x="0" y="0"/>
                <wp:positionH relativeFrom="page">
                  <wp:align>center</wp:align>
                </wp:positionH>
                <wp:positionV relativeFrom="page">
                  <wp:align>center</wp:align>
                </wp:positionV>
                <wp:extent cx="7563600" cy="10692000"/>
                <wp:effectExtent l="0" t="0" r="0" b="0"/>
                <wp:wrapNone/>
                <wp:docPr id="10" name="Picture 10" descr="Australian Government, The Board of Tax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ustralian Government, The Board of Taxation">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page">
                  <wp14:pctWidth>0</wp14:pctWidth>
                </wp14:sizeRelH>
                <wp14:sizeRelV relativeFrom="page">
                  <wp14:pctHeight>0</wp14:pctHeight>
                </wp14:sizeRelV>
              </wp:anchor>
            </w:drawing>
          </w:r>
        </w:sdtContent>
      </w:sdt>
      <w:r w:rsidR="006F27B9">
        <w:t>Annual Report</w:t>
      </w:r>
      <w:r w:rsidR="00A35A2F">
        <w:t xml:space="preserve"> 202</w:t>
      </w:r>
      <w:r w:rsidR="00FE3A17">
        <w:t>5</w:t>
      </w:r>
      <w:r w:rsidR="00A35A2F">
        <w:t>–2</w:t>
      </w:r>
      <w:bookmarkEnd w:id="0"/>
      <w:bookmarkEnd w:id="1"/>
      <w:bookmarkEnd w:id="2"/>
      <w:bookmarkEnd w:id="3"/>
      <w:r w:rsidR="00FE3A17">
        <w:t>6</w:t>
      </w:r>
      <w:r w:rsidR="00464518">
        <w:br w:type="page"/>
      </w:r>
    </w:p>
    <w:p w14:paraId="409A7852" w14:textId="518C61A2" w:rsidR="006F27B9" w:rsidRDefault="006F27B9" w:rsidP="00891948">
      <w:pPr>
        <w:tabs>
          <w:tab w:val="left" w:pos="4266"/>
        </w:tabs>
        <w:spacing w:before="0"/>
      </w:pPr>
      <w:r w:rsidRPr="00661BF0">
        <w:lastRenderedPageBreak/>
        <w:t xml:space="preserve">© Commonwealth of Australia </w:t>
      </w:r>
      <w:r w:rsidRPr="00095CA6">
        <w:t>202</w:t>
      </w:r>
      <w:r w:rsidR="00FE3A17">
        <w:t>6</w:t>
      </w:r>
      <w:r w:rsidR="00891948">
        <w:tab/>
      </w:r>
    </w:p>
    <w:p w14:paraId="3F336357" w14:textId="29FD82F1" w:rsidR="00891948" w:rsidRDefault="00891948" w:rsidP="00891948">
      <w:pPr>
        <w:tabs>
          <w:tab w:val="left" w:pos="4266"/>
        </w:tabs>
        <w:spacing w:before="0"/>
      </w:pPr>
      <w:r w:rsidRPr="00891948">
        <w:t>ISSN: 2204-096X</w:t>
      </w:r>
    </w:p>
    <w:p w14:paraId="1E645611" w14:textId="6C04568E" w:rsidR="00153BBF" w:rsidRPr="00086F82" w:rsidRDefault="00153BBF" w:rsidP="00C275FE">
      <w:pPr>
        <w:spacing w:before="0"/>
        <w:rPr>
          <w:rFonts w:cstheme="minorBidi"/>
          <w:sz w:val="24"/>
          <w:szCs w:val="24"/>
        </w:rPr>
      </w:pPr>
      <w:r w:rsidRPr="002F1BC2">
        <w:t>This publication is available for your use under a</w:t>
      </w:r>
      <w:r w:rsidRPr="00476F09">
        <w:rPr>
          <w:rFonts w:cstheme="minorHAnsi"/>
          <w:sz w:val="24"/>
          <w:szCs w:val="24"/>
        </w:rPr>
        <w:t xml:space="preserve"> </w:t>
      </w:r>
      <w:hyperlink r:id="rId9" w:history="1">
        <w:r>
          <w:rPr>
            <w:rStyle w:val="Hyperlink"/>
          </w:rPr>
          <w:t>Creative Commons Attribution 4.0 International</w:t>
        </w:r>
      </w:hyperlink>
      <w:r w:rsidRPr="00476F09">
        <w:rPr>
          <w:rFonts w:cstheme="minorHAnsi"/>
          <w:sz w:val="24"/>
          <w:szCs w:val="24"/>
        </w:rPr>
        <w:t xml:space="preserve"> </w:t>
      </w:r>
      <w:r w:rsidRPr="002F1BC2">
        <w:t xml:space="preserve">licence, </w:t>
      </w:r>
      <w:proofErr w:type="gramStart"/>
      <w:r w:rsidRPr="002F1BC2">
        <w:t>with the exception of</w:t>
      </w:r>
      <w:proofErr w:type="gramEnd"/>
      <w:r w:rsidRPr="002F1BC2">
        <w:t xml:space="preserve"> the Commonwealth Coat of Arms, </w:t>
      </w:r>
      <w:r w:rsidR="0074667B">
        <w:t>t</w:t>
      </w:r>
      <w:r w:rsidRPr="002F1BC2">
        <w:t xml:space="preserve">he </w:t>
      </w:r>
      <w:r>
        <w:t>Board of Taxation</w:t>
      </w:r>
      <w:r w:rsidRPr="002F1BC2">
        <w:t xml:space="preserve"> logo</w:t>
      </w:r>
      <w:r>
        <w:t xml:space="preserve">, photographs, images, </w:t>
      </w:r>
      <w:r w:rsidRPr="004F5ACF">
        <w:t>third party materials, materials protected by a trademark,</w:t>
      </w:r>
      <w:r>
        <w:t xml:space="preserve"> signatures </w:t>
      </w:r>
      <w:r w:rsidRPr="002F1BC2">
        <w:t>and where otherwise stated</w:t>
      </w:r>
      <w:r>
        <w:t xml:space="preserve">. </w:t>
      </w:r>
      <w:r w:rsidRPr="002F1BC2">
        <w:t>The full licence terms are available from</w:t>
      </w:r>
      <w:r w:rsidRPr="00476F09">
        <w:rPr>
          <w:rFonts w:cstheme="minorHAnsi"/>
          <w:sz w:val="24"/>
          <w:szCs w:val="24"/>
        </w:rPr>
        <w:t xml:space="preserve"> </w:t>
      </w:r>
      <w:hyperlink r:id="rId10" w:history="1">
        <w:r>
          <w:rPr>
            <w:rStyle w:val="Hyperlink"/>
          </w:rPr>
          <w:t>creativecommons.org/licenses/by/4.0/</w:t>
        </w:r>
        <w:proofErr w:type="spellStart"/>
        <w:r>
          <w:rPr>
            <w:rStyle w:val="Hyperlink"/>
          </w:rPr>
          <w:t>legalcode</w:t>
        </w:r>
        <w:proofErr w:type="spellEnd"/>
      </w:hyperlink>
      <w:r w:rsidRPr="00444CDB">
        <w:t>.</w:t>
      </w:r>
      <w:r w:rsidRPr="00D06A21">
        <w:rPr>
          <w:sz w:val="24"/>
          <w:szCs w:val="24"/>
        </w:rPr>
        <w:t xml:space="preserve"> </w:t>
      </w:r>
    </w:p>
    <w:p w14:paraId="21354004" w14:textId="77777777" w:rsidR="0074667B" w:rsidRDefault="0074667B" w:rsidP="00F26985">
      <w:pPr>
        <w:spacing w:before="0" w:after="0"/>
      </w:pPr>
      <w:r w:rsidRPr="00E56DFB">
        <w:rPr>
          <w:noProof/>
        </w:rPr>
        <w:drawing>
          <wp:inline distT="0" distB="0" distL="0" distR="0" wp14:anchorId="0EFCCE5D" wp14:editId="525EF6C7">
            <wp:extent cx="809625" cy="285750"/>
            <wp:effectExtent l="0" t="0" r="9525" b="0"/>
            <wp:docPr id="3" name="Picture 1" descr="Creative Commons icon&#10;&#10;Creative Commons attribution licence 4.0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reative Commons icon&#10;&#10;Creative Commons attribution licence 4.0 ico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12E5A522" w14:textId="7F06CC9F" w:rsidR="0074667B" w:rsidRPr="006627B4" w:rsidRDefault="0074667B" w:rsidP="00891948">
      <w:pPr>
        <w:spacing w:before="80"/>
      </w:pPr>
      <w:r w:rsidRPr="006627B4">
        <w:t xml:space="preserve">Use of </w:t>
      </w:r>
      <w:r w:rsidR="00787B40">
        <w:t>Commonwealth of Australia</w:t>
      </w:r>
      <w:r w:rsidRPr="006627B4">
        <w:t xml:space="preserve"> material under a</w:t>
      </w:r>
      <w:r w:rsidRPr="00476F09">
        <w:rPr>
          <w:rFonts w:cstheme="minorHAnsi"/>
          <w:sz w:val="24"/>
          <w:szCs w:val="24"/>
        </w:rPr>
        <w:t xml:space="preserve"> </w:t>
      </w:r>
      <w:hyperlink r:id="rId12" w:history="1">
        <w:r>
          <w:rPr>
            <w:rStyle w:val="Hyperlink"/>
          </w:rPr>
          <w:t>Creative Commons Attribution 4.0 International</w:t>
        </w:r>
      </w:hyperlink>
      <w:r>
        <w:t xml:space="preserve"> l</w:t>
      </w:r>
      <w:r w:rsidRPr="006627B4">
        <w:t xml:space="preserve">icence requires you to attribute the work (but not in any way that suggests that </w:t>
      </w:r>
      <w:r w:rsidR="00787B40">
        <w:t>the Commonwealth of Australia</w:t>
      </w:r>
      <w:r w:rsidRPr="006627B4">
        <w:t xml:space="preserve"> endorse</w:t>
      </w:r>
      <w:r>
        <w:t>s you or your use of the work).</w:t>
      </w:r>
    </w:p>
    <w:p w14:paraId="783BD6F9" w14:textId="54627F2C" w:rsidR="00787B40" w:rsidRDefault="00787B40" w:rsidP="00891948">
      <w:pPr>
        <w:spacing w:after="60"/>
        <w:rPr>
          <w:b/>
          <w:bCs/>
        </w:rPr>
      </w:pPr>
      <w:r w:rsidRPr="00787B40">
        <w:rPr>
          <w:b/>
          <w:bCs/>
        </w:rPr>
        <w:t>Commonwealth of Australia</w:t>
      </w:r>
      <w:r w:rsidR="006F27B9" w:rsidRPr="00787B40">
        <w:rPr>
          <w:b/>
          <w:bCs/>
        </w:rPr>
        <w:t xml:space="preserve"> material used </w:t>
      </w:r>
      <w:r w:rsidR="00205936">
        <w:rPr>
          <w:b/>
          <w:bCs/>
        </w:rPr>
        <w:t>‘</w:t>
      </w:r>
      <w:r w:rsidR="006F27B9" w:rsidRPr="00787B40">
        <w:rPr>
          <w:b/>
          <w:bCs/>
        </w:rPr>
        <w:t>as supplied</w:t>
      </w:r>
      <w:r w:rsidR="00205936">
        <w:rPr>
          <w:b/>
          <w:bCs/>
        </w:rPr>
        <w:t>’</w:t>
      </w:r>
    </w:p>
    <w:p w14:paraId="05CD50DD" w14:textId="59965B5D" w:rsidR="0074667B" w:rsidRPr="00476F09" w:rsidRDefault="0074667B" w:rsidP="00891948">
      <w:pPr>
        <w:spacing w:before="0" w:after="60"/>
      </w:pPr>
      <w:r w:rsidRPr="00476F09">
        <w:t xml:space="preserve">Provided you have not modified or transformed </w:t>
      </w:r>
      <w:r w:rsidR="00787B40">
        <w:t>Commonwealth of Australia</w:t>
      </w:r>
      <w:r w:rsidRPr="00476F09">
        <w:t xml:space="preserve"> material in any way including, for example, by</w:t>
      </w:r>
      <w:r>
        <w:t xml:space="preserve"> </w:t>
      </w:r>
      <w:r w:rsidRPr="0096692D">
        <w:t xml:space="preserve">changing the </w:t>
      </w:r>
      <w:r w:rsidR="00787B40">
        <w:t>Commonwealth of Australia</w:t>
      </w:r>
      <w:r w:rsidRPr="0096692D">
        <w:t xml:space="preserve"> text; calculating percentage changes; graphing or charting data</w:t>
      </w:r>
      <w:r>
        <w:t>;</w:t>
      </w:r>
      <w:r w:rsidRPr="0096692D">
        <w:t xml:space="preserve"> or deriving new statistics from published </w:t>
      </w:r>
      <w:r w:rsidR="00787B40">
        <w:t>Commonwealth of Australia</w:t>
      </w:r>
      <w:r w:rsidRPr="0096692D">
        <w:t xml:space="preserve"> statistics</w:t>
      </w:r>
      <w:r>
        <w:t xml:space="preserve"> </w:t>
      </w:r>
      <w:r>
        <w:rPr>
          <w:rFonts w:cs="Calibri Light"/>
        </w:rPr>
        <w:t>–</w:t>
      </w:r>
      <w:r>
        <w:t xml:space="preserve"> then </w:t>
      </w:r>
      <w:r w:rsidR="00787B40">
        <w:t>the Commonwealth of Australia</w:t>
      </w:r>
      <w:r>
        <w:t xml:space="preserve"> prefers t</w:t>
      </w:r>
      <w:r w:rsidRPr="00476F09">
        <w:t xml:space="preserve">he following attribution: </w:t>
      </w:r>
    </w:p>
    <w:p w14:paraId="58FD3060" w14:textId="4F11A33B" w:rsidR="006F27B9" w:rsidRPr="00134FAC" w:rsidRDefault="006F27B9" w:rsidP="00C275FE">
      <w:pPr>
        <w:pStyle w:val="NormalIndent"/>
        <w:spacing w:before="0"/>
        <w:rPr>
          <w:i/>
          <w:iCs/>
        </w:rPr>
      </w:pPr>
      <w:r w:rsidRPr="007127DB">
        <w:t>Source:</w:t>
      </w:r>
      <w:r w:rsidRPr="00134FAC">
        <w:rPr>
          <w:i/>
          <w:iCs/>
        </w:rPr>
        <w:t xml:space="preserve"> The Board of Taxation 202</w:t>
      </w:r>
      <w:r w:rsidR="00FE3A17">
        <w:rPr>
          <w:i/>
          <w:iCs/>
        </w:rPr>
        <w:t>5</w:t>
      </w:r>
      <w:r w:rsidRPr="00134FAC">
        <w:rPr>
          <w:i/>
          <w:iCs/>
        </w:rPr>
        <w:t>–2</w:t>
      </w:r>
      <w:r w:rsidR="00FE3A17">
        <w:rPr>
          <w:i/>
          <w:iCs/>
        </w:rPr>
        <w:t>6</w:t>
      </w:r>
      <w:r w:rsidRPr="00134FAC">
        <w:rPr>
          <w:i/>
          <w:iCs/>
        </w:rPr>
        <w:t xml:space="preserve"> Annual Report. The Commonwealth of Australia does not necessarily endorse the content of this publication. </w:t>
      </w:r>
    </w:p>
    <w:p w14:paraId="0435CA77" w14:textId="77777777" w:rsidR="006F27B9" w:rsidRPr="00787B40" w:rsidRDefault="006F27B9" w:rsidP="00891948">
      <w:pPr>
        <w:spacing w:after="60"/>
        <w:rPr>
          <w:b/>
          <w:bCs/>
        </w:rPr>
      </w:pPr>
      <w:r w:rsidRPr="00787B40">
        <w:rPr>
          <w:b/>
          <w:bCs/>
        </w:rPr>
        <w:t>Derivative material</w:t>
      </w:r>
    </w:p>
    <w:p w14:paraId="50E7883C" w14:textId="1D79F837" w:rsidR="0074667B" w:rsidRPr="006627B4" w:rsidRDefault="0074667B" w:rsidP="00891948">
      <w:pPr>
        <w:spacing w:before="0" w:after="60"/>
      </w:pPr>
      <w:r w:rsidRPr="006627B4">
        <w:t xml:space="preserve">If you have modified or transformed </w:t>
      </w:r>
      <w:r w:rsidR="00787B40">
        <w:t>Commonwealth of Australia</w:t>
      </w:r>
      <w:r w:rsidRPr="006627B4">
        <w:t xml:space="preserve"> material, or derived new material from those of the </w:t>
      </w:r>
      <w:r w:rsidR="00787B40">
        <w:t>Commonwealth of Australia</w:t>
      </w:r>
      <w:r w:rsidRPr="006627B4">
        <w:t xml:space="preserve"> in any way, then </w:t>
      </w:r>
      <w:r w:rsidR="00787B40">
        <w:t>Commonwealth of Australia</w:t>
      </w:r>
      <w:r w:rsidRPr="006627B4">
        <w:t xml:space="preserve"> prefers the following attribution: </w:t>
      </w:r>
    </w:p>
    <w:p w14:paraId="37377A27" w14:textId="716DFFCE" w:rsidR="006F27B9" w:rsidRPr="00134FAC" w:rsidRDefault="006F27B9" w:rsidP="00C275FE">
      <w:pPr>
        <w:pStyle w:val="NormalIndent"/>
        <w:spacing w:before="0"/>
        <w:rPr>
          <w:i/>
          <w:iCs/>
        </w:rPr>
      </w:pPr>
      <w:r w:rsidRPr="00134FAC">
        <w:rPr>
          <w:i/>
          <w:iCs/>
        </w:rPr>
        <w:t>Based on the Board of Taxation, 202</w:t>
      </w:r>
      <w:r w:rsidR="00FE3A17">
        <w:rPr>
          <w:i/>
          <w:iCs/>
        </w:rPr>
        <w:t>5</w:t>
      </w:r>
      <w:r w:rsidRPr="00134FAC">
        <w:rPr>
          <w:i/>
          <w:iCs/>
        </w:rPr>
        <w:t>–2</w:t>
      </w:r>
      <w:r w:rsidR="00FE3A17">
        <w:rPr>
          <w:i/>
          <w:iCs/>
        </w:rPr>
        <w:t>6</w:t>
      </w:r>
      <w:r w:rsidRPr="00134FAC">
        <w:rPr>
          <w:i/>
          <w:iCs/>
        </w:rPr>
        <w:t xml:space="preserve"> Annual Report. The Commonwealth of Australia does not necessarily endorse the content of this publication.</w:t>
      </w:r>
    </w:p>
    <w:p w14:paraId="6655F3AC" w14:textId="77777777" w:rsidR="006F27B9" w:rsidRPr="00787B40" w:rsidRDefault="006F27B9" w:rsidP="00891948">
      <w:pPr>
        <w:spacing w:after="60"/>
        <w:rPr>
          <w:b/>
          <w:bCs/>
        </w:rPr>
      </w:pPr>
      <w:r w:rsidRPr="00787B40">
        <w:rPr>
          <w:b/>
          <w:bCs/>
        </w:rPr>
        <w:t>Use of the Coat of Arms</w:t>
      </w:r>
    </w:p>
    <w:p w14:paraId="0A71EE98" w14:textId="3FC61FBF" w:rsidR="006F27B9" w:rsidRPr="006627B4" w:rsidRDefault="006F27B9" w:rsidP="00C275FE">
      <w:pPr>
        <w:spacing w:before="0"/>
      </w:pPr>
      <w:r w:rsidRPr="00820CAF">
        <w:t xml:space="preserve">The terms under which the Coat of Arms can be used are set out on the Department of the Prime Minister and Cabinet website (see </w:t>
      </w:r>
      <w:hyperlink r:id="rId13" w:history="1">
        <w:r w:rsidR="00205936" w:rsidRPr="00342056">
          <w:rPr>
            <w:rStyle w:val="Hyperlink"/>
          </w:rPr>
          <w:t>https://www.pmc.gov.au/honours-and-symbols/commonwealth-coat-arms</w:t>
        </w:r>
      </w:hyperlink>
      <w:r>
        <w:t>).</w:t>
      </w:r>
    </w:p>
    <w:p w14:paraId="4FDB0047" w14:textId="77777777" w:rsidR="006F27B9" w:rsidRPr="00787B40" w:rsidRDefault="006F27B9" w:rsidP="00891948">
      <w:pPr>
        <w:spacing w:after="60"/>
        <w:rPr>
          <w:b/>
          <w:bCs/>
        </w:rPr>
      </w:pPr>
      <w:r w:rsidRPr="00787B40">
        <w:rPr>
          <w:b/>
          <w:bCs/>
        </w:rPr>
        <w:t>Other uses</w:t>
      </w:r>
    </w:p>
    <w:p w14:paraId="1FA69370" w14:textId="77777777" w:rsidR="006F27B9" w:rsidRPr="006627B4" w:rsidRDefault="006F27B9" w:rsidP="00891948">
      <w:pPr>
        <w:spacing w:before="0" w:after="60"/>
      </w:pPr>
      <w:r>
        <w:t>E</w:t>
      </w:r>
      <w:r w:rsidRPr="006627B4">
        <w:t>nquiries regarding this licence and any other use of this document are welcome at:</w:t>
      </w:r>
    </w:p>
    <w:p w14:paraId="159A166D" w14:textId="2B4B7B34" w:rsidR="00134FAC" w:rsidRDefault="006F27B9" w:rsidP="00C275FE">
      <w:pPr>
        <w:pStyle w:val="NormalIndent"/>
        <w:spacing w:before="0"/>
      </w:pPr>
      <w:r w:rsidRPr="00134FAC">
        <w:t>Manager</w:t>
      </w:r>
      <w:r w:rsidRPr="00134FAC">
        <w:br/>
        <w:t>Media Unit</w:t>
      </w:r>
      <w:r w:rsidRPr="00134FAC">
        <w:br/>
        <w:t>The Treasury</w:t>
      </w:r>
      <w:r w:rsidRPr="00134FAC">
        <w:br/>
        <w:t xml:space="preserve">Langton Crescent </w:t>
      </w:r>
      <w:r w:rsidR="00134FAC">
        <w:br/>
      </w:r>
      <w:r w:rsidR="00730102" w:rsidRPr="00134FAC">
        <w:t>Parkes ACT 2600</w:t>
      </w:r>
      <w:r w:rsidR="00730102" w:rsidRPr="00134FAC">
        <w:br/>
        <w:t>Email</w:t>
      </w:r>
      <w:r w:rsidR="00730102" w:rsidRPr="006627B4">
        <w:t xml:space="preserve">: </w:t>
      </w:r>
      <w:hyperlink r:id="rId14" w:history="1">
        <w:r w:rsidR="00730102">
          <w:rPr>
            <w:rStyle w:val="Hyperlink"/>
          </w:rPr>
          <w:t>media@treasury.gov.au</w:t>
        </w:r>
      </w:hyperlink>
      <w:bookmarkStart w:id="4" w:name="_Hlk135986135"/>
    </w:p>
    <w:p w14:paraId="41CA1A32" w14:textId="77777777" w:rsidR="00787B40" w:rsidRDefault="006F27B9" w:rsidP="00C275FE">
      <w:pPr>
        <w:spacing w:before="0"/>
      </w:pPr>
      <w:r>
        <w:t xml:space="preserve">A copy of this document appears on </w:t>
      </w:r>
      <w:r w:rsidR="0074667B">
        <w:t>t</w:t>
      </w:r>
      <w:r>
        <w:t xml:space="preserve">he Board of Taxation website: </w:t>
      </w:r>
      <w:hyperlink r:id="rId15" w:history="1">
        <w:r w:rsidRPr="00892EB0">
          <w:rPr>
            <w:rStyle w:val="Hyperlink"/>
          </w:rPr>
          <w:t>http://www.taxboard.gov.au</w:t>
        </w:r>
      </w:hyperlink>
      <w:r>
        <w:t>.</w:t>
      </w:r>
      <w:bookmarkEnd w:id="4"/>
    </w:p>
    <w:p w14:paraId="33D6DBC5" w14:textId="47A2B590" w:rsidR="00464518" w:rsidRDefault="0074667B" w:rsidP="00F26985">
      <w:pPr>
        <w:spacing w:before="0"/>
        <w:rPr>
          <w:rStyle w:val="Emphasis"/>
        </w:rPr>
      </w:pPr>
      <w:r w:rsidRPr="00787B40">
        <w:rPr>
          <w:rStyle w:val="Emphasis"/>
        </w:rPr>
        <w:t>In the spirit of reconciliation, the Board of Taxation acknowledges the Traditional Custodians of country throughout Australia and their connections to land, sea and community. We pay our respect to their Elders past and present and extend that respect to all Aboriginal and Torres Strait Islander peoples.</w:t>
      </w:r>
      <w:bookmarkStart w:id="5" w:name="_Toc160012701"/>
      <w:bookmarkStart w:id="6" w:name="_Toc178088491"/>
      <w:bookmarkStart w:id="7" w:name="_Toc209006404"/>
      <w:bookmarkStart w:id="8" w:name="_Toc209006580"/>
    </w:p>
    <w:p w14:paraId="0F9D849B" w14:textId="77777777" w:rsidR="00464518" w:rsidRDefault="00464518">
      <w:pPr>
        <w:rPr>
          <w:rStyle w:val="Emphasis"/>
        </w:rPr>
        <w:sectPr w:rsidR="00464518" w:rsidSect="00B01075">
          <w:headerReference w:type="even" r:id="rId16"/>
          <w:footerReference w:type="even" r:id="rId17"/>
          <w:footerReference w:type="first" r:id="rId18"/>
          <w:type w:val="continuous"/>
          <w:pgSz w:w="11909" w:h="16834" w:code="9"/>
          <w:pgMar w:top="2268" w:right="1134" w:bottom="1985" w:left="1134" w:header="1134" w:footer="1134" w:gutter="0"/>
          <w:cols w:space="708"/>
          <w:docGrid w:linePitch="360"/>
        </w:sectPr>
      </w:pPr>
    </w:p>
    <w:p w14:paraId="6AD96AC4" w14:textId="38446B58" w:rsidR="006256BA" w:rsidRDefault="006256BA" w:rsidP="00464518">
      <w:pPr>
        <w:pStyle w:val="ContentsHeading"/>
        <w:spacing w:before="0"/>
      </w:pPr>
      <w:r>
        <w:lastRenderedPageBreak/>
        <w:t>Contents</w:t>
      </w:r>
      <w:bookmarkEnd w:id="5"/>
      <w:bookmarkEnd w:id="6"/>
      <w:bookmarkEnd w:id="7"/>
      <w:bookmarkEnd w:id="8"/>
    </w:p>
    <w:p w14:paraId="3491A408" w14:textId="179A33A1"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r>
        <w:rPr>
          <w:rFonts w:asciiTheme="majorHAnsi" w:hAnsiTheme="majorHAnsi"/>
          <w:smallCaps/>
        </w:rPr>
        <w:fldChar w:fldCharType="begin"/>
      </w:r>
      <w:r>
        <w:rPr>
          <w:rFonts w:asciiTheme="majorHAnsi" w:hAnsiTheme="majorHAnsi"/>
          <w:smallCaps/>
        </w:rPr>
        <w:instrText xml:space="preserve"> TOC \h \z \t "Heading 1,1,Appendix Heading,1,Heading 1 Numbered,1" </w:instrText>
      </w:r>
      <w:r>
        <w:rPr>
          <w:rFonts w:asciiTheme="majorHAnsi" w:hAnsiTheme="majorHAnsi"/>
          <w:smallCaps/>
        </w:rPr>
        <w:fldChar w:fldCharType="separate"/>
      </w:r>
      <w:hyperlink w:anchor="_Toc238644403" w:history="1">
        <w:r w:rsidRPr="008008A3">
          <w:rPr>
            <w:rStyle w:val="Hyperlink"/>
            <w:noProof/>
          </w:rPr>
          <w:t>2025–26 Board overview</w:t>
        </w:r>
        <w:r>
          <w:rPr>
            <w:noProof/>
            <w:webHidden/>
          </w:rPr>
          <w:tab/>
        </w:r>
        <w:r>
          <w:rPr>
            <w:noProof/>
            <w:webHidden/>
          </w:rPr>
          <w:fldChar w:fldCharType="begin"/>
        </w:r>
        <w:r>
          <w:rPr>
            <w:noProof/>
            <w:webHidden/>
          </w:rPr>
          <w:instrText xml:space="preserve"> PAGEREF _Toc238644403 \h </w:instrText>
        </w:r>
        <w:r>
          <w:rPr>
            <w:noProof/>
            <w:webHidden/>
          </w:rPr>
        </w:r>
        <w:r>
          <w:rPr>
            <w:noProof/>
            <w:webHidden/>
          </w:rPr>
          <w:fldChar w:fldCharType="separate"/>
        </w:r>
        <w:r w:rsidR="002F45FB">
          <w:rPr>
            <w:noProof/>
            <w:webHidden/>
          </w:rPr>
          <w:t>1</w:t>
        </w:r>
        <w:r>
          <w:rPr>
            <w:noProof/>
            <w:webHidden/>
          </w:rPr>
          <w:fldChar w:fldCharType="end"/>
        </w:r>
      </w:hyperlink>
    </w:p>
    <w:p w14:paraId="524E986D" w14:textId="3CA7211F"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04" w:history="1">
        <w:r w:rsidRPr="008008A3">
          <w:rPr>
            <w:rStyle w:val="Hyperlink"/>
            <w:noProof/>
          </w:rPr>
          <w:t>Message from the Chair</w:t>
        </w:r>
        <w:r>
          <w:rPr>
            <w:noProof/>
            <w:webHidden/>
          </w:rPr>
          <w:tab/>
        </w:r>
        <w:r>
          <w:rPr>
            <w:noProof/>
            <w:webHidden/>
          </w:rPr>
          <w:fldChar w:fldCharType="begin"/>
        </w:r>
        <w:r>
          <w:rPr>
            <w:noProof/>
            <w:webHidden/>
          </w:rPr>
          <w:instrText xml:space="preserve"> PAGEREF _Toc238644404 \h </w:instrText>
        </w:r>
        <w:r>
          <w:rPr>
            <w:noProof/>
            <w:webHidden/>
          </w:rPr>
        </w:r>
        <w:r>
          <w:rPr>
            <w:noProof/>
            <w:webHidden/>
          </w:rPr>
          <w:fldChar w:fldCharType="separate"/>
        </w:r>
        <w:r w:rsidR="002F45FB">
          <w:rPr>
            <w:noProof/>
            <w:webHidden/>
          </w:rPr>
          <w:t>2</w:t>
        </w:r>
        <w:r>
          <w:rPr>
            <w:noProof/>
            <w:webHidden/>
          </w:rPr>
          <w:fldChar w:fldCharType="end"/>
        </w:r>
      </w:hyperlink>
    </w:p>
    <w:p w14:paraId="2C3A7F6A" w14:textId="278049CA"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05" w:history="1">
        <w:r w:rsidRPr="008008A3">
          <w:rPr>
            <w:rStyle w:val="Hyperlink"/>
            <w:noProof/>
          </w:rPr>
          <w:t>The Board</w:t>
        </w:r>
        <w:r>
          <w:rPr>
            <w:noProof/>
            <w:webHidden/>
          </w:rPr>
          <w:tab/>
        </w:r>
        <w:r>
          <w:rPr>
            <w:noProof/>
            <w:webHidden/>
          </w:rPr>
          <w:fldChar w:fldCharType="begin"/>
        </w:r>
        <w:r>
          <w:rPr>
            <w:noProof/>
            <w:webHidden/>
          </w:rPr>
          <w:instrText xml:space="preserve"> PAGEREF _Toc238644405 \h </w:instrText>
        </w:r>
        <w:r>
          <w:rPr>
            <w:noProof/>
            <w:webHidden/>
          </w:rPr>
        </w:r>
        <w:r>
          <w:rPr>
            <w:noProof/>
            <w:webHidden/>
          </w:rPr>
          <w:fldChar w:fldCharType="separate"/>
        </w:r>
        <w:r w:rsidR="002F45FB">
          <w:rPr>
            <w:noProof/>
            <w:webHidden/>
          </w:rPr>
          <w:t>4</w:t>
        </w:r>
        <w:r>
          <w:rPr>
            <w:noProof/>
            <w:webHidden/>
          </w:rPr>
          <w:fldChar w:fldCharType="end"/>
        </w:r>
      </w:hyperlink>
    </w:p>
    <w:p w14:paraId="5B36DBF9" w14:textId="0BD92B5B"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06" w:history="1">
        <w:r w:rsidRPr="008008A3">
          <w:rPr>
            <w:rStyle w:val="Hyperlink"/>
            <w:noProof/>
          </w:rPr>
          <w:t>Stakeholder communication and engagement</w:t>
        </w:r>
        <w:r>
          <w:rPr>
            <w:noProof/>
            <w:webHidden/>
          </w:rPr>
          <w:tab/>
        </w:r>
        <w:r>
          <w:rPr>
            <w:noProof/>
            <w:webHidden/>
          </w:rPr>
          <w:fldChar w:fldCharType="begin"/>
        </w:r>
        <w:r>
          <w:rPr>
            <w:noProof/>
            <w:webHidden/>
          </w:rPr>
          <w:instrText xml:space="preserve"> PAGEREF _Toc238644406 \h </w:instrText>
        </w:r>
        <w:r>
          <w:rPr>
            <w:noProof/>
            <w:webHidden/>
          </w:rPr>
        </w:r>
        <w:r>
          <w:rPr>
            <w:noProof/>
            <w:webHidden/>
          </w:rPr>
          <w:fldChar w:fldCharType="separate"/>
        </w:r>
        <w:r w:rsidR="002F45FB">
          <w:rPr>
            <w:noProof/>
            <w:webHidden/>
          </w:rPr>
          <w:t>10</w:t>
        </w:r>
        <w:r>
          <w:rPr>
            <w:noProof/>
            <w:webHidden/>
          </w:rPr>
          <w:fldChar w:fldCharType="end"/>
        </w:r>
      </w:hyperlink>
    </w:p>
    <w:p w14:paraId="62A1D0D2" w14:textId="1395DBFF"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07" w:history="1">
        <w:r w:rsidRPr="008008A3">
          <w:rPr>
            <w:rStyle w:val="Hyperlink"/>
            <w:noProof/>
          </w:rPr>
          <w:t>Sounding Board +</w:t>
        </w:r>
        <w:r>
          <w:rPr>
            <w:noProof/>
            <w:webHidden/>
          </w:rPr>
          <w:tab/>
        </w:r>
        <w:r>
          <w:rPr>
            <w:noProof/>
            <w:webHidden/>
          </w:rPr>
          <w:fldChar w:fldCharType="begin"/>
        </w:r>
        <w:r>
          <w:rPr>
            <w:noProof/>
            <w:webHidden/>
          </w:rPr>
          <w:instrText xml:space="preserve"> PAGEREF _Toc238644407 \h </w:instrText>
        </w:r>
        <w:r>
          <w:rPr>
            <w:noProof/>
            <w:webHidden/>
          </w:rPr>
        </w:r>
        <w:r>
          <w:rPr>
            <w:noProof/>
            <w:webHidden/>
          </w:rPr>
          <w:fldChar w:fldCharType="separate"/>
        </w:r>
        <w:r w:rsidR="002F45FB">
          <w:rPr>
            <w:noProof/>
            <w:webHidden/>
          </w:rPr>
          <w:t>12</w:t>
        </w:r>
        <w:r>
          <w:rPr>
            <w:noProof/>
            <w:webHidden/>
          </w:rPr>
          <w:fldChar w:fldCharType="end"/>
        </w:r>
      </w:hyperlink>
    </w:p>
    <w:p w14:paraId="74D501AC" w14:textId="753C4CD7"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08" w:history="1">
        <w:r w:rsidRPr="008008A3">
          <w:rPr>
            <w:rStyle w:val="Hyperlink"/>
            <w:noProof/>
          </w:rPr>
          <w:t>Activities of the Board in 2025–26</w:t>
        </w:r>
        <w:r>
          <w:rPr>
            <w:noProof/>
            <w:webHidden/>
          </w:rPr>
          <w:tab/>
        </w:r>
        <w:r>
          <w:rPr>
            <w:noProof/>
            <w:webHidden/>
          </w:rPr>
          <w:fldChar w:fldCharType="begin"/>
        </w:r>
        <w:r>
          <w:rPr>
            <w:noProof/>
            <w:webHidden/>
          </w:rPr>
          <w:instrText xml:space="preserve"> PAGEREF _Toc238644408 \h </w:instrText>
        </w:r>
        <w:r>
          <w:rPr>
            <w:noProof/>
            <w:webHidden/>
          </w:rPr>
        </w:r>
        <w:r>
          <w:rPr>
            <w:noProof/>
            <w:webHidden/>
          </w:rPr>
          <w:fldChar w:fldCharType="separate"/>
        </w:r>
        <w:r w:rsidR="002F45FB">
          <w:rPr>
            <w:noProof/>
            <w:webHidden/>
          </w:rPr>
          <w:t>13</w:t>
        </w:r>
        <w:r>
          <w:rPr>
            <w:noProof/>
            <w:webHidden/>
          </w:rPr>
          <w:fldChar w:fldCharType="end"/>
        </w:r>
      </w:hyperlink>
    </w:p>
    <w:p w14:paraId="2AAE0737" w14:textId="73C2BE08"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09" w:history="1">
        <w:r w:rsidRPr="008008A3">
          <w:rPr>
            <w:rStyle w:val="Hyperlink"/>
            <w:noProof/>
          </w:rPr>
          <w:t>The year ahead – 2026</w:t>
        </w:r>
        <w:r w:rsidRPr="008008A3">
          <w:rPr>
            <w:rStyle w:val="Hyperlink"/>
            <w:rFonts w:ascii="Times New Roman" w:hAnsi="Times New Roman"/>
            <w:noProof/>
          </w:rPr>
          <w:t>‍</w:t>
        </w:r>
        <w:r w:rsidRPr="008008A3">
          <w:rPr>
            <w:rStyle w:val="Hyperlink"/>
            <w:noProof/>
          </w:rPr>
          <w:t>–</w:t>
        </w:r>
        <w:r w:rsidRPr="008008A3">
          <w:rPr>
            <w:rStyle w:val="Hyperlink"/>
            <w:rFonts w:ascii="Times New Roman" w:hAnsi="Times New Roman"/>
            <w:noProof/>
          </w:rPr>
          <w:t>‍</w:t>
        </w:r>
        <w:r w:rsidRPr="008008A3">
          <w:rPr>
            <w:rStyle w:val="Hyperlink"/>
            <w:noProof/>
          </w:rPr>
          <w:t>27 reporting year</w:t>
        </w:r>
        <w:r>
          <w:rPr>
            <w:noProof/>
            <w:webHidden/>
          </w:rPr>
          <w:tab/>
        </w:r>
        <w:r>
          <w:rPr>
            <w:noProof/>
            <w:webHidden/>
          </w:rPr>
          <w:fldChar w:fldCharType="begin"/>
        </w:r>
        <w:r>
          <w:rPr>
            <w:noProof/>
            <w:webHidden/>
          </w:rPr>
          <w:instrText xml:space="preserve"> PAGEREF _Toc238644409 \h </w:instrText>
        </w:r>
        <w:r>
          <w:rPr>
            <w:noProof/>
            <w:webHidden/>
          </w:rPr>
        </w:r>
        <w:r>
          <w:rPr>
            <w:noProof/>
            <w:webHidden/>
          </w:rPr>
          <w:fldChar w:fldCharType="separate"/>
        </w:r>
        <w:r w:rsidR="002F45FB">
          <w:rPr>
            <w:noProof/>
            <w:webHidden/>
          </w:rPr>
          <w:t>20</w:t>
        </w:r>
        <w:r>
          <w:rPr>
            <w:noProof/>
            <w:webHidden/>
          </w:rPr>
          <w:fldChar w:fldCharType="end"/>
        </w:r>
      </w:hyperlink>
    </w:p>
    <w:p w14:paraId="715799D3" w14:textId="75B3E79B"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10" w:history="1">
        <w:r w:rsidRPr="008008A3">
          <w:rPr>
            <w:rStyle w:val="Hyperlink"/>
            <w:noProof/>
          </w:rPr>
          <w:t>Appendix A: The Board’s Charter</w:t>
        </w:r>
        <w:r>
          <w:rPr>
            <w:noProof/>
            <w:webHidden/>
          </w:rPr>
          <w:tab/>
        </w:r>
        <w:r>
          <w:rPr>
            <w:noProof/>
            <w:webHidden/>
          </w:rPr>
          <w:fldChar w:fldCharType="begin"/>
        </w:r>
        <w:r>
          <w:rPr>
            <w:noProof/>
            <w:webHidden/>
          </w:rPr>
          <w:instrText xml:space="preserve"> PAGEREF _Toc238644410 \h </w:instrText>
        </w:r>
        <w:r>
          <w:rPr>
            <w:noProof/>
            <w:webHidden/>
          </w:rPr>
        </w:r>
        <w:r>
          <w:rPr>
            <w:noProof/>
            <w:webHidden/>
          </w:rPr>
          <w:fldChar w:fldCharType="separate"/>
        </w:r>
        <w:r w:rsidR="002F45FB">
          <w:rPr>
            <w:noProof/>
            <w:webHidden/>
          </w:rPr>
          <w:t>21</w:t>
        </w:r>
        <w:r>
          <w:rPr>
            <w:noProof/>
            <w:webHidden/>
          </w:rPr>
          <w:fldChar w:fldCharType="end"/>
        </w:r>
      </w:hyperlink>
    </w:p>
    <w:p w14:paraId="48B5337B" w14:textId="69C2A62A"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11" w:history="1">
        <w:r w:rsidRPr="008008A3">
          <w:rPr>
            <w:rStyle w:val="Hyperlink"/>
            <w:noProof/>
          </w:rPr>
          <w:t>Appendix B: Membership of the Board</w:t>
        </w:r>
        <w:r>
          <w:rPr>
            <w:noProof/>
            <w:webHidden/>
          </w:rPr>
          <w:tab/>
        </w:r>
        <w:r>
          <w:rPr>
            <w:noProof/>
            <w:webHidden/>
          </w:rPr>
          <w:fldChar w:fldCharType="begin"/>
        </w:r>
        <w:r>
          <w:rPr>
            <w:noProof/>
            <w:webHidden/>
          </w:rPr>
          <w:instrText xml:space="preserve"> PAGEREF _Toc238644411 \h </w:instrText>
        </w:r>
        <w:r>
          <w:rPr>
            <w:noProof/>
            <w:webHidden/>
          </w:rPr>
        </w:r>
        <w:r>
          <w:rPr>
            <w:noProof/>
            <w:webHidden/>
          </w:rPr>
          <w:fldChar w:fldCharType="separate"/>
        </w:r>
        <w:r w:rsidR="002F45FB">
          <w:rPr>
            <w:noProof/>
            <w:webHidden/>
          </w:rPr>
          <w:t>23</w:t>
        </w:r>
        <w:r>
          <w:rPr>
            <w:noProof/>
            <w:webHidden/>
          </w:rPr>
          <w:fldChar w:fldCharType="end"/>
        </w:r>
      </w:hyperlink>
    </w:p>
    <w:p w14:paraId="6A84CB06" w14:textId="63215E04"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12" w:history="1">
        <w:r w:rsidRPr="008008A3">
          <w:rPr>
            <w:rStyle w:val="Hyperlink"/>
            <w:noProof/>
          </w:rPr>
          <w:t>Appendix C: Attendance at Board meetings</w:t>
        </w:r>
        <w:r>
          <w:rPr>
            <w:noProof/>
            <w:webHidden/>
          </w:rPr>
          <w:tab/>
        </w:r>
        <w:r>
          <w:rPr>
            <w:noProof/>
            <w:webHidden/>
          </w:rPr>
          <w:fldChar w:fldCharType="begin"/>
        </w:r>
        <w:r>
          <w:rPr>
            <w:noProof/>
            <w:webHidden/>
          </w:rPr>
          <w:instrText xml:space="preserve"> PAGEREF _Toc238644412 \h </w:instrText>
        </w:r>
        <w:r>
          <w:rPr>
            <w:noProof/>
            <w:webHidden/>
          </w:rPr>
        </w:r>
        <w:r>
          <w:rPr>
            <w:noProof/>
            <w:webHidden/>
          </w:rPr>
          <w:fldChar w:fldCharType="separate"/>
        </w:r>
        <w:r w:rsidR="002F45FB">
          <w:rPr>
            <w:noProof/>
            <w:webHidden/>
          </w:rPr>
          <w:t>24</w:t>
        </w:r>
        <w:r>
          <w:rPr>
            <w:noProof/>
            <w:webHidden/>
          </w:rPr>
          <w:fldChar w:fldCharType="end"/>
        </w:r>
      </w:hyperlink>
    </w:p>
    <w:p w14:paraId="036DA11D" w14:textId="0B2C3B50"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13" w:history="1">
        <w:r w:rsidRPr="008008A3">
          <w:rPr>
            <w:rStyle w:val="Hyperlink"/>
            <w:noProof/>
          </w:rPr>
          <w:t>Appendix D: Board Meetings, Stakeholder Events and Review Consultations</w:t>
        </w:r>
        <w:r>
          <w:rPr>
            <w:noProof/>
            <w:webHidden/>
          </w:rPr>
          <w:tab/>
        </w:r>
        <w:r>
          <w:rPr>
            <w:noProof/>
            <w:webHidden/>
          </w:rPr>
          <w:fldChar w:fldCharType="begin"/>
        </w:r>
        <w:r>
          <w:rPr>
            <w:noProof/>
            <w:webHidden/>
          </w:rPr>
          <w:instrText xml:space="preserve"> PAGEREF _Toc238644413 \h </w:instrText>
        </w:r>
        <w:r>
          <w:rPr>
            <w:noProof/>
            <w:webHidden/>
          </w:rPr>
        </w:r>
        <w:r>
          <w:rPr>
            <w:noProof/>
            <w:webHidden/>
          </w:rPr>
          <w:fldChar w:fldCharType="separate"/>
        </w:r>
        <w:r w:rsidR="002F45FB">
          <w:rPr>
            <w:noProof/>
            <w:webHidden/>
          </w:rPr>
          <w:t>25</w:t>
        </w:r>
        <w:r>
          <w:rPr>
            <w:noProof/>
            <w:webHidden/>
          </w:rPr>
          <w:fldChar w:fldCharType="end"/>
        </w:r>
      </w:hyperlink>
    </w:p>
    <w:p w14:paraId="1FCA99A6" w14:textId="10FE31BD"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14" w:history="1">
        <w:r w:rsidRPr="008008A3">
          <w:rPr>
            <w:rStyle w:val="Hyperlink"/>
            <w:noProof/>
          </w:rPr>
          <w:t>Appendix E: Financial Statements</w:t>
        </w:r>
        <w:r>
          <w:rPr>
            <w:noProof/>
            <w:webHidden/>
          </w:rPr>
          <w:tab/>
        </w:r>
        <w:r>
          <w:rPr>
            <w:noProof/>
            <w:webHidden/>
          </w:rPr>
          <w:fldChar w:fldCharType="begin"/>
        </w:r>
        <w:r>
          <w:rPr>
            <w:noProof/>
            <w:webHidden/>
          </w:rPr>
          <w:instrText xml:space="preserve"> PAGEREF _Toc238644414 \h </w:instrText>
        </w:r>
        <w:r>
          <w:rPr>
            <w:noProof/>
            <w:webHidden/>
          </w:rPr>
        </w:r>
        <w:r>
          <w:rPr>
            <w:noProof/>
            <w:webHidden/>
          </w:rPr>
          <w:fldChar w:fldCharType="separate"/>
        </w:r>
        <w:r w:rsidR="002F45FB">
          <w:rPr>
            <w:noProof/>
            <w:webHidden/>
          </w:rPr>
          <w:t>26</w:t>
        </w:r>
        <w:r>
          <w:rPr>
            <w:noProof/>
            <w:webHidden/>
          </w:rPr>
          <w:fldChar w:fldCharType="end"/>
        </w:r>
      </w:hyperlink>
    </w:p>
    <w:p w14:paraId="3A752D0D" w14:textId="1F850410"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15" w:history="1">
        <w:r w:rsidRPr="008008A3">
          <w:rPr>
            <w:rStyle w:val="Hyperlink"/>
            <w:noProof/>
          </w:rPr>
          <w:t>Contact details</w:t>
        </w:r>
        <w:r>
          <w:rPr>
            <w:noProof/>
            <w:webHidden/>
          </w:rPr>
          <w:tab/>
        </w:r>
        <w:r>
          <w:rPr>
            <w:noProof/>
            <w:webHidden/>
          </w:rPr>
          <w:fldChar w:fldCharType="begin"/>
        </w:r>
        <w:r>
          <w:rPr>
            <w:noProof/>
            <w:webHidden/>
          </w:rPr>
          <w:instrText xml:space="preserve"> PAGEREF _Toc238644415 \h </w:instrText>
        </w:r>
        <w:r>
          <w:rPr>
            <w:noProof/>
            <w:webHidden/>
          </w:rPr>
        </w:r>
        <w:r>
          <w:rPr>
            <w:noProof/>
            <w:webHidden/>
          </w:rPr>
          <w:fldChar w:fldCharType="separate"/>
        </w:r>
        <w:r w:rsidR="002F45FB">
          <w:rPr>
            <w:noProof/>
            <w:webHidden/>
          </w:rPr>
          <w:t>27</w:t>
        </w:r>
        <w:r>
          <w:rPr>
            <w:noProof/>
            <w:webHidden/>
          </w:rPr>
          <w:fldChar w:fldCharType="end"/>
        </w:r>
      </w:hyperlink>
    </w:p>
    <w:p w14:paraId="3C4E2AF5" w14:textId="1FA5166B" w:rsidR="00F922C0" w:rsidRDefault="00F922C0">
      <w:pPr>
        <w:pStyle w:val="TOC1"/>
        <w:rPr>
          <w:rFonts w:asciiTheme="minorHAnsi" w:eastAsiaTheme="minorEastAsia" w:hAnsiTheme="minorHAnsi" w:cstheme="minorBidi"/>
          <w:noProof/>
          <w:color w:val="auto"/>
          <w:kern w:val="2"/>
          <w:szCs w:val="24"/>
          <w14:ligatures w14:val="standardContextual"/>
          <w14:numForm w14:val="default"/>
          <w14:numSpacing w14:val="default"/>
        </w:rPr>
      </w:pPr>
      <w:hyperlink w:anchor="_Toc238644416" w:history="1">
        <w:r w:rsidRPr="008008A3">
          <w:rPr>
            <w:rStyle w:val="Hyperlink"/>
            <w:noProof/>
          </w:rPr>
          <w:t>Glossary of terms</w:t>
        </w:r>
        <w:r>
          <w:rPr>
            <w:noProof/>
            <w:webHidden/>
          </w:rPr>
          <w:tab/>
        </w:r>
        <w:r>
          <w:rPr>
            <w:noProof/>
            <w:webHidden/>
          </w:rPr>
          <w:fldChar w:fldCharType="begin"/>
        </w:r>
        <w:r>
          <w:rPr>
            <w:noProof/>
            <w:webHidden/>
          </w:rPr>
          <w:instrText xml:space="preserve"> PAGEREF _Toc238644416 \h </w:instrText>
        </w:r>
        <w:r>
          <w:rPr>
            <w:noProof/>
            <w:webHidden/>
          </w:rPr>
        </w:r>
        <w:r>
          <w:rPr>
            <w:noProof/>
            <w:webHidden/>
          </w:rPr>
          <w:fldChar w:fldCharType="separate"/>
        </w:r>
        <w:r w:rsidR="002F45FB">
          <w:rPr>
            <w:noProof/>
            <w:webHidden/>
          </w:rPr>
          <w:t>28</w:t>
        </w:r>
        <w:r>
          <w:rPr>
            <w:noProof/>
            <w:webHidden/>
          </w:rPr>
          <w:fldChar w:fldCharType="end"/>
        </w:r>
      </w:hyperlink>
    </w:p>
    <w:p w14:paraId="4B1ECA32" w14:textId="1DD2CDAD" w:rsidR="007859FC" w:rsidRDefault="00F922C0">
      <w:pPr>
        <w:rPr>
          <w:rFonts w:asciiTheme="majorHAnsi" w:hAnsiTheme="majorHAnsi"/>
          <w:smallCaps/>
          <w:color w:val="142147" w:themeColor="accent1"/>
          <w:sz w:val="24"/>
          <w14:numForm w14:val="lining"/>
          <w14:numSpacing w14:val="proportional"/>
        </w:rPr>
        <w:sectPr w:rsidR="007859FC" w:rsidSect="00B01075">
          <w:headerReference w:type="default" r:id="rId19"/>
          <w:footerReference w:type="default" r:id="rId20"/>
          <w:type w:val="continuous"/>
          <w:pgSz w:w="11909" w:h="16834" w:code="9"/>
          <w:pgMar w:top="2268" w:right="1134" w:bottom="1985" w:left="1134" w:header="1134" w:footer="1134" w:gutter="0"/>
          <w:cols w:space="708"/>
          <w:docGrid w:linePitch="360"/>
        </w:sectPr>
      </w:pPr>
      <w:r>
        <w:rPr>
          <w:rFonts w:asciiTheme="majorHAnsi" w:hAnsiTheme="majorHAnsi"/>
          <w:smallCaps/>
          <w:color w:val="142147" w:themeColor="accent1"/>
          <w:sz w:val="24"/>
          <w14:numForm w14:val="lining"/>
          <w14:numSpacing w14:val="proportional"/>
        </w:rPr>
        <w:fldChar w:fldCharType="end"/>
      </w:r>
    </w:p>
    <w:p w14:paraId="2C31653F" w14:textId="44B771D6" w:rsidR="007D0FA4" w:rsidRDefault="006F27B9" w:rsidP="00464518">
      <w:pPr>
        <w:pStyle w:val="Heading1"/>
        <w:spacing w:before="100" w:beforeAutospacing="1"/>
      </w:pPr>
      <w:bookmarkStart w:id="9" w:name="_Toc209006405"/>
      <w:bookmarkStart w:id="10" w:name="_Toc238644403"/>
      <w:r w:rsidRPr="00612E0B">
        <w:lastRenderedPageBreak/>
        <w:t>202</w:t>
      </w:r>
      <w:r w:rsidR="008F0961">
        <w:t>5</w:t>
      </w:r>
      <w:r w:rsidR="00411947" w:rsidRPr="00612E0B">
        <w:t>–</w:t>
      </w:r>
      <w:r w:rsidRPr="00612E0B">
        <w:t>2</w:t>
      </w:r>
      <w:r w:rsidR="008F0961">
        <w:t>6</w:t>
      </w:r>
      <w:r w:rsidRPr="00612E0B">
        <w:t xml:space="preserve"> </w:t>
      </w:r>
      <w:r w:rsidRPr="00464518">
        <w:t>Board</w:t>
      </w:r>
      <w:r w:rsidRPr="00612E0B">
        <w:t xml:space="preserve"> overview</w:t>
      </w:r>
      <w:bookmarkEnd w:id="9"/>
      <w:bookmarkEnd w:id="10"/>
    </w:p>
    <w:p w14:paraId="1597C1D5" w14:textId="2AA829F4" w:rsidR="002A224F" w:rsidRPr="002A224F" w:rsidRDefault="002A224F" w:rsidP="002A224F">
      <w:r>
        <w:rPr>
          <w:noProof/>
        </w:rPr>
        <w:drawing>
          <wp:inline distT="0" distB="0" distL="0" distR="0" wp14:anchorId="105E496A" wp14:editId="3AD52727">
            <wp:extent cx="6120000" cy="5780353"/>
            <wp:effectExtent l="0" t="0" r="0" b="0"/>
            <wp:docPr id="1851232686" name="Picture 2" descr="7¬¬–8 Board Members: 5 private sector, and 3 ex officio. &#10;We welcomed The Hon David Bradbury. We farewelled Dr Julianne Jaques KC. &#10;&#10;224 Signatories to Voluntary Tax Transparency Code as at 30 June 2026.&#10;Signatories by size of signatory: 185 Large, 29 Medium, 8 Small. &#10;Signatories by origin of ultimate holding company: 170 Australia, 45 Foreign, 7 Australian and Foreign dual listed, and 2 undisclosed. &#10;&#10;Stakeholder Engagement: The Board engaged with stakeholders in relation to formal reviews and other events in the 2025-26 reporting year which included over 120 stakeholders from over 110 organisations. &#10;Formal Reviews: Completed the redesign of the Board’s Voluntary Tax Transparency Code; Completed the Red Tape Reduction Review; Commenced the Statutory Review of Australia’s Thin Capitalisation Re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32686" name="Picture 2" descr="7¬¬–8 Board Members: 5 private sector, and 3 ex officio. &#10;We welcomed The Hon David Bradbury. We farewelled Dr Julianne Jaques KC. &#10;&#10;224 Signatories to Voluntary Tax Transparency Code as at 30 June 2026.&#10;Signatories by size of signatory: 185 Large, 29 Medium, 8 Small. &#10;Signatories by origin of ultimate holding company: 170 Australia, 45 Foreign, 7 Australian and Foreign dual listed, and 2 undisclosed. &#10;&#10;Stakeholder Engagement: The Board engaged with stakeholders in relation to formal reviews and other events in the 2025-26 reporting year which included over 120 stakeholders from over 110 organisations. &#10;Formal Reviews: Completed the redesign of the Board’s Voluntary Tax Transparency Code; Completed the Red Tape Reduction Review; Commenced the Statutory Review of Australia’s Thin Capitalisation Reform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000" cy="5780353"/>
                    </a:xfrm>
                    <a:prstGeom prst="rect">
                      <a:avLst/>
                    </a:prstGeom>
                  </pic:spPr>
                </pic:pic>
              </a:graphicData>
            </a:graphic>
          </wp:inline>
        </w:drawing>
      </w:r>
    </w:p>
    <w:p w14:paraId="035FDFE0" w14:textId="77777777" w:rsidR="002A224F" w:rsidRPr="002A224F" w:rsidRDefault="002A224F" w:rsidP="002A224F"/>
    <w:p w14:paraId="26921FAC" w14:textId="7AA52074" w:rsidR="000B0F1B" w:rsidRDefault="000B0F1B" w:rsidP="00464518">
      <w:pPr>
        <w:sectPr w:rsidR="000B0F1B" w:rsidSect="007859FC">
          <w:footerReference w:type="default" r:id="rId22"/>
          <w:pgSz w:w="11909" w:h="16834" w:code="9"/>
          <w:pgMar w:top="2268" w:right="1134" w:bottom="1985" w:left="1134" w:header="1134" w:footer="1134" w:gutter="0"/>
          <w:pgNumType w:start="1"/>
          <w:cols w:space="708"/>
          <w:docGrid w:linePitch="360"/>
        </w:sectPr>
      </w:pPr>
    </w:p>
    <w:p w14:paraId="7576A0EF" w14:textId="77777777" w:rsidR="000B0F1B" w:rsidRDefault="00C05B99" w:rsidP="000B0F1B">
      <w:pPr>
        <w:pStyle w:val="Heading1"/>
        <w:spacing w:before="0"/>
      </w:pPr>
      <w:bookmarkStart w:id="11" w:name="_Toc209006406"/>
      <w:bookmarkStart w:id="12" w:name="_Toc238644404"/>
      <w:r w:rsidRPr="007A2E96">
        <w:lastRenderedPageBreak/>
        <w:t>Message</w:t>
      </w:r>
      <w:r w:rsidR="006F27B9" w:rsidRPr="007A2E96">
        <w:t xml:space="preserve"> from </w:t>
      </w:r>
      <w:r w:rsidR="006F27B9" w:rsidRPr="00464518">
        <w:t>the</w:t>
      </w:r>
      <w:r w:rsidR="006F27B9" w:rsidRPr="007A2E96">
        <w:t xml:space="preserve"> Chair</w:t>
      </w:r>
      <w:bookmarkEnd w:id="11"/>
      <w:bookmarkEnd w:id="12"/>
    </w:p>
    <w:p w14:paraId="56E91F4F" w14:textId="16EF5313" w:rsidR="0063139E" w:rsidRPr="00962A9E" w:rsidRDefault="0063139E" w:rsidP="002A224F">
      <w:pPr>
        <w:pStyle w:val="Heading2"/>
      </w:pPr>
      <w:r w:rsidRPr="00962A9E">
        <w:t xml:space="preserve">The Honourable David </w:t>
      </w:r>
      <w:r w:rsidRPr="002A224F">
        <w:t>Bradbury</w:t>
      </w:r>
    </w:p>
    <w:p w14:paraId="4A1DDA2C" w14:textId="0EEE98AD" w:rsidR="00F26985" w:rsidRPr="00962A9E" w:rsidRDefault="00F26985" w:rsidP="002A224F">
      <w:r w:rsidRPr="00962A9E">
        <w:t>It is my pleasure to present the Annual Report for the Board of Taxation (the</w:t>
      </w:r>
      <w:r w:rsidR="0063139E" w:rsidRPr="00962A9E">
        <w:t> </w:t>
      </w:r>
      <w:r w:rsidRPr="00962A9E">
        <w:t>Board) for 2025–26.</w:t>
      </w:r>
    </w:p>
    <w:p w14:paraId="7ED6F21A" w14:textId="33018743" w:rsidR="000B0F1B" w:rsidRPr="00962A9E" w:rsidRDefault="00F26985" w:rsidP="00962A9E">
      <w:r w:rsidRPr="00962A9E">
        <w:t>This has been a year of significant activity, transition and renewal for the</w:t>
      </w:r>
      <w:r w:rsidR="0063139E" w:rsidRPr="00962A9E">
        <w:t xml:space="preserve"> </w:t>
      </w:r>
      <w:r w:rsidRPr="00962A9E">
        <w:t>Board. Throughout the year, the</w:t>
      </w:r>
      <w:r w:rsidR="00962A9E">
        <w:t> </w:t>
      </w:r>
      <w:r w:rsidRPr="00962A9E">
        <w:t>Board has continued to fulfil its role as a trusted adviser to government, bringing a business and broader community</w:t>
      </w:r>
      <w:r w:rsidR="0063139E" w:rsidRPr="00962A9E">
        <w:t xml:space="preserve"> </w:t>
      </w:r>
      <w:r w:rsidRPr="00962A9E">
        <w:t>perspective to the development and operation of Australia</w:t>
      </w:r>
      <w:r w:rsidR="00205936" w:rsidRPr="00962A9E">
        <w:t>’</w:t>
      </w:r>
      <w:r w:rsidRPr="00962A9E">
        <w:t>s taxation system.</w:t>
      </w:r>
    </w:p>
    <w:p w14:paraId="33DAD90B" w14:textId="0186C304" w:rsidR="00F26985" w:rsidRPr="00962A9E" w:rsidRDefault="00F26985" w:rsidP="00962A9E">
      <w:r w:rsidRPr="00962A9E">
        <w:t>To begin with, I would like to acknowledge the significant contributions of our former Acting Chairs, Dr</w:t>
      </w:r>
      <w:r w:rsidR="00205936" w:rsidRPr="00962A9E">
        <w:t> </w:t>
      </w:r>
      <w:r w:rsidRPr="00962A9E">
        <w:t>Julianne Jaques KC and Andrew Mills. During the reporting period, Julianne served as Acting</w:t>
      </w:r>
      <w:r w:rsidR="00124CC1">
        <w:t xml:space="preserve"> C</w:t>
      </w:r>
      <w:r w:rsidRPr="00962A9E">
        <w:t>hair</w:t>
      </w:r>
      <w:r w:rsidR="00124CC1">
        <w:t xml:space="preserve"> </w:t>
      </w:r>
      <w:r w:rsidRPr="00962A9E">
        <w:t>for</w:t>
      </w:r>
      <w:r w:rsidR="00124CC1">
        <w:t> </w:t>
      </w:r>
      <w:r w:rsidRPr="00962A9E">
        <w:t xml:space="preserve">part of the year before concluding her term on the Board, </w:t>
      </w:r>
      <w:proofErr w:type="gramStart"/>
      <w:r w:rsidRPr="00962A9E">
        <w:t>bringing to a close</w:t>
      </w:r>
      <w:proofErr w:type="gramEnd"/>
      <w:r w:rsidRPr="00962A9E">
        <w:t xml:space="preserve"> </w:t>
      </w:r>
      <w:r w:rsidR="00074808">
        <w:t>9</w:t>
      </w:r>
      <w:r w:rsidRPr="00962A9E">
        <w:t xml:space="preserve"> years of valued</w:t>
      </w:r>
      <w:r w:rsidR="00124CC1">
        <w:t xml:space="preserve"> </w:t>
      </w:r>
      <w:r w:rsidRPr="00962A9E">
        <w:t>service</w:t>
      </w:r>
      <w:r w:rsidR="00124CC1">
        <w:t> </w:t>
      </w:r>
      <w:r w:rsidRPr="00962A9E">
        <w:t>to</w:t>
      </w:r>
      <w:r w:rsidR="00962A9E">
        <w:t> </w:t>
      </w:r>
      <w:r w:rsidRPr="00962A9E">
        <w:t xml:space="preserve">the Board across </w:t>
      </w:r>
      <w:r w:rsidR="00074808">
        <w:t>3</w:t>
      </w:r>
      <w:r w:rsidRPr="00962A9E">
        <w:t xml:space="preserve"> terms. During that time, she made a substantial contribution to</w:t>
      </w:r>
      <w:r w:rsidR="00124CC1">
        <w:t xml:space="preserve"> </w:t>
      </w:r>
      <w:r w:rsidRPr="00962A9E">
        <w:t>the</w:t>
      </w:r>
      <w:r w:rsidR="00124CC1">
        <w:t> </w:t>
      </w:r>
      <w:r w:rsidRPr="00962A9E">
        <w:t>Board</w:t>
      </w:r>
      <w:r w:rsidR="00205936" w:rsidRPr="00962A9E">
        <w:t>’</w:t>
      </w:r>
      <w:r w:rsidRPr="00962A9E">
        <w:t>s</w:t>
      </w:r>
      <w:r w:rsidR="00124CC1">
        <w:t> </w:t>
      </w:r>
      <w:r w:rsidRPr="00962A9E">
        <w:t>work through her deep expertise, sound judgement and unwavering commitment to</w:t>
      </w:r>
      <w:r w:rsidR="00124CC1">
        <w:t> </w:t>
      </w:r>
      <w:r w:rsidRPr="00962A9E">
        <w:t>improving</w:t>
      </w:r>
      <w:r w:rsidR="00124CC1">
        <w:t> </w:t>
      </w:r>
      <w:r w:rsidRPr="00962A9E">
        <w:t>Australia</w:t>
      </w:r>
      <w:r w:rsidR="00205936" w:rsidRPr="00962A9E">
        <w:t>’</w:t>
      </w:r>
      <w:r w:rsidRPr="00962A9E">
        <w:t>s tax system. Her leadership, particularly during a period of transition, ensured</w:t>
      </w:r>
      <w:r w:rsidR="00124CC1">
        <w:t> </w:t>
      </w:r>
      <w:r w:rsidRPr="00962A9E">
        <w:t>the</w:t>
      </w:r>
      <w:r w:rsidR="00124CC1">
        <w:t> </w:t>
      </w:r>
      <w:r w:rsidRPr="00962A9E">
        <w:t>Board remained focused on delivering practical and considered advice to Government. Following</w:t>
      </w:r>
      <w:r w:rsidR="00124CC1">
        <w:t> </w:t>
      </w:r>
      <w:r w:rsidRPr="00962A9E">
        <w:t>Julianne</w:t>
      </w:r>
      <w:r w:rsidR="00205936" w:rsidRPr="00962A9E">
        <w:t>’</w:t>
      </w:r>
      <w:r w:rsidRPr="00962A9E">
        <w:t>s departure, Andrew Mills assumed the role of Acting Chair and successfully guided</w:t>
      </w:r>
      <w:r w:rsidR="00124CC1">
        <w:t> </w:t>
      </w:r>
      <w:r w:rsidRPr="00962A9E">
        <w:t>the</w:t>
      </w:r>
      <w:r w:rsidR="00124CC1">
        <w:t> </w:t>
      </w:r>
      <w:r w:rsidRPr="00962A9E">
        <w:t>Board</w:t>
      </w:r>
      <w:r w:rsidR="00124CC1">
        <w:t> </w:t>
      </w:r>
      <w:r w:rsidRPr="00962A9E">
        <w:t>until</w:t>
      </w:r>
      <w:r w:rsidR="00124CC1">
        <w:t> </w:t>
      </w:r>
      <w:r w:rsidRPr="00962A9E">
        <w:t>my appointment. His steady leadership ensured continuity in the Board</w:t>
      </w:r>
      <w:r w:rsidR="00205936" w:rsidRPr="00962A9E">
        <w:t>’</w:t>
      </w:r>
      <w:r w:rsidRPr="00962A9E">
        <w:t>s work</w:t>
      </w:r>
      <w:r w:rsidR="00124CC1">
        <w:t> </w:t>
      </w:r>
      <w:r w:rsidRPr="00962A9E">
        <w:t>program and</w:t>
      </w:r>
      <w:r w:rsidR="00124CC1">
        <w:t> </w:t>
      </w:r>
      <w:r w:rsidRPr="00962A9E">
        <w:t>stakeholder engagement activities during this transitional period. Their commitment,</w:t>
      </w:r>
      <w:r w:rsidR="00124CC1">
        <w:t> </w:t>
      </w:r>
      <w:r w:rsidRPr="00962A9E">
        <w:t>professionalism</w:t>
      </w:r>
      <w:r w:rsidR="00124CC1">
        <w:t> </w:t>
      </w:r>
      <w:r w:rsidRPr="00962A9E">
        <w:t>and</w:t>
      </w:r>
      <w:r w:rsidR="00124CC1">
        <w:t> </w:t>
      </w:r>
      <w:r w:rsidRPr="00962A9E">
        <w:t>dedication ensured the continuity of the Board</w:t>
      </w:r>
      <w:r w:rsidR="00205936" w:rsidRPr="00962A9E">
        <w:t>’</w:t>
      </w:r>
      <w:r w:rsidRPr="00962A9E">
        <w:t xml:space="preserve">s work and the </w:t>
      </w:r>
      <w:r w:rsidRPr="00124CC1">
        <w:t>delivery</w:t>
      </w:r>
      <w:r w:rsidR="00124CC1">
        <w:t> </w:t>
      </w:r>
      <w:r w:rsidRPr="00124CC1">
        <w:t>of</w:t>
      </w:r>
      <w:r w:rsidRPr="00962A9E">
        <w:t xml:space="preserve"> high</w:t>
      </w:r>
      <w:r w:rsidR="00205936" w:rsidRPr="00962A9E">
        <w:noBreakHyphen/>
      </w:r>
      <w:r w:rsidRPr="00962A9E">
        <w:t>quality</w:t>
      </w:r>
      <w:r w:rsidR="00124CC1">
        <w:t> </w:t>
      </w:r>
      <w:r w:rsidRPr="00962A9E">
        <w:t>advice to Government. On behalf of the Board, I thank both Julianne for her outstanding service and lasting</w:t>
      </w:r>
      <w:r w:rsidR="00124CC1">
        <w:t> </w:t>
      </w:r>
      <w:r w:rsidRPr="00962A9E">
        <w:t>contributions and Andrew for generously assuming the responsibilities of</w:t>
      </w:r>
      <w:r w:rsidR="00124CC1">
        <w:t> </w:t>
      </w:r>
      <w:r w:rsidRPr="00962A9E">
        <w:t>Chair during</w:t>
      </w:r>
      <w:r w:rsidR="00124CC1">
        <w:t> </w:t>
      </w:r>
      <w:r w:rsidRPr="00962A9E">
        <w:t>this transition.</w:t>
      </w:r>
    </w:p>
    <w:p w14:paraId="6DC54998" w14:textId="4E3A66A8" w:rsidR="0063139E" w:rsidRPr="00962A9E" w:rsidRDefault="00F26985" w:rsidP="00962A9E">
      <w:r w:rsidRPr="00962A9E">
        <w:t>I would also like to recognise the departure of Paul Korganow from his role as Secretary and Tax</w:t>
      </w:r>
      <w:r w:rsidR="00774F5B">
        <w:t> </w:t>
      </w:r>
      <w:r w:rsidRPr="00962A9E">
        <w:t>Counsel</w:t>
      </w:r>
      <w:r w:rsidR="00124CC1">
        <w:t> </w:t>
      </w:r>
      <w:r w:rsidRPr="00962A9E">
        <w:t>(S&amp;TC). Paul provided sound leadership of the Secretariat and played a central role in supporting</w:t>
      </w:r>
      <w:r w:rsidR="00124CC1">
        <w:t> </w:t>
      </w:r>
      <w:r w:rsidRPr="00962A9E">
        <w:t>the Board</w:t>
      </w:r>
      <w:r w:rsidR="00205936" w:rsidRPr="00962A9E">
        <w:t>’</w:t>
      </w:r>
      <w:r w:rsidRPr="00962A9E">
        <w:t>s work and fostering strong relationships across government, business and the broader tax community. The Board extends our sincere thanks to Paul for his commitment, expertise and</w:t>
      </w:r>
      <w:r w:rsidR="00124CC1">
        <w:t> </w:t>
      </w:r>
      <w:r w:rsidRPr="00962A9E">
        <w:t>service, and</w:t>
      </w:r>
      <w:r w:rsidR="0063139E" w:rsidRPr="00962A9E">
        <w:t> </w:t>
      </w:r>
      <w:r w:rsidRPr="00962A9E">
        <w:t>we wish him every success in his future endeavours.</w:t>
      </w:r>
    </w:p>
    <w:p w14:paraId="4ED881A8" w14:textId="5258DE80" w:rsidR="00124CC1" w:rsidRDefault="00F26985">
      <w:r w:rsidRPr="00962A9E">
        <w:t>During the reporting year, the Board continued to place a strong emphasis on engagement with the business, tax and broader community. Meaningful consultation is fundamental to the Board</w:t>
      </w:r>
      <w:r w:rsidR="00205936" w:rsidRPr="00962A9E">
        <w:t>’</w:t>
      </w:r>
      <w:r w:rsidRPr="00962A9E">
        <w:t>s work, and</w:t>
      </w:r>
      <w:r w:rsidR="00124CC1">
        <w:t> </w:t>
      </w:r>
      <w:r w:rsidRPr="00962A9E">
        <w:t>we</w:t>
      </w:r>
      <w:r w:rsidR="00962A9E">
        <w:t> </w:t>
      </w:r>
      <w:r w:rsidRPr="00962A9E">
        <w:t>have sought to broaden and deepen our engagement with taxpayers, professional advisers, industry groups, academics, civil society organisations and government agencies. These conversations have</w:t>
      </w:r>
      <w:r w:rsidR="00124CC1">
        <w:t> </w:t>
      </w:r>
      <w:r w:rsidRPr="00962A9E">
        <w:t>provided</w:t>
      </w:r>
      <w:r w:rsidR="00962A9E">
        <w:t> </w:t>
      </w:r>
      <w:r w:rsidRPr="00962A9E">
        <w:t>invaluable insights into the challenges and opportunities facing Australia</w:t>
      </w:r>
      <w:r w:rsidR="00205936" w:rsidRPr="00962A9E">
        <w:t>’</w:t>
      </w:r>
      <w:r w:rsidRPr="00962A9E">
        <w:t>s tax system and</w:t>
      </w:r>
      <w:r w:rsidR="00124CC1">
        <w:t> </w:t>
      </w:r>
      <w:r w:rsidRPr="00962A9E">
        <w:t>have</w:t>
      </w:r>
      <w:r w:rsidR="00962A9E">
        <w:t> </w:t>
      </w:r>
      <w:r w:rsidRPr="00962A9E">
        <w:t>strengthened the quality of the Board</w:t>
      </w:r>
      <w:r w:rsidR="00205936" w:rsidRPr="00962A9E">
        <w:t>’</w:t>
      </w:r>
      <w:r w:rsidRPr="00962A9E">
        <w:t>s contributions to public policy.</w:t>
      </w:r>
      <w:r w:rsidR="00124CC1">
        <w:br w:type="page"/>
      </w:r>
    </w:p>
    <w:p w14:paraId="11CE1B4D" w14:textId="5BC9268B" w:rsidR="00F26985" w:rsidRPr="00962A9E" w:rsidRDefault="00F26985" w:rsidP="00962A9E">
      <w:r w:rsidRPr="00962A9E">
        <w:lastRenderedPageBreak/>
        <w:t>The year also marked the completion of the Board</w:t>
      </w:r>
      <w:r w:rsidR="00205936" w:rsidRPr="00962A9E">
        <w:t>’</w:t>
      </w:r>
      <w:r w:rsidRPr="00962A9E">
        <w:t>s review into opportunities to reduce red tape within the</w:t>
      </w:r>
      <w:r w:rsidR="00962A9E">
        <w:t> </w:t>
      </w:r>
      <w:r w:rsidRPr="00962A9E">
        <w:t>tax system through its Red Tape Reduction Review. This important work was informed by extensive consultation and practical insights from stakeholders, with a focus on identifying measures to reduce compliance costs and improve the experience of taxpayers interacting with the system. In addition, the Board commenced the statutory review of Australia</w:t>
      </w:r>
      <w:r w:rsidR="00205936" w:rsidRPr="00962A9E">
        <w:t>’</w:t>
      </w:r>
      <w:r w:rsidRPr="00962A9E">
        <w:t>s thin capitalisation reforms, an important project that</w:t>
      </w:r>
      <w:r w:rsidR="00962A9E">
        <w:t> </w:t>
      </w:r>
      <w:r w:rsidRPr="00962A9E">
        <w:t>will consider the operation and effectiveness of these provisions and their impact on taxpayers and</w:t>
      </w:r>
      <w:r w:rsidR="00962A9E">
        <w:t> </w:t>
      </w:r>
      <w:r w:rsidRPr="00962A9E">
        <w:t>Australia</w:t>
      </w:r>
      <w:r w:rsidR="00205936" w:rsidRPr="00962A9E">
        <w:t>’</w:t>
      </w:r>
      <w:r w:rsidRPr="00962A9E">
        <w:t>s investment environment.</w:t>
      </w:r>
    </w:p>
    <w:p w14:paraId="2AFA155E" w14:textId="4F6ECC0C" w:rsidR="00F26985" w:rsidRPr="00962A9E" w:rsidRDefault="00F26985" w:rsidP="00962A9E">
      <w:r w:rsidRPr="00962A9E">
        <w:t>Finally, I would like to express my sincere appreciation to the many stakeholders who engaged with the</w:t>
      </w:r>
      <w:r w:rsidR="00962A9E">
        <w:t> </w:t>
      </w:r>
      <w:r w:rsidRPr="00962A9E">
        <w:t>Board throughout the year. Whether through formal consultations, roundtables, stakeholder meetings,</w:t>
      </w:r>
      <w:r w:rsidR="00962A9E">
        <w:t> </w:t>
      </w:r>
      <w:r w:rsidRPr="00962A9E">
        <w:t>written submissions or ongoing dialogue, your willingness to share your knowledge, experience</w:t>
      </w:r>
      <w:r w:rsidR="00962A9E">
        <w:t> </w:t>
      </w:r>
      <w:r w:rsidRPr="00962A9E">
        <w:t>and perspectives has been critical to our work. The Board</w:t>
      </w:r>
      <w:r w:rsidR="00205936" w:rsidRPr="00962A9E">
        <w:t>’</w:t>
      </w:r>
      <w:r w:rsidRPr="00962A9E">
        <w:t>s effectiveness depends on these</w:t>
      </w:r>
      <w:r w:rsidR="00962A9E">
        <w:t> </w:t>
      </w:r>
      <w:r w:rsidRPr="00962A9E">
        <w:t>relationships, and we are grateful for the time, expertise and support that so many individuals and</w:t>
      </w:r>
      <w:r w:rsidR="00962A9E">
        <w:t> </w:t>
      </w:r>
      <w:r w:rsidRPr="00962A9E">
        <w:t>organisations continue</w:t>
      </w:r>
      <w:r w:rsidR="00962A9E">
        <w:t> </w:t>
      </w:r>
      <w:r w:rsidRPr="00962A9E">
        <w:t>to provide.</w:t>
      </w:r>
    </w:p>
    <w:p w14:paraId="66A04D0D" w14:textId="3413AF8A" w:rsidR="00962A9E" w:rsidRDefault="00FF7632" w:rsidP="00962A9E">
      <w:r w:rsidRPr="00FF7632">
        <w:t>As this Annual Report is being finalised, I am concluding my tenure as Chair of the Board of Taxation on</w:t>
      </w:r>
      <w:r w:rsidR="006505A3">
        <w:t> </w:t>
      </w:r>
      <w:r w:rsidRPr="00FF7632">
        <w:t>31</w:t>
      </w:r>
      <w:r w:rsidR="006505A3">
        <w:t> </w:t>
      </w:r>
      <w:r w:rsidRPr="00FF7632">
        <w:t>August</w:t>
      </w:r>
      <w:r w:rsidR="006505A3">
        <w:t> </w:t>
      </w:r>
      <w:r w:rsidRPr="00FF7632">
        <w:t>2026 following my appointment as Deputy Chair of the Australian Prudential Regulation Authority. I</w:t>
      </w:r>
      <w:r>
        <w:t> </w:t>
      </w:r>
      <w:r w:rsidRPr="00FF7632">
        <w:t>would like to express my gratitude to my fellow Board members, the Secretariat and the many</w:t>
      </w:r>
      <w:r w:rsidR="006505A3">
        <w:t> </w:t>
      </w:r>
      <w:r w:rsidRPr="00FF7632">
        <w:t>stakeholders who have contributed to the Board’s work. It has been a privilege to serve the Board</w:t>
      </w:r>
      <w:r w:rsidR="006505A3">
        <w:t> </w:t>
      </w:r>
      <w:r w:rsidRPr="00FF7632">
        <w:t>and support its mission of improving Australia’s taxation system through independent and practical</w:t>
      </w:r>
      <w:r w:rsidR="006505A3">
        <w:t> </w:t>
      </w:r>
      <w:r w:rsidRPr="00FF7632">
        <w:t>advice</w:t>
      </w:r>
      <w:r w:rsidR="006505A3">
        <w:t> </w:t>
      </w:r>
      <w:r w:rsidRPr="00FF7632">
        <w:t>to Government. I am confident that the Board will continue to make a valuable contribution in</w:t>
      </w:r>
      <w:r w:rsidR="006505A3">
        <w:t> </w:t>
      </w:r>
      <w:r w:rsidRPr="00FF7632">
        <w:t>the</w:t>
      </w:r>
      <w:r w:rsidR="006505A3">
        <w:t> </w:t>
      </w:r>
      <w:r w:rsidRPr="00FF7632">
        <w:t>years ahead.</w:t>
      </w:r>
    </w:p>
    <w:p w14:paraId="69845EDB" w14:textId="77777777" w:rsidR="00962A9E" w:rsidRDefault="00962A9E" w:rsidP="00962A9E">
      <w:pPr>
        <w:sectPr w:rsidR="00962A9E" w:rsidSect="000B0F1B">
          <w:headerReference w:type="default" r:id="rId23"/>
          <w:footerReference w:type="default" r:id="rId24"/>
          <w:pgSz w:w="11909" w:h="16834" w:code="9"/>
          <w:pgMar w:top="2268" w:right="1134" w:bottom="1985" w:left="1134" w:header="1134" w:footer="1134" w:gutter="0"/>
          <w:cols w:space="708"/>
          <w:docGrid w:linePitch="360"/>
        </w:sectPr>
      </w:pPr>
    </w:p>
    <w:p w14:paraId="3BD2719D" w14:textId="77777777" w:rsidR="00962A9E" w:rsidRDefault="00962A9E" w:rsidP="00962A9E">
      <w:pPr>
        <w:spacing w:before="240"/>
      </w:pPr>
      <w:r w:rsidRPr="00962A9E">
        <w:rPr>
          <w:noProof/>
        </w:rPr>
        <w:drawing>
          <wp:inline distT="0" distB="0" distL="0" distR="0" wp14:anchorId="063CD820" wp14:editId="3287FF47">
            <wp:extent cx="1440000" cy="1440000"/>
            <wp:effectExtent l="0" t="0" r="8255" b="8255"/>
            <wp:docPr id="729775811" name="Picture 1" descr="Portrait of The Hon David Bradb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75811" name="Picture 1" descr="Portrait of The Hon David Bradbury"/>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2560B928" w14:textId="5903468B" w:rsidR="0063139E" w:rsidRPr="00962A9E" w:rsidRDefault="00962A9E" w:rsidP="006505A3">
      <w:pPr>
        <w:spacing w:before="360"/>
      </w:pPr>
      <w:r>
        <w:br w:type="column"/>
      </w:r>
      <w:r w:rsidR="006505A3">
        <w:rPr>
          <w:noProof/>
        </w:rPr>
        <w:drawing>
          <wp:inline distT="0" distB="0" distL="0" distR="0" wp14:anchorId="6DD7A335" wp14:editId="7E8CBE2C">
            <wp:extent cx="2005360" cy="501340"/>
            <wp:effectExtent l="0" t="0" r="6985" b="1905"/>
            <wp:docPr id="766803511" name="Picture 1" descr="Signature of the Hon David Bradb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03511" name="Picture 1" descr="Signature of the Hon David Bradbur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005360" cy="501340"/>
                    </a:xfrm>
                    <a:prstGeom prst="rect">
                      <a:avLst/>
                    </a:prstGeom>
                    <a:noFill/>
                    <a:ln>
                      <a:noFill/>
                    </a:ln>
                  </pic:spPr>
                </pic:pic>
              </a:graphicData>
            </a:graphic>
          </wp:inline>
        </w:drawing>
      </w:r>
    </w:p>
    <w:p w14:paraId="27FE43D3" w14:textId="77777777" w:rsidR="0063139E" w:rsidRPr="00962A9E" w:rsidRDefault="00F26985" w:rsidP="00124CC1">
      <w:pPr>
        <w:pStyle w:val="SingleParagraph"/>
        <w:spacing w:after="120"/>
      </w:pPr>
      <w:r w:rsidRPr="00962A9E">
        <w:t>The Hon David Bradbury</w:t>
      </w:r>
    </w:p>
    <w:p w14:paraId="18B3E936" w14:textId="2591E45B" w:rsidR="00F26985" w:rsidRPr="00124CC1" w:rsidRDefault="00F26985" w:rsidP="00124CC1">
      <w:pPr>
        <w:pStyle w:val="SingleParagraph"/>
        <w:spacing w:after="120"/>
        <w:rPr>
          <w:b/>
          <w:bCs/>
        </w:rPr>
      </w:pPr>
      <w:r w:rsidRPr="00124CC1">
        <w:rPr>
          <w:b/>
          <w:bCs/>
        </w:rPr>
        <w:t>Chair,</w:t>
      </w:r>
      <w:r w:rsidR="0063139E" w:rsidRPr="00124CC1">
        <w:rPr>
          <w:b/>
          <w:bCs/>
        </w:rPr>
        <w:t xml:space="preserve"> </w:t>
      </w:r>
      <w:r w:rsidR="00962A9E" w:rsidRPr="00124CC1">
        <w:rPr>
          <w:b/>
          <w:bCs/>
        </w:rPr>
        <w:br/>
      </w:r>
      <w:r w:rsidRPr="00124CC1">
        <w:rPr>
          <w:b/>
          <w:bCs/>
        </w:rPr>
        <w:t>Board of Taxation</w:t>
      </w:r>
    </w:p>
    <w:p w14:paraId="374C427C" w14:textId="77777777" w:rsidR="000B0F1B" w:rsidRDefault="00F26985" w:rsidP="00275B5F">
      <w:pPr>
        <w:pStyle w:val="SingleParagraph"/>
      </w:pPr>
      <w:r w:rsidRPr="00962A9E">
        <w:t>August 2026</w:t>
      </w:r>
    </w:p>
    <w:p w14:paraId="49E06B48" w14:textId="77777777" w:rsidR="00962A9E" w:rsidRDefault="00962A9E" w:rsidP="00962A9E"/>
    <w:p w14:paraId="47C40247" w14:textId="77777777" w:rsidR="00962A9E" w:rsidRPr="00962A9E" w:rsidRDefault="00962A9E" w:rsidP="00962A9E">
      <w:pPr>
        <w:sectPr w:rsidR="00962A9E" w:rsidRPr="00962A9E" w:rsidSect="00962A9E">
          <w:type w:val="continuous"/>
          <w:pgSz w:w="11909" w:h="16834" w:code="9"/>
          <w:pgMar w:top="2268" w:right="1134" w:bottom="1985" w:left="1134" w:header="1134" w:footer="1134" w:gutter="0"/>
          <w:cols w:num="2" w:space="284" w:equalWidth="0">
            <w:col w:w="2552" w:space="284"/>
            <w:col w:w="6805"/>
          </w:cols>
          <w:docGrid w:linePitch="360"/>
        </w:sectPr>
      </w:pPr>
    </w:p>
    <w:p w14:paraId="1C0CA43C" w14:textId="77777777" w:rsidR="002A224F" w:rsidRPr="002A224F" w:rsidRDefault="002A224F" w:rsidP="002A224F">
      <w:bookmarkStart w:id="13" w:name="_Toc209006408"/>
      <w:r>
        <w:br w:type="page"/>
      </w:r>
    </w:p>
    <w:p w14:paraId="715DAF73" w14:textId="73DDB8EF" w:rsidR="002F3E00" w:rsidRDefault="002F3E00" w:rsidP="000B0F1B">
      <w:pPr>
        <w:pStyle w:val="Heading1"/>
        <w:spacing w:before="120"/>
      </w:pPr>
      <w:bookmarkStart w:id="14" w:name="_Toc238644405"/>
      <w:r w:rsidRPr="00872503">
        <w:lastRenderedPageBreak/>
        <w:t>The</w:t>
      </w:r>
      <w:r>
        <w:t xml:space="preserve"> </w:t>
      </w:r>
      <w:r w:rsidRPr="007965ED">
        <w:t>Board</w:t>
      </w:r>
      <w:bookmarkEnd w:id="13"/>
      <w:bookmarkEnd w:id="14"/>
    </w:p>
    <w:p w14:paraId="3220CA43" w14:textId="28860C58" w:rsidR="002F3E00" w:rsidRDefault="002F3E00" w:rsidP="0063139E">
      <w:r w:rsidRPr="005014BA">
        <w:t>The Board is a non</w:t>
      </w:r>
      <w:r w:rsidR="00205936">
        <w:noBreakHyphen/>
      </w:r>
      <w:r w:rsidRPr="005014BA">
        <w:t xml:space="preserve">statutory advisory body charged with contributing a business and broader community perspective to improving the design of taxation laws and their operation. </w:t>
      </w:r>
    </w:p>
    <w:p w14:paraId="31D84B82" w14:textId="39668380" w:rsidR="00F80B84" w:rsidRDefault="00C91128" w:rsidP="007965ED">
      <w:r>
        <w:t>The Treasurer appoints members of the Board from the business and wider community. Private sector</w:t>
      </w:r>
      <w:r w:rsidR="00737126">
        <w:t xml:space="preserve"> </w:t>
      </w:r>
      <w:r>
        <w:t xml:space="preserve">members are appointed in their personal capacity. </w:t>
      </w:r>
    </w:p>
    <w:p w14:paraId="2EFC2D01" w14:textId="242CE0CA" w:rsidR="002F3E00" w:rsidRDefault="002F3E00" w:rsidP="007965ED">
      <w:r w:rsidRPr="005014BA">
        <w:t>Throughout the 202</w:t>
      </w:r>
      <w:r w:rsidR="002E4DCF">
        <w:t>5</w:t>
      </w:r>
      <w:r w:rsidRPr="005014BA">
        <w:t>–2</w:t>
      </w:r>
      <w:r w:rsidR="002E4DCF">
        <w:t>6</w:t>
      </w:r>
      <w:r w:rsidRPr="005014BA">
        <w:t xml:space="preserve"> reporting year, the Board comprised between </w:t>
      </w:r>
      <w:r w:rsidR="00074808">
        <w:t>7</w:t>
      </w:r>
      <w:r w:rsidR="00FF389C">
        <w:t xml:space="preserve"> and </w:t>
      </w:r>
      <w:r w:rsidR="00074808">
        <w:t>8</w:t>
      </w:r>
      <w:r w:rsidR="00F80B84">
        <w:t xml:space="preserve"> members,</w:t>
      </w:r>
      <w:r w:rsidR="00F94975" w:rsidRPr="005014BA">
        <w:rPr>
          <w:rStyle w:val="FootnoteReference"/>
        </w:rPr>
        <w:footnoteReference w:id="2"/>
      </w:r>
      <w:r w:rsidRPr="005014BA">
        <w:t xml:space="preserve"> including </w:t>
      </w:r>
      <w:r w:rsidR="00074808">
        <w:t>3 </w:t>
      </w:r>
      <w:r w:rsidRPr="771ACB66">
        <w:t>ex</w:t>
      </w:r>
      <w:r w:rsidR="00074808">
        <w:t> </w:t>
      </w:r>
      <w:r w:rsidRPr="771ACB66">
        <w:t>officio</w:t>
      </w:r>
      <w:r w:rsidRPr="005014BA">
        <w:t xml:space="preserve"> members being the Secretary to the Treasury, the Commissioner of Taxation, and the First</w:t>
      </w:r>
      <w:r w:rsidR="007965ED">
        <w:t> </w:t>
      </w:r>
      <w:r w:rsidRPr="005014BA">
        <w:t xml:space="preserve">Parliamentary Counsel </w:t>
      </w:r>
      <w:r>
        <w:t>with</w:t>
      </w:r>
      <w:r w:rsidRPr="005014BA">
        <w:t xml:space="preserve"> the remaining members </w:t>
      </w:r>
      <w:r w:rsidR="0092784C">
        <w:t>serv</w:t>
      </w:r>
      <w:r w:rsidR="00602EC4">
        <w:t>ing</w:t>
      </w:r>
      <w:r w:rsidR="0092784C">
        <w:t xml:space="preserve"> </w:t>
      </w:r>
      <w:r w:rsidR="00AF4885">
        <w:t>in a</w:t>
      </w:r>
      <w:r w:rsidRPr="005014BA">
        <w:t xml:space="preserve"> private </w:t>
      </w:r>
      <w:r w:rsidR="00AF4885">
        <w:t>capacity</w:t>
      </w:r>
      <w:r w:rsidRPr="005014BA">
        <w:t>.</w:t>
      </w:r>
    </w:p>
    <w:p w14:paraId="1B574FD7" w14:textId="74592685" w:rsidR="002F3E00" w:rsidRPr="005014BA" w:rsidRDefault="002F3E00" w:rsidP="007965ED">
      <w:r w:rsidRPr="005014BA">
        <w:t xml:space="preserve">The Board is supported by a Secretariat which is primarily </w:t>
      </w:r>
      <w:r w:rsidR="00872D5D">
        <w:t>employed</w:t>
      </w:r>
      <w:r w:rsidR="00872D5D" w:rsidRPr="005014BA">
        <w:t xml:space="preserve"> </w:t>
      </w:r>
      <w:r w:rsidRPr="005014BA">
        <w:t>by the Treasury and supplemented with secondees from the ATO</w:t>
      </w:r>
      <w:r w:rsidR="00106318">
        <w:t xml:space="preserve">. </w:t>
      </w:r>
      <w:r w:rsidR="00ED70FE">
        <w:t>T</w:t>
      </w:r>
      <w:r w:rsidR="00114651">
        <w:t xml:space="preserve">he </w:t>
      </w:r>
      <w:r w:rsidR="00114651" w:rsidRPr="0019270E">
        <w:t>S&amp;TC</w:t>
      </w:r>
      <w:r w:rsidR="00422DDB">
        <w:t xml:space="preserve"> </w:t>
      </w:r>
      <w:r w:rsidR="00783AB5" w:rsidRPr="006B68DF">
        <w:t>le</w:t>
      </w:r>
      <w:r w:rsidR="00751F59">
        <w:t>d</w:t>
      </w:r>
      <w:r w:rsidR="00E93E6C">
        <w:t xml:space="preserve"> </w:t>
      </w:r>
      <w:r w:rsidR="00114651">
        <w:t>the Secretariat and work</w:t>
      </w:r>
      <w:r w:rsidR="00751F59">
        <w:t>ed</w:t>
      </w:r>
      <w:r w:rsidR="00114651">
        <w:t xml:space="preserve"> closely with the Chair and the Deputy Secretary of Revenue</w:t>
      </w:r>
      <w:r w:rsidR="004074D3">
        <w:t>, Small Business and Law</w:t>
      </w:r>
      <w:r w:rsidR="00114651">
        <w:t xml:space="preserve"> Group in Treasury. </w:t>
      </w:r>
    </w:p>
    <w:p w14:paraId="7F9EA1BA" w14:textId="06F4B521" w:rsidR="002F3E00" w:rsidRPr="00AF73E1" w:rsidRDefault="002F3E00" w:rsidP="007965ED">
      <w:pPr>
        <w:rPr>
          <w:b/>
          <w:bCs/>
        </w:rPr>
      </w:pPr>
      <w:r w:rsidRPr="005014BA">
        <w:t>The Charter, which sets out the Board</w:t>
      </w:r>
      <w:r w:rsidR="00205936">
        <w:t>’</w:t>
      </w:r>
      <w:r w:rsidRPr="005014BA">
        <w:t xml:space="preserve">s mission, governs the operations </w:t>
      </w:r>
      <w:r w:rsidRPr="004945D2">
        <w:t>and functions</w:t>
      </w:r>
      <w:r w:rsidRPr="00697F07">
        <w:t xml:space="preserve"> </w:t>
      </w:r>
      <w:r w:rsidRPr="005014BA">
        <w:t xml:space="preserve">of the Board </w:t>
      </w:r>
      <w:r>
        <w:t xml:space="preserve">as </w:t>
      </w:r>
      <w:r w:rsidRPr="005014BA">
        <w:t>set</w:t>
      </w:r>
      <w:r w:rsidR="00F27C32">
        <w:t> </w:t>
      </w:r>
      <w:r w:rsidRPr="005014BA">
        <w:t xml:space="preserve">out below. The Charter is </w:t>
      </w:r>
      <w:r>
        <w:t>included</w:t>
      </w:r>
      <w:r w:rsidRPr="005014BA">
        <w:t xml:space="preserve"> at</w:t>
      </w:r>
      <w:r w:rsidR="0063139E">
        <w:t xml:space="preserve"> </w:t>
      </w:r>
      <w:hyperlink w:anchor="_Appendix_A:_The" w:history="1">
        <w:r w:rsidR="00751A26" w:rsidRPr="00751A26">
          <w:rPr>
            <w:b/>
            <w:bCs/>
          </w:rPr>
          <w:t>Appendix A: The Board’s Charter.</w:t>
        </w:r>
      </w:hyperlink>
      <w:r w:rsidR="00751A26">
        <w:t xml:space="preserve"> </w:t>
      </w:r>
    </w:p>
    <w:p w14:paraId="03AF4660" w14:textId="7174FB70" w:rsidR="002F3E00" w:rsidRDefault="002F3E00" w:rsidP="00872503">
      <w:pPr>
        <w:pStyle w:val="Heading2"/>
      </w:pPr>
      <w:bookmarkStart w:id="15" w:name="_Toc149905525"/>
      <w:bookmarkStart w:id="16" w:name="_Toc159253841"/>
      <w:bookmarkStart w:id="17" w:name="_Toc209006586"/>
      <w:r>
        <w:t>The Board</w:t>
      </w:r>
      <w:r w:rsidR="00205936">
        <w:t>’</w:t>
      </w:r>
      <w:r>
        <w:t xml:space="preserve">s mission and </w:t>
      </w:r>
      <w:r w:rsidRPr="00872503">
        <w:t>function</w:t>
      </w:r>
      <w:bookmarkEnd w:id="15"/>
      <w:bookmarkEnd w:id="16"/>
      <w:bookmarkEnd w:id="17"/>
    </w:p>
    <w:p w14:paraId="762B7044" w14:textId="1A3932D8" w:rsidR="002F3E00" w:rsidRPr="008628D1" w:rsidRDefault="002F3E00" w:rsidP="0063139E">
      <w:r w:rsidRPr="008628D1">
        <w:t xml:space="preserve">The Board provides an independent source of advice to </w:t>
      </w:r>
      <w:r w:rsidR="00B11AAE">
        <w:t>g</w:t>
      </w:r>
      <w:r w:rsidRPr="008628D1">
        <w:t>overnment, from a business and broader community perspective, on taxation matters. In doing so the Board provides advice to the Treasurer and</w:t>
      </w:r>
      <w:r w:rsidR="00F27C32">
        <w:t> </w:t>
      </w:r>
      <w:r w:rsidRPr="008628D1">
        <w:t>Assistant Treasurer on:</w:t>
      </w:r>
    </w:p>
    <w:p w14:paraId="4E250EFD" w14:textId="211D0D95" w:rsidR="002F3E00" w:rsidRPr="008628D1" w:rsidRDefault="002F3E00" w:rsidP="00141F27">
      <w:pPr>
        <w:pStyle w:val="Bullet"/>
      </w:pPr>
      <w:r w:rsidRPr="008628D1">
        <w:t>the quality and effectiveness of tax legislation and the processes for its development, including the</w:t>
      </w:r>
      <w:r w:rsidR="00F27C32">
        <w:t> </w:t>
      </w:r>
      <w:r w:rsidRPr="008628D1">
        <w:t xml:space="preserve">processes </w:t>
      </w:r>
      <w:r>
        <w:t>of</w:t>
      </w:r>
      <w:r w:rsidRPr="008628D1">
        <w:t xml:space="preserve"> </w:t>
      </w:r>
      <w:r w:rsidRPr="00464518">
        <w:t>community</w:t>
      </w:r>
      <w:r w:rsidRPr="008628D1">
        <w:t xml:space="preserve"> consultation and other aspects of tax design</w:t>
      </w:r>
      <w:r w:rsidR="005D7470">
        <w:t>;</w:t>
      </w:r>
    </w:p>
    <w:p w14:paraId="7EBCEAD4" w14:textId="23173DE2" w:rsidR="002F3E00" w:rsidRDefault="002F3E00" w:rsidP="00141F27">
      <w:pPr>
        <w:pStyle w:val="Bullet"/>
      </w:pPr>
      <w:r w:rsidRPr="008628D1">
        <w:t xml:space="preserve">improvements to the </w:t>
      </w:r>
      <w:r w:rsidRPr="0063139E">
        <w:t>general</w:t>
      </w:r>
      <w:r w:rsidRPr="008628D1">
        <w:t xml:space="preserve"> integrity and functioning of the taxation system</w:t>
      </w:r>
      <w:r w:rsidR="005D7470">
        <w:t>;</w:t>
      </w:r>
    </w:p>
    <w:p w14:paraId="4338AA53" w14:textId="54CFC858" w:rsidR="002F3E00" w:rsidRDefault="002F3E00" w:rsidP="00141F27">
      <w:pPr>
        <w:pStyle w:val="Bullet"/>
      </w:pPr>
      <w:r w:rsidRPr="008628D1">
        <w:t>research and other studies commissioned by the Board on topics approved or referred by the Treasurer</w:t>
      </w:r>
      <w:r w:rsidR="00F27C32">
        <w:t> </w:t>
      </w:r>
      <w:r>
        <w:t xml:space="preserve">and/or the </w:t>
      </w:r>
      <w:r w:rsidRPr="0063139E">
        <w:t>Assistant</w:t>
      </w:r>
      <w:r>
        <w:t xml:space="preserve"> Treasurer</w:t>
      </w:r>
      <w:r w:rsidR="005D7470">
        <w:t>;</w:t>
      </w:r>
      <w:r w:rsidR="002002EC">
        <w:t xml:space="preserve"> and </w:t>
      </w:r>
    </w:p>
    <w:p w14:paraId="5A33204E" w14:textId="77777777" w:rsidR="0074150F" w:rsidRDefault="0074150F" w:rsidP="00141F27">
      <w:pPr>
        <w:pStyle w:val="Bullet"/>
      </w:pPr>
      <w:r w:rsidRPr="008628D1">
        <w:t xml:space="preserve">other tax matters </w:t>
      </w:r>
      <w:r w:rsidRPr="0063139E">
        <w:t>referred</w:t>
      </w:r>
      <w:r w:rsidRPr="008628D1">
        <w:t xml:space="preserve"> to the Board by the Treasurer</w:t>
      </w:r>
      <w:r>
        <w:t xml:space="preserve"> and/or the Assistant Treasurer.</w:t>
      </w:r>
    </w:p>
    <w:p w14:paraId="5327D3F7" w14:textId="255C2C2E" w:rsidR="00FD47DF" w:rsidRPr="0063139E" w:rsidRDefault="002F3E00" w:rsidP="00FD47DF">
      <w:r>
        <w:t>The Board</w:t>
      </w:r>
      <w:r w:rsidR="00205936">
        <w:t>’</w:t>
      </w:r>
      <w:r>
        <w:t>s</w:t>
      </w:r>
      <w:r w:rsidRPr="008628D1">
        <w:t xml:space="preserve"> activities during the </w:t>
      </w:r>
      <w:r>
        <w:t>202</w:t>
      </w:r>
      <w:r w:rsidR="00821BCD">
        <w:t>5</w:t>
      </w:r>
      <w:r w:rsidR="007965ED">
        <w:t>–</w:t>
      </w:r>
      <w:r>
        <w:t>2</w:t>
      </w:r>
      <w:r w:rsidR="00821BCD">
        <w:t>6</w:t>
      </w:r>
      <w:r>
        <w:t xml:space="preserve"> reporting</w:t>
      </w:r>
      <w:r w:rsidRPr="008628D1">
        <w:t xml:space="preserve"> year are </w:t>
      </w:r>
      <w:r w:rsidRPr="00F146D5">
        <w:t>de</w:t>
      </w:r>
      <w:r>
        <w:t>tailed</w:t>
      </w:r>
      <w:r w:rsidRPr="00F146D5">
        <w:t xml:space="preserve"> in</w:t>
      </w:r>
      <w:r w:rsidR="000D61BB">
        <w:t xml:space="preserve"> section:</w:t>
      </w:r>
      <w:r w:rsidR="00AC78DB">
        <w:t xml:space="preserve"> </w:t>
      </w:r>
      <w:hyperlink w:anchor="ActivitiesoftheBoard" w:history="1">
        <w:r w:rsidR="00F27C32">
          <w:rPr>
            <w:b/>
            <w:bCs/>
          </w:rPr>
          <w:t>Activities of the Board in 2025–26</w:t>
        </w:r>
      </w:hyperlink>
      <w:r w:rsidR="001E5C6D">
        <w:rPr>
          <w:b/>
          <w:bCs/>
        </w:rPr>
        <w:t>.</w:t>
      </w:r>
    </w:p>
    <w:p w14:paraId="1162D270" w14:textId="77777777" w:rsidR="002F3E00" w:rsidRDefault="002F3E00" w:rsidP="00464518">
      <w:pPr>
        <w:pStyle w:val="Heading2"/>
      </w:pPr>
      <w:bookmarkStart w:id="18" w:name="_Toc149905526"/>
      <w:bookmarkStart w:id="19" w:name="_Toc159253842"/>
      <w:bookmarkStart w:id="20" w:name="_Toc209006587"/>
      <w:r w:rsidRPr="00E43020">
        <w:lastRenderedPageBreak/>
        <w:t xml:space="preserve">Board </w:t>
      </w:r>
      <w:r w:rsidRPr="00464518">
        <w:t>members</w:t>
      </w:r>
      <w:bookmarkEnd w:id="18"/>
      <w:bookmarkEnd w:id="19"/>
      <w:bookmarkEnd w:id="20"/>
    </w:p>
    <w:p w14:paraId="41124043" w14:textId="77777777" w:rsidR="00717FF8" w:rsidRDefault="00717FF8" w:rsidP="00464518">
      <w:pPr>
        <w:pStyle w:val="Heading3"/>
      </w:pPr>
      <w:r>
        <w:t xml:space="preserve">Changes to Board </w:t>
      </w:r>
      <w:r w:rsidRPr="00464518">
        <w:t>memberships</w:t>
      </w:r>
    </w:p>
    <w:p w14:paraId="3B7EB321" w14:textId="256B6684" w:rsidR="00B51874" w:rsidRDefault="00935F94" w:rsidP="007127DB">
      <w:r>
        <w:t>As of 30 June 202</w:t>
      </w:r>
      <w:r w:rsidR="00E64A55">
        <w:t>6</w:t>
      </w:r>
      <w:r>
        <w:t xml:space="preserve">, the Board was comprised of </w:t>
      </w:r>
      <w:r w:rsidR="00074808">
        <w:t>8</w:t>
      </w:r>
      <w:r>
        <w:t xml:space="preserve"> Board members: </w:t>
      </w:r>
      <w:r w:rsidR="00074808">
        <w:t>5</w:t>
      </w:r>
      <w:r>
        <w:t xml:space="preserve"> private </w:t>
      </w:r>
      <w:r w:rsidR="00D10596">
        <w:t>members</w:t>
      </w:r>
      <w:r>
        <w:t xml:space="preserve"> and </w:t>
      </w:r>
      <w:r w:rsidR="00074808">
        <w:t>3</w:t>
      </w:r>
      <w:r w:rsidR="000F784E">
        <w:t> </w:t>
      </w:r>
      <w:r>
        <w:t>ex</w:t>
      </w:r>
      <w:r w:rsidR="00141F27">
        <w:t> </w:t>
      </w:r>
      <w:r>
        <w:t>officio members.</w:t>
      </w:r>
    </w:p>
    <w:p w14:paraId="709D3DC4" w14:textId="65F65FD0" w:rsidR="00303290" w:rsidRPr="00935F94" w:rsidRDefault="00DC7F20" w:rsidP="007127DB">
      <w:r>
        <w:t>Dr Julianne Jaques KC</w:t>
      </w:r>
      <w:r w:rsidR="00205936">
        <w:t>’</w:t>
      </w:r>
      <w:r w:rsidR="000A7840">
        <w:t>s</w:t>
      </w:r>
      <w:r>
        <w:t xml:space="preserve"> term ended on 30 September 2025, following </w:t>
      </w:r>
      <w:r w:rsidR="00074808">
        <w:t>3</w:t>
      </w:r>
      <w:r w:rsidR="000718D3">
        <w:t xml:space="preserve"> terms with the Board</w:t>
      </w:r>
      <w:r w:rsidR="00F60EA7">
        <w:t>. During her tenure</w:t>
      </w:r>
      <w:r w:rsidR="000E1365">
        <w:t xml:space="preserve">, Dr Jaques served twice as </w:t>
      </w:r>
      <w:r w:rsidR="009341C9">
        <w:t xml:space="preserve">acting Chair, </w:t>
      </w:r>
      <w:r w:rsidR="00794DAE">
        <w:t xml:space="preserve">from </w:t>
      </w:r>
      <w:r w:rsidR="006F1C63">
        <w:t>1</w:t>
      </w:r>
      <w:r w:rsidR="00132080">
        <w:t>1 July 20</w:t>
      </w:r>
      <w:r w:rsidR="0044176F">
        <w:t>1</w:t>
      </w:r>
      <w:r w:rsidR="00266837">
        <w:t>9 to 10</w:t>
      </w:r>
      <w:r w:rsidR="00181C24">
        <w:t xml:space="preserve"> January 2</w:t>
      </w:r>
      <w:r w:rsidR="00266837">
        <w:t xml:space="preserve">020, and </w:t>
      </w:r>
      <w:r w:rsidR="00733D4A">
        <w:t>from</w:t>
      </w:r>
      <w:r w:rsidR="00266837">
        <w:t xml:space="preserve"> </w:t>
      </w:r>
      <w:r w:rsidR="00B51874">
        <w:t>1</w:t>
      </w:r>
      <w:r w:rsidR="00141F27">
        <w:t> </w:t>
      </w:r>
      <w:r w:rsidR="00B51874">
        <w:t>April</w:t>
      </w:r>
      <w:r w:rsidR="00141F27">
        <w:t> </w:t>
      </w:r>
      <w:r w:rsidR="00B51874">
        <w:t xml:space="preserve">2025 to 30 September 2025. </w:t>
      </w:r>
    </w:p>
    <w:p w14:paraId="687EF5FE" w14:textId="3EC71531" w:rsidR="00717FF8" w:rsidRDefault="00717FF8" w:rsidP="00464518">
      <w:pPr>
        <w:pStyle w:val="Heading4"/>
      </w:pPr>
      <w:r>
        <w:t>Chair</w:t>
      </w:r>
      <w:r w:rsidR="00FE383E">
        <w:t xml:space="preserve"> of the </w:t>
      </w:r>
      <w:r w:rsidR="00FE383E" w:rsidRPr="00464518">
        <w:t>Board</w:t>
      </w:r>
    </w:p>
    <w:p w14:paraId="26453652" w14:textId="76194ADD" w:rsidR="00FE383E" w:rsidRDefault="00FE383E" w:rsidP="007127DB">
      <w:pPr>
        <w:rPr>
          <w:rFonts w:eastAsia="Calibri"/>
        </w:rPr>
      </w:pPr>
      <w:r w:rsidRPr="00CC3334">
        <w:rPr>
          <w:rFonts w:eastAsia="Calibri"/>
        </w:rPr>
        <w:t xml:space="preserve">Dr Julianne Jaques KC </w:t>
      </w:r>
      <w:r w:rsidR="00871BD3">
        <w:rPr>
          <w:rFonts w:eastAsia="Calibri"/>
        </w:rPr>
        <w:t xml:space="preserve">was appointed </w:t>
      </w:r>
      <w:r>
        <w:rPr>
          <w:rFonts w:eastAsia="Calibri"/>
        </w:rPr>
        <w:t>as acting Chair from 1 April 2025 to</w:t>
      </w:r>
      <w:r w:rsidRPr="00CC3334">
        <w:rPr>
          <w:rFonts w:eastAsia="Calibri"/>
        </w:rPr>
        <w:t xml:space="preserve"> 30</w:t>
      </w:r>
      <w:r>
        <w:rPr>
          <w:rFonts w:eastAsia="Calibri"/>
        </w:rPr>
        <w:t> </w:t>
      </w:r>
      <w:r w:rsidRPr="00CC3334">
        <w:rPr>
          <w:rFonts w:eastAsia="Calibri"/>
        </w:rPr>
        <w:t>September</w:t>
      </w:r>
      <w:r>
        <w:rPr>
          <w:rFonts w:eastAsia="Calibri"/>
        </w:rPr>
        <w:t> </w:t>
      </w:r>
      <w:r w:rsidRPr="00CC3334">
        <w:rPr>
          <w:rFonts w:eastAsia="Calibri"/>
        </w:rPr>
        <w:t>2025</w:t>
      </w:r>
      <w:r>
        <w:rPr>
          <w:rFonts w:eastAsia="Calibri"/>
        </w:rPr>
        <w:t xml:space="preserve">. </w:t>
      </w:r>
    </w:p>
    <w:p w14:paraId="274D6AA2" w14:textId="35ED62D4" w:rsidR="00A203FD" w:rsidRDefault="00A203FD" w:rsidP="007127DB">
      <w:pPr>
        <w:rPr>
          <w:rFonts w:eastAsia="Calibri"/>
        </w:rPr>
      </w:pPr>
      <w:r>
        <w:rPr>
          <w:rFonts w:eastAsia="Calibri"/>
        </w:rPr>
        <w:t xml:space="preserve">Following </w:t>
      </w:r>
      <w:r w:rsidR="00CB3177">
        <w:rPr>
          <w:rFonts w:eastAsia="Calibri"/>
        </w:rPr>
        <w:t xml:space="preserve">the conclusion of </w:t>
      </w:r>
      <w:r>
        <w:rPr>
          <w:rFonts w:eastAsia="Calibri"/>
        </w:rPr>
        <w:t>Dr Jaques</w:t>
      </w:r>
      <w:r w:rsidR="00205936">
        <w:rPr>
          <w:rFonts w:eastAsia="Calibri"/>
        </w:rPr>
        <w:t>’</w:t>
      </w:r>
      <w:r>
        <w:rPr>
          <w:rFonts w:eastAsia="Calibri"/>
        </w:rPr>
        <w:t xml:space="preserve"> term, the Treasurer appointed Mr Andrew Mills as acting Chair from</w:t>
      </w:r>
      <w:r w:rsidR="00275B5F">
        <w:rPr>
          <w:rFonts w:eastAsia="Calibri"/>
        </w:rPr>
        <w:t> </w:t>
      </w:r>
      <w:r w:rsidR="00D27709">
        <w:rPr>
          <w:rFonts w:eastAsia="Calibri"/>
        </w:rPr>
        <w:t xml:space="preserve">1 October 2025 to 31 March 2026. </w:t>
      </w:r>
    </w:p>
    <w:p w14:paraId="1FA29D62" w14:textId="0D863B70" w:rsidR="00994C15" w:rsidRDefault="00D27709">
      <w:r>
        <w:rPr>
          <w:rFonts w:eastAsia="Calibri"/>
        </w:rPr>
        <w:t>The Honourable Da</w:t>
      </w:r>
      <w:r w:rsidR="00DE5EC6">
        <w:rPr>
          <w:rFonts w:eastAsia="Calibri"/>
        </w:rPr>
        <w:t>v</w:t>
      </w:r>
      <w:r>
        <w:rPr>
          <w:rFonts w:eastAsia="Calibri"/>
        </w:rPr>
        <w:t xml:space="preserve">id Bradbury was </w:t>
      </w:r>
      <w:r w:rsidR="00CB3177">
        <w:rPr>
          <w:rFonts w:eastAsia="Calibri"/>
        </w:rPr>
        <w:t xml:space="preserve">subsequently </w:t>
      </w:r>
      <w:r>
        <w:rPr>
          <w:rFonts w:eastAsia="Calibri"/>
        </w:rPr>
        <w:t>ap</w:t>
      </w:r>
      <w:r w:rsidR="000800A3">
        <w:rPr>
          <w:rFonts w:eastAsia="Calibri"/>
        </w:rPr>
        <w:t xml:space="preserve">pointed </w:t>
      </w:r>
      <w:r w:rsidR="003206F1">
        <w:rPr>
          <w:rFonts w:eastAsia="Calibri"/>
        </w:rPr>
        <w:t xml:space="preserve">as Chair </w:t>
      </w:r>
      <w:r w:rsidR="006B388D">
        <w:rPr>
          <w:rFonts w:eastAsia="Calibri"/>
        </w:rPr>
        <w:t xml:space="preserve">of the Board </w:t>
      </w:r>
      <w:r w:rsidR="003206F1">
        <w:rPr>
          <w:rFonts w:eastAsia="Calibri"/>
        </w:rPr>
        <w:t xml:space="preserve">for a </w:t>
      </w:r>
      <w:r w:rsidR="00205936">
        <w:rPr>
          <w:rFonts w:eastAsia="Calibri"/>
        </w:rPr>
        <w:t>3</w:t>
      </w:r>
      <w:r w:rsidR="00205936">
        <w:rPr>
          <w:rFonts w:eastAsia="Calibri"/>
        </w:rPr>
        <w:noBreakHyphen/>
      </w:r>
      <w:r w:rsidR="003206F1">
        <w:rPr>
          <w:rFonts w:eastAsia="Calibri"/>
        </w:rPr>
        <w:t xml:space="preserve">year term commencing </w:t>
      </w:r>
      <w:r w:rsidR="00F45DDD">
        <w:rPr>
          <w:rFonts w:eastAsia="Calibri"/>
        </w:rPr>
        <w:t>1 April 2026</w:t>
      </w:r>
      <w:r w:rsidR="00733D4A">
        <w:rPr>
          <w:rFonts w:eastAsia="Calibri"/>
        </w:rPr>
        <w:t>.</w:t>
      </w:r>
      <w:r w:rsidR="00994C15">
        <w:br w:type="page"/>
      </w:r>
    </w:p>
    <w:p w14:paraId="0FC6DF4B" w14:textId="325A6907" w:rsidR="003C414B" w:rsidRDefault="003C414B" w:rsidP="00ED652E">
      <w:pPr>
        <w:pStyle w:val="Heading2"/>
      </w:pPr>
      <w:bookmarkStart w:id="21" w:name="_Toc209006588"/>
      <w:r>
        <w:lastRenderedPageBreak/>
        <w:t xml:space="preserve">Board membership as </w:t>
      </w:r>
      <w:r w:rsidRPr="00ED652E">
        <w:t>of</w:t>
      </w:r>
      <w:r>
        <w:t xml:space="preserve"> 30</w:t>
      </w:r>
      <w:r w:rsidR="00BF1CBC">
        <w:t> </w:t>
      </w:r>
      <w:r>
        <w:t>June</w:t>
      </w:r>
      <w:r w:rsidR="00BF1CBC">
        <w:t> </w:t>
      </w:r>
      <w:r>
        <w:t>202</w:t>
      </w:r>
      <w:bookmarkEnd w:id="21"/>
      <w:r w:rsidR="00E64A55">
        <w:t>6</w:t>
      </w:r>
    </w:p>
    <w:p w14:paraId="0588B45D" w14:textId="16FD208F" w:rsidR="00275B5F" w:rsidRPr="00275B5F" w:rsidRDefault="00740842" w:rsidP="00275B5F">
      <w:pPr>
        <w:pStyle w:val="Heading3"/>
      </w:pPr>
      <w:r>
        <w:t xml:space="preserve">Private Board </w:t>
      </w:r>
      <w:r w:rsidRPr="002A32B4">
        <w:t>members</w:t>
      </w:r>
    </w:p>
    <w:tbl>
      <w:tblPr>
        <w:tblStyle w:val="GridTable5Dark-Accent32"/>
        <w:tblW w:w="5000" w:type="pct"/>
        <w:tblLayout w:type="fixed"/>
        <w:tblLook w:val="0620" w:firstRow="1" w:lastRow="0" w:firstColumn="0" w:lastColumn="0" w:noHBand="1" w:noVBand="1"/>
      </w:tblPr>
      <w:tblGrid>
        <w:gridCol w:w="2268"/>
        <w:gridCol w:w="7373"/>
      </w:tblGrid>
      <w:tr w:rsidR="003F5D73" w:rsidRPr="00205936" w14:paraId="4C92C760" w14:textId="77777777">
        <w:trPr>
          <w:cnfStyle w:val="100000000000" w:firstRow="1" w:lastRow="0" w:firstColumn="0" w:lastColumn="0" w:oddVBand="0" w:evenVBand="0" w:oddHBand="0" w:evenHBand="0" w:firstRowFirstColumn="0" w:firstRowLastColumn="0" w:lastRowFirstColumn="0" w:lastRowLastColumn="0"/>
          <w:trHeight w:val="2791"/>
        </w:trPr>
        <w:tc>
          <w:tcPr>
            <w:tcW w:w="1176" w:type="pct"/>
            <w:hideMark/>
          </w:tcPr>
          <w:p w14:paraId="6CB4A0CE" w14:textId="7FCAB549" w:rsidR="00ED652E" w:rsidRPr="00205936" w:rsidRDefault="00ED652E" w:rsidP="002A224F">
            <w:pPr>
              <w:pStyle w:val="SingleParagraph"/>
              <w:spacing w:before="120"/>
            </w:pPr>
            <w:r w:rsidRPr="00205936">
              <w:rPr>
                <w:noProof/>
              </w:rPr>
              <w:drawing>
                <wp:inline distT="0" distB="0" distL="0" distR="0" wp14:anchorId="11E118E7" wp14:editId="0421E46E">
                  <wp:extent cx="1080000" cy="1080000"/>
                  <wp:effectExtent l="0" t="0" r="6350" b="6350"/>
                  <wp:docPr id="1236130360" name="Picture 1236130360" descr="Portrait of The Hon David Bradbu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30360" name="Picture 1236130360" descr="Portrait of The Hon David Bradbury&#10;"/>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6889ECAE" w14:textId="77777777" w:rsidR="00ED652E" w:rsidRPr="00205936" w:rsidRDefault="00ED652E" w:rsidP="002A224F">
            <w:pPr>
              <w:pStyle w:val="TableHeading1"/>
            </w:pPr>
            <w:r w:rsidRPr="00275B5F">
              <w:t>The</w:t>
            </w:r>
            <w:r w:rsidRPr="00205936">
              <w:t xml:space="preserve"> Hon David </w:t>
            </w:r>
            <w:r w:rsidRPr="002A224F">
              <w:t>Bradbury</w:t>
            </w:r>
          </w:p>
          <w:p w14:paraId="0E49B425" w14:textId="77777777" w:rsidR="00ED652E" w:rsidRPr="00205936" w:rsidRDefault="00ED652E" w:rsidP="00275B5F">
            <w:pPr>
              <w:rPr>
                <w:bCs w:val="0"/>
              </w:rPr>
            </w:pPr>
            <w:r w:rsidRPr="00205936">
              <w:t>Chair</w:t>
            </w:r>
          </w:p>
          <w:p w14:paraId="58BAB52C" w14:textId="74B9056B" w:rsidR="003F5D73" w:rsidRPr="00205936" w:rsidRDefault="00ED652E" w:rsidP="002A224F">
            <w:pPr>
              <w:rPr>
                <w:b/>
                <w:bCs w:val="0"/>
              </w:rPr>
            </w:pPr>
            <w:r w:rsidRPr="00275B5F">
              <w:rPr>
                <w:b/>
                <w:bCs w:val="0"/>
              </w:rPr>
              <w:t>Term start date: 1 April 2026</w:t>
            </w:r>
          </w:p>
        </w:tc>
        <w:tc>
          <w:tcPr>
            <w:tcW w:w="3824" w:type="pct"/>
          </w:tcPr>
          <w:p w14:paraId="7170CDFD" w14:textId="25F95D7F" w:rsidR="00ED652E" w:rsidRPr="00205936" w:rsidRDefault="003F5D73" w:rsidP="00275B5F">
            <w:r w:rsidRPr="00205936">
              <w:rPr>
                <w:noProof/>
              </w:rPr>
              <mc:AlternateContent>
                <mc:Choice Requires="wps">
                  <w:drawing>
                    <wp:anchor distT="0" distB="0" distL="114300" distR="114300" simplePos="0" relativeHeight="251658242" behindDoc="0" locked="0" layoutInCell="1" allowOverlap="1" wp14:anchorId="2ACD5F36" wp14:editId="4BC91032">
                      <wp:simplePos x="0" y="0"/>
                      <wp:positionH relativeFrom="column">
                        <wp:posOffset>-161614</wp:posOffset>
                      </wp:positionH>
                      <wp:positionV relativeFrom="paragraph">
                        <wp:posOffset>113368</wp:posOffset>
                      </wp:positionV>
                      <wp:extent cx="29183" cy="2650787"/>
                      <wp:effectExtent l="0" t="0" r="28575" b="35560"/>
                      <wp:wrapNone/>
                      <wp:docPr id="123339870" name="Straight Connector 1233398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183" cy="2650787"/>
                              </a:xfrm>
                              <a:prstGeom prst="line">
                                <a:avLst/>
                              </a:prstGeom>
                              <a:noFill/>
                              <a:ln w="63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846C7D" id="Straight Connector 123339870"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8.95pt" to="-10.45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" strokecolor="window" strokeweight=".5pt">
                      <v:stroke joinstyle="miter"/>
                    </v:line>
                  </w:pict>
                </mc:Fallback>
              </mc:AlternateContent>
            </w:r>
            <w:r w:rsidR="00ED652E" w:rsidRPr="00205936">
              <w:t xml:space="preserve">Mr Bradbury has over 25 years’ experience in law, government, tax policy and administration and public policy more broadly. He brings substantial domestic and international experience. </w:t>
            </w:r>
          </w:p>
          <w:p w14:paraId="0F9B5CE6" w14:textId="77777777" w:rsidR="00ED652E" w:rsidRPr="00205936" w:rsidRDefault="00ED652E" w:rsidP="00275B5F">
            <w:r w:rsidRPr="00205936">
              <w:t>Between 2014 and 2024, Mr Bradbury was a senior executive at the Organisation for Economic Cooperation and Development (OECD) in Paris. where he was the Head of the Tax Policy and Statistics Division and the Deputy Director of the Centre for Tax Policy and Administration.</w:t>
            </w:r>
          </w:p>
          <w:p w14:paraId="56478BF1" w14:textId="77777777" w:rsidR="00ED652E" w:rsidRPr="00205936" w:rsidRDefault="00ED652E" w:rsidP="00275B5F">
            <w:r w:rsidRPr="00205936">
              <w:t>Mr Bradbury was a member of the House of Representatives in the Australian Parliament between 2007 and 2013. He served as a Minister in the Australian Government between 2010 and 2013, holding a range of portfolios, including Assistant Treasurer.</w:t>
            </w:r>
          </w:p>
          <w:p w14:paraId="11D072B9" w14:textId="77777777" w:rsidR="00ED652E" w:rsidRPr="00205936" w:rsidRDefault="00ED652E" w:rsidP="00275B5F">
            <w:r w:rsidRPr="00205936">
              <w:t>In these roles, he was responsible for overseeing some of Australia’s key economic and financial regulators. He held portfolios in areas such as taxation policy, competition policy and consumer affairs, financial services and superannuation, foreign investment policy and corporate governance.</w:t>
            </w:r>
          </w:p>
          <w:p w14:paraId="04CDD257" w14:textId="77777777" w:rsidR="00ED652E" w:rsidRPr="00205936" w:rsidRDefault="00ED652E" w:rsidP="00275B5F">
            <w:r w:rsidRPr="00205936">
              <w:t>Before entering parliament, Mr Bradbury was a lawyer at Blake Dawson (now Ashurst) between 2002 and 2007. He has qualifications in law and taxation.</w:t>
            </w:r>
          </w:p>
          <w:p w14:paraId="670B10BF" w14:textId="77777777" w:rsidR="00ED652E" w:rsidRPr="00205936" w:rsidRDefault="00ED652E" w:rsidP="00275B5F">
            <w:r w:rsidRPr="00205936">
              <w:t>Mr Bradbury is an Honorary Professor at the Crawford School of Public Policy at the Australian National University. He is also the Chair of the Tax and Transfer Policy Institute Advisory Committee and is a member of the e61 Institute’s Policy Advisory Committee.</w:t>
            </w:r>
          </w:p>
          <w:p w14:paraId="2E8E519E" w14:textId="77777777" w:rsidR="00ED652E" w:rsidRPr="00205936" w:rsidRDefault="00ED652E" w:rsidP="00275B5F">
            <w:r w:rsidRPr="00205936">
              <w:t>Mr Bradbury is a former partner in KPMG Australia’s Consulting Division.</w:t>
            </w:r>
          </w:p>
          <w:p w14:paraId="662C4CFF" w14:textId="463D0411" w:rsidR="003F5D73" w:rsidRPr="00205936" w:rsidRDefault="00ED652E" w:rsidP="00275B5F">
            <w:r w:rsidRPr="00205936">
              <w:t xml:space="preserve">Mr Bradbury was appointed as a </w:t>
            </w:r>
            <w:proofErr w:type="gramStart"/>
            <w:r w:rsidRPr="00205936">
              <w:t>part time</w:t>
            </w:r>
            <w:proofErr w:type="gramEnd"/>
            <w:r w:rsidRPr="00205936">
              <w:t xml:space="preserve"> member and Chair of the Board for a 3</w:t>
            </w:r>
            <w:r w:rsidRPr="00205936">
              <w:noBreakHyphen/>
              <w:t>year period from 1 April 2026.</w:t>
            </w:r>
          </w:p>
        </w:tc>
      </w:tr>
    </w:tbl>
    <w:p w14:paraId="1965FBFF" w14:textId="7B79DEB4" w:rsidR="00202041" w:rsidRDefault="00202041" w:rsidP="00275B5F">
      <w:pPr>
        <w:pStyle w:val="SingleParagraph"/>
      </w:pPr>
    </w:p>
    <w:tbl>
      <w:tblPr>
        <w:tblStyle w:val="GridTable5Dark-Accent32"/>
        <w:tblW w:w="5000" w:type="pct"/>
        <w:tblLayout w:type="fixed"/>
        <w:tblLook w:val="0620" w:firstRow="1" w:lastRow="0" w:firstColumn="0" w:lastColumn="0" w:noHBand="1" w:noVBand="1"/>
      </w:tblPr>
      <w:tblGrid>
        <w:gridCol w:w="2268"/>
        <w:gridCol w:w="7373"/>
      </w:tblGrid>
      <w:tr w:rsidR="00202041" w:rsidRPr="00205936" w14:paraId="5F314941" w14:textId="77777777">
        <w:trPr>
          <w:cnfStyle w:val="100000000000" w:firstRow="1" w:lastRow="0" w:firstColumn="0" w:lastColumn="0" w:oddVBand="0" w:evenVBand="0" w:oddHBand="0" w:evenHBand="0" w:firstRowFirstColumn="0" w:firstRowLastColumn="0" w:lastRowFirstColumn="0" w:lastRowLastColumn="0"/>
          <w:trHeight w:val="2791"/>
        </w:trPr>
        <w:tc>
          <w:tcPr>
            <w:tcW w:w="1176" w:type="pct"/>
            <w:hideMark/>
          </w:tcPr>
          <w:p w14:paraId="0F7A7ED4" w14:textId="0362B5AE" w:rsidR="00202041" w:rsidRPr="00205936" w:rsidRDefault="00202041" w:rsidP="002A224F">
            <w:pPr>
              <w:pStyle w:val="SingleParagraph"/>
              <w:spacing w:before="120"/>
            </w:pPr>
            <w:bookmarkStart w:id="22" w:name="_Hlk209085786"/>
            <w:r w:rsidRPr="00205936">
              <w:rPr>
                <w:noProof/>
              </w:rPr>
              <w:lastRenderedPageBreak/>
              <w:drawing>
                <wp:inline distT="0" distB="0" distL="0" distR="0" wp14:anchorId="00D4193C" wp14:editId="11C9ACDA">
                  <wp:extent cx="1080000" cy="1080000"/>
                  <wp:effectExtent l="0" t="0" r="6350" b="6350"/>
                  <wp:docPr id="1653053067" name="Picture 1653053067" descr="Portrait of Ian Kel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53067" name="Picture 1653053067" descr="Portrait of Ian Kellock"/>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69604801" w14:textId="77777777" w:rsidR="00202041" w:rsidRPr="00205936" w:rsidRDefault="00202041" w:rsidP="002A224F">
            <w:pPr>
              <w:pStyle w:val="TableHeading1"/>
            </w:pPr>
            <w:r w:rsidRPr="00205936">
              <w:t xml:space="preserve">Ian </w:t>
            </w:r>
            <w:r w:rsidRPr="002A224F">
              <w:t>Kellock</w:t>
            </w:r>
          </w:p>
          <w:p w14:paraId="2DB74906" w14:textId="5FACD384" w:rsidR="00202041" w:rsidRPr="00205936" w:rsidRDefault="00202041" w:rsidP="00275B5F">
            <w:pPr>
              <w:rPr>
                <w:bCs w:val="0"/>
              </w:rPr>
            </w:pPr>
            <w:r w:rsidRPr="00205936">
              <w:t>Private Board member</w:t>
            </w:r>
          </w:p>
          <w:p w14:paraId="6B792BEA" w14:textId="77777777" w:rsidR="00202041" w:rsidRPr="00275B5F" w:rsidRDefault="00202041" w:rsidP="00275B5F">
            <w:pPr>
              <w:rPr>
                <w:b/>
                <w:bCs w:val="0"/>
              </w:rPr>
            </w:pPr>
            <w:r w:rsidRPr="00275B5F">
              <w:rPr>
                <w:b/>
                <w:bCs w:val="0"/>
              </w:rPr>
              <w:t>Term start date: 12 May 2021</w:t>
            </w:r>
          </w:p>
        </w:tc>
        <w:tc>
          <w:tcPr>
            <w:tcW w:w="3824" w:type="pct"/>
          </w:tcPr>
          <w:p w14:paraId="2296ADD1" w14:textId="69F40934" w:rsidR="00202041" w:rsidRPr="00205936" w:rsidRDefault="00202041" w:rsidP="00275B5F">
            <w:r w:rsidRPr="00205936">
              <w:rPr>
                <w:noProof/>
              </w:rPr>
              <mc:AlternateContent>
                <mc:Choice Requires="wps">
                  <w:drawing>
                    <wp:anchor distT="0" distB="0" distL="114300" distR="114300" simplePos="0" relativeHeight="251658244" behindDoc="0" locked="0" layoutInCell="1" allowOverlap="1" wp14:anchorId="0E18BEA8" wp14:editId="6656FC9C">
                      <wp:simplePos x="0" y="0"/>
                      <wp:positionH relativeFrom="column">
                        <wp:posOffset>-164080</wp:posOffset>
                      </wp:positionH>
                      <wp:positionV relativeFrom="paragraph">
                        <wp:posOffset>111894</wp:posOffset>
                      </wp:positionV>
                      <wp:extent cx="23257" cy="2157211"/>
                      <wp:effectExtent l="0" t="0" r="34290" b="33655"/>
                      <wp:wrapNone/>
                      <wp:docPr id="2088743433" name="Straight Connector 20887434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257" cy="2157211"/>
                              </a:xfrm>
                              <a:prstGeom prst="line">
                                <a:avLst/>
                              </a:prstGeom>
                              <a:noFill/>
                              <a:ln w="63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6EF14C" id="Straight Connector 2088743433"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8.8pt" to="-11.05pt,1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" strokecolor="window" strokeweight=".5pt">
                      <v:stroke joinstyle="miter"/>
                    </v:line>
                  </w:pict>
                </mc:Fallback>
              </mc:AlternateContent>
            </w:r>
            <w:r w:rsidRPr="00205936">
              <w:t>Mr Kellock is a Tax Partner at Ashurst and has over 25 years</w:t>
            </w:r>
            <w:r w:rsidR="00FC1B00" w:rsidRPr="00205936">
              <w:t>’</w:t>
            </w:r>
            <w:r w:rsidRPr="00205936">
              <w:t xml:space="preserve"> experience as</w:t>
            </w:r>
            <w:r w:rsidR="00F27C32">
              <w:t> </w:t>
            </w:r>
            <w:r w:rsidRPr="00205936">
              <w:t>a taxation professional. Mr Kellock</w:t>
            </w:r>
            <w:r w:rsidR="00FC1B00" w:rsidRPr="00205936">
              <w:t>’</w:t>
            </w:r>
            <w:r w:rsidRPr="00205936">
              <w:t>s practice deals with all aspects of</w:t>
            </w:r>
            <w:r w:rsidR="00F27C32">
              <w:t> </w:t>
            </w:r>
            <w:r w:rsidRPr="00205936">
              <w:t>Australian income tax, with a focus on mergers and acquisitions transactions in the financial services, healthcare, property, and resources</w:t>
            </w:r>
            <w:r w:rsidR="00F27C32">
              <w:t> </w:t>
            </w:r>
            <w:r w:rsidRPr="00205936">
              <w:t xml:space="preserve">sectors. </w:t>
            </w:r>
          </w:p>
          <w:p w14:paraId="0996DD82" w14:textId="15AC7B39" w:rsidR="00202041" w:rsidRPr="00205936" w:rsidRDefault="00202041" w:rsidP="00275B5F">
            <w:r w:rsidRPr="00205936">
              <w:t>Mr Kellock is a Chartered Accountant and a Chartered Tax Adviser. He</w:t>
            </w:r>
            <w:r w:rsidR="00F27C32">
              <w:t> </w:t>
            </w:r>
            <w:r w:rsidRPr="00205936">
              <w:t>holds</w:t>
            </w:r>
            <w:r w:rsidR="00F27C32">
              <w:t> </w:t>
            </w:r>
            <w:r w:rsidRPr="00205936">
              <w:t xml:space="preserve">a </w:t>
            </w:r>
            <w:proofErr w:type="gramStart"/>
            <w:r w:rsidR="0026433A" w:rsidRPr="00205936">
              <w:t>B</w:t>
            </w:r>
            <w:r w:rsidRPr="00205936">
              <w:t>achelor degree in law</w:t>
            </w:r>
            <w:proofErr w:type="gramEnd"/>
            <w:r w:rsidRPr="00205936">
              <w:t xml:space="preserve"> and commerce from the University of</w:t>
            </w:r>
            <w:r w:rsidR="00F27C32">
              <w:t> </w:t>
            </w:r>
            <w:r w:rsidRPr="00205936">
              <w:t xml:space="preserve">Melbourne and a </w:t>
            </w:r>
            <w:proofErr w:type="spellStart"/>
            <w:proofErr w:type="gramStart"/>
            <w:r w:rsidR="0026433A" w:rsidRPr="00205936">
              <w:t>M</w:t>
            </w:r>
            <w:r w:rsidRPr="00205936">
              <w:t>asters</w:t>
            </w:r>
            <w:proofErr w:type="spellEnd"/>
            <w:r w:rsidRPr="00205936">
              <w:t xml:space="preserve"> degree in law</w:t>
            </w:r>
            <w:proofErr w:type="gramEnd"/>
            <w:r w:rsidRPr="00205936">
              <w:t xml:space="preserve"> from Monash University. </w:t>
            </w:r>
          </w:p>
          <w:p w14:paraId="06074010" w14:textId="25BAF5B1" w:rsidR="00202041" w:rsidRPr="00205936" w:rsidRDefault="00202041" w:rsidP="00275B5F">
            <w:pPr>
              <w:rPr>
                <w:bCs w:val="0"/>
              </w:rPr>
            </w:pPr>
            <w:r w:rsidRPr="00205936">
              <w:t xml:space="preserve">Mr Kellock was appointed as a </w:t>
            </w:r>
            <w:proofErr w:type="gramStart"/>
            <w:r w:rsidRPr="00205936">
              <w:t>part time</w:t>
            </w:r>
            <w:proofErr w:type="gramEnd"/>
            <w:r w:rsidRPr="00205936">
              <w:t xml:space="preserve"> member of the </w:t>
            </w:r>
            <w:r w:rsidR="00366934" w:rsidRPr="00205936">
              <w:t xml:space="preserve">Board </w:t>
            </w:r>
            <w:r w:rsidRPr="00205936">
              <w:t>from</w:t>
            </w:r>
            <w:r w:rsidR="00F27C32">
              <w:t> </w:t>
            </w:r>
            <w:r w:rsidRPr="00205936">
              <w:t>12 May 2021</w:t>
            </w:r>
            <w:r w:rsidR="00297C35" w:rsidRPr="00205936">
              <w:t xml:space="preserve"> and </w:t>
            </w:r>
            <w:r w:rsidR="0048480F" w:rsidRPr="00205936">
              <w:t>was re</w:t>
            </w:r>
            <w:r w:rsidR="00FC1B00" w:rsidRPr="00205936">
              <w:noBreakHyphen/>
            </w:r>
            <w:r w:rsidR="0048480F" w:rsidRPr="00205936">
              <w:t>appointed for an additional term until</w:t>
            </w:r>
            <w:r w:rsidR="00F27C32">
              <w:t> </w:t>
            </w:r>
            <w:r w:rsidR="007F7488" w:rsidRPr="00205936">
              <w:t>11</w:t>
            </w:r>
            <w:r w:rsidR="00275B5F">
              <w:t> </w:t>
            </w:r>
            <w:r w:rsidR="007F7488" w:rsidRPr="00205936">
              <w:t>August</w:t>
            </w:r>
            <w:r w:rsidR="00275B5F">
              <w:t> </w:t>
            </w:r>
            <w:r w:rsidR="007F7488" w:rsidRPr="00205936">
              <w:t>2027.</w:t>
            </w:r>
          </w:p>
        </w:tc>
      </w:tr>
      <w:bookmarkEnd w:id="22"/>
    </w:tbl>
    <w:p w14:paraId="709281BC" w14:textId="54B21420" w:rsidR="005E25ED" w:rsidRPr="00275B5F" w:rsidRDefault="005E25ED" w:rsidP="00275B5F">
      <w:pPr>
        <w:pStyle w:val="SingleParagraph"/>
      </w:pPr>
    </w:p>
    <w:tbl>
      <w:tblPr>
        <w:tblStyle w:val="GridTable5Dark-Accent32"/>
        <w:tblW w:w="5000" w:type="pct"/>
        <w:tblLayout w:type="fixed"/>
        <w:tblLook w:val="0620" w:firstRow="1" w:lastRow="0" w:firstColumn="0" w:lastColumn="0" w:noHBand="1" w:noVBand="1"/>
      </w:tblPr>
      <w:tblGrid>
        <w:gridCol w:w="2268"/>
        <w:gridCol w:w="7373"/>
      </w:tblGrid>
      <w:tr w:rsidR="00B0178E" w:rsidRPr="00205936" w14:paraId="3DC2CA51" w14:textId="77777777">
        <w:trPr>
          <w:cnfStyle w:val="100000000000" w:firstRow="1" w:lastRow="0" w:firstColumn="0" w:lastColumn="0" w:oddVBand="0" w:evenVBand="0" w:oddHBand="0" w:evenHBand="0" w:firstRowFirstColumn="0" w:firstRowLastColumn="0" w:lastRowFirstColumn="0" w:lastRowLastColumn="0"/>
          <w:trHeight w:val="2791"/>
        </w:trPr>
        <w:tc>
          <w:tcPr>
            <w:tcW w:w="1176" w:type="pct"/>
            <w:hideMark/>
          </w:tcPr>
          <w:p w14:paraId="0AEC9AF0" w14:textId="31950B6C" w:rsidR="00B0178E" w:rsidRPr="00205936" w:rsidRDefault="00B0178E" w:rsidP="002A224F">
            <w:pPr>
              <w:pStyle w:val="SingleParagraph"/>
              <w:spacing w:before="120"/>
            </w:pPr>
            <w:r w:rsidRPr="00205936">
              <w:rPr>
                <w:noProof/>
              </w:rPr>
              <w:drawing>
                <wp:inline distT="0" distB="0" distL="0" distR="0" wp14:anchorId="74D861A9" wp14:editId="66923960">
                  <wp:extent cx="1080000" cy="1080000"/>
                  <wp:effectExtent l="0" t="0" r="6350" b="6350"/>
                  <wp:docPr id="102650235" name="Picture 102650235" descr="Portrait of Andrea La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0235" name="Picture 102650235" descr="Portrait of Andrea Lai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3200A714" w14:textId="1FD656C6" w:rsidR="00B0178E" w:rsidRPr="00205936" w:rsidRDefault="00B0178E" w:rsidP="00275B5F">
            <w:pPr>
              <w:pStyle w:val="TableHeading1"/>
            </w:pPr>
            <w:r w:rsidRPr="00275B5F">
              <w:t>Andrea</w:t>
            </w:r>
            <w:r w:rsidRPr="00205936">
              <w:t xml:space="preserve"> Laing</w:t>
            </w:r>
          </w:p>
          <w:p w14:paraId="5E168574" w14:textId="6B4E12F8" w:rsidR="00B0178E" w:rsidRPr="00205936" w:rsidRDefault="00B0178E" w:rsidP="00275B5F">
            <w:pPr>
              <w:rPr>
                <w:bCs w:val="0"/>
              </w:rPr>
            </w:pPr>
            <w:r w:rsidRPr="00205936">
              <w:t>Private Board member</w:t>
            </w:r>
          </w:p>
          <w:p w14:paraId="210A8F28" w14:textId="063FF871" w:rsidR="00B0178E" w:rsidRPr="00205936" w:rsidRDefault="00B0178E" w:rsidP="00275B5F">
            <w:pPr>
              <w:rPr>
                <w:b/>
                <w:bCs w:val="0"/>
              </w:rPr>
            </w:pPr>
            <w:r w:rsidRPr="00205936">
              <w:rPr>
                <w:b/>
                <w:bCs w:val="0"/>
              </w:rPr>
              <w:t xml:space="preserve">Term start date: </w:t>
            </w:r>
            <w:r w:rsidR="00333B8F" w:rsidRPr="00205936">
              <w:rPr>
                <w:b/>
                <w:bCs w:val="0"/>
              </w:rPr>
              <w:t>21 October 2021</w:t>
            </w:r>
          </w:p>
        </w:tc>
        <w:tc>
          <w:tcPr>
            <w:tcW w:w="3824" w:type="pct"/>
          </w:tcPr>
          <w:p w14:paraId="0530991E" w14:textId="08ABA430" w:rsidR="00210D8E" w:rsidRPr="00205936" w:rsidRDefault="00B0178E" w:rsidP="00275B5F">
            <w:r w:rsidRPr="00205936">
              <w:rPr>
                <w:noProof/>
              </w:rPr>
              <mc:AlternateContent>
                <mc:Choice Requires="wps">
                  <w:drawing>
                    <wp:anchor distT="0" distB="0" distL="114300" distR="114300" simplePos="0" relativeHeight="251658243" behindDoc="0" locked="0" layoutInCell="1" allowOverlap="1" wp14:anchorId="0295C9EB" wp14:editId="726CDD28">
                      <wp:simplePos x="0" y="0"/>
                      <wp:positionH relativeFrom="column">
                        <wp:posOffset>-164079</wp:posOffset>
                      </wp:positionH>
                      <wp:positionV relativeFrom="paragraph">
                        <wp:posOffset>111107</wp:posOffset>
                      </wp:positionV>
                      <wp:extent cx="0" cy="2318197"/>
                      <wp:effectExtent l="0" t="0" r="38100" b="25400"/>
                      <wp:wrapNone/>
                      <wp:docPr id="1525143168" name="Straight Connector 15251431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318197"/>
                              </a:xfrm>
                              <a:prstGeom prst="line">
                                <a:avLst/>
                              </a:prstGeom>
                              <a:noFill/>
                              <a:ln w="63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136881" id="Straight Connector 1525143168"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8.75pt" to="-12.9pt,1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" strokecolor="window" strokeweight=".5pt">
                      <v:stroke joinstyle="miter"/>
                    </v:line>
                  </w:pict>
                </mc:Fallback>
              </mc:AlternateContent>
            </w:r>
            <w:r w:rsidRPr="00205936">
              <w:t>M</w:t>
            </w:r>
            <w:r w:rsidR="00210D8E" w:rsidRPr="00205936">
              <w:t>s Laing has many years of experience in taxation, working in the ATO, Chartered Accounting and the extractive/energy industry. She spent more</w:t>
            </w:r>
            <w:r w:rsidR="00F27C32">
              <w:t> </w:t>
            </w:r>
            <w:r w:rsidR="00210D8E" w:rsidRPr="00205936">
              <w:t xml:space="preserve">than </w:t>
            </w:r>
            <w:r w:rsidR="00074808">
              <w:t>2</w:t>
            </w:r>
            <w:r w:rsidR="00210D8E" w:rsidRPr="00205936">
              <w:t xml:space="preserve"> decades at Shell in various roles specialising in indirect tax, employment tax and tax policy. Ms Laing was Head of Tax for Shell Australia for </w:t>
            </w:r>
            <w:r w:rsidR="00074808">
              <w:t>5</w:t>
            </w:r>
            <w:r w:rsidR="00210D8E" w:rsidRPr="00205936">
              <w:t xml:space="preserve"> years and led a global project on the tax ramifications of Energy Transition and Climate Change.</w:t>
            </w:r>
          </w:p>
          <w:p w14:paraId="346ED41D" w14:textId="5C000F07" w:rsidR="00210D8E" w:rsidRPr="00205936" w:rsidRDefault="00210D8E" w:rsidP="00275B5F">
            <w:r w:rsidRPr="00205936">
              <w:t xml:space="preserve">Ms Laing was a member of the OECD task team that developed International VAT Guidelines published in 2014. She spent </w:t>
            </w:r>
            <w:r w:rsidR="00074808">
              <w:t>4</w:t>
            </w:r>
            <w:r w:rsidRPr="00205936">
              <w:t xml:space="preserve"> years on the</w:t>
            </w:r>
            <w:r w:rsidR="00F27C32">
              <w:t> </w:t>
            </w:r>
            <w:r w:rsidRPr="00205936">
              <w:t xml:space="preserve">Corporate Tax Association Executive and is a member of Certified Practicing Accountants (CPA) Australia. </w:t>
            </w:r>
          </w:p>
          <w:p w14:paraId="4FEC150A" w14:textId="634B3F16" w:rsidR="00BB222B" w:rsidRPr="00205936" w:rsidRDefault="00210D8E" w:rsidP="00275B5F">
            <w:pPr>
              <w:rPr>
                <w:bCs w:val="0"/>
              </w:rPr>
            </w:pPr>
            <w:r w:rsidRPr="00205936">
              <w:t xml:space="preserve">Ms Laing was appointed as a </w:t>
            </w:r>
            <w:proofErr w:type="gramStart"/>
            <w:r w:rsidRPr="00205936">
              <w:t>part time</w:t>
            </w:r>
            <w:proofErr w:type="gramEnd"/>
            <w:r w:rsidRPr="00205936">
              <w:t xml:space="preserve"> member of the Board from</w:t>
            </w:r>
            <w:r w:rsidR="00F27C32">
              <w:t> </w:t>
            </w:r>
            <w:r w:rsidRPr="00205936">
              <w:t>21</w:t>
            </w:r>
            <w:r w:rsidR="00B476D2" w:rsidRPr="00205936">
              <w:t> </w:t>
            </w:r>
            <w:r w:rsidRPr="00205936">
              <w:t>October</w:t>
            </w:r>
            <w:r w:rsidR="00B476D2" w:rsidRPr="00205936">
              <w:t> </w:t>
            </w:r>
            <w:r w:rsidRPr="00205936">
              <w:t>2021</w:t>
            </w:r>
            <w:r w:rsidR="004F14AF" w:rsidRPr="00205936">
              <w:t xml:space="preserve"> and </w:t>
            </w:r>
            <w:r w:rsidR="00BB222B" w:rsidRPr="00205936">
              <w:t>was re</w:t>
            </w:r>
            <w:r w:rsidR="00FC1B00" w:rsidRPr="00205936">
              <w:noBreakHyphen/>
            </w:r>
            <w:r w:rsidR="00BB222B" w:rsidRPr="00205936">
              <w:t>appointed for an additional term to</w:t>
            </w:r>
            <w:r w:rsidR="00F27C32">
              <w:t> </w:t>
            </w:r>
            <w:r w:rsidR="00BB222B" w:rsidRPr="00205936">
              <w:t>20</w:t>
            </w:r>
            <w:r w:rsidR="00275B5F">
              <w:t> </w:t>
            </w:r>
            <w:r w:rsidR="00BB222B" w:rsidRPr="00205936">
              <w:t xml:space="preserve">October 2027. </w:t>
            </w:r>
          </w:p>
          <w:p w14:paraId="100C2A63" w14:textId="69594488" w:rsidR="008F4D35" w:rsidRPr="00205936" w:rsidRDefault="008F4D35" w:rsidP="00275B5F">
            <w:r w:rsidRPr="00205936">
              <w:t xml:space="preserve">On 12 March 2025, Ms Laing </w:t>
            </w:r>
            <w:r w:rsidR="0048480F" w:rsidRPr="00205936">
              <w:t xml:space="preserve">was appointed </w:t>
            </w:r>
            <w:r w:rsidRPr="00205936">
              <w:t>as a part</w:t>
            </w:r>
            <w:r w:rsidR="00FC1B00" w:rsidRPr="00205936">
              <w:noBreakHyphen/>
            </w:r>
            <w:r w:rsidRPr="00205936">
              <w:t>time member of the</w:t>
            </w:r>
            <w:r w:rsidR="00F27C32">
              <w:t> </w:t>
            </w:r>
            <w:r w:rsidRPr="00205936">
              <w:t>National Library of Australia Council, for a 3</w:t>
            </w:r>
            <w:r w:rsidR="00FC1B00" w:rsidRPr="00205936">
              <w:noBreakHyphen/>
            </w:r>
            <w:r w:rsidRPr="00205936">
              <w:t>year term commencing on</w:t>
            </w:r>
            <w:r w:rsidR="00F27C32">
              <w:t> </w:t>
            </w:r>
            <w:r w:rsidRPr="00205936">
              <w:t>4 April 2025.</w:t>
            </w:r>
          </w:p>
        </w:tc>
      </w:tr>
    </w:tbl>
    <w:p w14:paraId="699C7183" w14:textId="1CFDB62B" w:rsidR="00202041" w:rsidRDefault="00202041" w:rsidP="00275B5F">
      <w:pPr>
        <w:pStyle w:val="SingleParagraph"/>
      </w:pPr>
    </w:p>
    <w:tbl>
      <w:tblPr>
        <w:tblStyle w:val="GridTable5Dark-Accent32"/>
        <w:tblW w:w="5000" w:type="pct"/>
        <w:tblLayout w:type="fixed"/>
        <w:tblLook w:val="0620" w:firstRow="1" w:lastRow="0" w:firstColumn="0" w:lastColumn="0" w:noHBand="1" w:noVBand="1"/>
      </w:tblPr>
      <w:tblGrid>
        <w:gridCol w:w="2268"/>
        <w:gridCol w:w="7373"/>
      </w:tblGrid>
      <w:tr w:rsidR="00202041" w:rsidRPr="00205936" w14:paraId="60C9A460" w14:textId="77777777" w:rsidTr="771ACB66">
        <w:trPr>
          <w:cnfStyle w:val="100000000000" w:firstRow="1" w:lastRow="0" w:firstColumn="0" w:lastColumn="0" w:oddVBand="0" w:evenVBand="0" w:oddHBand="0" w:evenHBand="0" w:firstRowFirstColumn="0" w:firstRowLastColumn="0" w:lastRowFirstColumn="0" w:lastRowLastColumn="0"/>
          <w:trHeight w:val="2791"/>
        </w:trPr>
        <w:tc>
          <w:tcPr>
            <w:tcW w:w="1176" w:type="pct"/>
            <w:hideMark/>
          </w:tcPr>
          <w:p w14:paraId="4E9034BA" w14:textId="0420A598" w:rsidR="00202041" w:rsidRPr="00205936" w:rsidRDefault="00202041" w:rsidP="002A224F">
            <w:pPr>
              <w:pStyle w:val="SingleParagraph"/>
              <w:spacing w:before="120"/>
            </w:pPr>
            <w:bookmarkStart w:id="23" w:name="_Hlk209088886"/>
            <w:r w:rsidRPr="00205936">
              <w:rPr>
                <w:noProof/>
              </w:rPr>
              <w:lastRenderedPageBreak/>
              <w:drawing>
                <wp:inline distT="0" distB="0" distL="0" distR="0" wp14:anchorId="32B3F402" wp14:editId="1919FBB8">
                  <wp:extent cx="1080000" cy="1080000"/>
                  <wp:effectExtent l="0" t="0" r="6350" b="6350"/>
                  <wp:docPr id="515543356" name="Picture 515543356" descr="Portrait of Andrew M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43356" name="Picture 515543356" descr="Portrait of Andrew Mills"/>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0D43ABCD" w14:textId="77777777" w:rsidR="00202041" w:rsidRPr="00205936" w:rsidRDefault="00202041" w:rsidP="002A224F">
            <w:pPr>
              <w:pStyle w:val="TableHeading1"/>
            </w:pPr>
            <w:r w:rsidRPr="002A224F">
              <w:t>Andrew</w:t>
            </w:r>
            <w:r w:rsidRPr="00205936">
              <w:t xml:space="preserve"> Mills</w:t>
            </w:r>
          </w:p>
          <w:p w14:paraId="78227DFC" w14:textId="3ED7CA90" w:rsidR="00202041" w:rsidRPr="00205936" w:rsidRDefault="00202041" w:rsidP="00275B5F">
            <w:pPr>
              <w:rPr>
                <w:bCs w:val="0"/>
              </w:rPr>
            </w:pPr>
            <w:r w:rsidRPr="00205936">
              <w:t>Private Board member</w:t>
            </w:r>
          </w:p>
          <w:p w14:paraId="5E481452" w14:textId="77777777" w:rsidR="00202041" w:rsidRPr="00205936" w:rsidRDefault="00202041" w:rsidP="00275B5F">
            <w:pPr>
              <w:rPr>
                <w:b/>
                <w:bCs w:val="0"/>
              </w:rPr>
            </w:pPr>
            <w:r w:rsidRPr="00205936">
              <w:rPr>
                <w:b/>
                <w:bCs w:val="0"/>
              </w:rPr>
              <w:t>Term start date: 8 December 2023</w:t>
            </w:r>
          </w:p>
        </w:tc>
        <w:tc>
          <w:tcPr>
            <w:tcW w:w="3824" w:type="pct"/>
          </w:tcPr>
          <w:p w14:paraId="0E407DA9" w14:textId="7AB7F0F1" w:rsidR="00202041" w:rsidRPr="00205936" w:rsidRDefault="00202041" w:rsidP="00275B5F">
            <w:r w:rsidRPr="00205936">
              <w:rPr>
                <w:noProof/>
              </w:rPr>
              <mc:AlternateContent>
                <mc:Choice Requires="wps">
                  <w:drawing>
                    <wp:anchor distT="0" distB="0" distL="114300" distR="114300" simplePos="0" relativeHeight="251658245" behindDoc="0" locked="0" layoutInCell="1" allowOverlap="1" wp14:anchorId="15305A10" wp14:editId="7AFBD6AD">
                      <wp:simplePos x="0" y="0"/>
                      <wp:positionH relativeFrom="column">
                        <wp:posOffset>-164080</wp:posOffset>
                      </wp:positionH>
                      <wp:positionV relativeFrom="paragraph">
                        <wp:posOffset>111598</wp:posOffset>
                      </wp:positionV>
                      <wp:extent cx="0" cy="3779949"/>
                      <wp:effectExtent l="0" t="0" r="38100" b="30480"/>
                      <wp:wrapNone/>
                      <wp:docPr id="1401608606" name="Straight Connector 14016086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779949"/>
                              </a:xfrm>
                              <a:prstGeom prst="line">
                                <a:avLst/>
                              </a:prstGeom>
                              <a:noFill/>
                              <a:ln w="63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979FA2" id="Straight Connector 1401608606"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8.8pt" to="-12.9pt,3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" strokecolor="window" strokeweight=".5pt">
                      <v:stroke joinstyle="miter"/>
                    </v:line>
                  </w:pict>
                </mc:Fallback>
              </mc:AlternateContent>
            </w:r>
            <w:r w:rsidRPr="00205936">
              <w:rPr>
                <w:bCs w:val="0"/>
              </w:rPr>
              <w:t xml:space="preserve">Mr </w:t>
            </w:r>
            <w:r w:rsidRPr="00205936">
              <w:t>Mills has over 40 years</w:t>
            </w:r>
            <w:r w:rsidR="00FC1B00" w:rsidRPr="00205936">
              <w:t>’</w:t>
            </w:r>
            <w:r w:rsidRPr="00205936">
              <w:t xml:space="preserve"> experience in senior commercial, accounting and legal practice, government and academic roles.</w:t>
            </w:r>
          </w:p>
          <w:p w14:paraId="5B217723" w14:textId="4E6A9F81" w:rsidR="00202041" w:rsidRPr="00205936" w:rsidRDefault="00202041" w:rsidP="00275B5F">
            <w:r w:rsidRPr="00205936">
              <w:t>He is currently Chair of the Financial Reporting Council, Chair of the NSW</w:t>
            </w:r>
            <w:r w:rsidR="00F27C32">
              <w:t> </w:t>
            </w:r>
            <w:r w:rsidRPr="00205936">
              <w:t xml:space="preserve">Independent Planning Commission and a </w:t>
            </w:r>
            <w:r w:rsidR="003A7051" w:rsidRPr="00205936">
              <w:t>Senior</w:t>
            </w:r>
            <w:r w:rsidRPr="00205936">
              <w:t xml:space="preserve"> Fellow of the University of</w:t>
            </w:r>
            <w:r w:rsidR="00F27C32">
              <w:t> </w:t>
            </w:r>
            <w:r w:rsidRPr="00205936">
              <w:t>Melbourne Law School.</w:t>
            </w:r>
          </w:p>
          <w:p w14:paraId="2DE46324" w14:textId="77777777" w:rsidR="00202041" w:rsidRPr="00205936" w:rsidRDefault="00202041" w:rsidP="00275B5F">
            <w:r w:rsidRPr="00205936">
              <w:t>Mr Mills is also a member of the Tax and Transfer Policy Institute Advisory Committee and of the executive committee of the International Fiscal Association, Australia Branch.</w:t>
            </w:r>
          </w:p>
          <w:p w14:paraId="2DBC255C" w14:textId="48207F2B" w:rsidR="00202041" w:rsidRPr="00205936" w:rsidRDefault="185B73F4" w:rsidP="00275B5F">
            <w:r w:rsidRPr="00205936">
              <w:t>Previously, Mr Mills served as Second Commissioner of Taxation at the Australian Taxation Office. He was also a Director</w:t>
            </w:r>
            <w:r w:rsidR="314A5078" w:rsidRPr="00205936">
              <w:t>-</w:t>
            </w:r>
            <w:r w:rsidRPr="00205936">
              <w:t>Partner at Greenwoods &amp;</w:t>
            </w:r>
            <w:r w:rsidR="00F27C32">
              <w:t> </w:t>
            </w:r>
            <w:r w:rsidRPr="00205936">
              <w:t>Freehills for over 20 years.</w:t>
            </w:r>
          </w:p>
          <w:p w14:paraId="25F206A0" w14:textId="2717C6DE" w:rsidR="00202041" w:rsidRPr="00205936" w:rsidRDefault="185B73F4" w:rsidP="00275B5F">
            <w:r w:rsidRPr="00205936">
              <w:t xml:space="preserve">Mr Mills has qualifications in business and law. He is a </w:t>
            </w:r>
            <w:r w:rsidR="2919C828" w:rsidRPr="00205936">
              <w:t>Fellow of CPA Australia</w:t>
            </w:r>
            <w:r w:rsidRPr="00205936">
              <w:t>, a Chartered Tax Adviser (Life), a Graduate</w:t>
            </w:r>
            <w:r w:rsidR="1A2183FB" w:rsidRPr="00205936">
              <w:t xml:space="preserve"> </w:t>
            </w:r>
            <w:r w:rsidRPr="00205936">
              <w:t>of the Australian Institute of Company Directors, a Fellow of the Governance Institute of</w:t>
            </w:r>
            <w:r w:rsidR="00F27C32">
              <w:t> </w:t>
            </w:r>
            <w:r w:rsidRPr="00205936">
              <w:t>Australia and a member of the International Fiscal Association.</w:t>
            </w:r>
          </w:p>
          <w:p w14:paraId="50F4F78C" w14:textId="251B6B74" w:rsidR="00202041" w:rsidRPr="00205936" w:rsidRDefault="00202041" w:rsidP="00275B5F">
            <w:pPr>
              <w:rPr>
                <w:bCs w:val="0"/>
              </w:rPr>
            </w:pPr>
            <w:r w:rsidRPr="00205936">
              <w:t>Mr Mills was appointed as a part</w:t>
            </w:r>
            <w:r w:rsidR="00FC1B00" w:rsidRPr="00205936">
              <w:noBreakHyphen/>
            </w:r>
            <w:r w:rsidRPr="00205936">
              <w:t>time Board member from 8</w:t>
            </w:r>
            <w:r w:rsidR="00F27C32">
              <w:t> </w:t>
            </w:r>
            <w:r w:rsidRPr="00205936">
              <w:t>December</w:t>
            </w:r>
            <w:r w:rsidR="00F27C32">
              <w:t> </w:t>
            </w:r>
            <w:r w:rsidRPr="00205936">
              <w:t>2023</w:t>
            </w:r>
            <w:r w:rsidR="00ED3DFB" w:rsidRPr="00205936">
              <w:t xml:space="preserve"> and was appointed acting Chair of the Board from 1</w:t>
            </w:r>
            <w:r w:rsidR="00F27C32">
              <w:t> </w:t>
            </w:r>
            <w:r w:rsidR="00ED3DFB" w:rsidRPr="00205936">
              <w:t>October 2025</w:t>
            </w:r>
            <w:r w:rsidR="00836D0A" w:rsidRPr="00205936">
              <w:t xml:space="preserve"> to</w:t>
            </w:r>
            <w:r w:rsidR="002A224F">
              <w:t> </w:t>
            </w:r>
            <w:r w:rsidR="00836D0A" w:rsidRPr="00205936">
              <w:t>31 March 2026</w:t>
            </w:r>
            <w:r w:rsidR="00ED3DFB" w:rsidRPr="00205936">
              <w:t>.</w:t>
            </w:r>
          </w:p>
        </w:tc>
      </w:tr>
    </w:tbl>
    <w:p w14:paraId="7851EF62" w14:textId="77777777" w:rsidR="00C65899" w:rsidRDefault="00C65899">
      <w:r>
        <w:br w:type="page"/>
      </w:r>
    </w:p>
    <w:tbl>
      <w:tblPr>
        <w:tblStyle w:val="GridTable5Dark-Accent32"/>
        <w:tblW w:w="5000" w:type="pct"/>
        <w:tblLayout w:type="fixed"/>
        <w:tblLook w:val="0620" w:firstRow="1" w:lastRow="0" w:firstColumn="0" w:lastColumn="0" w:noHBand="1" w:noVBand="1"/>
      </w:tblPr>
      <w:tblGrid>
        <w:gridCol w:w="2268"/>
        <w:gridCol w:w="7373"/>
      </w:tblGrid>
      <w:tr w:rsidR="006877BF" w:rsidRPr="00205936" w14:paraId="23CE6EDD" w14:textId="77777777" w:rsidTr="004E3415">
        <w:trPr>
          <w:cnfStyle w:val="100000000000" w:firstRow="1" w:lastRow="0" w:firstColumn="0" w:lastColumn="0" w:oddVBand="0" w:evenVBand="0" w:oddHBand="0" w:evenHBand="0" w:firstRowFirstColumn="0" w:firstRowLastColumn="0" w:lastRowFirstColumn="0" w:lastRowLastColumn="0"/>
          <w:trHeight w:val="6379"/>
        </w:trPr>
        <w:tc>
          <w:tcPr>
            <w:tcW w:w="1176" w:type="pct"/>
            <w:hideMark/>
          </w:tcPr>
          <w:p w14:paraId="0CD018FA" w14:textId="397957E3" w:rsidR="006877BF" w:rsidRPr="00205936" w:rsidRDefault="006877BF" w:rsidP="002A224F">
            <w:pPr>
              <w:pStyle w:val="SingleParagraph"/>
              <w:spacing w:before="120"/>
            </w:pPr>
            <w:bookmarkStart w:id="24" w:name="_Hlk209089207"/>
            <w:bookmarkEnd w:id="23"/>
            <w:r w:rsidRPr="00205936">
              <w:rPr>
                <w:noProof/>
              </w:rPr>
              <w:lastRenderedPageBreak/>
              <w:drawing>
                <wp:inline distT="0" distB="0" distL="0" distR="0" wp14:anchorId="417FD77F" wp14:editId="6601049E">
                  <wp:extent cx="1080000" cy="1080000"/>
                  <wp:effectExtent l="0" t="0" r="6350" b="6350"/>
                  <wp:docPr id="1418409565" name="Picture 1418409565" descr="Portrait of Judy O'Conn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09565" name="Picture 1418409565" descr="Portrait of Judy O'Connell"/>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265AE419" w14:textId="7AF3AD6A" w:rsidR="006877BF" w:rsidRPr="00205936" w:rsidRDefault="006877BF" w:rsidP="00275B5F">
            <w:pPr>
              <w:pStyle w:val="TableHeading1"/>
            </w:pPr>
            <w:r w:rsidRPr="00205936">
              <w:t xml:space="preserve">Judy </w:t>
            </w:r>
            <w:r w:rsidRPr="00275B5F">
              <w:t>O</w:t>
            </w:r>
            <w:r w:rsidR="00FC1B00" w:rsidRPr="00275B5F">
              <w:t>’</w:t>
            </w:r>
            <w:r w:rsidRPr="00275B5F">
              <w:t>Connell</w:t>
            </w:r>
          </w:p>
          <w:p w14:paraId="07ED4C2E" w14:textId="6F7C6175" w:rsidR="006877BF" w:rsidRPr="00205936" w:rsidRDefault="006877BF" w:rsidP="00275B5F">
            <w:pPr>
              <w:rPr>
                <w:bCs w:val="0"/>
              </w:rPr>
            </w:pPr>
            <w:r w:rsidRPr="00205936">
              <w:t>Private Board member</w:t>
            </w:r>
          </w:p>
          <w:p w14:paraId="359043EC" w14:textId="77777777" w:rsidR="006877BF" w:rsidRPr="00205936" w:rsidRDefault="006877BF" w:rsidP="00275B5F">
            <w:pPr>
              <w:rPr>
                <w:b/>
                <w:bCs w:val="0"/>
              </w:rPr>
            </w:pPr>
            <w:r w:rsidRPr="00205936">
              <w:rPr>
                <w:b/>
              </w:rPr>
              <w:t>Term start date: 8 December 2023</w:t>
            </w:r>
          </w:p>
        </w:tc>
        <w:tc>
          <w:tcPr>
            <w:tcW w:w="3824" w:type="pct"/>
          </w:tcPr>
          <w:p w14:paraId="4672596D" w14:textId="400794D5" w:rsidR="006877BF" w:rsidRPr="00205936" w:rsidRDefault="006877BF" w:rsidP="00275B5F">
            <w:r w:rsidRPr="00205936">
              <w:rPr>
                <w:noProof/>
              </w:rPr>
              <mc:AlternateContent>
                <mc:Choice Requires="wps">
                  <w:drawing>
                    <wp:anchor distT="0" distB="0" distL="114300" distR="114300" simplePos="0" relativeHeight="251658241" behindDoc="0" locked="0" layoutInCell="1" allowOverlap="1" wp14:anchorId="68E33904" wp14:editId="107B2914">
                      <wp:simplePos x="0" y="0"/>
                      <wp:positionH relativeFrom="column">
                        <wp:posOffset>-164080</wp:posOffset>
                      </wp:positionH>
                      <wp:positionV relativeFrom="paragraph">
                        <wp:posOffset>111107</wp:posOffset>
                      </wp:positionV>
                      <wp:extent cx="0" cy="3960254"/>
                      <wp:effectExtent l="0" t="0" r="38100" b="21590"/>
                      <wp:wrapNone/>
                      <wp:docPr id="1487066904" name="Straight Connector 14870669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960254"/>
                              </a:xfrm>
                              <a:prstGeom prst="line">
                                <a:avLst/>
                              </a:prstGeom>
                              <a:noFill/>
                              <a:ln w="63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2035B1" id="Straight Connector 1487066904"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8.75pt" to="-12.9pt,3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" strokecolor="window" strokeweight=".5pt">
                      <v:stroke joinstyle="miter"/>
                    </v:line>
                  </w:pict>
                </mc:Fallback>
              </mc:AlternateContent>
            </w:r>
            <w:r w:rsidRPr="00205936">
              <w:t>Ms O</w:t>
            </w:r>
            <w:r w:rsidR="00FC1B00" w:rsidRPr="00205936">
              <w:t>’</w:t>
            </w:r>
            <w:r w:rsidRPr="00205936">
              <w:t>Connell has extensive domestic and global experience in tax administration, having worked at the</w:t>
            </w:r>
            <w:r w:rsidR="00A23EFC" w:rsidRPr="00205936">
              <w:t xml:space="preserve"> </w:t>
            </w:r>
            <w:r w:rsidRPr="00205936">
              <w:t>ATO for 35 years.</w:t>
            </w:r>
          </w:p>
          <w:p w14:paraId="2BDD87CF" w14:textId="67A3AAF3" w:rsidR="006877BF" w:rsidRPr="00205936" w:rsidRDefault="006877BF" w:rsidP="00275B5F">
            <w:r w:rsidRPr="00205936">
              <w:t xml:space="preserve">She was appointed Assistant Commissioner from 2005 to </w:t>
            </w:r>
            <w:r w:rsidR="006012B9" w:rsidRPr="00205936">
              <w:t>2016 and</w:t>
            </w:r>
            <w:r w:rsidR="00A23EFC" w:rsidRPr="00205936">
              <w:t xml:space="preserve"> </w:t>
            </w:r>
            <w:r w:rsidRPr="00205936">
              <w:t>was a</w:t>
            </w:r>
            <w:r w:rsidR="00F27C32">
              <w:t> </w:t>
            </w:r>
            <w:r w:rsidRPr="00205936">
              <w:t>key executive driving the changes to improve the experience for small business owners when dealing with the ATO.</w:t>
            </w:r>
          </w:p>
          <w:p w14:paraId="6CAFE88A" w14:textId="68808A04" w:rsidR="006877BF" w:rsidRPr="00205936" w:rsidRDefault="006877BF" w:rsidP="00275B5F">
            <w:r w:rsidRPr="00205936">
              <w:t>Ms O</w:t>
            </w:r>
            <w:r w:rsidR="00FC1B00" w:rsidRPr="00205936">
              <w:t>’</w:t>
            </w:r>
            <w:r w:rsidRPr="00205936">
              <w:t>Connell was the former Victorian Small Business Commissioner between 2016 and 2021.</w:t>
            </w:r>
          </w:p>
          <w:p w14:paraId="3378D5E4" w14:textId="7BC135C4" w:rsidR="006877BF" w:rsidRPr="00205936" w:rsidRDefault="006877BF" w:rsidP="00275B5F">
            <w:r w:rsidRPr="00205936">
              <w:t>She also worked at the Organisation for Economic Co</w:t>
            </w:r>
            <w:r w:rsidR="00FC1B00" w:rsidRPr="00205936">
              <w:noBreakHyphen/>
            </w:r>
            <w:r w:rsidRPr="00205936">
              <w:t>operation and Development (OECD) in Paris as Head of Unit at the Fiscal Affairs Division, where she led the development of an online international tax dialogue between tax administrations.</w:t>
            </w:r>
          </w:p>
          <w:p w14:paraId="3DB26B10" w14:textId="2D48A95E" w:rsidR="006877BF" w:rsidRPr="002A224F" w:rsidRDefault="47688034" w:rsidP="00275B5F">
            <w:pPr>
              <w:rPr>
                <w:spacing w:val="-2"/>
              </w:rPr>
            </w:pPr>
            <w:r w:rsidRPr="002A224F">
              <w:rPr>
                <w:spacing w:val="-2"/>
              </w:rPr>
              <w:t>Ms O</w:t>
            </w:r>
            <w:r w:rsidR="00FC1B00" w:rsidRPr="002A224F">
              <w:rPr>
                <w:spacing w:val="-2"/>
              </w:rPr>
              <w:t>’</w:t>
            </w:r>
            <w:r w:rsidRPr="002A224F">
              <w:rPr>
                <w:spacing w:val="-2"/>
              </w:rPr>
              <w:t>Connell works as a short</w:t>
            </w:r>
            <w:r w:rsidR="656A91A7" w:rsidRPr="002A224F">
              <w:rPr>
                <w:spacing w:val="-2"/>
              </w:rPr>
              <w:t>-</w:t>
            </w:r>
            <w:r w:rsidRPr="002A224F">
              <w:rPr>
                <w:spacing w:val="-2"/>
              </w:rPr>
              <w:t xml:space="preserve">term Tax Expert in the Fiscal Affairs Department of the IMF, providing technical assistance to tax administrations. She has a Bachelor of Economics from </w:t>
            </w:r>
            <w:r w:rsidR="7F19EA02" w:rsidRPr="002A224F">
              <w:rPr>
                <w:spacing w:val="-2"/>
              </w:rPr>
              <w:t xml:space="preserve">the University of </w:t>
            </w:r>
            <w:r w:rsidRPr="002A224F">
              <w:rPr>
                <w:spacing w:val="-2"/>
              </w:rPr>
              <w:t>Melbourne.</w:t>
            </w:r>
          </w:p>
          <w:p w14:paraId="3BE9BE18" w14:textId="243EA690" w:rsidR="006877BF" w:rsidRPr="00205936" w:rsidRDefault="006877BF" w:rsidP="00275B5F">
            <w:pPr>
              <w:rPr>
                <w:bCs w:val="0"/>
              </w:rPr>
            </w:pPr>
            <w:r w:rsidRPr="00205936">
              <w:t>Ms O</w:t>
            </w:r>
            <w:r w:rsidR="00FC1B00" w:rsidRPr="00205936">
              <w:t>’</w:t>
            </w:r>
            <w:r w:rsidRPr="00205936">
              <w:t>Connell was appointed as a part</w:t>
            </w:r>
            <w:r w:rsidR="00FC1B00" w:rsidRPr="00205936">
              <w:noBreakHyphen/>
            </w:r>
            <w:r w:rsidRPr="00205936">
              <w:t xml:space="preserve">time Board member for a </w:t>
            </w:r>
            <w:r w:rsidR="00237A87">
              <w:t>3</w:t>
            </w:r>
            <w:r w:rsidR="00FC1B00" w:rsidRPr="00205936">
              <w:noBreakHyphen/>
            </w:r>
            <w:r w:rsidRPr="00205936">
              <w:t>year period from 8 December 2023.</w:t>
            </w:r>
          </w:p>
          <w:p w14:paraId="68912893" w14:textId="60DAD9CA" w:rsidR="00212990" w:rsidRPr="00205936" w:rsidRDefault="00212990" w:rsidP="00275B5F">
            <w:pPr>
              <w:rPr>
                <w:bCs w:val="0"/>
              </w:rPr>
            </w:pPr>
            <w:r w:rsidRPr="00205936">
              <w:t>On 13 November 2024, Ms O</w:t>
            </w:r>
            <w:r w:rsidR="00FC1B00" w:rsidRPr="00205936">
              <w:t>’</w:t>
            </w:r>
            <w:r w:rsidRPr="00205936">
              <w:t>Connell was appointed the independent Lead</w:t>
            </w:r>
            <w:r w:rsidR="002A224F">
              <w:t> </w:t>
            </w:r>
            <w:r w:rsidRPr="00205936">
              <w:t>reviewer for the Statutory Review of the Australian Small Business and</w:t>
            </w:r>
            <w:r w:rsidR="00F27C32">
              <w:t> </w:t>
            </w:r>
            <w:r w:rsidRPr="00205936">
              <w:t>Family Enterprise Ombudsman.</w:t>
            </w:r>
          </w:p>
        </w:tc>
      </w:tr>
    </w:tbl>
    <w:bookmarkEnd w:id="24"/>
    <w:p w14:paraId="524BFCC6" w14:textId="77777777" w:rsidR="00275B5F" w:rsidRDefault="001A0503" w:rsidP="00275B5F">
      <w:pPr>
        <w:pStyle w:val="Heading3"/>
      </w:pPr>
      <w:r>
        <w:t>Ex</w:t>
      </w:r>
      <w:r w:rsidR="007022A3">
        <w:t xml:space="preserve"> </w:t>
      </w:r>
      <w:r>
        <w:t>officio members</w:t>
      </w:r>
      <w:bookmarkStart w:id="25" w:name="_Toc149905528"/>
      <w:bookmarkStart w:id="26" w:name="_Toc209006409"/>
    </w:p>
    <w:tbl>
      <w:tblPr>
        <w:tblStyle w:val="GridTable5Dark-Accent32"/>
        <w:tblW w:w="5000" w:type="pct"/>
        <w:tblBorders>
          <w:insideH w:val="single" w:sz="4" w:space="0" w:color="FFFFFF" w:themeColor="background1"/>
          <w:insideV w:val="single" w:sz="4" w:space="0" w:color="FFFFFF" w:themeColor="background1"/>
        </w:tblBorders>
        <w:shd w:val="clear" w:color="auto" w:fill="DDE3F5" w:themeFill="accent1" w:themeFillTint="1A"/>
        <w:tblLayout w:type="fixed"/>
        <w:tblLook w:val="0620" w:firstRow="1" w:lastRow="0" w:firstColumn="0" w:lastColumn="0" w:noHBand="1" w:noVBand="1"/>
      </w:tblPr>
      <w:tblGrid>
        <w:gridCol w:w="3213"/>
        <w:gridCol w:w="3214"/>
        <w:gridCol w:w="3214"/>
      </w:tblGrid>
      <w:tr w:rsidR="00124CC1" w:rsidRPr="00453C0B" w14:paraId="299E2566" w14:textId="77777777" w:rsidTr="002A224F">
        <w:trPr>
          <w:cnfStyle w:val="100000000000" w:firstRow="1" w:lastRow="0" w:firstColumn="0" w:lastColumn="0" w:oddVBand="0" w:evenVBand="0" w:oddHBand="0" w:evenHBand="0" w:firstRowFirstColumn="0" w:firstRowLastColumn="0" w:lastRowFirstColumn="0" w:lastRowLastColumn="0"/>
          <w:trHeight w:val="28"/>
        </w:trPr>
        <w:tc>
          <w:tcPr>
            <w:tcW w:w="1666"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DE3F5" w:themeFill="accent1" w:themeFillTint="1A"/>
            <w:hideMark/>
          </w:tcPr>
          <w:p w14:paraId="69EC3FB7" w14:textId="126C729B" w:rsidR="00124CC1" w:rsidRPr="00453C0B" w:rsidRDefault="00124CC1" w:rsidP="002A224F">
            <w:pPr>
              <w:spacing w:after="0"/>
            </w:pPr>
            <w:r w:rsidRPr="00453C0B">
              <w:rPr>
                <w:noProof/>
              </w:rPr>
              <w:drawing>
                <wp:inline distT="0" distB="0" distL="0" distR="0" wp14:anchorId="330D8C67" wp14:editId="7181E4BB">
                  <wp:extent cx="1080000" cy="1080000"/>
                  <wp:effectExtent l="0" t="0" r="6350" b="6350"/>
                  <wp:docPr id="1044661238" name="Picture 1044661238" descr="Portrait of Rob Hefer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61238" name="Picture 1044661238" descr="Portrait of Rob Heferen&#1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27553AA1" w14:textId="77777777" w:rsidR="00124CC1" w:rsidRPr="00DC268C" w:rsidRDefault="00124CC1" w:rsidP="002A224F">
            <w:pPr>
              <w:pStyle w:val="TableHeading1"/>
            </w:pPr>
            <w:r w:rsidRPr="00DC268C">
              <w:rPr>
                <w:noProof/>
              </w:rPr>
              <w:t xml:space="preserve">Rob </w:t>
            </w:r>
            <w:r>
              <w:rPr>
                <w:noProof/>
              </w:rPr>
              <w:br/>
            </w:r>
            <w:proofErr w:type="spellStart"/>
            <w:r w:rsidRPr="002A224F">
              <w:t>Heferen</w:t>
            </w:r>
            <w:proofErr w:type="spellEnd"/>
          </w:p>
          <w:p w14:paraId="0BB70297" w14:textId="77777777" w:rsidR="00124CC1" w:rsidRPr="007221F5" w:rsidRDefault="00124CC1" w:rsidP="00124CC1">
            <w:r w:rsidRPr="00520295">
              <w:t>Commissioner of</w:t>
            </w:r>
            <w:r>
              <w:t> </w:t>
            </w:r>
            <w:r w:rsidRPr="00520295">
              <w:t xml:space="preserve">Taxation, </w:t>
            </w:r>
            <w:r>
              <w:br/>
            </w:r>
            <w:r w:rsidRPr="00520295">
              <w:t>Ex officio Board member</w:t>
            </w:r>
          </w:p>
          <w:p w14:paraId="06EB1501" w14:textId="77777777" w:rsidR="00124CC1" w:rsidRPr="00767886" w:rsidRDefault="00124CC1" w:rsidP="00124CC1">
            <w:pPr>
              <w:rPr>
                <w:b/>
                <w:bCs w:val="0"/>
              </w:rPr>
            </w:pPr>
            <w:r w:rsidRPr="007221F5">
              <w:rPr>
                <w:b/>
                <w:bCs w:val="0"/>
              </w:rPr>
              <w:t>Term start date: 1</w:t>
            </w:r>
            <w:r>
              <w:rPr>
                <w:b/>
                <w:bCs w:val="0"/>
              </w:rPr>
              <w:t> March </w:t>
            </w:r>
            <w:r w:rsidRPr="00B476D2">
              <w:rPr>
                <w:b/>
                <w:bCs w:val="0"/>
              </w:rPr>
              <w:t>202</w:t>
            </w:r>
            <w:r>
              <w:rPr>
                <w:b/>
                <w:bCs w:val="0"/>
              </w:rPr>
              <w:t>4</w:t>
            </w:r>
          </w:p>
        </w:tc>
        <w:tc>
          <w:tcPr>
            <w:tcW w:w="166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DE3F5" w:themeFill="accent1" w:themeFillTint="1A"/>
          </w:tcPr>
          <w:p w14:paraId="0391790B" w14:textId="2AE5725A" w:rsidR="00124CC1" w:rsidRPr="00453C0B" w:rsidRDefault="00124CC1" w:rsidP="002A224F">
            <w:pPr>
              <w:spacing w:after="0"/>
            </w:pPr>
            <w:r w:rsidRPr="00453C0B">
              <w:rPr>
                <w:noProof/>
              </w:rPr>
              <w:drawing>
                <wp:inline distT="0" distB="0" distL="0" distR="0" wp14:anchorId="2F075F9C" wp14:editId="55DFEC9E">
                  <wp:extent cx="1080000" cy="1080000"/>
                  <wp:effectExtent l="0" t="0" r="6350" b="6350"/>
                  <wp:docPr id="1140917168" name="Picture 1140917168" descr="Portrait of Jenny Wilkinson P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17168" name="Picture 1140917168" descr="Portrait of Jenny Wilkinson PSM"/>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7EDD5EE1" w14:textId="77777777" w:rsidR="00124CC1" w:rsidRPr="007221F5" w:rsidRDefault="00124CC1" w:rsidP="005506BB">
            <w:pPr>
              <w:pStyle w:val="TableHeading1"/>
              <w:rPr>
                <w:bCs w:val="0"/>
                <w:noProof/>
              </w:rPr>
            </w:pPr>
            <w:r w:rsidRPr="005506BB">
              <w:t>Jenny</w:t>
            </w:r>
            <w:r w:rsidRPr="00DC268C">
              <w:rPr>
                <w:noProof/>
              </w:rPr>
              <w:t xml:space="preserve"> </w:t>
            </w:r>
            <w:r>
              <w:rPr>
                <w:noProof/>
              </w:rPr>
              <w:br/>
            </w:r>
            <w:r w:rsidRPr="00DC268C">
              <w:rPr>
                <w:noProof/>
              </w:rPr>
              <w:t>Wilkinson PSM</w:t>
            </w:r>
          </w:p>
          <w:p w14:paraId="0D8DCD4F" w14:textId="77777777" w:rsidR="00124CC1" w:rsidRPr="007221F5" w:rsidRDefault="00124CC1" w:rsidP="00124CC1">
            <w:r w:rsidRPr="00402242">
              <w:t xml:space="preserve">Secretary to the Treasury, </w:t>
            </w:r>
            <w:r>
              <w:br/>
            </w:r>
            <w:r w:rsidRPr="00402242">
              <w:t>Ex officio Board member</w:t>
            </w:r>
          </w:p>
          <w:p w14:paraId="140A1503" w14:textId="77777777" w:rsidR="00124CC1" w:rsidRPr="007221F5" w:rsidRDefault="00124CC1" w:rsidP="00124CC1">
            <w:pPr>
              <w:rPr>
                <w:b/>
                <w:bCs w:val="0"/>
              </w:rPr>
            </w:pPr>
            <w:r w:rsidRPr="007221F5">
              <w:rPr>
                <w:b/>
                <w:bCs w:val="0"/>
              </w:rPr>
              <w:t xml:space="preserve">Term start date: </w:t>
            </w:r>
            <w:r w:rsidRPr="007221F5">
              <w:rPr>
                <w:b/>
                <w:bCs w:val="0"/>
              </w:rPr>
              <w:br/>
              <w:t>16 June 2025</w:t>
            </w:r>
          </w:p>
        </w:tc>
        <w:tc>
          <w:tcPr>
            <w:tcW w:w="166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DE3F5" w:themeFill="accent1" w:themeFillTint="1A"/>
          </w:tcPr>
          <w:p w14:paraId="61D4C83D" w14:textId="32871DB8" w:rsidR="00124CC1" w:rsidRPr="00453C0B" w:rsidRDefault="00124CC1" w:rsidP="002A224F">
            <w:pPr>
              <w:spacing w:after="0"/>
            </w:pPr>
            <w:r w:rsidRPr="00453C0B">
              <w:rPr>
                <w:noProof/>
              </w:rPr>
              <w:drawing>
                <wp:inline distT="0" distB="0" distL="0" distR="0" wp14:anchorId="15370EC2" wp14:editId="39D6A5A1">
                  <wp:extent cx="1080000" cy="1080000"/>
                  <wp:effectExtent l="0" t="0" r="6350" b="6350"/>
                  <wp:docPr id="95980878" name="Picture 95980878" descr="Portrait of Meredith Le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0878" name="Picture 95980878" descr="Portrait of Meredith Leigh"/>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3B12B62F" w14:textId="77777777" w:rsidR="00124CC1" w:rsidRPr="00DC268C" w:rsidRDefault="00124CC1" w:rsidP="005506BB">
            <w:pPr>
              <w:pStyle w:val="TableHeading1"/>
            </w:pPr>
            <w:r w:rsidRPr="00DC268C">
              <w:rPr>
                <w:noProof/>
              </w:rPr>
              <w:t xml:space="preserve">Meredith </w:t>
            </w:r>
            <w:r>
              <w:rPr>
                <w:noProof/>
              </w:rPr>
              <w:br/>
            </w:r>
            <w:r w:rsidRPr="005506BB">
              <w:t>Leigh</w:t>
            </w:r>
          </w:p>
          <w:p w14:paraId="57E403BC" w14:textId="77777777" w:rsidR="00124CC1" w:rsidRPr="007221F5" w:rsidRDefault="00124CC1" w:rsidP="00124CC1">
            <w:r w:rsidRPr="00BA26C1">
              <w:t>First Parliamentary Counsel, Ex officio Board member</w:t>
            </w:r>
          </w:p>
          <w:p w14:paraId="61703B41" w14:textId="77777777" w:rsidR="00124CC1" w:rsidRPr="007221F5" w:rsidRDefault="00124CC1" w:rsidP="00124CC1">
            <w:pPr>
              <w:rPr>
                <w:b/>
                <w:bCs w:val="0"/>
              </w:rPr>
            </w:pPr>
            <w:r w:rsidRPr="007221F5">
              <w:rPr>
                <w:b/>
                <w:bCs w:val="0"/>
              </w:rPr>
              <w:t>Term start date: 11 October 2021</w:t>
            </w:r>
          </w:p>
        </w:tc>
      </w:tr>
    </w:tbl>
    <w:p w14:paraId="22A50509" w14:textId="12AE5060" w:rsidR="002F3E00" w:rsidRPr="00464518" w:rsidRDefault="002F3E00" w:rsidP="009145D1">
      <w:pPr>
        <w:pStyle w:val="Heading1"/>
        <w:spacing w:before="0"/>
      </w:pPr>
      <w:bookmarkStart w:id="27" w:name="_Toc238644406"/>
      <w:r w:rsidRPr="00093B41">
        <w:lastRenderedPageBreak/>
        <w:t>Stakeholder communication and</w:t>
      </w:r>
      <w:r w:rsidR="00464518">
        <w:t> </w:t>
      </w:r>
      <w:r w:rsidRPr="00093B41">
        <w:t>engagement</w:t>
      </w:r>
      <w:bookmarkEnd w:id="25"/>
      <w:bookmarkEnd w:id="26"/>
      <w:bookmarkEnd w:id="27"/>
    </w:p>
    <w:p w14:paraId="7357BC35" w14:textId="3D435BE7" w:rsidR="00B65DE1" w:rsidRPr="00B65DE1" w:rsidRDefault="00B65DE1" w:rsidP="00464518">
      <w:r w:rsidRPr="00B65DE1">
        <w:t>The Board plays an important role as an independent advisory body to Government, bringing a business and broader community perspective to the design, administration and operation of Australia</w:t>
      </w:r>
      <w:r w:rsidR="00205936">
        <w:t>’</w:t>
      </w:r>
      <w:r w:rsidRPr="00B65DE1">
        <w:t>s tax system. Through its work, the Board seeks to provide practical, informed and implementable advice on taxation issues, supported by active engagement with taxpayers, industry representatives, professional associations, academics</w:t>
      </w:r>
      <w:r w:rsidR="009C16B8">
        <w:t>, civil society organisations</w:t>
      </w:r>
      <w:r w:rsidRPr="00B65DE1">
        <w:t xml:space="preserve"> and government stakeholders. The Board</w:t>
      </w:r>
      <w:r w:rsidR="00205936">
        <w:t>’</w:t>
      </w:r>
      <w:r w:rsidRPr="00B65DE1">
        <w:t>s stakeholder engagement activities underpin its ability to develop evidence</w:t>
      </w:r>
      <w:r w:rsidR="00205936">
        <w:noBreakHyphen/>
      </w:r>
      <w:r w:rsidRPr="00B65DE1">
        <w:t xml:space="preserve">based advice and ensure that its work is informed by a diverse range of experiences and perspectives. </w:t>
      </w:r>
    </w:p>
    <w:p w14:paraId="07DC3538" w14:textId="3E33CF2E" w:rsidR="00B65DE1" w:rsidRPr="00B65DE1" w:rsidRDefault="00B65DE1" w:rsidP="00B65DE1">
      <w:r w:rsidRPr="00B65DE1">
        <w:t xml:space="preserve">During the 2025–26 reporting year, the Board continued to strengthen its communications and engagement activities across </w:t>
      </w:r>
      <w:proofErr w:type="gramStart"/>
      <w:r w:rsidRPr="00B65DE1">
        <w:t>a number of</w:t>
      </w:r>
      <w:proofErr w:type="gramEnd"/>
      <w:r w:rsidRPr="00B65DE1">
        <w:t xml:space="preserve"> channels. Stakeholder consultation remained central to the</w:t>
      </w:r>
      <w:r w:rsidR="00F27C32">
        <w:t> </w:t>
      </w:r>
      <w:r w:rsidRPr="00B65DE1">
        <w:t>Board</w:t>
      </w:r>
      <w:r w:rsidR="00205936">
        <w:t>’</w:t>
      </w:r>
      <w:r w:rsidRPr="00B65DE1">
        <w:t>s review work. Stakeholders were encouraged to participate through written submissions, roundtable discussions, targeted consultations and ongoing engagement. This approach enabled the Board</w:t>
      </w:r>
      <w:r w:rsidR="00F27C32">
        <w:t> </w:t>
      </w:r>
      <w:r w:rsidRPr="00B65DE1">
        <w:t>to gather practical feedback from a broad cross</w:t>
      </w:r>
      <w:r w:rsidR="00205936">
        <w:noBreakHyphen/>
      </w:r>
      <w:r w:rsidRPr="00B65DE1">
        <w:t>section of the community and ensure that emerging</w:t>
      </w:r>
      <w:r w:rsidR="00F27C32">
        <w:t> </w:t>
      </w:r>
      <w:r w:rsidRPr="00B65DE1">
        <w:t xml:space="preserve">issues and stakeholder concerns were reflected in its work. </w:t>
      </w:r>
    </w:p>
    <w:p w14:paraId="7C20F19D" w14:textId="294B5506" w:rsidR="00ED70FE" w:rsidRPr="008A4CAB" w:rsidRDefault="00ED70FE" w:rsidP="002A224F">
      <w:pPr>
        <w:pStyle w:val="IntenseQuote"/>
      </w:pPr>
      <w:r w:rsidRPr="008A4CAB">
        <w:t xml:space="preserve">Stakeholder </w:t>
      </w:r>
      <w:r w:rsidRPr="00464518">
        <w:t>engagement</w:t>
      </w:r>
      <w:r w:rsidRPr="008A4CAB">
        <w:t xml:space="preserve"> underpins the Board</w:t>
      </w:r>
      <w:r w:rsidR="00205936">
        <w:t>’</w:t>
      </w:r>
      <w:r w:rsidRPr="008A4CAB">
        <w:t>s ability to deliver practical,</w:t>
      </w:r>
      <w:r w:rsidR="00464518">
        <w:t> </w:t>
      </w:r>
      <w:r w:rsidRPr="008A4CAB">
        <w:t xml:space="preserve">implementable and credible tax policy </w:t>
      </w:r>
      <w:r w:rsidRPr="002A224F">
        <w:t>advice</w:t>
      </w:r>
      <w:r>
        <w:t xml:space="preserve">. </w:t>
      </w:r>
    </w:p>
    <w:p w14:paraId="25F2517A" w14:textId="0C9B4CF0" w:rsidR="00B65DE1" w:rsidRPr="00B65DE1" w:rsidRDefault="00B65DE1" w:rsidP="00B65DE1">
      <w:r w:rsidRPr="00B65DE1">
        <w:t xml:space="preserve">The Board also expanded its broader outreach activities through regular social media posts, website updates and publication of </w:t>
      </w:r>
      <w:r w:rsidRPr="00B65DE1">
        <w:rPr>
          <w:i/>
          <w:iCs/>
        </w:rPr>
        <w:t>The Board</w:t>
      </w:r>
      <w:r w:rsidR="00205936">
        <w:rPr>
          <w:i/>
          <w:iCs/>
        </w:rPr>
        <w:t>’</w:t>
      </w:r>
      <w:r w:rsidRPr="00B65DE1">
        <w:rPr>
          <w:i/>
          <w:iCs/>
        </w:rPr>
        <w:t>s Bulletin</w:t>
      </w:r>
      <w:r w:rsidRPr="00B65DE1">
        <w:t>. These communication channels provided stakeholders with</w:t>
      </w:r>
      <w:r w:rsidR="00464518">
        <w:t> </w:t>
      </w:r>
      <w:r w:rsidRPr="00B65DE1">
        <w:t>timely information on the Board</w:t>
      </w:r>
      <w:r w:rsidR="00205936">
        <w:t>’</w:t>
      </w:r>
      <w:r w:rsidRPr="00B65DE1">
        <w:t>s work program, current reviews, consultation opportunities and stakeholder engagement activities.</w:t>
      </w:r>
    </w:p>
    <w:p w14:paraId="7B895E94" w14:textId="0640C75F" w:rsidR="00CA110B" w:rsidRDefault="00CD5DDD">
      <w:r>
        <w:t>The</w:t>
      </w:r>
      <w:r w:rsidR="00B65DE1" w:rsidRPr="00FF004B">
        <w:t xml:space="preserve"> Hon David Bradbury</w:t>
      </w:r>
      <w:r w:rsidR="00B65DE1" w:rsidRPr="00B65DE1">
        <w:t xml:space="preserve"> </w:t>
      </w:r>
      <w:r>
        <w:t xml:space="preserve">was appointed </w:t>
      </w:r>
      <w:r w:rsidR="00B65DE1" w:rsidRPr="00B65DE1">
        <w:t>as Chair of the Board in April 2026. Following his commencement, the Chair embarked on an extensive program of stakeholder meetings and engagements with government, industry bodies, professional associations, business representatives and members of the tax community. These discussions were undertaken to gain a broad understanding of stakeholder expectations, the Board</w:t>
      </w:r>
      <w:r w:rsidR="00205936">
        <w:t>’</w:t>
      </w:r>
      <w:r w:rsidR="00B65DE1" w:rsidRPr="00B65DE1">
        <w:t>s strengths and opportunities for future development. The Chair also began developing a vision for the Board that emphasises stronger engagement with business, practitioners and the broader community, recognising that diverse perspectives are critical to ensuring the Board continues to fulfil its role as a trusted adviser to</w:t>
      </w:r>
      <w:r w:rsidR="00F27C32">
        <w:t> </w:t>
      </w:r>
      <w:r w:rsidR="00B65DE1" w:rsidRPr="00B65DE1">
        <w:t xml:space="preserve">Government. </w:t>
      </w:r>
      <w:r w:rsidR="00CA110B">
        <w:br w:type="page"/>
      </w:r>
    </w:p>
    <w:p w14:paraId="3468CA79" w14:textId="1F978264" w:rsidR="00B65DE1" w:rsidRPr="00B65DE1" w:rsidRDefault="00B65DE1" w:rsidP="00B65DE1">
      <w:r w:rsidRPr="00B65DE1">
        <w:lastRenderedPageBreak/>
        <w:t xml:space="preserve">Consistent with this vision, the Board </w:t>
      </w:r>
      <w:r w:rsidR="00AB51BC">
        <w:t xml:space="preserve">commenced a </w:t>
      </w:r>
      <w:r w:rsidRPr="00B65DE1">
        <w:t>review</w:t>
      </w:r>
      <w:r w:rsidR="00AB51BC">
        <w:t xml:space="preserve"> of</w:t>
      </w:r>
      <w:r w:rsidRPr="00B65DE1">
        <w:t xml:space="preserve"> its stakeholder engagement framework during the reporting year, with a focus on broadening participation, strengthening relationships across the tax community and improving the Board</w:t>
      </w:r>
      <w:r w:rsidR="00205936">
        <w:t>’</w:t>
      </w:r>
      <w:r w:rsidRPr="00B65DE1">
        <w:t>s ability to identify emerging tax issues. Through a combination of</w:t>
      </w:r>
      <w:r w:rsidR="00F27C32">
        <w:t> </w:t>
      </w:r>
      <w:r w:rsidRPr="00B65DE1">
        <w:t>targeted stakeholder forums, consultation activities, publications and digital engagement, the Board continued to build awareness of its work and reinforce its role as an independent source of practical tax policy advice informed by the experiences of the wider community</w:t>
      </w:r>
      <w:r w:rsidR="00C20014">
        <w:t xml:space="preserve">. </w:t>
      </w:r>
    </w:p>
    <w:p w14:paraId="322D680B" w14:textId="656AB7DB" w:rsidR="00C20014" w:rsidRPr="00C20014" w:rsidRDefault="00C20014" w:rsidP="00C20014">
      <w:r w:rsidRPr="00C20014">
        <w:t>The Board extends its appreciation to the many stakeholders who engaged with its work during 2025–26. The valuable feedback, perspectives and practical insights provided through consultations, targeted engagement sessions, stakeholder meetings and written submissions strengthened the Board</w:t>
      </w:r>
      <w:r w:rsidR="00205936">
        <w:t>’</w:t>
      </w:r>
      <w:r w:rsidRPr="00C20014">
        <w:t xml:space="preserve">s understanding of emerging issues and informed the advice provided to Government. The Board looks forward to continuing these important relationships and fostering broader engagement with the tax community in the years ahead. </w:t>
      </w:r>
    </w:p>
    <w:p w14:paraId="3489FACC" w14:textId="59A0FA35" w:rsidR="003E577D" w:rsidRPr="00E863E5" w:rsidRDefault="003E577D" w:rsidP="003E577D">
      <w:pPr>
        <w:rPr>
          <w:rStyle w:val="Strong"/>
          <w:b w:val="0"/>
          <w:bCs w:val="0"/>
        </w:rPr>
      </w:pPr>
      <w:r>
        <w:t xml:space="preserve">A full list of Stakeholder events </w:t>
      </w:r>
      <w:r w:rsidR="00676B63">
        <w:t>and review consultations held</w:t>
      </w:r>
      <w:r>
        <w:t xml:space="preserve"> by the Board </w:t>
      </w:r>
      <w:r w:rsidR="00961417">
        <w:t>are</w:t>
      </w:r>
      <w:r>
        <w:t xml:space="preserve"> included at </w:t>
      </w:r>
      <w:r w:rsidR="00C406B1">
        <w:br/>
      </w:r>
      <w:r w:rsidR="00E863E5" w:rsidRPr="00E863E5">
        <w:rPr>
          <w:rStyle w:val="Strong"/>
          <w:b w:val="0"/>
          <w:bCs w:val="0"/>
        </w:rPr>
        <w:fldChar w:fldCharType="begin"/>
      </w:r>
      <w:r w:rsidR="00E863E5" w:rsidRPr="00E863E5">
        <w:rPr>
          <w:rStyle w:val="Strong"/>
          <w:b w:val="0"/>
          <w:bCs w:val="0"/>
        </w:rPr>
        <w:instrText xml:space="preserve"> REF _Ref237533263 \h </w:instrText>
      </w:r>
      <w:r w:rsidR="00E863E5">
        <w:rPr>
          <w:rStyle w:val="Strong"/>
          <w:b w:val="0"/>
          <w:bCs w:val="0"/>
        </w:rPr>
        <w:instrText xml:space="preserve"> \* MERGEFORMAT </w:instrText>
      </w:r>
      <w:r w:rsidR="00E863E5" w:rsidRPr="00E863E5">
        <w:rPr>
          <w:rStyle w:val="Strong"/>
          <w:b w:val="0"/>
          <w:bCs w:val="0"/>
        </w:rPr>
      </w:r>
      <w:r w:rsidR="00E863E5" w:rsidRPr="00E863E5">
        <w:rPr>
          <w:rStyle w:val="Strong"/>
          <w:b w:val="0"/>
          <w:bCs w:val="0"/>
        </w:rPr>
        <w:fldChar w:fldCharType="separate"/>
      </w:r>
      <w:r w:rsidR="002F45FB" w:rsidRPr="002F45FB">
        <w:rPr>
          <w:b/>
          <w:bCs/>
        </w:rPr>
        <w:t>Appendix D: Board Meetings, Stakeholder Events and Review Consultations</w:t>
      </w:r>
      <w:r w:rsidR="00E863E5" w:rsidRPr="00E863E5">
        <w:rPr>
          <w:rStyle w:val="Strong"/>
          <w:b w:val="0"/>
          <w:bCs w:val="0"/>
        </w:rPr>
        <w:fldChar w:fldCharType="end"/>
      </w:r>
    </w:p>
    <w:p w14:paraId="669F60F6" w14:textId="09024B0E" w:rsidR="00380243" w:rsidRPr="00CF573F" w:rsidRDefault="00380243" w:rsidP="00464518">
      <w:pPr>
        <w:pStyle w:val="Heading2"/>
      </w:pPr>
      <w:bookmarkStart w:id="28" w:name="_Ref150947882"/>
      <w:bookmarkStart w:id="29" w:name="_Toc159253847"/>
      <w:bookmarkStart w:id="30" w:name="_Toc209006593"/>
      <w:r w:rsidRPr="006172B0">
        <w:t xml:space="preserve">Engagement with </w:t>
      </w:r>
      <w:r w:rsidR="008D67A1" w:rsidRPr="006172B0">
        <w:t>the Government, Treasury and</w:t>
      </w:r>
      <w:r w:rsidR="00EB3412" w:rsidRPr="006172B0">
        <w:t> </w:t>
      </w:r>
      <w:r w:rsidR="008D67A1" w:rsidRPr="006172B0">
        <w:t>the</w:t>
      </w:r>
      <w:r w:rsidR="00835F65" w:rsidRPr="006172B0">
        <w:t> </w:t>
      </w:r>
      <w:r w:rsidR="008D67A1" w:rsidRPr="006172B0">
        <w:t>ATO</w:t>
      </w:r>
      <w:bookmarkEnd w:id="28"/>
      <w:bookmarkEnd w:id="29"/>
      <w:bookmarkEnd w:id="30"/>
    </w:p>
    <w:p w14:paraId="4ACFD353" w14:textId="5517B038" w:rsidR="00036D51" w:rsidRDefault="00964E2F" w:rsidP="00036D51">
      <w:r>
        <w:t>Over the 2025</w:t>
      </w:r>
      <w:r w:rsidR="00237A87">
        <w:t>–</w:t>
      </w:r>
      <w:r>
        <w:t>26 reporting yea</w:t>
      </w:r>
      <w:r w:rsidR="00955622">
        <w:t>r</w:t>
      </w:r>
      <w:r>
        <w:t>, the Board has</w:t>
      </w:r>
      <w:r w:rsidR="00DE78B8">
        <w:t xml:space="preserve"> </w:t>
      </w:r>
      <w:r w:rsidR="00DF71D2">
        <w:t>continued to play an important role as a trusted advisor to</w:t>
      </w:r>
      <w:r w:rsidR="00F27C32">
        <w:t> </w:t>
      </w:r>
      <w:r w:rsidR="00DF71D2">
        <w:t xml:space="preserve">Government, Treasury and the ATO, contributing informed perspectives across its work program. </w:t>
      </w:r>
    </w:p>
    <w:p w14:paraId="5B14EE69" w14:textId="377DCBC2" w:rsidR="00036D51" w:rsidRDefault="00036D51" w:rsidP="00036D51">
      <w:r>
        <w:t xml:space="preserve">During the </w:t>
      </w:r>
      <w:r w:rsidR="00152A60" w:rsidRPr="006F47DA">
        <w:t>year</w:t>
      </w:r>
      <w:r w:rsidR="00EB0AF0" w:rsidRPr="006F47DA">
        <w:t>, th</w:t>
      </w:r>
      <w:r w:rsidR="00CC1940" w:rsidRPr="006F47DA">
        <w:t xml:space="preserve">e Chair </w:t>
      </w:r>
      <w:r w:rsidR="00176BB1">
        <w:t xml:space="preserve">and acting Chairs, </w:t>
      </w:r>
      <w:r w:rsidR="00EB0AF0" w:rsidRPr="006F47DA">
        <w:t>met</w:t>
      </w:r>
      <w:r w:rsidR="00CC1940" w:rsidRPr="006F47DA">
        <w:t xml:space="preserve"> with the Treasurer the Hon Dr Jim Chalmers MP</w:t>
      </w:r>
      <w:r w:rsidR="006B73F2" w:rsidRPr="006F47DA">
        <w:t xml:space="preserve"> </w:t>
      </w:r>
      <w:r w:rsidR="004152B7">
        <w:t xml:space="preserve">on numerous occasions. </w:t>
      </w:r>
      <w:r w:rsidR="00FC3D76">
        <w:t>These discussions provided the opportunity</w:t>
      </w:r>
      <w:r w:rsidR="006B73F2" w:rsidRPr="006F47DA">
        <w:t xml:space="preserve"> </w:t>
      </w:r>
      <w:r w:rsidR="00CC1940" w:rsidRPr="006F47DA">
        <w:t xml:space="preserve">to </w:t>
      </w:r>
      <w:r w:rsidR="00DB472F">
        <w:t>outline</w:t>
      </w:r>
      <w:r w:rsidR="00CC1940" w:rsidRPr="006F47DA">
        <w:t xml:space="preserve"> the Board</w:t>
      </w:r>
      <w:r w:rsidR="00205936">
        <w:t>’</w:t>
      </w:r>
      <w:r w:rsidR="00CC1940" w:rsidRPr="006F47DA">
        <w:t xml:space="preserve">s </w:t>
      </w:r>
      <w:r w:rsidR="00DB472F">
        <w:t>priorities</w:t>
      </w:r>
      <w:r w:rsidR="00CC1940" w:rsidRPr="006F47DA">
        <w:t xml:space="preserve"> and </w:t>
      </w:r>
      <w:r w:rsidR="00A25D4D">
        <w:t>offer</w:t>
      </w:r>
      <w:r w:rsidR="00CC1940" w:rsidRPr="006F47DA">
        <w:t xml:space="preserve"> advice on tax issues </w:t>
      </w:r>
      <w:r w:rsidR="00A25D4D">
        <w:t xml:space="preserve">affecting the </w:t>
      </w:r>
      <w:r w:rsidR="005B62A3">
        <w:t xml:space="preserve">tax and </w:t>
      </w:r>
      <w:r w:rsidR="00CC1940" w:rsidRPr="006F47DA">
        <w:t>business community.</w:t>
      </w:r>
    </w:p>
    <w:p w14:paraId="376522CC" w14:textId="29CEFAFD" w:rsidR="00E57D93" w:rsidRPr="006F47DA" w:rsidRDefault="001D495E" w:rsidP="006F47DA">
      <w:r>
        <w:t xml:space="preserve">The </w:t>
      </w:r>
      <w:r w:rsidR="00AA0C10">
        <w:t>Board</w:t>
      </w:r>
      <w:r w:rsidR="00FD1393">
        <w:t xml:space="preserve"> main</w:t>
      </w:r>
      <w:r w:rsidR="00415E41">
        <w:t xml:space="preserve">tained regular contact with senior officials from Treasury and the ATO. </w:t>
      </w:r>
      <w:r w:rsidR="00E9344B">
        <w:t>In addi</w:t>
      </w:r>
      <w:r w:rsidR="0035550D">
        <w:t>tion,</w:t>
      </w:r>
      <w:r w:rsidR="00284426">
        <w:t xml:space="preserve"> the </w:t>
      </w:r>
      <w:r w:rsidR="00964665">
        <w:t>e</w:t>
      </w:r>
      <w:r w:rsidR="004619C9">
        <w:t>x</w:t>
      </w:r>
      <w:r w:rsidR="000352F5">
        <w:t> </w:t>
      </w:r>
      <w:r w:rsidR="004619C9">
        <w:t xml:space="preserve">officio members of the Board and their representatives </w:t>
      </w:r>
      <w:r w:rsidR="00453BFB">
        <w:t>participated at Board meetings and were actively involved throughout review processes, supporting ongoing collaboration, transparency and the effective exchange of insights.</w:t>
      </w:r>
      <w:r w:rsidR="00205936">
        <w:t xml:space="preserve"> </w:t>
      </w:r>
      <w:bookmarkStart w:id="31" w:name="_Toc159253849"/>
      <w:bookmarkStart w:id="32" w:name="_Toc209006594"/>
      <w:r w:rsidR="00E57D93" w:rsidRPr="006F47DA">
        <w:br w:type="page"/>
      </w:r>
    </w:p>
    <w:p w14:paraId="72E4D57C" w14:textId="7CD40421" w:rsidR="00EB3412" w:rsidRPr="00EB566E" w:rsidRDefault="002F3E00" w:rsidP="007E791B">
      <w:pPr>
        <w:pStyle w:val="Heading1"/>
      </w:pPr>
      <w:bookmarkStart w:id="33" w:name="_Toc238644407"/>
      <w:r w:rsidRPr="00AF13D3">
        <w:lastRenderedPageBreak/>
        <w:t>Sounding</w:t>
      </w:r>
      <w:r w:rsidR="00511EC3">
        <w:t xml:space="preserve"> </w:t>
      </w:r>
      <w:r w:rsidRPr="00AF13D3">
        <w:t>Board</w:t>
      </w:r>
      <w:r w:rsidR="00511EC3">
        <w:t xml:space="preserve"> </w:t>
      </w:r>
      <w:r w:rsidRPr="00AF13D3">
        <w:t>+</w:t>
      </w:r>
      <w:bookmarkEnd w:id="31"/>
      <w:bookmarkEnd w:id="32"/>
      <w:bookmarkEnd w:id="33"/>
    </w:p>
    <w:p w14:paraId="46F31A40" w14:textId="1791D904" w:rsidR="00A63072" w:rsidRDefault="002F3E00" w:rsidP="00F36D98">
      <w:r w:rsidRPr="005014BA" w:rsidDel="00CD405B">
        <w:t xml:space="preserve">The Board </w:t>
      </w:r>
      <w:r w:rsidR="004D7A3A">
        <w:t>encourages</w:t>
      </w:r>
      <w:r w:rsidRPr="005014BA" w:rsidDel="00CD405B">
        <w:t xml:space="preserve"> stakeholder </w:t>
      </w:r>
      <w:r w:rsidR="004D7A3A">
        <w:t>participation</w:t>
      </w:r>
      <w:r w:rsidRPr="005014BA" w:rsidDel="00CD405B">
        <w:t xml:space="preserve"> through </w:t>
      </w:r>
      <w:r w:rsidRPr="004D7A3A">
        <w:rPr>
          <w:b/>
        </w:rPr>
        <w:t>Sounding Board +</w:t>
      </w:r>
      <w:r w:rsidRPr="004D7A3A" w:rsidDel="00CD405B">
        <w:rPr>
          <w:b/>
        </w:rPr>
        <w:t>,</w:t>
      </w:r>
      <w:r w:rsidRPr="005014BA" w:rsidDel="00CD405B">
        <w:t xml:space="preserve"> a web</w:t>
      </w:r>
      <w:r w:rsidR="00505523">
        <w:t>–</w:t>
      </w:r>
      <w:r w:rsidRPr="005014BA" w:rsidDel="00CD405B">
        <w:t>based collaborati</w:t>
      </w:r>
      <w:r w:rsidR="00D349E9">
        <w:t>on</w:t>
      </w:r>
      <w:r w:rsidRPr="005014BA" w:rsidDel="00CD405B">
        <w:t xml:space="preserve"> platform </w:t>
      </w:r>
      <w:r w:rsidR="00D349E9">
        <w:t>available on the Board</w:t>
      </w:r>
      <w:r w:rsidR="00205936">
        <w:t>’</w:t>
      </w:r>
      <w:r w:rsidR="00D349E9">
        <w:t xml:space="preserve">s website. The platform provides members </w:t>
      </w:r>
      <w:r w:rsidR="005F5A92">
        <w:t xml:space="preserve">of the </w:t>
      </w:r>
      <w:r w:rsidRPr="005014BA" w:rsidDel="00CD405B">
        <w:t xml:space="preserve">broader community </w:t>
      </w:r>
      <w:r w:rsidR="007D5F34">
        <w:t xml:space="preserve">with an opportunity to </w:t>
      </w:r>
      <w:r w:rsidRPr="005014BA" w:rsidDel="00CD405B">
        <w:t xml:space="preserve">submit ideas </w:t>
      </w:r>
      <w:r w:rsidR="00CA52E9">
        <w:t xml:space="preserve">aimed at </w:t>
      </w:r>
      <w:r w:rsidR="00253EC3">
        <w:t xml:space="preserve">improving </w:t>
      </w:r>
      <w:r w:rsidR="00597F36">
        <w:t xml:space="preserve">the administration </w:t>
      </w:r>
      <w:r w:rsidR="00637F5D">
        <w:t>and operation of</w:t>
      </w:r>
      <w:r w:rsidRPr="005014BA" w:rsidDel="00637F5D">
        <w:t xml:space="preserve"> </w:t>
      </w:r>
      <w:r w:rsidRPr="005014BA" w:rsidDel="00CD405B">
        <w:t xml:space="preserve">the </w:t>
      </w:r>
      <w:r w:rsidRPr="005014BA">
        <w:t>Australian</w:t>
      </w:r>
      <w:r w:rsidRPr="005014BA" w:rsidDel="00CD405B">
        <w:t xml:space="preserve"> tax</w:t>
      </w:r>
      <w:r w:rsidRPr="005014BA">
        <w:t>ation</w:t>
      </w:r>
      <w:r w:rsidRPr="005014BA" w:rsidDel="00CD405B">
        <w:t xml:space="preserve"> system</w:t>
      </w:r>
      <w:r w:rsidRPr="005014BA">
        <w:t>.</w:t>
      </w:r>
      <w:r>
        <w:rPr>
          <w:rStyle w:val="FootnoteReference"/>
        </w:rPr>
        <w:footnoteReference w:id="3"/>
      </w:r>
      <w:r w:rsidRPr="005014BA">
        <w:t xml:space="preserve"> </w:t>
      </w:r>
    </w:p>
    <w:p w14:paraId="0F81DF68" w14:textId="70F3A165" w:rsidR="00B674E9" w:rsidRDefault="00FB357B" w:rsidP="00F36D98">
      <w:r>
        <w:t xml:space="preserve">Where new ideas are submitted through </w:t>
      </w:r>
      <w:r w:rsidRPr="00665AF6">
        <w:rPr>
          <w:b/>
          <w:bCs/>
        </w:rPr>
        <w:t>Sounding Board+</w:t>
      </w:r>
      <w:r>
        <w:t xml:space="preserve"> </w:t>
      </w:r>
      <w:r w:rsidR="00225221">
        <w:t xml:space="preserve">they are reviewed </w:t>
      </w:r>
      <w:r w:rsidR="00D97C35">
        <w:t>by the</w:t>
      </w:r>
      <w:r w:rsidR="00225221">
        <w:t xml:space="preserve"> Board.</w:t>
      </w:r>
      <w:r w:rsidR="00422A49">
        <w:t xml:space="preserve"> </w:t>
      </w:r>
      <w:r w:rsidR="00B674E9" w:rsidRPr="005014BA">
        <w:t xml:space="preserve">Where </w:t>
      </w:r>
      <w:r w:rsidR="006F20A2">
        <w:t>appropriate,</w:t>
      </w:r>
      <w:r w:rsidR="00B674E9" w:rsidRPr="005014BA">
        <w:t xml:space="preserve"> the Board</w:t>
      </w:r>
      <w:r w:rsidR="002C097D">
        <w:t xml:space="preserve"> can</w:t>
      </w:r>
      <w:r w:rsidR="00B674E9" w:rsidRPr="005014BA">
        <w:t xml:space="preserve"> advocate pathway</w:t>
      </w:r>
      <w:r w:rsidR="009E16A8">
        <w:t>s</w:t>
      </w:r>
      <w:r w:rsidR="00B674E9" w:rsidRPr="005014BA">
        <w:t xml:space="preserve"> for implementation </w:t>
      </w:r>
      <w:r w:rsidR="00544C23">
        <w:t>through either</w:t>
      </w:r>
      <w:r w:rsidR="00B674E9" w:rsidRPr="005014BA">
        <w:t xml:space="preserve"> legislative or administrative means</w:t>
      </w:r>
      <w:r w:rsidR="00B674E9">
        <w:t>.</w:t>
      </w:r>
    </w:p>
    <w:p w14:paraId="28677F88" w14:textId="34F81889" w:rsidR="003743FD" w:rsidRPr="003743FD" w:rsidRDefault="003743FD" w:rsidP="003743FD">
      <w:r w:rsidRPr="0060124C">
        <w:rPr>
          <w:b/>
          <w:bCs/>
        </w:rPr>
        <w:t>Sounding Board +</w:t>
      </w:r>
      <w:r w:rsidRPr="005014BA" w:rsidDel="00CD405B">
        <w:t xml:space="preserve"> </w:t>
      </w:r>
      <w:r w:rsidRPr="003743FD">
        <w:t>is </w:t>
      </w:r>
      <w:r w:rsidR="00D624E9">
        <w:t xml:space="preserve">intended to </w:t>
      </w:r>
      <w:r w:rsidR="004F77E0">
        <w:t xml:space="preserve">support practical improvements to the taxation system and is </w:t>
      </w:r>
      <w:r w:rsidRPr="003743FD">
        <w:t>not a forum for substantive tax policy proposals</w:t>
      </w:r>
      <w:r w:rsidR="004F77E0">
        <w:t>, such as changes to</w:t>
      </w:r>
      <w:r w:rsidRPr="003743FD">
        <w:t xml:space="preserve"> tax rates, </w:t>
      </w:r>
      <w:r w:rsidR="005B37AB">
        <w:t>alterations to</w:t>
      </w:r>
      <w:r w:rsidRPr="003743FD">
        <w:t xml:space="preserve"> the tax mix or </w:t>
      </w:r>
      <w:r w:rsidR="00020148">
        <w:t>the abolition o</w:t>
      </w:r>
      <w:r w:rsidR="00A81C61">
        <w:t>f exi</w:t>
      </w:r>
      <w:r w:rsidR="005A7F48">
        <w:t>s</w:t>
      </w:r>
      <w:r w:rsidR="00A81C61">
        <w:t>ting</w:t>
      </w:r>
      <w:r w:rsidRPr="003743FD">
        <w:t xml:space="preserve"> taxes</w:t>
      </w:r>
      <w:r w:rsidR="002D216F">
        <w:t>.</w:t>
      </w:r>
      <w:r w:rsidRPr="003743FD">
        <w:t xml:space="preserve"> </w:t>
      </w:r>
      <w:r w:rsidR="003C7BEF">
        <w:t>N</w:t>
      </w:r>
      <w:r w:rsidRPr="003743FD">
        <w:t xml:space="preserve">or </w:t>
      </w:r>
      <w:r w:rsidR="003C7BEF">
        <w:t xml:space="preserve">is it designed to </w:t>
      </w:r>
      <w:r w:rsidR="00717438">
        <w:t xml:space="preserve">consider </w:t>
      </w:r>
      <w:r w:rsidR="00700258">
        <w:t xml:space="preserve">proposals </w:t>
      </w:r>
      <w:r w:rsidR="00047A21">
        <w:t xml:space="preserve">requiring </w:t>
      </w:r>
      <w:r w:rsidR="006A6A81">
        <w:t xml:space="preserve">significant </w:t>
      </w:r>
      <w:r w:rsidR="00691982">
        <w:t xml:space="preserve">structural reform </w:t>
      </w:r>
      <w:r w:rsidR="002A54D3">
        <w:t>of the</w:t>
      </w:r>
      <w:r w:rsidRPr="003743FD">
        <w:t xml:space="preserve"> tax system. </w:t>
      </w:r>
      <w:r w:rsidR="00731ED8">
        <w:t xml:space="preserve">Nevertheless, community members occasionally </w:t>
      </w:r>
      <w:r w:rsidR="00ED3238">
        <w:t>submit ideas of this nature. To acknowledge the</w:t>
      </w:r>
      <w:r w:rsidR="004B5FDC">
        <w:t>se contributions</w:t>
      </w:r>
      <w:r w:rsidR="00330935">
        <w:t xml:space="preserve">, the platform includes a dedicated category </w:t>
      </w:r>
      <w:r w:rsidR="001D7083">
        <w:t xml:space="preserve">for </w:t>
      </w:r>
      <w:r w:rsidRPr="003743FD">
        <w:t>policy</w:t>
      </w:r>
      <w:r w:rsidR="00205936">
        <w:noBreakHyphen/>
      </w:r>
      <w:r w:rsidR="00333274">
        <w:t xml:space="preserve">related </w:t>
      </w:r>
      <w:r w:rsidR="00E511C3">
        <w:t>suggestions</w:t>
      </w:r>
      <w:r w:rsidRPr="003743FD">
        <w:t xml:space="preserve"> which remain matters for Government</w:t>
      </w:r>
      <w:r w:rsidR="00C96E9F">
        <w:t xml:space="preserve"> consideration</w:t>
      </w:r>
      <w:r w:rsidRPr="003743FD">
        <w:t>.</w:t>
      </w:r>
    </w:p>
    <w:p w14:paraId="259458DA" w14:textId="0ED2E37A" w:rsidR="003743FD" w:rsidRDefault="003743FD" w:rsidP="003743FD">
      <w:r w:rsidRPr="003743FD">
        <w:t xml:space="preserve">To </w:t>
      </w:r>
      <w:r w:rsidR="00C96E9F">
        <w:t>assist in the assessment of community submissions and to</w:t>
      </w:r>
      <w:r w:rsidRPr="003743FD">
        <w:t xml:space="preserve"> better manage </w:t>
      </w:r>
      <w:r w:rsidR="00F40FB5">
        <w:t>stakeholder</w:t>
      </w:r>
      <w:r w:rsidR="00F40FB5" w:rsidRPr="003743FD">
        <w:t xml:space="preserve"> </w:t>
      </w:r>
      <w:r w:rsidRPr="003743FD">
        <w:t xml:space="preserve">expectations, ideas </w:t>
      </w:r>
      <w:r w:rsidR="00BA5281">
        <w:t xml:space="preserve">can be </w:t>
      </w:r>
      <w:r w:rsidR="00C5119C">
        <w:t xml:space="preserve">submitted </w:t>
      </w:r>
      <w:r w:rsidRPr="003743FD">
        <w:t xml:space="preserve">on </w:t>
      </w:r>
      <w:r w:rsidRPr="0088075E">
        <w:rPr>
          <w:b/>
          <w:bCs/>
        </w:rPr>
        <w:t>Sounding Board +</w:t>
      </w:r>
      <w:r>
        <w:t xml:space="preserve"> </w:t>
      </w:r>
      <w:r w:rsidR="00C5119C">
        <w:t>into</w:t>
      </w:r>
      <w:r w:rsidR="00C5119C" w:rsidRPr="003743FD">
        <w:t xml:space="preserve"> </w:t>
      </w:r>
      <w:r w:rsidRPr="003743FD">
        <w:t xml:space="preserve">one of </w:t>
      </w:r>
      <w:r w:rsidR="00074808">
        <w:t>5</w:t>
      </w:r>
      <w:r w:rsidRPr="003743FD">
        <w:t xml:space="preserve"> categories. </w:t>
      </w:r>
    </w:p>
    <w:p w14:paraId="0B96DBF8" w14:textId="21D5811A" w:rsidR="006517B8" w:rsidRDefault="002A224F" w:rsidP="003743FD">
      <w:r>
        <w:rPr>
          <w:noProof/>
        </w:rPr>
        <w:drawing>
          <wp:inline distT="0" distB="0" distL="0" distR="0" wp14:anchorId="16C67DCB" wp14:editId="2BD238AE">
            <wp:extent cx="6120000" cy="2848933"/>
            <wp:effectExtent l="0" t="0" r="0" b="8890"/>
            <wp:docPr id="1938462529" name="Picture 1" descr="An image highlighting the five categories of ideas that can be submitted on the Board of Taxation's Sounding Board+:&#10;- Sweating the small stuff: typos and slip ups&#10;- What were they thinking: clarifying the policy&#10;- Too taxing: reducing red tape&#10;- Can governmnet fix it: improvements&#10;- Tell it to the Tax Office: administrative fi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2529" name="Picture 1" descr="An image highlighting the five categories of ideas that can be submitted on the Board of Taxation's Sounding Board+:&#10;- Sweating the small stuff: typos and slip ups&#10;- What were they thinking: clarifying the policy&#10;- Too taxing: reducing red tape&#10;- Can governmnet fix it: improvements&#10;- Tell it to the Tax Office: administrative fixe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000" cy="2848933"/>
                    </a:xfrm>
                    <a:prstGeom prst="rect">
                      <a:avLst/>
                    </a:prstGeom>
                  </pic:spPr>
                </pic:pic>
              </a:graphicData>
            </a:graphic>
          </wp:inline>
        </w:drawing>
      </w:r>
    </w:p>
    <w:p w14:paraId="496EEC6B" w14:textId="7E6CF479" w:rsidR="002F3E00" w:rsidRPr="00026B43" w:rsidRDefault="002F3E00" w:rsidP="00464518">
      <w:r w:rsidRPr="005014BA">
        <w:t xml:space="preserve">Ideas for taxation system improvement can be submitted via </w:t>
      </w:r>
      <w:r w:rsidRPr="0060124C">
        <w:rPr>
          <w:b/>
          <w:bCs/>
        </w:rPr>
        <w:t>Sounding Board +</w:t>
      </w:r>
      <w:r w:rsidR="00313680">
        <w:t xml:space="preserve"> on the Board</w:t>
      </w:r>
      <w:r w:rsidR="00205936">
        <w:t>’</w:t>
      </w:r>
      <w:r w:rsidR="00313680">
        <w:t>s website.</w:t>
      </w:r>
    </w:p>
    <w:p w14:paraId="1EBE97F5" w14:textId="77777777" w:rsidR="007E791B" w:rsidRDefault="00901C66" w:rsidP="007E791B">
      <w:pPr>
        <w:pStyle w:val="Heading1"/>
      </w:pPr>
      <w:bookmarkStart w:id="34" w:name="ActivitiesoftheBoard"/>
      <w:bookmarkStart w:id="35" w:name="_Activities_of_the"/>
      <w:bookmarkStart w:id="36" w:name="_Toc238644408"/>
      <w:bookmarkStart w:id="37" w:name="_Ref150950427"/>
      <w:bookmarkStart w:id="38" w:name="_Toc209006410"/>
      <w:bookmarkEnd w:id="34"/>
      <w:bookmarkEnd w:id="35"/>
      <w:r w:rsidRPr="00AF13D3">
        <w:lastRenderedPageBreak/>
        <w:t>Activities of the Board in 202</w:t>
      </w:r>
      <w:r w:rsidR="00E64A55">
        <w:t>5</w:t>
      </w:r>
      <w:r w:rsidR="0024114E" w:rsidRPr="00AF13D3">
        <w:t>–</w:t>
      </w:r>
      <w:r w:rsidRPr="00AF13D3">
        <w:t>2</w:t>
      </w:r>
      <w:r w:rsidR="00E64A55">
        <w:t>6</w:t>
      </w:r>
      <w:bookmarkEnd w:id="36"/>
    </w:p>
    <w:p w14:paraId="50FA79CD" w14:textId="307BF6FA" w:rsidR="00FB6EA2" w:rsidRPr="0024114E" w:rsidRDefault="001E2DDC" w:rsidP="00464518">
      <w:pPr>
        <w:pStyle w:val="Heading2"/>
      </w:pPr>
      <w:r>
        <w:t>Finalised</w:t>
      </w:r>
      <w:r w:rsidR="00E82BEE">
        <w:t xml:space="preserve"> </w:t>
      </w:r>
      <w:r w:rsidR="00FB6EA2" w:rsidRPr="00464518">
        <w:t>review</w:t>
      </w:r>
      <w:r w:rsidR="001D061E" w:rsidRPr="00464518">
        <w:t>s</w:t>
      </w:r>
      <w:bookmarkStart w:id="39" w:name="_Toc149905531"/>
      <w:bookmarkStart w:id="40" w:name="_Ref150856772"/>
      <w:bookmarkStart w:id="41" w:name="_Toc159253852"/>
      <w:bookmarkEnd w:id="37"/>
      <w:bookmarkEnd w:id="38"/>
    </w:p>
    <w:p w14:paraId="26CBFB7B" w14:textId="7B33367D" w:rsidR="002F3E00" w:rsidRDefault="002F3E00" w:rsidP="00464518">
      <w:pPr>
        <w:pStyle w:val="Heading3"/>
      </w:pPr>
      <w:bookmarkStart w:id="42" w:name="_Ref160098996"/>
      <w:bookmarkEnd w:id="39"/>
      <w:bookmarkEnd w:id="40"/>
      <w:bookmarkEnd w:id="41"/>
      <w:r>
        <w:t>Re</w:t>
      </w:r>
      <w:r w:rsidR="001E2DDC">
        <w:t xml:space="preserve">d </w:t>
      </w:r>
      <w:r w:rsidR="001E2DDC" w:rsidRPr="00464518">
        <w:t>Tape</w:t>
      </w:r>
      <w:r w:rsidR="001E2DDC">
        <w:t xml:space="preserve"> Reduction Re</w:t>
      </w:r>
      <w:r>
        <w:t xml:space="preserve">view </w:t>
      </w:r>
      <w:bookmarkEnd w:id="42"/>
    </w:p>
    <w:p w14:paraId="21362F95" w14:textId="527B52C7" w:rsidR="00FA24B1" w:rsidRDefault="00A074DB" w:rsidP="00464518">
      <w:r>
        <w:t xml:space="preserve">On 24 March 2025 the </w:t>
      </w:r>
      <w:r w:rsidR="00967933">
        <w:t>G</w:t>
      </w:r>
      <w:r>
        <w:t>overnment announced the Board would review ways to reduce red tape in</w:t>
      </w:r>
      <w:r w:rsidR="00962A9E">
        <w:t> </w:t>
      </w:r>
      <w:r w:rsidRPr="00962A9E">
        <w:t>the</w:t>
      </w:r>
      <w:r w:rsidR="00962A9E">
        <w:t> </w:t>
      </w:r>
      <w:r w:rsidR="003A4210" w:rsidRPr="00962A9E">
        <w:t>tax</w:t>
      </w:r>
      <w:r w:rsidR="00962A9E">
        <w:t> </w:t>
      </w:r>
      <w:r>
        <w:t xml:space="preserve">system. </w:t>
      </w:r>
    </w:p>
    <w:p w14:paraId="70E2AD6A" w14:textId="4AB895EE" w:rsidR="006A1868" w:rsidRPr="00B82B49" w:rsidRDefault="006A1868" w:rsidP="00464518">
      <w:r w:rsidRPr="00B82B49">
        <w:t xml:space="preserve">Red tape reduction and better regulation </w:t>
      </w:r>
      <w:r w:rsidR="00860C7C">
        <w:t>is</w:t>
      </w:r>
      <w:r w:rsidRPr="00B82B49">
        <w:t xml:space="preserve"> a key reform focus of the Government to enhance productivity.</w:t>
      </w:r>
      <w:r w:rsidR="00962A9E">
        <w:t> </w:t>
      </w:r>
      <w:r w:rsidRPr="00B82B49">
        <w:t>In the tax system this involves reducing compliance burden</w:t>
      </w:r>
      <w:r w:rsidR="007B388D">
        <w:t>s</w:t>
      </w:r>
      <w:r w:rsidRPr="00B82B49">
        <w:t xml:space="preserve"> where appropriate, particularly</w:t>
      </w:r>
      <w:r w:rsidR="00962A9E">
        <w:t> </w:t>
      </w:r>
      <w:r w:rsidRPr="00B82B49">
        <w:t xml:space="preserve">for business taxpayers (both small and large). </w:t>
      </w:r>
    </w:p>
    <w:p w14:paraId="4323AE39" w14:textId="1E67C855" w:rsidR="006A1868" w:rsidRPr="00B82B49" w:rsidRDefault="006A1868" w:rsidP="00141F27">
      <w:pPr>
        <w:pStyle w:val="Bullet"/>
        <w:numPr>
          <w:ilvl w:val="0"/>
          <w:numId w:val="0"/>
        </w:numPr>
        <w:rPr>
          <w:rFonts w:eastAsiaTheme="minorEastAsia"/>
        </w:rPr>
      </w:pPr>
      <w:r w:rsidRPr="00B82B49">
        <w:rPr>
          <w:rFonts w:eastAsiaTheme="minorEastAsia"/>
        </w:rPr>
        <w:t>Compliance costs can be driven by complexity in the design of the tax system, as well as how tax laws</w:t>
      </w:r>
      <w:r w:rsidR="00962A9E">
        <w:rPr>
          <w:rFonts w:eastAsiaTheme="minorEastAsia"/>
        </w:rPr>
        <w:t> </w:t>
      </w:r>
      <w:r w:rsidRPr="00B82B49">
        <w:rPr>
          <w:rFonts w:eastAsiaTheme="minorEastAsia"/>
        </w:rPr>
        <w:t>are</w:t>
      </w:r>
      <w:r w:rsidR="00962A9E">
        <w:rPr>
          <w:rFonts w:eastAsiaTheme="minorEastAsia"/>
        </w:rPr>
        <w:t> </w:t>
      </w:r>
      <w:r w:rsidRPr="00B82B49">
        <w:rPr>
          <w:rFonts w:eastAsiaTheme="minorEastAsia"/>
        </w:rPr>
        <w:t xml:space="preserve">administered. </w:t>
      </w:r>
    </w:p>
    <w:p w14:paraId="65C02420" w14:textId="46AADE6B" w:rsidR="00FA788B" w:rsidRDefault="006A1868" w:rsidP="006A1868">
      <w:pPr>
        <w:spacing w:before="180"/>
        <w:rPr>
          <w:rFonts w:cs="Calibri"/>
        </w:rPr>
      </w:pPr>
      <w:r w:rsidRPr="00B82B49">
        <w:rPr>
          <w:rFonts w:cs="Calibri"/>
        </w:rPr>
        <w:t>In the lead up to the Economic Reform Roundtable</w:t>
      </w:r>
      <w:r w:rsidR="00860C7C">
        <w:rPr>
          <w:rStyle w:val="FootnoteReference"/>
          <w:rFonts w:cs="Calibri"/>
        </w:rPr>
        <w:footnoteReference w:id="4"/>
      </w:r>
      <w:r w:rsidR="00CF298C">
        <w:rPr>
          <w:rFonts w:cs="Calibri"/>
        </w:rPr>
        <w:t xml:space="preserve"> (ERR)</w:t>
      </w:r>
      <w:r w:rsidRPr="00B82B49">
        <w:rPr>
          <w:rFonts w:cs="Calibri"/>
        </w:rPr>
        <w:t xml:space="preserve">, the </w:t>
      </w:r>
      <w:r w:rsidR="00786D9F">
        <w:rPr>
          <w:rFonts w:cs="Calibri"/>
        </w:rPr>
        <w:t>Treasurer wrote to Commonwealth regulators</w:t>
      </w:r>
      <w:r w:rsidR="006B7783">
        <w:rPr>
          <w:rFonts w:cs="Calibri"/>
        </w:rPr>
        <w:t>, asking for actions each regulator could implement to reduce compliance burdens to support</w:t>
      </w:r>
      <w:r w:rsidR="00962A9E">
        <w:rPr>
          <w:rFonts w:cs="Calibri"/>
        </w:rPr>
        <w:t> </w:t>
      </w:r>
      <w:r w:rsidR="006B7783">
        <w:rPr>
          <w:rFonts w:cs="Calibri"/>
        </w:rPr>
        <w:t xml:space="preserve">productivity. </w:t>
      </w:r>
    </w:p>
    <w:p w14:paraId="4AD903F5" w14:textId="31184426" w:rsidR="00AF3818" w:rsidRDefault="00FA788B" w:rsidP="00464518">
      <w:pPr>
        <w:spacing w:before="180"/>
        <w:rPr>
          <w:rFonts w:ascii="Georgia" w:hAnsi="Georgia" w:cs="Arial"/>
          <w:kern w:val="32"/>
          <w:sz w:val="28"/>
          <w:szCs w:val="26"/>
          <w14:numForm w14:val="lining"/>
          <w14:numSpacing w14:val="proportional"/>
        </w:rPr>
      </w:pPr>
      <w:r>
        <w:rPr>
          <w:rFonts w:cs="Calibri"/>
        </w:rPr>
        <w:t xml:space="preserve">The </w:t>
      </w:r>
      <w:r w:rsidR="006A1868" w:rsidRPr="00B82B49">
        <w:rPr>
          <w:rFonts w:cs="Calibri"/>
        </w:rPr>
        <w:t xml:space="preserve">Commissioner of Taxation </w:t>
      </w:r>
      <w:r>
        <w:rPr>
          <w:rFonts w:cs="Calibri"/>
        </w:rPr>
        <w:t>responded to the Treasurer</w:t>
      </w:r>
      <w:r w:rsidR="00205936">
        <w:rPr>
          <w:rFonts w:cs="Calibri"/>
        </w:rPr>
        <w:t>’</w:t>
      </w:r>
      <w:r>
        <w:rPr>
          <w:rFonts w:cs="Calibri"/>
        </w:rPr>
        <w:t xml:space="preserve">s request. </w:t>
      </w:r>
      <w:r w:rsidR="00DE13CB">
        <w:rPr>
          <w:rFonts w:cs="Calibri"/>
        </w:rPr>
        <w:t>Along with</w:t>
      </w:r>
      <w:r w:rsidR="006A1868" w:rsidRPr="00B82B49">
        <w:rPr>
          <w:rFonts w:cs="Calibri"/>
        </w:rPr>
        <w:t xml:space="preserve"> other things, the</w:t>
      </w:r>
      <w:r w:rsidR="00962A9E">
        <w:rPr>
          <w:rFonts w:cs="Calibri"/>
        </w:rPr>
        <w:t> </w:t>
      </w:r>
      <w:r w:rsidR="006A1868" w:rsidRPr="00B82B49">
        <w:rPr>
          <w:rFonts w:cs="Calibri"/>
        </w:rPr>
        <w:t>ATO</w:t>
      </w:r>
      <w:r w:rsidR="00962A9E">
        <w:rPr>
          <w:rFonts w:cs="Calibri"/>
        </w:rPr>
        <w:t> </w:t>
      </w:r>
      <w:r w:rsidR="003A565C">
        <w:rPr>
          <w:rFonts w:cs="Calibri"/>
        </w:rPr>
        <w:t>has</w:t>
      </w:r>
      <w:r w:rsidR="00962A9E">
        <w:rPr>
          <w:rFonts w:cs="Calibri"/>
        </w:rPr>
        <w:t> </w:t>
      </w:r>
      <w:r w:rsidR="003A565C">
        <w:rPr>
          <w:rFonts w:cs="Calibri"/>
        </w:rPr>
        <w:t xml:space="preserve">indicated that it </w:t>
      </w:r>
      <w:r w:rsidR="00DE13CB">
        <w:rPr>
          <w:rFonts w:cs="Calibri"/>
        </w:rPr>
        <w:t>will develop</w:t>
      </w:r>
      <w:r w:rsidR="006A1868" w:rsidRPr="00B82B49">
        <w:rPr>
          <w:rFonts w:cs="Calibri"/>
        </w:rPr>
        <w:t xml:space="preserve"> a compliance costs framework to </w:t>
      </w:r>
      <w:r w:rsidR="00DE13CB">
        <w:rPr>
          <w:rFonts w:cs="Calibri"/>
        </w:rPr>
        <w:t xml:space="preserve">help the ATO </w:t>
      </w:r>
      <w:r w:rsidR="006A1868" w:rsidRPr="00B82B49">
        <w:rPr>
          <w:rFonts w:cs="Calibri"/>
        </w:rPr>
        <w:t>better understand</w:t>
      </w:r>
      <w:r w:rsidR="00962A9E">
        <w:rPr>
          <w:rFonts w:cs="Calibri"/>
        </w:rPr>
        <w:t> </w:t>
      </w:r>
      <w:r w:rsidR="00DE13CB">
        <w:rPr>
          <w:rFonts w:cs="Calibri"/>
        </w:rPr>
        <w:t xml:space="preserve">how </w:t>
      </w:r>
      <w:r w:rsidR="006A1868" w:rsidRPr="00B82B49">
        <w:rPr>
          <w:rFonts w:cs="Calibri"/>
        </w:rPr>
        <w:t>regulat</w:t>
      </w:r>
      <w:r w:rsidR="00DE13CB">
        <w:rPr>
          <w:rFonts w:cs="Calibri"/>
        </w:rPr>
        <w:t>i</w:t>
      </w:r>
      <w:r w:rsidR="006A1868" w:rsidRPr="00B82B49">
        <w:rPr>
          <w:rFonts w:cs="Calibri"/>
        </w:rPr>
        <w:t>o</w:t>
      </w:r>
      <w:r w:rsidR="00DE13CB">
        <w:rPr>
          <w:rFonts w:cs="Calibri"/>
        </w:rPr>
        <w:t>n</w:t>
      </w:r>
      <w:r w:rsidR="006A1868" w:rsidRPr="00B82B49">
        <w:rPr>
          <w:rFonts w:cs="Calibri"/>
        </w:rPr>
        <w:t xml:space="preserve"> and compliance impact taxpayers.</w:t>
      </w:r>
      <w:r w:rsidR="00AF3818">
        <w:br w:type="page"/>
      </w:r>
    </w:p>
    <w:p w14:paraId="7188ECAA" w14:textId="3BC3351A" w:rsidR="003D3E47" w:rsidRPr="00B82B49" w:rsidRDefault="003D3E47" w:rsidP="00464518">
      <w:pPr>
        <w:pStyle w:val="Heading4"/>
      </w:pPr>
      <w:r>
        <w:lastRenderedPageBreak/>
        <w:t>Terms of reference</w:t>
      </w:r>
    </w:p>
    <w:p w14:paraId="1D7FC7E7" w14:textId="0C24F8DE" w:rsidR="00A571B1" w:rsidRDefault="00A571B1" w:rsidP="00A571B1">
      <w:r w:rsidRPr="00A571B1">
        <w:t>To complement and support the ATO</w:t>
      </w:r>
      <w:r w:rsidR="00205936">
        <w:t>’</w:t>
      </w:r>
      <w:r w:rsidRPr="00A571B1">
        <w:t xml:space="preserve">s work, the Board </w:t>
      </w:r>
      <w:r w:rsidR="00DB1A64">
        <w:t>wa</w:t>
      </w:r>
      <w:r w:rsidRPr="00A571B1">
        <w:t>s requested to:</w:t>
      </w:r>
    </w:p>
    <w:p w14:paraId="5ED90D13" w14:textId="2FBA69F6" w:rsidR="00A571B1" w:rsidRPr="00A571B1" w:rsidRDefault="00A571B1" w:rsidP="00141F27">
      <w:pPr>
        <w:pStyle w:val="Bullet"/>
      </w:pPr>
      <w:r w:rsidRPr="00A571B1">
        <w:t>engage with the business community to identify areas of business tax law and administration where there are opportunities for red tape reduction that are substantial, material, measurable and directly support productivity.</w:t>
      </w:r>
    </w:p>
    <w:p w14:paraId="47D780B9" w14:textId="77777777" w:rsidR="00A571B1" w:rsidRDefault="00A571B1" w:rsidP="00141F27">
      <w:pPr>
        <w:pStyle w:val="Bullet"/>
      </w:pPr>
      <w:r w:rsidRPr="00A571B1">
        <w:t>Where opportunities are identified:</w:t>
      </w:r>
    </w:p>
    <w:p w14:paraId="100CA58D" w14:textId="1EC17476" w:rsidR="008573D8" w:rsidRDefault="00A571B1" w:rsidP="008573D8">
      <w:pPr>
        <w:pStyle w:val="Dash"/>
      </w:pPr>
      <w:r w:rsidRPr="00EE523A">
        <w:rPr>
          <w:b/>
          <w:bCs/>
        </w:rPr>
        <w:t>If involving administrative changes</w:t>
      </w:r>
      <w:r w:rsidRPr="00A571B1">
        <w:t>, provide the examples to the ATO to support their red tape work,</w:t>
      </w:r>
      <w:r w:rsidR="00962A9E">
        <w:t> </w:t>
      </w:r>
      <w:r w:rsidRPr="00A571B1">
        <w:t>including indicating the benefits that may be possible from reducing compliance costs; and</w:t>
      </w:r>
    </w:p>
    <w:p w14:paraId="7E493C70" w14:textId="1FE101FC" w:rsidR="00A571B1" w:rsidRPr="00A571B1" w:rsidRDefault="00A571B1" w:rsidP="008573D8">
      <w:pPr>
        <w:pStyle w:val="Dash"/>
      </w:pPr>
      <w:r w:rsidRPr="008573D8">
        <w:rPr>
          <w:b/>
          <w:bCs/>
        </w:rPr>
        <w:t>If involving legislative changes</w:t>
      </w:r>
      <w:r w:rsidRPr="00A571B1">
        <w:t xml:space="preserve">, provide recommendations to </w:t>
      </w:r>
      <w:r w:rsidR="00967933">
        <w:t>G</w:t>
      </w:r>
      <w:r w:rsidRPr="00A571B1">
        <w:t>overnment for potential improvements. Any recommended improvements should consider the benefits to productivity, be</w:t>
      </w:r>
      <w:r w:rsidR="00962A9E">
        <w:t> </w:t>
      </w:r>
      <w:r w:rsidRPr="00A571B1">
        <w:t>revenue neutral and consider any potential integrity risks.</w:t>
      </w:r>
    </w:p>
    <w:p w14:paraId="5AA07F16" w14:textId="341F9AD2" w:rsidR="00A571B1" w:rsidRPr="00A571B1" w:rsidRDefault="00A571B1" w:rsidP="00A571B1">
      <w:r w:rsidRPr="00A571B1">
        <w:t xml:space="preserve">As part of the review, the Board </w:t>
      </w:r>
      <w:r w:rsidR="00CF298C">
        <w:t xml:space="preserve">carried out a </w:t>
      </w:r>
      <w:r w:rsidRPr="00A571B1">
        <w:t>stock</w:t>
      </w:r>
      <w:r w:rsidR="00205936">
        <w:noBreakHyphen/>
      </w:r>
      <w:r w:rsidRPr="00A571B1">
        <w:t xml:space="preserve">take </w:t>
      </w:r>
      <w:r w:rsidR="00CF298C">
        <w:t xml:space="preserve">of </w:t>
      </w:r>
      <w:r w:rsidRPr="00A571B1">
        <w:t>tax</w:t>
      </w:r>
      <w:r w:rsidR="00205936">
        <w:noBreakHyphen/>
      </w:r>
      <w:r w:rsidRPr="00A571B1">
        <w:t xml:space="preserve">related compliance and red tape reduction recommendations from the </w:t>
      </w:r>
      <w:r w:rsidR="00B422FD">
        <w:t>ERR</w:t>
      </w:r>
      <w:r w:rsidRPr="00A571B1">
        <w:t xml:space="preserve"> public submissions, as well as previous Board reviews and recent stakeholder engagement by the Board which discussed tax compliance burden.</w:t>
      </w:r>
    </w:p>
    <w:p w14:paraId="3FB4AA8E" w14:textId="60E0004E" w:rsidR="003D3E47" w:rsidRDefault="001A347B" w:rsidP="00464518">
      <w:pPr>
        <w:pStyle w:val="Heading4"/>
      </w:pPr>
      <w:r w:rsidRPr="00464518">
        <w:t>Progress</w:t>
      </w:r>
      <w:r>
        <w:t xml:space="preserve"> of the review</w:t>
      </w:r>
    </w:p>
    <w:p w14:paraId="6A914541" w14:textId="565D1ED2" w:rsidR="00386C4C" w:rsidRDefault="00016AAD" w:rsidP="00016AAD">
      <w:r w:rsidRPr="00016AAD">
        <w:t xml:space="preserve">The </w:t>
      </w:r>
      <w:r>
        <w:t>r</w:t>
      </w:r>
      <w:r w:rsidRPr="00016AAD">
        <w:t xml:space="preserve">eview public consultation phase was </w:t>
      </w:r>
      <w:r w:rsidR="0034057A">
        <w:t>commenced</w:t>
      </w:r>
      <w:r w:rsidRPr="00016AAD">
        <w:t xml:space="preserve"> in November 2025. Written submissions were received by the end of 2025. The Board</w:t>
      </w:r>
      <w:r w:rsidR="00386C4C">
        <w:t>:</w:t>
      </w:r>
      <w:r w:rsidRPr="00016AAD">
        <w:t xml:space="preserve"> </w:t>
      </w:r>
    </w:p>
    <w:p w14:paraId="5F632768" w14:textId="77777777" w:rsidR="00386C4C" w:rsidRDefault="00776388" w:rsidP="00141F27">
      <w:pPr>
        <w:pStyle w:val="Bullet"/>
      </w:pPr>
      <w:r>
        <w:t>received 52 written submissions to the review</w:t>
      </w:r>
    </w:p>
    <w:p w14:paraId="6F7F8BEC" w14:textId="18099FF9" w:rsidR="00386C4C" w:rsidRDefault="006157F9" w:rsidP="00141F27">
      <w:pPr>
        <w:pStyle w:val="Bullet"/>
      </w:pPr>
      <w:r>
        <w:t xml:space="preserve">held 10 roundtable consultation sessions </w:t>
      </w:r>
    </w:p>
    <w:p w14:paraId="41A579F9" w14:textId="77777777" w:rsidR="00386C4C" w:rsidRDefault="00386C4C" w:rsidP="00141F27">
      <w:pPr>
        <w:pStyle w:val="Bullet"/>
      </w:pPr>
      <w:r>
        <w:t xml:space="preserve">met </w:t>
      </w:r>
      <w:r w:rsidR="006157F9">
        <w:t xml:space="preserve">with over 100 stakeholders </w:t>
      </w:r>
    </w:p>
    <w:p w14:paraId="01C445D5" w14:textId="66368DCA" w:rsidR="00DE6D60" w:rsidRDefault="006157F9" w:rsidP="00141F27">
      <w:pPr>
        <w:pStyle w:val="Bullet"/>
      </w:pPr>
      <w:r>
        <w:t>cover</w:t>
      </w:r>
      <w:r w:rsidR="00386C4C">
        <w:t>ed</w:t>
      </w:r>
      <w:r>
        <w:t xml:space="preserve"> 9 major market segments. </w:t>
      </w:r>
    </w:p>
    <w:p w14:paraId="330705BD" w14:textId="2A14AC20" w:rsidR="006F74F4" w:rsidRDefault="002E5CC4" w:rsidP="00FA24B1">
      <w:r w:rsidRPr="002E5CC4">
        <w:t xml:space="preserve">The Board </w:t>
      </w:r>
      <w:r w:rsidR="006D7B01">
        <w:t xml:space="preserve">also </w:t>
      </w:r>
      <w:r w:rsidRPr="002E5CC4">
        <w:t>undert</w:t>
      </w:r>
      <w:r>
        <w:t>ook</w:t>
      </w:r>
      <w:r w:rsidRPr="002E5CC4">
        <w:t xml:space="preserve"> targeted engagement with stakeholders to explore specific proposals in greater</w:t>
      </w:r>
      <w:r w:rsidR="00962A9E">
        <w:t> </w:t>
      </w:r>
      <w:r w:rsidRPr="002E5CC4">
        <w:t xml:space="preserve">depth, seek clarification, and assess feasibility and potential impact. This further analysis </w:t>
      </w:r>
      <w:r>
        <w:t xml:space="preserve">helped </w:t>
      </w:r>
      <w:r w:rsidRPr="002E5CC4">
        <w:t>inform the development of the Board</w:t>
      </w:r>
      <w:r w:rsidR="00205936">
        <w:t>’</w:t>
      </w:r>
      <w:r w:rsidRPr="002E5CC4">
        <w:t>s recommendations.</w:t>
      </w:r>
    </w:p>
    <w:p w14:paraId="47872F36" w14:textId="203BF727" w:rsidR="00AE6B05" w:rsidRDefault="00180B4B" w:rsidP="00FA24B1">
      <w:r>
        <w:t>Board members, the Hon. David Bradbury, Andrew Mills, Ian Kellock, Andrea Laing and Judy O</w:t>
      </w:r>
      <w:r w:rsidR="00205936">
        <w:t>’</w:t>
      </w:r>
      <w:r>
        <w:t>Connell were</w:t>
      </w:r>
      <w:r w:rsidR="00962A9E">
        <w:t> </w:t>
      </w:r>
      <w:r>
        <w:t>appointed to oversee the review.</w:t>
      </w:r>
    </w:p>
    <w:p w14:paraId="4CB4942B" w14:textId="1AF483BB" w:rsidR="00DE6D60" w:rsidRDefault="00DE6D60" w:rsidP="00FA24B1">
      <w:r>
        <w:t xml:space="preserve">The Board </w:t>
      </w:r>
      <w:r w:rsidRPr="00016AAD">
        <w:t>sincerely thanks everyone who took the time to provide feedback and contribute ideas.</w:t>
      </w:r>
    </w:p>
    <w:p w14:paraId="5F8D086C" w14:textId="77777777" w:rsidR="00DE6D60" w:rsidRDefault="00D861E7" w:rsidP="007001F7">
      <w:r>
        <w:t xml:space="preserve">On 30 June 2026, the Board </w:t>
      </w:r>
      <w:r w:rsidR="003A6FAF">
        <w:t>submitted</w:t>
      </w:r>
      <w:r>
        <w:t xml:space="preserve"> the review final report to </w:t>
      </w:r>
      <w:r w:rsidR="003A6FAF">
        <w:t>G</w:t>
      </w:r>
      <w:r>
        <w:t xml:space="preserve">overnment. </w:t>
      </w:r>
    </w:p>
    <w:p w14:paraId="5730D9A0" w14:textId="30F90799" w:rsidR="00446FDF" w:rsidRDefault="00D427BD" w:rsidP="0024114E">
      <w:pPr>
        <w:rPr>
          <w:spacing w:val="-2"/>
        </w:rPr>
      </w:pPr>
      <w:r>
        <w:t xml:space="preserve">More information on the review can be found on the </w:t>
      </w:r>
      <w:r w:rsidR="00BB5F82" w:rsidRPr="00205936">
        <w:t>Board</w:t>
      </w:r>
      <w:r w:rsidR="00205936" w:rsidRPr="00205936">
        <w:t>’</w:t>
      </w:r>
      <w:r w:rsidR="00BB5F82" w:rsidRPr="00205936">
        <w:t>s website</w:t>
      </w:r>
      <w:r w:rsidR="007001F7">
        <w:t>.</w:t>
      </w:r>
    </w:p>
    <w:p w14:paraId="1772521E" w14:textId="73204C01" w:rsidR="001D061E" w:rsidRDefault="001D061E" w:rsidP="00464518">
      <w:pPr>
        <w:pStyle w:val="Heading3"/>
      </w:pPr>
      <w:r>
        <w:lastRenderedPageBreak/>
        <w:t>Redesign of the Voluntary Tax Transparency Code</w:t>
      </w:r>
    </w:p>
    <w:p w14:paraId="2C257BA3" w14:textId="362A573B" w:rsidR="00DA5886" w:rsidRPr="00DA5886" w:rsidRDefault="00DA5886" w:rsidP="00DA5886">
      <w:r w:rsidRPr="00DA5886">
        <w:t>During the 2025–26 reporting year, the Board continued its review of the Voluntary Tax Transparency Code</w:t>
      </w:r>
      <w:r w:rsidR="00962A9E">
        <w:t> </w:t>
      </w:r>
      <w:r w:rsidRPr="00DA5886">
        <w:t xml:space="preserve">(VTTC), which commenced in August 2024 following a request from the Treasurer. The review was undertaken in response to significant changes in the domestic and international tax transparency landscape since the VTTC was first introduced in 2016. The Board concluded that, while the VTTC continues to play an important role in promoting greater tax transparency and community confidence in the tax system, there was an opportunity to simplify and modernise the Code to ensure it remains relevant and effective. </w:t>
      </w:r>
    </w:p>
    <w:p w14:paraId="3663929C" w14:textId="57A18F76" w:rsidR="000D79BF" w:rsidRPr="00DA5886" w:rsidRDefault="000D79BF" w:rsidP="00DA5886">
      <w:r>
        <w:t xml:space="preserve">Board members Andrea Laing and Andrew Mills were appointed to oversee the review. </w:t>
      </w:r>
    </w:p>
    <w:p w14:paraId="05A4A5C8" w14:textId="234BE300" w:rsidR="00DA5886" w:rsidRPr="00DA5886" w:rsidRDefault="00DA5886" w:rsidP="00DA5886">
      <w:r w:rsidRPr="00DA5886">
        <w:t>Building on the findings of the initial review phase, the Board commenced the redesign of the VTTC in</w:t>
      </w:r>
      <w:r w:rsidR="00962A9E">
        <w:t> </w:t>
      </w:r>
      <w:r w:rsidRPr="00DA5886">
        <w:t>January 2025. The redesigned framework sought to reduce duplication with other tax transparency regimes, particularly public Country</w:t>
      </w:r>
      <w:r w:rsidR="00205936">
        <w:noBreakHyphen/>
      </w:r>
      <w:r w:rsidRPr="00DA5886">
        <w:t>by</w:t>
      </w:r>
      <w:r w:rsidR="00205936">
        <w:noBreakHyphen/>
      </w:r>
      <w:r w:rsidRPr="00DA5886">
        <w:t>Country reporting requirements, while maintaining the Code</w:t>
      </w:r>
      <w:r w:rsidR="00205936">
        <w:t>’</w:t>
      </w:r>
      <w:r w:rsidRPr="00DA5886">
        <w:t xml:space="preserve">s objective of encouraging meaningful tax transparency disclosures. </w:t>
      </w:r>
    </w:p>
    <w:p w14:paraId="166F5627" w14:textId="1A2F71E1" w:rsidR="00DA5886" w:rsidRPr="00DA5886" w:rsidRDefault="00DA5886" w:rsidP="00DA5886">
      <w:r w:rsidRPr="00DA5886">
        <w:t>Consultation remained a central component of the redesign process. In June 2025, the Board released the</w:t>
      </w:r>
      <w:r w:rsidR="00962A9E">
        <w:t> </w:t>
      </w:r>
      <w:r w:rsidRPr="00DA5886">
        <w:t>draft redesigned VTTC for public consultation and published a consultation guide seeking stakeholder views on the proposed changes. Feedback was gathered through virtual consultation sessions, written submissions and stakeholder surveys. Stakeholders generally supported the Board</w:t>
      </w:r>
      <w:r w:rsidR="00205936">
        <w:t>’</w:t>
      </w:r>
      <w:r w:rsidRPr="00DA5886">
        <w:t xml:space="preserve">s approach, noting the importance of reducing duplication, improving alignment with existing reporting obligations and providing clearer guidance for participants. The Board also received encouraging feedback from existing participants regarding their intention to continue reporting under the redesigned Code. </w:t>
      </w:r>
    </w:p>
    <w:p w14:paraId="6C5B2B9D" w14:textId="3FEEE288" w:rsidR="00F030ED" w:rsidRDefault="00DA5886" w:rsidP="00DA5886">
      <w:r w:rsidRPr="00DA5886">
        <w:t>The Board finalised its recommendations during the reporting year and provided its findings to Government. The redesigned VTTC establishes a contemporary framework for organisations wishing to</w:t>
      </w:r>
      <w:r w:rsidR="00962A9E">
        <w:t> </w:t>
      </w:r>
      <w:r w:rsidRPr="00DA5886">
        <w:t xml:space="preserve">transparently communicate their tax affairs, demonstrate good tax governance and build trust with investors and the broader community. </w:t>
      </w:r>
    </w:p>
    <w:p w14:paraId="2F32CBE2" w14:textId="6698E926" w:rsidR="000D79BF" w:rsidRDefault="000D79BF" w:rsidP="00DA5886">
      <w:r w:rsidRPr="000D79BF">
        <w:t>The redesigned VTTC start</w:t>
      </w:r>
      <w:r w:rsidR="00EA23A8">
        <w:t>ed on</w:t>
      </w:r>
      <w:r w:rsidRPr="000D79BF">
        <w:t xml:space="preserve"> 1 July 2026. Early adoption is optional.</w:t>
      </w:r>
    </w:p>
    <w:p w14:paraId="3EDECC4B" w14:textId="77777777" w:rsidR="00AF3818" w:rsidRPr="00DA5886" w:rsidRDefault="00AF3818" w:rsidP="00AF3818">
      <w:r w:rsidRPr="00DA5886">
        <w:t xml:space="preserve">The Board remains committed to monitoring developments in tax transparency and reviewing the VTTC over time to ensure it continues to meet the needs of businesses, investors and the Australian community. </w:t>
      </w:r>
    </w:p>
    <w:p w14:paraId="65DA98B8" w14:textId="32E308DE" w:rsidR="00AF3818" w:rsidRDefault="00AF3818">
      <w:r w:rsidRPr="00DA5886">
        <w:t>The Board extends its sincere appreciation to all stakeholders who contributed to both phases of the review. The insights provided through consultation sessions, written submissions, surveys and direct engagement were instrumental in shaping the redesigned VTTC and ensuring it reflects practical experience</w:t>
      </w:r>
      <w:r w:rsidR="00962A9E">
        <w:t> </w:t>
      </w:r>
      <w:r w:rsidRPr="00DA5886">
        <w:t>across a diverse range of businesses, professional bodies, investors, advisers, academics and</w:t>
      </w:r>
      <w:r w:rsidR="00962A9E">
        <w:t> </w:t>
      </w:r>
      <w:r w:rsidRPr="00DA5886">
        <w:t>government agencies.</w:t>
      </w:r>
      <w:r>
        <w:br w:type="page"/>
      </w:r>
    </w:p>
    <w:p w14:paraId="2C21D950" w14:textId="44DA441B" w:rsidR="00A56B42" w:rsidRDefault="00A56B42" w:rsidP="00A56B42">
      <w:r w:rsidRPr="00DA5886">
        <w:lastRenderedPageBreak/>
        <w:t xml:space="preserve">Key changes </w:t>
      </w:r>
      <w:r w:rsidR="00AF3818">
        <w:t xml:space="preserve">to the redesigned VTTC </w:t>
      </w:r>
      <w:r>
        <w:t xml:space="preserve">are outlined in the table below. </w:t>
      </w:r>
    </w:p>
    <w:p w14:paraId="6C6955E1" w14:textId="392FC190" w:rsidR="00511EC3" w:rsidRDefault="00511EC3" w:rsidP="00511EC3">
      <w:pPr>
        <w:pStyle w:val="TableHeading1"/>
      </w:pPr>
      <w:r>
        <w:t>Table 1: Key Changes to the Voluntary Tax Transparency Code</w:t>
      </w:r>
    </w:p>
    <w:tbl>
      <w:tblPr>
        <w:tblStyle w:val="ListTable3-Accent1"/>
        <w:tblW w:w="0" w:type="auto"/>
        <w:tblBorders>
          <w:left w:val="none" w:sz="0" w:space="0" w:color="auto"/>
          <w:bottom w:val="single" w:sz="8" w:space="0" w:color="142147" w:themeColor="accent1"/>
          <w:right w:val="none" w:sz="0" w:space="0" w:color="auto"/>
          <w:insideH w:val="single" w:sz="4" w:space="0" w:color="142147" w:themeColor="accent1"/>
        </w:tblBorders>
        <w:tblLook w:val="06A0" w:firstRow="1" w:lastRow="0" w:firstColumn="1" w:lastColumn="0" w:noHBand="1" w:noVBand="1"/>
      </w:tblPr>
      <w:tblGrid>
        <w:gridCol w:w="2547"/>
        <w:gridCol w:w="6946"/>
      </w:tblGrid>
      <w:tr w:rsidR="00A56B42" w:rsidRPr="00205936" w14:paraId="5C712418" w14:textId="77777777" w:rsidTr="00BF5577">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2547" w:type="dxa"/>
            <w:tcBorders>
              <w:bottom w:val="none" w:sz="0" w:space="0" w:color="auto"/>
              <w:right w:val="none" w:sz="0" w:space="0" w:color="auto"/>
            </w:tcBorders>
          </w:tcPr>
          <w:p w14:paraId="299A9773" w14:textId="77777777" w:rsidR="00A56B42" w:rsidRPr="00205936" w:rsidRDefault="00A56B42" w:rsidP="009C0161">
            <w:pPr>
              <w:pStyle w:val="TableHeaderCellLeft"/>
            </w:pPr>
            <w:r w:rsidRPr="00205936">
              <w:t>Part of 2016 VTTC</w:t>
            </w:r>
          </w:p>
        </w:tc>
        <w:tc>
          <w:tcPr>
            <w:tcW w:w="6946" w:type="dxa"/>
          </w:tcPr>
          <w:p w14:paraId="2AB0D1E6" w14:textId="77777777" w:rsidR="00A56B42" w:rsidRPr="00205936" w:rsidRDefault="00A56B42" w:rsidP="009C0161">
            <w:pPr>
              <w:pStyle w:val="TableHeaderCellLeft"/>
              <w:cnfStyle w:val="100000000000" w:firstRow="1" w:lastRow="0" w:firstColumn="0" w:lastColumn="0" w:oddVBand="0" w:evenVBand="0" w:oddHBand="0" w:evenHBand="0" w:firstRowFirstColumn="0" w:firstRowLastColumn="0" w:lastRowFirstColumn="0" w:lastRowLastColumn="0"/>
            </w:pPr>
            <w:r w:rsidRPr="00205936">
              <w:t>Changes in 2025 VTTC</w:t>
            </w:r>
          </w:p>
        </w:tc>
      </w:tr>
      <w:tr w:rsidR="00A56B42" w:rsidRPr="00205936" w14:paraId="40BF648D" w14:textId="77777777" w:rsidTr="00BF5577">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F6F2ED" w:themeFill="accent3" w:themeFillTint="33"/>
          </w:tcPr>
          <w:p w14:paraId="7B8287C1" w14:textId="77777777" w:rsidR="00A56B42" w:rsidRPr="00205936" w:rsidRDefault="00A56B42" w:rsidP="009C0161">
            <w:pPr>
              <w:pStyle w:val="TableBodyCellLeft"/>
            </w:pPr>
            <w:r w:rsidRPr="00205936">
              <w:t>Format, design and structure</w:t>
            </w:r>
          </w:p>
        </w:tc>
        <w:tc>
          <w:tcPr>
            <w:tcW w:w="6946" w:type="dxa"/>
          </w:tcPr>
          <w:p w14:paraId="599EEB8D" w14:textId="3D9DAA05" w:rsidR="00A56B42" w:rsidRPr="00205936" w:rsidRDefault="00A56B42" w:rsidP="009C0161">
            <w:pPr>
              <w:pStyle w:val="TableBullet"/>
              <w:cnfStyle w:val="000000000000" w:firstRow="0" w:lastRow="0" w:firstColumn="0" w:lastColumn="0" w:oddVBand="0" w:evenVBand="0" w:oddHBand="0" w:evenHBand="0" w:firstRowFirstColumn="0" w:firstRowLastColumn="0" w:lastRowFirstColumn="0" w:lastRowLastColumn="0"/>
            </w:pPr>
            <w:r w:rsidRPr="00205936">
              <w:t>Updated and simplified</w:t>
            </w:r>
            <w:r w:rsidR="00B56F20">
              <w:t>.</w:t>
            </w:r>
          </w:p>
        </w:tc>
      </w:tr>
      <w:tr w:rsidR="009C0161" w:rsidRPr="00205936" w14:paraId="61325A4C" w14:textId="77777777" w:rsidTr="00BF5577">
        <w:trPr>
          <w:trHeight w:val="872"/>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F6F2ED" w:themeFill="accent3" w:themeFillTint="33"/>
          </w:tcPr>
          <w:p w14:paraId="09815762" w14:textId="77777777" w:rsidR="009C0161" w:rsidRPr="00205936" w:rsidRDefault="009C0161" w:rsidP="009C0161">
            <w:pPr>
              <w:pStyle w:val="TableBodyCellLeft"/>
            </w:pPr>
            <w:bookmarkStart w:id="43" w:name="tempbookmark" w:colFirst="1" w:colLast="1"/>
            <w:r w:rsidRPr="00205936">
              <w:t>Objectives</w:t>
            </w:r>
          </w:p>
        </w:tc>
        <w:tc>
          <w:tcPr>
            <w:tcW w:w="6946" w:type="dxa"/>
          </w:tcPr>
          <w:p w14:paraId="49C4523E" w14:textId="27EB5864" w:rsidR="009C0161" w:rsidRPr="009C0161"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9C0161">
              <w:t>Updated</w:t>
            </w:r>
            <w:r w:rsidR="00B56F20">
              <w:t>.</w:t>
            </w:r>
          </w:p>
          <w:p w14:paraId="0B93FDF3" w14:textId="1774419B" w:rsidR="009C0161" w:rsidRPr="009C0161"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9C0161">
              <w:t>New ‘Why adopt’ section</w:t>
            </w:r>
            <w:r w:rsidR="00B56F20">
              <w:t>.</w:t>
            </w:r>
          </w:p>
          <w:p w14:paraId="4201FC21" w14:textId="501938B7"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9C0161">
              <w:t>Guidance for the new VTTC participants</w:t>
            </w:r>
            <w:r w:rsidR="00B56F20">
              <w:t>.</w:t>
            </w:r>
          </w:p>
        </w:tc>
      </w:tr>
      <w:bookmarkEnd w:id="43"/>
      <w:tr w:rsidR="009C0161" w:rsidRPr="00205936" w14:paraId="004D52C1" w14:textId="77777777" w:rsidTr="00BF5577">
        <w:trPr>
          <w:trHeight w:val="1605"/>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F6F2ED" w:themeFill="accent3" w:themeFillTint="33"/>
          </w:tcPr>
          <w:p w14:paraId="67311842" w14:textId="77777777" w:rsidR="009C0161" w:rsidRPr="00205936" w:rsidRDefault="009C0161" w:rsidP="009C0161">
            <w:pPr>
              <w:pStyle w:val="TableBodyCellLeft"/>
            </w:pPr>
            <w:r w:rsidRPr="00205936">
              <w:t>Disclosure classification</w:t>
            </w:r>
          </w:p>
        </w:tc>
        <w:tc>
          <w:tcPr>
            <w:tcW w:w="6946" w:type="dxa"/>
          </w:tcPr>
          <w:p w14:paraId="3C42CA11" w14:textId="77777777"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205936">
              <w:t xml:space="preserve">Updated – different reporting requirements for a ‘public </w:t>
            </w:r>
            <w:proofErr w:type="spellStart"/>
            <w:r w:rsidRPr="00205936">
              <w:t>CbC</w:t>
            </w:r>
            <w:proofErr w:type="spellEnd"/>
            <w:r w:rsidRPr="00205936">
              <w:t xml:space="preserve"> reporter’ and a ‘non-public </w:t>
            </w:r>
            <w:proofErr w:type="spellStart"/>
            <w:r w:rsidRPr="00205936">
              <w:t>CbC</w:t>
            </w:r>
            <w:proofErr w:type="spellEnd"/>
            <w:r w:rsidRPr="00205936">
              <w:t xml:space="preserve"> reporter’. Previously based on the entity’s size and aggregated turnover. </w:t>
            </w:r>
          </w:p>
          <w:p w14:paraId="694ED0C7" w14:textId="77777777"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205936">
              <w:t xml:space="preserve">Removed duplication for public </w:t>
            </w:r>
            <w:proofErr w:type="spellStart"/>
            <w:r w:rsidRPr="00205936">
              <w:t>CbC</w:t>
            </w:r>
            <w:proofErr w:type="spellEnd"/>
            <w:r w:rsidRPr="00205936">
              <w:t xml:space="preserve"> reporters.</w:t>
            </w:r>
          </w:p>
          <w:p w14:paraId="617C8027" w14:textId="0FAC63FF"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205936">
              <w:t xml:space="preserve">Included more optional elements largely based on the Global Reporting Initiatives (GRI) 207. They differ based on </w:t>
            </w:r>
            <w:proofErr w:type="spellStart"/>
            <w:r w:rsidRPr="00205936">
              <w:t>CbC</w:t>
            </w:r>
            <w:proofErr w:type="spellEnd"/>
            <w:r w:rsidRPr="00205936">
              <w:t xml:space="preserve"> reporter classification.</w:t>
            </w:r>
          </w:p>
        </w:tc>
      </w:tr>
      <w:tr w:rsidR="009C0161" w:rsidRPr="00205936" w14:paraId="48DB1910" w14:textId="77777777" w:rsidTr="00BF5577">
        <w:trPr>
          <w:trHeight w:val="578"/>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F6F2ED" w:themeFill="accent3" w:themeFillTint="33"/>
          </w:tcPr>
          <w:p w14:paraId="20179BD1" w14:textId="77777777" w:rsidR="009C0161" w:rsidRPr="00205936" w:rsidRDefault="009C0161" w:rsidP="009C0161">
            <w:pPr>
              <w:pStyle w:val="TableBodyCellLeft"/>
            </w:pPr>
            <w:r w:rsidRPr="00205936">
              <w:t>Part A – Qualitative information</w:t>
            </w:r>
          </w:p>
        </w:tc>
        <w:tc>
          <w:tcPr>
            <w:tcW w:w="6946" w:type="dxa"/>
          </w:tcPr>
          <w:p w14:paraId="7DD98027" w14:textId="77777777"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205936">
              <w:t>Replaced with ‘Tax data’.</w:t>
            </w:r>
          </w:p>
          <w:p w14:paraId="44C15B5F" w14:textId="1C166662"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205936">
              <w:t>Added optional elements (largely based on the GRI 207).</w:t>
            </w:r>
          </w:p>
        </w:tc>
      </w:tr>
      <w:tr w:rsidR="009C0161" w:rsidRPr="00205936" w14:paraId="1E09B4B5" w14:textId="77777777" w:rsidTr="00BF5577">
        <w:trPr>
          <w:trHeight w:val="56"/>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F6F2ED" w:themeFill="accent3" w:themeFillTint="33"/>
          </w:tcPr>
          <w:p w14:paraId="507B0AA9" w14:textId="77777777" w:rsidR="009C0161" w:rsidRPr="00205936" w:rsidRDefault="009C0161" w:rsidP="009C0161">
            <w:pPr>
              <w:pStyle w:val="TableBodyCellLeft"/>
            </w:pPr>
            <w:r w:rsidRPr="00205936">
              <w:t>Part b – Quantitative information</w:t>
            </w:r>
          </w:p>
        </w:tc>
        <w:tc>
          <w:tcPr>
            <w:tcW w:w="6946" w:type="dxa"/>
          </w:tcPr>
          <w:p w14:paraId="5D2192DF" w14:textId="77777777"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205936">
              <w:t xml:space="preserve">Replaced with ‘Overall approach to tax’. </w:t>
            </w:r>
          </w:p>
          <w:p w14:paraId="6C0C50DF" w14:textId="77777777"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205936">
              <w:t xml:space="preserve">Approach to tax aligned with: </w:t>
            </w:r>
          </w:p>
          <w:p w14:paraId="2F876F60" w14:textId="77777777" w:rsidR="009C0161" w:rsidRPr="009C0161" w:rsidRDefault="009C0161" w:rsidP="009C0161">
            <w:pPr>
              <w:pStyle w:val="TableDash"/>
              <w:cnfStyle w:val="000000000000" w:firstRow="0" w:lastRow="0" w:firstColumn="0" w:lastColumn="0" w:oddVBand="0" w:evenVBand="0" w:oddHBand="0" w:evenHBand="0" w:firstRowFirstColumn="0" w:firstRowLastColumn="0" w:lastRowFirstColumn="0" w:lastRowLastColumn="0"/>
            </w:pPr>
            <w:r w:rsidRPr="009C0161">
              <w:t>GRI 207-2 – tax governance, control and risk management</w:t>
            </w:r>
          </w:p>
          <w:p w14:paraId="79C89328" w14:textId="77777777" w:rsidR="009C0161" w:rsidRPr="009C0161" w:rsidRDefault="009C0161" w:rsidP="009C0161">
            <w:pPr>
              <w:pStyle w:val="TableDash"/>
              <w:cnfStyle w:val="000000000000" w:firstRow="0" w:lastRow="0" w:firstColumn="0" w:lastColumn="0" w:oddVBand="0" w:evenVBand="0" w:oddHBand="0" w:evenHBand="0" w:firstRowFirstColumn="0" w:firstRowLastColumn="0" w:lastRowFirstColumn="0" w:lastRowLastColumn="0"/>
            </w:pPr>
            <w:r w:rsidRPr="009C0161">
              <w:t>GRI 207-3 – Stakeholder engagement and management of tax concerns.</w:t>
            </w:r>
          </w:p>
          <w:p w14:paraId="1B54C4AC" w14:textId="1EC26B35" w:rsidR="009C0161" w:rsidRPr="00205936" w:rsidRDefault="009C0161" w:rsidP="009C0161">
            <w:pPr>
              <w:pStyle w:val="TableBullet"/>
              <w:cnfStyle w:val="000000000000" w:firstRow="0" w:lastRow="0" w:firstColumn="0" w:lastColumn="0" w:oddVBand="0" w:evenVBand="0" w:oddHBand="0" w:evenHBand="0" w:firstRowFirstColumn="0" w:firstRowLastColumn="0" w:lastRowFirstColumn="0" w:lastRowLastColumn="0"/>
            </w:pPr>
            <w:r w:rsidRPr="00205936">
              <w:t>Added optional elements.</w:t>
            </w:r>
          </w:p>
        </w:tc>
      </w:tr>
      <w:tr w:rsidR="00A56B42" w:rsidRPr="00205936" w14:paraId="1A7D0E85" w14:textId="77777777" w:rsidTr="00BF5577">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F6F2ED" w:themeFill="accent3" w:themeFillTint="33"/>
          </w:tcPr>
          <w:p w14:paraId="1BDA4F3D" w14:textId="77777777" w:rsidR="00A56B42" w:rsidRPr="00205936" w:rsidRDefault="00A56B42" w:rsidP="009C0161">
            <w:pPr>
              <w:pStyle w:val="TableBodyCellLeft"/>
            </w:pPr>
            <w:r w:rsidRPr="00205936">
              <w:t>Guidance</w:t>
            </w:r>
          </w:p>
        </w:tc>
        <w:tc>
          <w:tcPr>
            <w:tcW w:w="6946" w:type="dxa"/>
          </w:tcPr>
          <w:p w14:paraId="211EA038" w14:textId="77777777" w:rsidR="00A56B42" w:rsidRPr="00205936" w:rsidRDefault="00A56B42" w:rsidP="009C0161">
            <w:pPr>
              <w:pStyle w:val="TableBullet"/>
              <w:cnfStyle w:val="000000000000" w:firstRow="0" w:lastRow="0" w:firstColumn="0" w:lastColumn="0" w:oddVBand="0" w:evenVBand="0" w:oddHBand="0" w:evenHBand="0" w:firstRowFirstColumn="0" w:firstRowLastColumn="0" w:lastRowFirstColumn="0" w:lastRowLastColumn="0"/>
            </w:pPr>
            <w:r w:rsidRPr="00205936">
              <w:t xml:space="preserve">More guidance added throughout, including: </w:t>
            </w:r>
          </w:p>
          <w:p w14:paraId="2EF53BA4" w14:textId="77777777" w:rsidR="00A56B42" w:rsidRPr="00205936" w:rsidRDefault="00A56B42" w:rsidP="009C0161">
            <w:pPr>
              <w:pStyle w:val="TableDash"/>
              <w:cnfStyle w:val="000000000000" w:firstRow="0" w:lastRow="0" w:firstColumn="0" w:lastColumn="0" w:oddVBand="0" w:evenVBand="0" w:oddHBand="0" w:evenHBand="0" w:firstRowFirstColumn="0" w:firstRowLastColumn="0" w:lastRowFirstColumn="0" w:lastRowLastColumn="0"/>
            </w:pPr>
            <w:r w:rsidRPr="00205936">
              <w:t>document navigation</w:t>
            </w:r>
          </w:p>
          <w:p w14:paraId="10FDDE5E" w14:textId="77777777" w:rsidR="00A56B42" w:rsidRPr="00205936" w:rsidRDefault="00A56B42" w:rsidP="009C0161">
            <w:pPr>
              <w:pStyle w:val="TableDash"/>
              <w:cnfStyle w:val="000000000000" w:firstRow="0" w:lastRow="0" w:firstColumn="0" w:lastColumn="0" w:oddVBand="0" w:evenVBand="0" w:oddHBand="0" w:evenHBand="0" w:firstRowFirstColumn="0" w:firstRowLastColumn="0" w:lastRowFirstColumn="0" w:lastRowLastColumn="0"/>
            </w:pPr>
            <w:r w:rsidRPr="00205936">
              <w:t>guidance on completion timing</w:t>
            </w:r>
          </w:p>
          <w:p w14:paraId="7648832D" w14:textId="77777777" w:rsidR="00A56B42" w:rsidRPr="00205936" w:rsidRDefault="00A56B42" w:rsidP="009C0161">
            <w:pPr>
              <w:pStyle w:val="TableDash"/>
              <w:cnfStyle w:val="000000000000" w:firstRow="0" w:lastRow="0" w:firstColumn="0" w:lastColumn="0" w:oddVBand="0" w:evenVBand="0" w:oddHBand="0" w:evenHBand="0" w:firstRowFirstColumn="0" w:firstRowLastColumn="0" w:lastRowFirstColumn="0" w:lastRowLastColumn="0"/>
            </w:pPr>
            <w:r w:rsidRPr="00205936">
              <w:t xml:space="preserve">example template format of VTTC report based on fictitious ‘public </w:t>
            </w:r>
            <w:proofErr w:type="spellStart"/>
            <w:r w:rsidRPr="00205936">
              <w:t>CbC</w:t>
            </w:r>
            <w:proofErr w:type="spellEnd"/>
            <w:r w:rsidRPr="00205936">
              <w:t xml:space="preserve"> reporter’ and a ‘non-public </w:t>
            </w:r>
            <w:proofErr w:type="spellStart"/>
            <w:r w:rsidRPr="00205936">
              <w:t>CbC</w:t>
            </w:r>
            <w:proofErr w:type="spellEnd"/>
            <w:r w:rsidRPr="00205936">
              <w:t xml:space="preserve"> reporter’ (Appendix A)</w:t>
            </w:r>
          </w:p>
          <w:p w14:paraId="56DD5D0B" w14:textId="0AEFBBF2" w:rsidR="00A56B42" w:rsidRPr="00205936" w:rsidRDefault="00A56B42" w:rsidP="009C0161">
            <w:pPr>
              <w:pStyle w:val="TableDash"/>
              <w:cnfStyle w:val="000000000000" w:firstRow="0" w:lastRow="0" w:firstColumn="0" w:lastColumn="0" w:oddVBand="0" w:evenVBand="0" w:oddHBand="0" w:evenHBand="0" w:firstRowFirstColumn="0" w:firstRowLastColumn="0" w:lastRowFirstColumn="0" w:lastRowLastColumn="0"/>
            </w:pPr>
            <w:r w:rsidRPr="00205936">
              <w:t>self-assessment VTTC checklist (Appendix B</w:t>
            </w:r>
            <w:r w:rsidR="009C0697" w:rsidRPr="00205936">
              <w:t>)</w:t>
            </w:r>
          </w:p>
          <w:p w14:paraId="0547470A" w14:textId="77777777" w:rsidR="00A56B42" w:rsidRPr="00205936" w:rsidRDefault="00A56B42" w:rsidP="009C0161">
            <w:pPr>
              <w:pStyle w:val="TableDash"/>
              <w:cnfStyle w:val="000000000000" w:firstRow="0" w:lastRow="0" w:firstColumn="0" w:lastColumn="0" w:oddVBand="0" w:evenVBand="0" w:oddHBand="0" w:evenHBand="0" w:firstRowFirstColumn="0" w:firstRowLastColumn="0" w:lastRowFirstColumn="0" w:lastRowLastColumn="0"/>
            </w:pPr>
            <w:r w:rsidRPr="00205936">
              <w:t xml:space="preserve">glossary (Appendix C). </w:t>
            </w:r>
          </w:p>
        </w:tc>
      </w:tr>
    </w:tbl>
    <w:p w14:paraId="64FC8288" w14:textId="77777777" w:rsidR="000D79BF" w:rsidRPr="00464518" w:rsidRDefault="000D79BF" w:rsidP="00464518">
      <w:r w:rsidRPr="00464518">
        <w:br w:type="page"/>
      </w:r>
    </w:p>
    <w:p w14:paraId="686666DA" w14:textId="0179C18F" w:rsidR="00467092" w:rsidRDefault="00924E63" w:rsidP="00464518">
      <w:pPr>
        <w:pStyle w:val="Heading2"/>
      </w:pPr>
      <w:r w:rsidRPr="00464518">
        <w:lastRenderedPageBreak/>
        <w:t>Reviews</w:t>
      </w:r>
      <w:r>
        <w:t xml:space="preserve"> commenced</w:t>
      </w:r>
    </w:p>
    <w:p w14:paraId="5FC2F4C1" w14:textId="29562AD3" w:rsidR="00E146B6" w:rsidRDefault="00E146B6" w:rsidP="00464518">
      <w:pPr>
        <w:pStyle w:val="Heading3"/>
      </w:pPr>
      <w:r>
        <w:t xml:space="preserve">Statutory </w:t>
      </w:r>
      <w:r w:rsidRPr="00464518">
        <w:t>review</w:t>
      </w:r>
      <w:r>
        <w:t xml:space="preserve"> of Australia</w:t>
      </w:r>
      <w:r w:rsidR="00205936">
        <w:t>’</w:t>
      </w:r>
      <w:r>
        <w:t>s thin capitalisation reforms</w:t>
      </w:r>
    </w:p>
    <w:p w14:paraId="24203750" w14:textId="7B952762" w:rsidR="00043BB9" w:rsidRDefault="00005927" w:rsidP="009771C6">
      <w:r>
        <w:t xml:space="preserve">On 1 February 2026, </w:t>
      </w:r>
      <w:r w:rsidR="00043BB9">
        <w:t>the Board commenced a statutory review of Australia</w:t>
      </w:r>
      <w:r w:rsidR="00205936">
        <w:t>’</w:t>
      </w:r>
      <w:r w:rsidR="00043BB9">
        <w:t xml:space="preserve">s thin capitalisation reforms. </w:t>
      </w:r>
    </w:p>
    <w:p w14:paraId="7D211FFF" w14:textId="479C8B9B" w:rsidR="008F7035" w:rsidRDefault="009A1B8D" w:rsidP="009771C6">
      <w:r w:rsidRPr="009A1B8D">
        <w:t>Recent amendments to Australia</w:t>
      </w:r>
      <w:r w:rsidR="00205936">
        <w:t>’</w:t>
      </w:r>
      <w:r w:rsidRPr="009A1B8D">
        <w:t xml:space="preserve">s thin capitalisation rules were introduced in Schedule 2 of the </w:t>
      </w:r>
      <w:r w:rsidRPr="008F7035">
        <w:rPr>
          <w:i/>
          <w:iCs/>
        </w:rPr>
        <w:t>Treasury Laws Amendment (Making Multinationals Pay Their Fair Share—Integrity and Transparency) Act 2024 (Amending Act)</w:t>
      </w:r>
      <w:r w:rsidRPr="009A1B8D">
        <w:t xml:space="preserve">. </w:t>
      </w:r>
    </w:p>
    <w:p w14:paraId="1E490D1F" w14:textId="7BEA514D" w:rsidR="009A1B8D" w:rsidRDefault="009A1B8D" w:rsidP="009771C6">
      <w:r w:rsidRPr="009A1B8D">
        <w:t>In accordance with Section 4 of the Amending Act, the Government requested the Board to undertake an</w:t>
      </w:r>
      <w:r w:rsidR="00962A9E">
        <w:t> </w:t>
      </w:r>
      <w:r w:rsidRPr="009A1B8D">
        <w:t>independent review of the operation of the amendments to the thin capitalisation rules.</w:t>
      </w:r>
    </w:p>
    <w:p w14:paraId="0050F5B7" w14:textId="20A823F5" w:rsidR="008E1310" w:rsidRDefault="008E1310" w:rsidP="009771C6">
      <w:r>
        <w:t xml:space="preserve">Board members the Hon David Bradbury, Ian Kellock and Andrew Mills were </w:t>
      </w:r>
      <w:r w:rsidR="00A674BA">
        <w:t>appointed to oversee the</w:t>
      </w:r>
      <w:r w:rsidR="00074808">
        <w:t> </w:t>
      </w:r>
      <w:r w:rsidR="00A674BA">
        <w:t xml:space="preserve">review. </w:t>
      </w:r>
    </w:p>
    <w:p w14:paraId="6C22DD3C" w14:textId="146A3BCF" w:rsidR="00BF76B6" w:rsidRDefault="00BF76B6" w:rsidP="00464518">
      <w:pPr>
        <w:pStyle w:val="Heading4"/>
      </w:pPr>
      <w:r>
        <w:t xml:space="preserve">Terms of </w:t>
      </w:r>
      <w:r w:rsidRPr="00464518">
        <w:t>Reference</w:t>
      </w:r>
    </w:p>
    <w:p w14:paraId="4D8DE859" w14:textId="3B13F765" w:rsidR="000B3BEA" w:rsidRPr="000B3BEA" w:rsidRDefault="000B3BEA" w:rsidP="000B3BEA">
      <w:r w:rsidRPr="000B3BEA">
        <w:t>The Board of Taxation (Board) is requested to examine the operation of the amendments to Australia</w:t>
      </w:r>
      <w:r w:rsidR="00205936">
        <w:t>’</w:t>
      </w:r>
      <w:r w:rsidRPr="000B3BEA">
        <w:t>s thin</w:t>
      </w:r>
      <w:r w:rsidR="00962A9E">
        <w:t> </w:t>
      </w:r>
      <w:r w:rsidRPr="000B3BEA">
        <w:t xml:space="preserve">capitalisation rules made by Schedule 2 to </w:t>
      </w:r>
      <w:r w:rsidRPr="00A461E8">
        <w:rPr>
          <w:i/>
          <w:iCs/>
        </w:rPr>
        <w:t>the Treasury Laws Amendment (Making Multinationals Pay</w:t>
      </w:r>
      <w:r w:rsidR="00962A9E">
        <w:rPr>
          <w:i/>
          <w:iCs/>
        </w:rPr>
        <w:t> </w:t>
      </w:r>
      <w:r w:rsidRPr="00A461E8">
        <w:rPr>
          <w:i/>
          <w:iCs/>
        </w:rPr>
        <w:t>Their</w:t>
      </w:r>
      <w:r w:rsidR="00962A9E">
        <w:rPr>
          <w:i/>
          <w:iCs/>
        </w:rPr>
        <w:t> </w:t>
      </w:r>
      <w:r w:rsidRPr="00A461E8">
        <w:rPr>
          <w:i/>
          <w:iCs/>
        </w:rPr>
        <w:t>Fair Share—Integrity and Transparency) Act 2024</w:t>
      </w:r>
      <w:r w:rsidRPr="000B3BEA">
        <w:t>. This review is a statutory requirement contained in section 4 of that Act.</w:t>
      </w:r>
    </w:p>
    <w:p w14:paraId="58177D0A" w14:textId="2BC95C63" w:rsidR="000B3BEA" w:rsidRPr="000B3BEA" w:rsidRDefault="000B3BEA" w:rsidP="000B3BEA">
      <w:r w:rsidRPr="000B3BEA">
        <w:t>In conducting the review, the Board will assess whether the amendments are operating in a manner consistent with the policy intent, which was to strengthen Australia</w:t>
      </w:r>
      <w:r w:rsidR="00205936">
        <w:t>’</w:t>
      </w:r>
      <w:r w:rsidRPr="000B3BEA">
        <w:t>s thin capitalisation regime to address risks arising from the use of excessive debt deductions, informed by the OECD</w:t>
      </w:r>
      <w:r w:rsidR="00205936">
        <w:t>’</w:t>
      </w:r>
      <w:r w:rsidRPr="000B3BEA">
        <w:t>s best practice guidance. In</w:t>
      </w:r>
      <w:r w:rsidR="00962A9E">
        <w:t> </w:t>
      </w:r>
      <w:r w:rsidRPr="000B3BEA">
        <w:t>considering the operation of the amendments, the Board is requested to consider:</w:t>
      </w:r>
    </w:p>
    <w:p w14:paraId="1824D941" w14:textId="6AE64454" w:rsidR="000B3BEA" w:rsidRPr="000B3BEA" w:rsidRDefault="000B3BEA" w:rsidP="00141F27">
      <w:pPr>
        <w:pStyle w:val="Bullet"/>
      </w:pPr>
      <w:r w:rsidRPr="000B3BEA">
        <w:t>The overall performance of the amendments in strengthening Australia</w:t>
      </w:r>
      <w:r w:rsidR="00205936">
        <w:t>’</w:t>
      </w:r>
      <w:r w:rsidRPr="000B3BEA">
        <w:t>s thin capitalisation regime to</w:t>
      </w:r>
      <w:r w:rsidR="00962A9E">
        <w:t> </w:t>
      </w:r>
      <w:r w:rsidRPr="000B3BEA">
        <w:t>address risks arising from the use of excessive debt deductions.</w:t>
      </w:r>
    </w:p>
    <w:p w14:paraId="58AF4650" w14:textId="0272475D" w:rsidR="000B3BEA" w:rsidRPr="000B3BEA" w:rsidRDefault="000B3BEA" w:rsidP="00141F27">
      <w:pPr>
        <w:pStyle w:val="Bullet"/>
      </w:pPr>
      <w:r w:rsidRPr="000B3BEA">
        <w:t>Any minor and technical drafting changes which are necessary for the practical administration of the</w:t>
      </w:r>
      <w:r w:rsidR="00962A9E">
        <w:t> </w:t>
      </w:r>
      <w:r w:rsidRPr="000B3BEA">
        <w:t>laws, with a particular focus on the third</w:t>
      </w:r>
      <w:r w:rsidR="00205936">
        <w:noBreakHyphen/>
      </w:r>
      <w:r w:rsidRPr="000B3BEA">
        <w:t>party debt test provisions and related undefined legislative</w:t>
      </w:r>
      <w:r w:rsidR="00962A9E">
        <w:t> </w:t>
      </w:r>
      <w:r w:rsidRPr="000B3BEA">
        <w:t>terms.</w:t>
      </w:r>
    </w:p>
    <w:p w14:paraId="572951A3" w14:textId="77777777" w:rsidR="000B3BEA" w:rsidRPr="000B3BEA" w:rsidRDefault="000B3BEA" w:rsidP="00141F27">
      <w:pPr>
        <w:pStyle w:val="Bullet"/>
      </w:pPr>
      <w:r w:rsidRPr="000B3BEA">
        <w:t>If the $2 million exemption threshold should operate as a net debt deduction concept.</w:t>
      </w:r>
    </w:p>
    <w:p w14:paraId="672DCD9A" w14:textId="0ED6EB31" w:rsidR="000B3BEA" w:rsidRPr="000B3BEA" w:rsidRDefault="000B3BEA" w:rsidP="00141F27">
      <w:pPr>
        <w:pStyle w:val="Bullet"/>
      </w:pPr>
      <w:r w:rsidRPr="000B3BEA">
        <w:t>Whether the default tax EBITDA calculation operates to appropriately reflect an entity</w:t>
      </w:r>
      <w:r w:rsidR="00205936">
        <w:t>’</w:t>
      </w:r>
      <w:r w:rsidRPr="000B3BEA">
        <w:t>s economic activity in the income year and across multiple income years, as intended.</w:t>
      </w:r>
    </w:p>
    <w:p w14:paraId="633582A8" w14:textId="66BD847D" w:rsidR="000B3BEA" w:rsidRPr="000B3BEA" w:rsidRDefault="000B3BEA" w:rsidP="00141F27">
      <w:pPr>
        <w:pStyle w:val="Bullet"/>
      </w:pPr>
      <w:r w:rsidRPr="000B3BEA">
        <w:t>The practical impact on the cost of complying with the debt deduction creation rules after restructures,</w:t>
      </w:r>
      <w:r w:rsidR="00962A9E">
        <w:t> </w:t>
      </w:r>
      <w:r w:rsidRPr="000B3BEA">
        <w:t>including whether the rules have effectively discouraged debt creation schemes.</w:t>
      </w:r>
    </w:p>
    <w:p w14:paraId="16E24E96" w14:textId="1074457B" w:rsidR="000B3BEA" w:rsidRPr="000B3BEA" w:rsidRDefault="000B3BEA" w:rsidP="000B3BEA">
      <w:r w:rsidRPr="000B3BEA">
        <w:lastRenderedPageBreak/>
        <w:t>The Board</w:t>
      </w:r>
      <w:r w:rsidR="00205936">
        <w:t>’</w:t>
      </w:r>
      <w:r w:rsidRPr="000B3BEA">
        <w:t>s review should clearly address the importance of any recommendations and how they would</w:t>
      </w:r>
      <w:r w:rsidR="00074808">
        <w:t> </w:t>
      </w:r>
      <w:r w:rsidRPr="000B3BEA">
        <w:t>be</w:t>
      </w:r>
      <w:r w:rsidR="00074808">
        <w:t> </w:t>
      </w:r>
      <w:r w:rsidRPr="000B3BEA">
        <w:t>implemented to achieve a substantially similar practical effect to those intended by Schedule 2 of</w:t>
      </w:r>
      <w:r w:rsidR="00074808">
        <w:t> </w:t>
      </w:r>
      <w:r w:rsidRPr="000B3BEA">
        <w:t>the</w:t>
      </w:r>
      <w:r w:rsidR="00074808">
        <w:t> </w:t>
      </w:r>
      <w:r w:rsidRPr="000B3BEA">
        <w:t>Act, including consideration of complexity and tax integrity trade</w:t>
      </w:r>
      <w:r w:rsidR="00205936">
        <w:noBreakHyphen/>
      </w:r>
      <w:r w:rsidRPr="000B3BEA">
        <w:t>offs.</w:t>
      </w:r>
    </w:p>
    <w:p w14:paraId="3BDCC4F5" w14:textId="46016804" w:rsidR="00BF76B6" w:rsidRDefault="000B3BEA" w:rsidP="009771C6">
      <w:r w:rsidRPr="000B3BEA">
        <w:t xml:space="preserve">The Board should undertake public consultation processes and engage </w:t>
      </w:r>
      <w:r w:rsidR="00370C16">
        <w:t xml:space="preserve">closely </w:t>
      </w:r>
      <w:r w:rsidRPr="000B3BEA">
        <w:t>with the Treasury and the Australian Taxation Office. The Board is requested to prepare a written report for Government within 12</w:t>
      </w:r>
      <w:r w:rsidR="00074808">
        <w:t> </w:t>
      </w:r>
      <w:r w:rsidRPr="000B3BEA">
        <w:t>months from commencement.</w:t>
      </w:r>
    </w:p>
    <w:p w14:paraId="2BB51D84" w14:textId="10817C1B" w:rsidR="007357EA" w:rsidRDefault="007357EA" w:rsidP="00464518">
      <w:pPr>
        <w:pStyle w:val="Heading4"/>
      </w:pPr>
      <w:r>
        <w:t xml:space="preserve">Progress of </w:t>
      </w:r>
      <w:r w:rsidRPr="00464518">
        <w:t>the</w:t>
      </w:r>
      <w:r>
        <w:t xml:space="preserve"> review</w:t>
      </w:r>
    </w:p>
    <w:p w14:paraId="48968C1E" w14:textId="283607FA" w:rsidR="009771C6" w:rsidRPr="009771C6" w:rsidRDefault="007878B3" w:rsidP="009771C6">
      <w:r>
        <w:t xml:space="preserve">The Board </w:t>
      </w:r>
      <w:r w:rsidR="00373DB3">
        <w:t xml:space="preserve">prepared </w:t>
      </w:r>
      <w:r>
        <w:t xml:space="preserve">a consultation guide, </w:t>
      </w:r>
      <w:r w:rsidR="00373DB3">
        <w:t>to explain the</w:t>
      </w:r>
      <w:r>
        <w:t xml:space="preserve"> </w:t>
      </w:r>
      <w:r w:rsidR="00AB288B">
        <w:t xml:space="preserve">review </w:t>
      </w:r>
      <w:r w:rsidR="00373DB3">
        <w:t>process</w:t>
      </w:r>
      <w:r w:rsidR="00561300">
        <w:t xml:space="preserve"> </w:t>
      </w:r>
      <w:r w:rsidR="00AB288B">
        <w:t xml:space="preserve">and </w:t>
      </w:r>
      <w:r w:rsidR="00561300">
        <w:t xml:space="preserve">outline the consultation process, including how stakeholders can contribute and </w:t>
      </w:r>
      <w:r w:rsidR="00D315CC">
        <w:t>questions to consider.</w:t>
      </w:r>
    </w:p>
    <w:p w14:paraId="24579C0B" w14:textId="62883CCA" w:rsidR="00435A89" w:rsidRDefault="007357EA" w:rsidP="009771C6">
      <w:r>
        <w:t xml:space="preserve">Written </w:t>
      </w:r>
      <w:r w:rsidR="00435A89">
        <w:t xml:space="preserve">submissions were received by the Board until end June 2026. </w:t>
      </w:r>
    </w:p>
    <w:p w14:paraId="4E4259DA" w14:textId="29816EB1" w:rsidR="007357EA" w:rsidRPr="009771C6" w:rsidRDefault="00435A89" w:rsidP="009771C6">
      <w:r>
        <w:t xml:space="preserve">The Board </w:t>
      </w:r>
      <w:r w:rsidR="00D84B20">
        <w:t>plans on holding</w:t>
      </w:r>
      <w:r>
        <w:t xml:space="preserve"> </w:t>
      </w:r>
      <w:r w:rsidR="00712B4E">
        <w:t xml:space="preserve">stakeholder </w:t>
      </w:r>
      <w:r w:rsidR="00D84B20">
        <w:t>consultation sessions</w:t>
      </w:r>
      <w:r w:rsidR="00356515">
        <w:t xml:space="preserve"> commencing</w:t>
      </w:r>
      <w:r w:rsidR="007357EA">
        <w:t xml:space="preserve"> </w:t>
      </w:r>
      <w:r w:rsidR="00712B4E">
        <w:t xml:space="preserve">in </w:t>
      </w:r>
      <w:r w:rsidR="00C81AD5">
        <w:t>August 2026 and continuing</w:t>
      </w:r>
      <w:r w:rsidR="00074808">
        <w:t> </w:t>
      </w:r>
      <w:r w:rsidR="00C81AD5">
        <w:t xml:space="preserve">into </w:t>
      </w:r>
      <w:r w:rsidR="00712B4E">
        <w:t>the next reporting period.</w:t>
      </w:r>
      <w:r w:rsidR="00205936">
        <w:t xml:space="preserve"> </w:t>
      </w:r>
    </w:p>
    <w:p w14:paraId="58B799AF" w14:textId="5E03FA87" w:rsidR="009771C6" w:rsidRPr="009771C6" w:rsidRDefault="009771C6" w:rsidP="009771C6">
      <w:r w:rsidRPr="009771C6">
        <w:t xml:space="preserve">The Board </w:t>
      </w:r>
      <w:r w:rsidR="00AF04D3">
        <w:t>has been requested</w:t>
      </w:r>
      <w:r w:rsidR="00712B4E">
        <w:t xml:space="preserve"> to</w:t>
      </w:r>
      <w:r w:rsidRPr="009771C6">
        <w:t xml:space="preserve"> provide its final written report to the Government within 12 months of the review</w:t>
      </w:r>
      <w:r w:rsidR="00074808">
        <w:t> </w:t>
      </w:r>
      <w:r w:rsidRPr="009771C6">
        <w:t>starting</w:t>
      </w:r>
      <w:r w:rsidR="00712B4E">
        <w:t xml:space="preserve">, </w:t>
      </w:r>
      <w:r w:rsidR="00074808">
        <w:t>that is</w:t>
      </w:r>
      <w:r w:rsidR="00955C20">
        <w:t xml:space="preserve"> by 31 January 2027</w:t>
      </w:r>
      <w:r w:rsidRPr="009771C6">
        <w:t>.</w:t>
      </w:r>
    </w:p>
    <w:p w14:paraId="1CFFB8BE" w14:textId="544EA6EB" w:rsidR="002F3E00" w:rsidRDefault="002F3E00" w:rsidP="00464518">
      <w:pPr>
        <w:pStyle w:val="Heading2"/>
      </w:pPr>
      <w:r>
        <w:t xml:space="preserve">Other </w:t>
      </w:r>
      <w:r w:rsidRPr="00464518">
        <w:t>ongoing</w:t>
      </w:r>
      <w:r>
        <w:t xml:space="preserve"> work</w:t>
      </w:r>
    </w:p>
    <w:p w14:paraId="2C1B9AF0" w14:textId="3DAE838F" w:rsidR="00FD2212" w:rsidRDefault="006E11D1" w:rsidP="00464518">
      <w:pPr>
        <w:pStyle w:val="Heading3"/>
      </w:pPr>
      <w:bookmarkStart w:id="44" w:name="_Ref150943605"/>
      <w:r>
        <w:t>Trusted advis</w:t>
      </w:r>
      <w:r w:rsidR="00B80FB1">
        <w:t>o</w:t>
      </w:r>
      <w:r>
        <w:t xml:space="preserve">r to Treasury </w:t>
      </w:r>
      <w:r w:rsidRPr="0024114E">
        <w:t>and</w:t>
      </w:r>
      <w:r>
        <w:t xml:space="preserve"> the ATO</w:t>
      </w:r>
      <w:bookmarkEnd w:id="44"/>
    </w:p>
    <w:p w14:paraId="6D738394" w14:textId="3A1E8E60" w:rsidR="00BA232D" w:rsidRDefault="0045200E" w:rsidP="0024114E">
      <w:r>
        <w:t xml:space="preserve">The Board has continued to embrace its role as a trusted </w:t>
      </w:r>
      <w:r w:rsidRPr="00B80FB1">
        <w:t>advis</w:t>
      </w:r>
      <w:r w:rsidR="00A9616A" w:rsidRPr="00B80FB1">
        <w:t>o</w:t>
      </w:r>
      <w:r w:rsidR="00A9616A">
        <w:t>r</w:t>
      </w:r>
      <w:r>
        <w:t xml:space="preserve"> to Government, the Treasury, and the </w:t>
      </w:r>
      <w:r w:rsidR="00152A60">
        <w:t>ATO</w:t>
      </w:r>
      <w:r w:rsidR="005348C7">
        <w:t> </w:t>
      </w:r>
      <w:r>
        <w:t>by providing regular ad hoc advice throughout the year</w:t>
      </w:r>
      <w:r w:rsidR="00DE1E7A">
        <w:t xml:space="preserve">. </w:t>
      </w:r>
    </w:p>
    <w:p w14:paraId="2E2557C6" w14:textId="3D7BE84D" w:rsidR="005E2B9A" w:rsidRDefault="0045200E" w:rsidP="00E76A6F">
      <w:r>
        <w:t>During the 202</w:t>
      </w:r>
      <w:r w:rsidR="00CC4D57">
        <w:t>5</w:t>
      </w:r>
      <w:r w:rsidR="0024114E">
        <w:t>–</w:t>
      </w:r>
      <w:r>
        <w:t>2</w:t>
      </w:r>
      <w:r w:rsidR="00CC4D57">
        <w:t>6</w:t>
      </w:r>
      <w:r>
        <w:t xml:space="preserve"> year the Board was pleased to support Treasury</w:t>
      </w:r>
      <w:r w:rsidR="00BF004D">
        <w:t xml:space="preserve"> and the ATO</w:t>
      </w:r>
      <w:r>
        <w:t xml:space="preserve"> </w:t>
      </w:r>
      <w:r w:rsidR="005D3937">
        <w:t>by providing consultation and feedback in relation to</w:t>
      </w:r>
      <w:r w:rsidR="00BA6215">
        <w:t xml:space="preserve"> </w:t>
      </w:r>
      <w:proofErr w:type="gramStart"/>
      <w:r w:rsidR="00BF004D">
        <w:t>a number of</w:t>
      </w:r>
      <w:proofErr w:type="gramEnd"/>
      <w:r w:rsidR="00BF004D">
        <w:t xml:space="preserve"> </w:t>
      </w:r>
      <w:r w:rsidR="00E76A6F">
        <w:t>tax and administrati</w:t>
      </w:r>
      <w:r w:rsidR="009877CA">
        <w:t>ve</w:t>
      </w:r>
      <w:r w:rsidR="00E76A6F">
        <w:t xml:space="preserve"> measures and guidance products. </w:t>
      </w:r>
    </w:p>
    <w:p w14:paraId="1D81E696" w14:textId="2379EB4F" w:rsidR="002F3E00" w:rsidRDefault="00495EE7" w:rsidP="00464518">
      <w:pPr>
        <w:pStyle w:val="Heading3"/>
      </w:pPr>
      <w:r>
        <w:t xml:space="preserve">Voluntary </w:t>
      </w:r>
      <w:r w:rsidR="002F3E00">
        <w:t xml:space="preserve">Tax </w:t>
      </w:r>
      <w:r w:rsidR="002F3E00" w:rsidRPr="00464518">
        <w:t>Transparency</w:t>
      </w:r>
      <w:r w:rsidR="002F3E00">
        <w:t xml:space="preserve"> Code and Register</w:t>
      </w:r>
    </w:p>
    <w:p w14:paraId="48D077F9" w14:textId="5ECF63EB" w:rsidR="002F3E00" w:rsidRDefault="002F3E00" w:rsidP="0024114E">
      <w:r w:rsidRPr="005014BA">
        <w:t xml:space="preserve">The </w:t>
      </w:r>
      <w:r w:rsidR="00513E39">
        <w:t>VTTC</w:t>
      </w:r>
      <w:r w:rsidRPr="005014BA">
        <w:t xml:space="preserve"> is a </w:t>
      </w:r>
      <w:r w:rsidR="003C5C3C">
        <w:t>Board developed</w:t>
      </w:r>
      <w:r w:rsidRPr="005014BA">
        <w:t xml:space="preserve"> set of principles and minimum standards to guide disclosure of tax information by businesses</w:t>
      </w:r>
      <w:r w:rsidR="00685BDB">
        <w:t>. The VTTC encourages taxpayers to publicly disclose information regarding their tax affairs to promote community confidence that they are paying their fair share of tax and not engaging in aggressive tax avoidance behaviours</w:t>
      </w:r>
      <w:r w:rsidR="00604C46">
        <w:t>.</w:t>
      </w:r>
      <w:r w:rsidR="00877B60">
        <w:t xml:space="preserve"> </w:t>
      </w:r>
      <w:r w:rsidRPr="005014BA">
        <w:t xml:space="preserve">The Board is responsible for maintaining the register of signatories to the </w:t>
      </w:r>
      <w:r w:rsidR="000B50FC">
        <w:t>VTTC</w:t>
      </w:r>
      <w:r w:rsidRPr="005014BA">
        <w:t xml:space="preserve">. </w:t>
      </w:r>
    </w:p>
    <w:p w14:paraId="5253A2A0" w14:textId="53E961E9" w:rsidR="009715B1" w:rsidRDefault="000C4E06" w:rsidP="0024114E">
      <w:r w:rsidRPr="001E6E72">
        <w:t xml:space="preserve">There </w:t>
      </w:r>
      <w:r w:rsidR="007F24BD" w:rsidRPr="001E6E72">
        <w:t>were 2</w:t>
      </w:r>
      <w:r w:rsidR="00D75822">
        <w:t>2</w:t>
      </w:r>
      <w:r w:rsidR="00880727">
        <w:t>4</w:t>
      </w:r>
      <w:r w:rsidR="007F24BD" w:rsidRPr="001E6E72">
        <w:t xml:space="preserve"> signatories to the </w:t>
      </w:r>
      <w:r w:rsidR="00EE1E7D">
        <w:t>V</w:t>
      </w:r>
      <w:r w:rsidR="007F24BD" w:rsidRPr="001E6E72">
        <w:t xml:space="preserve">TTC as </w:t>
      </w:r>
      <w:r w:rsidR="00E3117E" w:rsidRPr="001E6E72">
        <w:t>of</w:t>
      </w:r>
      <w:r w:rsidR="007F24BD" w:rsidRPr="001E6E72">
        <w:t xml:space="preserve"> 30 June 202</w:t>
      </w:r>
      <w:r w:rsidR="00C85779">
        <w:t>6</w:t>
      </w:r>
      <w:r w:rsidR="00944E55" w:rsidRPr="001E6E72">
        <w:t>. Of these</w:t>
      </w:r>
      <w:r w:rsidR="00221BAC" w:rsidRPr="001E6E72">
        <w:t xml:space="preserve"> </w:t>
      </w:r>
      <w:r w:rsidR="00221BAC" w:rsidRPr="00C24F87">
        <w:t>2</w:t>
      </w:r>
      <w:r w:rsidR="00D75822" w:rsidRPr="00C24F87">
        <w:t>2</w:t>
      </w:r>
      <w:r w:rsidR="00DC1DB7" w:rsidRPr="00C24F87">
        <w:t>4</w:t>
      </w:r>
      <w:r w:rsidR="00221BAC" w:rsidRPr="001E6E72">
        <w:t xml:space="preserve"> signatories</w:t>
      </w:r>
      <w:r w:rsidR="00944E55" w:rsidRPr="00163E45">
        <w:t xml:space="preserve">, </w:t>
      </w:r>
      <w:r w:rsidR="00686D3C" w:rsidRPr="00C24F87">
        <w:t>2</w:t>
      </w:r>
      <w:r w:rsidR="00163E45" w:rsidRPr="00C24F87">
        <w:t>2</w:t>
      </w:r>
      <w:r w:rsidR="006D3ABF" w:rsidRPr="00C24F87">
        <w:t>2</w:t>
      </w:r>
      <w:r w:rsidR="00A373D1" w:rsidRPr="00163E45">
        <w:t xml:space="preserve"> signatories had notified </w:t>
      </w:r>
      <w:r w:rsidR="002524EA" w:rsidRPr="00163E45">
        <w:t xml:space="preserve">of at least one published report </w:t>
      </w:r>
      <w:r w:rsidR="007A78B0" w:rsidRPr="00163E45">
        <w:t xml:space="preserve">as </w:t>
      </w:r>
      <w:r w:rsidR="00E3117E" w:rsidRPr="00163E45">
        <w:t>of</w:t>
      </w:r>
      <w:r w:rsidR="002524EA" w:rsidRPr="00163E45">
        <w:t xml:space="preserve"> 30</w:t>
      </w:r>
      <w:r w:rsidR="00FB6E3E" w:rsidRPr="00163E45">
        <w:t> </w:t>
      </w:r>
      <w:r w:rsidR="002524EA" w:rsidRPr="00163E45">
        <w:t>June</w:t>
      </w:r>
      <w:r w:rsidR="00FB6E3E" w:rsidRPr="00163E45">
        <w:t> </w:t>
      </w:r>
      <w:r w:rsidR="005F59E0" w:rsidRPr="00C24F87">
        <w:t>202</w:t>
      </w:r>
      <w:r w:rsidR="006D3ABF" w:rsidRPr="00C24F87">
        <w:t>6</w:t>
      </w:r>
      <w:r w:rsidR="005F59E0" w:rsidRPr="00163E45">
        <w:t>.</w:t>
      </w:r>
      <w:r w:rsidR="005F59E0">
        <w:t xml:space="preserve"> </w:t>
      </w:r>
    </w:p>
    <w:p w14:paraId="4A5B83BF" w14:textId="068804A2" w:rsidR="000F784E" w:rsidRDefault="001279A8" w:rsidP="00E0750B">
      <w:pPr>
        <w:sectPr w:rsidR="000F784E" w:rsidSect="005506BB">
          <w:headerReference w:type="default" r:id="rId36"/>
          <w:footerReference w:type="default" r:id="rId37"/>
          <w:type w:val="continuous"/>
          <w:pgSz w:w="11909" w:h="16834" w:code="9"/>
          <w:pgMar w:top="2268" w:right="1134" w:bottom="1985" w:left="1134" w:header="1134" w:footer="1134" w:gutter="0"/>
          <w:cols w:space="708"/>
          <w:docGrid w:linePitch="360"/>
        </w:sectPr>
      </w:pPr>
      <w:r w:rsidRPr="00182490">
        <w:lastRenderedPageBreak/>
        <w:t>As reported in the ATO</w:t>
      </w:r>
      <w:r w:rsidR="00205936">
        <w:t>’</w:t>
      </w:r>
      <w:r w:rsidR="00C3586B" w:rsidRPr="00182490">
        <w:t>s</w:t>
      </w:r>
      <w:r w:rsidRPr="00182490">
        <w:t xml:space="preserve"> </w:t>
      </w:r>
      <w:r w:rsidR="00C760C5" w:rsidRPr="00182490">
        <w:t xml:space="preserve">Voluntary Tax Transparency statistics for </w:t>
      </w:r>
      <w:r w:rsidR="00C2359D" w:rsidRPr="00182490">
        <w:t>30 June 202</w:t>
      </w:r>
      <w:r w:rsidR="00F768E4">
        <w:t>6</w:t>
      </w:r>
      <w:r w:rsidR="00C2359D" w:rsidRPr="00182490">
        <w:t>, the 2</w:t>
      </w:r>
      <w:r w:rsidR="0019015A">
        <w:t>2</w:t>
      </w:r>
      <w:r w:rsidR="00233959">
        <w:t>4</w:t>
      </w:r>
      <w:r w:rsidR="00C2359D" w:rsidRPr="00182490">
        <w:t xml:space="preserve"> signatories </w:t>
      </w:r>
      <w:r w:rsidR="00DB711A" w:rsidRPr="00182490">
        <w:t xml:space="preserve">are represented </w:t>
      </w:r>
      <w:r w:rsidR="00376018" w:rsidRPr="00182490">
        <w:t>as follows</w:t>
      </w:r>
      <w:r w:rsidR="00DB711A" w:rsidRPr="00182490">
        <w:t>:</w:t>
      </w:r>
      <w:r w:rsidR="00990537" w:rsidRPr="00182490">
        <w:rPr>
          <w:rStyle w:val="FootnoteReference"/>
        </w:rPr>
        <w:footnoteReference w:id="5"/>
      </w:r>
    </w:p>
    <w:p w14:paraId="5A1B45F5" w14:textId="46ED91D7" w:rsidR="000F784E" w:rsidRDefault="00B41C13" w:rsidP="000F784E">
      <w:pPr>
        <w:pStyle w:val="TableHeading1"/>
      </w:pPr>
      <w:bookmarkStart w:id="45" w:name="_Toc149905534"/>
      <w:r>
        <w:t xml:space="preserve">Table </w:t>
      </w:r>
      <w:r w:rsidR="007004CB">
        <w:t>2</w:t>
      </w:r>
      <w:r>
        <w:t xml:space="preserve">: </w:t>
      </w:r>
      <w:r w:rsidR="000F784E">
        <w:t>Signatories by size</w:t>
      </w:r>
      <w:r w:rsidR="00720840">
        <w:t xml:space="preserve"> </w:t>
      </w:r>
      <w:r w:rsidR="000F784E">
        <w:t>of signatory:</w:t>
      </w:r>
    </w:p>
    <w:tbl>
      <w:tblPr>
        <w:tblStyle w:val="ListTable3-Accent1"/>
        <w:tblW w:w="5000" w:type="pct"/>
        <w:tblBorders>
          <w:top w:val="single" w:sz="4" w:space="0" w:color="701F4D" w:themeColor="accent2"/>
          <w:left w:val="none" w:sz="0" w:space="0" w:color="auto"/>
          <w:bottom w:val="single" w:sz="8" w:space="0" w:color="701F4D" w:themeColor="accent2"/>
          <w:right w:val="none" w:sz="0" w:space="0" w:color="auto"/>
          <w:insideH w:val="single" w:sz="4" w:space="0" w:color="701F4D" w:themeColor="accent2"/>
        </w:tblBorders>
        <w:tblCellMar>
          <w:top w:w="57" w:type="dxa"/>
          <w:bottom w:w="57" w:type="dxa"/>
          <w:right w:w="113" w:type="dxa"/>
        </w:tblCellMar>
        <w:tblLook w:val="06A0" w:firstRow="1" w:lastRow="0" w:firstColumn="1" w:lastColumn="0" w:noHBand="1" w:noVBand="1"/>
      </w:tblPr>
      <w:tblGrid>
        <w:gridCol w:w="2295"/>
        <w:gridCol w:w="1034"/>
        <w:gridCol w:w="1264"/>
      </w:tblGrid>
      <w:tr w:rsidR="00591892" w:rsidRPr="00205936" w14:paraId="26115369" w14:textId="77777777" w:rsidTr="00BF5577">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2263" w:type="dxa"/>
            <w:tcBorders>
              <w:bottom w:val="none" w:sz="0" w:space="0" w:color="auto"/>
              <w:right w:val="none" w:sz="0" w:space="0" w:color="auto"/>
            </w:tcBorders>
            <w:shd w:val="clear" w:color="auto" w:fill="701F4D" w:themeFill="accent2"/>
            <w:vAlign w:val="bottom"/>
          </w:tcPr>
          <w:p w14:paraId="72EE208A" w14:textId="6A0C8793" w:rsidR="000F784E" w:rsidRPr="00205936" w:rsidRDefault="000F784E" w:rsidP="00B41C13">
            <w:pPr>
              <w:pStyle w:val="TableHeaderCellLeft"/>
            </w:pPr>
            <w:r w:rsidRPr="00205936">
              <w:t>Size of signatory</w:t>
            </w:r>
          </w:p>
        </w:tc>
        <w:tc>
          <w:tcPr>
            <w:tcW w:w="1020" w:type="dxa"/>
            <w:shd w:val="clear" w:color="auto" w:fill="701F4D" w:themeFill="accent2"/>
            <w:vAlign w:val="bottom"/>
          </w:tcPr>
          <w:p w14:paraId="3463456B" w14:textId="77777777" w:rsidR="000F784E" w:rsidRPr="00205936" w:rsidRDefault="000F784E" w:rsidP="00B41C13">
            <w:pPr>
              <w:pStyle w:val="TableHeaderCellRight"/>
              <w:cnfStyle w:val="100000000000" w:firstRow="1" w:lastRow="0" w:firstColumn="0" w:lastColumn="0" w:oddVBand="0" w:evenVBand="0" w:oddHBand="0" w:evenHBand="0" w:firstRowFirstColumn="0" w:firstRowLastColumn="0" w:lastRowFirstColumn="0" w:lastRowLastColumn="0"/>
            </w:pPr>
            <w:r w:rsidRPr="00205936">
              <w:t>Number</w:t>
            </w:r>
          </w:p>
        </w:tc>
        <w:tc>
          <w:tcPr>
            <w:tcW w:w="1247" w:type="dxa"/>
            <w:shd w:val="clear" w:color="auto" w:fill="701F4D" w:themeFill="accent2"/>
            <w:vAlign w:val="bottom"/>
          </w:tcPr>
          <w:p w14:paraId="5F6AFA4D" w14:textId="77777777" w:rsidR="000F784E" w:rsidRPr="00205936" w:rsidRDefault="000F784E" w:rsidP="00B41C13">
            <w:pPr>
              <w:pStyle w:val="TableHeaderCellRight"/>
              <w:cnfStyle w:val="100000000000" w:firstRow="1" w:lastRow="0" w:firstColumn="0" w:lastColumn="0" w:oddVBand="0" w:evenVBand="0" w:oddHBand="0" w:evenHBand="0" w:firstRowFirstColumn="0" w:firstRowLastColumn="0" w:lastRowFirstColumn="0" w:lastRowLastColumn="0"/>
            </w:pPr>
            <w:r w:rsidRPr="00205936">
              <w:t>Percentage</w:t>
            </w:r>
          </w:p>
        </w:tc>
      </w:tr>
      <w:tr w:rsidR="00591892" w:rsidRPr="00205936" w14:paraId="7D345343" w14:textId="77777777" w:rsidTr="00BF5577">
        <w:tc>
          <w:tcPr>
            <w:cnfStyle w:val="001000000000" w:firstRow="0" w:lastRow="0" w:firstColumn="1" w:lastColumn="0" w:oddVBand="0" w:evenVBand="0" w:oddHBand="0" w:evenHBand="0" w:firstRowFirstColumn="0" w:firstRowLastColumn="0" w:lastRowFirstColumn="0" w:lastRowLastColumn="0"/>
            <w:tcW w:w="2263" w:type="dxa"/>
            <w:tcBorders>
              <w:right w:val="none" w:sz="0" w:space="0" w:color="auto"/>
            </w:tcBorders>
            <w:shd w:val="clear" w:color="auto" w:fill="F6F2ED" w:themeFill="accent3" w:themeFillTint="33"/>
            <w:vAlign w:val="center"/>
          </w:tcPr>
          <w:p w14:paraId="01B9AB28" w14:textId="77777777" w:rsidR="000F784E" w:rsidRPr="00B41C13" w:rsidRDefault="000F784E" w:rsidP="00B41C13">
            <w:pPr>
              <w:pStyle w:val="TableBodyCellLeft"/>
            </w:pPr>
            <w:r w:rsidRPr="00B41C13">
              <w:t>Large</w:t>
            </w:r>
          </w:p>
        </w:tc>
        <w:tc>
          <w:tcPr>
            <w:tcW w:w="1020" w:type="dxa"/>
            <w:vAlign w:val="center"/>
          </w:tcPr>
          <w:p w14:paraId="4AE7BFFF"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185</w:t>
            </w:r>
          </w:p>
        </w:tc>
        <w:tc>
          <w:tcPr>
            <w:tcW w:w="1247" w:type="dxa"/>
            <w:vAlign w:val="center"/>
          </w:tcPr>
          <w:p w14:paraId="37BD88C2"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83%</w:t>
            </w:r>
          </w:p>
        </w:tc>
      </w:tr>
      <w:tr w:rsidR="00591892" w:rsidRPr="00205936" w14:paraId="53CDF4A9" w14:textId="77777777" w:rsidTr="00BF5577">
        <w:tc>
          <w:tcPr>
            <w:cnfStyle w:val="001000000000" w:firstRow="0" w:lastRow="0" w:firstColumn="1" w:lastColumn="0" w:oddVBand="0" w:evenVBand="0" w:oddHBand="0" w:evenHBand="0" w:firstRowFirstColumn="0" w:firstRowLastColumn="0" w:lastRowFirstColumn="0" w:lastRowLastColumn="0"/>
            <w:tcW w:w="2263" w:type="dxa"/>
            <w:tcBorders>
              <w:right w:val="none" w:sz="0" w:space="0" w:color="auto"/>
            </w:tcBorders>
            <w:shd w:val="clear" w:color="auto" w:fill="F6F2ED" w:themeFill="accent3" w:themeFillTint="33"/>
            <w:vAlign w:val="center"/>
          </w:tcPr>
          <w:p w14:paraId="5B6B3AE8" w14:textId="77777777" w:rsidR="000F784E" w:rsidRPr="00B41C13" w:rsidRDefault="000F784E" w:rsidP="00B41C13">
            <w:pPr>
              <w:pStyle w:val="TableBodyCellLeft"/>
            </w:pPr>
            <w:r w:rsidRPr="00B41C13">
              <w:t>Medium</w:t>
            </w:r>
          </w:p>
        </w:tc>
        <w:tc>
          <w:tcPr>
            <w:tcW w:w="1020" w:type="dxa"/>
            <w:vAlign w:val="center"/>
          </w:tcPr>
          <w:p w14:paraId="3BBFC301" w14:textId="38FED7AD" w:rsidR="000F784E" w:rsidRPr="00B41C13" w:rsidRDefault="00A27E1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29</w:t>
            </w:r>
          </w:p>
        </w:tc>
        <w:tc>
          <w:tcPr>
            <w:tcW w:w="1247" w:type="dxa"/>
            <w:vAlign w:val="center"/>
          </w:tcPr>
          <w:p w14:paraId="46A8C658"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13%</w:t>
            </w:r>
          </w:p>
        </w:tc>
      </w:tr>
      <w:tr w:rsidR="00591892" w:rsidRPr="00205936" w14:paraId="1D2C9233" w14:textId="77777777" w:rsidTr="00BF5577">
        <w:tc>
          <w:tcPr>
            <w:cnfStyle w:val="001000000000" w:firstRow="0" w:lastRow="0" w:firstColumn="1" w:lastColumn="0" w:oddVBand="0" w:evenVBand="0" w:oddHBand="0" w:evenHBand="0" w:firstRowFirstColumn="0" w:firstRowLastColumn="0" w:lastRowFirstColumn="0" w:lastRowLastColumn="0"/>
            <w:tcW w:w="2263" w:type="dxa"/>
            <w:tcBorders>
              <w:right w:val="none" w:sz="0" w:space="0" w:color="auto"/>
            </w:tcBorders>
            <w:shd w:val="clear" w:color="auto" w:fill="F6F2ED" w:themeFill="accent3" w:themeFillTint="33"/>
            <w:vAlign w:val="center"/>
          </w:tcPr>
          <w:p w14:paraId="1F2FD74E" w14:textId="77777777" w:rsidR="000F784E" w:rsidRPr="00B41C13" w:rsidRDefault="000F784E" w:rsidP="00B41C13">
            <w:pPr>
              <w:pStyle w:val="TableBodyCellLeft"/>
            </w:pPr>
            <w:r w:rsidRPr="00B41C13">
              <w:t>Small</w:t>
            </w:r>
          </w:p>
        </w:tc>
        <w:tc>
          <w:tcPr>
            <w:tcW w:w="1020" w:type="dxa"/>
            <w:vAlign w:val="center"/>
          </w:tcPr>
          <w:p w14:paraId="096391FF"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8</w:t>
            </w:r>
          </w:p>
        </w:tc>
        <w:tc>
          <w:tcPr>
            <w:tcW w:w="1247" w:type="dxa"/>
            <w:vAlign w:val="center"/>
          </w:tcPr>
          <w:p w14:paraId="4BE4A220"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4%</w:t>
            </w:r>
          </w:p>
        </w:tc>
      </w:tr>
    </w:tbl>
    <w:p w14:paraId="2FF6B71D" w14:textId="20E8E3D1" w:rsidR="000F784E" w:rsidRDefault="00B41C13" w:rsidP="000F784E">
      <w:pPr>
        <w:pStyle w:val="TableHeading1"/>
      </w:pPr>
      <w:r>
        <w:t xml:space="preserve">Table </w:t>
      </w:r>
      <w:r w:rsidR="007004CB">
        <w:t>3</w:t>
      </w:r>
      <w:r>
        <w:t xml:space="preserve">: </w:t>
      </w:r>
      <w:r w:rsidR="000F784E">
        <w:t>Signatories by origin of</w:t>
      </w:r>
      <w:r>
        <w:t> </w:t>
      </w:r>
      <w:r w:rsidR="000F784E">
        <w:t>ultimate holding company:</w:t>
      </w:r>
    </w:p>
    <w:tbl>
      <w:tblPr>
        <w:tblStyle w:val="ListTable3-Accent1"/>
        <w:tblW w:w="5000" w:type="pct"/>
        <w:tblBorders>
          <w:top w:val="single" w:sz="4" w:space="0" w:color="701F4D" w:themeColor="accent2"/>
          <w:left w:val="none" w:sz="0" w:space="0" w:color="auto"/>
          <w:bottom w:val="single" w:sz="8" w:space="0" w:color="701F4D" w:themeColor="accent2"/>
          <w:right w:val="none" w:sz="0" w:space="0" w:color="auto"/>
          <w:insideH w:val="single" w:sz="4" w:space="0" w:color="701F4D" w:themeColor="accent2"/>
        </w:tblBorders>
        <w:tblCellMar>
          <w:top w:w="57" w:type="dxa"/>
          <w:bottom w:w="57" w:type="dxa"/>
          <w:right w:w="113" w:type="dxa"/>
        </w:tblCellMar>
        <w:tblLook w:val="06A0" w:firstRow="1" w:lastRow="0" w:firstColumn="1" w:lastColumn="0" w:noHBand="1" w:noVBand="1"/>
      </w:tblPr>
      <w:tblGrid>
        <w:gridCol w:w="2297"/>
        <w:gridCol w:w="1033"/>
        <w:gridCol w:w="1263"/>
      </w:tblGrid>
      <w:tr w:rsidR="000F784E" w:rsidRPr="00205936" w14:paraId="6CA1D092" w14:textId="77777777" w:rsidTr="00BF5577">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2268" w:type="dxa"/>
            <w:tcBorders>
              <w:bottom w:val="none" w:sz="0" w:space="0" w:color="auto"/>
              <w:right w:val="none" w:sz="0" w:space="0" w:color="auto"/>
            </w:tcBorders>
            <w:shd w:val="clear" w:color="auto" w:fill="701F4D" w:themeFill="accent2"/>
            <w:vAlign w:val="bottom"/>
          </w:tcPr>
          <w:p w14:paraId="53AAA3A9" w14:textId="6318077E" w:rsidR="000F784E" w:rsidRPr="00205936" w:rsidRDefault="000F784E" w:rsidP="00B41C13">
            <w:pPr>
              <w:pStyle w:val="TableHeaderCellLeft"/>
              <w:spacing w:before="100" w:beforeAutospacing="1"/>
            </w:pPr>
            <w:r w:rsidRPr="00205936">
              <w:t>Origin of ultimate holding company</w:t>
            </w:r>
          </w:p>
        </w:tc>
        <w:tc>
          <w:tcPr>
            <w:tcW w:w="1020" w:type="dxa"/>
            <w:shd w:val="clear" w:color="auto" w:fill="701F4D" w:themeFill="accent2"/>
            <w:vAlign w:val="bottom"/>
          </w:tcPr>
          <w:p w14:paraId="54557863" w14:textId="77777777" w:rsidR="000F784E" w:rsidRPr="00205936" w:rsidRDefault="000F784E" w:rsidP="00B41C13">
            <w:pPr>
              <w:pStyle w:val="TableHeaderCellRight"/>
              <w:cnfStyle w:val="100000000000" w:firstRow="1" w:lastRow="0" w:firstColumn="0" w:lastColumn="0" w:oddVBand="0" w:evenVBand="0" w:oddHBand="0" w:evenHBand="0" w:firstRowFirstColumn="0" w:firstRowLastColumn="0" w:lastRowFirstColumn="0" w:lastRowLastColumn="0"/>
            </w:pPr>
            <w:r w:rsidRPr="00205936">
              <w:t>Number</w:t>
            </w:r>
          </w:p>
        </w:tc>
        <w:tc>
          <w:tcPr>
            <w:tcW w:w="1247" w:type="dxa"/>
            <w:shd w:val="clear" w:color="auto" w:fill="701F4D" w:themeFill="accent2"/>
            <w:vAlign w:val="bottom"/>
          </w:tcPr>
          <w:p w14:paraId="6DF860AD" w14:textId="77777777" w:rsidR="000F784E" w:rsidRPr="00205936" w:rsidRDefault="000F784E" w:rsidP="00B41C13">
            <w:pPr>
              <w:pStyle w:val="TableHeaderCellRight"/>
              <w:cnfStyle w:val="100000000000" w:firstRow="1" w:lastRow="0" w:firstColumn="0" w:lastColumn="0" w:oddVBand="0" w:evenVBand="0" w:oddHBand="0" w:evenHBand="0" w:firstRowFirstColumn="0" w:firstRowLastColumn="0" w:lastRowFirstColumn="0" w:lastRowLastColumn="0"/>
            </w:pPr>
            <w:r w:rsidRPr="00205936">
              <w:t>Percentage</w:t>
            </w:r>
          </w:p>
        </w:tc>
      </w:tr>
      <w:tr w:rsidR="000F784E" w:rsidRPr="00205936" w14:paraId="767385F2" w14:textId="77777777" w:rsidTr="00BF5577">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shd w:val="clear" w:color="auto" w:fill="F6F2ED" w:themeFill="accent3" w:themeFillTint="33"/>
            <w:vAlign w:val="center"/>
          </w:tcPr>
          <w:p w14:paraId="16CB5778" w14:textId="77777777" w:rsidR="000F784E" w:rsidRPr="00B41C13" w:rsidRDefault="000F784E" w:rsidP="00B41C13">
            <w:pPr>
              <w:pStyle w:val="TableBodyCellLeft"/>
            </w:pPr>
            <w:r w:rsidRPr="00B41C13">
              <w:t>Australia</w:t>
            </w:r>
          </w:p>
        </w:tc>
        <w:tc>
          <w:tcPr>
            <w:tcW w:w="1020" w:type="dxa"/>
            <w:vAlign w:val="center"/>
          </w:tcPr>
          <w:p w14:paraId="11E755C3" w14:textId="45984E8A"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17</w:t>
            </w:r>
            <w:r w:rsidR="0094745E" w:rsidRPr="00B41C13">
              <w:t>0</w:t>
            </w:r>
          </w:p>
        </w:tc>
        <w:tc>
          <w:tcPr>
            <w:tcW w:w="1247" w:type="dxa"/>
            <w:vAlign w:val="center"/>
          </w:tcPr>
          <w:p w14:paraId="72D1D209" w14:textId="5631B36E"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76%</w:t>
            </w:r>
          </w:p>
        </w:tc>
      </w:tr>
      <w:tr w:rsidR="000F784E" w:rsidRPr="00205936" w14:paraId="1D29B632" w14:textId="77777777" w:rsidTr="00BF5577">
        <w:trPr>
          <w:trHeight w:val="27"/>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shd w:val="clear" w:color="auto" w:fill="F6F2ED" w:themeFill="accent3" w:themeFillTint="33"/>
            <w:vAlign w:val="center"/>
          </w:tcPr>
          <w:p w14:paraId="48E69DA8" w14:textId="77777777" w:rsidR="000F784E" w:rsidRPr="00B41C13" w:rsidRDefault="000F784E" w:rsidP="00B41C13">
            <w:pPr>
              <w:pStyle w:val="TableBodyCellLeft"/>
            </w:pPr>
            <w:r w:rsidRPr="00B41C13">
              <w:t>Foreign</w:t>
            </w:r>
          </w:p>
        </w:tc>
        <w:tc>
          <w:tcPr>
            <w:tcW w:w="1020" w:type="dxa"/>
            <w:vAlign w:val="center"/>
          </w:tcPr>
          <w:p w14:paraId="523B22E7"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45</w:t>
            </w:r>
          </w:p>
        </w:tc>
        <w:tc>
          <w:tcPr>
            <w:tcW w:w="1247" w:type="dxa"/>
            <w:vAlign w:val="center"/>
          </w:tcPr>
          <w:p w14:paraId="41B6CED6"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20%</w:t>
            </w:r>
          </w:p>
        </w:tc>
      </w:tr>
      <w:tr w:rsidR="000F784E" w:rsidRPr="00205936" w14:paraId="41EE6C41" w14:textId="77777777" w:rsidTr="00BF5577">
        <w:trPr>
          <w:trHeight w:val="20"/>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shd w:val="clear" w:color="auto" w:fill="F6F2ED" w:themeFill="accent3" w:themeFillTint="33"/>
            <w:vAlign w:val="center"/>
          </w:tcPr>
          <w:p w14:paraId="643F5675" w14:textId="05947B5F" w:rsidR="000F784E" w:rsidRPr="00B41C13" w:rsidRDefault="000F784E" w:rsidP="00B41C13">
            <w:pPr>
              <w:pStyle w:val="TableBodyCellLeft"/>
            </w:pPr>
            <w:r w:rsidRPr="00B41C13">
              <w:t>Australia &amp; Foreign dual listed</w:t>
            </w:r>
          </w:p>
        </w:tc>
        <w:tc>
          <w:tcPr>
            <w:tcW w:w="1020" w:type="dxa"/>
            <w:vAlign w:val="center"/>
          </w:tcPr>
          <w:p w14:paraId="6CE4AC7B"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7</w:t>
            </w:r>
          </w:p>
        </w:tc>
        <w:tc>
          <w:tcPr>
            <w:tcW w:w="1247" w:type="dxa"/>
            <w:vAlign w:val="center"/>
          </w:tcPr>
          <w:p w14:paraId="1BB9CCB1"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3%</w:t>
            </w:r>
          </w:p>
        </w:tc>
      </w:tr>
      <w:tr w:rsidR="000F784E" w:rsidRPr="00205936" w14:paraId="614AA9BB" w14:textId="77777777" w:rsidTr="00BF5577">
        <w:trPr>
          <w:trHeight w:val="212"/>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shd w:val="clear" w:color="auto" w:fill="F6F2ED" w:themeFill="accent3" w:themeFillTint="33"/>
            <w:vAlign w:val="center"/>
          </w:tcPr>
          <w:p w14:paraId="72BBDE2A" w14:textId="77777777" w:rsidR="000F784E" w:rsidRPr="00B41C13" w:rsidRDefault="000F784E" w:rsidP="00B41C13">
            <w:pPr>
              <w:pStyle w:val="TableBodyCellLeft"/>
            </w:pPr>
            <w:r w:rsidRPr="00B41C13">
              <w:t>Undisclosed</w:t>
            </w:r>
          </w:p>
        </w:tc>
        <w:tc>
          <w:tcPr>
            <w:tcW w:w="1020" w:type="dxa"/>
            <w:vAlign w:val="center"/>
          </w:tcPr>
          <w:p w14:paraId="2C46E852"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2</w:t>
            </w:r>
          </w:p>
        </w:tc>
        <w:tc>
          <w:tcPr>
            <w:tcW w:w="1247" w:type="dxa"/>
            <w:vAlign w:val="center"/>
          </w:tcPr>
          <w:p w14:paraId="374B5D64" w14:textId="77777777" w:rsidR="000F784E" w:rsidRPr="00B41C13" w:rsidRDefault="000F784E" w:rsidP="00B41C13">
            <w:pPr>
              <w:pStyle w:val="TableBodyCellRight"/>
              <w:cnfStyle w:val="000000000000" w:firstRow="0" w:lastRow="0" w:firstColumn="0" w:lastColumn="0" w:oddVBand="0" w:evenVBand="0" w:oddHBand="0" w:evenHBand="0" w:firstRowFirstColumn="0" w:firstRowLastColumn="0" w:lastRowFirstColumn="0" w:lastRowLastColumn="0"/>
            </w:pPr>
            <w:r w:rsidRPr="00B41C13">
              <w:t>1%</w:t>
            </w:r>
          </w:p>
        </w:tc>
      </w:tr>
    </w:tbl>
    <w:p w14:paraId="5C4A16B5" w14:textId="77777777" w:rsidR="000F784E" w:rsidRDefault="000F784E" w:rsidP="005D5124">
      <w:pPr>
        <w:sectPr w:rsidR="000F784E" w:rsidSect="00B41C13">
          <w:type w:val="continuous"/>
          <w:pgSz w:w="11909" w:h="16834" w:code="9"/>
          <w:pgMar w:top="2268" w:right="1134" w:bottom="1985" w:left="1134" w:header="1134" w:footer="1134" w:gutter="0"/>
          <w:cols w:num="2" w:space="454"/>
          <w:docGrid w:linePitch="360"/>
        </w:sectPr>
      </w:pPr>
    </w:p>
    <w:p w14:paraId="26EE1C65" w14:textId="20117DFE" w:rsidR="00FE7A25" w:rsidRPr="005D5124" w:rsidRDefault="00FE7A25" w:rsidP="005D5124">
      <w:r>
        <w:br w:type="page"/>
      </w:r>
    </w:p>
    <w:p w14:paraId="57C16872" w14:textId="74D33B33" w:rsidR="00591892" w:rsidRPr="00591892" w:rsidRDefault="00591892" w:rsidP="00464518">
      <w:pPr>
        <w:pStyle w:val="Heading1"/>
      </w:pPr>
      <w:bookmarkStart w:id="46" w:name="_Toc238644409"/>
      <w:bookmarkEnd w:id="45"/>
      <w:r w:rsidRPr="00591892">
        <w:lastRenderedPageBreak/>
        <w:t>The year ahead –</w:t>
      </w:r>
      <w:r w:rsidR="00311B55">
        <w:t xml:space="preserve"> </w:t>
      </w:r>
      <w:r w:rsidRPr="00591892">
        <w:t>202</w:t>
      </w:r>
      <w:r w:rsidR="00E64A55">
        <w:t>6</w:t>
      </w:r>
      <w:r w:rsidR="00B94997">
        <w:t>‍</w:t>
      </w:r>
      <w:r w:rsidRPr="00591892">
        <w:t>–</w:t>
      </w:r>
      <w:r w:rsidR="00B94997">
        <w:t>‍</w:t>
      </w:r>
      <w:r w:rsidRPr="00591892">
        <w:t>2</w:t>
      </w:r>
      <w:r w:rsidR="00E64A55">
        <w:t>7</w:t>
      </w:r>
      <w:r w:rsidR="00B94997">
        <w:t> </w:t>
      </w:r>
      <w:r w:rsidRPr="00591892">
        <w:t>reporting year</w:t>
      </w:r>
      <w:bookmarkEnd w:id="46"/>
    </w:p>
    <w:p w14:paraId="25D1BA22" w14:textId="7F21783E" w:rsidR="004E7961" w:rsidRPr="004E7961" w:rsidRDefault="004E7961" w:rsidP="004E7961">
      <w:r w:rsidRPr="004E7961">
        <w:t>The 2026–27 reporting year presents an important opportunity for the Board to build on the strong foundations established over the past year. The Board will continue to focus on its role as a trusted adviser</w:t>
      </w:r>
      <w:r w:rsidR="00962A9E">
        <w:t> </w:t>
      </w:r>
      <w:r w:rsidRPr="004E7961">
        <w:t>to Government, bringing practical business and broader community perspectives to taxation policy and administration. The Board will seek to strengthen its contribution to national tax policy discussions through increased engagement, greater visibility and a continued focus on delivering practical, evidence</w:t>
      </w:r>
      <w:r w:rsidR="00205936">
        <w:noBreakHyphen/>
      </w:r>
      <w:r w:rsidRPr="004E7961">
        <w:t>based advice.</w:t>
      </w:r>
    </w:p>
    <w:p w14:paraId="79DE5F53" w14:textId="459F26EE" w:rsidR="004E7961" w:rsidRPr="004E7961" w:rsidRDefault="004E7961" w:rsidP="004E7961">
      <w:r w:rsidRPr="004E7961">
        <w:t>A key priority for the year ahead will be the completion of the Board</w:t>
      </w:r>
      <w:r w:rsidR="00205936">
        <w:t>’</w:t>
      </w:r>
      <w:r w:rsidRPr="004E7961">
        <w:t>s statutory review of Australia</w:t>
      </w:r>
      <w:r w:rsidR="00205936">
        <w:t>’</w:t>
      </w:r>
      <w:r w:rsidRPr="004E7961">
        <w:t>s thin capitalisation regime. Through consultation with taxpayers, advisers, industry representatives</w:t>
      </w:r>
      <w:r w:rsidR="00486558">
        <w:t xml:space="preserve">, civil </w:t>
      </w:r>
      <w:r w:rsidR="00C851DE">
        <w:t>society</w:t>
      </w:r>
      <w:r w:rsidRPr="004E7961">
        <w:t xml:space="preserve"> and other stakeholders, the Board will continue its work to identify opportunities to improve the operation of the rules and ensure they remain effective, practical and fit for purpose. The Board is scheduled to deliver its final report and recommendations to Government during the 2026–27 reporting period, informed by stakeholder experience and the evidence gathered throughout the review.</w:t>
      </w:r>
    </w:p>
    <w:p w14:paraId="62FBDD19" w14:textId="30679BC3" w:rsidR="004E7961" w:rsidRPr="004E7961" w:rsidRDefault="004E7961" w:rsidP="004E7961">
      <w:r w:rsidRPr="004E7961">
        <w:t>The Board will also renew its focus on stakeholder engagement. Building on the vision for a more outward</w:t>
      </w:r>
      <w:r w:rsidR="00205936">
        <w:noBreakHyphen/>
      </w:r>
      <w:r w:rsidRPr="004E7961">
        <w:t>facing and connected Board, engagement activities will continue to evolve to ensure a broader range of voices are heard. This will include targeted stakeholder forums, consultation activities, meetings with professional associations and industry groups, and greater engagement with the wider community. These activities will support the Board</w:t>
      </w:r>
      <w:r w:rsidR="00205936">
        <w:t>’</w:t>
      </w:r>
      <w:r w:rsidRPr="004E7961">
        <w:t>s ability to identify emerging issues, understand stakeholder experiences and ensure its advice reflects practical, real</w:t>
      </w:r>
      <w:r w:rsidR="00205936">
        <w:noBreakHyphen/>
      </w:r>
      <w:r w:rsidRPr="004E7961">
        <w:t>world perspectives.</w:t>
      </w:r>
    </w:p>
    <w:p w14:paraId="747328F1" w14:textId="20302D2B" w:rsidR="00E219B8" w:rsidRDefault="004E7961" w:rsidP="003D10C1">
      <w:r w:rsidRPr="004E7961">
        <w:t>Increasing the visibility and awareness of the Board</w:t>
      </w:r>
      <w:r w:rsidR="00205936">
        <w:t>’</w:t>
      </w:r>
      <w:r w:rsidRPr="004E7961">
        <w:t>s work will also be a priority during 2026–27. By</w:t>
      </w:r>
      <w:r w:rsidR="00962A9E">
        <w:t> </w:t>
      </w:r>
      <w:r w:rsidRPr="004E7961">
        <w:t>providing greater transparency about its work program, consultation opportunities and key insights from</w:t>
      </w:r>
      <w:r w:rsidR="00962A9E">
        <w:t> </w:t>
      </w:r>
      <w:r w:rsidRPr="004E7961">
        <w:t>stakeholder engagement, the Board aims to strengthen understanding of its role and encourage broader participation in its activities. Through these efforts, the Board will continue to promote informed discussion of taxation matters and reinforce its position as an independent and trusted source of advice on</w:t>
      </w:r>
      <w:r w:rsidR="00962A9E">
        <w:t> </w:t>
      </w:r>
      <w:r w:rsidRPr="004E7961">
        <w:t>the Australian tax system.</w:t>
      </w:r>
      <w:r w:rsidR="00E219B8">
        <w:br w:type="page"/>
      </w:r>
      <w:bookmarkStart w:id="47" w:name="_Toc149905535"/>
      <w:bookmarkStart w:id="48" w:name="_Ref158727428"/>
      <w:bookmarkStart w:id="49" w:name="_Toc209006412"/>
    </w:p>
    <w:p w14:paraId="21E97127" w14:textId="20E1014A" w:rsidR="00036758" w:rsidRDefault="00036758" w:rsidP="00464518">
      <w:pPr>
        <w:pStyle w:val="Heading1"/>
      </w:pPr>
      <w:bookmarkStart w:id="50" w:name="_Appendix_A:_The"/>
      <w:bookmarkStart w:id="51" w:name="_Toc238644410"/>
      <w:bookmarkStart w:id="52" w:name="AppendixA"/>
      <w:bookmarkEnd w:id="50"/>
      <w:r>
        <w:lastRenderedPageBreak/>
        <w:t>Appendix A:</w:t>
      </w:r>
      <w:r w:rsidR="0063139E">
        <w:t xml:space="preserve"> </w:t>
      </w:r>
      <w:r w:rsidRPr="00464518">
        <w:t>The</w:t>
      </w:r>
      <w:r>
        <w:t xml:space="preserve"> Board</w:t>
      </w:r>
      <w:r w:rsidR="00205936">
        <w:t>’</w:t>
      </w:r>
      <w:r>
        <w:t>s Charter</w:t>
      </w:r>
      <w:bookmarkEnd w:id="47"/>
      <w:bookmarkEnd w:id="48"/>
      <w:bookmarkEnd w:id="49"/>
      <w:bookmarkEnd w:id="51"/>
    </w:p>
    <w:p w14:paraId="13A6A4EF" w14:textId="025EC2EB" w:rsidR="00036758" w:rsidRDefault="00036758" w:rsidP="00464518">
      <w:pPr>
        <w:pStyle w:val="Heading2"/>
      </w:pPr>
      <w:bookmarkStart w:id="53" w:name="_Toc149905536"/>
      <w:bookmarkStart w:id="54" w:name="_Toc159253857"/>
      <w:bookmarkStart w:id="55" w:name="_Toc209006600"/>
      <w:bookmarkEnd w:id="52"/>
      <w:r>
        <w:t xml:space="preserve">The </w:t>
      </w:r>
      <w:r w:rsidRPr="00464518">
        <w:t>Charter</w:t>
      </w:r>
      <w:bookmarkEnd w:id="53"/>
      <w:bookmarkEnd w:id="54"/>
      <w:bookmarkEnd w:id="55"/>
    </w:p>
    <w:p w14:paraId="7B122E67" w14:textId="77777777" w:rsidR="00036758" w:rsidRPr="00DD011F" w:rsidRDefault="00036758" w:rsidP="00464518">
      <w:pPr>
        <w:pStyle w:val="Heading3"/>
      </w:pPr>
      <w:r w:rsidRPr="00464518">
        <w:t>Mission</w:t>
      </w:r>
    </w:p>
    <w:p w14:paraId="038B0D7F" w14:textId="4D3A9952" w:rsidR="00036758" w:rsidRDefault="00036758" w:rsidP="00464518">
      <w:r>
        <w:t>Recognising the Government</w:t>
      </w:r>
      <w:r w:rsidR="00205936">
        <w:t>’</w:t>
      </w:r>
      <w:r>
        <w:t>s responsibility for determining taxation policy and the statutory roles of the</w:t>
      </w:r>
      <w:r w:rsidR="00962A9E">
        <w:t> </w:t>
      </w:r>
      <w:r>
        <w:t>Commissioner of Taxation and the Inspector General of Taxation, the Board</w:t>
      </w:r>
      <w:r w:rsidR="00205936">
        <w:t>’</w:t>
      </w:r>
      <w:r>
        <w:t>s mission is to contribute a business and broader community perspective to improving the design of taxation laws and their operation.</w:t>
      </w:r>
    </w:p>
    <w:p w14:paraId="08918028" w14:textId="77777777" w:rsidR="00036758" w:rsidRDefault="00036758" w:rsidP="00464518">
      <w:pPr>
        <w:pStyle w:val="Heading3"/>
      </w:pPr>
      <w:r w:rsidRPr="00464518">
        <w:t>Membership</w:t>
      </w:r>
    </w:p>
    <w:p w14:paraId="50EE28CA" w14:textId="6EA0ACB3" w:rsidR="00036758" w:rsidRDefault="00036758" w:rsidP="00464518">
      <w:r>
        <w:t xml:space="preserve">Members of the Board will be appointed by the Treasurer, for a term of up to </w:t>
      </w:r>
      <w:r w:rsidR="00074808">
        <w:t>3</w:t>
      </w:r>
      <w:r>
        <w:t xml:space="preserve"> years, </w:t>
      </w:r>
      <w:r w:rsidR="006A0321">
        <w:t xml:space="preserve">in </w:t>
      </w:r>
      <w:r w:rsidR="00746367">
        <w:t>their</w:t>
      </w:r>
      <w:r>
        <w:t xml:space="preserve"> personal capacity. It is expected that members will be appointed from within the business and wider community having regard to their ability to contribute at the highest level to the development of the tax</w:t>
      </w:r>
      <w:r w:rsidR="00D305C4">
        <w:t>ation</w:t>
      </w:r>
      <w:r>
        <w:t xml:space="preserve"> system. The Chair will be appointed by the Treasurer from among these members of the Board. If the Treasurer decides to appoint a Deputy Chair, he or she will also be appointed from among these members of the Board. Members may be re</w:t>
      </w:r>
      <w:r w:rsidR="00205936">
        <w:noBreakHyphen/>
      </w:r>
      <w:r>
        <w:t>appointed.</w:t>
      </w:r>
    </w:p>
    <w:p w14:paraId="5B9FB84E" w14:textId="53478C09" w:rsidR="00036758" w:rsidRDefault="00036758" w:rsidP="00464518">
      <w:r>
        <w:t>In addition, the Secretary to the Department of the Treasury, the Commissioner of Taxation and the First</w:t>
      </w:r>
      <w:r w:rsidR="00962A9E">
        <w:t> </w:t>
      </w:r>
      <w:r>
        <w:t>Parliamentary Counsel will also be members of the Board. Each may be represented by a delegate.</w:t>
      </w:r>
    </w:p>
    <w:p w14:paraId="196E69E5" w14:textId="77777777" w:rsidR="00036758" w:rsidRDefault="00036758" w:rsidP="00464518">
      <w:pPr>
        <w:pStyle w:val="Heading3"/>
      </w:pPr>
      <w:r w:rsidRPr="00464518">
        <w:t>Function</w:t>
      </w:r>
    </w:p>
    <w:p w14:paraId="3BE13CB3" w14:textId="77777777" w:rsidR="00036758" w:rsidRDefault="00036758" w:rsidP="00464518">
      <w:r>
        <w:t>The Board will provide advice to the Treasurer on:</w:t>
      </w:r>
    </w:p>
    <w:p w14:paraId="4AE275F2" w14:textId="002E8836" w:rsidR="00036758" w:rsidRDefault="00036758" w:rsidP="00141F27">
      <w:pPr>
        <w:pStyle w:val="Bullet"/>
      </w:pPr>
      <w:r>
        <w:t>the quality and effectiveness of tax</w:t>
      </w:r>
      <w:r w:rsidR="001D0D48">
        <w:t>ation</w:t>
      </w:r>
      <w:r>
        <w:t xml:space="preserve"> legislation and the processes for its development, including the</w:t>
      </w:r>
      <w:r w:rsidR="000F784E">
        <w:t> </w:t>
      </w:r>
      <w:r>
        <w:t>processes of community consultation and other aspects of taxation design</w:t>
      </w:r>
    </w:p>
    <w:p w14:paraId="0BC93772" w14:textId="6D4B8EBA" w:rsidR="00036758" w:rsidRDefault="00036758" w:rsidP="00141F27">
      <w:pPr>
        <w:pStyle w:val="Bullet"/>
      </w:pPr>
      <w:r w:rsidRPr="00464518">
        <w:t>improvements</w:t>
      </w:r>
      <w:r>
        <w:t xml:space="preserve"> to the general integrity and functioning of the taxation system</w:t>
      </w:r>
    </w:p>
    <w:p w14:paraId="3A1F3E4B" w14:textId="773762AF" w:rsidR="00036758" w:rsidRDefault="00036758" w:rsidP="00141F27">
      <w:pPr>
        <w:pStyle w:val="Bullet"/>
      </w:pPr>
      <w:r>
        <w:t>research and other studies commissioned by the Board on topics approved or referred by the Treasurer</w:t>
      </w:r>
    </w:p>
    <w:p w14:paraId="77EA904E" w14:textId="77777777" w:rsidR="00036758" w:rsidRDefault="00036758" w:rsidP="00141F27">
      <w:pPr>
        <w:pStyle w:val="Bullet"/>
      </w:pPr>
      <w:r>
        <w:t>other taxation matters referred to the Board by the Treasurer.</w:t>
      </w:r>
    </w:p>
    <w:p w14:paraId="7CAEF05A" w14:textId="77777777" w:rsidR="00036758" w:rsidRDefault="00036758" w:rsidP="00DD011F">
      <w:pPr>
        <w:pStyle w:val="Heading3"/>
      </w:pPr>
      <w:r>
        <w:lastRenderedPageBreak/>
        <w:t>Relationship to other boards and bodies</w:t>
      </w:r>
    </w:p>
    <w:p w14:paraId="5E479BD0" w14:textId="065DDC53" w:rsidR="00036758" w:rsidRDefault="00036758" w:rsidP="00DD011F">
      <w:r>
        <w:t>From time to time the Government or the Treasurer may establish other boards or bodies with set terms of</w:t>
      </w:r>
      <w:r w:rsidR="000F784E">
        <w:t> </w:t>
      </w:r>
      <w:r>
        <w:t xml:space="preserve">reference to advise on aspects of the taxation law. The Treasurer will advise the Board on a </w:t>
      </w:r>
      <w:r w:rsidR="0CF61607" w:rsidRPr="1FE0D6BA">
        <w:t>case</w:t>
      </w:r>
      <w:r w:rsidR="00205936">
        <w:noBreakHyphen/>
      </w:r>
      <w:r>
        <w:t>by</w:t>
      </w:r>
      <w:r w:rsidR="00205936">
        <w:noBreakHyphen/>
      </w:r>
      <w:r>
        <w:t>case basis of its responsibilities, if any, in respect of issues covered by other boards and bodies.</w:t>
      </w:r>
    </w:p>
    <w:p w14:paraId="7C3162C9" w14:textId="1880D32F" w:rsidR="00036758" w:rsidRDefault="00036758" w:rsidP="00DD011F">
      <w:pPr>
        <w:pStyle w:val="Heading3"/>
      </w:pPr>
      <w:r>
        <w:t>Report</w:t>
      </w:r>
      <w:r w:rsidR="4817A6B5">
        <w:t xml:space="preserve"> </w:t>
      </w:r>
    </w:p>
    <w:p w14:paraId="0DA7AC43" w14:textId="71353EEB" w:rsidR="00036758" w:rsidRDefault="00036758" w:rsidP="00DD011F">
      <w:r>
        <w:t>The Chair of the Board will report to the Treasurer, at least annually, on the operation of the Board during</w:t>
      </w:r>
      <w:r w:rsidR="00962A9E">
        <w:t> </w:t>
      </w:r>
      <w:r w:rsidRPr="00DD011F">
        <w:t>the year.</w:t>
      </w:r>
    </w:p>
    <w:p w14:paraId="748847E6" w14:textId="77777777" w:rsidR="00036758" w:rsidRDefault="00036758" w:rsidP="00036758">
      <w:pPr>
        <w:pStyle w:val="Heading3"/>
      </w:pPr>
      <w:r>
        <w:t>Secretariat</w:t>
      </w:r>
    </w:p>
    <w:p w14:paraId="2B3B4049" w14:textId="562C21ED" w:rsidR="00036758" w:rsidRDefault="00036758" w:rsidP="00DD011F">
      <w:r>
        <w:t>The Board will be supported by a Secretariat provided by the Treasury who may engage secondees from</w:t>
      </w:r>
      <w:r w:rsidR="00962A9E">
        <w:t> </w:t>
      </w:r>
      <w:r>
        <w:t>the private sector or other government agencies to fill certain roles.</w:t>
      </w:r>
    </w:p>
    <w:p w14:paraId="1B1E0292" w14:textId="77777777" w:rsidR="00036758" w:rsidRDefault="00036758" w:rsidP="00DD011F">
      <w:pPr>
        <w:pStyle w:val="Heading3"/>
      </w:pPr>
      <w:r w:rsidRPr="00DD011F">
        <w:t>Other</w:t>
      </w:r>
    </w:p>
    <w:p w14:paraId="69554A8B" w14:textId="7B91F0BB" w:rsidR="00036758" w:rsidRDefault="00036758" w:rsidP="00DD011F">
      <w:r>
        <w:t>Members will meet regularly during the year as determined by the Board</w:t>
      </w:r>
      <w:r w:rsidR="00205936">
        <w:t>’</w:t>
      </w:r>
      <w:r>
        <w:t>s work program and priorities.</w:t>
      </w:r>
    </w:p>
    <w:p w14:paraId="0819967C" w14:textId="1F3CF227" w:rsidR="00036758" w:rsidRDefault="00036758" w:rsidP="00DD011F">
      <w:r>
        <w:t>Non</w:t>
      </w:r>
      <w:r w:rsidR="00205936">
        <w:noBreakHyphen/>
      </w:r>
      <w:r>
        <w:t xml:space="preserve">government members will receive remuneration and allowances to cover travelling and other expenses, at rates in accordance with Remuneration Tribunal determinations for </w:t>
      </w:r>
      <w:proofErr w:type="gramStart"/>
      <w:r>
        <w:t>part time</w:t>
      </w:r>
      <w:proofErr w:type="gramEnd"/>
      <w:r>
        <w:t xml:space="preserve"> public offices.</w:t>
      </w:r>
    </w:p>
    <w:p w14:paraId="422E496F" w14:textId="121549CB" w:rsidR="00036758" w:rsidRDefault="00036758" w:rsidP="00036758">
      <w:r>
        <w:t>The Government will determine an annual budget allocation for the Board.</w:t>
      </w:r>
      <w:r>
        <w:br w:type="page"/>
      </w:r>
    </w:p>
    <w:p w14:paraId="04C3EDE9" w14:textId="6BE682CD" w:rsidR="00036758" w:rsidRPr="00F41AB1" w:rsidRDefault="00036758" w:rsidP="000B246A">
      <w:pPr>
        <w:pStyle w:val="Heading1"/>
        <w:spacing w:before="0"/>
      </w:pPr>
      <w:bookmarkStart w:id="56" w:name="_Toc149905537"/>
      <w:bookmarkStart w:id="57" w:name="_Toc209006413"/>
      <w:bookmarkStart w:id="58" w:name="_Toc238644411"/>
      <w:r>
        <w:lastRenderedPageBreak/>
        <w:t>Appendix B:</w:t>
      </w:r>
      <w:r w:rsidR="0063139E">
        <w:t xml:space="preserve"> </w:t>
      </w:r>
      <w:r>
        <w:t xml:space="preserve">Membership of the </w:t>
      </w:r>
      <w:r w:rsidRPr="00DD011F">
        <w:t>Board</w:t>
      </w:r>
      <w:bookmarkEnd w:id="56"/>
      <w:bookmarkEnd w:id="57"/>
      <w:bookmarkEnd w:id="58"/>
    </w:p>
    <w:p w14:paraId="6B8ABB2A" w14:textId="77777777" w:rsidR="00036758" w:rsidRDefault="00036758" w:rsidP="00464518">
      <w:pPr>
        <w:pStyle w:val="Heading2"/>
      </w:pPr>
      <w:bookmarkStart w:id="59" w:name="_Toc149905538"/>
      <w:bookmarkStart w:id="60" w:name="_Toc159253859"/>
      <w:bookmarkStart w:id="61" w:name="_Toc209006602"/>
      <w:r>
        <w:t>Terms of Board members</w:t>
      </w:r>
      <w:bookmarkEnd w:id="59"/>
      <w:bookmarkEnd w:id="60"/>
      <w:bookmarkEnd w:id="61"/>
    </w:p>
    <w:p w14:paraId="443B2AF3" w14:textId="11F4B37B" w:rsidR="00036758" w:rsidRDefault="00036758" w:rsidP="00036758">
      <w:r>
        <w:t>The terms of members of the Board during the 202</w:t>
      </w:r>
      <w:r w:rsidR="0081354C">
        <w:t>5</w:t>
      </w:r>
      <w:r w:rsidR="005348C7">
        <w:t>–</w:t>
      </w:r>
      <w:r>
        <w:t>2</w:t>
      </w:r>
      <w:r w:rsidR="0081354C">
        <w:t>6</w:t>
      </w:r>
      <w:r>
        <w:t xml:space="preserve"> year are set out in the following table.</w:t>
      </w:r>
    </w:p>
    <w:p w14:paraId="2CEB8D50" w14:textId="4DF503AF" w:rsidR="00036758" w:rsidRDefault="00036758" w:rsidP="00F6614B">
      <w:pPr>
        <w:pStyle w:val="TableHeading1"/>
      </w:pPr>
      <w:r>
        <w:t xml:space="preserve">Table </w:t>
      </w:r>
      <w:r w:rsidR="002262AA">
        <w:t>4</w:t>
      </w:r>
      <w:r>
        <w:t>: Terms of Board members</w:t>
      </w:r>
    </w:p>
    <w:tbl>
      <w:tblPr>
        <w:tblStyle w:val="ListTable3-Accent1"/>
        <w:tblW w:w="4991" w:type="pct"/>
        <w:tblBorders>
          <w:left w:val="none" w:sz="0" w:space="0" w:color="auto"/>
          <w:bottom w:val="single" w:sz="8" w:space="0" w:color="142147" w:themeColor="accent1"/>
          <w:right w:val="none" w:sz="0" w:space="0" w:color="auto"/>
          <w:insideH w:val="single" w:sz="4" w:space="0" w:color="142147" w:themeColor="accent1"/>
        </w:tblBorders>
        <w:tblCellMar>
          <w:top w:w="57" w:type="dxa"/>
          <w:bottom w:w="57" w:type="dxa"/>
        </w:tblCellMar>
        <w:tblLook w:val="04A0" w:firstRow="1" w:lastRow="0" w:firstColumn="1" w:lastColumn="0" w:noHBand="0" w:noVBand="1"/>
      </w:tblPr>
      <w:tblGrid>
        <w:gridCol w:w="3006"/>
        <w:gridCol w:w="3309"/>
        <w:gridCol w:w="3309"/>
      </w:tblGrid>
      <w:tr w:rsidR="00044314" w:rsidRPr="00205936" w14:paraId="2EA3A29D" w14:textId="77777777" w:rsidTr="00BF5577">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3005" w:type="dxa"/>
            <w:tcBorders>
              <w:bottom w:val="none" w:sz="0" w:space="0" w:color="auto"/>
              <w:right w:val="none" w:sz="0" w:space="0" w:color="auto"/>
            </w:tcBorders>
          </w:tcPr>
          <w:p w14:paraId="6398F227" w14:textId="77777777" w:rsidR="00036758" w:rsidRPr="00B41C13" w:rsidRDefault="00036758" w:rsidP="00B41C13">
            <w:pPr>
              <w:pStyle w:val="TableHeaderCellLeft"/>
            </w:pPr>
            <w:r w:rsidRPr="00B41C13">
              <w:t>Member</w:t>
            </w:r>
          </w:p>
        </w:tc>
        <w:tc>
          <w:tcPr>
            <w:tcW w:w="3309" w:type="dxa"/>
          </w:tcPr>
          <w:p w14:paraId="7D8EB5EE" w14:textId="77777777" w:rsidR="00036758" w:rsidRPr="00B41C13" w:rsidRDefault="00036758" w:rsidP="00B41C13">
            <w:pPr>
              <w:pStyle w:val="TableHeaderCellLeft"/>
              <w:cnfStyle w:val="100000000000" w:firstRow="1" w:lastRow="0" w:firstColumn="0" w:lastColumn="0" w:oddVBand="0" w:evenVBand="0" w:oddHBand="0" w:evenHBand="0" w:firstRowFirstColumn="0" w:firstRowLastColumn="0" w:lastRowFirstColumn="0" w:lastRowLastColumn="0"/>
            </w:pPr>
            <w:r w:rsidRPr="00B41C13">
              <w:t>Initial term commenced</w:t>
            </w:r>
          </w:p>
        </w:tc>
        <w:tc>
          <w:tcPr>
            <w:tcW w:w="3309" w:type="dxa"/>
          </w:tcPr>
          <w:p w14:paraId="66E65DA6" w14:textId="77777777" w:rsidR="00036758" w:rsidRPr="00B41C13" w:rsidRDefault="00036758" w:rsidP="00B41C13">
            <w:pPr>
              <w:pStyle w:val="TableHeaderCellLeft"/>
              <w:cnfStyle w:val="100000000000" w:firstRow="1" w:lastRow="0" w:firstColumn="0" w:lastColumn="0" w:oddVBand="0" w:evenVBand="0" w:oddHBand="0" w:evenHBand="0" w:firstRowFirstColumn="0" w:firstRowLastColumn="0" w:lastRowFirstColumn="0" w:lastRowLastColumn="0"/>
            </w:pPr>
            <w:r w:rsidRPr="00B41C13">
              <w:t>Term expires/ceased</w:t>
            </w:r>
          </w:p>
        </w:tc>
      </w:tr>
      <w:tr w:rsidR="001C63E3" w:rsidRPr="00205936" w14:paraId="4448CAF1" w14:textId="77777777" w:rsidTr="00BF5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right w:val="none" w:sz="0" w:space="0" w:color="auto"/>
            </w:tcBorders>
            <w:shd w:val="clear" w:color="auto" w:fill="F6F2ED" w:themeFill="accent3" w:themeFillTint="33"/>
          </w:tcPr>
          <w:p w14:paraId="14EACF31" w14:textId="1FD84D45" w:rsidR="001C63E3" w:rsidRPr="00205936" w:rsidDel="00052E1D" w:rsidRDefault="00334E20" w:rsidP="00647DF1">
            <w:pPr>
              <w:pStyle w:val="TableBodyCellLeft"/>
            </w:pPr>
            <w:r w:rsidRPr="00205936">
              <w:t xml:space="preserve">The </w:t>
            </w:r>
            <w:r w:rsidR="00C73102" w:rsidRPr="00205936">
              <w:t>Hon David Bradbury</w:t>
            </w:r>
            <w:r w:rsidR="007527C0" w:rsidRPr="00205936">
              <w:rPr>
                <w:vertAlign w:val="superscript"/>
              </w:rPr>
              <w:t>(a)</w:t>
            </w:r>
          </w:p>
        </w:tc>
        <w:tc>
          <w:tcPr>
            <w:tcW w:w="3309" w:type="dxa"/>
            <w:tcBorders>
              <w:top w:val="none" w:sz="0" w:space="0" w:color="auto"/>
              <w:bottom w:val="none" w:sz="0" w:space="0" w:color="auto"/>
            </w:tcBorders>
            <w:vAlign w:val="center"/>
          </w:tcPr>
          <w:p w14:paraId="0F1B5090" w14:textId="02D19383" w:rsidR="001C63E3" w:rsidRPr="00B41C13" w:rsidDel="00052E1D" w:rsidRDefault="009555C4"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1 April 2026</w:t>
            </w:r>
          </w:p>
        </w:tc>
        <w:tc>
          <w:tcPr>
            <w:tcW w:w="3309" w:type="dxa"/>
            <w:tcBorders>
              <w:top w:val="none" w:sz="0" w:space="0" w:color="auto"/>
              <w:bottom w:val="none" w:sz="0" w:space="0" w:color="auto"/>
            </w:tcBorders>
            <w:vAlign w:val="center"/>
          </w:tcPr>
          <w:p w14:paraId="25EE5BE9" w14:textId="10D69F60" w:rsidR="001C63E3" w:rsidRPr="00B41C13" w:rsidDel="00052E1D" w:rsidRDefault="001725C5"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31 March 202</w:t>
            </w:r>
            <w:r w:rsidR="00C538E8" w:rsidRPr="00B41C13">
              <w:t>9</w:t>
            </w:r>
          </w:p>
        </w:tc>
      </w:tr>
      <w:tr w:rsidR="00036758" w:rsidRPr="00205936" w14:paraId="44D059A7" w14:textId="77777777" w:rsidTr="00BF5577">
        <w:tc>
          <w:tcPr>
            <w:cnfStyle w:val="001000000000" w:firstRow="0" w:lastRow="0" w:firstColumn="1" w:lastColumn="0" w:oddVBand="0" w:evenVBand="0" w:oddHBand="0" w:evenHBand="0" w:firstRowFirstColumn="0" w:firstRowLastColumn="0" w:lastRowFirstColumn="0" w:lastRowLastColumn="0"/>
            <w:tcW w:w="3005" w:type="dxa"/>
            <w:tcBorders>
              <w:right w:val="none" w:sz="0" w:space="0" w:color="auto"/>
            </w:tcBorders>
            <w:shd w:val="clear" w:color="auto" w:fill="F6F2ED" w:themeFill="accent3" w:themeFillTint="33"/>
          </w:tcPr>
          <w:p w14:paraId="6EF74EF6" w14:textId="5B7B4448" w:rsidR="00036758" w:rsidRPr="00205936" w:rsidRDefault="00036758" w:rsidP="00647DF1">
            <w:pPr>
              <w:pStyle w:val="TableBodyCellLeft"/>
              <w:rPr>
                <w:lang w:val="fr-FR"/>
              </w:rPr>
            </w:pPr>
            <w:r w:rsidRPr="00205936">
              <w:rPr>
                <w:lang w:val="fr-FR"/>
              </w:rPr>
              <w:t>Dr Julianne Jaques KC</w:t>
            </w:r>
            <w:r w:rsidR="004322E1" w:rsidRPr="00205936">
              <w:rPr>
                <w:vertAlign w:val="superscript"/>
              </w:rPr>
              <w:t>(</w:t>
            </w:r>
            <w:r w:rsidR="007527C0" w:rsidRPr="00205936">
              <w:rPr>
                <w:vertAlign w:val="superscript"/>
              </w:rPr>
              <w:t>b</w:t>
            </w:r>
            <w:r w:rsidR="004322E1" w:rsidRPr="00205936">
              <w:rPr>
                <w:vertAlign w:val="superscript"/>
              </w:rPr>
              <w:t>)</w:t>
            </w:r>
          </w:p>
        </w:tc>
        <w:tc>
          <w:tcPr>
            <w:tcW w:w="3309" w:type="dxa"/>
            <w:vAlign w:val="center"/>
          </w:tcPr>
          <w:p w14:paraId="209D27BC" w14:textId="77777777" w:rsidR="00036758" w:rsidRPr="00B41C13" w:rsidRDefault="00036758"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1 July 2017</w:t>
            </w:r>
          </w:p>
        </w:tc>
        <w:tc>
          <w:tcPr>
            <w:tcW w:w="3309" w:type="dxa"/>
            <w:vAlign w:val="center"/>
          </w:tcPr>
          <w:p w14:paraId="480A0E38" w14:textId="0EBD7D40" w:rsidR="00036758" w:rsidRPr="00B41C13" w:rsidRDefault="00036758"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30</w:t>
            </w:r>
            <w:r w:rsidR="00F51054" w:rsidRPr="00B41C13">
              <w:t xml:space="preserve"> September 2025</w:t>
            </w:r>
          </w:p>
        </w:tc>
      </w:tr>
      <w:tr w:rsidR="00036758" w:rsidRPr="00205936" w14:paraId="09855C02" w14:textId="77777777" w:rsidTr="00BF5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right w:val="none" w:sz="0" w:space="0" w:color="auto"/>
            </w:tcBorders>
            <w:shd w:val="clear" w:color="auto" w:fill="F6F2ED" w:themeFill="accent3" w:themeFillTint="33"/>
          </w:tcPr>
          <w:p w14:paraId="080C374F" w14:textId="29B4E8D1" w:rsidR="00036758" w:rsidRPr="00205936" w:rsidRDefault="00036758" w:rsidP="00647DF1">
            <w:pPr>
              <w:pStyle w:val="TableBodyCellLeft"/>
            </w:pPr>
            <w:r w:rsidRPr="00205936">
              <w:t>Ian Kellock</w:t>
            </w:r>
          </w:p>
        </w:tc>
        <w:tc>
          <w:tcPr>
            <w:tcW w:w="3309" w:type="dxa"/>
            <w:tcBorders>
              <w:top w:val="none" w:sz="0" w:space="0" w:color="auto"/>
              <w:bottom w:val="none" w:sz="0" w:space="0" w:color="auto"/>
            </w:tcBorders>
            <w:vAlign w:val="center"/>
          </w:tcPr>
          <w:p w14:paraId="57B28ACB" w14:textId="75E77F4A" w:rsidR="00036758" w:rsidRPr="00B41C13" w:rsidRDefault="00036758"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12 May 202</w:t>
            </w:r>
            <w:r w:rsidR="00B3622C" w:rsidRPr="00B41C13">
              <w:t>1</w:t>
            </w:r>
          </w:p>
        </w:tc>
        <w:tc>
          <w:tcPr>
            <w:tcW w:w="3309" w:type="dxa"/>
            <w:tcBorders>
              <w:top w:val="none" w:sz="0" w:space="0" w:color="auto"/>
              <w:bottom w:val="none" w:sz="0" w:space="0" w:color="auto"/>
            </w:tcBorders>
            <w:vAlign w:val="center"/>
          </w:tcPr>
          <w:p w14:paraId="77837751" w14:textId="01696959" w:rsidR="00036758" w:rsidRPr="00B41C13" w:rsidRDefault="00036758"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11 </w:t>
            </w:r>
            <w:r w:rsidR="00886E33" w:rsidRPr="00B41C13">
              <w:t>August</w:t>
            </w:r>
            <w:r w:rsidRPr="00B41C13">
              <w:t> 202</w:t>
            </w:r>
            <w:r w:rsidR="00886E33" w:rsidRPr="00B41C13">
              <w:t>7</w:t>
            </w:r>
          </w:p>
        </w:tc>
      </w:tr>
      <w:tr w:rsidR="00036758" w:rsidRPr="00205936" w14:paraId="09AC6BFF" w14:textId="77777777" w:rsidTr="00BF5577">
        <w:tc>
          <w:tcPr>
            <w:cnfStyle w:val="001000000000" w:firstRow="0" w:lastRow="0" w:firstColumn="1" w:lastColumn="0" w:oddVBand="0" w:evenVBand="0" w:oddHBand="0" w:evenHBand="0" w:firstRowFirstColumn="0" w:firstRowLastColumn="0" w:lastRowFirstColumn="0" w:lastRowLastColumn="0"/>
            <w:tcW w:w="3005" w:type="dxa"/>
            <w:tcBorders>
              <w:right w:val="none" w:sz="0" w:space="0" w:color="auto"/>
            </w:tcBorders>
            <w:shd w:val="clear" w:color="auto" w:fill="F6F2ED" w:themeFill="accent3" w:themeFillTint="33"/>
          </w:tcPr>
          <w:p w14:paraId="6BC88633" w14:textId="3F13A383" w:rsidR="00036758" w:rsidRPr="00205936" w:rsidRDefault="00036758" w:rsidP="00647DF1">
            <w:pPr>
              <w:pStyle w:val="TableBodyCellLeft"/>
            </w:pPr>
            <w:r w:rsidRPr="00205936">
              <w:t>Andrea Laing</w:t>
            </w:r>
          </w:p>
        </w:tc>
        <w:tc>
          <w:tcPr>
            <w:tcW w:w="3309" w:type="dxa"/>
            <w:vAlign w:val="center"/>
          </w:tcPr>
          <w:p w14:paraId="06D13A75" w14:textId="77777777" w:rsidR="00036758" w:rsidRPr="00B41C13" w:rsidRDefault="00036758"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21 October 2021</w:t>
            </w:r>
          </w:p>
        </w:tc>
        <w:tc>
          <w:tcPr>
            <w:tcW w:w="3309" w:type="dxa"/>
            <w:vAlign w:val="center"/>
          </w:tcPr>
          <w:p w14:paraId="23BC4B96" w14:textId="7DB74093" w:rsidR="00036758" w:rsidRPr="00B41C13" w:rsidRDefault="00036758"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2</w:t>
            </w:r>
            <w:r w:rsidR="005B3B56" w:rsidRPr="00B41C13">
              <w:t>0</w:t>
            </w:r>
            <w:r w:rsidRPr="00B41C13">
              <w:t> October 202</w:t>
            </w:r>
            <w:r w:rsidR="005B3B56" w:rsidRPr="00B41C13">
              <w:t>7</w:t>
            </w:r>
          </w:p>
        </w:tc>
      </w:tr>
      <w:tr w:rsidR="00043FF7" w:rsidRPr="00205936" w14:paraId="7C9DF2E2" w14:textId="77777777" w:rsidTr="00BF5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right w:val="none" w:sz="0" w:space="0" w:color="auto"/>
            </w:tcBorders>
            <w:shd w:val="clear" w:color="auto" w:fill="F6F2ED" w:themeFill="accent3" w:themeFillTint="33"/>
          </w:tcPr>
          <w:p w14:paraId="48B8AA6F" w14:textId="637B89B6" w:rsidR="00043FF7" w:rsidRPr="00205936" w:rsidRDefault="00043FF7" w:rsidP="00647DF1">
            <w:pPr>
              <w:pStyle w:val="TableBodyCellLeft"/>
            </w:pPr>
            <w:r w:rsidRPr="00205936">
              <w:t>Andrew Mills</w:t>
            </w:r>
            <w:r w:rsidR="000B1BF3" w:rsidRPr="00205936">
              <w:rPr>
                <w:vertAlign w:val="superscript"/>
              </w:rPr>
              <w:t>(c)</w:t>
            </w:r>
          </w:p>
        </w:tc>
        <w:tc>
          <w:tcPr>
            <w:tcW w:w="3309" w:type="dxa"/>
            <w:tcBorders>
              <w:top w:val="none" w:sz="0" w:space="0" w:color="auto"/>
              <w:bottom w:val="none" w:sz="0" w:space="0" w:color="auto"/>
            </w:tcBorders>
            <w:vAlign w:val="center"/>
          </w:tcPr>
          <w:p w14:paraId="6F6F50BE" w14:textId="0CAEDFBF" w:rsidR="00043FF7" w:rsidRPr="00B41C13" w:rsidRDefault="00845477"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8 December 2023</w:t>
            </w:r>
          </w:p>
        </w:tc>
        <w:tc>
          <w:tcPr>
            <w:tcW w:w="3309" w:type="dxa"/>
            <w:tcBorders>
              <w:top w:val="none" w:sz="0" w:space="0" w:color="auto"/>
              <w:bottom w:val="none" w:sz="0" w:space="0" w:color="auto"/>
            </w:tcBorders>
            <w:vAlign w:val="center"/>
          </w:tcPr>
          <w:p w14:paraId="1C7982DC" w14:textId="591B4A7D" w:rsidR="00043FF7" w:rsidRPr="00B41C13" w:rsidRDefault="00845477"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7 December 2026</w:t>
            </w:r>
          </w:p>
        </w:tc>
      </w:tr>
      <w:tr w:rsidR="00043FF7" w:rsidRPr="00205936" w14:paraId="7B3C95A9" w14:textId="77777777" w:rsidTr="00BF5577">
        <w:tc>
          <w:tcPr>
            <w:cnfStyle w:val="001000000000" w:firstRow="0" w:lastRow="0" w:firstColumn="1" w:lastColumn="0" w:oddVBand="0" w:evenVBand="0" w:oddHBand="0" w:evenHBand="0" w:firstRowFirstColumn="0" w:firstRowLastColumn="0" w:lastRowFirstColumn="0" w:lastRowLastColumn="0"/>
            <w:tcW w:w="3005" w:type="dxa"/>
            <w:tcBorders>
              <w:right w:val="none" w:sz="0" w:space="0" w:color="auto"/>
            </w:tcBorders>
            <w:shd w:val="clear" w:color="auto" w:fill="F6F2ED" w:themeFill="accent3" w:themeFillTint="33"/>
          </w:tcPr>
          <w:p w14:paraId="1CDE57BD" w14:textId="71243259" w:rsidR="00043FF7" w:rsidRPr="00205936" w:rsidRDefault="00043FF7" w:rsidP="00647DF1">
            <w:pPr>
              <w:pStyle w:val="TableBodyCellLeft"/>
            </w:pPr>
            <w:r w:rsidRPr="00205936">
              <w:t>Judy O</w:t>
            </w:r>
            <w:r w:rsidR="00FC1B00" w:rsidRPr="00205936">
              <w:t>’</w:t>
            </w:r>
            <w:r w:rsidRPr="00205936">
              <w:t>Connell</w:t>
            </w:r>
          </w:p>
        </w:tc>
        <w:tc>
          <w:tcPr>
            <w:tcW w:w="3309" w:type="dxa"/>
            <w:vAlign w:val="center"/>
          </w:tcPr>
          <w:p w14:paraId="18D8B78B" w14:textId="1D2E273D" w:rsidR="00043FF7" w:rsidRPr="00B41C13" w:rsidRDefault="00845477"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8 December 2023</w:t>
            </w:r>
          </w:p>
        </w:tc>
        <w:tc>
          <w:tcPr>
            <w:tcW w:w="3309" w:type="dxa"/>
            <w:vAlign w:val="center"/>
          </w:tcPr>
          <w:p w14:paraId="4D0606B8" w14:textId="21B0E8C4" w:rsidR="00043FF7" w:rsidRPr="00B41C13" w:rsidRDefault="00845477"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7 December 2026</w:t>
            </w:r>
          </w:p>
        </w:tc>
      </w:tr>
      <w:tr w:rsidR="008819DD" w:rsidRPr="00205936" w14:paraId="56AECC0E" w14:textId="77777777" w:rsidTr="00BF5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right w:val="none" w:sz="0" w:space="0" w:color="auto"/>
            </w:tcBorders>
            <w:shd w:val="clear" w:color="auto" w:fill="F6F2ED" w:themeFill="accent3" w:themeFillTint="33"/>
          </w:tcPr>
          <w:p w14:paraId="0FC17EE1" w14:textId="28BE34BA" w:rsidR="008819DD" w:rsidRPr="00205936" w:rsidRDefault="008819DD" w:rsidP="00647DF1">
            <w:pPr>
              <w:pStyle w:val="TableBodyCellLeft"/>
            </w:pPr>
            <w:r w:rsidRPr="00205936">
              <w:t>Rob Heferen</w:t>
            </w:r>
          </w:p>
        </w:tc>
        <w:tc>
          <w:tcPr>
            <w:tcW w:w="3309" w:type="dxa"/>
            <w:tcBorders>
              <w:top w:val="none" w:sz="0" w:space="0" w:color="auto"/>
              <w:bottom w:val="none" w:sz="0" w:space="0" w:color="auto"/>
            </w:tcBorders>
            <w:vAlign w:val="center"/>
          </w:tcPr>
          <w:p w14:paraId="0D2D3138" w14:textId="0C3A3D3E" w:rsidR="008819DD" w:rsidRPr="00B41C13" w:rsidRDefault="00442628"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1 March 2024</w:t>
            </w:r>
          </w:p>
        </w:tc>
        <w:tc>
          <w:tcPr>
            <w:tcW w:w="3309" w:type="dxa"/>
            <w:tcBorders>
              <w:top w:val="none" w:sz="0" w:space="0" w:color="auto"/>
              <w:bottom w:val="none" w:sz="0" w:space="0" w:color="auto"/>
            </w:tcBorders>
            <w:vAlign w:val="center"/>
          </w:tcPr>
          <w:p w14:paraId="19C5DCA8" w14:textId="42923C7E" w:rsidR="008819DD" w:rsidRPr="00B41C13" w:rsidRDefault="00442628"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Ex</w:t>
            </w:r>
            <w:r w:rsidR="004860EF" w:rsidRPr="00B41C13">
              <w:t xml:space="preserve"> </w:t>
            </w:r>
            <w:r w:rsidR="005B5E0D" w:rsidRPr="00B41C13">
              <w:t>o</w:t>
            </w:r>
            <w:r w:rsidRPr="00B41C13">
              <w:t>fficio</w:t>
            </w:r>
          </w:p>
        </w:tc>
      </w:tr>
      <w:tr w:rsidR="00042927" w:rsidRPr="00205936" w14:paraId="72BC0F74" w14:textId="77777777" w:rsidTr="00BF5577">
        <w:tc>
          <w:tcPr>
            <w:cnfStyle w:val="001000000000" w:firstRow="0" w:lastRow="0" w:firstColumn="1" w:lastColumn="0" w:oddVBand="0" w:evenVBand="0" w:oddHBand="0" w:evenHBand="0" w:firstRowFirstColumn="0" w:firstRowLastColumn="0" w:lastRowFirstColumn="0" w:lastRowLastColumn="0"/>
            <w:tcW w:w="3005" w:type="dxa"/>
            <w:tcBorders>
              <w:right w:val="none" w:sz="0" w:space="0" w:color="auto"/>
            </w:tcBorders>
            <w:shd w:val="clear" w:color="auto" w:fill="F6F2ED" w:themeFill="accent3" w:themeFillTint="33"/>
          </w:tcPr>
          <w:p w14:paraId="56E27771" w14:textId="18DDAEFD" w:rsidR="00042927" w:rsidRPr="00205936" w:rsidRDefault="00B034D2" w:rsidP="00647DF1">
            <w:pPr>
              <w:pStyle w:val="TableBodyCellLeft"/>
            </w:pPr>
            <w:r w:rsidRPr="00205936">
              <w:t>Jenny Wilkinson</w:t>
            </w:r>
            <w:r w:rsidR="001F4A8C" w:rsidRPr="00205936">
              <w:t xml:space="preserve"> </w:t>
            </w:r>
            <w:r w:rsidRPr="00205936">
              <w:t>PSM</w:t>
            </w:r>
          </w:p>
        </w:tc>
        <w:tc>
          <w:tcPr>
            <w:tcW w:w="3309" w:type="dxa"/>
            <w:vAlign w:val="center"/>
          </w:tcPr>
          <w:p w14:paraId="490D08FC" w14:textId="10F5E536" w:rsidR="00042927" w:rsidRPr="00B41C13" w:rsidRDefault="00A20E17"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16 June 2025</w:t>
            </w:r>
          </w:p>
        </w:tc>
        <w:tc>
          <w:tcPr>
            <w:tcW w:w="3309" w:type="dxa"/>
            <w:vAlign w:val="center"/>
          </w:tcPr>
          <w:p w14:paraId="141E8AB5" w14:textId="7B61D8BD" w:rsidR="00042927" w:rsidRPr="00B41C13" w:rsidRDefault="00A20E17"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Ex</w:t>
            </w:r>
            <w:r w:rsidR="004860EF" w:rsidRPr="00B41C13">
              <w:t xml:space="preserve"> </w:t>
            </w:r>
            <w:r w:rsidRPr="00B41C13">
              <w:t>officio</w:t>
            </w:r>
          </w:p>
        </w:tc>
      </w:tr>
      <w:tr w:rsidR="00036758" w:rsidRPr="00205936" w14:paraId="7AFF43A9" w14:textId="77777777" w:rsidTr="00BF5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right w:val="none" w:sz="0" w:space="0" w:color="auto"/>
            </w:tcBorders>
            <w:shd w:val="clear" w:color="auto" w:fill="F6F2ED" w:themeFill="accent3" w:themeFillTint="33"/>
          </w:tcPr>
          <w:p w14:paraId="1BA636A8" w14:textId="77777777" w:rsidR="00036758" w:rsidRPr="00205936" w:rsidRDefault="00036758" w:rsidP="00647DF1">
            <w:pPr>
              <w:pStyle w:val="TableBodyCellLeft"/>
            </w:pPr>
            <w:r w:rsidRPr="00205936">
              <w:t>Meredith Leigh</w:t>
            </w:r>
          </w:p>
        </w:tc>
        <w:tc>
          <w:tcPr>
            <w:tcW w:w="3309" w:type="dxa"/>
            <w:tcBorders>
              <w:top w:val="none" w:sz="0" w:space="0" w:color="auto"/>
              <w:bottom w:val="none" w:sz="0" w:space="0" w:color="auto"/>
            </w:tcBorders>
            <w:vAlign w:val="center"/>
          </w:tcPr>
          <w:p w14:paraId="528B80C1" w14:textId="77777777" w:rsidR="00036758" w:rsidRPr="00B41C13" w:rsidRDefault="00036758"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11 October 2021</w:t>
            </w:r>
          </w:p>
        </w:tc>
        <w:tc>
          <w:tcPr>
            <w:tcW w:w="3309" w:type="dxa"/>
            <w:tcBorders>
              <w:top w:val="none" w:sz="0" w:space="0" w:color="auto"/>
              <w:bottom w:val="none" w:sz="0" w:space="0" w:color="auto"/>
            </w:tcBorders>
            <w:vAlign w:val="center"/>
          </w:tcPr>
          <w:p w14:paraId="4CD74F05" w14:textId="60BE0A6B" w:rsidR="00036758" w:rsidRPr="00B41C13" w:rsidRDefault="00036758" w:rsidP="00B41C13">
            <w:pPr>
              <w:pStyle w:val="TableBodyCellLeft"/>
              <w:cnfStyle w:val="000000100000" w:firstRow="0" w:lastRow="0" w:firstColumn="0" w:lastColumn="0" w:oddVBand="0" w:evenVBand="0" w:oddHBand="1" w:evenHBand="0" w:firstRowFirstColumn="0" w:firstRowLastColumn="0" w:lastRowFirstColumn="0" w:lastRowLastColumn="0"/>
            </w:pPr>
            <w:r w:rsidRPr="00B41C13">
              <w:t>Ex</w:t>
            </w:r>
            <w:r w:rsidR="004860EF" w:rsidRPr="00B41C13">
              <w:t xml:space="preserve"> </w:t>
            </w:r>
            <w:r w:rsidRPr="00B41C13">
              <w:t>officio</w:t>
            </w:r>
          </w:p>
        </w:tc>
      </w:tr>
    </w:tbl>
    <w:p w14:paraId="4B0BD57B" w14:textId="76FEE327" w:rsidR="00A46F0B" w:rsidRDefault="000A2B93" w:rsidP="000F784E">
      <w:pPr>
        <w:pStyle w:val="Notealpha"/>
        <w:ind w:left="357" w:hanging="357"/>
      </w:pPr>
      <w:r>
        <w:t>Hon David Bradbury resigned from the position of Chair of the Board of Taxation effective 31 August 2026</w:t>
      </w:r>
      <w:r w:rsidR="00EA2807">
        <w:t>.</w:t>
      </w:r>
    </w:p>
    <w:p w14:paraId="1F30B271" w14:textId="13978B1F" w:rsidR="009B1107" w:rsidRDefault="004322E1" w:rsidP="000F784E">
      <w:pPr>
        <w:pStyle w:val="Notealpha"/>
        <w:ind w:left="357" w:hanging="357"/>
      </w:pPr>
      <w:r>
        <w:t>Dr Julianne Jaques KC was appointed as acting Chair from 1 April 2025 to 30 September 2025.</w:t>
      </w:r>
    </w:p>
    <w:p w14:paraId="7E5F7283" w14:textId="231E4B30" w:rsidR="007A5DC8" w:rsidRPr="00F6614B" w:rsidRDefault="00F25163" w:rsidP="00B94997">
      <w:pPr>
        <w:pStyle w:val="Notealpha"/>
        <w:ind w:left="357" w:hanging="357"/>
      </w:pPr>
      <w:r>
        <w:rPr>
          <w:rFonts w:cs="Calibri"/>
        </w:rPr>
        <w:t>Andrew Mills</w:t>
      </w:r>
      <w:r w:rsidR="008E0EB9">
        <w:rPr>
          <w:rFonts w:cs="Calibri"/>
        </w:rPr>
        <w:t xml:space="preserve"> was appointed as </w:t>
      </w:r>
      <w:r w:rsidR="009C0E15">
        <w:rPr>
          <w:rFonts w:cs="Calibri"/>
        </w:rPr>
        <w:t>acting Chair of the Board from 1 October 2025</w:t>
      </w:r>
      <w:r w:rsidR="00B808AB">
        <w:rPr>
          <w:rFonts w:cs="Calibri"/>
        </w:rPr>
        <w:t xml:space="preserve"> to 31 March 2026</w:t>
      </w:r>
      <w:r w:rsidR="009C0E15">
        <w:rPr>
          <w:rFonts w:cs="Calibri"/>
        </w:rPr>
        <w:t>.</w:t>
      </w:r>
    </w:p>
    <w:p w14:paraId="33C5224B" w14:textId="77777777" w:rsidR="00036758" w:rsidRDefault="00036758">
      <w:r>
        <w:br w:type="page"/>
      </w:r>
    </w:p>
    <w:p w14:paraId="00C82060" w14:textId="4F6116C1" w:rsidR="004C4363" w:rsidRPr="00FC0C6C" w:rsidRDefault="00C4491D" w:rsidP="004C4363">
      <w:pPr>
        <w:pStyle w:val="Heading1"/>
      </w:pPr>
      <w:bookmarkStart w:id="62" w:name="_Toc209006414"/>
      <w:bookmarkStart w:id="63" w:name="_Toc238644412"/>
      <w:r>
        <w:lastRenderedPageBreak/>
        <w:t>Appendix C:</w:t>
      </w:r>
      <w:r w:rsidR="0063139E">
        <w:t xml:space="preserve"> </w:t>
      </w:r>
      <w:r w:rsidR="004C4363" w:rsidRPr="00FC0C6C">
        <w:t>Attendance at</w:t>
      </w:r>
      <w:r w:rsidR="006622F8">
        <w:t xml:space="preserve"> </w:t>
      </w:r>
      <w:r w:rsidR="004C4363" w:rsidRPr="00FC0C6C">
        <w:t>Board</w:t>
      </w:r>
      <w:r w:rsidR="007004CB">
        <w:t> </w:t>
      </w:r>
      <w:r w:rsidR="004C4363" w:rsidRPr="00FC0C6C">
        <w:t>meetings</w:t>
      </w:r>
      <w:bookmarkEnd w:id="62"/>
      <w:bookmarkEnd w:id="63"/>
    </w:p>
    <w:p w14:paraId="188EAF16" w14:textId="7E3A9D7C" w:rsidR="004C4363" w:rsidRDefault="004C4363" w:rsidP="004C4363">
      <w:pPr>
        <w:pStyle w:val="TableHeading1"/>
      </w:pPr>
      <w:r>
        <w:t xml:space="preserve">Table </w:t>
      </w:r>
      <w:r w:rsidR="002262AA">
        <w:t>5</w:t>
      </w:r>
      <w:r>
        <w:t>: Attendance at Board meetings, 202</w:t>
      </w:r>
      <w:r w:rsidR="001224BD">
        <w:t>5</w:t>
      </w:r>
      <w:r>
        <w:t>–2</w:t>
      </w:r>
      <w:r w:rsidR="000A48AD">
        <w:t>6</w:t>
      </w:r>
    </w:p>
    <w:tbl>
      <w:tblPr>
        <w:tblStyle w:val="ListTable3-Accent1"/>
        <w:tblW w:w="4999" w:type="pct"/>
        <w:tblBorders>
          <w:left w:val="none" w:sz="0" w:space="0" w:color="auto"/>
          <w:bottom w:val="single" w:sz="8" w:space="0" w:color="142147" w:themeColor="accent1"/>
          <w:right w:val="none" w:sz="0" w:space="0" w:color="auto"/>
          <w:insideH w:val="single" w:sz="4" w:space="0" w:color="142147" w:themeColor="accent1"/>
        </w:tblBorders>
        <w:tblCellMar>
          <w:top w:w="57" w:type="dxa"/>
          <w:bottom w:w="57" w:type="dxa"/>
        </w:tblCellMar>
        <w:tblLook w:val="06A0" w:firstRow="1" w:lastRow="0" w:firstColumn="1" w:lastColumn="0" w:noHBand="1" w:noVBand="1"/>
      </w:tblPr>
      <w:tblGrid>
        <w:gridCol w:w="3006"/>
        <w:gridCol w:w="3572"/>
        <w:gridCol w:w="3061"/>
      </w:tblGrid>
      <w:tr w:rsidR="00B41C13" w:rsidRPr="00205936" w14:paraId="1CBC479A" w14:textId="77777777" w:rsidTr="00BF5577">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3007" w:type="dxa"/>
            <w:tcBorders>
              <w:bottom w:val="none" w:sz="0" w:space="0" w:color="auto"/>
              <w:right w:val="none" w:sz="0" w:space="0" w:color="auto"/>
            </w:tcBorders>
          </w:tcPr>
          <w:p w14:paraId="34DF98EA" w14:textId="77777777" w:rsidR="004C4363" w:rsidRPr="00205936" w:rsidRDefault="004C4363" w:rsidP="00FC612B">
            <w:pPr>
              <w:pStyle w:val="TableHeaderCellLeft"/>
            </w:pPr>
            <w:r w:rsidRPr="00205936">
              <w:t>Member</w:t>
            </w:r>
          </w:p>
        </w:tc>
        <w:tc>
          <w:tcPr>
            <w:tcW w:w="3572" w:type="dxa"/>
          </w:tcPr>
          <w:p w14:paraId="00FA17A6" w14:textId="77777777" w:rsidR="004C4363" w:rsidRPr="00205936" w:rsidRDefault="004C4363" w:rsidP="00FC612B">
            <w:pPr>
              <w:pStyle w:val="TableHeaderCellLeft"/>
              <w:cnfStyle w:val="100000000000" w:firstRow="1" w:lastRow="0" w:firstColumn="0" w:lastColumn="0" w:oddVBand="0" w:evenVBand="0" w:oddHBand="0" w:evenHBand="0" w:firstRowFirstColumn="0" w:firstRowLastColumn="0" w:lastRowFirstColumn="0" w:lastRowLastColumn="0"/>
            </w:pPr>
            <w:r w:rsidRPr="00205936">
              <w:t>Number of meetings eligible to attend</w:t>
            </w:r>
          </w:p>
        </w:tc>
        <w:tc>
          <w:tcPr>
            <w:tcW w:w="3061" w:type="dxa"/>
          </w:tcPr>
          <w:p w14:paraId="1569F3D7" w14:textId="77777777" w:rsidR="004C4363" w:rsidRPr="00205936" w:rsidRDefault="004C4363" w:rsidP="00FC612B">
            <w:pPr>
              <w:pStyle w:val="TableHeaderCellLeft"/>
              <w:cnfStyle w:val="100000000000" w:firstRow="1" w:lastRow="0" w:firstColumn="0" w:lastColumn="0" w:oddVBand="0" w:evenVBand="0" w:oddHBand="0" w:evenHBand="0" w:firstRowFirstColumn="0" w:firstRowLastColumn="0" w:lastRowFirstColumn="0" w:lastRowLastColumn="0"/>
            </w:pPr>
            <w:r w:rsidRPr="00205936">
              <w:t>Number of meetings attended</w:t>
            </w:r>
          </w:p>
        </w:tc>
      </w:tr>
      <w:tr w:rsidR="00B41C13" w:rsidRPr="00205936" w14:paraId="32EE9A8B" w14:textId="77777777" w:rsidTr="00BF5577">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7A413629" w14:textId="03326219" w:rsidR="001B67F0" w:rsidRPr="00205936" w:rsidRDefault="00457920" w:rsidP="00FC612B">
            <w:pPr>
              <w:pStyle w:val="TableBodyCellLeft"/>
            </w:pPr>
            <w:r w:rsidRPr="00205936">
              <w:t xml:space="preserve">The Hon </w:t>
            </w:r>
            <w:r w:rsidR="00887191" w:rsidRPr="00205936">
              <w:t xml:space="preserve">David Bradbury, Chair </w:t>
            </w:r>
          </w:p>
        </w:tc>
        <w:tc>
          <w:tcPr>
            <w:tcW w:w="3572" w:type="dxa"/>
            <w:vAlign w:val="center"/>
          </w:tcPr>
          <w:p w14:paraId="32C7B32D" w14:textId="40ACB008" w:rsidR="001B67F0" w:rsidRPr="00205936" w:rsidRDefault="00201014"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2</w:t>
            </w:r>
          </w:p>
        </w:tc>
        <w:tc>
          <w:tcPr>
            <w:tcW w:w="3061" w:type="dxa"/>
            <w:vAlign w:val="center"/>
          </w:tcPr>
          <w:p w14:paraId="32319359" w14:textId="3D11CE9F" w:rsidR="001B67F0" w:rsidRPr="00205936" w:rsidRDefault="00201014"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2</w:t>
            </w:r>
          </w:p>
        </w:tc>
      </w:tr>
      <w:tr w:rsidR="00B41C13" w:rsidRPr="00205936" w14:paraId="27F78907" w14:textId="77777777" w:rsidTr="00BF5577">
        <w:trPr>
          <w:trHeight w:val="170"/>
        </w:trPr>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1EC6113D" w14:textId="77777777" w:rsidR="004C4363" w:rsidRPr="00205936" w:rsidRDefault="004C4363" w:rsidP="00FC612B">
            <w:pPr>
              <w:pStyle w:val="TableBodyCellLeft"/>
            </w:pPr>
            <w:r w:rsidRPr="00205936">
              <w:t>Dr Julianne Jaques KC</w:t>
            </w:r>
          </w:p>
        </w:tc>
        <w:tc>
          <w:tcPr>
            <w:tcW w:w="3572" w:type="dxa"/>
            <w:vAlign w:val="center"/>
          </w:tcPr>
          <w:p w14:paraId="2F900277" w14:textId="70182E1C" w:rsidR="004C4363" w:rsidRPr="00205936" w:rsidRDefault="00DB0E18"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2</w:t>
            </w:r>
          </w:p>
        </w:tc>
        <w:tc>
          <w:tcPr>
            <w:tcW w:w="3061" w:type="dxa"/>
            <w:vAlign w:val="center"/>
          </w:tcPr>
          <w:p w14:paraId="42BB56A3" w14:textId="6AADD03F" w:rsidR="004C4363" w:rsidRPr="00205936" w:rsidRDefault="00DB0E18"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2</w:t>
            </w:r>
          </w:p>
        </w:tc>
      </w:tr>
      <w:tr w:rsidR="00B41C13" w:rsidRPr="00205936" w14:paraId="2FFD27B0" w14:textId="77777777" w:rsidTr="00BF5577">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5E5094E7" w14:textId="77777777" w:rsidR="004C4363" w:rsidRPr="00205936" w:rsidRDefault="004C4363" w:rsidP="00FC612B">
            <w:pPr>
              <w:pStyle w:val="TableBodyCellLeft"/>
            </w:pPr>
            <w:r w:rsidRPr="00205936">
              <w:t>Ian Kellock</w:t>
            </w:r>
          </w:p>
        </w:tc>
        <w:tc>
          <w:tcPr>
            <w:tcW w:w="3572" w:type="dxa"/>
            <w:vAlign w:val="center"/>
          </w:tcPr>
          <w:p w14:paraId="546D4712" w14:textId="291AE644" w:rsidR="004C4363" w:rsidRPr="00205936" w:rsidRDefault="008218E6"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c>
          <w:tcPr>
            <w:tcW w:w="3061" w:type="dxa"/>
            <w:vAlign w:val="center"/>
          </w:tcPr>
          <w:p w14:paraId="7F4C5F9E" w14:textId="08008F54" w:rsidR="004C4363" w:rsidRPr="00205936" w:rsidRDefault="008218E6"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r>
      <w:tr w:rsidR="00B41C13" w:rsidRPr="00205936" w14:paraId="6812D596" w14:textId="77777777" w:rsidTr="00BF5577">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1DE84502" w14:textId="77777777" w:rsidR="004C4363" w:rsidRPr="00205936" w:rsidRDefault="004C4363" w:rsidP="00FC612B">
            <w:pPr>
              <w:pStyle w:val="TableBodyCellLeft"/>
            </w:pPr>
            <w:r w:rsidRPr="00205936">
              <w:t>Andrea Laing</w:t>
            </w:r>
          </w:p>
        </w:tc>
        <w:tc>
          <w:tcPr>
            <w:tcW w:w="3572" w:type="dxa"/>
            <w:vAlign w:val="center"/>
          </w:tcPr>
          <w:p w14:paraId="72AC2ECC" w14:textId="18874E14" w:rsidR="004C4363" w:rsidRPr="00205936" w:rsidRDefault="005C660E"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c>
          <w:tcPr>
            <w:tcW w:w="3061" w:type="dxa"/>
            <w:vAlign w:val="center"/>
          </w:tcPr>
          <w:p w14:paraId="528C367A" w14:textId="19CB1076" w:rsidR="004C4363" w:rsidRPr="00205936" w:rsidRDefault="00590093"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r>
      <w:tr w:rsidR="00B41C13" w:rsidRPr="00205936" w14:paraId="5DB956B6" w14:textId="77777777" w:rsidTr="00BF5577">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62F2B634" w14:textId="6CF56C25" w:rsidR="004C4363" w:rsidRPr="00205936" w:rsidRDefault="004C4363" w:rsidP="00FC612B">
            <w:pPr>
              <w:pStyle w:val="TableBodyCellLeft"/>
            </w:pPr>
            <w:r w:rsidRPr="00205936">
              <w:t>Andrew Mills</w:t>
            </w:r>
          </w:p>
        </w:tc>
        <w:tc>
          <w:tcPr>
            <w:tcW w:w="3572" w:type="dxa"/>
            <w:vAlign w:val="center"/>
          </w:tcPr>
          <w:p w14:paraId="1444DF81" w14:textId="0528B9DA" w:rsidR="004C4363" w:rsidRPr="00205936" w:rsidRDefault="00094136"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c>
          <w:tcPr>
            <w:tcW w:w="3061" w:type="dxa"/>
            <w:vAlign w:val="center"/>
          </w:tcPr>
          <w:p w14:paraId="313F1FF2" w14:textId="53911F77" w:rsidR="004C4363" w:rsidRPr="00205936" w:rsidRDefault="00094136"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7</w:t>
            </w:r>
          </w:p>
        </w:tc>
      </w:tr>
      <w:tr w:rsidR="00B41C13" w:rsidRPr="00205936" w14:paraId="530937D1" w14:textId="77777777" w:rsidTr="00BF5577">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2A406F1E" w14:textId="374D8ACB" w:rsidR="004C4363" w:rsidRPr="00205936" w:rsidRDefault="004C4363" w:rsidP="00FC612B">
            <w:pPr>
              <w:pStyle w:val="TableBodyCellLeft"/>
            </w:pPr>
            <w:r w:rsidRPr="00205936">
              <w:t>Judy O</w:t>
            </w:r>
            <w:r w:rsidR="00FC1B00" w:rsidRPr="00205936">
              <w:t>’</w:t>
            </w:r>
            <w:r w:rsidRPr="00205936">
              <w:t>Connell</w:t>
            </w:r>
          </w:p>
        </w:tc>
        <w:tc>
          <w:tcPr>
            <w:tcW w:w="3572" w:type="dxa"/>
            <w:vAlign w:val="center"/>
          </w:tcPr>
          <w:p w14:paraId="04F39410" w14:textId="15C94ACB" w:rsidR="004C4363" w:rsidRPr="00205936" w:rsidRDefault="009E58C1"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c>
          <w:tcPr>
            <w:tcW w:w="3061" w:type="dxa"/>
            <w:vAlign w:val="center"/>
          </w:tcPr>
          <w:p w14:paraId="0F83EC34" w14:textId="66471C32" w:rsidR="004C4363" w:rsidRPr="00205936" w:rsidRDefault="00D51CE0"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r>
      <w:tr w:rsidR="00B41C13" w:rsidRPr="00205936" w14:paraId="60722449" w14:textId="77777777" w:rsidTr="00BF5577">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70132335" w14:textId="3A2EC9D4" w:rsidR="004C4363" w:rsidRPr="00205936" w:rsidRDefault="004C4363" w:rsidP="00FC612B">
            <w:pPr>
              <w:pStyle w:val="TableBodyCellLeft"/>
            </w:pPr>
            <w:r w:rsidRPr="00205936">
              <w:t xml:space="preserve">Rob </w:t>
            </w:r>
            <w:proofErr w:type="gramStart"/>
            <w:r w:rsidRPr="00205936">
              <w:t>Heferen</w:t>
            </w:r>
            <w:r w:rsidR="00574A4B" w:rsidRPr="00205936">
              <w:rPr>
                <w:vertAlign w:val="superscript"/>
              </w:rPr>
              <w:t>(</w:t>
            </w:r>
            <w:proofErr w:type="gramEnd"/>
            <w:r w:rsidR="00574A4B" w:rsidRPr="00205936">
              <w:rPr>
                <w:vertAlign w:val="superscript"/>
              </w:rPr>
              <w:t>#)</w:t>
            </w:r>
          </w:p>
        </w:tc>
        <w:tc>
          <w:tcPr>
            <w:tcW w:w="3572" w:type="dxa"/>
            <w:vAlign w:val="center"/>
          </w:tcPr>
          <w:p w14:paraId="293A962D" w14:textId="51118AD2" w:rsidR="004C4363" w:rsidRPr="00205936" w:rsidRDefault="00D271A1"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c>
          <w:tcPr>
            <w:tcW w:w="3061" w:type="dxa"/>
            <w:vAlign w:val="center"/>
          </w:tcPr>
          <w:p w14:paraId="47A001CE" w14:textId="29078045" w:rsidR="004C4363" w:rsidRPr="00205936" w:rsidRDefault="00225676"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r w:rsidR="00A20555" w:rsidRPr="00205936">
              <w:t xml:space="preserve"> –</w:t>
            </w:r>
            <w:r w:rsidR="00574A4B" w:rsidRPr="00205936">
              <w:t xml:space="preserve"> including</w:t>
            </w:r>
            <w:r w:rsidR="00A20555" w:rsidRPr="00205936">
              <w:t xml:space="preserve"> via delegate</w:t>
            </w:r>
          </w:p>
        </w:tc>
      </w:tr>
      <w:tr w:rsidR="00B41C13" w:rsidRPr="00205936" w14:paraId="686CFD86" w14:textId="77777777" w:rsidTr="00BF5577">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6435BD16" w14:textId="32A41498" w:rsidR="0059255C" w:rsidRPr="00205936" w:rsidRDefault="0059255C" w:rsidP="0059255C">
            <w:pPr>
              <w:pStyle w:val="TableBodyCellLeft"/>
            </w:pPr>
            <w:r w:rsidRPr="00205936">
              <w:t xml:space="preserve">Jenny Wilkinson </w:t>
            </w:r>
            <w:proofErr w:type="gramStart"/>
            <w:r w:rsidRPr="00205936">
              <w:t>PSM</w:t>
            </w:r>
            <w:r w:rsidR="00697D66" w:rsidRPr="00205936">
              <w:rPr>
                <w:vertAlign w:val="superscript"/>
              </w:rPr>
              <w:t>(</w:t>
            </w:r>
            <w:proofErr w:type="gramEnd"/>
            <w:r w:rsidR="00697D66" w:rsidRPr="00205936">
              <w:rPr>
                <w:vertAlign w:val="superscript"/>
              </w:rPr>
              <w:t>#)</w:t>
            </w:r>
          </w:p>
        </w:tc>
        <w:tc>
          <w:tcPr>
            <w:tcW w:w="3572" w:type="dxa"/>
            <w:vAlign w:val="center"/>
          </w:tcPr>
          <w:p w14:paraId="7CA3E05C" w14:textId="204FE292" w:rsidR="0059255C" w:rsidRPr="00205936" w:rsidRDefault="0059255C"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c>
          <w:tcPr>
            <w:tcW w:w="3061" w:type="dxa"/>
            <w:vAlign w:val="center"/>
          </w:tcPr>
          <w:p w14:paraId="35E334CA" w14:textId="33B3CBE3" w:rsidR="0059255C" w:rsidRPr="00205936" w:rsidRDefault="0059255C"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 – including via delegate</w:t>
            </w:r>
          </w:p>
        </w:tc>
      </w:tr>
      <w:tr w:rsidR="00B41C13" w:rsidRPr="00205936" w14:paraId="62FC68CD" w14:textId="77777777" w:rsidTr="00BF5577">
        <w:tc>
          <w:tcPr>
            <w:cnfStyle w:val="001000000000" w:firstRow="0" w:lastRow="0" w:firstColumn="1" w:lastColumn="0" w:oddVBand="0" w:evenVBand="0" w:oddHBand="0" w:evenHBand="0" w:firstRowFirstColumn="0" w:firstRowLastColumn="0" w:lastRowFirstColumn="0" w:lastRowLastColumn="0"/>
            <w:tcW w:w="3007" w:type="dxa"/>
            <w:tcBorders>
              <w:right w:val="none" w:sz="0" w:space="0" w:color="auto"/>
            </w:tcBorders>
            <w:shd w:val="clear" w:color="auto" w:fill="F6F2ED" w:themeFill="accent3" w:themeFillTint="33"/>
            <w:vAlign w:val="center"/>
          </w:tcPr>
          <w:p w14:paraId="3D6008EC" w14:textId="44C6CA70" w:rsidR="0059255C" w:rsidRPr="00205936" w:rsidRDefault="0059255C" w:rsidP="0059255C">
            <w:pPr>
              <w:pStyle w:val="TableBodyCellLeft"/>
            </w:pPr>
            <w:r w:rsidRPr="00205936">
              <w:t xml:space="preserve">Meredith </w:t>
            </w:r>
            <w:proofErr w:type="gramStart"/>
            <w:r w:rsidRPr="00205936">
              <w:t>Leigh</w:t>
            </w:r>
            <w:r w:rsidRPr="00205936">
              <w:rPr>
                <w:vertAlign w:val="superscript"/>
              </w:rPr>
              <w:t>(</w:t>
            </w:r>
            <w:proofErr w:type="gramEnd"/>
            <w:r w:rsidRPr="00205936">
              <w:rPr>
                <w:vertAlign w:val="superscript"/>
              </w:rPr>
              <w:t>#)</w:t>
            </w:r>
          </w:p>
        </w:tc>
        <w:tc>
          <w:tcPr>
            <w:tcW w:w="3572" w:type="dxa"/>
            <w:vAlign w:val="center"/>
          </w:tcPr>
          <w:p w14:paraId="28431443" w14:textId="13A19CEF" w:rsidR="0059255C" w:rsidRPr="00205936" w:rsidRDefault="001F3014" w:rsidP="00AB46FA">
            <w:pPr>
              <w:pStyle w:val="TableBodyCellRight"/>
              <w:cnfStyle w:val="000000000000" w:firstRow="0" w:lastRow="0" w:firstColumn="0" w:lastColumn="0" w:oddVBand="0" w:evenVBand="0" w:oddHBand="0" w:evenHBand="0" w:firstRowFirstColumn="0" w:firstRowLastColumn="0" w:lastRowFirstColumn="0" w:lastRowLastColumn="0"/>
            </w:pPr>
            <w:r w:rsidRPr="00205936">
              <w:t>8</w:t>
            </w:r>
          </w:p>
        </w:tc>
        <w:tc>
          <w:tcPr>
            <w:tcW w:w="3061" w:type="dxa"/>
            <w:vAlign w:val="center"/>
          </w:tcPr>
          <w:p w14:paraId="306D0F9B" w14:textId="0C8FEC12" w:rsidR="00772C48" w:rsidRPr="00205936" w:rsidRDefault="00AB4524" w:rsidP="00AB46FA">
            <w:pPr>
              <w:pStyle w:val="TableBodyCellRight"/>
              <w:cnfStyle w:val="000000000000" w:firstRow="0" w:lastRow="0" w:firstColumn="0" w:lastColumn="0" w:oddVBand="0" w:evenVBand="0" w:oddHBand="0" w:evenHBand="0" w:firstRowFirstColumn="0" w:firstRowLastColumn="0" w:lastRowFirstColumn="0" w:lastRowLastColumn="0"/>
              <w:rPr>
                <w:b/>
                <w:bCs/>
              </w:rPr>
            </w:pPr>
            <w:r w:rsidRPr="00205936">
              <w:t>8</w:t>
            </w:r>
          </w:p>
        </w:tc>
      </w:tr>
    </w:tbl>
    <w:p w14:paraId="4B353367" w14:textId="628BDB14" w:rsidR="004C4363" w:rsidRPr="001A4C28" w:rsidRDefault="004C4363" w:rsidP="000F784E">
      <w:pPr>
        <w:pStyle w:val="Note"/>
        <w:ind w:left="357" w:hanging="357"/>
      </w:pPr>
      <w:r>
        <w:t>(#)</w:t>
      </w:r>
      <w:r w:rsidR="0086698D">
        <w:t xml:space="preserve"> </w:t>
      </w:r>
      <w:r w:rsidR="0005412B">
        <w:tab/>
      </w:r>
      <w:r w:rsidRPr="001A4C28">
        <w:t>The Board</w:t>
      </w:r>
      <w:r w:rsidR="00205936">
        <w:t>’</w:t>
      </w:r>
      <w:r w:rsidRPr="001A4C28">
        <w:t>s Charter allows for ex</w:t>
      </w:r>
      <w:r w:rsidR="004860EF">
        <w:t xml:space="preserve"> </w:t>
      </w:r>
      <w:r w:rsidRPr="001A4C28">
        <w:t>officio members of the Board to be represented by a delegate at Board meetings</w:t>
      </w:r>
      <w:r>
        <w:t xml:space="preserve">. </w:t>
      </w:r>
    </w:p>
    <w:p w14:paraId="5301E40A" w14:textId="062E02BA" w:rsidR="008E2DA1" w:rsidRDefault="008E2DA1">
      <w:r>
        <w:br w:type="page"/>
      </w:r>
    </w:p>
    <w:p w14:paraId="2E43D5CD" w14:textId="7EA5945B" w:rsidR="00C4491D" w:rsidRDefault="004C4363" w:rsidP="00464518">
      <w:pPr>
        <w:pStyle w:val="Heading1"/>
      </w:pPr>
      <w:bookmarkStart w:id="64" w:name="_Toc209006415"/>
      <w:bookmarkStart w:id="65" w:name="_Ref237533263"/>
      <w:bookmarkStart w:id="66" w:name="_Toc238644413"/>
      <w:bookmarkStart w:id="67" w:name="AppendixD"/>
      <w:r>
        <w:lastRenderedPageBreak/>
        <w:t>Appendix D:</w:t>
      </w:r>
      <w:r w:rsidR="0063139E">
        <w:t xml:space="preserve"> </w:t>
      </w:r>
      <w:r w:rsidR="00C4491D">
        <w:t>Board Meetings</w:t>
      </w:r>
      <w:r w:rsidR="006D245F">
        <w:t>,</w:t>
      </w:r>
      <w:r w:rsidR="00C4491D">
        <w:t xml:space="preserve"> Stakeholder </w:t>
      </w:r>
      <w:r w:rsidR="00C4491D" w:rsidRPr="00464518">
        <w:t>Events</w:t>
      </w:r>
      <w:bookmarkStart w:id="68" w:name="_Toc149905539"/>
      <w:bookmarkEnd w:id="64"/>
      <w:r w:rsidR="006D245F">
        <w:t xml:space="preserve"> and Review Consultations</w:t>
      </w:r>
      <w:bookmarkEnd w:id="65"/>
      <w:bookmarkEnd w:id="66"/>
    </w:p>
    <w:bookmarkEnd w:id="67"/>
    <w:p w14:paraId="0C39C9CC" w14:textId="7AAF3667" w:rsidR="00422B63" w:rsidRDefault="00C4491D" w:rsidP="00C4491D">
      <w:r>
        <w:t xml:space="preserve">The Board met </w:t>
      </w:r>
      <w:r w:rsidR="00074808">
        <w:t>8</w:t>
      </w:r>
      <w:r w:rsidR="00827E3A">
        <w:t xml:space="preserve"> </w:t>
      </w:r>
      <w:r>
        <w:t>times in the 202</w:t>
      </w:r>
      <w:r w:rsidR="00E97841">
        <w:t>5</w:t>
      </w:r>
      <w:r w:rsidR="00416251">
        <w:t>–</w:t>
      </w:r>
      <w:r>
        <w:t>2</w:t>
      </w:r>
      <w:r w:rsidR="00E97841">
        <w:t>6</w:t>
      </w:r>
      <w:r>
        <w:t xml:space="preserve"> reporting year in locations throughout Australia.</w:t>
      </w:r>
      <w:r w:rsidR="00262F10">
        <w:t xml:space="preserve"> </w:t>
      </w:r>
    </w:p>
    <w:p w14:paraId="32997B0B" w14:textId="2C9D9BC6" w:rsidR="00037D61" w:rsidRDefault="00037D61" w:rsidP="00037D61">
      <w:pPr>
        <w:pStyle w:val="TableHeading1"/>
      </w:pPr>
      <w:r>
        <w:t xml:space="preserve">Table </w:t>
      </w:r>
      <w:r w:rsidR="002262AA">
        <w:t>6</w:t>
      </w:r>
      <w:r>
        <w:t>: Board meetings</w:t>
      </w:r>
      <w:r w:rsidR="008D5566">
        <w:t xml:space="preserve"> and stakeholder events</w:t>
      </w:r>
      <w:r>
        <w:t>, 202</w:t>
      </w:r>
      <w:r w:rsidR="00DD1C1E">
        <w:t>5</w:t>
      </w:r>
      <w:r>
        <w:t>–2</w:t>
      </w:r>
      <w:r w:rsidR="00DD1C1E">
        <w:t>6</w:t>
      </w:r>
    </w:p>
    <w:tbl>
      <w:tblPr>
        <w:tblStyle w:val="ListTable3-Accent1"/>
        <w:tblW w:w="5000" w:type="pct"/>
        <w:tblBorders>
          <w:left w:val="none" w:sz="0" w:space="0" w:color="auto"/>
          <w:bottom w:val="single" w:sz="8" w:space="0" w:color="142147" w:themeColor="accent1"/>
          <w:right w:val="none" w:sz="0" w:space="0" w:color="auto"/>
          <w:insideH w:val="single" w:sz="4" w:space="0" w:color="142147" w:themeColor="accent1"/>
        </w:tblBorders>
        <w:tblCellMar>
          <w:top w:w="57" w:type="dxa"/>
          <w:bottom w:w="57" w:type="dxa"/>
        </w:tblCellMar>
        <w:tblLook w:val="06A0" w:firstRow="1" w:lastRow="0" w:firstColumn="1" w:lastColumn="0" w:noHBand="1" w:noVBand="1"/>
      </w:tblPr>
      <w:tblGrid>
        <w:gridCol w:w="2137"/>
        <w:gridCol w:w="2942"/>
        <w:gridCol w:w="1101"/>
        <w:gridCol w:w="3461"/>
      </w:tblGrid>
      <w:tr w:rsidR="00B94997" w:rsidRPr="00205936" w14:paraId="40DB28B3" w14:textId="29BBFB66" w:rsidTr="00BF55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9" w:type="dxa"/>
            <w:tcBorders>
              <w:bottom w:val="none" w:sz="0" w:space="0" w:color="auto"/>
              <w:right w:val="none" w:sz="0" w:space="0" w:color="auto"/>
            </w:tcBorders>
            <w:vAlign w:val="bottom"/>
          </w:tcPr>
          <w:p w14:paraId="4BA50C36" w14:textId="7A8A6C88" w:rsidR="000F3036" w:rsidRPr="00205936" w:rsidRDefault="000F3036" w:rsidP="00B41C13">
            <w:pPr>
              <w:pStyle w:val="TableHeaderCellLeft"/>
            </w:pPr>
            <w:r w:rsidRPr="00205936">
              <w:t>Date</w:t>
            </w:r>
          </w:p>
        </w:tc>
        <w:tc>
          <w:tcPr>
            <w:tcW w:w="2891" w:type="dxa"/>
            <w:vAlign w:val="bottom"/>
          </w:tcPr>
          <w:p w14:paraId="15D25387" w14:textId="6F806D83" w:rsidR="000F3036" w:rsidRPr="00205936" w:rsidRDefault="000F3036" w:rsidP="00B41C13">
            <w:pPr>
              <w:pStyle w:val="TableHeaderCellLeft"/>
              <w:cnfStyle w:val="100000000000" w:firstRow="1" w:lastRow="0" w:firstColumn="0" w:lastColumn="0" w:oddVBand="0" w:evenVBand="0" w:oddHBand="0" w:evenHBand="0" w:firstRowFirstColumn="0" w:firstRowLastColumn="0" w:lastRowFirstColumn="0" w:lastRowLastColumn="0"/>
            </w:pPr>
            <w:r w:rsidRPr="00205936">
              <w:t>Location</w:t>
            </w:r>
          </w:p>
        </w:tc>
        <w:tc>
          <w:tcPr>
            <w:tcW w:w="1082" w:type="dxa"/>
            <w:vAlign w:val="bottom"/>
          </w:tcPr>
          <w:p w14:paraId="79C4C376" w14:textId="087B321C" w:rsidR="000F3036" w:rsidRPr="00205936" w:rsidRDefault="000F3036" w:rsidP="00B41C13">
            <w:pPr>
              <w:pStyle w:val="TableHeaderCellLeft"/>
              <w:cnfStyle w:val="100000000000" w:firstRow="1" w:lastRow="0" w:firstColumn="0" w:lastColumn="0" w:oddVBand="0" w:evenVBand="0" w:oddHBand="0" w:evenHBand="0" w:firstRowFirstColumn="0" w:firstRowLastColumn="0" w:lastRowFirstColumn="0" w:lastRowLastColumn="0"/>
            </w:pPr>
            <w:r w:rsidRPr="00205936">
              <w:t>Board Meeting</w:t>
            </w:r>
          </w:p>
        </w:tc>
        <w:tc>
          <w:tcPr>
            <w:tcW w:w="3401" w:type="dxa"/>
            <w:vAlign w:val="bottom"/>
          </w:tcPr>
          <w:p w14:paraId="2BA83DE4" w14:textId="7F1D2823" w:rsidR="000F3036" w:rsidRPr="00205936" w:rsidRDefault="00EB4B2B" w:rsidP="00B41C13">
            <w:pPr>
              <w:pStyle w:val="TableHeaderCellLeft"/>
              <w:cnfStyle w:val="100000000000" w:firstRow="1" w:lastRow="0" w:firstColumn="0" w:lastColumn="0" w:oddVBand="0" w:evenVBand="0" w:oddHBand="0" w:evenHBand="0" w:firstRowFirstColumn="0" w:firstRowLastColumn="0" w:lastRowFirstColumn="0" w:lastRowLastColumn="0"/>
            </w:pPr>
            <w:r w:rsidRPr="00205936">
              <w:t>Engagement type</w:t>
            </w:r>
          </w:p>
        </w:tc>
      </w:tr>
      <w:tr w:rsidR="00640D46" w:rsidRPr="00205936" w14:paraId="5EF523E9" w14:textId="77777777" w:rsidTr="00BF5577">
        <w:trPr>
          <w:trHeight w:val="19"/>
        </w:trPr>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56D6E7C8" w14:textId="10A5FA53" w:rsidR="00640D46" w:rsidRPr="00B41C13" w:rsidRDefault="00701E5A" w:rsidP="00B41C13">
            <w:pPr>
              <w:pStyle w:val="TableBodyCellLeft"/>
            </w:pPr>
            <w:r w:rsidRPr="00B41C13">
              <w:t>25</w:t>
            </w:r>
            <w:r w:rsidR="00094CA2" w:rsidRPr="00B41C13">
              <w:t xml:space="preserve"> July 202</w:t>
            </w:r>
            <w:r w:rsidR="00582A54" w:rsidRPr="00B41C13">
              <w:t>5</w:t>
            </w:r>
          </w:p>
        </w:tc>
        <w:tc>
          <w:tcPr>
            <w:tcW w:w="2891" w:type="dxa"/>
          </w:tcPr>
          <w:p w14:paraId="0D86D3FA" w14:textId="1A09878D" w:rsidR="00640D46" w:rsidRPr="00B41C13" w:rsidRDefault="00807016"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rsidR="00B41C13">
              <w:t xml:space="preserve"> K</w:t>
            </w:r>
            <w:r w:rsidRPr="00B41C13">
              <w:t>ent</w:t>
            </w:r>
            <w:r w:rsidR="00B41C13">
              <w:t> </w:t>
            </w:r>
            <w:r w:rsidRPr="00B41C13">
              <w:t>Street,</w:t>
            </w:r>
            <w:r w:rsidR="00B41C13">
              <w:t> </w:t>
            </w:r>
            <w:r w:rsidRPr="00B41C13">
              <w:t>Sydney,</w:t>
            </w:r>
            <w:r w:rsidR="00B41C13">
              <w:t> </w:t>
            </w:r>
            <w:r w:rsidRPr="00B41C13">
              <w:t>NSW</w:t>
            </w:r>
          </w:p>
        </w:tc>
        <w:tc>
          <w:tcPr>
            <w:tcW w:w="1082" w:type="dxa"/>
          </w:tcPr>
          <w:p w14:paraId="087EDC04" w14:textId="558C75F3" w:rsidR="00640D46" w:rsidRPr="00205936" w:rsidRDefault="00701E5A"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rPr>
                <w:lang w:val="en-US"/>
              </w:rPr>
              <w:t xml:space="preserve">Yes </w:t>
            </w:r>
          </w:p>
        </w:tc>
        <w:tc>
          <w:tcPr>
            <w:tcW w:w="3401" w:type="dxa"/>
          </w:tcPr>
          <w:p w14:paraId="05CB2FCB" w14:textId="45504FF1" w:rsidR="00640D46" w:rsidRPr="00205936" w:rsidRDefault="003976F9"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t xml:space="preserve">Stakeholder event - </w:t>
            </w:r>
            <w:r w:rsidR="005D627D" w:rsidRPr="00205936">
              <w:t>Simplifying GST administration and compliance</w:t>
            </w:r>
          </w:p>
        </w:tc>
      </w:tr>
      <w:tr w:rsidR="003478EF" w:rsidRPr="00205936" w14:paraId="79043C3D" w14:textId="77777777"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0A8EE5D7" w14:textId="71A117AA" w:rsidR="003478EF" w:rsidRPr="00B41C13" w:rsidRDefault="0094493A" w:rsidP="00B41C13">
            <w:pPr>
              <w:pStyle w:val="TableBodyCellLeft"/>
            </w:pPr>
            <w:r w:rsidRPr="00B41C13">
              <w:t>2</w:t>
            </w:r>
            <w:r w:rsidR="00202CA5" w:rsidRPr="00B41C13">
              <w:t>5 September 202</w:t>
            </w:r>
            <w:r w:rsidRPr="00B41C13">
              <w:t>5</w:t>
            </w:r>
          </w:p>
        </w:tc>
        <w:tc>
          <w:tcPr>
            <w:tcW w:w="2891" w:type="dxa"/>
          </w:tcPr>
          <w:p w14:paraId="2714202E" w14:textId="6862D044" w:rsidR="003478EF" w:rsidRPr="00B41C13" w:rsidRDefault="0070491B"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rsidR="00B41C13">
              <w:t>,</w:t>
            </w:r>
            <w:r w:rsidRPr="00B41C13">
              <w:t xml:space="preserve"> Collins</w:t>
            </w:r>
            <w:r w:rsidR="00B41C13">
              <w:t> </w:t>
            </w:r>
            <w:r w:rsidRPr="00B41C13">
              <w:t>Street,</w:t>
            </w:r>
            <w:r w:rsidR="00B41C13">
              <w:t> </w:t>
            </w:r>
            <w:r w:rsidRPr="00B41C13">
              <w:t>Melbourne,</w:t>
            </w:r>
            <w:r w:rsidR="00B41C13">
              <w:t> </w:t>
            </w:r>
            <w:r w:rsidRPr="00B41C13">
              <w:t>VIC</w:t>
            </w:r>
          </w:p>
        </w:tc>
        <w:tc>
          <w:tcPr>
            <w:tcW w:w="1082" w:type="dxa"/>
          </w:tcPr>
          <w:p w14:paraId="4A234B98" w14:textId="77777777" w:rsidR="003478EF" w:rsidRPr="00205936" w:rsidRDefault="003478EF"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p>
        </w:tc>
        <w:tc>
          <w:tcPr>
            <w:tcW w:w="3401" w:type="dxa"/>
          </w:tcPr>
          <w:p w14:paraId="4717D99D" w14:textId="11E80D06" w:rsidR="003478EF" w:rsidRPr="00205936" w:rsidRDefault="0001378E"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t>Red tape reduction for Small Businesses</w:t>
            </w:r>
          </w:p>
        </w:tc>
      </w:tr>
      <w:tr w:rsidR="00B41C13" w:rsidRPr="00205936" w14:paraId="77224852" w14:textId="0CE1DDB8"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66B9E8A1" w14:textId="36F313F3" w:rsidR="00B41C13" w:rsidRPr="00B41C13" w:rsidRDefault="00B41C13" w:rsidP="00B41C13">
            <w:pPr>
              <w:pStyle w:val="TableBodyCellLeft"/>
            </w:pPr>
            <w:r w:rsidRPr="00B41C13">
              <w:t>23 October 2025</w:t>
            </w:r>
          </w:p>
        </w:tc>
        <w:tc>
          <w:tcPr>
            <w:tcW w:w="2891" w:type="dxa"/>
          </w:tcPr>
          <w:p w14:paraId="051E5151" w14:textId="6DF0BCC4"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t>,</w:t>
            </w:r>
            <w:r w:rsidRPr="00B41C13">
              <w:t xml:space="preserve"> Collins</w:t>
            </w:r>
            <w:r>
              <w:t> </w:t>
            </w:r>
            <w:r w:rsidRPr="00B41C13">
              <w:t>Street,</w:t>
            </w:r>
            <w:r>
              <w:t> </w:t>
            </w:r>
            <w:r w:rsidRPr="00B41C13">
              <w:t>Melbourne,</w:t>
            </w:r>
            <w:r>
              <w:t> </w:t>
            </w:r>
            <w:r w:rsidRPr="00B41C13">
              <w:t>VIC</w:t>
            </w:r>
          </w:p>
        </w:tc>
        <w:tc>
          <w:tcPr>
            <w:tcW w:w="1082" w:type="dxa"/>
          </w:tcPr>
          <w:p w14:paraId="5F22AA43" w14:textId="705573B0"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205936">
              <w:t>Yes</w:t>
            </w:r>
          </w:p>
        </w:tc>
        <w:tc>
          <w:tcPr>
            <w:tcW w:w="3401" w:type="dxa"/>
          </w:tcPr>
          <w:p w14:paraId="50039889" w14:textId="41C05718"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t>Treasury presentation</w:t>
            </w:r>
          </w:p>
        </w:tc>
      </w:tr>
      <w:tr w:rsidR="00B41C13" w:rsidRPr="00205936" w14:paraId="72957059" w14:textId="77777777"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46D1FCAA" w14:textId="4E9DB895" w:rsidR="00B41C13" w:rsidRPr="00B41C13" w:rsidRDefault="00B41C13" w:rsidP="00B41C13">
            <w:pPr>
              <w:pStyle w:val="TableBodyCellLeft"/>
            </w:pPr>
            <w:r w:rsidRPr="00B41C13">
              <w:t>13 November 2025</w:t>
            </w:r>
          </w:p>
        </w:tc>
        <w:tc>
          <w:tcPr>
            <w:tcW w:w="2891" w:type="dxa"/>
          </w:tcPr>
          <w:p w14:paraId="00D6F28F" w14:textId="17C00DDE"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t>,</w:t>
            </w:r>
            <w:r w:rsidRPr="00B41C13">
              <w:t xml:space="preserve"> Collins</w:t>
            </w:r>
            <w:r>
              <w:t> </w:t>
            </w:r>
            <w:r w:rsidRPr="00B41C13">
              <w:t>Street,</w:t>
            </w:r>
            <w:r>
              <w:t> </w:t>
            </w:r>
            <w:r w:rsidRPr="00B41C13">
              <w:t>Melbourne,</w:t>
            </w:r>
            <w:r>
              <w:t> </w:t>
            </w:r>
            <w:r w:rsidRPr="00B41C13">
              <w:t>VIC</w:t>
            </w:r>
          </w:p>
        </w:tc>
        <w:tc>
          <w:tcPr>
            <w:tcW w:w="1082" w:type="dxa"/>
          </w:tcPr>
          <w:p w14:paraId="51240189" w14:textId="77777777"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p>
        </w:tc>
        <w:tc>
          <w:tcPr>
            <w:tcW w:w="3401" w:type="dxa"/>
          </w:tcPr>
          <w:p w14:paraId="6D5BB757" w14:textId="3C219E4D"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rPr>
                <w:lang w:val="en-US"/>
              </w:rPr>
              <w:t>Red Tape Reduction Review consultation sessions</w:t>
            </w:r>
          </w:p>
        </w:tc>
      </w:tr>
      <w:tr w:rsidR="00B41C13" w:rsidRPr="00205936" w14:paraId="08EF0B7E" w14:textId="77777777"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219AD017" w14:textId="4007AE2C" w:rsidR="00B41C13" w:rsidRPr="00B41C13" w:rsidRDefault="00B41C13" w:rsidP="00B41C13">
            <w:pPr>
              <w:pStyle w:val="TableBodyCellLeft"/>
            </w:pPr>
            <w:r w:rsidRPr="00B41C13">
              <w:t>14 November 2025</w:t>
            </w:r>
          </w:p>
        </w:tc>
        <w:tc>
          <w:tcPr>
            <w:tcW w:w="2891" w:type="dxa"/>
          </w:tcPr>
          <w:p w14:paraId="4B2DB3E2" w14:textId="6F70428B"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t xml:space="preserve"> K</w:t>
            </w:r>
            <w:r w:rsidRPr="00B41C13">
              <w:t>ent</w:t>
            </w:r>
            <w:r>
              <w:t> </w:t>
            </w:r>
            <w:r w:rsidRPr="00B41C13">
              <w:t>Street,</w:t>
            </w:r>
            <w:r>
              <w:t> </w:t>
            </w:r>
            <w:r w:rsidRPr="00B41C13">
              <w:t>Sydney,</w:t>
            </w:r>
            <w:r>
              <w:t> </w:t>
            </w:r>
            <w:r w:rsidRPr="00B41C13">
              <w:t>NSW</w:t>
            </w:r>
          </w:p>
        </w:tc>
        <w:tc>
          <w:tcPr>
            <w:tcW w:w="1082" w:type="dxa"/>
          </w:tcPr>
          <w:p w14:paraId="335AC16A" w14:textId="77777777"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p>
        </w:tc>
        <w:tc>
          <w:tcPr>
            <w:tcW w:w="3401" w:type="dxa"/>
          </w:tcPr>
          <w:p w14:paraId="3BBAD0F5" w14:textId="506DDD23"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rPr>
                <w:lang w:val="en-US"/>
              </w:rPr>
              <w:t>Red Tape Reduction Review consultation sessions</w:t>
            </w:r>
          </w:p>
        </w:tc>
      </w:tr>
      <w:tr w:rsidR="00B41C13" w:rsidRPr="00205936" w14:paraId="635C4A09" w14:textId="77777777"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218C0D18" w14:textId="6CA0CA13" w:rsidR="00B41C13" w:rsidRPr="00B41C13" w:rsidRDefault="00B41C13" w:rsidP="00B41C13">
            <w:pPr>
              <w:pStyle w:val="TableBodyCellLeft"/>
            </w:pPr>
            <w:r w:rsidRPr="00B41C13">
              <w:t>21 November 2025</w:t>
            </w:r>
          </w:p>
        </w:tc>
        <w:tc>
          <w:tcPr>
            <w:tcW w:w="2891" w:type="dxa"/>
          </w:tcPr>
          <w:p w14:paraId="14DF06D9" w14:textId="0EEEE8D4"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Virtual</w:t>
            </w:r>
          </w:p>
        </w:tc>
        <w:tc>
          <w:tcPr>
            <w:tcW w:w="1082" w:type="dxa"/>
          </w:tcPr>
          <w:p w14:paraId="4B165DFE" w14:textId="77777777"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p>
        </w:tc>
        <w:tc>
          <w:tcPr>
            <w:tcW w:w="3401" w:type="dxa"/>
          </w:tcPr>
          <w:p w14:paraId="3420A4BA" w14:textId="2CB4A65F"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rPr>
                <w:lang w:val="en-US"/>
              </w:rPr>
              <w:t>Red Tape Reduction Review consultation sessions</w:t>
            </w:r>
          </w:p>
        </w:tc>
      </w:tr>
      <w:tr w:rsidR="00B41C13" w:rsidRPr="00205936" w14:paraId="7CE36304" w14:textId="34FF9E8E"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793D5EF5" w14:textId="1CACCDBB" w:rsidR="00B41C13" w:rsidRPr="00B41C13" w:rsidRDefault="00B41C13" w:rsidP="00B41C13">
            <w:pPr>
              <w:pStyle w:val="TableBodyCellLeft"/>
            </w:pPr>
            <w:r w:rsidRPr="00B41C13">
              <w:t>5 December 2025</w:t>
            </w:r>
          </w:p>
        </w:tc>
        <w:tc>
          <w:tcPr>
            <w:tcW w:w="2891" w:type="dxa"/>
          </w:tcPr>
          <w:p w14:paraId="4270CFDF" w14:textId="1B0DCC5F"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t>,</w:t>
            </w:r>
            <w:r w:rsidRPr="00B41C13">
              <w:t xml:space="preserve"> Collins</w:t>
            </w:r>
            <w:r>
              <w:t> </w:t>
            </w:r>
            <w:r w:rsidRPr="00B41C13">
              <w:t>Street,</w:t>
            </w:r>
            <w:r>
              <w:t> </w:t>
            </w:r>
            <w:r w:rsidRPr="00B41C13">
              <w:t>Melbourne,</w:t>
            </w:r>
            <w:r>
              <w:t> </w:t>
            </w:r>
            <w:r w:rsidRPr="00B41C13">
              <w:t>VIC</w:t>
            </w:r>
          </w:p>
        </w:tc>
        <w:tc>
          <w:tcPr>
            <w:tcW w:w="1082" w:type="dxa"/>
          </w:tcPr>
          <w:p w14:paraId="10A6F540" w14:textId="1DF0B90D"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rPr>
                <w:lang w:val="en-US"/>
              </w:rPr>
              <w:t>Yes</w:t>
            </w:r>
          </w:p>
        </w:tc>
        <w:tc>
          <w:tcPr>
            <w:tcW w:w="3401" w:type="dxa"/>
          </w:tcPr>
          <w:p w14:paraId="4D727ECF" w14:textId="288B95F9"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rPr>
                <w:lang w:val="en-US"/>
              </w:rPr>
              <w:t xml:space="preserve">ATO </w:t>
            </w:r>
            <w:r w:rsidRPr="00205936">
              <w:t>presentation</w:t>
            </w:r>
          </w:p>
        </w:tc>
      </w:tr>
      <w:tr w:rsidR="00B41C13" w:rsidRPr="00205936" w14:paraId="680FCA7D" w14:textId="3C77A124"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3A5A9BD2" w14:textId="2673B19E" w:rsidR="00B41C13" w:rsidRPr="00B41C13" w:rsidRDefault="00B41C13" w:rsidP="00B41C13">
            <w:pPr>
              <w:pStyle w:val="TableBodyCellLeft"/>
            </w:pPr>
            <w:r w:rsidRPr="00B41C13">
              <w:t>29 January 2026</w:t>
            </w:r>
          </w:p>
        </w:tc>
        <w:tc>
          <w:tcPr>
            <w:tcW w:w="2891" w:type="dxa"/>
          </w:tcPr>
          <w:p w14:paraId="41189B6F" w14:textId="346D0510"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t>,</w:t>
            </w:r>
            <w:r w:rsidRPr="00B41C13">
              <w:t xml:space="preserve"> Collins</w:t>
            </w:r>
            <w:r>
              <w:t> </w:t>
            </w:r>
            <w:r w:rsidRPr="00B41C13">
              <w:t>Street,</w:t>
            </w:r>
            <w:r>
              <w:t> </w:t>
            </w:r>
            <w:r w:rsidRPr="00B41C13">
              <w:t>Melbourne,</w:t>
            </w:r>
            <w:r>
              <w:t> </w:t>
            </w:r>
            <w:r w:rsidRPr="00B41C13">
              <w:t>VIC</w:t>
            </w:r>
          </w:p>
        </w:tc>
        <w:tc>
          <w:tcPr>
            <w:tcW w:w="1082" w:type="dxa"/>
          </w:tcPr>
          <w:p w14:paraId="106EC691" w14:textId="0BCF80EC"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205936">
              <w:t>Yes</w:t>
            </w:r>
          </w:p>
        </w:tc>
        <w:tc>
          <w:tcPr>
            <w:tcW w:w="3401" w:type="dxa"/>
          </w:tcPr>
          <w:p w14:paraId="546DC907" w14:textId="61FA7A79"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rPr>
                <w:lang w:val="en-US"/>
              </w:rPr>
              <w:t xml:space="preserve">ATO </w:t>
            </w:r>
            <w:r w:rsidRPr="00205936">
              <w:t>presentation</w:t>
            </w:r>
          </w:p>
        </w:tc>
      </w:tr>
      <w:tr w:rsidR="00B41C13" w:rsidRPr="00205936" w14:paraId="1567865C" w14:textId="77777777"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13810841" w14:textId="4D68AB45" w:rsidR="00B41C13" w:rsidRPr="00B41C13" w:rsidRDefault="00B41C13" w:rsidP="00B41C13">
            <w:pPr>
              <w:pStyle w:val="TableBodyCellLeft"/>
            </w:pPr>
            <w:r w:rsidRPr="00B41C13">
              <w:t>25 March 2026</w:t>
            </w:r>
          </w:p>
        </w:tc>
        <w:tc>
          <w:tcPr>
            <w:tcW w:w="2891" w:type="dxa"/>
          </w:tcPr>
          <w:p w14:paraId="58265228" w14:textId="613E2DD4"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t>,</w:t>
            </w:r>
            <w:r w:rsidRPr="00B41C13">
              <w:t xml:space="preserve"> Collins</w:t>
            </w:r>
            <w:r>
              <w:t> </w:t>
            </w:r>
            <w:r w:rsidRPr="00B41C13">
              <w:t>Street,</w:t>
            </w:r>
            <w:r>
              <w:t> </w:t>
            </w:r>
            <w:r w:rsidRPr="00B41C13">
              <w:t>Melbourne,</w:t>
            </w:r>
            <w:r>
              <w:t> </w:t>
            </w:r>
            <w:r w:rsidRPr="00B41C13">
              <w:t>VIC</w:t>
            </w:r>
          </w:p>
        </w:tc>
        <w:tc>
          <w:tcPr>
            <w:tcW w:w="1082" w:type="dxa"/>
          </w:tcPr>
          <w:p w14:paraId="512AB4FD" w14:textId="54CE81CC"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205936">
              <w:rPr>
                <w:lang w:val="en-US"/>
              </w:rPr>
              <w:t>Yes</w:t>
            </w:r>
          </w:p>
        </w:tc>
        <w:tc>
          <w:tcPr>
            <w:tcW w:w="3401" w:type="dxa"/>
          </w:tcPr>
          <w:p w14:paraId="6E6E3802" w14:textId="5A165607"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205936">
              <w:t>Fringe Benefits Tax</w:t>
            </w:r>
          </w:p>
        </w:tc>
      </w:tr>
      <w:tr w:rsidR="00B41C13" w:rsidRPr="00205936" w14:paraId="03243199" w14:textId="12C6016A"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40D7FD18" w14:textId="4E54B2AC" w:rsidR="00B41C13" w:rsidRPr="00B41C13" w:rsidRDefault="00B41C13" w:rsidP="00B41C13">
            <w:pPr>
              <w:pStyle w:val="TableBodyCellLeft"/>
            </w:pPr>
            <w:r w:rsidRPr="00B41C13">
              <w:t>30 April 2026</w:t>
            </w:r>
          </w:p>
        </w:tc>
        <w:tc>
          <w:tcPr>
            <w:tcW w:w="2891" w:type="dxa"/>
          </w:tcPr>
          <w:p w14:paraId="391559D6" w14:textId="6DAC9A0B"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t>,</w:t>
            </w:r>
            <w:r w:rsidRPr="00B41C13">
              <w:t xml:space="preserve"> Langton</w:t>
            </w:r>
            <w:r>
              <w:t> </w:t>
            </w:r>
            <w:r w:rsidRPr="00B41C13">
              <w:t>Crescent,</w:t>
            </w:r>
            <w:r>
              <w:t> </w:t>
            </w:r>
            <w:r w:rsidRPr="00B41C13">
              <w:t>Parkes,</w:t>
            </w:r>
            <w:r>
              <w:t> </w:t>
            </w:r>
            <w:r w:rsidRPr="00B41C13">
              <w:t>ACT</w:t>
            </w:r>
          </w:p>
        </w:tc>
        <w:tc>
          <w:tcPr>
            <w:tcW w:w="1082" w:type="dxa"/>
          </w:tcPr>
          <w:p w14:paraId="7B947D43" w14:textId="31EFBE6A"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205936">
              <w:t>Yes</w:t>
            </w:r>
          </w:p>
        </w:tc>
        <w:tc>
          <w:tcPr>
            <w:tcW w:w="3401" w:type="dxa"/>
          </w:tcPr>
          <w:p w14:paraId="41B681B6" w14:textId="77777777"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205936">
              <w:rPr>
                <w:lang w:val="en-US"/>
              </w:rPr>
              <w:t xml:space="preserve">ATO </w:t>
            </w:r>
            <w:r w:rsidRPr="00205936">
              <w:t>presentation</w:t>
            </w:r>
          </w:p>
          <w:p w14:paraId="5130FA40" w14:textId="0400253B"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t>Treasury presentation</w:t>
            </w:r>
          </w:p>
        </w:tc>
      </w:tr>
      <w:tr w:rsidR="00B41C13" w:rsidRPr="00205936" w14:paraId="5B8754F5" w14:textId="5EFD52AC" w:rsidTr="00BF5577">
        <w:tc>
          <w:tcPr>
            <w:cnfStyle w:val="001000000000" w:firstRow="0" w:lastRow="0" w:firstColumn="1" w:lastColumn="0" w:oddVBand="0" w:evenVBand="0" w:oddHBand="0" w:evenHBand="0" w:firstRowFirstColumn="0" w:firstRowLastColumn="0" w:lastRowFirstColumn="0" w:lastRowLastColumn="0"/>
            <w:tcW w:w="2099" w:type="dxa"/>
            <w:tcBorders>
              <w:right w:val="none" w:sz="0" w:space="0" w:color="auto"/>
            </w:tcBorders>
            <w:shd w:val="clear" w:color="auto" w:fill="F6F2ED" w:themeFill="accent3" w:themeFillTint="33"/>
          </w:tcPr>
          <w:p w14:paraId="1E8F7FAB" w14:textId="7183D760" w:rsidR="00B41C13" w:rsidRPr="00B41C13" w:rsidRDefault="00B41C13" w:rsidP="00B41C13">
            <w:pPr>
              <w:pStyle w:val="TableBodyCellLeft"/>
            </w:pPr>
            <w:r w:rsidRPr="00B41C13">
              <w:t>11 June 2026</w:t>
            </w:r>
          </w:p>
        </w:tc>
        <w:tc>
          <w:tcPr>
            <w:tcW w:w="2891" w:type="dxa"/>
          </w:tcPr>
          <w:p w14:paraId="022188BC" w14:textId="7FF28FC6" w:rsidR="00B41C13" w:rsidRPr="00B41C13" w:rsidRDefault="00B41C13" w:rsidP="00B41C13">
            <w:pPr>
              <w:pStyle w:val="TableBodyCellLeft"/>
              <w:cnfStyle w:val="000000000000" w:firstRow="0" w:lastRow="0" w:firstColumn="0" w:lastColumn="0" w:oddVBand="0" w:evenVBand="0" w:oddHBand="0" w:evenHBand="0" w:firstRowFirstColumn="0" w:firstRowLastColumn="0" w:lastRowFirstColumn="0" w:lastRowLastColumn="0"/>
            </w:pPr>
            <w:r w:rsidRPr="00B41C13">
              <w:t>Treasury</w:t>
            </w:r>
            <w:r>
              <w:t>,</w:t>
            </w:r>
            <w:r w:rsidRPr="00B41C13">
              <w:t xml:space="preserve"> Collins</w:t>
            </w:r>
            <w:r>
              <w:t> </w:t>
            </w:r>
            <w:r w:rsidRPr="00B41C13">
              <w:t>Street,</w:t>
            </w:r>
            <w:r>
              <w:t> </w:t>
            </w:r>
            <w:r w:rsidRPr="00B41C13">
              <w:t>Melbourne,</w:t>
            </w:r>
            <w:r>
              <w:t> </w:t>
            </w:r>
            <w:r w:rsidRPr="00B41C13">
              <w:t>VIC</w:t>
            </w:r>
          </w:p>
        </w:tc>
        <w:tc>
          <w:tcPr>
            <w:tcW w:w="1082" w:type="dxa"/>
          </w:tcPr>
          <w:p w14:paraId="25FB41E8" w14:textId="1621BEFF"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rPr>
                <w:lang w:val="en-US"/>
              </w:rPr>
              <w:t>Yes</w:t>
            </w:r>
          </w:p>
        </w:tc>
        <w:tc>
          <w:tcPr>
            <w:tcW w:w="3401" w:type="dxa"/>
          </w:tcPr>
          <w:p w14:paraId="37598021" w14:textId="69EA8438" w:rsidR="00B41C13" w:rsidRPr="00205936" w:rsidRDefault="00B41C13" w:rsidP="00B41C13">
            <w:pPr>
              <w:pStyle w:val="TableBodyCellLeft"/>
              <w:cnfStyle w:val="000000000000" w:firstRow="0" w:lastRow="0" w:firstColumn="0" w:lastColumn="0" w:oddVBand="0" w:evenVBand="0" w:oddHBand="0" w:evenHBand="0" w:firstRowFirstColumn="0" w:firstRowLastColumn="0" w:lastRowFirstColumn="0" w:lastRowLastColumn="0"/>
              <w:rPr>
                <w:lang w:val="en-US"/>
              </w:rPr>
            </w:pPr>
            <w:r w:rsidRPr="00205936">
              <w:t>No stakeholder event held</w:t>
            </w:r>
          </w:p>
        </w:tc>
      </w:tr>
    </w:tbl>
    <w:p w14:paraId="2B36647C" w14:textId="77777777" w:rsidR="00C4491D" w:rsidRPr="002F4A51" w:rsidRDefault="00C4491D" w:rsidP="002F4A51">
      <w:r>
        <w:br w:type="page"/>
      </w:r>
    </w:p>
    <w:p w14:paraId="7126FAD5" w14:textId="5B3A305B" w:rsidR="00036758" w:rsidRDefault="00036758" w:rsidP="00036758">
      <w:pPr>
        <w:pStyle w:val="Heading1"/>
      </w:pPr>
      <w:bookmarkStart w:id="69" w:name="_Toc149905544"/>
      <w:bookmarkStart w:id="70" w:name="_Toc209006417"/>
      <w:bookmarkStart w:id="71" w:name="_Toc238644414"/>
      <w:bookmarkEnd w:id="68"/>
      <w:r>
        <w:lastRenderedPageBreak/>
        <w:t xml:space="preserve">Appendix </w:t>
      </w:r>
      <w:r w:rsidR="00C14A0A">
        <w:t>E</w:t>
      </w:r>
      <w:r>
        <w:t>:</w:t>
      </w:r>
      <w:r w:rsidR="0063139E">
        <w:t xml:space="preserve"> </w:t>
      </w:r>
      <w:r>
        <w:t>Financial Statements</w:t>
      </w:r>
      <w:bookmarkEnd w:id="69"/>
      <w:bookmarkEnd w:id="70"/>
      <w:bookmarkEnd w:id="71"/>
    </w:p>
    <w:p w14:paraId="4DAE578D" w14:textId="5E4AFFCC" w:rsidR="00527FF7" w:rsidRPr="004E0A23" w:rsidRDefault="00036758" w:rsidP="000F784E">
      <w:pPr>
        <w:pStyle w:val="TableHeading1"/>
      </w:pPr>
      <w:r>
        <w:t xml:space="preserve">Table </w:t>
      </w:r>
      <w:r w:rsidR="002262AA">
        <w:t>7</w:t>
      </w:r>
      <w:r>
        <w:t xml:space="preserve">: </w:t>
      </w:r>
      <w:r w:rsidRPr="000F784E">
        <w:t>Revenue</w:t>
      </w:r>
      <w:r>
        <w:t xml:space="preserve">, </w:t>
      </w:r>
      <w:r w:rsidR="00344AE7">
        <w:t>expenses,</w:t>
      </w:r>
      <w:r>
        <w:t xml:space="preserve"> and operating result</w:t>
      </w:r>
    </w:p>
    <w:tbl>
      <w:tblPr>
        <w:tblW w:w="4999" w:type="pct"/>
        <w:tblBorders>
          <w:top w:val="single" w:sz="4" w:space="0" w:color="701F4D" w:themeColor="accent2"/>
          <w:bottom w:val="single" w:sz="8" w:space="0" w:color="701F4D" w:themeColor="accent2"/>
          <w:insideH w:val="single" w:sz="4" w:space="0" w:color="701F4D" w:themeColor="accent2"/>
        </w:tblBorders>
        <w:tblCellMar>
          <w:left w:w="113" w:type="dxa"/>
          <w:right w:w="113" w:type="dxa"/>
        </w:tblCellMar>
        <w:tblLook w:val="06A0" w:firstRow="1" w:lastRow="0" w:firstColumn="1" w:lastColumn="0" w:noHBand="1" w:noVBand="1"/>
      </w:tblPr>
      <w:tblGrid>
        <w:gridCol w:w="6165"/>
        <w:gridCol w:w="1737"/>
        <w:gridCol w:w="1737"/>
      </w:tblGrid>
      <w:tr w:rsidR="00237A87" w:rsidRPr="00205936" w14:paraId="33570C80" w14:textId="6C7420B2" w:rsidTr="00BF5577">
        <w:trPr>
          <w:trHeight w:val="624"/>
        </w:trPr>
        <w:tc>
          <w:tcPr>
            <w:tcW w:w="3198" w:type="pct"/>
            <w:shd w:val="clear" w:color="auto" w:fill="701F4D" w:themeFill="accent2"/>
            <w:tcMar>
              <w:left w:w="108" w:type="dxa"/>
              <w:right w:w="108" w:type="dxa"/>
            </w:tcMar>
            <w:vAlign w:val="bottom"/>
          </w:tcPr>
          <w:p w14:paraId="39B9C0BD" w14:textId="43F087E6" w:rsidR="00237A87" w:rsidRPr="00B41C13" w:rsidRDefault="00B41C13" w:rsidP="00B41C13">
            <w:pPr>
              <w:pStyle w:val="TableHeaderCellLeft"/>
              <w:rPr>
                <w:bCs/>
                <w:color w:val="FFFFFF" w:themeColor="background1"/>
              </w:rPr>
            </w:pPr>
            <w:r w:rsidRPr="00B41C13">
              <w:rPr>
                <w:bCs/>
                <w:color w:val="FFFFFF" w:themeColor="background1"/>
              </w:rPr>
              <w:t>Description</w:t>
            </w:r>
          </w:p>
        </w:tc>
        <w:tc>
          <w:tcPr>
            <w:tcW w:w="901" w:type="pct"/>
            <w:shd w:val="clear" w:color="auto" w:fill="701F4D" w:themeFill="accent2"/>
            <w:vAlign w:val="bottom"/>
          </w:tcPr>
          <w:p w14:paraId="4B4BBB23" w14:textId="5A5F3BDF" w:rsidR="00237A87" w:rsidRPr="00B41C13" w:rsidRDefault="00237A87" w:rsidP="00AB46FA">
            <w:pPr>
              <w:pStyle w:val="TableHeaderCellRight"/>
              <w:rPr>
                <w:bCs/>
                <w:color w:val="FFFFFF" w:themeColor="background1"/>
              </w:rPr>
            </w:pPr>
            <w:r w:rsidRPr="00B41C13">
              <w:rPr>
                <w:bCs/>
                <w:color w:val="FFFFFF" w:themeColor="background1"/>
              </w:rPr>
              <w:t>2024–25</w:t>
            </w:r>
            <w:r w:rsidR="00B94997">
              <w:rPr>
                <w:bCs/>
                <w:color w:val="FFFFFF" w:themeColor="background1"/>
              </w:rPr>
              <w:br/>
            </w:r>
            <w:r w:rsidRPr="00B41C13">
              <w:rPr>
                <w:bCs/>
                <w:color w:val="FFFFFF" w:themeColor="background1"/>
              </w:rPr>
              <w:t>$</w:t>
            </w:r>
          </w:p>
        </w:tc>
        <w:tc>
          <w:tcPr>
            <w:tcW w:w="901" w:type="pct"/>
            <w:shd w:val="clear" w:color="auto" w:fill="701F4D" w:themeFill="accent2"/>
            <w:vAlign w:val="bottom"/>
          </w:tcPr>
          <w:p w14:paraId="3E174EAA" w14:textId="0F9C587E" w:rsidR="00237A87" w:rsidRPr="00B41C13" w:rsidRDefault="00237A87" w:rsidP="00AB46FA">
            <w:pPr>
              <w:pStyle w:val="TableHeaderCellRight"/>
              <w:rPr>
                <w:bCs/>
                <w:color w:val="FFFFFF" w:themeColor="background1"/>
              </w:rPr>
            </w:pPr>
            <w:r w:rsidRPr="00B41C13">
              <w:rPr>
                <w:bCs/>
                <w:color w:val="FFFFFF" w:themeColor="background1"/>
              </w:rPr>
              <w:t>2025-26</w:t>
            </w:r>
            <w:r w:rsidR="00B94997">
              <w:rPr>
                <w:bCs/>
                <w:color w:val="FFFFFF" w:themeColor="background1"/>
              </w:rPr>
              <w:br/>
            </w:r>
            <w:r w:rsidRPr="00B41C13">
              <w:rPr>
                <w:bCs/>
                <w:color w:val="FFFFFF" w:themeColor="background1"/>
              </w:rPr>
              <w:t>$</w:t>
            </w:r>
          </w:p>
        </w:tc>
      </w:tr>
      <w:tr w:rsidR="001F4DEF" w:rsidRPr="00205936" w14:paraId="40779363" w14:textId="241EF3EE" w:rsidTr="00BF5577">
        <w:trPr>
          <w:trHeight w:val="340"/>
        </w:trPr>
        <w:tc>
          <w:tcPr>
            <w:tcW w:w="3198" w:type="pct"/>
            <w:tcMar>
              <w:left w:w="108" w:type="dxa"/>
              <w:right w:w="108" w:type="dxa"/>
            </w:tcMar>
            <w:vAlign w:val="center"/>
          </w:tcPr>
          <w:p w14:paraId="295B7B4B" w14:textId="77777777" w:rsidR="001F4DEF" w:rsidRPr="008E3254" w:rsidRDefault="001F4DEF" w:rsidP="008E3254">
            <w:pPr>
              <w:pStyle w:val="TableBodyCellLeft"/>
              <w:rPr>
                <w:rStyle w:val="Bold"/>
                <w:b w:val="0"/>
                <w:bCs/>
              </w:rPr>
            </w:pPr>
            <w:r w:rsidRPr="008E3254">
              <w:rPr>
                <w:b/>
                <w:bCs/>
              </w:rPr>
              <w:t>Revenue</w:t>
            </w:r>
          </w:p>
        </w:tc>
        <w:tc>
          <w:tcPr>
            <w:tcW w:w="901" w:type="pct"/>
            <w:vAlign w:val="center"/>
          </w:tcPr>
          <w:p w14:paraId="4A7332FB" w14:textId="77777777" w:rsidR="001F4DEF" w:rsidRPr="00AB46FA" w:rsidRDefault="001F4DEF" w:rsidP="00AB46FA">
            <w:pPr>
              <w:pStyle w:val="TableBodyCellRight"/>
              <w:rPr>
                <w:b/>
                <w:bCs/>
              </w:rPr>
            </w:pPr>
          </w:p>
        </w:tc>
        <w:tc>
          <w:tcPr>
            <w:tcW w:w="901" w:type="pct"/>
            <w:shd w:val="clear" w:color="auto" w:fill="F6F2ED" w:themeFill="accent3" w:themeFillTint="33"/>
            <w:vAlign w:val="center"/>
          </w:tcPr>
          <w:p w14:paraId="5280A41D" w14:textId="77777777" w:rsidR="001F4DEF" w:rsidRPr="00AB46FA" w:rsidRDefault="001F4DEF" w:rsidP="00AB46FA">
            <w:pPr>
              <w:pStyle w:val="TableBodyCellRight"/>
              <w:rPr>
                <w:b/>
                <w:bCs/>
              </w:rPr>
            </w:pPr>
          </w:p>
        </w:tc>
      </w:tr>
      <w:tr w:rsidR="001F4DEF" w:rsidRPr="00205936" w14:paraId="612F1170" w14:textId="01148210" w:rsidTr="00BF5577">
        <w:trPr>
          <w:trHeight w:val="340"/>
        </w:trPr>
        <w:tc>
          <w:tcPr>
            <w:tcW w:w="3198" w:type="pct"/>
            <w:tcMar>
              <w:left w:w="108" w:type="dxa"/>
              <w:right w:w="108" w:type="dxa"/>
            </w:tcMar>
            <w:vAlign w:val="center"/>
          </w:tcPr>
          <w:p w14:paraId="465E0C64" w14:textId="3DF18231" w:rsidR="001F4DEF" w:rsidRPr="00205936" w:rsidRDefault="001F4DEF" w:rsidP="000F784E">
            <w:pPr>
              <w:pStyle w:val="TableBodyCellLeftIndented"/>
            </w:pPr>
            <w:r w:rsidRPr="00205936">
              <w:t>Revenue – Department of the Treasury budget allocation</w:t>
            </w:r>
          </w:p>
        </w:tc>
        <w:tc>
          <w:tcPr>
            <w:tcW w:w="901" w:type="pct"/>
            <w:vAlign w:val="center"/>
          </w:tcPr>
          <w:p w14:paraId="36010BD1" w14:textId="77777777" w:rsidR="001F4DEF" w:rsidRPr="00AB46FA" w:rsidRDefault="001F4DEF" w:rsidP="00AB46FA">
            <w:pPr>
              <w:pStyle w:val="TableBodyCellRight"/>
            </w:pPr>
            <w:r w:rsidRPr="00AB46FA">
              <w:t>1,530,864</w:t>
            </w:r>
          </w:p>
        </w:tc>
        <w:tc>
          <w:tcPr>
            <w:tcW w:w="901" w:type="pct"/>
            <w:shd w:val="clear" w:color="auto" w:fill="F6F2ED" w:themeFill="accent3" w:themeFillTint="33"/>
            <w:vAlign w:val="center"/>
          </w:tcPr>
          <w:p w14:paraId="0ACE4594" w14:textId="44E4406B" w:rsidR="001F4DEF" w:rsidRPr="00AB46FA" w:rsidRDefault="00B50BD0" w:rsidP="00AB46FA">
            <w:pPr>
              <w:pStyle w:val="TableBodyCellRight"/>
            </w:pPr>
            <w:r w:rsidRPr="00AB46FA">
              <w:t>1,177,706</w:t>
            </w:r>
          </w:p>
        </w:tc>
      </w:tr>
      <w:tr w:rsidR="001F4DEF" w:rsidRPr="00205936" w14:paraId="4C2EB9FE" w14:textId="01709318" w:rsidTr="00BF5577">
        <w:trPr>
          <w:trHeight w:val="340"/>
        </w:trPr>
        <w:tc>
          <w:tcPr>
            <w:tcW w:w="3198" w:type="pct"/>
            <w:tcMar>
              <w:left w:w="108" w:type="dxa"/>
              <w:right w:w="108" w:type="dxa"/>
            </w:tcMar>
            <w:vAlign w:val="center"/>
          </w:tcPr>
          <w:p w14:paraId="65BCDE96" w14:textId="419328D5" w:rsidR="001F4DEF" w:rsidRPr="00205936" w:rsidRDefault="001F4DEF" w:rsidP="000F784E">
            <w:pPr>
              <w:pStyle w:val="TableBodyCellLeftIndented"/>
            </w:pPr>
            <w:r w:rsidRPr="00205936">
              <w:t>Revenue – Other</w:t>
            </w:r>
            <w:r w:rsidR="002D168B" w:rsidRPr="00205936">
              <w:rPr>
                <w:vertAlign w:val="superscript"/>
              </w:rPr>
              <w:t>(a)</w:t>
            </w:r>
          </w:p>
        </w:tc>
        <w:tc>
          <w:tcPr>
            <w:tcW w:w="901" w:type="pct"/>
            <w:vAlign w:val="center"/>
          </w:tcPr>
          <w:p w14:paraId="2A4C4CE5" w14:textId="5E78B373" w:rsidR="001F4DEF" w:rsidRPr="00AB46FA" w:rsidRDefault="00D54A4B" w:rsidP="00AB46FA">
            <w:pPr>
              <w:pStyle w:val="TableBodyCellRight"/>
            </w:pPr>
            <w:r w:rsidRPr="00AB46FA">
              <w:t>148,370</w:t>
            </w:r>
          </w:p>
        </w:tc>
        <w:tc>
          <w:tcPr>
            <w:tcW w:w="901" w:type="pct"/>
            <w:shd w:val="clear" w:color="auto" w:fill="F6F2ED" w:themeFill="accent3" w:themeFillTint="33"/>
            <w:vAlign w:val="center"/>
          </w:tcPr>
          <w:p w14:paraId="56C79DD7" w14:textId="19742934" w:rsidR="001F4DEF" w:rsidRPr="00AB46FA" w:rsidRDefault="000958B4" w:rsidP="00AB46FA">
            <w:pPr>
              <w:pStyle w:val="TableBodyCellRight"/>
            </w:pPr>
            <w:r w:rsidRPr="00AB46FA">
              <w:t>144,</w:t>
            </w:r>
            <w:r w:rsidR="007F6A2C" w:rsidRPr="00AB46FA">
              <w:t>968</w:t>
            </w:r>
          </w:p>
        </w:tc>
      </w:tr>
      <w:tr w:rsidR="001F4DEF" w:rsidRPr="00205936" w14:paraId="4846A206" w14:textId="6C0B4E00" w:rsidTr="00BF5577">
        <w:trPr>
          <w:trHeight w:val="340"/>
        </w:trPr>
        <w:tc>
          <w:tcPr>
            <w:tcW w:w="3198" w:type="pct"/>
            <w:tcMar>
              <w:left w:w="108" w:type="dxa"/>
              <w:right w:w="108" w:type="dxa"/>
            </w:tcMar>
            <w:vAlign w:val="center"/>
          </w:tcPr>
          <w:p w14:paraId="37A22615" w14:textId="77777777" w:rsidR="001F4DEF" w:rsidRPr="008E3254" w:rsidRDefault="001F4DEF" w:rsidP="008E3254">
            <w:pPr>
              <w:pStyle w:val="TableBodyCellLeft"/>
              <w:rPr>
                <w:rStyle w:val="Bold"/>
                <w:b w:val="0"/>
                <w:bCs/>
              </w:rPr>
            </w:pPr>
            <w:r w:rsidRPr="008E3254">
              <w:rPr>
                <w:b/>
                <w:bCs/>
              </w:rPr>
              <w:t>Total revenue</w:t>
            </w:r>
          </w:p>
        </w:tc>
        <w:tc>
          <w:tcPr>
            <w:tcW w:w="901" w:type="pct"/>
            <w:vAlign w:val="center"/>
          </w:tcPr>
          <w:p w14:paraId="0C4EDB7A" w14:textId="0E7279A2" w:rsidR="001F4DEF" w:rsidRPr="00AB46FA" w:rsidRDefault="001F4DEF" w:rsidP="00AB46FA">
            <w:pPr>
              <w:pStyle w:val="TableBodyCellRight"/>
              <w:rPr>
                <w:b/>
                <w:bCs/>
              </w:rPr>
            </w:pPr>
            <w:r w:rsidRPr="00AB46FA">
              <w:rPr>
                <w:b/>
                <w:bCs/>
              </w:rPr>
              <w:t>1,</w:t>
            </w:r>
            <w:r w:rsidR="00D54A4B" w:rsidRPr="00AB46FA">
              <w:rPr>
                <w:b/>
                <w:bCs/>
              </w:rPr>
              <w:t>679,233</w:t>
            </w:r>
          </w:p>
        </w:tc>
        <w:tc>
          <w:tcPr>
            <w:tcW w:w="901" w:type="pct"/>
            <w:shd w:val="clear" w:color="auto" w:fill="F6F2ED" w:themeFill="accent3" w:themeFillTint="33"/>
            <w:vAlign w:val="center"/>
          </w:tcPr>
          <w:p w14:paraId="08BC3DA1" w14:textId="2ADAD21A" w:rsidR="001F4DEF" w:rsidRPr="00AB46FA" w:rsidRDefault="007F6A2C" w:rsidP="00AB46FA">
            <w:pPr>
              <w:pStyle w:val="TableBodyCellRight"/>
              <w:rPr>
                <w:b/>
                <w:bCs/>
              </w:rPr>
            </w:pPr>
            <w:r w:rsidRPr="00AB46FA">
              <w:rPr>
                <w:b/>
                <w:bCs/>
              </w:rPr>
              <w:t>1,322,674</w:t>
            </w:r>
          </w:p>
        </w:tc>
      </w:tr>
      <w:tr w:rsidR="001F4DEF" w:rsidRPr="00205936" w14:paraId="6A087FA2" w14:textId="568F31FF" w:rsidTr="00BF5577">
        <w:trPr>
          <w:trHeight w:val="340"/>
        </w:trPr>
        <w:tc>
          <w:tcPr>
            <w:tcW w:w="3198" w:type="pct"/>
            <w:tcMar>
              <w:left w:w="108" w:type="dxa"/>
              <w:right w:w="108" w:type="dxa"/>
            </w:tcMar>
            <w:vAlign w:val="center"/>
          </w:tcPr>
          <w:p w14:paraId="58C29DB0" w14:textId="77777777" w:rsidR="001F4DEF" w:rsidRPr="008E3254" w:rsidRDefault="001F4DEF" w:rsidP="008E3254">
            <w:pPr>
              <w:pStyle w:val="TableBodyCellLeft"/>
              <w:rPr>
                <w:rStyle w:val="Bold"/>
                <w:b w:val="0"/>
                <w:bCs/>
              </w:rPr>
            </w:pPr>
            <w:r w:rsidRPr="008E3254">
              <w:rPr>
                <w:b/>
                <w:bCs/>
              </w:rPr>
              <w:t>Expenses</w:t>
            </w:r>
          </w:p>
        </w:tc>
        <w:tc>
          <w:tcPr>
            <w:tcW w:w="901" w:type="pct"/>
            <w:vAlign w:val="center"/>
          </w:tcPr>
          <w:p w14:paraId="508A7071" w14:textId="77777777" w:rsidR="001F4DEF" w:rsidRPr="00AB46FA" w:rsidRDefault="001F4DEF" w:rsidP="00AB46FA">
            <w:pPr>
              <w:pStyle w:val="TableBodyCellRight"/>
              <w:rPr>
                <w:b/>
                <w:bCs/>
              </w:rPr>
            </w:pPr>
          </w:p>
        </w:tc>
        <w:tc>
          <w:tcPr>
            <w:tcW w:w="901" w:type="pct"/>
            <w:shd w:val="clear" w:color="auto" w:fill="F6F2ED" w:themeFill="accent3" w:themeFillTint="33"/>
            <w:vAlign w:val="center"/>
          </w:tcPr>
          <w:p w14:paraId="4E7DFA53" w14:textId="77777777" w:rsidR="001F4DEF" w:rsidRPr="00AB46FA" w:rsidRDefault="001F4DEF" w:rsidP="00AB46FA">
            <w:pPr>
              <w:pStyle w:val="TableBodyCellRight"/>
              <w:rPr>
                <w:b/>
                <w:bCs/>
              </w:rPr>
            </w:pPr>
          </w:p>
        </w:tc>
      </w:tr>
      <w:tr w:rsidR="001F4DEF" w:rsidRPr="00205936" w14:paraId="5CEE740C" w14:textId="6CFC7D0C" w:rsidTr="00BF5577">
        <w:trPr>
          <w:trHeight w:val="340"/>
        </w:trPr>
        <w:tc>
          <w:tcPr>
            <w:tcW w:w="3198" w:type="pct"/>
            <w:tcMar>
              <w:left w:w="108" w:type="dxa"/>
              <w:right w:w="108" w:type="dxa"/>
            </w:tcMar>
            <w:vAlign w:val="center"/>
          </w:tcPr>
          <w:p w14:paraId="631548DC" w14:textId="77777777" w:rsidR="001F4DEF" w:rsidRPr="00AB46FA" w:rsidRDefault="001F4DEF" w:rsidP="00AB46FA">
            <w:pPr>
              <w:pStyle w:val="TableBodyCellLeft"/>
              <w:rPr>
                <w:b/>
                <w:bCs/>
                <w:i/>
                <w:iCs/>
              </w:rPr>
            </w:pPr>
            <w:r w:rsidRPr="00AB46FA">
              <w:rPr>
                <w:b/>
                <w:bCs/>
                <w:i/>
                <w:iCs/>
              </w:rPr>
              <w:t>Employee expenses</w:t>
            </w:r>
          </w:p>
        </w:tc>
        <w:tc>
          <w:tcPr>
            <w:tcW w:w="901" w:type="pct"/>
            <w:vAlign w:val="center"/>
          </w:tcPr>
          <w:p w14:paraId="0389EA4E" w14:textId="77777777" w:rsidR="001F4DEF" w:rsidRPr="00AB46FA" w:rsidRDefault="001F4DEF" w:rsidP="00AB46FA">
            <w:pPr>
              <w:pStyle w:val="TableBodyCellRight"/>
              <w:rPr>
                <w:b/>
                <w:bCs/>
                <w:i/>
                <w:iCs/>
              </w:rPr>
            </w:pPr>
          </w:p>
        </w:tc>
        <w:tc>
          <w:tcPr>
            <w:tcW w:w="901" w:type="pct"/>
            <w:shd w:val="clear" w:color="auto" w:fill="F6F2ED" w:themeFill="accent3" w:themeFillTint="33"/>
            <w:vAlign w:val="center"/>
          </w:tcPr>
          <w:p w14:paraId="2D561A5D" w14:textId="77777777" w:rsidR="001F4DEF" w:rsidRPr="00AB46FA" w:rsidRDefault="001F4DEF" w:rsidP="00AB46FA">
            <w:pPr>
              <w:pStyle w:val="TableBodyCellRight"/>
              <w:rPr>
                <w:b/>
                <w:bCs/>
                <w:i/>
                <w:iCs/>
              </w:rPr>
            </w:pPr>
          </w:p>
        </w:tc>
      </w:tr>
      <w:tr w:rsidR="001F4DEF" w:rsidRPr="00205936" w14:paraId="774BF59E" w14:textId="4B2F0DCF" w:rsidTr="00BF5577">
        <w:trPr>
          <w:trHeight w:val="340"/>
        </w:trPr>
        <w:tc>
          <w:tcPr>
            <w:tcW w:w="3198" w:type="pct"/>
            <w:tcMar>
              <w:left w:w="108" w:type="dxa"/>
              <w:right w:w="108" w:type="dxa"/>
            </w:tcMar>
            <w:vAlign w:val="center"/>
          </w:tcPr>
          <w:p w14:paraId="42E6D5AA" w14:textId="77777777" w:rsidR="001F4DEF" w:rsidRPr="00205936" w:rsidRDefault="001F4DEF" w:rsidP="000F784E">
            <w:pPr>
              <w:pStyle w:val="TableBodyCellLeftIndented"/>
            </w:pPr>
            <w:r w:rsidRPr="00205936">
              <w:t>Wages</w:t>
            </w:r>
          </w:p>
        </w:tc>
        <w:tc>
          <w:tcPr>
            <w:tcW w:w="901" w:type="pct"/>
            <w:vAlign w:val="center"/>
          </w:tcPr>
          <w:p w14:paraId="03733F31" w14:textId="77777777" w:rsidR="001F4DEF" w:rsidRPr="00AB46FA" w:rsidRDefault="001F4DEF" w:rsidP="00AB46FA">
            <w:pPr>
              <w:pStyle w:val="TableBodyCellRight"/>
            </w:pPr>
            <w:r w:rsidRPr="00AB46FA">
              <w:t>575,332</w:t>
            </w:r>
          </w:p>
        </w:tc>
        <w:tc>
          <w:tcPr>
            <w:tcW w:w="901" w:type="pct"/>
            <w:shd w:val="clear" w:color="auto" w:fill="F6F2ED" w:themeFill="accent3" w:themeFillTint="33"/>
            <w:vAlign w:val="center"/>
          </w:tcPr>
          <w:p w14:paraId="67319663" w14:textId="33287DEF" w:rsidR="001F4DEF" w:rsidRPr="00AB46FA" w:rsidRDefault="007F6A2C" w:rsidP="00AB46FA">
            <w:pPr>
              <w:pStyle w:val="TableBodyCellRight"/>
            </w:pPr>
            <w:r w:rsidRPr="00AB46FA">
              <w:t>492,734</w:t>
            </w:r>
          </w:p>
        </w:tc>
      </w:tr>
      <w:tr w:rsidR="001F4DEF" w:rsidRPr="00205936" w14:paraId="3022D9FA" w14:textId="189C1F6A" w:rsidTr="00BF5577">
        <w:trPr>
          <w:trHeight w:val="340"/>
        </w:trPr>
        <w:tc>
          <w:tcPr>
            <w:tcW w:w="3198" w:type="pct"/>
            <w:tcMar>
              <w:left w:w="108" w:type="dxa"/>
              <w:right w:w="108" w:type="dxa"/>
            </w:tcMar>
            <w:vAlign w:val="center"/>
          </w:tcPr>
          <w:p w14:paraId="381A9ECB" w14:textId="77777777" w:rsidR="001F4DEF" w:rsidRPr="00205936" w:rsidRDefault="001F4DEF" w:rsidP="000F784E">
            <w:pPr>
              <w:pStyle w:val="TableBodyCellLeftIndented"/>
            </w:pPr>
            <w:r w:rsidRPr="00205936">
              <w:t>Superannuation</w:t>
            </w:r>
          </w:p>
        </w:tc>
        <w:tc>
          <w:tcPr>
            <w:tcW w:w="901" w:type="pct"/>
            <w:vAlign w:val="center"/>
          </w:tcPr>
          <w:p w14:paraId="788C0EDB" w14:textId="77777777" w:rsidR="001F4DEF" w:rsidRPr="00AB46FA" w:rsidRDefault="001F4DEF" w:rsidP="00AB46FA">
            <w:pPr>
              <w:pStyle w:val="TableBodyCellRight"/>
            </w:pPr>
            <w:r w:rsidRPr="00AB46FA">
              <w:t>153,161</w:t>
            </w:r>
          </w:p>
        </w:tc>
        <w:tc>
          <w:tcPr>
            <w:tcW w:w="901" w:type="pct"/>
            <w:shd w:val="clear" w:color="auto" w:fill="F6F2ED" w:themeFill="accent3" w:themeFillTint="33"/>
            <w:vAlign w:val="center"/>
          </w:tcPr>
          <w:p w14:paraId="386DD29E" w14:textId="4A704738" w:rsidR="001F4DEF" w:rsidRPr="00AB46FA" w:rsidRDefault="007F6A2C" w:rsidP="00AB46FA">
            <w:pPr>
              <w:pStyle w:val="TableBodyCellRight"/>
            </w:pPr>
            <w:r w:rsidRPr="00AB46FA">
              <w:t>134,829</w:t>
            </w:r>
          </w:p>
        </w:tc>
      </w:tr>
      <w:tr w:rsidR="001F4DEF" w:rsidRPr="00205936" w14:paraId="59A47E34" w14:textId="5134B749" w:rsidTr="00BF5577">
        <w:trPr>
          <w:trHeight w:val="340"/>
        </w:trPr>
        <w:tc>
          <w:tcPr>
            <w:tcW w:w="3198" w:type="pct"/>
            <w:tcMar>
              <w:left w:w="108" w:type="dxa"/>
              <w:right w:w="108" w:type="dxa"/>
            </w:tcMar>
            <w:vAlign w:val="center"/>
          </w:tcPr>
          <w:p w14:paraId="44110D62" w14:textId="77777777" w:rsidR="001F4DEF" w:rsidRPr="00205936" w:rsidRDefault="001F4DEF" w:rsidP="000F784E">
            <w:pPr>
              <w:pStyle w:val="TableBodyCellLeftIndented"/>
            </w:pPr>
            <w:r w:rsidRPr="00205936">
              <w:t>Other employee expenses</w:t>
            </w:r>
          </w:p>
        </w:tc>
        <w:tc>
          <w:tcPr>
            <w:tcW w:w="901" w:type="pct"/>
            <w:vAlign w:val="center"/>
          </w:tcPr>
          <w:p w14:paraId="4511DEFE" w14:textId="77777777" w:rsidR="001F4DEF" w:rsidRPr="00AB46FA" w:rsidRDefault="001F4DEF" w:rsidP="00AB46FA">
            <w:pPr>
              <w:pStyle w:val="TableBodyCellRight"/>
            </w:pPr>
            <w:r w:rsidRPr="00AB46FA">
              <w:t>493,067</w:t>
            </w:r>
          </w:p>
        </w:tc>
        <w:tc>
          <w:tcPr>
            <w:tcW w:w="901" w:type="pct"/>
            <w:shd w:val="clear" w:color="auto" w:fill="F6F2ED" w:themeFill="accent3" w:themeFillTint="33"/>
            <w:vAlign w:val="center"/>
          </w:tcPr>
          <w:p w14:paraId="6E685624" w14:textId="277B6005" w:rsidR="001F4DEF" w:rsidRPr="00AB46FA" w:rsidRDefault="00A530CA" w:rsidP="00AB46FA">
            <w:pPr>
              <w:pStyle w:val="TableBodyCellRight"/>
            </w:pPr>
            <w:r w:rsidRPr="00AB46FA">
              <w:t>437,624</w:t>
            </w:r>
          </w:p>
        </w:tc>
      </w:tr>
      <w:tr w:rsidR="001F4DEF" w:rsidRPr="00205936" w14:paraId="1FA09030" w14:textId="5206638F" w:rsidTr="00BF5577">
        <w:trPr>
          <w:trHeight w:val="340"/>
        </w:trPr>
        <w:tc>
          <w:tcPr>
            <w:tcW w:w="3198" w:type="pct"/>
            <w:tcMar>
              <w:left w:w="108" w:type="dxa"/>
              <w:right w:w="108" w:type="dxa"/>
            </w:tcMar>
            <w:vAlign w:val="center"/>
          </w:tcPr>
          <w:p w14:paraId="168A791E" w14:textId="77777777" w:rsidR="001F4DEF" w:rsidRPr="00AB46FA" w:rsidRDefault="001F4DEF" w:rsidP="00AB46FA">
            <w:pPr>
              <w:pStyle w:val="TableBodyCellLeft"/>
              <w:rPr>
                <w:b/>
                <w:bCs/>
                <w:i/>
                <w:iCs/>
              </w:rPr>
            </w:pPr>
            <w:r w:rsidRPr="00AB46FA">
              <w:rPr>
                <w:b/>
                <w:bCs/>
                <w:i/>
                <w:iCs/>
              </w:rPr>
              <w:t>Total employee expenses</w:t>
            </w:r>
          </w:p>
        </w:tc>
        <w:tc>
          <w:tcPr>
            <w:tcW w:w="901" w:type="pct"/>
            <w:vAlign w:val="center"/>
          </w:tcPr>
          <w:p w14:paraId="36A2D3B5" w14:textId="77777777" w:rsidR="001F4DEF" w:rsidRPr="00AB46FA" w:rsidRDefault="001F4DEF" w:rsidP="00AB46FA">
            <w:pPr>
              <w:pStyle w:val="TableBodyCellRight"/>
              <w:rPr>
                <w:b/>
                <w:bCs/>
                <w:i/>
                <w:iCs/>
              </w:rPr>
            </w:pPr>
            <w:r w:rsidRPr="00AB46FA">
              <w:rPr>
                <w:b/>
                <w:bCs/>
                <w:i/>
                <w:iCs/>
              </w:rPr>
              <w:t>1,221,559</w:t>
            </w:r>
          </w:p>
        </w:tc>
        <w:tc>
          <w:tcPr>
            <w:tcW w:w="901" w:type="pct"/>
            <w:shd w:val="clear" w:color="auto" w:fill="F6F2ED" w:themeFill="accent3" w:themeFillTint="33"/>
            <w:vAlign w:val="center"/>
          </w:tcPr>
          <w:p w14:paraId="5A26393E" w14:textId="49A71F4A" w:rsidR="001F4DEF" w:rsidRPr="00AB46FA" w:rsidRDefault="00A530CA" w:rsidP="00AB46FA">
            <w:pPr>
              <w:pStyle w:val="TableBodyCellRight"/>
              <w:rPr>
                <w:b/>
                <w:bCs/>
                <w:i/>
                <w:iCs/>
              </w:rPr>
            </w:pPr>
            <w:r w:rsidRPr="00AB46FA">
              <w:rPr>
                <w:b/>
                <w:bCs/>
                <w:i/>
                <w:iCs/>
              </w:rPr>
              <w:t>1,065,187</w:t>
            </w:r>
          </w:p>
        </w:tc>
      </w:tr>
      <w:tr w:rsidR="001F4DEF" w:rsidRPr="00205936" w14:paraId="068214BA" w14:textId="3E69168B" w:rsidTr="00BF5577">
        <w:trPr>
          <w:trHeight w:val="340"/>
        </w:trPr>
        <w:tc>
          <w:tcPr>
            <w:tcW w:w="3198" w:type="pct"/>
            <w:tcMar>
              <w:left w:w="108" w:type="dxa"/>
              <w:right w:w="108" w:type="dxa"/>
            </w:tcMar>
            <w:vAlign w:val="center"/>
          </w:tcPr>
          <w:p w14:paraId="6DC83536" w14:textId="77777777" w:rsidR="001F4DEF" w:rsidRPr="00AB46FA" w:rsidRDefault="001F4DEF" w:rsidP="00AB46FA">
            <w:pPr>
              <w:pStyle w:val="TableBodyCellLeft"/>
              <w:rPr>
                <w:b/>
                <w:bCs/>
                <w:i/>
                <w:iCs/>
              </w:rPr>
            </w:pPr>
            <w:r w:rsidRPr="00AB46FA">
              <w:rPr>
                <w:b/>
                <w:bCs/>
                <w:i/>
                <w:iCs/>
              </w:rPr>
              <w:t>Other expenses</w:t>
            </w:r>
          </w:p>
        </w:tc>
        <w:tc>
          <w:tcPr>
            <w:tcW w:w="901" w:type="pct"/>
            <w:vAlign w:val="center"/>
          </w:tcPr>
          <w:p w14:paraId="1CC68251" w14:textId="77777777" w:rsidR="001F4DEF" w:rsidRPr="00AB46FA" w:rsidRDefault="001F4DEF" w:rsidP="00AB46FA">
            <w:pPr>
              <w:pStyle w:val="TableBodyCellRight"/>
              <w:rPr>
                <w:b/>
                <w:bCs/>
                <w:i/>
                <w:iCs/>
              </w:rPr>
            </w:pPr>
          </w:p>
        </w:tc>
        <w:tc>
          <w:tcPr>
            <w:tcW w:w="901" w:type="pct"/>
            <w:shd w:val="clear" w:color="auto" w:fill="F6F2ED" w:themeFill="accent3" w:themeFillTint="33"/>
            <w:vAlign w:val="center"/>
          </w:tcPr>
          <w:p w14:paraId="6092964E" w14:textId="77777777" w:rsidR="001F4DEF" w:rsidRPr="00AB46FA" w:rsidRDefault="001F4DEF" w:rsidP="00AB46FA">
            <w:pPr>
              <w:pStyle w:val="TableBodyCellRight"/>
              <w:rPr>
                <w:b/>
                <w:bCs/>
                <w:i/>
                <w:iCs/>
              </w:rPr>
            </w:pPr>
          </w:p>
        </w:tc>
      </w:tr>
      <w:tr w:rsidR="001F4DEF" w:rsidRPr="00205936" w14:paraId="4FBBF41B" w14:textId="18EBADBE" w:rsidTr="00BF5577">
        <w:trPr>
          <w:trHeight w:val="340"/>
        </w:trPr>
        <w:tc>
          <w:tcPr>
            <w:tcW w:w="3198" w:type="pct"/>
            <w:tcMar>
              <w:left w:w="108" w:type="dxa"/>
              <w:right w:w="108" w:type="dxa"/>
            </w:tcMar>
            <w:vAlign w:val="center"/>
          </w:tcPr>
          <w:p w14:paraId="4761D8FE" w14:textId="5AA87554" w:rsidR="001F4DEF" w:rsidRPr="00205936" w:rsidRDefault="001F4DEF" w:rsidP="000F784E">
            <w:pPr>
              <w:pStyle w:val="TableBodyCellLeftIndented"/>
            </w:pPr>
            <w:r w:rsidRPr="00205936">
              <w:t>Travel</w:t>
            </w:r>
          </w:p>
        </w:tc>
        <w:tc>
          <w:tcPr>
            <w:tcW w:w="901" w:type="pct"/>
            <w:vAlign w:val="center"/>
          </w:tcPr>
          <w:p w14:paraId="7E850273" w14:textId="77777777" w:rsidR="001F4DEF" w:rsidRPr="00AB46FA" w:rsidRDefault="001F4DEF" w:rsidP="00AB46FA">
            <w:pPr>
              <w:pStyle w:val="TableBodyCellRight"/>
            </w:pPr>
            <w:r w:rsidRPr="00AB46FA">
              <w:t>112,811</w:t>
            </w:r>
          </w:p>
        </w:tc>
        <w:tc>
          <w:tcPr>
            <w:tcW w:w="901" w:type="pct"/>
            <w:shd w:val="clear" w:color="auto" w:fill="F6F2ED" w:themeFill="accent3" w:themeFillTint="33"/>
            <w:vAlign w:val="center"/>
          </w:tcPr>
          <w:p w14:paraId="2475244C" w14:textId="61E04FA9" w:rsidR="001F4DEF" w:rsidRPr="00AB46FA" w:rsidRDefault="00A530CA" w:rsidP="00AB46FA">
            <w:pPr>
              <w:pStyle w:val="TableBodyCellRight"/>
            </w:pPr>
            <w:r w:rsidRPr="00AB46FA">
              <w:t>71,076</w:t>
            </w:r>
          </w:p>
        </w:tc>
      </w:tr>
      <w:tr w:rsidR="001F4DEF" w:rsidRPr="00205936" w14:paraId="7E897589" w14:textId="4CC71A70" w:rsidTr="00BF5577">
        <w:trPr>
          <w:trHeight w:val="340"/>
        </w:trPr>
        <w:tc>
          <w:tcPr>
            <w:tcW w:w="3198" w:type="pct"/>
            <w:tcMar>
              <w:left w:w="108" w:type="dxa"/>
              <w:right w:w="108" w:type="dxa"/>
            </w:tcMar>
            <w:vAlign w:val="center"/>
          </w:tcPr>
          <w:p w14:paraId="7890933C" w14:textId="77777777" w:rsidR="001F4DEF" w:rsidRPr="00205936" w:rsidRDefault="001F4DEF" w:rsidP="000F784E">
            <w:pPr>
              <w:pStyle w:val="TableBodyCellLeftIndented"/>
            </w:pPr>
            <w:r w:rsidRPr="00205936">
              <w:t>Conferences and training</w:t>
            </w:r>
          </w:p>
        </w:tc>
        <w:tc>
          <w:tcPr>
            <w:tcW w:w="901" w:type="pct"/>
            <w:vAlign w:val="center"/>
          </w:tcPr>
          <w:p w14:paraId="48FF205D" w14:textId="77777777" w:rsidR="001F4DEF" w:rsidRPr="00AB46FA" w:rsidRDefault="001F4DEF" w:rsidP="00AB46FA">
            <w:pPr>
              <w:pStyle w:val="TableBodyCellRight"/>
            </w:pPr>
            <w:r w:rsidRPr="00AB46FA">
              <w:t>3,942</w:t>
            </w:r>
          </w:p>
        </w:tc>
        <w:tc>
          <w:tcPr>
            <w:tcW w:w="901" w:type="pct"/>
            <w:shd w:val="clear" w:color="auto" w:fill="F6F2ED" w:themeFill="accent3" w:themeFillTint="33"/>
            <w:vAlign w:val="center"/>
          </w:tcPr>
          <w:p w14:paraId="0D4E10DC" w14:textId="513E967D" w:rsidR="001F4DEF" w:rsidRPr="00AB46FA" w:rsidRDefault="00A530CA" w:rsidP="00AB46FA">
            <w:pPr>
              <w:pStyle w:val="TableBodyCellRight"/>
            </w:pPr>
            <w:r w:rsidRPr="00AB46FA">
              <w:t>7,174</w:t>
            </w:r>
          </w:p>
        </w:tc>
      </w:tr>
      <w:tr w:rsidR="001F4DEF" w:rsidRPr="00205936" w14:paraId="4831F7C1" w14:textId="6B362B4E" w:rsidTr="00BF5577">
        <w:trPr>
          <w:trHeight w:val="340"/>
        </w:trPr>
        <w:tc>
          <w:tcPr>
            <w:tcW w:w="3198" w:type="pct"/>
            <w:tcMar>
              <w:left w:w="108" w:type="dxa"/>
              <w:right w:w="108" w:type="dxa"/>
            </w:tcMar>
            <w:vAlign w:val="center"/>
          </w:tcPr>
          <w:p w14:paraId="7A6EFC3B" w14:textId="594A266D" w:rsidR="001F4DEF" w:rsidRPr="00205936" w:rsidRDefault="001F4DEF" w:rsidP="000F784E">
            <w:pPr>
              <w:pStyle w:val="TableBodyCellLeftIndented"/>
            </w:pPr>
            <w:r w:rsidRPr="00205936">
              <w:t>Seconded Employees</w:t>
            </w:r>
          </w:p>
        </w:tc>
        <w:tc>
          <w:tcPr>
            <w:tcW w:w="901" w:type="pct"/>
            <w:vAlign w:val="center"/>
          </w:tcPr>
          <w:p w14:paraId="44A9FBE9" w14:textId="63186F16" w:rsidR="001F4DEF" w:rsidRPr="00AB46FA" w:rsidRDefault="00B03432" w:rsidP="00AB46FA">
            <w:pPr>
              <w:pStyle w:val="TableBodyCellRight"/>
            </w:pPr>
            <w:r w:rsidRPr="00AB46FA">
              <w:t>340,448</w:t>
            </w:r>
          </w:p>
        </w:tc>
        <w:tc>
          <w:tcPr>
            <w:tcW w:w="901" w:type="pct"/>
            <w:shd w:val="clear" w:color="auto" w:fill="F6F2ED" w:themeFill="accent3" w:themeFillTint="33"/>
            <w:vAlign w:val="center"/>
          </w:tcPr>
          <w:p w14:paraId="18284FC4" w14:textId="22942B71" w:rsidR="001F4DEF" w:rsidRPr="00AB46FA" w:rsidRDefault="00A530CA" w:rsidP="00AB46FA">
            <w:pPr>
              <w:pStyle w:val="TableBodyCellRight"/>
            </w:pPr>
            <w:r w:rsidRPr="00AB46FA">
              <w:t>164,128</w:t>
            </w:r>
          </w:p>
        </w:tc>
      </w:tr>
      <w:tr w:rsidR="001F4DEF" w:rsidRPr="00205936" w14:paraId="7162EEF6" w14:textId="3A4A5DB0" w:rsidTr="00BF5577">
        <w:trPr>
          <w:trHeight w:val="340"/>
        </w:trPr>
        <w:tc>
          <w:tcPr>
            <w:tcW w:w="3198" w:type="pct"/>
            <w:tcMar>
              <w:left w:w="108" w:type="dxa"/>
              <w:right w:w="108" w:type="dxa"/>
            </w:tcMar>
            <w:vAlign w:val="center"/>
          </w:tcPr>
          <w:p w14:paraId="3FFA8659" w14:textId="77777777" w:rsidR="001F4DEF" w:rsidRPr="00205936" w:rsidRDefault="001F4DEF" w:rsidP="000F784E">
            <w:pPr>
              <w:pStyle w:val="TableBodyCellLeftIndented"/>
            </w:pPr>
            <w:r w:rsidRPr="00205936">
              <w:t>Office supplies</w:t>
            </w:r>
          </w:p>
        </w:tc>
        <w:tc>
          <w:tcPr>
            <w:tcW w:w="901" w:type="pct"/>
            <w:vAlign w:val="center"/>
          </w:tcPr>
          <w:p w14:paraId="0091B895" w14:textId="3A002D91" w:rsidR="001F4DEF" w:rsidRPr="00AB46FA" w:rsidRDefault="001F4DEF" w:rsidP="00AB46FA">
            <w:pPr>
              <w:pStyle w:val="TableBodyCellRight"/>
            </w:pPr>
            <w:r w:rsidRPr="00AB46FA">
              <w:noBreakHyphen/>
            </w:r>
          </w:p>
        </w:tc>
        <w:tc>
          <w:tcPr>
            <w:tcW w:w="901" w:type="pct"/>
            <w:shd w:val="clear" w:color="auto" w:fill="F6F2ED" w:themeFill="accent3" w:themeFillTint="33"/>
            <w:vAlign w:val="center"/>
          </w:tcPr>
          <w:p w14:paraId="51F8EAE0" w14:textId="36F0BB3B" w:rsidR="001F4DEF" w:rsidRPr="00AB46FA" w:rsidRDefault="00BA3E50" w:rsidP="00AB46FA">
            <w:pPr>
              <w:pStyle w:val="TableBodyCellRight"/>
            </w:pPr>
            <w:r w:rsidRPr="00AB46FA">
              <w:t>-</w:t>
            </w:r>
          </w:p>
        </w:tc>
      </w:tr>
      <w:tr w:rsidR="001F4DEF" w:rsidRPr="00205936" w14:paraId="5655ACCF" w14:textId="7C22D0CD" w:rsidTr="00BF5577">
        <w:trPr>
          <w:trHeight w:val="340"/>
        </w:trPr>
        <w:tc>
          <w:tcPr>
            <w:tcW w:w="3198" w:type="pct"/>
            <w:tcMar>
              <w:left w:w="108" w:type="dxa"/>
              <w:right w:w="108" w:type="dxa"/>
            </w:tcMar>
            <w:vAlign w:val="center"/>
          </w:tcPr>
          <w:p w14:paraId="7B765477" w14:textId="77777777" w:rsidR="001F4DEF" w:rsidRPr="00205936" w:rsidRDefault="001F4DEF" w:rsidP="000F784E">
            <w:pPr>
              <w:pStyle w:val="TableBodyCellLeftIndented"/>
            </w:pPr>
            <w:r w:rsidRPr="00205936">
              <w:t>Other supplier expenses</w:t>
            </w:r>
          </w:p>
        </w:tc>
        <w:tc>
          <w:tcPr>
            <w:tcW w:w="901" w:type="pct"/>
            <w:vAlign w:val="center"/>
          </w:tcPr>
          <w:p w14:paraId="0267773A" w14:textId="77777777" w:rsidR="001F4DEF" w:rsidRPr="00AB46FA" w:rsidRDefault="001F4DEF" w:rsidP="00AB46FA">
            <w:pPr>
              <w:pStyle w:val="TableBodyCellRight"/>
            </w:pPr>
            <w:r w:rsidRPr="00AB46FA">
              <w:t>473</w:t>
            </w:r>
          </w:p>
        </w:tc>
        <w:tc>
          <w:tcPr>
            <w:tcW w:w="901" w:type="pct"/>
            <w:shd w:val="clear" w:color="auto" w:fill="F6F2ED" w:themeFill="accent3" w:themeFillTint="33"/>
            <w:vAlign w:val="center"/>
          </w:tcPr>
          <w:p w14:paraId="5EB14574" w14:textId="4DA797A7" w:rsidR="001F4DEF" w:rsidRPr="00AB46FA" w:rsidRDefault="00BA3E50" w:rsidP="00AB46FA">
            <w:pPr>
              <w:pStyle w:val="TableBodyCellRight"/>
            </w:pPr>
            <w:r w:rsidRPr="00AB46FA">
              <w:t>15,109</w:t>
            </w:r>
          </w:p>
        </w:tc>
      </w:tr>
      <w:tr w:rsidR="001F4DEF" w:rsidRPr="00205936" w14:paraId="3A92C8BE" w14:textId="25305643" w:rsidTr="00BF5577">
        <w:trPr>
          <w:trHeight w:val="340"/>
        </w:trPr>
        <w:tc>
          <w:tcPr>
            <w:tcW w:w="3198" w:type="pct"/>
            <w:tcMar>
              <w:left w:w="108" w:type="dxa"/>
              <w:right w:w="108" w:type="dxa"/>
            </w:tcMar>
            <w:vAlign w:val="center"/>
          </w:tcPr>
          <w:p w14:paraId="2FD358A5" w14:textId="77777777" w:rsidR="001F4DEF" w:rsidRPr="00AB46FA" w:rsidRDefault="001F4DEF" w:rsidP="00AB46FA">
            <w:pPr>
              <w:pStyle w:val="TableBodyCellLeft"/>
              <w:rPr>
                <w:b/>
                <w:bCs/>
                <w:i/>
                <w:iCs/>
              </w:rPr>
            </w:pPr>
            <w:r w:rsidRPr="00AB46FA">
              <w:rPr>
                <w:b/>
                <w:bCs/>
                <w:i/>
                <w:iCs/>
              </w:rPr>
              <w:t>Total operating expenses</w:t>
            </w:r>
          </w:p>
        </w:tc>
        <w:tc>
          <w:tcPr>
            <w:tcW w:w="901" w:type="pct"/>
            <w:vAlign w:val="center"/>
          </w:tcPr>
          <w:p w14:paraId="4618A585" w14:textId="47F3CA98" w:rsidR="001F4DEF" w:rsidRPr="00AB46FA" w:rsidRDefault="00B03432" w:rsidP="00AB46FA">
            <w:pPr>
              <w:pStyle w:val="TableBodyCellRight"/>
              <w:rPr>
                <w:b/>
                <w:bCs/>
                <w:i/>
                <w:iCs/>
              </w:rPr>
            </w:pPr>
            <w:r w:rsidRPr="00AB46FA">
              <w:rPr>
                <w:b/>
                <w:bCs/>
                <w:i/>
                <w:iCs/>
              </w:rPr>
              <w:t>457,674</w:t>
            </w:r>
          </w:p>
        </w:tc>
        <w:tc>
          <w:tcPr>
            <w:tcW w:w="901" w:type="pct"/>
            <w:shd w:val="clear" w:color="auto" w:fill="F6F2ED" w:themeFill="accent3" w:themeFillTint="33"/>
            <w:vAlign w:val="center"/>
          </w:tcPr>
          <w:p w14:paraId="4A6A1212" w14:textId="3E56229F" w:rsidR="001F4DEF" w:rsidRPr="00AB46FA" w:rsidRDefault="00BA3E50" w:rsidP="00AB46FA">
            <w:pPr>
              <w:pStyle w:val="TableBodyCellRight"/>
              <w:rPr>
                <w:b/>
                <w:bCs/>
                <w:i/>
                <w:iCs/>
              </w:rPr>
            </w:pPr>
            <w:r w:rsidRPr="00AB46FA">
              <w:rPr>
                <w:b/>
                <w:bCs/>
                <w:i/>
                <w:iCs/>
              </w:rPr>
              <w:t>257,487</w:t>
            </w:r>
          </w:p>
        </w:tc>
      </w:tr>
      <w:tr w:rsidR="001F4DEF" w:rsidRPr="00205936" w14:paraId="564B8D1B" w14:textId="43C67AE7" w:rsidTr="00BF5577">
        <w:trPr>
          <w:trHeight w:val="340"/>
        </w:trPr>
        <w:tc>
          <w:tcPr>
            <w:tcW w:w="3198" w:type="pct"/>
            <w:tcMar>
              <w:left w:w="108" w:type="dxa"/>
              <w:right w:w="108" w:type="dxa"/>
            </w:tcMar>
            <w:vAlign w:val="center"/>
          </w:tcPr>
          <w:p w14:paraId="2C2BEA4E" w14:textId="77777777" w:rsidR="001F4DEF" w:rsidRPr="008E3254" w:rsidRDefault="001F4DEF" w:rsidP="008E3254">
            <w:pPr>
              <w:pStyle w:val="TableBodyCellLeft"/>
              <w:rPr>
                <w:rStyle w:val="Bold"/>
                <w:b w:val="0"/>
                <w:bCs/>
              </w:rPr>
            </w:pPr>
            <w:r w:rsidRPr="008E3254">
              <w:rPr>
                <w:b/>
                <w:bCs/>
              </w:rPr>
              <w:t>Total expenses</w:t>
            </w:r>
          </w:p>
        </w:tc>
        <w:tc>
          <w:tcPr>
            <w:tcW w:w="901" w:type="pct"/>
            <w:vAlign w:val="center"/>
          </w:tcPr>
          <w:p w14:paraId="45AB438F" w14:textId="6990E2D3" w:rsidR="001F4DEF" w:rsidRPr="00AB46FA" w:rsidRDefault="001F4DEF" w:rsidP="00AB46FA">
            <w:pPr>
              <w:pStyle w:val="TableBodyCellRight"/>
              <w:rPr>
                <w:b/>
                <w:bCs/>
              </w:rPr>
            </w:pPr>
            <w:r w:rsidRPr="00AB46FA">
              <w:rPr>
                <w:b/>
                <w:bCs/>
              </w:rPr>
              <w:t>1,</w:t>
            </w:r>
            <w:r w:rsidR="00B03432" w:rsidRPr="00AB46FA">
              <w:rPr>
                <w:b/>
                <w:bCs/>
              </w:rPr>
              <w:t>679,233</w:t>
            </w:r>
          </w:p>
        </w:tc>
        <w:tc>
          <w:tcPr>
            <w:tcW w:w="901" w:type="pct"/>
            <w:shd w:val="clear" w:color="auto" w:fill="F6F2ED" w:themeFill="accent3" w:themeFillTint="33"/>
            <w:vAlign w:val="center"/>
          </w:tcPr>
          <w:p w14:paraId="3065D7EB" w14:textId="17C9F0F2" w:rsidR="001F4DEF" w:rsidRPr="00AB46FA" w:rsidRDefault="00BA3E50" w:rsidP="00AB46FA">
            <w:pPr>
              <w:pStyle w:val="TableBodyCellRight"/>
              <w:rPr>
                <w:b/>
                <w:bCs/>
              </w:rPr>
            </w:pPr>
            <w:r w:rsidRPr="00AB46FA">
              <w:rPr>
                <w:b/>
                <w:bCs/>
              </w:rPr>
              <w:t>1,322,674</w:t>
            </w:r>
          </w:p>
        </w:tc>
      </w:tr>
      <w:tr w:rsidR="001F4DEF" w:rsidRPr="00205936" w14:paraId="12EDAC88" w14:textId="2006F2B7" w:rsidTr="00BF5577">
        <w:trPr>
          <w:trHeight w:val="340"/>
        </w:trPr>
        <w:tc>
          <w:tcPr>
            <w:tcW w:w="3198" w:type="pct"/>
            <w:tcMar>
              <w:left w:w="108" w:type="dxa"/>
              <w:right w:w="108" w:type="dxa"/>
            </w:tcMar>
            <w:vAlign w:val="center"/>
          </w:tcPr>
          <w:p w14:paraId="2B711B94" w14:textId="77777777" w:rsidR="001F4DEF" w:rsidRPr="008E3254" w:rsidRDefault="001F4DEF" w:rsidP="008E3254">
            <w:pPr>
              <w:pStyle w:val="TableBodyCellLeft"/>
              <w:rPr>
                <w:rStyle w:val="Bold"/>
                <w:b w:val="0"/>
                <w:bCs/>
              </w:rPr>
            </w:pPr>
            <w:r w:rsidRPr="008E3254">
              <w:rPr>
                <w:b/>
                <w:bCs/>
              </w:rPr>
              <w:t>Operating surplus</w:t>
            </w:r>
          </w:p>
        </w:tc>
        <w:tc>
          <w:tcPr>
            <w:tcW w:w="901" w:type="pct"/>
            <w:vAlign w:val="center"/>
          </w:tcPr>
          <w:p w14:paraId="67D935B1" w14:textId="63E5FCC3" w:rsidR="001F4DEF" w:rsidRPr="00AB46FA" w:rsidRDefault="001F4DEF" w:rsidP="00AB46FA">
            <w:pPr>
              <w:pStyle w:val="TableBodyCellRight"/>
              <w:rPr>
                <w:b/>
                <w:bCs/>
              </w:rPr>
            </w:pPr>
            <w:r w:rsidRPr="00AB46FA">
              <w:rPr>
                <w:b/>
                <w:bCs/>
              </w:rPr>
              <w:noBreakHyphen/>
            </w:r>
          </w:p>
        </w:tc>
        <w:tc>
          <w:tcPr>
            <w:tcW w:w="901" w:type="pct"/>
            <w:shd w:val="clear" w:color="auto" w:fill="F6F2ED" w:themeFill="accent3" w:themeFillTint="33"/>
            <w:vAlign w:val="center"/>
          </w:tcPr>
          <w:p w14:paraId="459A14D2" w14:textId="4F74FDDD" w:rsidR="001F4DEF" w:rsidRPr="00AB46FA" w:rsidRDefault="00BA3E50" w:rsidP="00AB46FA">
            <w:pPr>
              <w:pStyle w:val="TableBodyCellRight"/>
              <w:rPr>
                <w:b/>
                <w:bCs/>
              </w:rPr>
            </w:pPr>
            <w:r w:rsidRPr="00AB46FA">
              <w:rPr>
                <w:b/>
                <w:bCs/>
              </w:rPr>
              <w:t>-</w:t>
            </w:r>
          </w:p>
        </w:tc>
      </w:tr>
    </w:tbl>
    <w:p w14:paraId="07D5592E" w14:textId="524BC671" w:rsidR="002D168B" w:rsidRPr="0013131F" w:rsidRDefault="002D168B" w:rsidP="007E7307">
      <w:pPr>
        <w:pStyle w:val="Notealpha"/>
        <w:numPr>
          <w:ilvl w:val="0"/>
          <w:numId w:val="22"/>
        </w:numPr>
        <w:ind w:left="284" w:hanging="284"/>
        <w:rPr>
          <w:szCs w:val="22"/>
        </w:rPr>
      </w:pPr>
      <w:r w:rsidRPr="0013131F">
        <w:rPr>
          <w:szCs w:val="22"/>
        </w:rPr>
        <w:t>Revenue – Other includes Secondees to the Board of Taxation Secretariat provided under the ATO Secondment program</w:t>
      </w:r>
    </w:p>
    <w:p w14:paraId="57B82FDF" w14:textId="5C9629FB" w:rsidR="00036758" w:rsidRDefault="00036758" w:rsidP="00976452">
      <w:pPr>
        <w:pStyle w:val="TableHeading1"/>
      </w:pPr>
      <w:r w:rsidRPr="00527FF7">
        <w:t xml:space="preserve">Table </w:t>
      </w:r>
      <w:r w:rsidR="00AF1C67">
        <w:t>8</w:t>
      </w:r>
      <w:r w:rsidRPr="00527FF7">
        <w:t>: Remuneration</w:t>
      </w:r>
      <w:r>
        <w:t xml:space="preserve"> paid to non</w:t>
      </w:r>
      <w:r w:rsidR="00205936">
        <w:noBreakHyphen/>
      </w:r>
      <w:r>
        <w:t>government Board members</w:t>
      </w:r>
    </w:p>
    <w:tbl>
      <w:tblPr>
        <w:tblStyle w:val="ListTable3-Accent1"/>
        <w:tblW w:w="5017" w:type="pct"/>
        <w:tblBorders>
          <w:top w:val="single" w:sz="4" w:space="0" w:color="701F4D" w:themeColor="accent2"/>
          <w:left w:val="none" w:sz="0" w:space="0" w:color="auto"/>
          <w:bottom w:val="single" w:sz="8" w:space="0" w:color="701F4D" w:themeColor="accent2"/>
          <w:right w:val="none" w:sz="0" w:space="0" w:color="auto"/>
          <w:insideH w:val="single" w:sz="4" w:space="0" w:color="701F4D" w:themeColor="accent2"/>
        </w:tblBorders>
        <w:tblCellMar>
          <w:top w:w="57" w:type="dxa"/>
          <w:bottom w:w="57" w:type="dxa"/>
        </w:tblCellMar>
        <w:tblLook w:val="06A0" w:firstRow="1" w:lastRow="0" w:firstColumn="1" w:lastColumn="0" w:noHBand="1" w:noVBand="1"/>
      </w:tblPr>
      <w:tblGrid>
        <w:gridCol w:w="7939"/>
        <w:gridCol w:w="1735"/>
      </w:tblGrid>
      <w:tr w:rsidR="006A3162" w:rsidRPr="00205936" w14:paraId="0C841248" w14:textId="77777777" w:rsidTr="00BF5577">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7938" w:type="dxa"/>
            <w:tcBorders>
              <w:bottom w:val="none" w:sz="0" w:space="0" w:color="auto"/>
              <w:right w:val="none" w:sz="0" w:space="0" w:color="auto"/>
            </w:tcBorders>
            <w:shd w:val="clear" w:color="auto" w:fill="701F4D" w:themeFill="accent2"/>
          </w:tcPr>
          <w:p w14:paraId="60F40A6D" w14:textId="70294F0A" w:rsidR="006A3162" w:rsidRPr="00205936" w:rsidRDefault="006A3162" w:rsidP="00FC612B">
            <w:pPr>
              <w:pStyle w:val="TableHeaderCellLeft"/>
            </w:pPr>
            <w:r w:rsidRPr="00205936">
              <w:t>Board members 202</w:t>
            </w:r>
            <w:r w:rsidR="00C473A4" w:rsidRPr="00205936">
              <w:t>5</w:t>
            </w:r>
            <w:r w:rsidRPr="00205936">
              <w:t>–2</w:t>
            </w:r>
            <w:r w:rsidR="00C473A4" w:rsidRPr="00205936">
              <w:t>6</w:t>
            </w:r>
          </w:p>
        </w:tc>
        <w:tc>
          <w:tcPr>
            <w:tcW w:w="1735" w:type="dxa"/>
            <w:shd w:val="clear" w:color="auto" w:fill="701F4D" w:themeFill="accent2"/>
          </w:tcPr>
          <w:p w14:paraId="0D40DDA7" w14:textId="77777777" w:rsidR="006A3162" w:rsidRPr="00205936" w:rsidRDefault="006A3162" w:rsidP="00FC612B">
            <w:pPr>
              <w:pStyle w:val="TableHeaderCellRight"/>
              <w:cnfStyle w:val="100000000000" w:firstRow="1" w:lastRow="0" w:firstColumn="0" w:lastColumn="0" w:oddVBand="0" w:evenVBand="0" w:oddHBand="0" w:evenHBand="0" w:firstRowFirstColumn="0" w:firstRowLastColumn="0" w:lastRowFirstColumn="0" w:lastRowLastColumn="0"/>
            </w:pPr>
            <w:r w:rsidRPr="00205936">
              <w:t>$</w:t>
            </w:r>
          </w:p>
        </w:tc>
      </w:tr>
      <w:tr w:rsidR="009C734A" w:rsidRPr="00205936" w14:paraId="24EC7C49" w14:textId="77777777" w:rsidTr="00BF5577">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14:paraId="41BE19FD" w14:textId="77777777" w:rsidR="006A3162" w:rsidRPr="00205936" w:rsidRDefault="006A3162" w:rsidP="00FC612B">
            <w:pPr>
              <w:pStyle w:val="TableBodyCellLeft"/>
            </w:pPr>
            <w:r w:rsidRPr="00205936">
              <w:t>Total*</w:t>
            </w:r>
          </w:p>
        </w:tc>
        <w:tc>
          <w:tcPr>
            <w:tcW w:w="1735" w:type="dxa"/>
            <w:shd w:val="clear" w:color="auto" w:fill="F6F2ED" w:themeFill="accent3" w:themeFillTint="33"/>
          </w:tcPr>
          <w:p w14:paraId="34F7E3D7" w14:textId="52D23499" w:rsidR="006A3162" w:rsidRPr="00AB46FA" w:rsidRDefault="00DD151B" w:rsidP="00AB46FA">
            <w:pPr>
              <w:pStyle w:val="TableBodyCellRight"/>
              <w:cnfStyle w:val="000000000000" w:firstRow="0" w:lastRow="0" w:firstColumn="0" w:lastColumn="0" w:oddVBand="0" w:evenVBand="0" w:oddHBand="0" w:evenHBand="0" w:firstRowFirstColumn="0" w:firstRowLastColumn="0" w:lastRowFirstColumn="0" w:lastRowLastColumn="0"/>
              <w:rPr>
                <w:b/>
                <w:bCs/>
              </w:rPr>
            </w:pPr>
            <w:r w:rsidRPr="00AB46FA">
              <w:rPr>
                <w:b/>
                <w:bCs/>
              </w:rPr>
              <w:t>4</w:t>
            </w:r>
            <w:r w:rsidR="00DB185C" w:rsidRPr="00AB46FA">
              <w:rPr>
                <w:b/>
                <w:bCs/>
              </w:rPr>
              <w:t>1</w:t>
            </w:r>
            <w:r w:rsidR="00B707B1" w:rsidRPr="00AB46FA">
              <w:rPr>
                <w:b/>
                <w:bCs/>
              </w:rPr>
              <w:t>0,094</w:t>
            </w:r>
          </w:p>
        </w:tc>
      </w:tr>
    </w:tbl>
    <w:p w14:paraId="1F68B372" w14:textId="42DD22B0" w:rsidR="006A3162" w:rsidRDefault="006A3162" w:rsidP="001C029F">
      <w:pPr>
        <w:pStyle w:val="Note"/>
      </w:pPr>
      <w:r w:rsidRPr="003A29AA">
        <w:t>*Total remuneration</w:t>
      </w:r>
      <w:r w:rsidRPr="000151F9">
        <w:t xml:space="preserve"> paid to non</w:t>
      </w:r>
      <w:r w:rsidR="00205936">
        <w:noBreakHyphen/>
      </w:r>
      <w:r w:rsidRPr="000151F9">
        <w:t>government Board members, 202</w:t>
      </w:r>
      <w:r w:rsidR="00EA0734">
        <w:t>5</w:t>
      </w:r>
      <w:r>
        <w:t>–</w:t>
      </w:r>
      <w:r w:rsidRPr="000151F9">
        <w:t>2</w:t>
      </w:r>
      <w:r w:rsidR="00EA0734">
        <w:t>6</w:t>
      </w:r>
      <w:r>
        <w:t xml:space="preserve"> includes allowances and superannuation guarantee.</w:t>
      </w:r>
    </w:p>
    <w:p w14:paraId="4DB2F9D8" w14:textId="77777777" w:rsidR="00975AC3" w:rsidRDefault="00975AC3" w:rsidP="000A75E4">
      <w:bookmarkStart w:id="72" w:name="_Toc149905545"/>
      <w:r>
        <w:br w:type="page"/>
      </w:r>
    </w:p>
    <w:p w14:paraId="530565CC" w14:textId="6A3350E3" w:rsidR="007F3561" w:rsidRDefault="007F3561" w:rsidP="007F3561">
      <w:pPr>
        <w:pStyle w:val="Heading1"/>
      </w:pPr>
      <w:bookmarkStart w:id="73" w:name="_Toc209006418"/>
      <w:bookmarkStart w:id="74" w:name="_Toc238644415"/>
      <w:r>
        <w:lastRenderedPageBreak/>
        <w:t xml:space="preserve">Contact </w:t>
      </w:r>
      <w:r w:rsidRPr="000D6A1F">
        <w:t>details</w:t>
      </w:r>
      <w:bookmarkEnd w:id="72"/>
      <w:bookmarkEnd w:id="73"/>
      <w:bookmarkEnd w:id="74"/>
    </w:p>
    <w:p w14:paraId="111F1263" w14:textId="77777777" w:rsidR="007F3561" w:rsidRPr="005F7575" w:rsidRDefault="007F3561" w:rsidP="00B94997">
      <w:r w:rsidRPr="005F7575">
        <w:t>Inquiries regarding this report may be directed to:</w:t>
      </w:r>
    </w:p>
    <w:p w14:paraId="03337634" w14:textId="6A08F3B3" w:rsidR="007F3561" w:rsidRDefault="007F3561" w:rsidP="000F784E">
      <w:pPr>
        <w:pStyle w:val="NormalIndent"/>
      </w:pPr>
      <w:r w:rsidRPr="000F784E">
        <w:rPr>
          <w:b/>
          <w:bCs/>
        </w:rPr>
        <w:t>Board Of Taxation Secretariat</w:t>
      </w:r>
      <w:r w:rsidR="000F784E">
        <w:br/>
      </w:r>
      <w:r w:rsidRPr="005F7575">
        <w:t xml:space="preserve">C/O </w:t>
      </w:r>
      <w:r>
        <w:t>–</w:t>
      </w:r>
      <w:r w:rsidRPr="005F7575">
        <w:t xml:space="preserve"> The Treasury</w:t>
      </w:r>
      <w:r w:rsidR="000F784E">
        <w:br/>
      </w:r>
      <w:r w:rsidRPr="005F7575">
        <w:t>Langton Crescent</w:t>
      </w:r>
      <w:r w:rsidR="000F784E">
        <w:br/>
      </w:r>
      <w:r w:rsidRPr="005F7575">
        <w:t>Parkes ACT 2600</w:t>
      </w:r>
      <w:r w:rsidR="000F784E">
        <w:br/>
      </w:r>
      <w:r w:rsidRPr="005F7575">
        <w:t>Email</w:t>
      </w:r>
      <w:r>
        <w:t xml:space="preserve">: </w:t>
      </w:r>
      <w:hyperlink r:id="rId38" w:history="1">
        <w:r w:rsidR="00161AC8" w:rsidRPr="008A0EC7">
          <w:rPr>
            <w:rStyle w:val="Hyperlink"/>
          </w:rPr>
          <w:t>taxboard@taxboard.gov.au</w:t>
        </w:r>
      </w:hyperlink>
    </w:p>
    <w:p w14:paraId="684A4C2E" w14:textId="77777777" w:rsidR="007F3561" w:rsidRDefault="007F3561" w:rsidP="00FC293F">
      <w:r>
        <w:br w:type="page"/>
      </w:r>
    </w:p>
    <w:p w14:paraId="05596FC3" w14:textId="77777777" w:rsidR="007F3561" w:rsidRPr="00174FA5" w:rsidRDefault="007F3561" w:rsidP="007F3561">
      <w:pPr>
        <w:pStyle w:val="Heading1"/>
      </w:pPr>
      <w:bookmarkStart w:id="75" w:name="_Toc149905546"/>
      <w:bookmarkStart w:id="76" w:name="_Toc209006419"/>
      <w:bookmarkStart w:id="77" w:name="_Toc238644416"/>
      <w:r w:rsidRPr="001D7081">
        <w:lastRenderedPageBreak/>
        <w:t>Glossary</w:t>
      </w:r>
      <w:r>
        <w:t xml:space="preserve"> of terms</w:t>
      </w:r>
      <w:bookmarkEnd w:id="75"/>
      <w:bookmarkEnd w:id="76"/>
      <w:bookmarkEnd w:id="77"/>
    </w:p>
    <w:p w14:paraId="5321374C" w14:textId="77777777" w:rsidR="007F3561" w:rsidRDefault="007F3561" w:rsidP="007F3561">
      <w:pPr>
        <w:spacing w:after="240"/>
      </w:pPr>
      <w:r>
        <w:t xml:space="preserve">The following abbreviations </w:t>
      </w:r>
      <w:r w:rsidRPr="00417C25">
        <w:t>and</w:t>
      </w:r>
      <w:r>
        <w:t xml:space="preserve"> acronyms are used throughout this report.</w:t>
      </w:r>
    </w:p>
    <w:tbl>
      <w:tblPr>
        <w:tblStyle w:val="ListTable3-Accent2"/>
        <w:tblW w:w="5000" w:type="pct"/>
        <w:tblBorders>
          <w:top w:val="single" w:sz="4" w:space="0" w:color="142147" w:themeColor="accent1"/>
          <w:left w:val="none" w:sz="0" w:space="0" w:color="auto"/>
          <w:bottom w:val="single" w:sz="8" w:space="0" w:color="142147" w:themeColor="accent1"/>
          <w:right w:val="none" w:sz="0" w:space="0" w:color="auto"/>
          <w:insideH w:val="single" w:sz="4" w:space="0" w:color="142147" w:themeColor="accent1"/>
        </w:tblBorders>
        <w:tblCellMar>
          <w:top w:w="57" w:type="dxa"/>
          <w:bottom w:w="57" w:type="dxa"/>
        </w:tblCellMar>
        <w:tblLook w:val="06A0" w:firstRow="1" w:lastRow="0" w:firstColumn="1" w:lastColumn="0" w:noHBand="1" w:noVBand="1"/>
      </w:tblPr>
      <w:tblGrid>
        <w:gridCol w:w="2410"/>
        <w:gridCol w:w="7231"/>
      </w:tblGrid>
      <w:tr w:rsidR="00B0467B" w:rsidRPr="00205936" w14:paraId="3C2EF075" w14:textId="77777777" w:rsidTr="00BF5577">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1250" w:type="pct"/>
            <w:tcBorders>
              <w:bottom w:val="none" w:sz="0" w:space="0" w:color="auto"/>
              <w:right w:val="none" w:sz="0" w:space="0" w:color="auto"/>
            </w:tcBorders>
            <w:shd w:val="clear" w:color="auto" w:fill="142147" w:themeFill="accent1"/>
            <w:vAlign w:val="bottom"/>
          </w:tcPr>
          <w:p w14:paraId="71286C1B" w14:textId="77777777" w:rsidR="00B0467B" w:rsidRPr="00B94997" w:rsidRDefault="00B0467B" w:rsidP="00B94997">
            <w:pPr>
              <w:pStyle w:val="TableHeaderCellLeft"/>
            </w:pPr>
            <w:r w:rsidRPr="00B94997">
              <w:t>Abbreviation</w:t>
            </w:r>
          </w:p>
        </w:tc>
        <w:tc>
          <w:tcPr>
            <w:tcW w:w="3750" w:type="pct"/>
            <w:shd w:val="clear" w:color="auto" w:fill="142147" w:themeFill="accent1"/>
            <w:vAlign w:val="bottom"/>
          </w:tcPr>
          <w:p w14:paraId="36C845EA" w14:textId="77777777" w:rsidR="00B0467B" w:rsidRPr="00B94997" w:rsidRDefault="00B0467B" w:rsidP="00B94997">
            <w:pPr>
              <w:pStyle w:val="TableHeaderCellLeft"/>
              <w:cnfStyle w:val="100000000000" w:firstRow="1" w:lastRow="0" w:firstColumn="0" w:lastColumn="0" w:oddVBand="0" w:evenVBand="0" w:oddHBand="0" w:evenHBand="0" w:firstRowFirstColumn="0" w:firstRowLastColumn="0" w:lastRowFirstColumn="0" w:lastRowLastColumn="0"/>
            </w:pPr>
            <w:r w:rsidRPr="00B94997">
              <w:t>Definition</w:t>
            </w:r>
          </w:p>
        </w:tc>
      </w:tr>
      <w:tr w:rsidR="00B0467B" w:rsidRPr="00205936" w14:paraId="02651019"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6FCB9929" w14:textId="77777777" w:rsidR="00B0467B" w:rsidRPr="00B94997" w:rsidRDefault="00B0467B" w:rsidP="00B94997">
            <w:pPr>
              <w:pStyle w:val="TableBodyCellLeft"/>
            </w:pPr>
            <w:r w:rsidRPr="00B94997">
              <w:t>ACT</w:t>
            </w:r>
          </w:p>
        </w:tc>
        <w:tc>
          <w:tcPr>
            <w:tcW w:w="3750" w:type="pct"/>
            <w:vAlign w:val="center"/>
          </w:tcPr>
          <w:p w14:paraId="70BF9FDF"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Australian Capital Territory</w:t>
            </w:r>
          </w:p>
        </w:tc>
      </w:tr>
      <w:tr w:rsidR="00B0467B" w:rsidRPr="00205936" w14:paraId="6D753EF5"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7316A0A2" w14:textId="77777777" w:rsidR="00B0467B" w:rsidRPr="00B94997" w:rsidRDefault="00B0467B" w:rsidP="00B94997">
            <w:pPr>
              <w:pStyle w:val="TableBodyCellLeft"/>
            </w:pPr>
            <w:r w:rsidRPr="00B94997">
              <w:t>ATO</w:t>
            </w:r>
          </w:p>
        </w:tc>
        <w:tc>
          <w:tcPr>
            <w:tcW w:w="3750" w:type="pct"/>
            <w:vAlign w:val="center"/>
          </w:tcPr>
          <w:p w14:paraId="461D4F3A"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Australian Taxation Office</w:t>
            </w:r>
          </w:p>
        </w:tc>
      </w:tr>
      <w:tr w:rsidR="00B0467B" w:rsidRPr="00205936" w14:paraId="330CDBFE"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45FD2381" w14:textId="77777777" w:rsidR="00B0467B" w:rsidRPr="00B94997" w:rsidRDefault="00B0467B" w:rsidP="00B94997">
            <w:pPr>
              <w:pStyle w:val="TableBodyCellLeft"/>
            </w:pPr>
            <w:r w:rsidRPr="00B94997">
              <w:t>The Board</w:t>
            </w:r>
          </w:p>
        </w:tc>
        <w:tc>
          <w:tcPr>
            <w:tcW w:w="3750" w:type="pct"/>
            <w:vAlign w:val="center"/>
          </w:tcPr>
          <w:p w14:paraId="1B47F849"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The Board of Taxation</w:t>
            </w:r>
          </w:p>
        </w:tc>
      </w:tr>
      <w:tr w:rsidR="00B0467B" w:rsidRPr="00205936" w14:paraId="2FC2E62A"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0F606017" w14:textId="77777777" w:rsidR="00B0467B" w:rsidRPr="00B94997" w:rsidRDefault="00B0467B" w:rsidP="00B94997">
            <w:pPr>
              <w:pStyle w:val="TableBodyCellLeft"/>
            </w:pPr>
            <w:proofErr w:type="spellStart"/>
            <w:r w:rsidRPr="00B94997">
              <w:t>CbC</w:t>
            </w:r>
            <w:proofErr w:type="spellEnd"/>
          </w:p>
        </w:tc>
        <w:tc>
          <w:tcPr>
            <w:tcW w:w="3750" w:type="pct"/>
            <w:vAlign w:val="center"/>
          </w:tcPr>
          <w:p w14:paraId="7F530A66"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Country-by-Country</w:t>
            </w:r>
          </w:p>
        </w:tc>
      </w:tr>
      <w:tr w:rsidR="00B0467B" w:rsidRPr="00205936" w14:paraId="1A2E7FFF"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63049D84" w14:textId="77777777" w:rsidR="00B0467B" w:rsidRPr="00B94997" w:rsidRDefault="00B0467B" w:rsidP="00B94997">
            <w:pPr>
              <w:pStyle w:val="TableBodyCellLeft"/>
            </w:pPr>
            <w:r w:rsidRPr="00B94997">
              <w:t xml:space="preserve">CPA </w:t>
            </w:r>
          </w:p>
        </w:tc>
        <w:tc>
          <w:tcPr>
            <w:tcW w:w="3750" w:type="pct"/>
            <w:vAlign w:val="center"/>
          </w:tcPr>
          <w:p w14:paraId="431BBD00"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Certified Practicing Accountant</w:t>
            </w:r>
          </w:p>
        </w:tc>
      </w:tr>
      <w:tr w:rsidR="00B0467B" w:rsidRPr="00205936" w14:paraId="0D4AF960"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2971A934" w14:textId="77777777" w:rsidR="00B0467B" w:rsidRPr="00B94997" w:rsidRDefault="00B0467B" w:rsidP="00B94997">
            <w:pPr>
              <w:pStyle w:val="TableBodyCellLeft"/>
            </w:pPr>
            <w:r w:rsidRPr="00B94997">
              <w:t>EBITDA</w:t>
            </w:r>
          </w:p>
        </w:tc>
        <w:tc>
          <w:tcPr>
            <w:tcW w:w="3750" w:type="pct"/>
            <w:vAlign w:val="center"/>
          </w:tcPr>
          <w:p w14:paraId="08750B9B"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Earnings Before Interest, Tax, Depreciation, Amortization</w:t>
            </w:r>
          </w:p>
        </w:tc>
      </w:tr>
      <w:tr w:rsidR="00B0467B" w:rsidRPr="00205936" w14:paraId="61608597"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104D96F8" w14:textId="77777777" w:rsidR="00B0467B" w:rsidRPr="00B94997" w:rsidRDefault="00B0467B" w:rsidP="00B94997">
            <w:pPr>
              <w:pStyle w:val="TableBodyCellLeft"/>
            </w:pPr>
            <w:r w:rsidRPr="00B94997">
              <w:t>ERR</w:t>
            </w:r>
          </w:p>
        </w:tc>
        <w:tc>
          <w:tcPr>
            <w:tcW w:w="3750" w:type="pct"/>
            <w:vAlign w:val="center"/>
          </w:tcPr>
          <w:p w14:paraId="0BA55953"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Economic Reform Roundtable</w:t>
            </w:r>
          </w:p>
        </w:tc>
      </w:tr>
      <w:tr w:rsidR="00B0467B" w:rsidRPr="00205936" w14:paraId="4E9291D3"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4EF1D3C9" w14:textId="77777777" w:rsidR="00B0467B" w:rsidRPr="00B94997" w:rsidRDefault="00B0467B" w:rsidP="00B94997">
            <w:pPr>
              <w:pStyle w:val="TableBodyCellLeft"/>
            </w:pPr>
            <w:r w:rsidRPr="00B94997">
              <w:t>GRI</w:t>
            </w:r>
          </w:p>
        </w:tc>
        <w:tc>
          <w:tcPr>
            <w:tcW w:w="3750" w:type="pct"/>
            <w:vAlign w:val="center"/>
          </w:tcPr>
          <w:p w14:paraId="2E56AF5F"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Global Reporting Initiative</w:t>
            </w:r>
          </w:p>
        </w:tc>
      </w:tr>
      <w:tr w:rsidR="00B0467B" w:rsidRPr="00205936" w14:paraId="34EC7AB1"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67F11BF9" w14:textId="77777777" w:rsidR="00B0467B" w:rsidRPr="00B94997" w:rsidRDefault="00B0467B" w:rsidP="00B94997">
            <w:pPr>
              <w:pStyle w:val="TableBodyCellLeft"/>
            </w:pPr>
            <w:r w:rsidRPr="00B94997">
              <w:t>GST</w:t>
            </w:r>
          </w:p>
        </w:tc>
        <w:tc>
          <w:tcPr>
            <w:tcW w:w="3750" w:type="pct"/>
            <w:vAlign w:val="center"/>
          </w:tcPr>
          <w:p w14:paraId="27CB14DF"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Goods and Services Tax</w:t>
            </w:r>
          </w:p>
        </w:tc>
      </w:tr>
      <w:tr w:rsidR="00B0467B" w:rsidRPr="00205936" w14:paraId="3E0D0189"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6F2B9D4F" w14:textId="77777777" w:rsidR="00B0467B" w:rsidRPr="00B94997" w:rsidRDefault="00B0467B" w:rsidP="00B94997">
            <w:pPr>
              <w:pStyle w:val="TableBodyCellLeft"/>
            </w:pPr>
            <w:r w:rsidRPr="00B94997">
              <w:t>Hon</w:t>
            </w:r>
          </w:p>
        </w:tc>
        <w:tc>
          <w:tcPr>
            <w:tcW w:w="3750" w:type="pct"/>
            <w:vAlign w:val="center"/>
          </w:tcPr>
          <w:p w14:paraId="773EC4B3"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 xml:space="preserve">Honourable </w:t>
            </w:r>
          </w:p>
        </w:tc>
      </w:tr>
      <w:tr w:rsidR="00B0467B" w:rsidRPr="00205936" w14:paraId="6754123B"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1400BE03" w14:textId="77777777" w:rsidR="00B0467B" w:rsidRPr="00B94997" w:rsidRDefault="00B0467B" w:rsidP="00B94997">
            <w:pPr>
              <w:pStyle w:val="TableBodyCellLeft"/>
            </w:pPr>
            <w:r w:rsidRPr="00B94997">
              <w:t>IMF</w:t>
            </w:r>
          </w:p>
        </w:tc>
        <w:tc>
          <w:tcPr>
            <w:tcW w:w="3750" w:type="pct"/>
            <w:vAlign w:val="center"/>
          </w:tcPr>
          <w:p w14:paraId="7B863960"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International Monetary Fund</w:t>
            </w:r>
          </w:p>
        </w:tc>
      </w:tr>
      <w:tr w:rsidR="00B0467B" w:rsidRPr="00205936" w14:paraId="43234E11"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1F4C531A" w14:textId="77777777" w:rsidR="00B0467B" w:rsidRPr="00B94997" w:rsidRDefault="00B0467B" w:rsidP="00B94997">
            <w:pPr>
              <w:pStyle w:val="TableBodyCellLeft"/>
            </w:pPr>
            <w:r w:rsidRPr="00B94997">
              <w:t>KC</w:t>
            </w:r>
          </w:p>
        </w:tc>
        <w:tc>
          <w:tcPr>
            <w:tcW w:w="3750" w:type="pct"/>
            <w:vAlign w:val="center"/>
          </w:tcPr>
          <w:p w14:paraId="4E1CD4FA"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King’s Counsel</w:t>
            </w:r>
          </w:p>
        </w:tc>
      </w:tr>
      <w:tr w:rsidR="00B0467B" w:rsidRPr="00205936" w14:paraId="5111590F"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3C76B473" w14:textId="77777777" w:rsidR="00B0467B" w:rsidRPr="00B94997" w:rsidRDefault="00B0467B" w:rsidP="00B94997">
            <w:pPr>
              <w:pStyle w:val="TableBodyCellLeft"/>
            </w:pPr>
            <w:r w:rsidRPr="00B94997">
              <w:t>MP</w:t>
            </w:r>
          </w:p>
        </w:tc>
        <w:tc>
          <w:tcPr>
            <w:tcW w:w="3750" w:type="pct"/>
            <w:vAlign w:val="center"/>
          </w:tcPr>
          <w:p w14:paraId="30F56430"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Member of Parliament</w:t>
            </w:r>
          </w:p>
        </w:tc>
      </w:tr>
      <w:tr w:rsidR="00B0467B" w:rsidRPr="00205936" w14:paraId="47BA8F28"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21926333" w14:textId="77777777" w:rsidR="00B0467B" w:rsidRPr="00B94997" w:rsidRDefault="00B0467B" w:rsidP="00B94997">
            <w:pPr>
              <w:pStyle w:val="TableBodyCellLeft"/>
            </w:pPr>
            <w:r w:rsidRPr="00B94997">
              <w:t>NSW</w:t>
            </w:r>
          </w:p>
        </w:tc>
        <w:tc>
          <w:tcPr>
            <w:tcW w:w="3750" w:type="pct"/>
            <w:vAlign w:val="center"/>
          </w:tcPr>
          <w:p w14:paraId="07F471B3"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New South Wales</w:t>
            </w:r>
          </w:p>
        </w:tc>
      </w:tr>
      <w:tr w:rsidR="00B0467B" w:rsidRPr="00205936" w14:paraId="6017B95C"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5B12D509" w14:textId="77777777" w:rsidR="00B0467B" w:rsidRPr="00B94997" w:rsidRDefault="00B0467B" w:rsidP="00B94997">
            <w:pPr>
              <w:pStyle w:val="TableBodyCellLeft"/>
            </w:pPr>
            <w:r w:rsidRPr="00B94997">
              <w:t>OECD</w:t>
            </w:r>
          </w:p>
        </w:tc>
        <w:tc>
          <w:tcPr>
            <w:tcW w:w="3750" w:type="pct"/>
            <w:vAlign w:val="center"/>
          </w:tcPr>
          <w:p w14:paraId="7C839C7F"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Organisation for Economic Co</w:t>
            </w:r>
            <w:r w:rsidRPr="00B94997">
              <w:noBreakHyphen/>
              <w:t>operation and Development</w:t>
            </w:r>
          </w:p>
        </w:tc>
      </w:tr>
      <w:tr w:rsidR="00B0467B" w:rsidRPr="00205936" w14:paraId="2CC28AAB"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092ED6C4" w14:textId="77777777" w:rsidR="00B0467B" w:rsidRPr="00B94997" w:rsidRDefault="00B0467B" w:rsidP="00B94997">
            <w:pPr>
              <w:pStyle w:val="TableBodyCellLeft"/>
            </w:pPr>
            <w:r w:rsidRPr="00B94997">
              <w:t>OPC</w:t>
            </w:r>
          </w:p>
        </w:tc>
        <w:tc>
          <w:tcPr>
            <w:tcW w:w="3750" w:type="pct"/>
            <w:vAlign w:val="center"/>
          </w:tcPr>
          <w:p w14:paraId="64F1D699"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Office of Parliamentary Counsel</w:t>
            </w:r>
          </w:p>
        </w:tc>
      </w:tr>
      <w:tr w:rsidR="00B0467B" w:rsidRPr="00205936" w14:paraId="1D1824E8"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3E4E88DB" w14:textId="77777777" w:rsidR="00B0467B" w:rsidRPr="00B94997" w:rsidRDefault="00B0467B" w:rsidP="00B94997">
            <w:pPr>
              <w:pStyle w:val="TableBodyCellLeft"/>
            </w:pPr>
            <w:r w:rsidRPr="00B94997">
              <w:t>PSM</w:t>
            </w:r>
          </w:p>
        </w:tc>
        <w:tc>
          <w:tcPr>
            <w:tcW w:w="3750" w:type="pct"/>
            <w:vAlign w:val="center"/>
          </w:tcPr>
          <w:p w14:paraId="65E4FF04"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Public Service Medal</w:t>
            </w:r>
          </w:p>
        </w:tc>
      </w:tr>
      <w:tr w:rsidR="00B0467B" w:rsidRPr="00205936" w14:paraId="20025A9B"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424C93B3" w14:textId="77777777" w:rsidR="00B0467B" w:rsidRPr="00B94997" w:rsidRDefault="00B0467B" w:rsidP="00B94997">
            <w:pPr>
              <w:pStyle w:val="TableBodyCellLeft"/>
            </w:pPr>
            <w:r w:rsidRPr="00B94997">
              <w:t>RTRR</w:t>
            </w:r>
          </w:p>
        </w:tc>
        <w:tc>
          <w:tcPr>
            <w:tcW w:w="3750" w:type="pct"/>
            <w:vAlign w:val="center"/>
          </w:tcPr>
          <w:p w14:paraId="0ECB1571"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Red Tape Reduction Review</w:t>
            </w:r>
          </w:p>
        </w:tc>
      </w:tr>
      <w:tr w:rsidR="00B0467B" w:rsidRPr="00205936" w14:paraId="2F0F83B1"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155ABBE3" w14:textId="77777777" w:rsidR="00B0467B" w:rsidRPr="00B94997" w:rsidRDefault="00B0467B" w:rsidP="00B94997">
            <w:pPr>
              <w:pStyle w:val="TableBodyCellLeft"/>
            </w:pPr>
            <w:r w:rsidRPr="00B94997">
              <w:t>S&amp;TC</w:t>
            </w:r>
          </w:p>
        </w:tc>
        <w:tc>
          <w:tcPr>
            <w:tcW w:w="3750" w:type="pct"/>
            <w:vAlign w:val="center"/>
          </w:tcPr>
          <w:p w14:paraId="54E6A331"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Secretary and Tax Counsel</w:t>
            </w:r>
          </w:p>
        </w:tc>
      </w:tr>
      <w:tr w:rsidR="00B0467B" w:rsidRPr="00205936" w14:paraId="61038000" w14:textId="77777777" w:rsidTr="00BF5577">
        <w:trPr>
          <w:trHeight w:val="289"/>
        </w:trPr>
        <w:tc>
          <w:tcPr>
            <w:cnfStyle w:val="001000000000" w:firstRow="0" w:lastRow="0" w:firstColumn="1" w:lastColumn="0" w:oddVBand="0" w:evenVBand="0" w:oddHBand="0" w:evenHBand="0" w:firstRowFirstColumn="0" w:firstRowLastColumn="0" w:lastRowFirstColumn="0" w:lastRowLastColumn="0"/>
            <w:tcW w:w="1250" w:type="pct"/>
            <w:tcBorders>
              <w:right w:val="none" w:sz="0" w:space="0" w:color="auto"/>
            </w:tcBorders>
            <w:shd w:val="clear" w:color="auto" w:fill="F6F2ED" w:themeFill="accent3" w:themeFillTint="33"/>
            <w:vAlign w:val="center"/>
          </w:tcPr>
          <w:p w14:paraId="013BDE91" w14:textId="77777777" w:rsidR="00B0467B" w:rsidRPr="00B94997" w:rsidRDefault="00B0467B" w:rsidP="00B94997">
            <w:pPr>
              <w:pStyle w:val="TableBodyCellLeft"/>
            </w:pPr>
            <w:r w:rsidRPr="00B94997">
              <w:t>VTTC</w:t>
            </w:r>
          </w:p>
        </w:tc>
        <w:tc>
          <w:tcPr>
            <w:tcW w:w="3750" w:type="pct"/>
            <w:vAlign w:val="center"/>
          </w:tcPr>
          <w:p w14:paraId="70D61C2B" w14:textId="77777777" w:rsidR="00B0467B" w:rsidRPr="00B94997" w:rsidRDefault="00B0467B" w:rsidP="00B94997">
            <w:pPr>
              <w:pStyle w:val="TableBodyCellLeft"/>
              <w:cnfStyle w:val="000000000000" w:firstRow="0" w:lastRow="0" w:firstColumn="0" w:lastColumn="0" w:oddVBand="0" w:evenVBand="0" w:oddHBand="0" w:evenHBand="0" w:firstRowFirstColumn="0" w:firstRowLastColumn="0" w:lastRowFirstColumn="0" w:lastRowLastColumn="0"/>
            </w:pPr>
            <w:r w:rsidRPr="00B94997">
              <w:t>Voluntary Tax Transparency Code</w:t>
            </w:r>
          </w:p>
        </w:tc>
      </w:tr>
    </w:tbl>
    <w:p w14:paraId="06C5679F" w14:textId="665BA357" w:rsidR="00036758" w:rsidRPr="006F27B9" w:rsidRDefault="00036758" w:rsidP="009B6C24"/>
    <w:sectPr w:rsidR="00036758" w:rsidRPr="006F27B9" w:rsidSect="000F784E">
      <w:type w:val="continuous"/>
      <w:pgSz w:w="11909" w:h="16834" w:code="9"/>
      <w:pgMar w:top="1985" w:right="1134" w:bottom="1985"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967C" w14:textId="77777777" w:rsidR="00631FAD" w:rsidRDefault="00631FAD">
      <w:r>
        <w:separator/>
      </w:r>
    </w:p>
  </w:endnote>
  <w:endnote w:type="continuationSeparator" w:id="0">
    <w:p w14:paraId="65E614E9" w14:textId="77777777" w:rsidR="00631FAD" w:rsidRDefault="00631FAD">
      <w:r>
        <w:continuationSeparator/>
      </w:r>
    </w:p>
  </w:endnote>
  <w:endnote w:type="continuationNotice" w:id="1">
    <w:p w14:paraId="5E6E1E09" w14:textId="77777777" w:rsidR="00631FAD" w:rsidRDefault="00631F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0A96" w14:textId="1B36F44F" w:rsidR="00D23941" w:rsidRDefault="001D6A8A" w:rsidP="00411947">
    <w:pPr>
      <w:pStyle w:val="FooterEven"/>
      <w:rPr>
        <w:noProof/>
      </w:rPr>
    </w:pPr>
    <w:r w:rsidRPr="001D6A8A">
      <w:t>Page</w:t>
    </w:r>
    <w:r>
      <w:t xml:space="preserve"> </w:t>
    </w:r>
    <w:r>
      <w:fldChar w:fldCharType="begin"/>
    </w:r>
    <w:r>
      <w:instrText xml:space="preserve"> PAGE  \* Arabic  \* MERGEFORMAT </w:instrText>
    </w:r>
    <w:r>
      <w:fldChar w:fldCharType="separate"/>
    </w:r>
    <w:r>
      <w:rPr>
        <w:noProof/>
      </w:rPr>
      <w:t>2</w:t>
    </w:r>
    <w:r>
      <w:rPr>
        <w:noProof/>
      </w:rPr>
      <w:fldChar w:fldCharType="end"/>
    </w:r>
    <w:r>
      <w:rPr>
        <w:noProof/>
      </w:rPr>
      <w:tab/>
    </w:r>
    <w:fldSimple w:instr="STYLEREF  &quot;Heading 1&quot;  \* MERGEFORMAT">
      <w:r w:rsidR="002F45FB">
        <w:rPr>
          <w:noProof/>
        </w:rPr>
        <w:t>2025–26 Board overview</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21D9" w14:textId="77777777" w:rsidR="001D6A8A" w:rsidRDefault="001D6A8A" w:rsidP="005E0DC1">
    <w:pPr>
      <w:pStyle w:val="FooterOdd"/>
    </w:pPr>
    <w:r w:rsidRPr="00912467">
      <w:t>Page</w:t>
    </w:r>
    <w:r>
      <w:t xml:space="preserve"> </w:t>
    </w:r>
    <w:r>
      <w:fldChar w:fldCharType="begin"/>
    </w:r>
    <w:r>
      <w:instrText xml:space="preserve"> PAGE  \* Arabic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F124" w14:textId="0DB77428" w:rsidR="007B6388" w:rsidRDefault="007B6388" w:rsidP="00411947">
    <w:pPr>
      <w:pStyle w:val="FooterOdd"/>
    </w:pPr>
    <w:r>
      <w:tab/>
      <w:t xml:space="preserve">Page </w:t>
    </w:r>
    <w:r w:rsidR="007859FC">
      <w:fldChar w:fldCharType="begin"/>
    </w:r>
    <w:r w:rsidR="007859FC">
      <w:instrText xml:space="preserve"> PAGE  \* roman  \* MERGEFORMAT </w:instrText>
    </w:r>
    <w:r w:rsidR="007859FC">
      <w:fldChar w:fldCharType="separate"/>
    </w:r>
    <w:r w:rsidR="007859FC">
      <w:rPr>
        <w:noProof/>
      </w:rPr>
      <w:t>iv</w:t>
    </w:r>
    <w:r w:rsidR="007859F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19C8A" w14:textId="383CFEBC" w:rsidR="007859FC" w:rsidRDefault="001C19D4" w:rsidP="00411947">
    <w:pPr>
      <w:pStyle w:val="FooterOdd"/>
    </w:pPr>
    <w:fldSimple w:instr="STYLEREF  &quot;Heading 1&quot;  \* MERGEFORMAT">
      <w:r w:rsidR="004B39ED">
        <w:rPr>
          <w:noProof/>
        </w:rPr>
        <w:t>2025–26 Board overview</w:t>
      </w:r>
    </w:fldSimple>
    <w:r w:rsidR="007859FC">
      <w:tab/>
      <w:t xml:space="preserve">Page </w:t>
    </w:r>
    <w:r w:rsidR="007859FC">
      <w:fldChar w:fldCharType="begin"/>
    </w:r>
    <w:r w:rsidR="007859FC">
      <w:instrText xml:space="preserve"> PAGE   \* MERGEFORMAT </w:instrText>
    </w:r>
    <w:r w:rsidR="007859FC">
      <w:fldChar w:fldCharType="separate"/>
    </w:r>
    <w:r w:rsidR="007859FC">
      <w:t>14</w:t>
    </w:r>
    <w:r w:rsidR="007859FC">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7591" w14:textId="64EDB514" w:rsidR="000B0F1B" w:rsidRDefault="001C19D4" w:rsidP="00411947">
    <w:pPr>
      <w:pStyle w:val="FooterOdd"/>
    </w:pPr>
    <w:fldSimple w:instr="STYLEREF  &quot;Heading 1&quot;  \* MERGEFORMAT">
      <w:r w:rsidR="004B39ED">
        <w:rPr>
          <w:noProof/>
        </w:rPr>
        <w:t>Message from the Chair</w:t>
      </w:r>
    </w:fldSimple>
    <w:r w:rsidR="000B0F1B">
      <w:tab/>
      <w:t xml:space="preserve">Page </w:t>
    </w:r>
    <w:r w:rsidR="000B0F1B">
      <w:fldChar w:fldCharType="begin"/>
    </w:r>
    <w:r w:rsidR="000B0F1B">
      <w:instrText xml:space="preserve"> PAGE   \* MERGEFORMAT </w:instrText>
    </w:r>
    <w:r w:rsidR="000B0F1B">
      <w:fldChar w:fldCharType="separate"/>
    </w:r>
    <w:r w:rsidR="000B0F1B">
      <w:t>14</w:t>
    </w:r>
    <w:r w:rsidR="000B0F1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3A71" w14:textId="3F3382BD" w:rsidR="000B0F1B" w:rsidRDefault="00BF5577" w:rsidP="0063139E">
    <w:pPr>
      <w:pStyle w:val="FooterOdd"/>
    </w:pPr>
    <w:fldSimple w:instr="STYLEREF  &quot;Heading 1&quot;  \* MERGEFORMAT">
      <w:r w:rsidR="004B39ED">
        <w:rPr>
          <w:noProof/>
        </w:rPr>
        <w:t>Glossary of terms</w:t>
      </w:r>
    </w:fldSimple>
    <w:r w:rsidR="000B0F1B">
      <w:tab/>
      <w:t xml:space="preserve">Page </w:t>
    </w:r>
    <w:r w:rsidR="000B0F1B">
      <w:fldChar w:fldCharType="begin"/>
    </w:r>
    <w:r w:rsidR="000B0F1B">
      <w:instrText xml:space="preserve"> PAGE   \* MERGEFORMAT </w:instrText>
    </w:r>
    <w:r w:rsidR="000B0F1B">
      <w:fldChar w:fldCharType="separate"/>
    </w:r>
    <w:r w:rsidR="000B0F1B">
      <w:t>14</w:t>
    </w:r>
    <w:r w:rsidR="000B0F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AAF6" w14:textId="77777777" w:rsidR="00631FAD" w:rsidRDefault="00631FAD" w:rsidP="00B94997">
      <w:pPr>
        <w:spacing w:after="60"/>
      </w:pPr>
      <w:r>
        <w:separator/>
      </w:r>
    </w:p>
  </w:footnote>
  <w:footnote w:type="continuationSeparator" w:id="0">
    <w:p w14:paraId="2B1B1B7A" w14:textId="77777777" w:rsidR="00631FAD" w:rsidRDefault="00631FAD">
      <w:r>
        <w:continuationSeparator/>
      </w:r>
    </w:p>
  </w:footnote>
  <w:footnote w:type="continuationNotice" w:id="1">
    <w:p w14:paraId="10F0EE3F" w14:textId="77777777" w:rsidR="00631FAD" w:rsidRDefault="00631FAD">
      <w:pPr>
        <w:spacing w:before="0" w:after="0"/>
      </w:pPr>
    </w:p>
  </w:footnote>
  <w:footnote w:id="2">
    <w:p w14:paraId="260933FE" w14:textId="77777777" w:rsidR="00F94975" w:rsidRPr="00704EE1" w:rsidRDefault="00F94975" w:rsidP="00F94975">
      <w:pPr>
        <w:pStyle w:val="FootnoteText"/>
      </w:pPr>
      <w:r w:rsidRPr="00205936">
        <w:rPr>
          <w:rStyle w:val="FootnoteReference"/>
          <w:sz w:val="18"/>
          <w:szCs w:val="18"/>
          <w:vertAlign w:val="baseline"/>
        </w:rPr>
        <w:footnoteRef/>
      </w:r>
      <w:r w:rsidRPr="00704EE1">
        <w:t xml:space="preserve"> </w:t>
      </w:r>
      <w:r w:rsidRPr="00704EE1">
        <w:tab/>
        <w:t xml:space="preserve">The Board had </w:t>
      </w:r>
      <w:r>
        <w:t>8</w:t>
      </w:r>
      <w:r w:rsidRPr="00704EE1">
        <w:t xml:space="preserve"> members during the period </w:t>
      </w:r>
      <w:r>
        <w:t xml:space="preserve">from 1 July 2025 to 30 September 2025 when Dr Julianne Jaques KC, Acting Chair, term ended. From 1 October </w:t>
      </w:r>
      <w:r w:rsidRPr="007859FC">
        <w:t>2025</w:t>
      </w:r>
      <w:r>
        <w:t xml:space="preserve"> to 31 March 2026, Mr Andrew Mills was Acting Chair and there were 7 Board members. From 1 April </w:t>
      </w:r>
      <w:r w:rsidRPr="0063139E">
        <w:t>2026</w:t>
      </w:r>
      <w:r>
        <w:t>, when Hon David Bradbury was appointed as Chair, to 30 June 2026, there were 8 B</w:t>
      </w:r>
      <w:r w:rsidRPr="00704EE1">
        <w:t>oard member</w:t>
      </w:r>
      <w:r>
        <w:t>s.</w:t>
      </w:r>
    </w:p>
  </w:footnote>
  <w:footnote w:id="3">
    <w:p w14:paraId="15A6B1D8" w14:textId="3C4C7C4F" w:rsidR="002F3E00" w:rsidRPr="005B4FC0" w:rsidRDefault="00205936" w:rsidP="007859FC">
      <w:pPr>
        <w:pStyle w:val="FootnoteText"/>
      </w:pPr>
      <w:r w:rsidRPr="00205936">
        <w:rPr>
          <w:rStyle w:val="FootnoteReference"/>
          <w:sz w:val="18"/>
          <w:szCs w:val="18"/>
          <w:vertAlign w:val="baseline"/>
        </w:rPr>
        <w:footnoteRef/>
      </w:r>
      <w:r w:rsidR="002F3E00" w:rsidRPr="003E4A03">
        <w:rPr>
          <w:rStyle w:val="FootnoteReference"/>
          <w:sz w:val="18"/>
          <w:szCs w:val="18"/>
          <w:vertAlign w:val="baseline"/>
        </w:rPr>
        <w:t xml:space="preserve"> </w:t>
      </w:r>
      <w:r w:rsidR="005B4FC0" w:rsidRPr="003E4A03">
        <w:rPr>
          <w:rStyle w:val="FootnoteReference"/>
          <w:sz w:val="18"/>
          <w:szCs w:val="18"/>
          <w:vertAlign w:val="baseline"/>
        </w:rPr>
        <w:tab/>
      </w:r>
      <w:r w:rsidR="002F3E00" w:rsidRPr="003E4A03">
        <w:rPr>
          <w:rStyle w:val="FootnoteReference"/>
          <w:sz w:val="18"/>
          <w:szCs w:val="18"/>
          <w:vertAlign w:val="baseline"/>
        </w:rPr>
        <w:t xml:space="preserve">Sounding </w:t>
      </w:r>
      <w:r w:rsidR="002F3E00" w:rsidRPr="007859FC">
        <w:rPr>
          <w:rStyle w:val="FootnoteReference"/>
          <w:sz w:val="18"/>
          <w:szCs w:val="18"/>
          <w:vertAlign w:val="baseline"/>
        </w:rPr>
        <w:t>Board</w:t>
      </w:r>
      <w:r w:rsidR="002F3E00" w:rsidRPr="003E4A03">
        <w:rPr>
          <w:rStyle w:val="FootnoteReference"/>
          <w:sz w:val="18"/>
          <w:szCs w:val="18"/>
          <w:vertAlign w:val="baseline"/>
        </w:rPr>
        <w:t xml:space="preserve"> + website: </w:t>
      </w:r>
      <w:hyperlink r:id="rId1" w:history="1">
        <w:r w:rsidR="00237A87" w:rsidRPr="00342056">
          <w:rPr>
            <w:rStyle w:val="Hyperlink"/>
          </w:rPr>
          <w:t>https://taxboard.gov.au/sounding-board-plus</w:t>
        </w:r>
      </w:hyperlink>
    </w:p>
  </w:footnote>
  <w:footnote w:id="4">
    <w:p w14:paraId="592AFC06" w14:textId="20751868" w:rsidR="00860C7C" w:rsidRDefault="00205936" w:rsidP="007859FC">
      <w:pPr>
        <w:pStyle w:val="FootnoteText"/>
      </w:pPr>
      <w:r w:rsidRPr="00205936">
        <w:rPr>
          <w:rStyle w:val="FootnoteReference"/>
          <w:vertAlign w:val="baseline"/>
        </w:rPr>
        <w:footnoteRef/>
      </w:r>
      <w:r w:rsidR="00860C7C">
        <w:t xml:space="preserve"> </w:t>
      </w:r>
      <w:r w:rsidR="00464518">
        <w:tab/>
      </w:r>
      <w:r w:rsidR="00860C7C">
        <w:t xml:space="preserve">The Economic </w:t>
      </w:r>
      <w:r w:rsidR="00655883">
        <w:t xml:space="preserve">Reform Roundtable </w:t>
      </w:r>
      <w:r w:rsidR="0039219F">
        <w:t xml:space="preserve">(ERR) </w:t>
      </w:r>
      <w:r w:rsidR="00045522">
        <w:t>was led by the Treasurer and supported by other key ministers</w:t>
      </w:r>
      <w:r w:rsidR="00C36B10">
        <w:t>. It focused on lifting</w:t>
      </w:r>
      <w:r w:rsidR="007859FC">
        <w:t> </w:t>
      </w:r>
      <w:r w:rsidR="00C36B10">
        <w:t xml:space="preserve">living standards for Australians by looking at </w:t>
      </w:r>
      <w:r w:rsidR="00074808">
        <w:t>3</w:t>
      </w:r>
      <w:r w:rsidR="00C36B10">
        <w:t xml:space="preserve"> main themes: making our economy more productive; building resilience in</w:t>
      </w:r>
      <w:r w:rsidR="007859FC">
        <w:t> </w:t>
      </w:r>
      <w:r w:rsidR="00C36B10">
        <w:t xml:space="preserve">the face of global uncertainty; </w:t>
      </w:r>
      <w:r w:rsidR="0039219F">
        <w:t xml:space="preserve">strengthening the budget and making it more sustainable. The ERR </w:t>
      </w:r>
      <w:r w:rsidR="00DC77C8">
        <w:t>was held between 19</w:t>
      </w:r>
      <w:r w:rsidR="007859FC">
        <w:t> </w:t>
      </w:r>
      <w:r w:rsidR="00DC77C8">
        <w:t>to</w:t>
      </w:r>
      <w:r w:rsidR="007859FC">
        <w:t> </w:t>
      </w:r>
      <w:r w:rsidR="00DC77C8">
        <w:t>21</w:t>
      </w:r>
      <w:r w:rsidR="007859FC">
        <w:t> </w:t>
      </w:r>
      <w:r w:rsidR="00DC77C8">
        <w:t xml:space="preserve">August 2025 </w:t>
      </w:r>
      <w:r w:rsidR="00363059">
        <w:t xml:space="preserve">at </w:t>
      </w:r>
      <w:r w:rsidR="00363059" w:rsidRPr="007859FC">
        <w:t>Parliament</w:t>
      </w:r>
      <w:r w:rsidR="00363059">
        <w:t xml:space="preserve"> House, Canberra and </w:t>
      </w:r>
      <w:r w:rsidR="003C1C26">
        <w:t xml:space="preserve">brought together a mix of </w:t>
      </w:r>
      <w:r w:rsidR="004E6E01">
        <w:t>leaders from business, unions, civil society, government and other experts</w:t>
      </w:r>
      <w:r w:rsidR="00363059">
        <w:t xml:space="preserve">. Attendance was by invitation only. More information can be found </w:t>
      </w:r>
      <w:r w:rsidR="00586F03">
        <w:t xml:space="preserve">on the </w:t>
      </w:r>
      <w:hyperlink r:id="rId2" w:history="1">
        <w:r w:rsidR="00586F03" w:rsidRPr="00586F03">
          <w:rPr>
            <w:rStyle w:val="Hyperlink"/>
          </w:rPr>
          <w:t>Treasury website</w:t>
        </w:r>
      </w:hyperlink>
      <w:r w:rsidR="00586F03">
        <w:t xml:space="preserve">. </w:t>
      </w:r>
    </w:p>
  </w:footnote>
  <w:footnote w:id="5">
    <w:p w14:paraId="0D7420D2" w14:textId="71DE174A" w:rsidR="00990537" w:rsidRPr="0096043B" w:rsidRDefault="00205936" w:rsidP="007859FC">
      <w:pPr>
        <w:pStyle w:val="FootnoteText"/>
      </w:pPr>
      <w:r w:rsidRPr="00205936">
        <w:footnoteRef/>
      </w:r>
      <w:r w:rsidR="0096043B" w:rsidRPr="005B4FC0">
        <w:tab/>
      </w:r>
      <w:r w:rsidR="00FC1B00">
        <w:t>‘</w:t>
      </w:r>
      <w:hyperlink r:id="rId3" w:history="1">
        <w:r w:rsidR="00D53EEB" w:rsidRPr="005B4FC0">
          <w:t xml:space="preserve">Voluntary Tax Transparency </w:t>
        </w:r>
        <w:r w:rsidR="00D53EEB" w:rsidRPr="007859FC">
          <w:t>Code</w:t>
        </w:r>
      </w:hyperlink>
      <w:r w:rsidR="007859FC">
        <w:t>’</w:t>
      </w:r>
      <w:r w:rsidR="009F3B91" w:rsidRPr="0096043B">
        <w:t>, Australian Government data.gov.au (Web Page, online 30 June 202</w:t>
      </w:r>
      <w:r w:rsidR="00FF4BB6">
        <w:t>6</w:t>
      </w:r>
      <w:r w:rsidR="009F3B91" w:rsidRPr="0096043B">
        <w:t>)</w:t>
      </w:r>
      <w:r w:rsidR="00A51417" w:rsidRPr="0096043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894E" w14:textId="32DCCD9F" w:rsidR="001D6A8A" w:rsidRDefault="001D6A8A">
    <w:pPr>
      <w:framePr w:wrap="around" w:hAnchor="page" w:x="14460" w:yAlign="top" w:anchorLock="1"/>
      <w:textDirection w:val="tbRl"/>
      <w:rPr>
        <w:rStyle w:val="FramedHeader"/>
      </w:rPr>
    </w:pPr>
    <w:r>
      <w:rPr>
        <w:rStyle w:val="FramedHeader"/>
      </w:rPr>
      <w:t>Publication Title</w:t>
    </w:r>
  </w:p>
  <w:p w14:paraId="78EA1B65" w14:textId="27A3906E" w:rsidR="001D6A8A" w:rsidRPr="005E0DC1" w:rsidRDefault="002F45FB" w:rsidP="0067738D">
    <w:pPr>
      <w:pStyle w:val="HeaderEven"/>
    </w:pPr>
    <w:fldSimple w:instr="STYLEREF  &quot;Cover Title Main&quot;  \* MERGEFORMAT">
      <w:r>
        <w:rPr>
          <w:noProof/>
        </w:rPr>
        <w:t>Annual Report 2025–26</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B1B6" w14:textId="054E3F0B" w:rsidR="007B6388" w:rsidRPr="00464518" w:rsidRDefault="007B6388" w:rsidP="00464518">
    <w:pPr>
      <w:pStyle w:val="HeaderOdd"/>
    </w:pPr>
    <w:r w:rsidRPr="005E0DC1">
      <w:rPr>
        <w:noProof/>
      </w:rPr>
      <w:drawing>
        <wp:anchor distT="0" distB="0" distL="114300" distR="114300" simplePos="0" relativeHeight="251660288" behindDoc="1" locked="1" layoutInCell="1" allowOverlap="1" wp14:anchorId="3C114372" wp14:editId="70EFAE38">
          <wp:simplePos x="0" y="0"/>
          <wp:positionH relativeFrom="page">
            <wp:align>center</wp:align>
          </wp:positionH>
          <wp:positionV relativeFrom="page">
            <wp:align>top</wp:align>
          </wp:positionV>
          <wp:extent cx="7560000" cy="1260000"/>
          <wp:effectExtent l="0" t="0" r="0" b="0"/>
          <wp:wrapNone/>
          <wp:docPr id="1759065637" name="Picture 1759065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65637" name="Picture 17590656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fldSimple w:instr="STYLEREF  &quot;Cover Title Main&quot;  \* MERGEFORMAT">
      <w:r w:rsidR="004B39ED">
        <w:rPr>
          <w:noProof/>
        </w:rPr>
        <w:t>Annual Report 2025–26</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EAA9" w14:textId="6E1012ED" w:rsidR="000B0F1B" w:rsidRPr="00464518" w:rsidRDefault="007004CB" w:rsidP="00464518">
    <w:pPr>
      <w:pStyle w:val="HeaderOdd"/>
    </w:pPr>
    <w:r>
      <w:rPr>
        <w:noProof/>
        <w14:numForm w14:val="default"/>
        <w14:numSpacing w14:val="default"/>
      </w:rPr>
      <mc:AlternateContent>
        <mc:Choice Requires="wps">
          <w:drawing>
            <wp:anchor distT="0" distB="0" distL="114300" distR="114300" simplePos="0" relativeHeight="251664384" behindDoc="1" locked="0" layoutInCell="1" allowOverlap="1" wp14:anchorId="5178014B" wp14:editId="29573B0A">
              <wp:simplePos x="0" y="0"/>
              <wp:positionH relativeFrom="page">
                <wp:posOffset>-3810</wp:posOffset>
              </wp:positionH>
              <wp:positionV relativeFrom="page">
                <wp:posOffset>-6350</wp:posOffset>
              </wp:positionV>
              <wp:extent cx="7560000" cy="10692000"/>
              <wp:effectExtent l="0" t="0" r="3175" b="0"/>
              <wp:wrapNone/>
              <wp:docPr id="13820107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FBD4D" id="Rectangle 2" o:spid="_x0000_s1026" alt="&quot;&quot;" style="position:absolute;margin-left:-.3pt;margin-top:-.5pt;width:595.3pt;height:841.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" fillcolor="#f6f2ed [662]" stroked="f" strokeweight="1pt">
              <w10:wrap anchorx="page" anchory="page"/>
            </v:rect>
          </w:pict>
        </mc:Fallback>
      </mc:AlternateContent>
    </w:r>
    <w:r w:rsidRPr="005E0DC1">
      <w:rPr>
        <w:noProof/>
      </w:rPr>
      <w:drawing>
        <wp:anchor distT="0" distB="0" distL="114300" distR="114300" simplePos="0" relativeHeight="251665408" behindDoc="1" locked="1" layoutInCell="1" allowOverlap="1" wp14:anchorId="56D6CEA7" wp14:editId="0DE58FE7">
          <wp:simplePos x="0" y="0"/>
          <wp:positionH relativeFrom="page">
            <wp:align>center</wp:align>
          </wp:positionH>
          <wp:positionV relativeFrom="page">
            <wp:align>top</wp:align>
          </wp:positionV>
          <wp:extent cx="7560000" cy="1260000"/>
          <wp:effectExtent l="0" t="0" r="0" b="0"/>
          <wp:wrapNone/>
          <wp:docPr id="2016188339" name="Picture 2016188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88339" name="Picture 20161883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fldSimple w:instr="STYLEREF  &quot;Cover Title Main&quot;  \* MERGEFORMAT">
      <w:r w:rsidR="004B39ED">
        <w:rPr>
          <w:noProof/>
        </w:rPr>
        <w:t>Annual Report 2025–26</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6606" w14:textId="719988F0" w:rsidR="000B0F1B" w:rsidRPr="00464518" w:rsidRDefault="000B0F1B" w:rsidP="00464518">
    <w:pPr>
      <w:pStyle w:val="HeaderOdd"/>
    </w:pPr>
    <w:r w:rsidRPr="005E0DC1">
      <w:rPr>
        <w:noProof/>
      </w:rPr>
      <w:drawing>
        <wp:anchor distT="0" distB="0" distL="114300" distR="114300" simplePos="0" relativeHeight="251662336" behindDoc="1" locked="1" layoutInCell="1" allowOverlap="1" wp14:anchorId="68C0BB96" wp14:editId="4BEEDB96">
          <wp:simplePos x="0" y="0"/>
          <wp:positionH relativeFrom="page">
            <wp:align>center</wp:align>
          </wp:positionH>
          <wp:positionV relativeFrom="page">
            <wp:align>top</wp:align>
          </wp:positionV>
          <wp:extent cx="7560000" cy="1260000"/>
          <wp:effectExtent l="0" t="0" r="0" b="0"/>
          <wp:wrapNone/>
          <wp:docPr id="1720839263" name="Picture 1720839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07532" name="Picture 28850753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fldSimple w:instr="STYLEREF  &quot;Cover Title Main&quot;  \* MERGEFORMAT">
      <w:r w:rsidR="004B39ED">
        <w:rPr>
          <w:noProof/>
        </w:rPr>
        <w:t>Annual Report 2025–26</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4684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DE3A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A042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F66FB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B0D0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1877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44CD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86FE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7459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8045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9166A"/>
    <w:multiLevelType w:val="hybridMultilevel"/>
    <w:tmpl w:val="D130CD4A"/>
    <w:lvl w:ilvl="0" w:tplc="2698FD20">
      <w:start w:val="1"/>
      <w:numFmt w:val="bullet"/>
      <w:pStyle w:val="TableBullet"/>
      <w:lvlText w:val=""/>
      <w:lvlJc w:val="left"/>
      <w:pPr>
        <w:ind w:left="530" w:hanging="360"/>
      </w:pPr>
      <w:rPr>
        <w:rFonts w:ascii="Symbol" w:hAnsi="Symbol" w:hint="default"/>
        <w:sz w:val="16"/>
      </w:rPr>
    </w:lvl>
    <w:lvl w:ilvl="1" w:tplc="4BA09206">
      <w:start w:val="1"/>
      <w:numFmt w:val="bullet"/>
      <w:lvlText w:val="o"/>
      <w:lvlJc w:val="left"/>
      <w:pPr>
        <w:ind w:left="1270" w:hanging="360"/>
      </w:pPr>
      <w:rPr>
        <w:rFonts w:ascii="Courier New" w:hAnsi="Courier New" w:cs="Courier New" w:hint="default"/>
      </w:rPr>
    </w:lvl>
    <w:lvl w:ilvl="2" w:tplc="0C090005" w:tentative="1">
      <w:start w:val="1"/>
      <w:numFmt w:val="bullet"/>
      <w:lvlText w:val=""/>
      <w:lvlJc w:val="left"/>
      <w:pPr>
        <w:ind w:left="1990" w:hanging="360"/>
      </w:pPr>
      <w:rPr>
        <w:rFonts w:ascii="Wingdings" w:hAnsi="Wingdings" w:hint="default"/>
      </w:rPr>
    </w:lvl>
    <w:lvl w:ilvl="3" w:tplc="0C090001" w:tentative="1">
      <w:start w:val="1"/>
      <w:numFmt w:val="bullet"/>
      <w:lvlText w:val=""/>
      <w:lvlJc w:val="left"/>
      <w:pPr>
        <w:ind w:left="2710" w:hanging="360"/>
      </w:pPr>
      <w:rPr>
        <w:rFonts w:ascii="Symbol" w:hAnsi="Symbol" w:hint="default"/>
      </w:rPr>
    </w:lvl>
    <w:lvl w:ilvl="4" w:tplc="0C090003" w:tentative="1">
      <w:start w:val="1"/>
      <w:numFmt w:val="bullet"/>
      <w:lvlText w:val="o"/>
      <w:lvlJc w:val="left"/>
      <w:pPr>
        <w:ind w:left="3430" w:hanging="360"/>
      </w:pPr>
      <w:rPr>
        <w:rFonts w:ascii="Courier New" w:hAnsi="Courier New" w:cs="Courier New" w:hint="default"/>
      </w:rPr>
    </w:lvl>
    <w:lvl w:ilvl="5" w:tplc="0C090005" w:tentative="1">
      <w:start w:val="1"/>
      <w:numFmt w:val="bullet"/>
      <w:lvlText w:val=""/>
      <w:lvlJc w:val="left"/>
      <w:pPr>
        <w:ind w:left="4150" w:hanging="360"/>
      </w:pPr>
      <w:rPr>
        <w:rFonts w:ascii="Wingdings" w:hAnsi="Wingdings" w:hint="default"/>
      </w:rPr>
    </w:lvl>
    <w:lvl w:ilvl="6" w:tplc="0C090001" w:tentative="1">
      <w:start w:val="1"/>
      <w:numFmt w:val="bullet"/>
      <w:lvlText w:val=""/>
      <w:lvlJc w:val="left"/>
      <w:pPr>
        <w:ind w:left="4870" w:hanging="360"/>
      </w:pPr>
      <w:rPr>
        <w:rFonts w:ascii="Symbol" w:hAnsi="Symbol" w:hint="default"/>
      </w:rPr>
    </w:lvl>
    <w:lvl w:ilvl="7" w:tplc="0C090003" w:tentative="1">
      <w:start w:val="1"/>
      <w:numFmt w:val="bullet"/>
      <w:lvlText w:val="o"/>
      <w:lvlJc w:val="left"/>
      <w:pPr>
        <w:ind w:left="5590" w:hanging="360"/>
      </w:pPr>
      <w:rPr>
        <w:rFonts w:ascii="Courier New" w:hAnsi="Courier New" w:cs="Courier New" w:hint="default"/>
      </w:rPr>
    </w:lvl>
    <w:lvl w:ilvl="8" w:tplc="0C090005" w:tentative="1">
      <w:start w:val="1"/>
      <w:numFmt w:val="bullet"/>
      <w:lvlText w:val=""/>
      <w:lvlJc w:val="left"/>
      <w:pPr>
        <w:ind w:left="6310" w:hanging="360"/>
      </w:pPr>
      <w:rPr>
        <w:rFonts w:ascii="Wingdings" w:hAnsi="Wingdings" w:hint="default"/>
      </w:rPr>
    </w:lvl>
  </w:abstractNum>
  <w:abstractNum w:abstractNumId="11" w15:restartNumberingAfterBreak="0">
    <w:nsid w:val="10C21F48"/>
    <w:multiLevelType w:val="singleLevel"/>
    <w:tmpl w:val="F0B87A5C"/>
    <w:name w:val="Case study bullet List"/>
    <w:lvl w:ilvl="0">
      <w:start w:val="1"/>
      <w:numFmt w:val="bullet"/>
      <w:lvlRestart w:val="0"/>
      <w:lvlText w:val="•"/>
      <w:lvlJc w:val="left"/>
      <w:pPr>
        <w:tabs>
          <w:tab w:val="num" w:pos="283"/>
        </w:tabs>
        <w:ind w:left="283" w:hanging="283"/>
      </w:pPr>
      <w:rPr>
        <w:rFonts w:ascii="Book Antiqua" w:hAnsi="Book Antiqua"/>
        <w:b w:val="0"/>
        <w:i w:val="0"/>
        <w:color w:val="000080"/>
        <w:sz w:val="16"/>
      </w:rPr>
    </w:lvl>
  </w:abstractNum>
  <w:abstractNum w:abstractNumId="12" w15:restartNumberingAfterBreak="0">
    <w:nsid w:val="164A4E0E"/>
    <w:multiLevelType w:val="multilevel"/>
    <w:tmpl w:val="6B2272A8"/>
    <w:name w:val="BoTStandardBulletedList"/>
    <w:lvl w:ilvl="0">
      <w:start w:val="1"/>
      <w:numFmt w:val="bullet"/>
      <w:lvlRestart w:val="0"/>
      <w:lvlText w:val="•"/>
      <w:lvlJc w:val="left"/>
      <w:pPr>
        <w:tabs>
          <w:tab w:val="num" w:pos="567"/>
        </w:tabs>
        <w:ind w:left="567" w:hanging="567"/>
      </w:pPr>
      <w:rPr>
        <w:rFonts w:ascii="Times New Roman" w:hAnsi="Times New Roman" w:cs="Times New Roman"/>
        <w:b w:val="0"/>
        <w:i w:val="0"/>
      </w:rPr>
    </w:lvl>
    <w:lvl w:ilvl="1">
      <w:start w:val="1"/>
      <w:numFmt w:val="bullet"/>
      <w:lvlText w:val="–"/>
      <w:lvlJc w:val="left"/>
      <w:pPr>
        <w:tabs>
          <w:tab w:val="num" w:pos="1134"/>
        </w:tabs>
        <w:ind w:left="1134" w:hanging="567"/>
      </w:pPr>
      <w:rPr>
        <w:rFonts w:ascii="Times New Roman" w:hAnsi="Times New Roman" w:cs="Times New Roman"/>
        <w:b w:val="0"/>
        <w:i w:val="0"/>
      </w:rPr>
    </w:lvl>
    <w:lvl w:ilvl="2">
      <w:start w:val="1"/>
      <w:numFmt w:val="bullet"/>
      <w:lvlText w:val=":"/>
      <w:lvlJc w:val="left"/>
      <w:pPr>
        <w:tabs>
          <w:tab w:val="num" w:pos="1701"/>
        </w:tabs>
        <w:ind w:left="1701" w:hanging="567"/>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C960FD"/>
    <w:multiLevelType w:val="multilevel"/>
    <w:tmpl w:val="0CAC953E"/>
    <w:name w:val="OneLevelNumberedParagraphList"/>
    <w:lvl w:ilvl="0">
      <w:start w:val="1"/>
      <w:numFmt w:val="decimal"/>
      <w:lvlRestart w:val="0"/>
      <w:lvlText w:val="%1."/>
      <w:lvlJc w:val="left"/>
      <w:pPr>
        <w:tabs>
          <w:tab w:val="num" w:pos="567"/>
        </w:tabs>
        <w:ind w:left="567" w:hanging="567"/>
      </w:pPr>
      <w:rPr>
        <w:rFonts w:asciiTheme="minorHAnsi" w:hAnsiTheme="minorHAnsi" w:cs="Times New Roman" w:hint="default"/>
        <w:b w:val="0"/>
        <w:i w:val="0"/>
        <w:color w:val="000000"/>
      </w:rPr>
    </w:lvl>
    <w:lvl w:ilvl="1">
      <w:start w:val="1"/>
      <w:numFmt w:val="decimal"/>
      <w:lvlText w:val="%2"/>
      <w:lvlJc w:val="left"/>
      <w:pPr>
        <w:tabs>
          <w:tab w:val="num" w:pos="1134"/>
        </w:tabs>
        <w:ind w:left="1134" w:hanging="567"/>
      </w:pPr>
      <w:rPr>
        <w:rFonts w:ascii="Times New Roman" w:hAnsi="Times New Roman" w:cs="Times New Roman" w:hint="default"/>
        <w:b w:val="0"/>
        <w:i w:val="0"/>
        <w:color w:val="000000"/>
      </w:rPr>
    </w:lvl>
    <w:lvl w:ilvl="2">
      <w:start w:val="1"/>
      <w:numFmt w:val="decimal"/>
      <w:lvlText w:val="%3"/>
      <w:lvlJc w:val="left"/>
      <w:pPr>
        <w:tabs>
          <w:tab w:val="num" w:pos="1701"/>
        </w:tabs>
        <w:ind w:left="1701" w:hanging="567"/>
      </w:pPr>
      <w:rPr>
        <w:rFonts w:ascii="Times New Roman" w:hAnsi="Times New Roman" w:cs="Times New Roman" w:hint="default"/>
        <w:b w:val="0"/>
        <w:i w:val="0"/>
        <w:color w:val="000000"/>
      </w:rPr>
    </w:lvl>
    <w:lvl w:ilvl="3">
      <w:start w:val="1"/>
      <w:numFmt w:val="decimal"/>
      <w:lvlText w:val="%4"/>
      <w:lvlJc w:val="left"/>
      <w:pPr>
        <w:tabs>
          <w:tab w:val="num" w:pos="2268"/>
        </w:tabs>
        <w:ind w:left="2268" w:hanging="567"/>
      </w:pPr>
      <w:rPr>
        <w:rFonts w:ascii="Times New Roman" w:hAnsi="Times New Roman" w:cs="Times New Roman" w:hint="default"/>
        <w:b w:val="0"/>
        <w:i w:val="0"/>
        <w:color w:val="000000"/>
      </w:rPr>
    </w:lvl>
    <w:lvl w:ilvl="4">
      <w:start w:val="1"/>
      <w:numFmt w:val="decimal"/>
      <w:lvlText w:val="%5"/>
      <w:lvlJc w:val="left"/>
      <w:pPr>
        <w:tabs>
          <w:tab w:val="num" w:pos="2835"/>
        </w:tabs>
        <w:ind w:left="2835" w:hanging="567"/>
      </w:pPr>
      <w:rPr>
        <w:rFonts w:ascii="Times New Roman" w:hAnsi="Times New Roman" w:cs="Times New Roman" w:hint="default"/>
        <w:b w:val="0"/>
        <w:i w:val="0"/>
        <w:color w:val="000000"/>
      </w:rPr>
    </w:lvl>
    <w:lvl w:ilvl="5">
      <w:start w:val="1"/>
      <w:numFmt w:val="decimal"/>
      <w:lvlText w:val="%6"/>
      <w:lvlJc w:val="left"/>
      <w:pPr>
        <w:tabs>
          <w:tab w:val="num" w:pos="3402"/>
        </w:tabs>
        <w:ind w:left="3402" w:hanging="567"/>
      </w:pPr>
      <w:rPr>
        <w:rFonts w:ascii="Times New Roman" w:hAnsi="Times New Roman" w:cs="Times New Roman" w:hint="default"/>
        <w:b w:val="0"/>
        <w:i w:val="0"/>
        <w:color w:val="000000"/>
      </w:rPr>
    </w:lvl>
    <w:lvl w:ilvl="6">
      <w:start w:val="1"/>
      <w:numFmt w:val="decimal"/>
      <w:lvlText w:val="%7"/>
      <w:lvlJc w:val="left"/>
      <w:pPr>
        <w:tabs>
          <w:tab w:val="num" w:pos="3969"/>
        </w:tabs>
        <w:ind w:left="3969" w:hanging="567"/>
      </w:pPr>
      <w:rPr>
        <w:rFonts w:ascii="Times New Roman" w:hAnsi="Times New Roman" w:cs="Times New Roman" w:hint="default"/>
        <w:b w:val="0"/>
        <w:i w:val="0"/>
        <w:color w:val="000000"/>
      </w:rPr>
    </w:lvl>
    <w:lvl w:ilvl="7">
      <w:start w:val="1"/>
      <w:numFmt w:val="decimal"/>
      <w:lvlText w:val="%8"/>
      <w:lvlJc w:val="left"/>
      <w:pPr>
        <w:tabs>
          <w:tab w:val="num" w:pos="4536"/>
        </w:tabs>
        <w:ind w:left="4536" w:hanging="567"/>
      </w:pPr>
      <w:rPr>
        <w:rFonts w:ascii="Times New Roman" w:hAnsi="Times New Roman" w:cs="Times New Roman" w:hint="default"/>
        <w:b w:val="0"/>
        <w:i w:val="0"/>
        <w:color w:val="000000"/>
      </w:rPr>
    </w:lvl>
    <w:lvl w:ilvl="8">
      <w:start w:val="1"/>
      <w:numFmt w:val="decimal"/>
      <w:lvlText w:val="%9"/>
      <w:lvlJc w:val="left"/>
      <w:pPr>
        <w:tabs>
          <w:tab w:val="num" w:pos="5103"/>
        </w:tabs>
        <w:ind w:left="5103" w:hanging="567"/>
      </w:pPr>
      <w:rPr>
        <w:rFonts w:ascii="Times New Roman" w:hAnsi="Times New Roman" w:cs="Times New Roman" w:hint="default"/>
        <w:b w:val="0"/>
        <w:i w:val="0"/>
        <w:color w:val="000000"/>
      </w:rPr>
    </w:lvl>
  </w:abstractNum>
  <w:abstractNum w:abstractNumId="15" w15:restartNumberingAfterBreak="0">
    <w:nsid w:val="244237C5"/>
    <w:multiLevelType w:val="multilevel"/>
    <w:tmpl w:val="F0BE3518"/>
    <w:name w:val="StandardNumberedList"/>
    <w:lvl w:ilvl="0">
      <w:start w:val="1"/>
      <w:numFmt w:val="decimal"/>
      <w:lvlRestart w:val="0"/>
      <w:pStyle w:val="NumberedList1"/>
      <w:lvlText w:val="%1."/>
      <w:lvlJc w:val="left"/>
      <w:pPr>
        <w:tabs>
          <w:tab w:val="num" w:pos="567"/>
        </w:tabs>
        <w:ind w:left="567" w:hanging="567"/>
      </w:pPr>
      <w:rPr>
        <w:b w:val="0"/>
        <w:i w:val="0"/>
      </w:rPr>
    </w:lvl>
    <w:lvl w:ilvl="1">
      <w:start w:val="1"/>
      <w:numFmt w:val="decimal"/>
      <w:pStyle w:val="NumberedList11"/>
      <w:lvlText w:val="%1.%2."/>
      <w:lvlJc w:val="left"/>
      <w:pPr>
        <w:tabs>
          <w:tab w:val="num" w:pos="1134"/>
        </w:tabs>
        <w:ind w:left="1134" w:hanging="567"/>
      </w:pPr>
      <w:rPr>
        <w:b w:val="0"/>
        <w:i w:val="0"/>
      </w:rPr>
    </w:lvl>
    <w:lvl w:ilvl="2">
      <w:start w:val="1"/>
      <w:numFmt w:val="decimal"/>
      <w:pStyle w:val="NumberedList111"/>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6" w15:restartNumberingAfterBreak="0">
    <w:nsid w:val="27440C8B"/>
    <w:multiLevelType w:val="multilevel"/>
    <w:tmpl w:val="55D66E80"/>
    <w:name w:val="NewParagraphList"/>
    <w:lvl w:ilvl="0">
      <w:start w:val="1"/>
      <w:numFmt w:val="decimal"/>
      <w:lvlRestart w:val="0"/>
      <w:suff w:val="nothing"/>
      <w:lvlText w:val=""/>
      <w:lvlJc w:val="left"/>
      <w:pPr>
        <w:ind w:left="0" w:firstLine="0"/>
      </w:pPr>
      <w:rPr>
        <w:rFonts w:hint="default"/>
        <w:b w:val="0"/>
        <w:i w:val="0"/>
        <w:vanish w:val="0"/>
        <w:color w:val="000000"/>
        <w:sz w:val="2"/>
      </w:rPr>
    </w:lvl>
    <w:lvl w:ilvl="1">
      <w:start w:val="1"/>
      <w:numFmt w:val="decimal"/>
      <w:lvlText w:val="%1.%2"/>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418" w:hanging="851"/>
      </w:pPr>
      <w:rPr>
        <w:rFonts w:hint="default"/>
        <w:b w:val="0"/>
        <w:i w:val="0"/>
        <w:color w:val="000000"/>
      </w:rPr>
    </w:lvl>
    <w:lvl w:ilvl="3">
      <w:start w:val="1"/>
      <w:numFmt w:val="decimal"/>
      <w:lvlText w:val="%1.%2.%3.%4"/>
      <w:lvlJc w:val="left"/>
      <w:pPr>
        <w:tabs>
          <w:tab w:val="num" w:pos="1701"/>
        </w:tabs>
        <w:ind w:left="1701" w:hanging="283"/>
      </w:pPr>
      <w:rPr>
        <w:rFonts w:hint="default"/>
        <w:b w:val="0"/>
        <w:i w:val="0"/>
        <w:color w:val="000000"/>
      </w:rPr>
    </w:lvl>
    <w:lvl w:ilvl="4">
      <w:start w:val="1"/>
      <w:numFmt w:val="decimal"/>
      <w:lvlText w:val="%5"/>
      <w:lvlJc w:val="left"/>
      <w:pPr>
        <w:tabs>
          <w:tab w:val="num" w:pos="2835"/>
        </w:tabs>
        <w:ind w:left="2835" w:hanging="567"/>
      </w:pPr>
      <w:rPr>
        <w:rFonts w:hint="default"/>
        <w:b w:val="0"/>
        <w:i w:val="0"/>
        <w:color w:val="000000"/>
      </w:rPr>
    </w:lvl>
    <w:lvl w:ilvl="5">
      <w:start w:val="1"/>
      <w:numFmt w:val="decimal"/>
      <w:lvlText w:val="%6"/>
      <w:lvlJc w:val="left"/>
      <w:pPr>
        <w:tabs>
          <w:tab w:val="num" w:pos="3402"/>
        </w:tabs>
        <w:ind w:left="3402" w:hanging="567"/>
      </w:pPr>
      <w:rPr>
        <w:rFonts w:hint="default"/>
        <w:b w:val="0"/>
        <w:i w:val="0"/>
        <w:color w:val="000000"/>
      </w:rPr>
    </w:lvl>
    <w:lvl w:ilvl="6">
      <w:start w:val="1"/>
      <w:numFmt w:val="decimal"/>
      <w:lvlText w:val="%7"/>
      <w:lvlJc w:val="left"/>
      <w:pPr>
        <w:tabs>
          <w:tab w:val="num" w:pos="3969"/>
        </w:tabs>
        <w:ind w:left="3969" w:hanging="567"/>
      </w:pPr>
      <w:rPr>
        <w:rFonts w:hint="default"/>
        <w:b w:val="0"/>
        <w:i w:val="0"/>
        <w:color w:val="000000"/>
      </w:rPr>
    </w:lvl>
    <w:lvl w:ilvl="7">
      <w:start w:val="1"/>
      <w:numFmt w:val="decimal"/>
      <w:lvlText w:val="%8"/>
      <w:lvlJc w:val="left"/>
      <w:pPr>
        <w:tabs>
          <w:tab w:val="num" w:pos="4536"/>
        </w:tabs>
        <w:ind w:left="4536" w:hanging="567"/>
      </w:pPr>
      <w:rPr>
        <w:rFonts w:hint="default"/>
        <w:b w:val="0"/>
        <w:i w:val="0"/>
        <w:color w:val="000000"/>
      </w:rPr>
    </w:lvl>
    <w:lvl w:ilvl="8">
      <w:start w:val="1"/>
      <w:numFmt w:val="decimal"/>
      <w:lvlText w:val="%9"/>
      <w:lvlJc w:val="left"/>
      <w:pPr>
        <w:tabs>
          <w:tab w:val="num" w:pos="5103"/>
        </w:tabs>
        <w:ind w:left="5103" w:hanging="567"/>
      </w:pPr>
      <w:rPr>
        <w:rFonts w:hint="default"/>
        <w:b w:val="0"/>
        <w:i w:val="0"/>
        <w:color w:val="000000"/>
      </w:rPr>
    </w:lvl>
  </w:abstractNum>
  <w:abstractNum w:abstractNumId="17" w15:restartNumberingAfterBreak="0">
    <w:nsid w:val="2D665DFA"/>
    <w:multiLevelType w:val="singleLevel"/>
    <w:tmpl w:val="C0868FF0"/>
    <w:name w:val="RecommendationAlphaList"/>
    <w:lvl w:ilvl="0">
      <w:start w:val="1"/>
      <w:numFmt w:val="lowerLetter"/>
      <w:pStyle w:val="AlphaParagraph"/>
      <w:lvlText w:val="(%1)"/>
      <w:lvlJc w:val="left"/>
      <w:pPr>
        <w:ind w:left="360" w:hanging="360"/>
      </w:pPr>
      <w:rPr>
        <w:rFonts w:ascii="Calibri" w:hAnsi="Calibri" w:cs="Times New Roman" w:hint="default"/>
        <w:b w:val="0"/>
        <w:i w:val="0"/>
        <w:color w:val="auto"/>
        <w:sz w:val="22"/>
      </w:rPr>
    </w:lvl>
  </w:abstractNum>
  <w:abstractNum w:abstractNumId="18" w15:restartNumberingAfterBreak="0">
    <w:nsid w:val="3077770F"/>
    <w:multiLevelType w:val="multilevel"/>
    <w:tmpl w:val="6EA6676A"/>
    <w:lvl w:ilvl="0">
      <w:start w:val="1"/>
      <w:numFmt w:val="bullet"/>
      <w:pStyle w:val="Bullet"/>
      <w:lvlText w:val="•"/>
      <w:lvlJc w:val="left"/>
      <w:pPr>
        <w:ind w:left="284" w:hanging="284"/>
      </w:pPr>
      <w:rPr>
        <w:rFonts w:ascii="Times New Roman" w:hAnsi="Times New Roman" w:cs="Times New Roman" w:hint="default"/>
        <w:color w:val="auto"/>
      </w:rPr>
    </w:lvl>
    <w:lvl w:ilvl="1">
      <w:start w:val="1"/>
      <w:numFmt w:val="bullet"/>
      <w:pStyle w:val="Dash"/>
      <w:lvlText w:val="–"/>
      <w:lvlJc w:val="left"/>
      <w:pPr>
        <w:ind w:left="568" w:hanging="284"/>
      </w:pPr>
      <w:rPr>
        <w:rFonts w:ascii="Times New Roman" w:hAnsi="Times New Roman" w:cs="Times New Roman" w:hint="default"/>
      </w:rPr>
    </w:lvl>
    <w:lvl w:ilvl="2">
      <w:start w:val="1"/>
      <w:numFmt w:val="bullet"/>
      <w:pStyle w:val="DoubleDot"/>
      <w:lvlText w:val=":"/>
      <w:lvlJc w:val="left"/>
      <w:pPr>
        <w:ind w:left="852" w:hanging="284"/>
      </w:pPr>
      <w:rPr>
        <w:rFonts w:ascii="Times New Roman" w:hAnsi="Times New Roman" w:cs="Times New Roman"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3238442C"/>
    <w:multiLevelType w:val="multilevel"/>
    <w:tmpl w:val="20C6D62C"/>
    <w:styleLink w:val="ChartandTableFootnoteAlphaList"/>
    <w:lvl w:ilvl="0">
      <w:start w:val="1"/>
      <w:numFmt w:val="lowerLetter"/>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3700C6"/>
    <w:multiLevelType w:val="multilevel"/>
    <w:tmpl w:val="91921BC0"/>
    <w:lvl w:ilvl="0">
      <w:start w:val="1"/>
      <w:numFmt w:val="decimal"/>
      <w:pStyle w:val="NumberedParagraph1"/>
      <w:lvlText w:val="%1"/>
      <w:lvlJc w:val="left"/>
      <w:pPr>
        <w:ind w:left="567" w:hanging="567"/>
      </w:pPr>
      <w:rPr>
        <w:rFonts w:asciiTheme="minorHAnsi" w:hAnsiTheme="minorHAnsi" w:hint="default"/>
        <w:b w:val="0"/>
        <w:i w:val="0"/>
        <w:vanish w:val="0"/>
        <w:sz w:val="22"/>
      </w:rPr>
    </w:lvl>
    <w:lvl w:ilvl="1">
      <w:start w:val="1"/>
      <w:numFmt w:val="decimal"/>
      <w:pStyle w:val="NumberedParagraph11"/>
      <w:lvlText w:val="%1.%2"/>
      <w:lvlJc w:val="left"/>
      <w:pPr>
        <w:ind w:left="567" w:hanging="567"/>
      </w:pPr>
      <w:rPr>
        <w:rFonts w:hint="default"/>
        <w:b w:val="0"/>
        <w:i w:val="0"/>
      </w:rPr>
    </w:lvl>
    <w:lvl w:ilvl="2">
      <w:start w:val="1"/>
      <w:numFmt w:val="decimal"/>
      <w:pStyle w:val="NumberedParagraph111"/>
      <w:lvlText w:val="%1.%2.%3"/>
      <w:lvlJc w:val="left"/>
      <w:pPr>
        <w:ind w:left="567" w:hanging="567"/>
      </w:pPr>
      <w:rPr>
        <w:rFonts w:hint="default"/>
        <w:b w:val="0"/>
        <w:i w:val="0"/>
      </w:rPr>
    </w:lvl>
    <w:lvl w:ilvl="3">
      <w:start w:val="1"/>
      <w:numFmt w:val="lowerLetter"/>
      <w:pStyle w:val="NumberedParagraphalpha"/>
      <w:lvlText w:val="(%4)"/>
      <w:lvlJc w:val="left"/>
      <w:pPr>
        <w:ind w:left="1134" w:hanging="567"/>
      </w:pPr>
      <w:rPr>
        <w:rFonts w:hint="default"/>
        <w:b w:val="0"/>
        <w:i w:val="0"/>
      </w:rPr>
    </w:lvl>
    <w:lvl w:ilvl="4">
      <w:start w:val="1"/>
      <w:numFmt w:val="decimal"/>
      <w:pStyle w:val="NumberedParagraphnumbers"/>
      <w:lvlText w:val="(%5)"/>
      <w:lvlJc w:val="left"/>
      <w:pPr>
        <w:ind w:left="1134" w:hanging="567"/>
      </w:pPr>
      <w:rPr>
        <w:rFonts w:hint="default"/>
        <w:b w:val="0"/>
        <w:i w:val="0"/>
      </w:rPr>
    </w:lvl>
    <w:lvl w:ilvl="5">
      <w:start w:val="1"/>
      <w:numFmt w:val="lowerRoman"/>
      <w:pStyle w:val="NumberedParagraphroman"/>
      <w:lvlText w:val="(%6)"/>
      <w:lvlJc w:val="left"/>
      <w:pPr>
        <w:ind w:left="1134" w:hanging="567"/>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1" w15:restartNumberingAfterBreak="0">
    <w:nsid w:val="4CE06931"/>
    <w:multiLevelType w:val="singleLevel"/>
    <w:tmpl w:val="4BF4570C"/>
    <w:lvl w:ilvl="0">
      <w:start w:val="1"/>
      <w:numFmt w:val="lowerLetter"/>
      <w:pStyle w:val="Notealpha"/>
      <w:lvlText w:val="%1)"/>
      <w:lvlJc w:val="left"/>
      <w:pPr>
        <w:ind w:left="360" w:hanging="360"/>
      </w:pPr>
      <w:rPr>
        <w:rFonts w:hint="default"/>
        <w:b w:val="0"/>
        <w:i w:val="0"/>
        <w:color w:val="000000"/>
        <w:sz w:val="16"/>
      </w:rPr>
    </w:lvl>
  </w:abstractNum>
  <w:abstractNum w:abstractNumId="22" w15:restartNumberingAfterBreak="0">
    <w:nsid w:val="4DCF3A8E"/>
    <w:multiLevelType w:val="singleLevel"/>
    <w:tmpl w:val="00087A28"/>
    <w:name w:val="Roman numeral list"/>
    <w:lvl w:ilvl="0">
      <w:start w:val="1"/>
      <w:numFmt w:val="lowerRoman"/>
      <w:lvlRestart w:val="0"/>
      <w:pStyle w:val="Romannumeral"/>
      <w:lvlText w:val="(%1)"/>
      <w:lvlJc w:val="left"/>
      <w:pPr>
        <w:tabs>
          <w:tab w:val="num" w:pos="1134"/>
        </w:tabs>
        <w:ind w:left="1134" w:hanging="567"/>
      </w:pPr>
      <w:rPr>
        <w:b w:val="0"/>
        <w:i w:val="0"/>
        <w:color w:val="000000"/>
      </w:rPr>
    </w:lvl>
  </w:abstractNum>
  <w:abstractNum w:abstractNumId="23" w15:restartNumberingAfterBreak="0">
    <w:nsid w:val="58101827"/>
    <w:multiLevelType w:val="multilevel"/>
    <w:tmpl w:val="5C8E20D0"/>
    <w:name w:val="BoxBulletedList"/>
    <w:lvl w:ilvl="0">
      <w:start w:val="1"/>
      <w:numFmt w:val="bullet"/>
      <w:pStyle w:val="BoxBullet"/>
      <w:lvlText w:val="•"/>
      <w:lvlJc w:val="left"/>
      <w:pPr>
        <w:ind w:left="284" w:hanging="284"/>
      </w:pPr>
      <w:rPr>
        <w:rFonts w:ascii="Segoe UI" w:hAnsi="Segoe UI"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pStyle w:val="BoxDash"/>
      <w:lvlText w:val="–"/>
      <w:lvlJc w:val="left"/>
      <w:pPr>
        <w:tabs>
          <w:tab w:val="num" w:pos="567"/>
        </w:tabs>
        <w:ind w:left="568" w:hanging="284"/>
      </w:pPr>
      <w:rPr>
        <w:rFonts w:hint="default"/>
        <w:b w:val="0"/>
        <w:i w:val="0"/>
      </w:rPr>
    </w:lvl>
    <w:lvl w:ilvl="2">
      <w:start w:val="1"/>
      <w:numFmt w:val="bullet"/>
      <w:pStyle w:val="BoxDoubleDot"/>
      <w:lvlText w:val=":"/>
      <w:lvlJc w:val="left"/>
      <w:pPr>
        <w:tabs>
          <w:tab w:val="num" w:pos="850"/>
        </w:tabs>
        <w:ind w:left="852" w:hanging="284"/>
      </w:pPr>
      <w:rPr>
        <w:rFonts w:hint="default"/>
        <w:b w:val="0"/>
        <w:i w:val="0"/>
      </w:rPr>
    </w:lvl>
    <w:lvl w:ilvl="3">
      <w:start w:val="1"/>
      <w:numFmt w:val="decimal"/>
      <w:lvlText w:val="(%4)"/>
      <w:lvlJc w:val="left"/>
      <w:pPr>
        <w:tabs>
          <w:tab w:val="num" w:pos="1440"/>
        </w:tabs>
        <w:ind w:left="1136" w:hanging="284"/>
      </w:pPr>
      <w:rPr>
        <w:rFonts w:hint="default"/>
        <w:b w:val="0"/>
        <w:i w:val="0"/>
      </w:rPr>
    </w:lvl>
    <w:lvl w:ilvl="4">
      <w:start w:val="1"/>
      <w:numFmt w:val="lowerLetter"/>
      <w:lvlText w:val="(%5)"/>
      <w:lvlJc w:val="left"/>
      <w:pPr>
        <w:tabs>
          <w:tab w:val="num" w:pos="1800"/>
        </w:tabs>
        <w:ind w:left="1420" w:hanging="284"/>
      </w:pPr>
      <w:rPr>
        <w:rFonts w:hint="default"/>
        <w:b w:val="0"/>
        <w:i w:val="0"/>
      </w:rPr>
    </w:lvl>
    <w:lvl w:ilvl="5">
      <w:start w:val="1"/>
      <w:numFmt w:val="lowerRoman"/>
      <w:lvlText w:val="(%6)"/>
      <w:lvlJc w:val="left"/>
      <w:pPr>
        <w:tabs>
          <w:tab w:val="num" w:pos="2160"/>
        </w:tabs>
        <w:ind w:left="1704" w:hanging="284"/>
      </w:pPr>
      <w:rPr>
        <w:rFonts w:hint="default"/>
        <w:b w:val="0"/>
        <w:i w:val="0"/>
      </w:rPr>
    </w:lvl>
    <w:lvl w:ilvl="6">
      <w:start w:val="1"/>
      <w:numFmt w:val="decimal"/>
      <w:lvlText w:val="%7."/>
      <w:lvlJc w:val="left"/>
      <w:pPr>
        <w:tabs>
          <w:tab w:val="num" w:pos="2520"/>
        </w:tabs>
        <w:ind w:left="1988" w:hanging="284"/>
      </w:pPr>
      <w:rPr>
        <w:rFonts w:hint="default"/>
        <w:b w:val="0"/>
        <w:i w:val="0"/>
      </w:rPr>
    </w:lvl>
    <w:lvl w:ilvl="7">
      <w:start w:val="1"/>
      <w:numFmt w:val="lowerLetter"/>
      <w:lvlText w:val="%8."/>
      <w:lvlJc w:val="left"/>
      <w:pPr>
        <w:tabs>
          <w:tab w:val="num" w:pos="2880"/>
        </w:tabs>
        <w:ind w:left="2272" w:hanging="284"/>
      </w:pPr>
      <w:rPr>
        <w:rFonts w:hint="default"/>
        <w:b w:val="0"/>
        <w:i w:val="0"/>
      </w:rPr>
    </w:lvl>
    <w:lvl w:ilvl="8">
      <w:start w:val="1"/>
      <w:numFmt w:val="lowerRoman"/>
      <w:lvlText w:val="%9."/>
      <w:lvlJc w:val="left"/>
      <w:pPr>
        <w:tabs>
          <w:tab w:val="num" w:pos="3240"/>
        </w:tabs>
        <w:ind w:left="2556" w:hanging="284"/>
      </w:pPr>
      <w:rPr>
        <w:rFonts w:hint="default"/>
        <w:b w:val="0"/>
        <w:i w:val="0"/>
      </w:rPr>
    </w:lvl>
  </w:abstractNum>
  <w:abstractNum w:abstractNumId="24" w15:restartNumberingAfterBreak="0">
    <w:nsid w:val="5B6B6445"/>
    <w:multiLevelType w:val="hybridMultilevel"/>
    <w:tmpl w:val="651C3F6A"/>
    <w:lvl w:ilvl="0" w:tplc="58C60DA6">
      <w:start w:val="1"/>
      <w:numFmt w:val="bullet"/>
      <w:pStyle w:val="TableDash"/>
      <w:lvlText w:val="-"/>
      <w:lvlJc w:val="left"/>
      <w:pPr>
        <w:ind w:left="1630" w:hanging="360"/>
      </w:pPr>
      <w:rPr>
        <w:rFonts w:ascii="Courier New" w:hAnsi="Courier New" w:hint="default"/>
        <w:sz w:val="18"/>
      </w:rPr>
    </w:lvl>
    <w:lvl w:ilvl="1" w:tplc="0C090003" w:tentative="1">
      <w:start w:val="1"/>
      <w:numFmt w:val="bullet"/>
      <w:lvlText w:val="o"/>
      <w:lvlJc w:val="left"/>
      <w:pPr>
        <w:ind w:left="2350" w:hanging="360"/>
      </w:pPr>
      <w:rPr>
        <w:rFonts w:ascii="Courier New" w:hAnsi="Courier New" w:cs="Courier New" w:hint="default"/>
      </w:rPr>
    </w:lvl>
    <w:lvl w:ilvl="2" w:tplc="0C090005" w:tentative="1">
      <w:start w:val="1"/>
      <w:numFmt w:val="bullet"/>
      <w:lvlText w:val=""/>
      <w:lvlJc w:val="left"/>
      <w:pPr>
        <w:ind w:left="3070" w:hanging="360"/>
      </w:pPr>
      <w:rPr>
        <w:rFonts w:ascii="Wingdings" w:hAnsi="Wingdings" w:hint="default"/>
      </w:rPr>
    </w:lvl>
    <w:lvl w:ilvl="3" w:tplc="0C090001" w:tentative="1">
      <w:start w:val="1"/>
      <w:numFmt w:val="bullet"/>
      <w:lvlText w:val=""/>
      <w:lvlJc w:val="left"/>
      <w:pPr>
        <w:ind w:left="3790" w:hanging="360"/>
      </w:pPr>
      <w:rPr>
        <w:rFonts w:ascii="Symbol" w:hAnsi="Symbol" w:hint="default"/>
      </w:rPr>
    </w:lvl>
    <w:lvl w:ilvl="4" w:tplc="0C090003" w:tentative="1">
      <w:start w:val="1"/>
      <w:numFmt w:val="bullet"/>
      <w:lvlText w:val="o"/>
      <w:lvlJc w:val="left"/>
      <w:pPr>
        <w:ind w:left="4510" w:hanging="360"/>
      </w:pPr>
      <w:rPr>
        <w:rFonts w:ascii="Courier New" w:hAnsi="Courier New" w:cs="Courier New" w:hint="default"/>
      </w:rPr>
    </w:lvl>
    <w:lvl w:ilvl="5" w:tplc="0C090005" w:tentative="1">
      <w:start w:val="1"/>
      <w:numFmt w:val="bullet"/>
      <w:lvlText w:val=""/>
      <w:lvlJc w:val="left"/>
      <w:pPr>
        <w:ind w:left="5230" w:hanging="360"/>
      </w:pPr>
      <w:rPr>
        <w:rFonts w:ascii="Wingdings" w:hAnsi="Wingdings" w:hint="default"/>
      </w:rPr>
    </w:lvl>
    <w:lvl w:ilvl="6" w:tplc="0C090001" w:tentative="1">
      <w:start w:val="1"/>
      <w:numFmt w:val="bullet"/>
      <w:lvlText w:val=""/>
      <w:lvlJc w:val="left"/>
      <w:pPr>
        <w:ind w:left="5950" w:hanging="360"/>
      </w:pPr>
      <w:rPr>
        <w:rFonts w:ascii="Symbol" w:hAnsi="Symbol" w:hint="default"/>
      </w:rPr>
    </w:lvl>
    <w:lvl w:ilvl="7" w:tplc="0C090003" w:tentative="1">
      <w:start w:val="1"/>
      <w:numFmt w:val="bullet"/>
      <w:lvlText w:val="o"/>
      <w:lvlJc w:val="left"/>
      <w:pPr>
        <w:ind w:left="6670" w:hanging="360"/>
      </w:pPr>
      <w:rPr>
        <w:rFonts w:ascii="Courier New" w:hAnsi="Courier New" w:cs="Courier New" w:hint="default"/>
      </w:rPr>
    </w:lvl>
    <w:lvl w:ilvl="8" w:tplc="0C090005" w:tentative="1">
      <w:start w:val="1"/>
      <w:numFmt w:val="bullet"/>
      <w:lvlText w:val=""/>
      <w:lvlJc w:val="left"/>
      <w:pPr>
        <w:ind w:left="7390" w:hanging="360"/>
      </w:pPr>
      <w:rPr>
        <w:rFonts w:ascii="Wingdings" w:hAnsi="Wingdings" w:hint="default"/>
      </w:rPr>
    </w:lvl>
  </w:abstractNum>
  <w:abstractNum w:abstractNumId="25" w15:restartNumberingAfterBreak="0">
    <w:nsid w:val="6E2833C5"/>
    <w:multiLevelType w:val="hybridMultilevel"/>
    <w:tmpl w:val="27C28A60"/>
    <w:lvl w:ilvl="0" w:tplc="CA2CA6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99408905">
    <w:abstractNumId w:val="15"/>
  </w:num>
  <w:num w:numId="2" w16cid:durableId="982851464">
    <w:abstractNumId w:val="17"/>
  </w:num>
  <w:num w:numId="3" w16cid:durableId="1114134390">
    <w:abstractNumId w:val="21"/>
  </w:num>
  <w:num w:numId="4" w16cid:durableId="1722971660">
    <w:abstractNumId w:val="23"/>
  </w:num>
  <w:num w:numId="5" w16cid:durableId="1784569137">
    <w:abstractNumId w:val="22"/>
  </w:num>
  <w:num w:numId="6" w16cid:durableId="744259204">
    <w:abstractNumId w:val="20"/>
  </w:num>
  <w:num w:numId="7" w16cid:durableId="1293096655">
    <w:abstractNumId w:val="19"/>
  </w:num>
  <w:num w:numId="8" w16cid:durableId="866067138">
    <w:abstractNumId w:val="18"/>
  </w:num>
  <w:num w:numId="9" w16cid:durableId="1231381608">
    <w:abstractNumId w:val="9"/>
  </w:num>
  <w:num w:numId="10" w16cid:durableId="1435131293">
    <w:abstractNumId w:val="7"/>
  </w:num>
  <w:num w:numId="11" w16cid:durableId="977760185">
    <w:abstractNumId w:val="6"/>
  </w:num>
  <w:num w:numId="12" w16cid:durableId="1864050206">
    <w:abstractNumId w:val="5"/>
  </w:num>
  <w:num w:numId="13" w16cid:durableId="1043403270">
    <w:abstractNumId w:val="4"/>
  </w:num>
  <w:num w:numId="14" w16cid:durableId="1530412670">
    <w:abstractNumId w:val="8"/>
  </w:num>
  <w:num w:numId="15" w16cid:durableId="1661618011">
    <w:abstractNumId w:val="3"/>
  </w:num>
  <w:num w:numId="16" w16cid:durableId="1373652150">
    <w:abstractNumId w:val="2"/>
  </w:num>
  <w:num w:numId="17" w16cid:durableId="1278172958">
    <w:abstractNumId w:val="1"/>
  </w:num>
  <w:num w:numId="18" w16cid:durableId="1586955393">
    <w:abstractNumId w:val="0"/>
  </w:num>
  <w:num w:numId="19" w16cid:durableId="1043020558">
    <w:abstractNumId w:val="13"/>
  </w:num>
  <w:num w:numId="20" w16cid:durableId="937837158">
    <w:abstractNumId w:val="10"/>
  </w:num>
  <w:num w:numId="21" w16cid:durableId="451947084">
    <w:abstractNumId w:val="24"/>
  </w:num>
  <w:num w:numId="22" w16cid:durableId="710348055">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U3NTQ0szQ1NjA3tDRR0lEKTi0uzszPAykwrAUAujZzFCwAAAA="/>
    <w:docVar w:name="FOIClassificationInHeader" w:val="False"/>
    <w:docVar w:name="SecurityClassificationInHeader" w:val="False"/>
    <w:docVar w:name="SecurityDLMInHeader" w:val="False"/>
  </w:docVars>
  <w:rsids>
    <w:rsidRoot w:val="00080C5D"/>
    <w:rsid w:val="000002D4"/>
    <w:rsid w:val="00000542"/>
    <w:rsid w:val="00000A47"/>
    <w:rsid w:val="00000CE0"/>
    <w:rsid w:val="00000F3A"/>
    <w:rsid w:val="00001122"/>
    <w:rsid w:val="0000177E"/>
    <w:rsid w:val="00002017"/>
    <w:rsid w:val="000023C4"/>
    <w:rsid w:val="000027A2"/>
    <w:rsid w:val="00002D1A"/>
    <w:rsid w:val="00002D41"/>
    <w:rsid w:val="000031D5"/>
    <w:rsid w:val="0000390E"/>
    <w:rsid w:val="00003A0D"/>
    <w:rsid w:val="000044D0"/>
    <w:rsid w:val="000047FE"/>
    <w:rsid w:val="00005665"/>
    <w:rsid w:val="0000576F"/>
    <w:rsid w:val="0000588F"/>
    <w:rsid w:val="000058D9"/>
    <w:rsid w:val="00005927"/>
    <w:rsid w:val="000059F3"/>
    <w:rsid w:val="00005FF7"/>
    <w:rsid w:val="0000629E"/>
    <w:rsid w:val="00006364"/>
    <w:rsid w:val="000063F1"/>
    <w:rsid w:val="0000673A"/>
    <w:rsid w:val="00006AC8"/>
    <w:rsid w:val="000072A6"/>
    <w:rsid w:val="0000775B"/>
    <w:rsid w:val="000078C9"/>
    <w:rsid w:val="00007A75"/>
    <w:rsid w:val="00007D32"/>
    <w:rsid w:val="000100B2"/>
    <w:rsid w:val="00010257"/>
    <w:rsid w:val="0001070A"/>
    <w:rsid w:val="00010D6D"/>
    <w:rsid w:val="0001128F"/>
    <w:rsid w:val="000121A0"/>
    <w:rsid w:val="000128EA"/>
    <w:rsid w:val="00012B27"/>
    <w:rsid w:val="00012D5B"/>
    <w:rsid w:val="0001378E"/>
    <w:rsid w:val="00013B1C"/>
    <w:rsid w:val="00014179"/>
    <w:rsid w:val="0001425C"/>
    <w:rsid w:val="0001471B"/>
    <w:rsid w:val="0001545C"/>
    <w:rsid w:val="00015591"/>
    <w:rsid w:val="0001584B"/>
    <w:rsid w:val="00015CE8"/>
    <w:rsid w:val="00015E36"/>
    <w:rsid w:val="00016AA7"/>
    <w:rsid w:val="00016AAD"/>
    <w:rsid w:val="00016C3F"/>
    <w:rsid w:val="00016D41"/>
    <w:rsid w:val="00016E5B"/>
    <w:rsid w:val="0001710C"/>
    <w:rsid w:val="000171A7"/>
    <w:rsid w:val="00017AA6"/>
    <w:rsid w:val="00017BA2"/>
    <w:rsid w:val="00017E3B"/>
    <w:rsid w:val="000200E9"/>
    <w:rsid w:val="00020148"/>
    <w:rsid w:val="0002023A"/>
    <w:rsid w:val="00020AF7"/>
    <w:rsid w:val="00020CBF"/>
    <w:rsid w:val="00020F3E"/>
    <w:rsid w:val="00021043"/>
    <w:rsid w:val="00021415"/>
    <w:rsid w:val="00021708"/>
    <w:rsid w:val="000219AB"/>
    <w:rsid w:val="00021A93"/>
    <w:rsid w:val="00021D73"/>
    <w:rsid w:val="000221A2"/>
    <w:rsid w:val="00022499"/>
    <w:rsid w:val="000227EE"/>
    <w:rsid w:val="000229E5"/>
    <w:rsid w:val="00022AB1"/>
    <w:rsid w:val="00022F04"/>
    <w:rsid w:val="00023033"/>
    <w:rsid w:val="00023B15"/>
    <w:rsid w:val="00023CBF"/>
    <w:rsid w:val="000244B0"/>
    <w:rsid w:val="0002472C"/>
    <w:rsid w:val="00024831"/>
    <w:rsid w:val="0002497D"/>
    <w:rsid w:val="000249E5"/>
    <w:rsid w:val="00024BFF"/>
    <w:rsid w:val="000253E7"/>
    <w:rsid w:val="0002582C"/>
    <w:rsid w:val="00025A90"/>
    <w:rsid w:val="00026A89"/>
    <w:rsid w:val="00026BA2"/>
    <w:rsid w:val="0002750E"/>
    <w:rsid w:val="00027519"/>
    <w:rsid w:val="00027555"/>
    <w:rsid w:val="00027673"/>
    <w:rsid w:val="000277CE"/>
    <w:rsid w:val="000277D8"/>
    <w:rsid w:val="00027A47"/>
    <w:rsid w:val="00027F25"/>
    <w:rsid w:val="00030196"/>
    <w:rsid w:val="0003030A"/>
    <w:rsid w:val="00030AFA"/>
    <w:rsid w:val="00030D6E"/>
    <w:rsid w:val="00030F65"/>
    <w:rsid w:val="00031314"/>
    <w:rsid w:val="00031389"/>
    <w:rsid w:val="00031576"/>
    <w:rsid w:val="000319C4"/>
    <w:rsid w:val="000319DD"/>
    <w:rsid w:val="00031AE8"/>
    <w:rsid w:val="00031C8A"/>
    <w:rsid w:val="00031D00"/>
    <w:rsid w:val="00031E2B"/>
    <w:rsid w:val="00031E96"/>
    <w:rsid w:val="000324D0"/>
    <w:rsid w:val="00032BA4"/>
    <w:rsid w:val="00033209"/>
    <w:rsid w:val="00033413"/>
    <w:rsid w:val="00033432"/>
    <w:rsid w:val="0003400F"/>
    <w:rsid w:val="0003445E"/>
    <w:rsid w:val="00034875"/>
    <w:rsid w:val="000352F5"/>
    <w:rsid w:val="0003577A"/>
    <w:rsid w:val="000361AA"/>
    <w:rsid w:val="000361B1"/>
    <w:rsid w:val="000362A6"/>
    <w:rsid w:val="00036758"/>
    <w:rsid w:val="00036938"/>
    <w:rsid w:val="00036BA7"/>
    <w:rsid w:val="00036D51"/>
    <w:rsid w:val="00036D94"/>
    <w:rsid w:val="000370DC"/>
    <w:rsid w:val="0003731A"/>
    <w:rsid w:val="0003749A"/>
    <w:rsid w:val="0003759C"/>
    <w:rsid w:val="000375A8"/>
    <w:rsid w:val="000375CE"/>
    <w:rsid w:val="00037AC8"/>
    <w:rsid w:val="00037B8A"/>
    <w:rsid w:val="00037D61"/>
    <w:rsid w:val="00037F49"/>
    <w:rsid w:val="000400BD"/>
    <w:rsid w:val="0004022E"/>
    <w:rsid w:val="00040693"/>
    <w:rsid w:val="00041252"/>
    <w:rsid w:val="00041E18"/>
    <w:rsid w:val="00042890"/>
    <w:rsid w:val="00042927"/>
    <w:rsid w:val="00042B2C"/>
    <w:rsid w:val="00042E54"/>
    <w:rsid w:val="00042E82"/>
    <w:rsid w:val="0004321C"/>
    <w:rsid w:val="00043AF2"/>
    <w:rsid w:val="00043B09"/>
    <w:rsid w:val="00043B0F"/>
    <w:rsid w:val="00043BB9"/>
    <w:rsid w:val="00043E24"/>
    <w:rsid w:val="00043EDB"/>
    <w:rsid w:val="00043FF7"/>
    <w:rsid w:val="00044314"/>
    <w:rsid w:val="000446C8"/>
    <w:rsid w:val="000446FB"/>
    <w:rsid w:val="00044A90"/>
    <w:rsid w:val="00044FBF"/>
    <w:rsid w:val="0004513B"/>
    <w:rsid w:val="000452FB"/>
    <w:rsid w:val="00045522"/>
    <w:rsid w:val="0004569F"/>
    <w:rsid w:val="00045804"/>
    <w:rsid w:val="00046249"/>
    <w:rsid w:val="00046706"/>
    <w:rsid w:val="00046EC5"/>
    <w:rsid w:val="00046FF4"/>
    <w:rsid w:val="0004757B"/>
    <w:rsid w:val="00047A21"/>
    <w:rsid w:val="00047CE9"/>
    <w:rsid w:val="00050990"/>
    <w:rsid w:val="00050EC0"/>
    <w:rsid w:val="0005238E"/>
    <w:rsid w:val="0005242D"/>
    <w:rsid w:val="00052AC9"/>
    <w:rsid w:val="00052DF7"/>
    <w:rsid w:val="00052E1D"/>
    <w:rsid w:val="000530F1"/>
    <w:rsid w:val="000531CC"/>
    <w:rsid w:val="00053244"/>
    <w:rsid w:val="00053865"/>
    <w:rsid w:val="00053BF7"/>
    <w:rsid w:val="00053C93"/>
    <w:rsid w:val="00053F19"/>
    <w:rsid w:val="0005412B"/>
    <w:rsid w:val="000547A6"/>
    <w:rsid w:val="00054A06"/>
    <w:rsid w:val="00054E96"/>
    <w:rsid w:val="000552D5"/>
    <w:rsid w:val="000553D7"/>
    <w:rsid w:val="00055930"/>
    <w:rsid w:val="00055E02"/>
    <w:rsid w:val="0005623B"/>
    <w:rsid w:val="00056B7E"/>
    <w:rsid w:val="00057193"/>
    <w:rsid w:val="0006002A"/>
    <w:rsid w:val="0006030C"/>
    <w:rsid w:val="00060702"/>
    <w:rsid w:val="0006073F"/>
    <w:rsid w:val="00060A38"/>
    <w:rsid w:val="00060F2F"/>
    <w:rsid w:val="0006137D"/>
    <w:rsid w:val="000615BA"/>
    <w:rsid w:val="0006166B"/>
    <w:rsid w:val="00061CFF"/>
    <w:rsid w:val="00061D4A"/>
    <w:rsid w:val="00062314"/>
    <w:rsid w:val="000623D5"/>
    <w:rsid w:val="00062402"/>
    <w:rsid w:val="000637F9"/>
    <w:rsid w:val="00063D60"/>
    <w:rsid w:val="000641B1"/>
    <w:rsid w:val="00064290"/>
    <w:rsid w:val="000644E8"/>
    <w:rsid w:val="00064DA4"/>
    <w:rsid w:val="000650A2"/>
    <w:rsid w:val="00065363"/>
    <w:rsid w:val="000653D0"/>
    <w:rsid w:val="000653E8"/>
    <w:rsid w:val="0006546E"/>
    <w:rsid w:val="0006547E"/>
    <w:rsid w:val="000655D4"/>
    <w:rsid w:val="00065604"/>
    <w:rsid w:val="0006564B"/>
    <w:rsid w:val="000658E4"/>
    <w:rsid w:val="00065E41"/>
    <w:rsid w:val="00065EF1"/>
    <w:rsid w:val="00065FF9"/>
    <w:rsid w:val="0006600A"/>
    <w:rsid w:val="000662DE"/>
    <w:rsid w:val="000663CB"/>
    <w:rsid w:val="000666AA"/>
    <w:rsid w:val="0006679B"/>
    <w:rsid w:val="00066CCE"/>
    <w:rsid w:val="00067325"/>
    <w:rsid w:val="00067E2B"/>
    <w:rsid w:val="00067EED"/>
    <w:rsid w:val="0007018F"/>
    <w:rsid w:val="00070228"/>
    <w:rsid w:val="00070438"/>
    <w:rsid w:val="00070563"/>
    <w:rsid w:val="0007078B"/>
    <w:rsid w:val="0007098F"/>
    <w:rsid w:val="00070C41"/>
    <w:rsid w:val="00070F5B"/>
    <w:rsid w:val="000715ED"/>
    <w:rsid w:val="000718D3"/>
    <w:rsid w:val="00071BEF"/>
    <w:rsid w:val="000722B0"/>
    <w:rsid w:val="0007275C"/>
    <w:rsid w:val="000727D5"/>
    <w:rsid w:val="000729C6"/>
    <w:rsid w:val="00072E3A"/>
    <w:rsid w:val="00072E4A"/>
    <w:rsid w:val="00072FB1"/>
    <w:rsid w:val="00072FDA"/>
    <w:rsid w:val="00073092"/>
    <w:rsid w:val="00073113"/>
    <w:rsid w:val="00073385"/>
    <w:rsid w:val="00073C96"/>
    <w:rsid w:val="000747EA"/>
    <w:rsid w:val="00074808"/>
    <w:rsid w:val="00074B1B"/>
    <w:rsid w:val="00074E42"/>
    <w:rsid w:val="000751CC"/>
    <w:rsid w:val="00075607"/>
    <w:rsid w:val="00075BE1"/>
    <w:rsid w:val="00077094"/>
    <w:rsid w:val="0007759D"/>
    <w:rsid w:val="0008009E"/>
    <w:rsid w:val="000800A3"/>
    <w:rsid w:val="0008027F"/>
    <w:rsid w:val="00080317"/>
    <w:rsid w:val="000807C5"/>
    <w:rsid w:val="00080B28"/>
    <w:rsid w:val="00080B69"/>
    <w:rsid w:val="00080C5D"/>
    <w:rsid w:val="00081456"/>
    <w:rsid w:val="000817B2"/>
    <w:rsid w:val="00081AD2"/>
    <w:rsid w:val="00081F26"/>
    <w:rsid w:val="00081F97"/>
    <w:rsid w:val="00082250"/>
    <w:rsid w:val="0008243C"/>
    <w:rsid w:val="00082631"/>
    <w:rsid w:val="00082AFE"/>
    <w:rsid w:val="0008352D"/>
    <w:rsid w:val="00083734"/>
    <w:rsid w:val="000838AB"/>
    <w:rsid w:val="00083F1C"/>
    <w:rsid w:val="0008423F"/>
    <w:rsid w:val="000847C0"/>
    <w:rsid w:val="000848B1"/>
    <w:rsid w:val="00084C5C"/>
    <w:rsid w:val="00084E6F"/>
    <w:rsid w:val="00084F6C"/>
    <w:rsid w:val="0008512F"/>
    <w:rsid w:val="00085232"/>
    <w:rsid w:val="0008548C"/>
    <w:rsid w:val="00085F10"/>
    <w:rsid w:val="00086318"/>
    <w:rsid w:val="0008640A"/>
    <w:rsid w:val="000866C8"/>
    <w:rsid w:val="00086A70"/>
    <w:rsid w:val="00086B78"/>
    <w:rsid w:val="00086DB1"/>
    <w:rsid w:val="00086EA5"/>
    <w:rsid w:val="00087326"/>
    <w:rsid w:val="000873D3"/>
    <w:rsid w:val="00087817"/>
    <w:rsid w:val="00087C70"/>
    <w:rsid w:val="00087F69"/>
    <w:rsid w:val="00087F76"/>
    <w:rsid w:val="0009054F"/>
    <w:rsid w:val="00090D28"/>
    <w:rsid w:val="00090DB6"/>
    <w:rsid w:val="00090DF9"/>
    <w:rsid w:val="00090F30"/>
    <w:rsid w:val="00090F8E"/>
    <w:rsid w:val="00091621"/>
    <w:rsid w:val="00091760"/>
    <w:rsid w:val="000919A4"/>
    <w:rsid w:val="00091A95"/>
    <w:rsid w:val="00091C2A"/>
    <w:rsid w:val="000920FE"/>
    <w:rsid w:val="000930EF"/>
    <w:rsid w:val="000932A7"/>
    <w:rsid w:val="000933FB"/>
    <w:rsid w:val="0009352C"/>
    <w:rsid w:val="00093B41"/>
    <w:rsid w:val="00093F1D"/>
    <w:rsid w:val="0009407E"/>
    <w:rsid w:val="00094136"/>
    <w:rsid w:val="00094275"/>
    <w:rsid w:val="00094CA2"/>
    <w:rsid w:val="0009507D"/>
    <w:rsid w:val="000950E8"/>
    <w:rsid w:val="000958B4"/>
    <w:rsid w:val="0009596D"/>
    <w:rsid w:val="00095DC9"/>
    <w:rsid w:val="00095E02"/>
    <w:rsid w:val="000964A7"/>
    <w:rsid w:val="000966E1"/>
    <w:rsid w:val="000968B2"/>
    <w:rsid w:val="00096B15"/>
    <w:rsid w:val="00096B9F"/>
    <w:rsid w:val="00096BC6"/>
    <w:rsid w:val="0009723F"/>
    <w:rsid w:val="00097661"/>
    <w:rsid w:val="000976ED"/>
    <w:rsid w:val="0009773B"/>
    <w:rsid w:val="000A0916"/>
    <w:rsid w:val="000A18FC"/>
    <w:rsid w:val="000A243A"/>
    <w:rsid w:val="000A2831"/>
    <w:rsid w:val="000A2B93"/>
    <w:rsid w:val="000A2E5B"/>
    <w:rsid w:val="000A33B1"/>
    <w:rsid w:val="000A38C9"/>
    <w:rsid w:val="000A4466"/>
    <w:rsid w:val="000A4471"/>
    <w:rsid w:val="000A448D"/>
    <w:rsid w:val="000A4606"/>
    <w:rsid w:val="000A48AD"/>
    <w:rsid w:val="000A4A85"/>
    <w:rsid w:val="000A4B83"/>
    <w:rsid w:val="000A4C69"/>
    <w:rsid w:val="000A4CCC"/>
    <w:rsid w:val="000A546A"/>
    <w:rsid w:val="000A63B0"/>
    <w:rsid w:val="000A7034"/>
    <w:rsid w:val="000A7131"/>
    <w:rsid w:val="000A7248"/>
    <w:rsid w:val="000A75E4"/>
    <w:rsid w:val="000A7840"/>
    <w:rsid w:val="000A7B19"/>
    <w:rsid w:val="000A7D56"/>
    <w:rsid w:val="000B0674"/>
    <w:rsid w:val="000B0836"/>
    <w:rsid w:val="000B097B"/>
    <w:rsid w:val="000B0F1B"/>
    <w:rsid w:val="000B10E8"/>
    <w:rsid w:val="000B14FE"/>
    <w:rsid w:val="000B1BF3"/>
    <w:rsid w:val="000B1E0B"/>
    <w:rsid w:val="000B1FD8"/>
    <w:rsid w:val="000B2185"/>
    <w:rsid w:val="000B232C"/>
    <w:rsid w:val="000B246A"/>
    <w:rsid w:val="000B27F6"/>
    <w:rsid w:val="000B2B2B"/>
    <w:rsid w:val="000B2F53"/>
    <w:rsid w:val="000B3557"/>
    <w:rsid w:val="000B36A5"/>
    <w:rsid w:val="000B38FC"/>
    <w:rsid w:val="000B3BEA"/>
    <w:rsid w:val="000B3D25"/>
    <w:rsid w:val="000B424E"/>
    <w:rsid w:val="000B45A8"/>
    <w:rsid w:val="000B4783"/>
    <w:rsid w:val="000B4BC3"/>
    <w:rsid w:val="000B4D5A"/>
    <w:rsid w:val="000B4E3F"/>
    <w:rsid w:val="000B5050"/>
    <w:rsid w:val="000B50D1"/>
    <w:rsid w:val="000B50FC"/>
    <w:rsid w:val="000B548C"/>
    <w:rsid w:val="000B5669"/>
    <w:rsid w:val="000B58B8"/>
    <w:rsid w:val="000B598F"/>
    <w:rsid w:val="000B5A29"/>
    <w:rsid w:val="000B5B3E"/>
    <w:rsid w:val="000B5EA9"/>
    <w:rsid w:val="000B603C"/>
    <w:rsid w:val="000B628E"/>
    <w:rsid w:val="000B687C"/>
    <w:rsid w:val="000B7647"/>
    <w:rsid w:val="000B7B40"/>
    <w:rsid w:val="000B7D35"/>
    <w:rsid w:val="000B7D9E"/>
    <w:rsid w:val="000B7E0B"/>
    <w:rsid w:val="000B7E95"/>
    <w:rsid w:val="000C0B22"/>
    <w:rsid w:val="000C1166"/>
    <w:rsid w:val="000C181C"/>
    <w:rsid w:val="000C27CD"/>
    <w:rsid w:val="000C2F0B"/>
    <w:rsid w:val="000C2F2A"/>
    <w:rsid w:val="000C2FD4"/>
    <w:rsid w:val="000C3859"/>
    <w:rsid w:val="000C3B3A"/>
    <w:rsid w:val="000C4457"/>
    <w:rsid w:val="000C4813"/>
    <w:rsid w:val="000C4C0A"/>
    <w:rsid w:val="000C4E06"/>
    <w:rsid w:val="000C4F67"/>
    <w:rsid w:val="000C51FC"/>
    <w:rsid w:val="000C5262"/>
    <w:rsid w:val="000C58A6"/>
    <w:rsid w:val="000C5C71"/>
    <w:rsid w:val="000C64FA"/>
    <w:rsid w:val="000C68A0"/>
    <w:rsid w:val="000C68CF"/>
    <w:rsid w:val="000C69D4"/>
    <w:rsid w:val="000C6AAD"/>
    <w:rsid w:val="000C7276"/>
    <w:rsid w:val="000C7974"/>
    <w:rsid w:val="000C7C7E"/>
    <w:rsid w:val="000D0047"/>
    <w:rsid w:val="000D05BA"/>
    <w:rsid w:val="000D0708"/>
    <w:rsid w:val="000D07E0"/>
    <w:rsid w:val="000D18BE"/>
    <w:rsid w:val="000D1FB0"/>
    <w:rsid w:val="000D2223"/>
    <w:rsid w:val="000D24B0"/>
    <w:rsid w:val="000D2822"/>
    <w:rsid w:val="000D3733"/>
    <w:rsid w:val="000D3929"/>
    <w:rsid w:val="000D3CA2"/>
    <w:rsid w:val="000D3F08"/>
    <w:rsid w:val="000D4570"/>
    <w:rsid w:val="000D4886"/>
    <w:rsid w:val="000D4D2A"/>
    <w:rsid w:val="000D5419"/>
    <w:rsid w:val="000D5842"/>
    <w:rsid w:val="000D5B7B"/>
    <w:rsid w:val="000D6107"/>
    <w:rsid w:val="000D61BB"/>
    <w:rsid w:val="000D62E4"/>
    <w:rsid w:val="000D698B"/>
    <w:rsid w:val="000D6A2A"/>
    <w:rsid w:val="000D6CDD"/>
    <w:rsid w:val="000D71C1"/>
    <w:rsid w:val="000D79BF"/>
    <w:rsid w:val="000D7D21"/>
    <w:rsid w:val="000D7F1A"/>
    <w:rsid w:val="000E0400"/>
    <w:rsid w:val="000E075D"/>
    <w:rsid w:val="000E1365"/>
    <w:rsid w:val="000E199E"/>
    <w:rsid w:val="000E2264"/>
    <w:rsid w:val="000E226A"/>
    <w:rsid w:val="000E258D"/>
    <w:rsid w:val="000E262D"/>
    <w:rsid w:val="000E273F"/>
    <w:rsid w:val="000E290E"/>
    <w:rsid w:val="000E2AE2"/>
    <w:rsid w:val="000E2D3A"/>
    <w:rsid w:val="000E2F7A"/>
    <w:rsid w:val="000E3BA9"/>
    <w:rsid w:val="000E4562"/>
    <w:rsid w:val="000E4B4C"/>
    <w:rsid w:val="000E599E"/>
    <w:rsid w:val="000E59A8"/>
    <w:rsid w:val="000E5CD9"/>
    <w:rsid w:val="000E624D"/>
    <w:rsid w:val="000E662E"/>
    <w:rsid w:val="000E664E"/>
    <w:rsid w:val="000E66AF"/>
    <w:rsid w:val="000E71FD"/>
    <w:rsid w:val="000E76E6"/>
    <w:rsid w:val="000E76E7"/>
    <w:rsid w:val="000E772E"/>
    <w:rsid w:val="000E775B"/>
    <w:rsid w:val="000F0594"/>
    <w:rsid w:val="000F0890"/>
    <w:rsid w:val="000F0BB3"/>
    <w:rsid w:val="000F0CF8"/>
    <w:rsid w:val="000F1199"/>
    <w:rsid w:val="000F159F"/>
    <w:rsid w:val="000F15E0"/>
    <w:rsid w:val="000F181E"/>
    <w:rsid w:val="000F2F33"/>
    <w:rsid w:val="000F2F78"/>
    <w:rsid w:val="000F3036"/>
    <w:rsid w:val="000F34C5"/>
    <w:rsid w:val="000F3F30"/>
    <w:rsid w:val="000F44E1"/>
    <w:rsid w:val="000F4660"/>
    <w:rsid w:val="000F46AD"/>
    <w:rsid w:val="000F4BCE"/>
    <w:rsid w:val="000F4F06"/>
    <w:rsid w:val="000F4F37"/>
    <w:rsid w:val="000F4F3E"/>
    <w:rsid w:val="000F507F"/>
    <w:rsid w:val="000F5093"/>
    <w:rsid w:val="000F50F5"/>
    <w:rsid w:val="000F5314"/>
    <w:rsid w:val="000F53D2"/>
    <w:rsid w:val="000F578F"/>
    <w:rsid w:val="000F5A3C"/>
    <w:rsid w:val="000F5C28"/>
    <w:rsid w:val="000F5F44"/>
    <w:rsid w:val="000F6896"/>
    <w:rsid w:val="000F6E46"/>
    <w:rsid w:val="000F6FFD"/>
    <w:rsid w:val="000F755C"/>
    <w:rsid w:val="000F784E"/>
    <w:rsid w:val="001000CD"/>
    <w:rsid w:val="00100182"/>
    <w:rsid w:val="001005B9"/>
    <w:rsid w:val="00100F10"/>
    <w:rsid w:val="00100F52"/>
    <w:rsid w:val="001016BB"/>
    <w:rsid w:val="00101717"/>
    <w:rsid w:val="00101792"/>
    <w:rsid w:val="00101887"/>
    <w:rsid w:val="00101F15"/>
    <w:rsid w:val="001028AC"/>
    <w:rsid w:val="001028D8"/>
    <w:rsid w:val="00102B69"/>
    <w:rsid w:val="00102D0B"/>
    <w:rsid w:val="00103004"/>
    <w:rsid w:val="0010317B"/>
    <w:rsid w:val="00103B5B"/>
    <w:rsid w:val="00103D77"/>
    <w:rsid w:val="0010427E"/>
    <w:rsid w:val="00104519"/>
    <w:rsid w:val="001048CD"/>
    <w:rsid w:val="001048F1"/>
    <w:rsid w:val="00104F47"/>
    <w:rsid w:val="00105125"/>
    <w:rsid w:val="00105666"/>
    <w:rsid w:val="00105D17"/>
    <w:rsid w:val="001062FB"/>
    <w:rsid w:val="00106318"/>
    <w:rsid w:val="001067A0"/>
    <w:rsid w:val="001067C6"/>
    <w:rsid w:val="00106C3C"/>
    <w:rsid w:val="00106EE8"/>
    <w:rsid w:val="0010706A"/>
    <w:rsid w:val="0010744D"/>
    <w:rsid w:val="0010754B"/>
    <w:rsid w:val="00107815"/>
    <w:rsid w:val="00107E01"/>
    <w:rsid w:val="0011010E"/>
    <w:rsid w:val="001105E1"/>
    <w:rsid w:val="0011097F"/>
    <w:rsid w:val="00110B3E"/>
    <w:rsid w:val="0011105C"/>
    <w:rsid w:val="00111147"/>
    <w:rsid w:val="00111646"/>
    <w:rsid w:val="001118A4"/>
    <w:rsid w:val="00111C4D"/>
    <w:rsid w:val="00111CAF"/>
    <w:rsid w:val="0011234D"/>
    <w:rsid w:val="0011306B"/>
    <w:rsid w:val="001131C0"/>
    <w:rsid w:val="001133A3"/>
    <w:rsid w:val="00114342"/>
    <w:rsid w:val="00114651"/>
    <w:rsid w:val="001146FE"/>
    <w:rsid w:val="00114BFB"/>
    <w:rsid w:val="001152EB"/>
    <w:rsid w:val="001159D3"/>
    <w:rsid w:val="00115CCB"/>
    <w:rsid w:val="00115E43"/>
    <w:rsid w:val="00116A7C"/>
    <w:rsid w:val="00116C84"/>
    <w:rsid w:val="00116DB4"/>
    <w:rsid w:val="00117011"/>
    <w:rsid w:val="00117388"/>
    <w:rsid w:val="001173BD"/>
    <w:rsid w:val="001175CC"/>
    <w:rsid w:val="0011773E"/>
    <w:rsid w:val="001179E3"/>
    <w:rsid w:val="001200E8"/>
    <w:rsid w:val="001200FD"/>
    <w:rsid w:val="00120CE3"/>
    <w:rsid w:val="0012118B"/>
    <w:rsid w:val="001212A4"/>
    <w:rsid w:val="001215F9"/>
    <w:rsid w:val="00121A02"/>
    <w:rsid w:val="00121C11"/>
    <w:rsid w:val="00121CCD"/>
    <w:rsid w:val="001220EC"/>
    <w:rsid w:val="0012230A"/>
    <w:rsid w:val="00122323"/>
    <w:rsid w:val="001224BD"/>
    <w:rsid w:val="0012257C"/>
    <w:rsid w:val="00122753"/>
    <w:rsid w:val="001239FF"/>
    <w:rsid w:val="00123B78"/>
    <w:rsid w:val="00123CF0"/>
    <w:rsid w:val="00123D5B"/>
    <w:rsid w:val="00123E1E"/>
    <w:rsid w:val="001245FD"/>
    <w:rsid w:val="00124728"/>
    <w:rsid w:val="00124856"/>
    <w:rsid w:val="00124CC1"/>
    <w:rsid w:val="00124F89"/>
    <w:rsid w:val="00125184"/>
    <w:rsid w:val="001251F3"/>
    <w:rsid w:val="001252E2"/>
    <w:rsid w:val="001254F3"/>
    <w:rsid w:val="0012557E"/>
    <w:rsid w:val="0012587B"/>
    <w:rsid w:val="00125D81"/>
    <w:rsid w:val="00125ED1"/>
    <w:rsid w:val="0012643C"/>
    <w:rsid w:val="00126941"/>
    <w:rsid w:val="00126951"/>
    <w:rsid w:val="00126D52"/>
    <w:rsid w:val="00126EDE"/>
    <w:rsid w:val="001270E5"/>
    <w:rsid w:val="0012779A"/>
    <w:rsid w:val="001279A8"/>
    <w:rsid w:val="00127B47"/>
    <w:rsid w:val="00130576"/>
    <w:rsid w:val="001307CC"/>
    <w:rsid w:val="00130D30"/>
    <w:rsid w:val="00130ECC"/>
    <w:rsid w:val="00130FB1"/>
    <w:rsid w:val="00131159"/>
    <w:rsid w:val="0013131F"/>
    <w:rsid w:val="00132080"/>
    <w:rsid w:val="001321E0"/>
    <w:rsid w:val="001325DF"/>
    <w:rsid w:val="001326BB"/>
    <w:rsid w:val="00132936"/>
    <w:rsid w:val="0013296C"/>
    <w:rsid w:val="001329CC"/>
    <w:rsid w:val="00132BB6"/>
    <w:rsid w:val="0013308B"/>
    <w:rsid w:val="001330D5"/>
    <w:rsid w:val="00133214"/>
    <w:rsid w:val="0013339C"/>
    <w:rsid w:val="00133538"/>
    <w:rsid w:val="00133600"/>
    <w:rsid w:val="00133626"/>
    <w:rsid w:val="00133641"/>
    <w:rsid w:val="0013389D"/>
    <w:rsid w:val="001338B0"/>
    <w:rsid w:val="00133FD1"/>
    <w:rsid w:val="00134030"/>
    <w:rsid w:val="0013416C"/>
    <w:rsid w:val="001343FA"/>
    <w:rsid w:val="001346CA"/>
    <w:rsid w:val="00134B49"/>
    <w:rsid w:val="00134DF2"/>
    <w:rsid w:val="00134FAC"/>
    <w:rsid w:val="0013514E"/>
    <w:rsid w:val="0013542D"/>
    <w:rsid w:val="001355ED"/>
    <w:rsid w:val="00135969"/>
    <w:rsid w:val="0013600F"/>
    <w:rsid w:val="001360EE"/>
    <w:rsid w:val="00136B91"/>
    <w:rsid w:val="00137340"/>
    <w:rsid w:val="001377EC"/>
    <w:rsid w:val="00137806"/>
    <w:rsid w:val="0014029E"/>
    <w:rsid w:val="00140955"/>
    <w:rsid w:val="00140BD3"/>
    <w:rsid w:val="0014199D"/>
    <w:rsid w:val="00141AB6"/>
    <w:rsid w:val="00141F27"/>
    <w:rsid w:val="0014220D"/>
    <w:rsid w:val="0014259B"/>
    <w:rsid w:val="001427C2"/>
    <w:rsid w:val="001429ED"/>
    <w:rsid w:val="00142A3D"/>
    <w:rsid w:val="00142D4B"/>
    <w:rsid w:val="0014336A"/>
    <w:rsid w:val="001433FE"/>
    <w:rsid w:val="00143725"/>
    <w:rsid w:val="001437AF"/>
    <w:rsid w:val="00144494"/>
    <w:rsid w:val="0014453E"/>
    <w:rsid w:val="00144A98"/>
    <w:rsid w:val="00144CCC"/>
    <w:rsid w:val="001450B8"/>
    <w:rsid w:val="001450EE"/>
    <w:rsid w:val="00145189"/>
    <w:rsid w:val="001451E2"/>
    <w:rsid w:val="001453D9"/>
    <w:rsid w:val="001453E5"/>
    <w:rsid w:val="00145420"/>
    <w:rsid w:val="00145889"/>
    <w:rsid w:val="00145A9B"/>
    <w:rsid w:val="00145B33"/>
    <w:rsid w:val="00145CE9"/>
    <w:rsid w:val="00145D3C"/>
    <w:rsid w:val="001463A2"/>
    <w:rsid w:val="001466B8"/>
    <w:rsid w:val="00146D4C"/>
    <w:rsid w:val="0014708B"/>
    <w:rsid w:val="00147518"/>
    <w:rsid w:val="001479E1"/>
    <w:rsid w:val="00147D77"/>
    <w:rsid w:val="0015011C"/>
    <w:rsid w:val="0015013B"/>
    <w:rsid w:val="001503AA"/>
    <w:rsid w:val="001503B8"/>
    <w:rsid w:val="00150BA3"/>
    <w:rsid w:val="00151491"/>
    <w:rsid w:val="00152001"/>
    <w:rsid w:val="001524F0"/>
    <w:rsid w:val="0015271C"/>
    <w:rsid w:val="001529B0"/>
    <w:rsid w:val="00152A60"/>
    <w:rsid w:val="00152A80"/>
    <w:rsid w:val="00153BBF"/>
    <w:rsid w:val="00153DD1"/>
    <w:rsid w:val="00154D49"/>
    <w:rsid w:val="00154DC1"/>
    <w:rsid w:val="00155071"/>
    <w:rsid w:val="001554F0"/>
    <w:rsid w:val="001558FB"/>
    <w:rsid w:val="00155ACC"/>
    <w:rsid w:val="00155C36"/>
    <w:rsid w:val="00155E06"/>
    <w:rsid w:val="00155E27"/>
    <w:rsid w:val="0015605F"/>
    <w:rsid w:val="001560EF"/>
    <w:rsid w:val="00156E34"/>
    <w:rsid w:val="00156FC3"/>
    <w:rsid w:val="001574F2"/>
    <w:rsid w:val="00157690"/>
    <w:rsid w:val="00157776"/>
    <w:rsid w:val="0015782B"/>
    <w:rsid w:val="001579DF"/>
    <w:rsid w:val="0016065C"/>
    <w:rsid w:val="00160A2C"/>
    <w:rsid w:val="00160ABA"/>
    <w:rsid w:val="001611F4"/>
    <w:rsid w:val="0016197D"/>
    <w:rsid w:val="00161AC8"/>
    <w:rsid w:val="00161C5B"/>
    <w:rsid w:val="00162443"/>
    <w:rsid w:val="00162858"/>
    <w:rsid w:val="00162D8A"/>
    <w:rsid w:val="001635C5"/>
    <w:rsid w:val="0016368D"/>
    <w:rsid w:val="00163E45"/>
    <w:rsid w:val="001641A7"/>
    <w:rsid w:val="001641E3"/>
    <w:rsid w:val="00164398"/>
    <w:rsid w:val="0016452A"/>
    <w:rsid w:val="0016491B"/>
    <w:rsid w:val="00164B39"/>
    <w:rsid w:val="00164C69"/>
    <w:rsid w:val="00164ECC"/>
    <w:rsid w:val="00165037"/>
    <w:rsid w:val="001651E0"/>
    <w:rsid w:val="00165218"/>
    <w:rsid w:val="00165E22"/>
    <w:rsid w:val="00165F37"/>
    <w:rsid w:val="00165F3F"/>
    <w:rsid w:val="00166026"/>
    <w:rsid w:val="00166753"/>
    <w:rsid w:val="00166E3E"/>
    <w:rsid w:val="00167061"/>
    <w:rsid w:val="00167068"/>
    <w:rsid w:val="00167096"/>
    <w:rsid w:val="00167564"/>
    <w:rsid w:val="00167A4F"/>
    <w:rsid w:val="00167EE9"/>
    <w:rsid w:val="001704CB"/>
    <w:rsid w:val="00170575"/>
    <w:rsid w:val="001705A4"/>
    <w:rsid w:val="00170D9C"/>
    <w:rsid w:val="001712E3"/>
    <w:rsid w:val="001717F1"/>
    <w:rsid w:val="00171962"/>
    <w:rsid w:val="00171A56"/>
    <w:rsid w:val="00171BA5"/>
    <w:rsid w:val="00171FD7"/>
    <w:rsid w:val="001720DD"/>
    <w:rsid w:val="001725C5"/>
    <w:rsid w:val="00172975"/>
    <w:rsid w:val="00172DFF"/>
    <w:rsid w:val="00173632"/>
    <w:rsid w:val="00173814"/>
    <w:rsid w:val="00173C49"/>
    <w:rsid w:val="00173CB5"/>
    <w:rsid w:val="00174078"/>
    <w:rsid w:val="00174C07"/>
    <w:rsid w:val="00174DB4"/>
    <w:rsid w:val="00174E54"/>
    <w:rsid w:val="0017501E"/>
    <w:rsid w:val="00175145"/>
    <w:rsid w:val="001756BD"/>
    <w:rsid w:val="00175BD1"/>
    <w:rsid w:val="00175C81"/>
    <w:rsid w:val="0017624F"/>
    <w:rsid w:val="00176291"/>
    <w:rsid w:val="00176493"/>
    <w:rsid w:val="00176BB1"/>
    <w:rsid w:val="00176F76"/>
    <w:rsid w:val="0017743A"/>
    <w:rsid w:val="0017747D"/>
    <w:rsid w:val="00177513"/>
    <w:rsid w:val="001775FD"/>
    <w:rsid w:val="001779E4"/>
    <w:rsid w:val="00177BA4"/>
    <w:rsid w:val="0018046B"/>
    <w:rsid w:val="001807C4"/>
    <w:rsid w:val="001809C8"/>
    <w:rsid w:val="00180B04"/>
    <w:rsid w:val="00180B4B"/>
    <w:rsid w:val="00180CD0"/>
    <w:rsid w:val="00180DD6"/>
    <w:rsid w:val="00180E9A"/>
    <w:rsid w:val="001814F9"/>
    <w:rsid w:val="0018183E"/>
    <w:rsid w:val="00181886"/>
    <w:rsid w:val="00181C24"/>
    <w:rsid w:val="00181D8A"/>
    <w:rsid w:val="00181F12"/>
    <w:rsid w:val="001820C5"/>
    <w:rsid w:val="00182490"/>
    <w:rsid w:val="00182889"/>
    <w:rsid w:val="00182B00"/>
    <w:rsid w:val="00182C9D"/>
    <w:rsid w:val="00182D5E"/>
    <w:rsid w:val="00182EAC"/>
    <w:rsid w:val="001830FE"/>
    <w:rsid w:val="00183998"/>
    <w:rsid w:val="00183A4A"/>
    <w:rsid w:val="00183BBE"/>
    <w:rsid w:val="00183BD7"/>
    <w:rsid w:val="00183C89"/>
    <w:rsid w:val="00183CC7"/>
    <w:rsid w:val="0018426A"/>
    <w:rsid w:val="0018487A"/>
    <w:rsid w:val="001850C5"/>
    <w:rsid w:val="0018574D"/>
    <w:rsid w:val="00185789"/>
    <w:rsid w:val="00185796"/>
    <w:rsid w:val="00185CEC"/>
    <w:rsid w:val="00185D61"/>
    <w:rsid w:val="0018603B"/>
    <w:rsid w:val="001862CF"/>
    <w:rsid w:val="00186A4D"/>
    <w:rsid w:val="00186A9A"/>
    <w:rsid w:val="00186AFD"/>
    <w:rsid w:val="00187287"/>
    <w:rsid w:val="00187714"/>
    <w:rsid w:val="00187853"/>
    <w:rsid w:val="00187AEF"/>
    <w:rsid w:val="00187FA7"/>
    <w:rsid w:val="0019015A"/>
    <w:rsid w:val="001905B4"/>
    <w:rsid w:val="00190FE3"/>
    <w:rsid w:val="0019144F"/>
    <w:rsid w:val="00191751"/>
    <w:rsid w:val="0019187F"/>
    <w:rsid w:val="00191905"/>
    <w:rsid w:val="001921E6"/>
    <w:rsid w:val="001924D3"/>
    <w:rsid w:val="0019270E"/>
    <w:rsid w:val="0019295D"/>
    <w:rsid w:val="00192D72"/>
    <w:rsid w:val="00192F53"/>
    <w:rsid w:val="00193885"/>
    <w:rsid w:val="00193F2E"/>
    <w:rsid w:val="00193F90"/>
    <w:rsid w:val="0019411F"/>
    <w:rsid w:val="0019439E"/>
    <w:rsid w:val="00194B0B"/>
    <w:rsid w:val="00194C19"/>
    <w:rsid w:val="00194CF6"/>
    <w:rsid w:val="00195193"/>
    <w:rsid w:val="00195330"/>
    <w:rsid w:val="00195C30"/>
    <w:rsid w:val="00195C61"/>
    <w:rsid w:val="00195D66"/>
    <w:rsid w:val="00196369"/>
    <w:rsid w:val="0019644A"/>
    <w:rsid w:val="00196521"/>
    <w:rsid w:val="001966F9"/>
    <w:rsid w:val="00196DD9"/>
    <w:rsid w:val="0019706E"/>
    <w:rsid w:val="00197293"/>
    <w:rsid w:val="001975E2"/>
    <w:rsid w:val="00197835"/>
    <w:rsid w:val="00197980"/>
    <w:rsid w:val="00197C2E"/>
    <w:rsid w:val="001A0215"/>
    <w:rsid w:val="001A0287"/>
    <w:rsid w:val="001A0503"/>
    <w:rsid w:val="001A0741"/>
    <w:rsid w:val="001A0E2B"/>
    <w:rsid w:val="001A10DA"/>
    <w:rsid w:val="001A20F8"/>
    <w:rsid w:val="001A2101"/>
    <w:rsid w:val="001A227D"/>
    <w:rsid w:val="001A24D8"/>
    <w:rsid w:val="001A2B44"/>
    <w:rsid w:val="001A2E54"/>
    <w:rsid w:val="001A347B"/>
    <w:rsid w:val="001A37BD"/>
    <w:rsid w:val="001A460E"/>
    <w:rsid w:val="001A4BA2"/>
    <w:rsid w:val="001A55CF"/>
    <w:rsid w:val="001A65FD"/>
    <w:rsid w:val="001A6651"/>
    <w:rsid w:val="001A6659"/>
    <w:rsid w:val="001A6ADE"/>
    <w:rsid w:val="001A6DFA"/>
    <w:rsid w:val="001A7276"/>
    <w:rsid w:val="001A75D4"/>
    <w:rsid w:val="001A798B"/>
    <w:rsid w:val="001A7CBB"/>
    <w:rsid w:val="001A7DDC"/>
    <w:rsid w:val="001A7F00"/>
    <w:rsid w:val="001B01DA"/>
    <w:rsid w:val="001B01E6"/>
    <w:rsid w:val="001B01F5"/>
    <w:rsid w:val="001B05D1"/>
    <w:rsid w:val="001B0601"/>
    <w:rsid w:val="001B07C3"/>
    <w:rsid w:val="001B08D8"/>
    <w:rsid w:val="001B09AE"/>
    <w:rsid w:val="001B0BCD"/>
    <w:rsid w:val="001B18F8"/>
    <w:rsid w:val="001B1B8A"/>
    <w:rsid w:val="001B1F43"/>
    <w:rsid w:val="001B1FFA"/>
    <w:rsid w:val="001B25C9"/>
    <w:rsid w:val="001B2852"/>
    <w:rsid w:val="001B2892"/>
    <w:rsid w:val="001B29A8"/>
    <w:rsid w:val="001B2B5A"/>
    <w:rsid w:val="001B3126"/>
    <w:rsid w:val="001B4096"/>
    <w:rsid w:val="001B49A1"/>
    <w:rsid w:val="001B506E"/>
    <w:rsid w:val="001B52BD"/>
    <w:rsid w:val="001B52FD"/>
    <w:rsid w:val="001B56AD"/>
    <w:rsid w:val="001B58F2"/>
    <w:rsid w:val="001B5AF5"/>
    <w:rsid w:val="001B65F0"/>
    <w:rsid w:val="001B67F0"/>
    <w:rsid w:val="001B67FD"/>
    <w:rsid w:val="001B6B69"/>
    <w:rsid w:val="001B799F"/>
    <w:rsid w:val="001C005E"/>
    <w:rsid w:val="001C0227"/>
    <w:rsid w:val="001C029F"/>
    <w:rsid w:val="001C0362"/>
    <w:rsid w:val="001C0601"/>
    <w:rsid w:val="001C0997"/>
    <w:rsid w:val="001C0BBE"/>
    <w:rsid w:val="001C1167"/>
    <w:rsid w:val="001C12A4"/>
    <w:rsid w:val="001C1321"/>
    <w:rsid w:val="001C19D4"/>
    <w:rsid w:val="001C3012"/>
    <w:rsid w:val="001C3016"/>
    <w:rsid w:val="001C3283"/>
    <w:rsid w:val="001C329B"/>
    <w:rsid w:val="001C3740"/>
    <w:rsid w:val="001C3798"/>
    <w:rsid w:val="001C37CE"/>
    <w:rsid w:val="001C4CB3"/>
    <w:rsid w:val="001C500A"/>
    <w:rsid w:val="001C599C"/>
    <w:rsid w:val="001C5DFD"/>
    <w:rsid w:val="001C5F80"/>
    <w:rsid w:val="001C63E3"/>
    <w:rsid w:val="001C64BF"/>
    <w:rsid w:val="001C6650"/>
    <w:rsid w:val="001C69A8"/>
    <w:rsid w:val="001C7385"/>
    <w:rsid w:val="001C7841"/>
    <w:rsid w:val="001C79F6"/>
    <w:rsid w:val="001C7C9C"/>
    <w:rsid w:val="001C7E8E"/>
    <w:rsid w:val="001C7ED9"/>
    <w:rsid w:val="001D02D1"/>
    <w:rsid w:val="001D061E"/>
    <w:rsid w:val="001D0783"/>
    <w:rsid w:val="001D0CF2"/>
    <w:rsid w:val="001D0D48"/>
    <w:rsid w:val="001D0EAF"/>
    <w:rsid w:val="001D0EF2"/>
    <w:rsid w:val="001D10A0"/>
    <w:rsid w:val="001D121B"/>
    <w:rsid w:val="001D18A2"/>
    <w:rsid w:val="001D1F1B"/>
    <w:rsid w:val="001D25E7"/>
    <w:rsid w:val="001D298C"/>
    <w:rsid w:val="001D2DCF"/>
    <w:rsid w:val="001D3014"/>
    <w:rsid w:val="001D320E"/>
    <w:rsid w:val="001D383C"/>
    <w:rsid w:val="001D3901"/>
    <w:rsid w:val="001D43A1"/>
    <w:rsid w:val="001D495E"/>
    <w:rsid w:val="001D4C91"/>
    <w:rsid w:val="001D580D"/>
    <w:rsid w:val="001D5A50"/>
    <w:rsid w:val="001D5CCF"/>
    <w:rsid w:val="001D5D50"/>
    <w:rsid w:val="001D5E6F"/>
    <w:rsid w:val="001D6298"/>
    <w:rsid w:val="001D62F6"/>
    <w:rsid w:val="001D6A51"/>
    <w:rsid w:val="001D6A8A"/>
    <w:rsid w:val="001D6D38"/>
    <w:rsid w:val="001D6EBE"/>
    <w:rsid w:val="001D7081"/>
    <w:rsid w:val="001D7083"/>
    <w:rsid w:val="001D741E"/>
    <w:rsid w:val="001D7883"/>
    <w:rsid w:val="001D7A0C"/>
    <w:rsid w:val="001D7D56"/>
    <w:rsid w:val="001E01F9"/>
    <w:rsid w:val="001E031C"/>
    <w:rsid w:val="001E053C"/>
    <w:rsid w:val="001E0633"/>
    <w:rsid w:val="001E0C3B"/>
    <w:rsid w:val="001E0C5E"/>
    <w:rsid w:val="001E185E"/>
    <w:rsid w:val="001E1981"/>
    <w:rsid w:val="001E19A7"/>
    <w:rsid w:val="001E1BAF"/>
    <w:rsid w:val="001E1E23"/>
    <w:rsid w:val="001E1FEF"/>
    <w:rsid w:val="001E246E"/>
    <w:rsid w:val="001E2AB6"/>
    <w:rsid w:val="001E2DDC"/>
    <w:rsid w:val="001E2E72"/>
    <w:rsid w:val="001E31AB"/>
    <w:rsid w:val="001E31CB"/>
    <w:rsid w:val="001E343D"/>
    <w:rsid w:val="001E395A"/>
    <w:rsid w:val="001E39BE"/>
    <w:rsid w:val="001E3E0B"/>
    <w:rsid w:val="001E41E6"/>
    <w:rsid w:val="001E4278"/>
    <w:rsid w:val="001E46DF"/>
    <w:rsid w:val="001E48C4"/>
    <w:rsid w:val="001E4B54"/>
    <w:rsid w:val="001E4C1D"/>
    <w:rsid w:val="001E4D1D"/>
    <w:rsid w:val="001E4D40"/>
    <w:rsid w:val="001E53B4"/>
    <w:rsid w:val="001E5C6D"/>
    <w:rsid w:val="001E5DCD"/>
    <w:rsid w:val="001E6514"/>
    <w:rsid w:val="001E685C"/>
    <w:rsid w:val="001E6D10"/>
    <w:rsid w:val="001E6D38"/>
    <w:rsid w:val="001E6E72"/>
    <w:rsid w:val="001E7019"/>
    <w:rsid w:val="001E7653"/>
    <w:rsid w:val="001F0205"/>
    <w:rsid w:val="001F02F4"/>
    <w:rsid w:val="001F03BF"/>
    <w:rsid w:val="001F054B"/>
    <w:rsid w:val="001F0F99"/>
    <w:rsid w:val="001F117B"/>
    <w:rsid w:val="001F11B5"/>
    <w:rsid w:val="001F16E4"/>
    <w:rsid w:val="001F1EC1"/>
    <w:rsid w:val="001F220B"/>
    <w:rsid w:val="001F2FAD"/>
    <w:rsid w:val="001F3013"/>
    <w:rsid w:val="001F3014"/>
    <w:rsid w:val="001F30D8"/>
    <w:rsid w:val="001F32DC"/>
    <w:rsid w:val="001F35E5"/>
    <w:rsid w:val="001F3917"/>
    <w:rsid w:val="001F3AC7"/>
    <w:rsid w:val="001F3E0F"/>
    <w:rsid w:val="001F3EC2"/>
    <w:rsid w:val="001F4658"/>
    <w:rsid w:val="001F4A8C"/>
    <w:rsid w:val="001F4B81"/>
    <w:rsid w:val="001F4DEF"/>
    <w:rsid w:val="001F50D7"/>
    <w:rsid w:val="001F5464"/>
    <w:rsid w:val="001F55A7"/>
    <w:rsid w:val="001F5EDD"/>
    <w:rsid w:val="001F5F00"/>
    <w:rsid w:val="001F5FBD"/>
    <w:rsid w:val="001F6098"/>
    <w:rsid w:val="001F685E"/>
    <w:rsid w:val="001F6DC6"/>
    <w:rsid w:val="001F6F49"/>
    <w:rsid w:val="001F7067"/>
    <w:rsid w:val="001F7270"/>
    <w:rsid w:val="001F75B8"/>
    <w:rsid w:val="001F782D"/>
    <w:rsid w:val="001F78D9"/>
    <w:rsid w:val="001F7BB8"/>
    <w:rsid w:val="001F7E21"/>
    <w:rsid w:val="001F7E9C"/>
    <w:rsid w:val="002002EC"/>
    <w:rsid w:val="002007A7"/>
    <w:rsid w:val="0020093C"/>
    <w:rsid w:val="00200AB3"/>
    <w:rsid w:val="00200E2F"/>
    <w:rsid w:val="00200F6D"/>
    <w:rsid w:val="00200FC1"/>
    <w:rsid w:val="00201014"/>
    <w:rsid w:val="00201685"/>
    <w:rsid w:val="0020185A"/>
    <w:rsid w:val="00201997"/>
    <w:rsid w:val="00201E10"/>
    <w:rsid w:val="00202041"/>
    <w:rsid w:val="00202487"/>
    <w:rsid w:val="00202B87"/>
    <w:rsid w:val="00202CA5"/>
    <w:rsid w:val="002037AE"/>
    <w:rsid w:val="00203D6C"/>
    <w:rsid w:val="00204598"/>
    <w:rsid w:val="0020482D"/>
    <w:rsid w:val="002053F7"/>
    <w:rsid w:val="00205936"/>
    <w:rsid w:val="00205C89"/>
    <w:rsid w:val="00205EBA"/>
    <w:rsid w:val="00206297"/>
    <w:rsid w:val="002062F7"/>
    <w:rsid w:val="0020663A"/>
    <w:rsid w:val="00206AA5"/>
    <w:rsid w:val="00206BC4"/>
    <w:rsid w:val="00206C41"/>
    <w:rsid w:val="00206DCA"/>
    <w:rsid w:val="00206FE7"/>
    <w:rsid w:val="002070D7"/>
    <w:rsid w:val="002073A7"/>
    <w:rsid w:val="00207410"/>
    <w:rsid w:val="00207AC9"/>
    <w:rsid w:val="00207CFE"/>
    <w:rsid w:val="002101E1"/>
    <w:rsid w:val="002103DC"/>
    <w:rsid w:val="002107B7"/>
    <w:rsid w:val="0021087E"/>
    <w:rsid w:val="00210D8E"/>
    <w:rsid w:val="00210F84"/>
    <w:rsid w:val="0021159C"/>
    <w:rsid w:val="00211755"/>
    <w:rsid w:val="00211A90"/>
    <w:rsid w:val="00211C81"/>
    <w:rsid w:val="00211DC0"/>
    <w:rsid w:val="00211E5C"/>
    <w:rsid w:val="00211FF9"/>
    <w:rsid w:val="00212990"/>
    <w:rsid w:val="00212AF1"/>
    <w:rsid w:val="00212EB5"/>
    <w:rsid w:val="00212F00"/>
    <w:rsid w:val="00213128"/>
    <w:rsid w:val="002134E8"/>
    <w:rsid w:val="002142A7"/>
    <w:rsid w:val="002142D8"/>
    <w:rsid w:val="00214A3B"/>
    <w:rsid w:val="00214A42"/>
    <w:rsid w:val="00215196"/>
    <w:rsid w:val="0021577E"/>
    <w:rsid w:val="00216275"/>
    <w:rsid w:val="00216488"/>
    <w:rsid w:val="00216833"/>
    <w:rsid w:val="00216985"/>
    <w:rsid w:val="002174AD"/>
    <w:rsid w:val="002177AE"/>
    <w:rsid w:val="00220132"/>
    <w:rsid w:val="00220212"/>
    <w:rsid w:val="00220452"/>
    <w:rsid w:val="0022085C"/>
    <w:rsid w:val="002209BC"/>
    <w:rsid w:val="00220BFA"/>
    <w:rsid w:val="00220C9D"/>
    <w:rsid w:val="00221121"/>
    <w:rsid w:val="00221A86"/>
    <w:rsid w:val="00221AFC"/>
    <w:rsid w:val="00221BAC"/>
    <w:rsid w:val="00221C13"/>
    <w:rsid w:val="00222162"/>
    <w:rsid w:val="0022231F"/>
    <w:rsid w:val="002225B8"/>
    <w:rsid w:val="00222878"/>
    <w:rsid w:val="00222C39"/>
    <w:rsid w:val="002231F1"/>
    <w:rsid w:val="0022381B"/>
    <w:rsid w:val="00223DB5"/>
    <w:rsid w:val="00223DFD"/>
    <w:rsid w:val="0022453E"/>
    <w:rsid w:val="00224D5D"/>
    <w:rsid w:val="00225221"/>
    <w:rsid w:val="00225396"/>
    <w:rsid w:val="00225545"/>
    <w:rsid w:val="00225676"/>
    <w:rsid w:val="002257C7"/>
    <w:rsid w:val="00225987"/>
    <w:rsid w:val="00225E43"/>
    <w:rsid w:val="00225EA2"/>
    <w:rsid w:val="002262AA"/>
    <w:rsid w:val="0022636D"/>
    <w:rsid w:val="002266AA"/>
    <w:rsid w:val="00226A6F"/>
    <w:rsid w:val="00226D38"/>
    <w:rsid w:val="002277FA"/>
    <w:rsid w:val="0022785D"/>
    <w:rsid w:val="00227A4E"/>
    <w:rsid w:val="002301F7"/>
    <w:rsid w:val="002307D4"/>
    <w:rsid w:val="00230E26"/>
    <w:rsid w:val="00230FCF"/>
    <w:rsid w:val="00231208"/>
    <w:rsid w:val="00231520"/>
    <w:rsid w:val="00232A89"/>
    <w:rsid w:val="002330D6"/>
    <w:rsid w:val="0023383E"/>
    <w:rsid w:val="00233959"/>
    <w:rsid w:val="0023436E"/>
    <w:rsid w:val="00234385"/>
    <w:rsid w:val="00234A80"/>
    <w:rsid w:val="00234BB3"/>
    <w:rsid w:val="002354FE"/>
    <w:rsid w:val="00235525"/>
    <w:rsid w:val="002357A3"/>
    <w:rsid w:val="0023584D"/>
    <w:rsid w:val="002359E9"/>
    <w:rsid w:val="00235A05"/>
    <w:rsid w:val="00235E36"/>
    <w:rsid w:val="00235ED1"/>
    <w:rsid w:val="00235F54"/>
    <w:rsid w:val="00236529"/>
    <w:rsid w:val="002367C2"/>
    <w:rsid w:val="00236839"/>
    <w:rsid w:val="0023716A"/>
    <w:rsid w:val="0023727B"/>
    <w:rsid w:val="00237479"/>
    <w:rsid w:val="00237A87"/>
    <w:rsid w:val="00237EEF"/>
    <w:rsid w:val="002401D6"/>
    <w:rsid w:val="002402B3"/>
    <w:rsid w:val="002406C4"/>
    <w:rsid w:val="002407FE"/>
    <w:rsid w:val="0024088E"/>
    <w:rsid w:val="00240DA6"/>
    <w:rsid w:val="00240DDE"/>
    <w:rsid w:val="00240EE1"/>
    <w:rsid w:val="0024114E"/>
    <w:rsid w:val="00241232"/>
    <w:rsid w:val="002413CB"/>
    <w:rsid w:val="0024154E"/>
    <w:rsid w:val="0024231A"/>
    <w:rsid w:val="002426E0"/>
    <w:rsid w:val="00242D15"/>
    <w:rsid w:val="00242FE8"/>
    <w:rsid w:val="002432A1"/>
    <w:rsid w:val="00243396"/>
    <w:rsid w:val="00243761"/>
    <w:rsid w:val="00243AC7"/>
    <w:rsid w:val="00243ED1"/>
    <w:rsid w:val="002444BA"/>
    <w:rsid w:val="0024468E"/>
    <w:rsid w:val="00244A01"/>
    <w:rsid w:val="002450B1"/>
    <w:rsid w:val="00246175"/>
    <w:rsid w:val="0024679C"/>
    <w:rsid w:val="00246A60"/>
    <w:rsid w:val="00246ADE"/>
    <w:rsid w:val="0024762B"/>
    <w:rsid w:val="00247900"/>
    <w:rsid w:val="00250125"/>
    <w:rsid w:val="00250495"/>
    <w:rsid w:val="00250537"/>
    <w:rsid w:val="002509EC"/>
    <w:rsid w:val="00250BA3"/>
    <w:rsid w:val="00251117"/>
    <w:rsid w:val="002513A4"/>
    <w:rsid w:val="00251526"/>
    <w:rsid w:val="0025173B"/>
    <w:rsid w:val="002519E7"/>
    <w:rsid w:val="00251B24"/>
    <w:rsid w:val="00251EC4"/>
    <w:rsid w:val="00251FB5"/>
    <w:rsid w:val="0025230F"/>
    <w:rsid w:val="002524EA"/>
    <w:rsid w:val="00252E25"/>
    <w:rsid w:val="00252FDC"/>
    <w:rsid w:val="00253019"/>
    <w:rsid w:val="002532CF"/>
    <w:rsid w:val="002537D2"/>
    <w:rsid w:val="002538FE"/>
    <w:rsid w:val="002539A8"/>
    <w:rsid w:val="00253EC3"/>
    <w:rsid w:val="00253FD3"/>
    <w:rsid w:val="00254391"/>
    <w:rsid w:val="002543B2"/>
    <w:rsid w:val="00254785"/>
    <w:rsid w:val="00254EAE"/>
    <w:rsid w:val="00255418"/>
    <w:rsid w:val="002555BB"/>
    <w:rsid w:val="00255D68"/>
    <w:rsid w:val="00255E31"/>
    <w:rsid w:val="00255FA9"/>
    <w:rsid w:val="00256158"/>
    <w:rsid w:val="00256368"/>
    <w:rsid w:val="002568B6"/>
    <w:rsid w:val="00256D12"/>
    <w:rsid w:val="00256D63"/>
    <w:rsid w:val="00256DC9"/>
    <w:rsid w:val="002576DC"/>
    <w:rsid w:val="0025772F"/>
    <w:rsid w:val="002577C5"/>
    <w:rsid w:val="002577ED"/>
    <w:rsid w:val="00257836"/>
    <w:rsid w:val="00257BB4"/>
    <w:rsid w:val="00257BDE"/>
    <w:rsid w:val="00257D54"/>
    <w:rsid w:val="00257D87"/>
    <w:rsid w:val="00257FED"/>
    <w:rsid w:val="00260259"/>
    <w:rsid w:val="00260D92"/>
    <w:rsid w:val="00260DB0"/>
    <w:rsid w:val="00261049"/>
    <w:rsid w:val="00261162"/>
    <w:rsid w:val="002617D9"/>
    <w:rsid w:val="002619DA"/>
    <w:rsid w:val="00261BDA"/>
    <w:rsid w:val="00261CCF"/>
    <w:rsid w:val="00262DF2"/>
    <w:rsid w:val="00262E05"/>
    <w:rsid w:val="00262F10"/>
    <w:rsid w:val="00262FD7"/>
    <w:rsid w:val="002634E0"/>
    <w:rsid w:val="002635F1"/>
    <w:rsid w:val="00263ABE"/>
    <w:rsid w:val="00263B14"/>
    <w:rsid w:val="00263B2E"/>
    <w:rsid w:val="00263DC4"/>
    <w:rsid w:val="00263FBC"/>
    <w:rsid w:val="00264168"/>
    <w:rsid w:val="0026433A"/>
    <w:rsid w:val="0026457F"/>
    <w:rsid w:val="002645A0"/>
    <w:rsid w:val="002647DE"/>
    <w:rsid w:val="00264B8C"/>
    <w:rsid w:val="00264C84"/>
    <w:rsid w:val="00264C9C"/>
    <w:rsid w:val="00264DC0"/>
    <w:rsid w:val="002652B1"/>
    <w:rsid w:val="002655AE"/>
    <w:rsid w:val="0026560D"/>
    <w:rsid w:val="002656EB"/>
    <w:rsid w:val="00265701"/>
    <w:rsid w:val="00265F68"/>
    <w:rsid w:val="00265FD4"/>
    <w:rsid w:val="002663D4"/>
    <w:rsid w:val="002664CD"/>
    <w:rsid w:val="00266742"/>
    <w:rsid w:val="00266837"/>
    <w:rsid w:val="00266840"/>
    <w:rsid w:val="002668BE"/>
    <w:rsid w:val="00266CCE"/>
    <w:rsid w:val="00266E63"/>
    <w:rsid w:val="00267295"/>
    <w:rsid w:val="00267440"/>
    <w:rsid w:val="0026759E"/>
    <w:rsid w:val="00267677"/>
    <w:rsid w:val="00267FB0"/>
    <w:rsid w:val="0027017E"/>
    <w:rsid w:val="00270408"/>
    <w:rsid w:val="002706F6"/>
    <w:rsid w:val="002708BE"/>
    <w:rsid w:val="00270ABE"/>
    <w:rsid w:val="00270BDD"/>
    <w:rsid w:val="00270FB3"/>
    <w:rsid w:val="0027117C"/>
    <w:rsid w:val="002714E5"/>
    <w:rsid w:val="00271989"/>
    <w:rsid w:val="002719B0"/>
    <w:rsid w:val="00272461"/>
    <w:rsid w:val="00272B53"/>
    <w:rsid w:val="00272BAD"/>
    <w:rsid w:val="00272C9A"/>
    <w:rsid w:val="00272F94"/>
    <w:rsid w:val="002731C0"/>
    <w:rsid w:val="00273418"/>
    <w:rsid w:val="00273E40"/>
    <w:rsid w:val="00274437"/>
    <w:rsid w:val="00274BC2"/>
    <w:rsid w:val="00274C3E"/>
    <w:rsid w:val="00274D82"/>
    <w:rsid w:val="00274DE8"/>
    <w:rsid w:val="00274EA3"/>
    <w:rsid w:val="002751DE"/>
    <w:rsid w:val="002752D8"/>
    <w:rsid w:val="00275761"/>
    <w:rsid w:val="00275A59"/>
    <w:rsid w:val="00275B5F"/>
    <w:rsid w:val="00275FC6"/>
    <w:rsid w:val="00275FD0"/>
    <w:rsid w:val="002765A4"/>
    <w:rsid w:val="00276F61"/>
    <w:rsid w:val="0027704C"/>
    <w:rsid w:val="0027727B"/>
    <w:rsid w:val="002772AD"/>
    <w:rsid w:val="0027730C"/>
    <w:rsid w:val="00280064"/>
    <w:rsid w:val="0028049F"/>
    <w:rsid w:val="00280CD7"/>
    <w:rsid w:val="00281527"/>
    <w:rsid w:val="0028175C"/>
    <w:rsid w:val="00281A76"/>
    <w:rsid w:val="00281CAF"/>
    <w:rsid w:val="002823F1"/>
    <w:rsid w:val="0028252E"/>
    <w:rsid w:val="00282AE5"/>
    <w:rsid w:val="00283121"/>
    <w:rsid w:val="00283F1D"/>
    <w:rsid w:val="00284426"/>
    <w:rsid w:val="00284567"/>
    <w:rsid w:val="00284841"/>
    <w:rsid w:val="00284F92"/>
    <w:rsid w:val="002851B1"/>
    <w:rsid w:val="0028530B"/>
    <w:rsid w:val="002856B1"/>
    <w:rsid w:val="00285B1B"/>
    <w:rsid w:val="0028632C"/>
    <w:rsid w:val="0028634E"/>
    <w:rsid w:val="0028748D"/>
    <w:rsid w:val="00287773"/>
    <w:rsid w:val="00287832"/>
    <w:rsid w:val="00287D29"/>
    <w:rsid w:val="002901D5"/>
    <w:rsid w:val="0029028A"/>
    <w:rsid w:val="00290717"/>
    <w:rsid w:val="00291458"/>
    <w:rsid w:val="0029147E"/>
    <w:rsid w:val="00291A25"/>
    <w:rsid w:val="00291B83"/>
    <w:rsid w:val="00291C1B"/>
    <w:rsid w:val="00292036"/>
    <w:rsid w:val="002920EA"/>
    <w:rsid w:val="0029212E"/>
    <w:rsid w:val="002921AC"/>
    <w:rsid w:val="00292491"/>
    <w:rsid w:val="002924E0"/>
    <w:rsid w:val="0029290A"/>
    <w:rsid w:val="00292977"/>
    <w:rsid w:val="00292D93"/>
    <w:rsid w:val="002930C3"/>
    <w:rsid w:val="0029313C"/>
    <w:rsid w:val="002932FC"/>
    <w:rsid w:val="00293853"/>
    <w:rsid w:val="00293F25"/>
    <w:rsid w:val="002945F8"/>
    <w:rsid w:val="00294B56"/>
    <w:rsid w:val="00295674"/>
    <w:rsid w:val="002959E4"/>
    <w:rsid w:val="00295F33"/>
    <w:rsid w:val="0029607D"/>
    <w:rsid w:val="002962B2"/>
    <w:rsid w:val="0029639C"/>
    <w:rsid w:val="00296957"/>
    <w:rsid w:val="00296CAE"/>
    <w:rsid w:val="00297274"/>
    <w:rsid w:val="00297A44"/>
    <w:rsid w:val="00297A91"/>
    <w:rsid w:val="00297C35"/>
    <w:rsid w:val="00297E29"/>
    <w:rsid w:val="002A0662"/>
    <w:rsid w:val="002A0748"/>
    <w:rsid w:val="002A07CB"/>
    <w:rsid w:val="002A15DE"/>
    <w:rsid w:val="002A224F"/>
    <w:rsid w:val="002A232E"/>
    <w:rsid w:val="002A2448"/>
    <w:rsid w:val="002A24EF"/>
    <w:rsid w:val="002A2581"/>
    <w:rsid w:val="002A2607"/>
    <w:rsid w:val="002A2AF8"/>
    <w:rsid w:val="002A2C42"/>
    <w:rsid w:val="002A2D94"/>
    <w:rsid w:val="002A2EF1"/>
    <w:rsid w:val="002A303E"/>
    <w:rsid w:val="002A3190"/>
    <w:rsid w:val="002A31D3"/>
    <w:rsid w:val="002A32B4"/>
    <w:rsid w:val="002A3575"/>
    <w:rsid w:val="002A36DD"/>
    <w:rsid w:val="002A37EC"/>
    <w:rsid w:val="002A3994"/>
    <w:rsid w:val="002A3B5C"/>
    <w:rsid w:val="002A3F4A"/>
    <w:rsid w:val="002A4144"/>
    <w:rsid w:val="002A4872"/>
    <w:rsid w:val="002A4DC9"/>
    <w:rsid w:val="002A54D3"/>
    <w:rsid w:val="002A5BD4"/>
    <w:rsid w:val="002A6696"/>
    <w:rsid w:val="002A68E9"/>
    <w:rsid w:val="002A6DD4"/>
    <w:rsid w:val="002A6F30"/>
    <w:rsid w:val="002A71DE"/>
    <w:rsid w:val="002A7409"/>
    <w:rsid w:val="002A770F"/>
    <w:rsid w:val="002A7CB4"/>
    <w:rsid w:val="002B05BB"/>
    <w:rsid w:val="002B0CE1"/>
    <w:rsid w:val="002B10CD"/>
    <w:rsid w:val="002B13C3"/>
    <w:rsid w:val="002B13D7"/>
    <w:rsid w:val="002B140E"/>
    <w:rsid w:val="002B1434"/>
    <w:rsid w:val="002B1621"/>
    <w:rsid w:val="002B1906"/>
    <w:rsid w:val="002B1A59"/>
    <w:rsid w:val="002B1CA8"/>
    <w:rsid w:val="002B1CC7"/>
    <w:rsid w:val="002B29A7"/>
    <w:rsid w:val="002B2CB0"/>
    <w:rsid w:val="002B30E1"/>
    <w:rsid w:val="002B3266"/>
    <w:rsid w:val="002B32D6"/>
    <w:rsid w:val="002B349D"/>
    <w:rsid w:val="002B3682"/>
    <w:rsid w:val="002B36A8"/>
    <w:rsid w:val="002B3AE0"/>
    <w:rsid w:val="002B3D82"/>
    <w:rsid w:val="002B41DF"/>
    <w:rsid w:val="002B43A8"/>
    <w:rsid w:val="002B47B8"/>
    <w:rsid w:val="002B51A3"/>
    <w:rsid w:val="002B5903"/>
    <w:rsid w:val="002B5BF5"/>
    <w:rsid w:val="002B5C1A"/>
    <w:rsid w:val="002B5D26"/>
    <w:rsid w:val="002B6AB3"/>
    <w:rsid w:val="002B6D7B"/>
    <w:rsid w:val="002B6EFE"/>
    <w:rsid w:val="002B71DF"/>
    <w:rsid w:val="002B77BB"/>
    <w:rsid w:val="002B7AD5"/>
    <w:rsid w:val="002C06D4"/>
    <w:rsid w:val="002C097D"/>
    <w:rsid w:val="002C1134"/>
    <w:rsid w:val="002C141A"/>
    <w:rsid w:val="002C18EB"/>
    <w:rsid w:val="002C1E26"/>
    <w:rsid w:val="002C2B06"/>
    <w:rsid w:val="002C2BB6"/>
    <w:rsid w:val="002C35FB"/>
    <w:rsid w:val="002C369E"/>
    <w:rsid w:val="002C36DC"/>
    <w:rsid w:val="002C3715"/>
    <w:rsid w:val="002C3765"/>
    <w:rsid w:val="002C3B14"/>
    <w:rsid w:val="002C3C96"/>
    <w:rsid w:val="002C433D"/>
    <w:rsid w:val="002C4861"/>
    <w:rsid w:val="002C5149"/>
    <w:rsid w:val="002C572B"/>
    <w:rsid w:val="002C59AC"/>
    <w:rsid w:val="002C5B2A"/>
    <w:rsid w:val="002C5B56"/>
    <w:rsid w:val="002C5DE0"/>
    <w:rsid w:val="002C6458"/>
    <w:rsid w:val="002C65F0"/>
    <w:rsid w:val="002C6659"/>
    <w:rsid w:val="002C6C39"/>
    <w:rsid w:val="002C76F0"/>
    <w:rsid w:val="002C7FEA"/>
    <w:rsid w:val="002D02B0"/>
    <w:rsid w:val="002D09D3"/>
    <w:rsid w:val="002D0DA5"/>
    <w:rsid w:val="002D168B"/>
    <w:rsid w:val="002D178E"/>
    <w:rsid w:val="002D1A6A"/>
    <w:rsid w:val="002D1EEB"/>
    <w:rsid w:val="002D216F"/>
    <w:rsid w:val="002D21AE"/>
    <w:rsid w:val="002D2B46"/>
    <w:rsid w:val="002D308F"/>
    <w:rsid w:val="002D33B2"/>
    <w:rsid w:val="002D3453"/>
    <w:rsid w:val="002D36AF"/>
    <w:rsid w:val="002D3A73"/>
    <w:rsid w:val="002D4013"/>
    <w:rsid w:val="002D4706"/>
    <w:rsid w:val="002D49E3"/>
    <w:rsid w:val="002D4A92"/>
    <w:rsid w:val="002D4C0C"/>
    <w:rsid w:val="002D4FB2"/>
    <w:rsid w:val="002D5122"/>
    <w:rsid w:val="002D57D3"/>
    <w:rsid w:val="002D5DFC"/>
    <w:rsid w:val="002D6003"/>
    <w:rsid w:val="002D6082"/>
    <w:rsid w:val="002D6148"/>
    <w:rsid w:val="002D63A5"/>
    <w:rsid w:val="002D6742"/>
    <w:rsid w:val="002D6A2C"/>
    <w:rsid w:val="002D6B07"/>
    <w:rsid w:val="002D6D1B"/>
    <w:rsid w:val="002D7FB5"/>
    <w:rsid w:val="002E0874"/>
    <w:rsid w:val="002E0966"/>
    <w:rsid w:val="002E0D9E"/>
    <w:rsid w:val="002E0E43"/>
    <w:rsid w:val="002E1390"/>
    <w:rsid w:val="002E15A3"/>
    <w:rsid w:val="002E22F9"/>
    <w:rsid w:val="002E2E0B"/>
    <w:rsid w:val="002E2EEE"/>
    <w:rsid w:val="002E3079"/>
    <w:rsid w:val="002E38FB"/>
    <w:rsid w:val="002E39A8"/>
    <w:rsid w:val="002E3A9B"/>
    <w:rsid w:val="002E3CD1"/>
    <w:rsid w:val="002E3CF8"/>
    <w:rsid w:val="002E41AF"/>
    <w:rsid w:val="002E4BD2"/>
    <w:rsid w:val="002E4DCF"/>
    <w:rsid w:val="002E4E69"/>
    <w:rsid w:val="002E4EE0"/>
    <w:rsid w:val="002E5CC4"/>
    <w:rsid w:val="002E5D26"/>
    <w:rsid w:val="002E5F13"/>
    <w:rsid w:val="002E6458"/>
    <w:rsid w:val="002E663A"/>
    <w:rsid w:val="002E752A"/>
    <w:rsid w:val="002E7809"/>
    <w:rsid w:val="002E790D"/>
    <w:rsid w:val="002E7D6A"/>
    <w:rsid w:val="002E7D6C"/>
    <w:rsid w:val="002F06FB"/>
    <w:rsid w:val="002F11F9"/>
    <w:rsid w:val="002F1557"/>
    <w:rsid w:val="002F15E7"/>
    <w:rsid w:val="002F1B2F"/>
    <w:rsid w:val="002F1CD3"/>
    <w:rsid w:val="002F20BB"/>
    <w:rsid w:val="002F2223"/>
    <w:rsid w:val="002F2289"/>
    <w:rsid w:val="002F2415"/>
    <w:rsid w:val="002F27A2"/>
    <w:rsid w:val="002F28EE"/>
    <w:rsid w:val="002F2E1B"/>
    <w:rsid w:val="002F30EC"/>
    <w:rsid w:val="002F34B8"/>
    <w:rsid w:val="002F36E2"/>
    <w:rsid w:val="002F3851"/>
    <w:rsid w:val="002F38A8"/>
    <w:rsid w:val="002F38BC"/>
    <w:rsid w:val="002F3AF6"/>
    <w:rsid w:val="002F3E00"/>
    <w:rsid w:val="002F3EB9"/>
    <w:rsid w:val="002F44B7"/>
    <w:rsid w:val="002F45FB"/>
    <w:rsid w:val="002F468B"/>
    <w:rsid w:val="002F46E5"/>
    <w:rsid w:val="002F47CF"/>
    <w:rsid w:val="002F47F9"/>
    <w:rsid w:val="002F4A51"/>
    <w:rsid w:val="002F4D48"/>
    <w:rsid w:val="002F4E02"/>
    <w:rsid w:val="002F4EA9"/>
    <w:rsid w:val="002F5712"/>
    <w:rsid w:val="002F5A8A"/>
    <w:rsid w:val="002F5C2B"/>
    <w:rsid w:val="002F5C79"/>
    <w:rsid w:val="002F5D0E"/>
    <w:rsid w:val="002F6A21"/>
    <w:rsid w:val="002F6A2C"/>
    <w:rsid w:val="002F6B3B"/>
    <w:rsid w:val="002F6FE0"/>
    <w:rsid w:val="002F700C"/>
    <w:rsid w:val="002F706C"/>
    <w:rsid w:val="002F7501"/>
    <w:rsid w:val="002F7942"/>
    <w:rsid w:val="002F7E22"/>
    <w:rsid w:val="003000C5"/>
    <w:rsid w:val="003001C5"/>
    <w:rsid w:val="003006EC"/>
    <w:rsid w:val="0030119E"/>
    <w:rsid w:val="00301335"/>
    <w:rsid w:val="003016AD"/>
    <w:rsid w:val="00301C3F"/>
    <w:rsid w:val="00301F11"/>
    <w:rsid w:val="00302091"/>
    <w:rsid w:val="00302391"/>
    <w:rsid w:val="003023F4"/>
    <w:rsid w:val="0030247D"/>
    <w:rsid w:val="00302AC9"/>
    <w:rsid w:val="00302C19"/>
    <w:rsid w:val="00303290"/>
    <w:rsid w:val="0030342E"/>
    <w:rsid w:val="003039D1"/>
    <w:rsid w:val="00303DE0"/>
    <w:rsid w:val="00303EC6"/>
    <w:rsid w:val="00303F34"/>
    <w:rsid w:val="003049B4"/>
    <w:rsid w:val="00304DFD"/>
    <w:rsid w:val="00305AC6"/>
    <w:rsid w:val="00305FCE"/>
    <w:rsid w:val="0030601F"/>
    <w:rsid w:val="00306755"/>
    <w:rsid w:val="003067B2"/>
    <w:rsid w:val="003067D7"/>
    <w:rsid w:val="0030680A"/>
    <w:rsid w:val="00306CCC"/>
    <w:rsid w:val="003070A8"/>
    <w:rsid w:val="00307613"/>
    <w:rsid w:val="003076E2"/>
    <w:rsid w:val="00307C08"/>
    <w:rsid w:val="00310139"/>
    <w:rsid w:val="003101F6"/>
    <w:rsid w:val="003109E5"/>
    <w:rsid w:val="00310B28"/>
    <w:rsid w:val="00310C0E"/>
    <w:rsid w:val="00310D27"/>
    <w:rsid w:val="003110F1"/>
    <w:rsid w:val="003115A3"/>
    <w:rsid w:val="00311726"/>
    <w:rsid w:val="00311B55"/>
    <w:rsid w:val="00311B82"/>
    <w:rsid w:val="00311C67"/>
    <w:rsid w:val="00311D33"/>
    <w:rsid w:val="00311EF0"/>
    <w:rsid w:val="0031220C"/>
    <w:rsid w:val="00312231"/>
    <w:rsid w:val="00312963"/>
    <w:rsid w:val="00312C65"/>
    <w:rsid w:val="00312C7E"/>
    <w:rsid w:val="00312E7F"/>
    <w:rsid w:val="0031320C"/>
    <w:rsid w:val="00313680"/>
    <w:rsid w:val="0031398D"/>
    <w:rsid w:val="003139D7"/>
    <w:rsid w:val="00313B66"/>
    <w:rsid w:val="00313BB5"/>
    <w:rsid w:val="00313C54"/>
    <w:rsid w:val="00314467"/>
    <w:rsid w:val="003148D0"/>
    <w:rsid w:val="00314D20"/>
    <w:rsid w:val="00314E8E"/>
    <w:rsid w:val="00314EBF"/>
    <w:rsid w:val="00315873"/>
    <w:rsid w:val="00315A68"/>
    <w:rsid w:val="00315AA5"/>
    <w:rsid w:val="003162F5"/>
    <w:rsid w:val="00316528"/>
    <w:rsid w:val="00316C48"/>
    <w:rsid w:val="003175C2"/>
    <w:rsid w:val="00317AEA"/>
    <w:rsid w:val="00317E2A"/>
    <w:rsid w:val="00320186"/>
    <w:rsid w:val="00320307"/>
    <w:rsid w:val="00320330"/>
    <w:rsid w:val="003206F1"/>
    <w:rsid w:val="00320953"/>
    <w:rsid w:val="00320EC5"/>
    <w:rsid w:val="00321086"/>
    <w:rsid w:val="00321093"/>
    <w:rsid w:val="003211F8"/>
    <w:rsid w:val="00321B1F"/>
    <w:rsid w:val="00321BD2"/>
    <w:rsid w:val="00321E4A"/>
    <w:rsid w:val="003224B3"/>
    <w:rsid w:val="0032262B"/>
    <w:rsid w:val="0032297C"/>
    <w:rsid w:val="00322BB6"/>
    <w:rsid w:val="0032350C"/>
    <w:rsid w:val="00323D84"/>
    <w:rsid w:val="003245F2"/>
    <w:rsid w:val="003247A2"/>
    <w:rsid w:val="00324CDB"/>
    <w:rsid w:val="00325124"/>
    <w:rsid w:val="003254B4"/>
    <w:rsid w:val="00325596"/>
    <w:rsid w:val="00325656"/>
    <w:rsid w:val="003259C2"/>
    <w:rsid w:val="00325D65"/>
    <w:rsid w:val="00325DDC"/>
    <w:rsid w:val="00326100"/>
    <w:rsid w:val="0032639C"/>
    <w:rsid w:val="00326C00"/>
    <w:rsid w:val="00327181"/>
    <w:rsid w:val="003272F0"/>
    <w:rsid w:val="003276E0"/>
    <w:rsid w:val="0032780B"/>
    <w:rsid w:val="0032791B"/>
    <w:rsid w:val="00327C3D"/>
    <w:rsid w:val="003302B5"/>
    <w:rsid w:val="003305AB"/>
    <w:rsid w:val="0033074E"/>
    <w:rsid w:val="00330935"/>
    <w:rsid w:val="0033155B"/>
    <w:rsid w:val="00331B2F"/>
    <w:rsid w:val="00332116"/>
    <w:rsid w:val="003322DC"/>
    <w:rsid w:val="003328D8"/>
    <w:rsid w:val="00333274"/>
    <w:rsid w:val="0033336C"/>
    <w:rsid w:val="00333B39"/>
    <w:rsid w:val="00333B8F"/>
    <w:rsid w:val="00334E20"/>
    <w:rsid w:val="003352C9"/>
    <w:rsid w:val="00335C50"/>
    <w:rsid w:val="00335DFF"/>
    <w:rsid w:val="00336FA8"/>
    <w:rsid w:val="003374D1"/>
    <w:rsid w:val="00337888"/>
    <w:rsid w:val="0033796D"/>
    <w:rsid w:val="00337AF3"/>
    <w:rsid w:val="00337C75"/>
    <w:rsid w:val="00337EE9"/>
    <w:rsid w:val="00340080"/>
    <w:rsid w:val="00340164"/>
    <w:rsid w:val="00340351"/>
    <w:rsid w:val="00340361"/>
    <w:rsid w:val="0034057A"/>
    <w:rsid w:val="00340A3A"/>
    <w:rsid w:val="00340D52"/>
    <w:rsid w:val="00340FB9"/>
    <w:rsid w:val="00341030"/>
    <w:rsid w:val="003426B2"/>
    <w:rsid w:val="00342D2B"/>
    <w:rsid w:val="003433F1"/>
    <w:rsid w:val="00343840"/>
    <w:rsid w:val="003439F8"/>
    <w:rsid w:val="00343BC7"/>
    <w:rsid w:val="00343E77"/>
    <w:rsid w:val="00343FE0"/>
    <w:rsid w:val="00344AE7"/>
    <w:rsid w:val="0034502B"/>
    <w:rsid w:val="003451E6"/>
    <w:rsid w:val="00345903"/>
    <w:rsid w:val="003471C6"/>
    <w:rsid w:val="003474AA"/>
    <w:rsid w:val="003475EA"/>
    <w:rsid w:val="003478EF"/>
    <w:rsid w:val="00347E05"/>
    <w:rsid w:val="00350455"/>
    <w:rsid w:val="003505E0"/>
    <w:rsid w:val="00350678"/>
    <w:rsid w:val="00350A50"/>
    <w:rsid w:val="00350C2D"/>
    <w:rsid w:val="00351639"/>
    <w:rsid w:val="00351640"/>
    <w:rsid w:val="00351F12"/>
    <w:rsid w:val="00352795"/>
    <w:rsid w:val="00352CB5"/>
    <w:rsid w:val="00352F50"/>
    <w:rsid w:val="00352F78"/>
    <w:rsid w:val="00352F87"/>
    <w:rsid w:val="00353051"/>
    <w:rsid w:val="00353359"/>
    <w:rsid w:val="00353771"/>
    <w:rsid w:val="00353839"/>
    <w:rsid w:val="00353B9A"/>
    <w:rsid w:val="00353C6E"/>
    <w:rsid w:val="00354135"/>
    <w:rsid w:val="003542B2"/>
    <w:rsid w:val="003544A4"/>
    <w:rsid w:val="0035499B"/>
    <w:rsid w:val="00354AF2"/>
    <w:rsid w:val="00354E2C"/>
    <w:rsid w:val="00354FA1"/>
    <w:rsid w:val="003553F1"/>
    <w:rsid w:val="0035550D"/>
    <w:rsid w:val="0035559F"/>
    <w:rsid w:val="0035592D"/>
    <w:rsid w:val="00355B8C"/>
    <w:rsid w:val="00355C5F"/>
    <w:rsid w:val="00355C76"/>
    <w:rsid w:val="00355FE9"/>
    <w:rsid w:val="00356346"/>
    <w:rsid w:val="00356515"/>
    <w:rsid w:val="003565A0"/>
    <w:rsid w:val="00356A2B"/>
    <w:rsid w:val="00356AF7"/>
    <w:rsid w:val="003571EA"/>
    <w:rsid w:val="003573B4"/>
    <w:rsid w:val="00357609"/>
    <w:rsid w:val="00357C92"/>
    <w:rsid w:val="003600A9"/>
    <w:rsid w:val="00360869"/>
    <w:rsid w:val="00360B91"/>
    <w:rsid w:val="00360E1B"/>
    <w:rsid w:val="00360F08"/>
    <w:rsid w:val="00360F5E"/>
    <w:rsid w:val="0036155C"/>
    <w:rsid w:val="0036159E"/>
    <w:rsid w:val="0036163F"/>
    <w:rsid w:val="003621B5"/>
    <w:rsid w:val="00362401"/>
    <w:rsid w:val="00362770"/>
    <w:rsid w:val="00362925"/>
    <w:rsid w:val="00362D00"/>
    <w:rsid w:val="00363059"/>
    <w:rsid w:val="0036337B"/>
    <w:rsid w:val="00363C44"/>
    <w:rsid w:val="00363E93"/>
    <w:rsid w:val="003647A0"/>
    <w:rsid w:val="00364810"/>
    <w:rsid w:val="003649B7"/>
    <w:rsid w:val="00364A52"/>
    <w:rsid w:val="00364DC6"/>
    <w:rsid w:val="0036509B"/>
    <w:rsid w:val="003652DF"/>
    <w:rsid w:val="00365317"/>
    <w:rsid w:val="003657EB"/>
    <w:rsid w:val="00365A87"/>
    <w:rsid w:val="00365F85"/>
    <w:rsid w:val="0036616A"/>
    <w:rsid w:val="003664AF"/>
    <w:rsid w:val="003664C1"/>
    <w:rsid w:val="00366934"/>
    <w:rsid w:val="00366E59"/>
    <w:rsid w:val="003670ED"/>
    <w:rsid w:val="00367605"/>
    <w:rsid w:val="0037058F"/>
    <w:rsid w:val="003708CD"/>
    <w:rsid w:val="00370927"/>
    <w:rsid w:val="00370AC5"/>
    <w:rsid w:val="00370C16"/>
    <w:rsid w:val="00370E1B"/>
    <w:rsid w:val="00370E5C"/>
    <w:rsid w:val="0037181A"/>
    <w:rsid w:val="00372291"/>
    <w:rsid w:val="00372AE3"/>
    <w:rsid w:val="00372F97"/>
    <w:rsid w:val="00373358"/>
    <w:rsid w:val="00373DB3"/>
    <w:rsid w:val="00373E3C"/>
    <w:rsid w:val="00373F29"/>
    <w:rsid w:val="003740E6"/>
    <w:rsid w:val="003743FD"/>
    <w:rsid w:val="00374C16"/>
    <w:rsid w:val="00374D4E"/>
    <w:rsid w:val="00375107"/>
    <w:rsid w:val="00375407"/>
    <w:rsid w:val="003754E1"/>
    <w:rsid w:val="0037583B"/>
    <w:rsid w:val="00375BAF"/>
    <w:rsid w:val="00375C85"/>
    <w:rsid w:val="00375CB8"/>
    <w:rsid w:val="00376018"/>
    <w:rsid w:val="00376458"/>
    <w:rsid w:val="00376470"/>
    <w:rsid w:val="00376570"/>
    <w:rsid w:val="003765AD"/>
    <w:rsid w:val="00376A3B"/>
    <w:rsid w:val="00376C51"/>
    <w:rsid w:val="0037719C"/>
    <w:rsid w:val="00377234"/>
    <w:rsid w:val="00377504"/>
    <w:rsid w:val="0037768F"/>
    <w:rsid w:val="00377806"/>
    <w:rsid w:val="00377D8C"/>
    <w:rsid w:val="00377DA0"/>
    <w:rsid w:val="00377FBD"/>
    <w:rsid w:val="00380024"/>
    <w:rsid w:val="003801EF"/>
    <w:rsid w:val="00380243"/>
    <w:rsid w:val="003807C2"/>
    <w:rsid w:val="003808C8"/>
    <w:rsid w:val="00380938"/>
    <w:rsid w:val="00381043"/>
    <w:rsid w:val="003811C1"/>
    <w:rsid w:val="0038161A"/>
    <w:rsid w:val="003818A6"/>
    <w:rsid w:val="00381B5F"/>
    <w:rsid w:val="00381D18"/>
    <w:rsid w:val="00381DF5"/>
    <w:rsid w:val="0038224D"/>
    <w:rsid w:val="003827E3"/>
    <w:rsid w:val="0038290F"/>
    <w:rsid w:val="00382944"/>
    <w:rsid w:val="00382FDD"/>
    <w:rsid w:val="00383F38"/>
    <w:rsid w:val="00384398"/>
    <w:rsid w:val="003845C5"/>
    <w:rsid w:val="00384685"/>
    <w:rsid w:val="00384896"/>
    <w:rsid w:val="0038553D"/>
    <w:rsid w:val="00385635"/>
    <w:rsid w:val="003859B7"/>
    <w:rsid w:val="00385A4D"/>
    <w:rsid w:val="00385B77"/>
    <w:rsid w:val="00385CBA"/>
    <w:rsid w:val="0038653E"/>
    <w:rsid w:val="00386C4C"/>
    <w:rsid w:val="003870DF"/>
    <w:rsid w:val="003873DD"/>
    <w:rsid w:val="00387F5F"/>
    <w:rsid w:val="003906B3"/>
    <w:rsid w:val="00391059"/>
    <w:rsid w:val="00391184"/>
    <w:rsid w:val="003915D6"/>
    <w:rsid w:val="00391C7D"/>
    <w:rsid w:val="0039219F"/>
    <w:rsid w:val="00392C11"/>
    <w:rsid w:val="00392CC9"/>
    <w:rsid w:val="00393308"/>
    <w:rsid w:val="0039330E"/>
    <w:rsid w:val="0039347A"/>
    <w:rsid w:val="0039392E"/>
    <w:rsid w:val="00393AC8"/>
    <w:rsid w:val="00393D14"/>
    <w:rsid w:val="00394030"/>
    <w:rsid w:val="00394071"/>
    <w:rsid w:val="003944CC"/>
    <w:rsid w:val="0039465B"/>
    <w:rsid w:val="00394816"/>
    <w:rsid w:val="00394831"/>
    <w:rsid w:val="00394AFD"/>
    <w:rsid w:val="00394C09"/>
    <w:rsid w:val="0039549A"/>
    <w:rsid w:val="00395507"/>
    <w:rsid w:val="00395590"/>
    <w:rsid w:val="00395B7D"/>
    <w:rsid w:val="00395CCF"/>
    <w:rsid w:val="00395F09"/>
    <w:rsid w:val="003964E0"/>
    <w:rsid w:val="00396C7D"/>
    <w:rsid w:val="00397351"/>
    <w:rsid w:val="00397547"/>
    <w:rsid w:val="003976F9"/>
    <w:rsid w:val="00397BFA"/>
    <w:rsid w:val="003A0375"/>
    <w:rsid w:val="003A05AB"/>
    <w:rsid w:val="003A0D11"/>
    <w:rsid w:val="003A1182"/>
    <w:rsid w:val="003A1877"/>
    <w:rsid w:val="003A1A57"/>
    <w:rsid w:val="003A1E55"/>
    <w:rsid w:val="003A26CB"/>
    <w:rsid w:val="003A2984"/>
    <w:rsid w:val="003A29C7"/>
    <w:rsid w:val="003A31B5"/>
    <w:rsid w:val="003A3C1F"/>
    <w:rsid w:val="003A3E49"/>
    <w:rsid w:val="003A3F3C"/>
    <w:rsid w:val="003A4210"/>
    <w:rsid w:val="003A42D0"/>
    <w:rsid w:val="003A469D"/>
    <w:rsid w:val="003A4875"/>
    <w:rsid w:val="003A4968"/>
    <w:rsid w:val="003A4ED6"/>
    <w:rsid w:val="003A5069"/>
    <w:rsid w:val="003A5201"/>
    <w:rsid w:val="003A5415"/>
    <w:rsid w:val="003A565C"/>
    <w:rsid w:val="003A5825"/>
    <w:rsid w:val="003A58CB"/>
    <w:rsid w:val="003A5B23"/>
    <w:rsid w:val="003A5C02"/>
    <w:rsid w:val="003A5E31"/>
    <w:rsid w:val="003A634D"/>
    <w:rsid w:val="003A6442"/>
    <w:rsid w:val="003A694C"/>
    <w:rsid w:val="003A69C5"/>
    <w:rsid w:val="003A6FAF"/>
    <w:rsid w:val="003A7051"/>
    <w:rsid w:val="003A72F3"/>
    <w:rsid w:val="003A7308"/>
    <w:rsid w:val="003A753A"/>
    <w:rsid w:val="003A755A"/>
    <w:rsid w:val="003A761F"/>
    <w:rsid w:val="003A77D4"/>
    <w:rsid w:val="003A7A6A"/>
    <w:rsid w:val="003B026A"/>
    <w:rsid w:val="003B034F"/>
    <w:rsid w:val="003B0C45"/>
    <w:rsid w:val="003B0D7A"/>
    <w:rsid w:val="003B0E9E"/>
    <w:rsid w:val="003B1554"/>
    <w:rsid w:val="003B1AA5"/>
    <w:rsid w:val="003B1B20"/>
    <w:rsid w:val="003B23D2"/>
    <w:rsid w:val="003B24A5"/>
    <w:rsid w:val="003B2643"/>
    <w:rsid w:val="003B266C"/>
    <w:rsid w:val="003B2A1B"/>
    <w:rsid w:val="003B2C3F"/>
    <w:rsid w:val="003B2C5A"/>
    <w:rsid w:val="003B2D22"/>
    <w:rsid w:val="003B3256"/>
    <w:rsid w:val="003B38AE"/>
    <w:rsid w:val="003B3E10"/>
    <w:rsid w:val="003B3F7A"/>
    <w:rsid w:val="003B4317"/>
    <w:rsid w:val="003B47AE"/>
    <w:rsid w:val="003B483B"/>
    <w:rsid w:val="003B483C"/>
    <w:rsid w:val="003B4918"/>
    <w:rsid w:val="003B4936"/>
    <w:rsid w:val="003B4BFB"/>
    <w:rsid w:val="003B535A"/>
    <w:rsid w:val="003B5F08"/>
    <w:rsid w:val="003B6222"/>
    <w:rsid w:val="003B62ED"/>
    <w:rsid w:val="003B6669"/>
    <w:rsid w:val="003B67E1"/>
    <w:rsid w:val="003B6C9A"/>
    <w:rsid w:val="003B786C"/>
    <w:rsid w:val="003B7898"/>
    <w:rsid w:val="003B7A54"/>
    <w:rsid w:val="003C038E"/>
    <w:rsid w:val="003C0A54"/>
    <w:rsid w:val="003C0AF2"/>
    <w:rsid w:val="003C0D90"/>
    <w:rsid w:val="003C10EF"/>
    <w:rsid w:val="003C1A9E"/>
    <w:rsid w:val="003C1B6A"/>
    <w:rsid w:val="003C1C26"/>
    <w:rsid w:val="003C1C36"/>
    <w:rsid w:val="003C220F"/>
    <w:rsid w:val="003C26D6"/>
    <w:rsid w:val="003C2CCD"/>
    <w:rsid w:val="003C33F9"/>
    <w:rsid w:val="003C37CA"/>
    <w:rsid w:val="003C3AA5"/>
    <w:rsid w:val="003C3BC5"/>
    <w:rsid w:val="003C414B"/>
    <w:rsid w:val="003C489B"/>
    <w:rsid w:val="003C4D43"/>
    <w:rsid w:val="003C5413"/>
    <w:rsid w:val="003C5C3C"/>
    <w:rsid w:val="003C6571"/>
    <w:rsid w:val="003C6861"/>
    <w:rsid w:val="003C68F6"/>
    <w:rsid w:val="003C6915"/>
    <w:rsid w:val="003C693A"/>
    <w:rsid w:val="003C75FA"/>
    <w:rsid w:val="003C7BEF"/>
    <w:rsid w:val="003D01F2"/>
    <w:rsid w:val="003D071A"/>
    <w:rsid w:val="003D10C1"/>
    <w:rsid w:val="003D13FF"/>
    <w:rsid w:val="003D15E8"/>
    <w:rsid w:val="003D1845"/>
    <w:rsid w:val="003D1928"/>
    <w:rsid w:val="003D242A"/>
    <w:rsid w:val="003D2A23"/>
    <w:rsid w:val="003D2A81"/>
    <w:rsid w:val="003D2C5E"/>
    <w:rsid w:val="003D342D"/>
    <w:rsid w:val="003D3595"/>
    <w:rsid w:val="003D3D1C"/>
    <w:rsid w:val="003D3E47"/>
    <w:rsid w:val="003D3F43"/>
    <w:rsid w:val="003D3FC2"/>
    <w:rsid w:val="003D4683"/>
    <w:rsid w:val="003D4820"/>
    <w:rsid w:val="003D4B40"/>
    <w:rsid w:val="003D50E1"/>
    <w:rsid w:val="003D57A6"/>
    <w:rsid w:val="003D58CD"/>
    <w:rsid w:val="003D5927"/>
    <w:rsid w:val="003D5E59"/>
    <w:rsid w:val="003D61CD"/>
    <w:rsid w:val="003D65C3"/>
    <w:rsid w:val="003D67D1"/>
    <w:rsid w:val="003D683B"/>
    <w:rsid w:val="003D7059"/>
    <w:rsid w:val="003D75CC"/>
    <w:rsid w:val="003D7A65"/>
    <w:rsid w:val="003D7CB3"/>
    <w:rsid w:val="003E0318"/>
    <w:rsid w:val="003E067A"/>
    <w:rsid w:val="003E0FBA"/>
    <w:rsid w:val="003E111D"/>
    <w:rsid w:val="003E1638"/>
    <w:rsid w:val="003E174E"/>
    <w:rsid w:val="003E19A9"/>
    <w:rsid w:val="003E1E97"/>
    <w:rsid w:val="003E1E99"/>
    <w:rsid w:val="003E2291"/>
    <w:rsid w:val="003E22F9"/>
    <w:rsid w:val="003E2BEF"/>
    <w:rsid w:val="003E2D5A"/>
    <w:rsid w:val="003E36EE"/>
    <w:rsid w:val="003E3A05"/>
    <w:rsid w:val="003E3BD2"/>
    <w:rsid w:val="003E3E70"/>
    <w:rsid w:val="003E3F5B"/>
    <w:rsid w:val="003E4717"/>
    <w:rsid w:val="003E4A03"/>
    <w:rsid w:val="003E4FC4"/>
    <w:rsid w:val="003E52B3"/>
    <w:rsid w:val="003E5668"/>
    <w:rsid w:val="003E570E"/>
    <w:rsid w:val="003E577D"/>
    <w:rsid w:val="003E57F3"/>
    <w:rsid w:val="003E5C14"/>
    <w:rsid w:val="003E63A8"/>
    <w:rsid w:val="003E657F"/>
    <w:rsid w:val="003E68C7"/>
    <w:rsid w:val="003E6AE7"/>
    <w:rsid w:val="003E6C63"/>
    <w:rsid w:val="003E6DDE"/>
    <w:rsid w:val="003E6EB0"/>
    <w:rsid w:val="003E7054"/>
    <w:rsid w:val="003E707E"/>
    <w:rsid w:val="003E70A3"/>
    <w:rsid w:val="003E73B9"/>
    <w:rsid w:val="003E740E"/>
    <w:rsid w:val="003E7E1E"/>
    <w:rsid w:val="003F0160"/>
    <w:rsid w:val="003F04F5"/>
    <w:rsid w:val="003F0766"/>
    <w:rsid w:val="003F12F9"/>
    <w:rsid w:val="003F14C9"/>
    <w:rsid w:val="003F19DF"/>
    <w:rsid w:val="003F1A5B"/>
    <w:rsid w:val="003F1BA0"/>
    <w:rsid w:val="003F1D68"/>
    <w:rsid w:val="003F20B1"/>
    <w:rsid w:val="003F2268"/>
    <w:rsid w:val="003F29C0"/>
    <w:rsid w:val="003F2AD7"/>
    <w:rsid w:val="003F2C30"/>
    <w:rsid w:val="003F2C36"/>
    <w:rsid w:val="003F377B"/>
    <w:rsid w:val="003F37F9"/>
    <w:rsid w:val="003F3F73"/>
    <w:rsid w:val="003F3FDC"/>
    <w:rsid w:val="003F49DE"/>
    <w:rsid w:val="003F4E65"/>
    <w:rsid w:val="003F4F6C"/>
    <w:rsid w:val="003F530F"/>
    <w:rsid w:val="003F54F6"/>
    <w:rsid w:val="003F55D2"/>
    <w:rsid w:val="003F5631"/>
    <w:rsid w:val="003F575E"/>
    <w:rsid w:val="003F5D73"/>
    <w:rsid w:val="003F5E0A"/>
    <w:rsid w:val="003F5ECB"/>
    <w:rsid w:val="003F62B6"/>
    <w:rsid w:val="003F6DF0"/>
    <w:rsid w:val="003F76AC"/>
    <w:rsid w:val="003F7EA3"/>
    <w:rsid w:val="0040031C"/>
    <w:rsid w:val="00400406"/>
    <w:rsid w:val="00400975"/>
    <w:rsid w:val="00400980"/>
    <w:rsid w:val="00400A81"/>
    <w:rsid w:val="00400A84"/>
    <w:rsid w:val="00400D75"/>
    <w:rsid w:val="0040116E"/>
    <w:rsid w:val="004012DD"/>
    <w:rsid w:val="00402242"/>
    <w:rsid w:val="00402258"/>
    <w:rsid w:val="00402447"/>
    <w:rsid w:val="00402BA5"/>
    <w:rsid w:val="004033D3"/>
    <w:rsid w:val="0040343E"/>
    <w:rsid w:val="004040BC"/>
    <w:rsid w:val="00404296"/>
    <w:rsid w:val="00404F2D"/>
    <w:rsid w:val="00405608"/>
    <w:rsid w:val="00405BCB"/>
    <w:rsid w:val="00405BDA"/>
    <w:rsid w:val="00405D06"/>
    <w:rsid w:val="00406546"/>
    <w:rsid w:val="00406A9A"/>
    <w:rsid w:val="0040730A"/>
    <w:rsid w:val="00407341"/>
    <w:rsid w:val="004074D3"/>
    <w:rsid w:val="0040771A"/>
    <w:rsid w:val="00407C33"/>
    <w:rsid w:val="00410358"/>
    <w:rsid w:val="00410390"/>
    <w:rsid w:val="0041073D"/>
    <w:rsid w:val="00410812"/>
    <w:rsid w:val="00410E44"/>
    <w:rsid w:val="00410E62"/>
    <w:rsid w:val="004114C2"/>
    <w:rsid w:val="00411947"/>
    <w:rsid w:val="00411A2C"/>
    <w:rsid w:val="004121E8"/>
    <w:rsid w:val="0041243F"/>
    <w:rsid w:val="004127CC"/>
    <w:rsid w:val="004128BA"/>
    <w:rsid w:val="004129DB"/>
    <w:rsid w:val="004129F8"/>
    <w:rsid w:val="00412C86"/>
    <w:rsid w:val="00412E52"/>
    <w:rsid w:val="00413410"/>
    <w:rsid w:val="0041363E"/>
    <w:rsid w:val="0041373D"/>
    <w:rsid w:val="00413D20"/>
    <w:rsid w:val="00413F56"/>
    <w:rsid w:val="00414107"/>
    <w:rsid w:val="004144F3"/>
    <w:rsid w:val="00414809"/>
    <w:rsid w:val="00414BD5"/>
    <w:rsid w:val="00414D36"/>
    <w:rsid w:val="004152B7"/>
    <w:rsid w:val="00415321"/>
    <w:rsid w:val="004157BC"/>
    <w:rsid w:val="00415E41"/>
    <w:rsid w:val="00416251"/>
    <w:rsid w:val="004165F3"/>
    <w:rsid w:val="00416D80"/>
    <w:rsid w:val="00416FBD"/>
    <w:rsid w:val="0041719E"/>
    <w:rsid w:val="0041786B"/>
    <w:rsid w:val="00417A76"/>
    <w:rsid w:val="00417C25"/>
    <w:rsid w:val="00417C4D"/>
    <w:rsid w:val="00417D2A"/>
    <w:rsid w:val="004202A2"/>
    <w:rsid w:val="00420460"/>
    <w:rsid w:val="00420537"/>
    <w:rsid w:val="00420768"/>
    <w:rsid w:val="00420BF7"/>
    <w:rsid w:val="00420E78"/>
    <w:rsid w:val="004210C1"/>
    <w:rsid w:val="00421333"/>
    <w:rsid w:val="004213C6"/>
    <w:rsid w:val="00421821"/>
    <w:rsid w:val="00421B76"/>
    <w:rsid w:val="00421ECC"/>
    <w:rsid w:val="00421ECE"/>
    <w:rsid w:val="004220B6"/>
    <w:rsid w:val="004227C7"/>
    <w:rsid w:val="004227FA"/>
    <w:rsid w:val="004228D3"/>
    <w:rsid w:val="004229AC"/>
    <w:rsid w:val="00422A49"/>
    <w:rsid w:val="00422A4B"/>
    <w:rsid w:val="00422B63"/>
    <w:rsid w:val="00422DDB"/>
    <w:rsid w:val="004231B4"/>
    <w:rsid w:val="0042335A"/>
    <w:rsid w:val="0042356D"/>
    <w:rsid w:val="00423882"/>
    <w:rsid w:val="00424096"/>
    <w:rsid w:val="00424679"/>
    <w:rsid w:val="004247AA"/>
    <w:rsid w:val="00424965"/>
    <w:rsid w:val="00424A26"/>
    <w:rsid w:val="00424AD1"/>
    <w:rsid w:val="00424DA8"/>
    <w:rsid w:val="00425310"/>
    <w:rsid w:val="00425736"/>
    <w:rsid w:val="00425786"/>
    <w:rsid w:val="00425C90"/>
    <w:rsid w:val="004263BC"/>
    <w:rsid w:val="004263E8"/>
    <w:rsid w:val="00426E61"/>
    <w:rsid w:val="0042706A"/>
    <w:rsid w:val="0042723F"/>
    <w:rsid w:val="004272DA"/>
    <w:rsid w:val="00427E68"/>
    <w:rsid w:val="004300F3"/>
    <w:rsid w:val="004304A5"/>
    <w:rsid w:val="004306D0"/>
    <w:rsid w:val="00430B55"/>
    <w:rsid w:val="00430BF7"/>
    <w:rsid w:val="00430D51"/>
    <w:rsid w:val="004313E4"/>
    <w:rsid w:val="00431799"/>
    <w:rsid w:val="00431E89"/>
    <w:rsid w:val="00432060"/>
    <w:rsid w:val="00432149"/>
    <w:rsid w:val="00432177"/>
    <w:rsid w:val="004322E1"/>
    <w:rsid w:val="0043262A"/>
    <w:rsid w:val="004326F5"/>
    <w:rsid w:val="0043295F"/>
    <w:rsid w:val="00432AA7"/>
    <w:rsid w:val="00433329"/>
    <w:rsid w:val="0043378F"/>
    <w:rsid w:val="004337B9"/>
    <w:rsid w:val="0043518D"/>
    <w:rsid w:val="00435423"/>
    <w:rsid w:val="00435A89"/>
    <w:rsid w:val="00435B7E"/>
    <w:rsid w:val="00435D6C"/>
    <w:rsid w:val="00435F6E"/>
    <w:rsid w:val="00436219"/>
    <w:rsid w:val="00436282"/>
    <w:rsid w:val="00436673"/>
    <w:rsid w:val="00436C9E"/>
    <w:rsid w:val="00436DC3"/>
    <w:rsid w:val="00436F1E"/>
    <w:rsid w:val="00437031"/>
    <w:rsid w:val="0043713D"/>
    <w:rsid w:val="004374EB"/>
    <w:rsid w:val="00437706"/>
    <w:rsid w:val="004403B5"/>
    <w:rsid w:val="004410B3"/>
    <w:rsid w:val="00441679"/>
    <w:rsid w:val="0044176F"/>
    <w:rsid w:val="00442628"/>
    <w:rsid w:val="00442745"/>
    <w:rsid w:val="00442E45"/>
    <w:rsid w:val="0044327D"/>
    <w:rsid w:val="00443657"/>
    <w:rsid w:val="00443750"/>
    <w:rsid w:val="00443B39"/>
    <w:rsid w:val="00443D84"/>
    <w:rsid w:val="00444728"/>
    <w:rsid w:val="00444AA7"/>
    <w:rsid w:val="00444B94"/>
    <w:rsid w:val="004455F1"/>
    <w:rsid w:val="0044566E"/>
    <w:rsid w:val="00445A12"/>
    <w:rsid w:val="00445BBC"/>
    <w:rsid w:val="00445E2E"/>
    <w:rsid w:val="00446783"/>
    <w:rsid w:val="00446B66"/>
    <w:rsid w:val="00446FDF"/>
    <w:rsid w:val="004505E1"/>
    <w:rsid w:val="004507BA"/>
    <w:rsid w:val="004509B8"/>
    <w:rsid w:val="00450AD2"/>
    <w:rsid w:val="00450B6D"/>
    <w:rsid w:val="00450C02"/>
    <w:rsid w:val="0045111C"/>
    <w:rsid w:val="00451158"/>
    <w:rsid w:val="0045172F"/>
    <w:rsid w:val="0045192A"/>
    <w:rsid w:val="00451A4A"/>
    <w:rsid w:val="00451B83"/>
    <w:rsid w:val="00451B92"/>
    <w:rsid w:val="0045200E"/>
    <w:rsid w:val="004520AB"/>
    <w:rsid w:val="00452698"/>
    <w:rsid w:val="0045387A"/>
    <w:rsid w:val="00453BFB"/>
    <w:rsid w:val="00453C0B"/>
    <w:rsid w:val="00453F97"/>
    <w:rsid w:val="004541DC"/>
    <w:rsid w:val="004547E4"/>
    <w:rsid w:val="00454A4C"/>
    <w:rsid w:val="00454AAB"/>
    <w:rsid w:val="00454EEE"/>
    <w:rsid w:val="00454FD7"/>
    <w:rsid w:val="00455212"/>
    <w:rsid w:val="00455A6D"/>
    <w:rsid w:val="00455C68"/>
    <w:rsid w:val="00455E44"/>
    <w:rsid w:val="0045636C"/>
    <w:rsid w:val="00456DC8"/>
    <w:rsid w:val="0045716A"/>
    <w:rsid w:val="00457510"/>
    <w:rsid w:val="00457516"/>
    <w:rsid w:val="00457853"/>
    <w:rsid w:val="00457920"/>
    <w:rsid w:val="00457B8A"/>
    <w:rsid w:val="00457BCB"/>
    <w:rsid w:val="00457CDB"/>
    <w:rsid w:val="00457CF8"/>
    <w:rsid w:val="00460190"/>
    <w:rsid w:val="00460601"/>
    <w:rsid w:val="00460BD8"/>
    <w:rsid w:val="004615F0"/>
    <w:rsid w:val="004619C9"/>
    <w:rsid w:val="00461E51"/>
    <w:rsid w:val="004624EA"/>
    <w:rsid w:val="00462939"/>
    <w:rsid w:val="004632A2"/>
    <w:rsid w:val="0046345A"/>
    <w:rsid w:val="00463E94"/>
    <w:rsid w:val="00464518"/>
    <w:rsid w:val="0046453E"/>
    <w:rsid w:val="00464A80"/>
    <w:rsid w:val="00464D61"/>
    <w:rsid w:val="00465125"/>
    <w:rsid w:val="00465426"/>
    <w:rsid w:val="00465C81"/>
    <w:rsid w:val="00466A66"/>
    <w:rsid w:val="00466C67"/>
    <w:rsid w:val="00466DEF"/>
    <w:rsid w:val="00466E9B"/>
    <w:rsid w:val="00466F72"/>
    <w:rsid w:val="00467092"/>
    <w:rsid w:val="0046750D"/>
    <w:rsid w:val="00467B02"/>
    <w:rsid w:val="00467D5F"/>
    <w:rsid w:val="00470292"/>
    <w:rsid w:val="004702FB"/>
    <w:rsid w:val="004705D5"/>
    <w:rsid w:val="00470967"/>
    <w:rsid w:val="00470EB3"/>
    <w:rsid w:val="004711FD"/>
    <w:rsid w:val="00471246"/>
    <w:rsid w:val="00471330"/>
    <w:rsid w:val="004713E8"/>
    <w:rsid w:val="004718F6"/>
    <w:rsid w:val="00471FB6"/>
    <w:rsid w:val="004722D0"/>
    <w:rsid w:val="00472A8B"/>
    <w:rsid w:val="00472B7B"/>
    <w:rsid w:val="00472E77"/>
    <w:rsid w:val="00473447"/>
    <w:rsid w:val="004734F0"/>
    <w:rsid w:val="004736E8"/>
    <w:rsid w:val="00473942"/>
    <w:rsid w:val="00473A7A"/>
    <w:rsid w:val="00473E51"/>
    <w:rsid w:val="00473E74"/>
    <w:rsid w:val="004742D9"/>
    <w:rsid w:val="004745D9"/>
    <w:rsid w:val="0047484E"/>
    <w:rsid w:val="00474930"/>
    <w:rsid w:val="004750F9"/>
    <w:rsid w:val="00475420"/>
    <w:rsid w:val="00475799"/>
    <w:rsid w:val="00475C5B"/>
    <w:rsid w:val="00475DF1"/>
    <w:rsid w:val="004766A4"/>
    <w:rsid w:val="004769E0"/>
    <w:rsid w:val="00476D89"/>
    <w:rsid w:val="00476DA7"/>
    <w:rsid w:val="00476E2A"/>
    <w:rsid w:val="004771E8"/>
    <w:rsid w:val="00477866"/>
    <w:rsid w:val="00477DDE"/>
    <w:rsid w:val="00477FAB"/>
    <w:rsid w:val="00480185"/>
    <w:rsid w:val="0048093F"/>
    <w:rsid w:val="00480D20"/>
    <w:rsid w:val="004810EE"/>
    <w:rsid w:val="004813EE"/>
    <w:rsid w:val="00481B33"/>
    <w:rsid w:val="004821D1"/>
    <w:rsid w:val="00482A43"/>
    <w:rsid w:val="00482F2B"/>
    <w:rsid w:val="004830B8"/>
    <w:rsid w:val="004832A8"/>
    <w:rsid w:val="004834F9"/>
    <w:rsid w:val="00483578"/>
    <w:rsid w:val="00483826"/>
    <w:rsid w:val="00483A42"/>
    <w:rsid w:val="00483B2B"/>
    <w:rsid w:val="00484790"/>
    <w:rsid w:val="0048480F"/>
    <w:rsid w:val="00484819"/>
    <w:rsid w:val="00484C6A"/>
    <w:rsid w:val="00484CAA"/>
    <w:rsid w:val="004854A5"/>
    <w:rsid w:val="00485E7D"/>
    <w:rsid w:val="004860EF"/>
    <w:rsid w:val="00486558"/>
    <w:rsid w:val="0048656D"/>
    <w:rsid w:val="00486666"/>
    <w:rsid w:val="00490302"/>
    <w:rsid w:val="00490623"/>
    <w:rsid w:val="00490652"/>
    <w:rsid w:val="00490994"/>
    <w:rsid w:val="004909C9"/>
    <w:rsid w:val="00490B47"/>
    <w:rsid w:val="00491257"/>
    <w:rsid w:val="0049186D"/>
    <w:rsid w:val="004919CC"/>
    <w:rsid w:val="00491AD4"/>
    <w:rsid w:val="00492042"/>
    <w:rsid w:val="004924D1"/>
    <w:rsid w:val="00492F32"/>
    <w:rsid w:val="00493508"/>
    <w:rsid w:val="00493751"/>
    <w:rsid w:val="004942B9"/>
    <w:rsid w:val="00494371"/>
    <w:rsid w:val="0049465F"/>
    <w:rsid w:val="004955A7"/>
    <w:rsid w:val="00495640"/>
    <w:rsid w:val="004958E7"/>
    <w:rsid w:val="00495AE7"/>
    <w:rsid w:val="00495EE7"/>
    <w:rsid w:val="00495F43"/>
    <w:rsid w:val="00495FBD"/>
    <w:rsid w:val="00496050"/>
    <w:rsid w:val="00496502"/>
    <w:rsid w:val="004969D9"/>
    <w:rsid w:val="00496C2C"/>
    <w:rsid w:val="00496D90"/>
    <w:rsid w:val="00496F26"/>
    <w:rsid w:val="004973F2"/>
    <w:rsid w:val="00497576"/>
    <w:rsid w:val="004977A5"/>
    <w:rsid w:val="00497A1F"/>
    <w:rsid w:val="00497C65"/>
    <w:rsid w:val="00497EEB"/>
    <w:rsid w:val="004A0756"/>
    <w:rsid w:val="004A07B4"/>
    <w:rsid w:val="004A07F8"/>
    <w:rsid w:val="004A0B5C"/>
    <w:rsid w:val="004A0E09"/>
    <w:rsid w:val="004A0EED"/>
    <w:rsid w:val="004A11BB"/>
    <w:rsid w:val="004A1A93"/>
    <w:rsid w:val="004A211C"/>
    <w:rsid w:val="004A213D"/>
    <w:rsid w:val="004A22C8"/>
    <w:rsid w:val="004A318F"/>
    <w:rsid w:val="004A34C9"/>
    <w:rsid w:val="004A3554"/>
    <w:rsid w:val="004A35C8"/>
    <w:rsid w:val="004A3620"/>
    <w:rsid w:val="004A3BD1"/>
    <w:rsid w:val="004A3E00"/>
    <w:rsid w:val="004A4EF9"/>
    <w:rsid w:val="004A50A4"/>
    <w:rsid w:val="004A54B4"/>
    <w:rsid w:val="004A5CF2"/>
    <w:rsid w:val="004A5D34"/>
    <w:rsid w:val="004A5D88"/>
    <w:rsid w:val="004A5F5E"/>
    <w:rsid w:val="004A6012"/>
    <w:rsid w:val="004A624E"/>
    <w:rsid w:val="004A66BE"/>
    <w:rsid w:val="004A6E1E"/>
    <w:rsid w:val="004A71C3"/>
    <w:rsid w:val="004A7E2D"/>
    <w:rsid w:val="004B02EF"/>
    <w:rsid w:val="004B0A86"/>
    <w:rsid w:val="004B0E35"/>
    <w:rsid w:val="004B15FE"/>
    <w:rsid w:val="004B17EB"/>
    <w:rsid w:val="004B18E5"/>
    <w:rsid w:val="004B197B"/>
    <w:rsid w:val="004B1E60"/>
    <w:rsid w:val="004B23FA"/>
    <w:rsid w:val="004B2603"/>
    <w:rsid w:val="004B267D"/>
    <w:rsid w:val="004B2935"/>
    <w:rsid w:val="004B2B6A"/>
    <w:rsid w:val="004B2D21"/>
    <w:rsid w:val="004B2E12"/>
    <w:rsid w:val="004B2F9A"/>
    <w:rsid w:val="004B32DC"/>
    <w:rsid w:val="004B338E"/>
    <w:rsid w:val="004B3570"/>
    <w:rsid w:val="004B374F"/>
    <w:rsid w:val="004B3899"/>
    <w:rsid w:val="004B39ED"/>
    <w:rsid w:val="004B3E56"/>
    <w:rsid w:val="004B3FCB"/>
    <w:rsid w:val="004B3FD0"/>
    <w:rsid w:val="004B41A6"/>
    <w:rsid w:val="004B42C7"/>
    <w:rsid w:val="004B43F7"/>
    <w:rsid w:val="004B496A"/>
    <w:rsid w:val="004B4B1A"/>
    <w:rsid w:val="004B55B2"/>
    <w:rsid w:val="004B568E"/>
    <w:rsid w:val="004B5FDC"/>
    <w:rsid w:val="004B61C6"/>
    <w:rsid w:val="004B68A2"/>
    <w:rsid w:val="004B6F89"/>
    <w:rsid w:val="004B769C"/>
    <w:rsid w:val="004C015B"/>
    <w:rsid w:val="004C05DC"/>
    <w:rsid w:val="004C0BEC"/>
    <w:rsid w:val="004C111F"/>
    <w:rsid w:val="004C11B2"/>
    <w:rsid w:val="004C14CE"/>
    <w:rsid w:val="004C150E"/>
    <w:rsid w:val="004C1BCF"/>
    <w:rsid w:val="004C1C10"/>
    <w:rsid w:val="004C28D0"/>
    <w:rsid w:val="004C2DE1"/>
    <w:rsid w:val="004C2E2B"/>
    <w:rsid w:val="004C3107"/>
    <w:rsid w:val="004C3189"/>
    <w:rsid w:val="004C37E8"/>
    <w:rsid w:val="004C381B"/>
    <w:rsid w:val="004C386D"/>
    <w:rsid w:val="004C3FE7"/>
    <w:rsid w:val="004C434D"/>
    <w:rsid w:val="004C4363"/>
    <w:rsid w:val="004C46B7"/>
    <w:rsid w:val="004C4900"/>
    <w:rsid w:val="004C4BAC"/>
    <w:rsid w:val="004C5313"/>
    <w:rsid w:val="004C566E"/>
    <w:rsid w:val="004C57D6"/>
    <w:rsid w:val="004C5C43"/>
    <w:rsid w:val="004C680F"/>
    <w:rsid w:val="004C6947"/>
    <w:rsid w:val="004C694C"/>
    <w:rsid w:val="004C6D9D"/>
    <w:rsid w:val="004C6FAD"/>
    <w:rsid w:val="004C76C9"/>
    <w:rsid w:val="004C76D3"/>
    <w:rsid w:val="004C7B7E"/>
    <w:rsid w:val="004D04A6"/>
    <w:rsid w:val="004D0557"/>
    <w:rsid w:val="004D0792"/>
    <w:rsid w:val="004D0C45"/>
    <w:rsid w:val="004D0CE5"/>
    <w:rsid w:val="004D0E3D"/>
    <w:rsid w:val="004D0EAB"/>
    <w:rsid w:val="004D112B"/>
    <w:rsid w:val="004D2417"/>
    <w:rsid w:val="004D27E4"/>
    <w:rsid w:val="004D280F"/>
    <w:rsid w:val="004D2A01"/>
    <w:rsid w:val="004D2C5B"/>
    <w:rsid w:val="004D2D12"/>
    <w:rsid w:val="004D397A"/>
    <w:rsid w:val="004D3DCB"/>
    <w:rsid w:val="004D40D5"/>
    <w:rsid w:val="004D427C"/>
    <w:rsid w:val="004D43FF"/>
    <w:rsid w:val="004D4AB3"/>
    <w:rsid w:val="004D4C4E"/>
    <w:rsid w:val="004D53D5"/>
    <w:rsid w:val="004D54C0"/>
    <w:rsid w:val="004D597E"/>
    <w:rsid w:val="004D5AF5"/>
    <w:rsid w:val="004D5BB2"/>
    <w:rsid w:val="004D5E4E"/>
    <w:rsid w:val="004D5F76"/>
    <w:rsid w:val="004D638C"/>
    <w:rsid w:val="004D6977"/>
    <w:rsid w:val="004D6A22"/>
    <w:rsid w:val="004D6C23"/>
    <w:rsid w:val="004D6F72"/>
    <w:rsid w:val="004D7906"/>
    <w:rsid w:val="004D7A24"/>
    <w:rsid w:val="004D7A3A"/>
    <w:rsid w:val="004D7B3E"/>
    <w:rsid w:val="004E0001"/>
    <w:rsid w:val="004E02D2"/>
    <w:rsid w:val="004E048C"/>
    <w:rsid w:val="004E0B6B"/>
    <w:rsid w:val="004E0FA9"/>
    <w:rsid w:val="004E14BF"/>
    <w:rsid w:val="004E17BC"/>
    <w:rsid w:val="004E1831"/>
    <w:rsid w:val="004E1BA7"/>
    <w:rsid w:val="004E1D7D"/>
    <w:rsid w:val="004E22A1"/>
    <w:rsid w:val="004E2C14"/>
    <w:rsid w:val="004E3415"/>
    <w:rsid w:val="004E34FA"/>
    <w:rsid w:val="004E3A53"/>
    <w:rsid w:val="004E3AB4"/>
    <w:rsid w:val="004E3E21"/>
    <w:rsid w:val="004E41D4"/>
    <w:rsid w:val="004E422C"/>
    <w:rsid w:val="004E44F3"/>
    <w:rsid w:val="004E450D"/>
    <w:rsid w:val="004E4DAA"/>
    <w:rsid w:val="004E5ADF"/>
    <w:rsid w:val="004E5BD3"/>
    <w:rsid w:val="004E5BE2"/>
    <w:rsid w:val="004E6E01"/>
    <w:rsid w:val="004E6EFA"/>
    <w:rsid w:val="004E7359"/>
    <w:rsid w:val="004E7606"/>
    <w:rsid w:val="004E7961"/>
    <w:rsid w:val="004E7C98"/>
    <w:rsid w:val="004E7CDB"/>
    <w:rsid w:val="004E7D26"/>
    <w:rsid w:val="004E7F1F"/>
    <w:rsid w:val="004E7FF6"/>
    <w:rsid w:val="004F0E5B"/>
    <w:rsid w:val="004F0F2A"/>
    <w:rsid w:val="004F1221"/>
    <w:rsid w:val="004F149E"/>
    <w:rsid w:val="004F14AF"/>
    <w:rsid w:val="004F155A"/>
    <w:rsid w:val="004F1670"/>
    <w:rsid w:val="004F173E"/>
    <w:rsid w:val="004F1839"/>
    <w:rsid w:val="004F1871"/>
    <w:rsid w:val="004F2531"/>
    <w:rsid w:val="004F2B8C"/>
    <w:rsid w:val="004F3C55"/>
    <w:rsid w:val="004F3CD0"/>
    <w:rsid w:val="004F3DAF"/>
    <w:rsid w:val="004F45F1"/>
    <w:rsid w:val="004F4680"/>
    <w:rsid w:val="004F4AC7"/>
    <w:rsid w:val="004F4F1F"/>
    <w:rsid w:val="004F5642"/>
    <w:rsid w:val="004F5992"/>
    <w:rsid w:val="004F59CF"/>
    <w:rsid w:val="004F5A4F"/>
    <w:rsid w:val="004F613B"/>
    <w:rsid w:val="004F65F8"/>
    <w:rsid w:val="004F72B7"/>
    <w:rsid w:val="004F76FA"/>
    <w:rsid w:val="004F77E0"/>
    <w:rsid w:val="00500800"/>
    <w:rsid w:val="00500F44"/>
    <w:rsid w:val="00501490"/>
    <w:rsid w:val="00501E81"/>
    <w:rsid w:val="005028B0"/>
    <w:rsid w:val="00502D46"/>
    <w:rsid w:val="00503383"/>
    <w:rsid w:val="0050340F"/>
    <w:rsid w:val="00503455"/>
    <w:rsid w:val="00503482"/>
    <w:rsid w:val="005037AA"/>
    <w:rsid w:val="00503826"/>
    <w:rsid w:val="005039A8"/>
    <w:rsid w:val="00503DF8"/>
    <w:rsid w:val="0050437E"/>
    <w:rsid w:val="0050487E"/>
    <w:rsid w:val="00504B18"/>
    <w:rsid w:val="00504EA8"/>
    <w:rsid w:val="00505523"/>
    <w:rsid w:val="0050553B"/>
    <w:rsid w:val="005056CE"/>
    <w:rsid w:val="005058B1"/>
    <w:rsid w:val="0050590C"/>
    <w:rsid w:val="00506A1C"/>
    <w:rsid w:val="00506A1D"/>
    <w:rsid w:val="00506F8B"/>
    <w:rsid w:val="00507339"/>
    <w:rsid w:val="005075FE"/>
    <w:rsid w:val="00507DC2"/>
    <w:rsid w:val="00507F50"/>
    <w:rsid w:val="0051023E"/>
    <w:rsid w:val="0051055B"/>
    <w:rsid w:val="005105FD"/>
    <w:rsid w:val="00510628"/>
    <w:rsid w:val="00510646"/>
    <w:rsid w:val="00510706"/>
    <w:rsid w:val="00511844"/>
    <w:rsid w:val="00511EC3"/>
    <w:rsid w:val="005130DA"/>
    <w:rsid w:val="00513551"/>
    <w:rsid w:val="00513913"/>
    <w:rsid w:val="00513AB9"/>
    <w:rsid w:val="00513C58"/>
    <w:rsid w:val="00513E39"/>
    <w:rsid w:val="00513FE5"/>
    <w:rsid w:val="005140F7"/>
    <w:rsid w:val="005145C5"/>
    <w:rsid w:val="0051494E"/>
    <w:rsid w:val="00514E5C"/>
    <w:rsid w:val="0051591C"/>
    <w:rsid w:val="00515F2A"/>
    <w:rsid w:val="00516933"/>
    <w:rsid w:val="0051702D"/>
    <w:rsid w:val="00517239"/>
    <w:rsid w:val="00517491"/>
    <w:rsid w:val="00520295"/>
    <w:rsid w:val="00520574"/>
    <w:rsid w:val="00520C9F"/>
    <w:rsid w:val="00520FBA"/>
    <w:rsid w:val="00521441"/>
    <w:rsid w:val="00521BD1"/>
    <w:rsid w:val="00522429"/>
    <w:rsid w:val="0052246B"/>
    <w:rsid w:val="005226DF"/>
    <w:rsid w:val="00522740"/>
    <w:rsid w:val="0052274F"/>
    <w:rsid w:val="00522824"/>
    <w:rsid w:val="00522930"/>
    <w:rsid w:val="00522E34"/>
    <w:rsid w:val="00523068"/>
    <w:rsid w:val="005231CB"/>
    <w:rsid w:val="005231CE"/>
    <w:rsid w:val="0052333D"/>
    <w:rsid w:val="0052344C"/>
    <w:rsid w:val="00523A4B"/>
    <w:rsid w:val="00523BEE"/>
    <w:rsid w:val="005242B9"/>
    <w:rsid w:val="00524378"/>
    <w:rsid w:val="0052493C"/>
    <w:rsid w:val="00525156"/>
    <w:rsid w:val="00525827"/>
    <w:rsid w:val="005260AE"/>
    <w:rsid w:val="00526257"/>
    <w:rsid w:val="00526470"/>
    <w:rsid w:val="005268B5"/>
    <w:rsid w:val="00527412"/>
    <w:rsid w:val="0052756C"/>
    <w:rsid w:val="0052759C"/>
    <w:rsid w:val="00527FF7"/>
    <w:rsid w:val="0053004E"/>
    <w:rsid w:val="00530211"/>
    <w:rsid w:val="0053045F"/>
    <w:rsid w:val="00530E53"/>
    <w:rsid w:val="00531583"/>
    <w:rsid w:val="0053178F"/>
    <w:rsid w:val="00531F0D"/>
    <w:rsid w:val="00531F6E"/>
    <w:rsid w:val="00532026"/>
    <w:rsid w:val="0053204B"/>
    <w:rsid w:val="00532156"/>
    <w:rsid w:val="0053226F"/>
    <w:rsid w:val="00532653"/>
    <w:rsid w:val="00532713"/>
    <w:rsid w:val="00532DF3"/>
    <w:rsid w:val="00533628"/>
    <w:rsid w:val="00533F73"/>
    <w:rsid w:val="00534233"/>
    <w:rsid w:val="005342B1"/>
    <w:rsid w:val="00534450"/>
    <w:rsid w:val="0053469F"/>
    <w:rsid w:val="00534729"/>
    <w:rsid w:val="005348C7"/>
    <w:rsid w:val="00534FFC"/>
    <w:rsid w:val="005357BC"/>
    <w:rsid w:val="00535B1C"/>
    <w:rsid w:val="00535B86"/>
    <w:rsid w:val="0053614A"/>
    <w:rsid w:val="005361D1"/>
    <w:rsid w:val="0053631D"/>
    <w:rsid w:val="005365FE"/>
    <w:rsid w:val="00536717"/>
    <w:rsid w:val="005368B1"/>
    <w:rsid w:val="00536FBE"/>
    <w:rsid w:val="0053728E"/>
    <w:rsid w:val="00537298"/>
    <w:rsid w:val="00537311"/>
    <w:rsid w:val="00537746"/>
    <w:rsid w:val="00537D67"/>
    <w:rsid w:val="00537E77"/>
    <w:rsid w:val="00537E8E"/>
    <w:rsid w:val="00540681"/>
    <w:rsid w:val="00540E50"/>
    <w:rsid w:val="00540F89"/>
    <w:rsid w:val="0054107B"/>
    <w:rsid w:val="00541EF3"/>
    <w:rsid w:val="005425B7"/>
    <w:rsid w:val="005430D0"/>
    <w:rsid w:val="005440BC"/>
    <w:rsid w:val="00544104"/>
    <w:rsid w:val="005441A8"/>
    <w:rsid w:val="00544265"/>
    <w:rsid w:val="00544326"/>
    <w:rsid w:val="0054480A"/>
    <w:rsid w:val="00544C23"/>
    <w:rsid w:val="00545687"/>
    <w:rsid w:val="00545B9C"/>
    <w:rsid w:val="00545DB0"/>
    <w:rsid w:val="005460BD"/>
    <w:rsid w:val="005461F2"/>
    <w:rsid w:val="00546273"/>
    <w:rsid w:val="005465AC"/>
    <w:rsid w:val="00546B63"/>
    <w:rsid w:val="00546C08"/>
    <w:rsid w:val="00547920"/>
    <w:rsid w:val="00547D42"/>
    <w:rsid w:val="00547F7B"/>
    <w:rsid w:val="005500DE"/>
    <w:rsid w:val="005506BB"/>
    <w:rsid w:val="00550B96"/>
    <w:rsid w:val="00551035"/>
    <w:rsid w:val="005510C5"/>
    <w:rsid w:val="0055136A"/>
    <w:rsid w:val="0055170B"/>
    <w:rsid w:val="00551715"/>
    <w:rsid w:val="005517BC"/>
    <w:rsid w:val="00551B17"/>
    <w:rsid w:val="00551B1D"/>
    <w:rsid w:val="00551F21"/>
    <w:rsid w:val="00551F80"/>
    <w:rsid w:val="005521D5"/>
    <w:rsid w:val="00552771"/>
    <w:rsid w:val="005529D0"/>
    <w:rsid w:val="005529E3"/>
    <w:rsid w:val="005530EB"/>
    <w:rsid w:val="005532C6"/>
    <w:rsid w:val="00553B1E"/>
    <w:rsid w:val="0055446F"/>
    <w:rsid w:val="00554629"/>
    <w:rsid w:val="00554B45"/>
    <w:rsid w:val="00554D31"/>
    <w:rsid w:val="005553F3"/>
    <w:rsid w:val="00555465"/>
    <w:rsid w:val="005559FE"/>
    <w:rsid w:val="00555C8A"/>
    <w:rsid w:val="005560BE"/>
    <w:rsid w:val="00557335"/>
    <w:rsid w:val="0055758B"/>
    <w:rsid w:val="00557F43"/>
    <w:rsid w:val="00557F99"/>
    <w:rsid w:val="00560506"/>
    <w:rsid w:val="005605E9"/>
    <w:rsid w:val="0056079C"/>
    <w:rsid w:val="00560968"/>
    <w:rsid w:val="00560B01"/>
    <w:rsid w:val="00561063"/>
    <w:rsid w:val="00561300"/>
    <w:rsid w:val="00561360"/>
    <w:rsid w:val="00561595"/>
    <w:rsid w:val="005616DA"/>
    <w:rsid w:val="00562DA3"/>
    <w:rsid w:val="00563021"/>
    <w:rsid w:val="00563056"/>
    <w:rsid w:val="0056326A"/>
    <w:rsid w:val="00563307"/>
    <w:rsid w:val="00563732"/>
    <w:rsid w:val="00563AAE"/>
    <w:rsid w:val="00563D43"/>
    <w:rsid w:val="00563DC1"/>
    <w:rsid w:val="0056418C"/>
    <w:rsid w:val="0056459D"/>
    <w:rsid w:val="0056477C"/>
    <w:rsid w:val="00564864"/>
    <w:rsid w:val="0056489D"/>
    <w:rsid w:val="00564EEE"/>
    <w:rsid w:val="00565210"/>
    <w:rsid w:val="0056564E"/>
    <w:rsid w:val="00565C8F"/>
    <w:rsid w:val="00565E05"/>
    <w:rsid w:val="00565E1E"/>
    <w:rsid w:val="00566027"/>
    <w:rsid w:val="005662BD"/>
    <w:rsid w:val="005662E0"/>
    <w:rsid w:val="00566828"/>
    <w:rsid w:val="00566A67"/>
    <w:rsid w:val="00566B61"/>
    <w:rsid w:val="00566E4B"/>
    <w:rsid w:val="005674D5"/>
    <w:rsid w:val="00567A93"/>
    <w:rsid w:val="00567C0A"/>
    <w:rsid w:val="00567F61"/>
    <w:rsid w:val="0057066C"/>
    <w:rsid w:val="00570C7E"/>
    <w:rsid w:val="00570DC0"/>
    <w:rsid w:val="00571373"/>
    <w:rsid w:val="00571BE2"/>
    <w:rsid w:val="00571C68"/>
    <w:rsid w:val="00571D95"/>
    <w:rsid w:val="00571ECE"/>
    <w:rsid w:val="00571F19"/>
    <w:rsid w:val="00572962"/>
    <w:rsid w:val="00572AFE"/>
    <w:rsid w:val="00572E36"/>
    <w:rsid w:val="00572F40"/>
    <w:rsid w:val="0057352C"/>
    <w:rsid w:val="00573F65"/>
    <w:rsid w:val="0057433F"/>
    <w:rsid w:val="00574613"/>
    <w:rsid w:val="00574675"/>
    <w:rsid w:val="005746E5"/>
    <w:rsid w:val="00574A08"/>
    <w:rsid w:val="00574A4B"/>
    <w:rsid w:val="00574B22"/>
    <w:rsid w:val="00574DD7"/>
    <w:rsid w:val="00575099"/>
    <w:rsid w:val="005751EF"/>
    <w:rsid w:val="00575477"/>
    <w:rsid w:val="00575479"/>
    <w:rsid w:val="005755B9"/>
    <w:rsid w:val="00575DA9"/>
    <w:rsid w:val="00576B21"/>
    <w:rsid w:val="00576CFD"/>
    <w:rsid w:val="00577185"/>
    <w:rsid w:val="00577DAB"/>
    <w:rsid w:val="00580265"/>
    <w:rsid w:val="005809B9"/>
    <w:rsid w:val="00580A86"/>
    <w:rsid w:val="00581085"/>
    <w:rsid w:val="0058150E"/>
    <w:rsid w:val="005820A0"/>
    <w:rsid w:val="005820B5"/>
    <w:rsid w:val="00582162"/>
    <w:rsid w:val="005821C3"/>
    <w:rsid w:val="00582969"/>
    <w:rsid w:val="00582A54"/>
    <w:rsid w:val="00582B4B"/>
    <w:rsid w:val="00583B2F"/>
    <w:rsid w:val="00583C24"/>
    <w:rsid w:val="005841C2"/>
    <w:rsid w:val="0058466F"/>
    <w:rsid w:val="005849A7"/>
    <w:rsid w:val="005849F6"/>
    <w:rsid w:val="0058618D"/>
    <w:rsid w:val="0058636E"/>
    <w:rsid w:val="00586DF2"/>
    <w:rsid w:val="00586EB3"/>
    <w:rsid w:val="00586F03"/>
    <w:rsid w:val="00586F34"/>
    <w:rsid w:val="00587162"/>
    <w:rsid w:val="00587618"/>
    <w:rsid w:val="00587A2F"/>
    <w:rsid w:val="00587D72"/>
    <w:rsid w:val="00587D7B"/>
    <w:rsid w:val="00587EED"/>
    <w:rsid w:val="00590093"/>
    <w:rsid w:val="0059069B"/>
    <w:rsid w:val="005909DB"/>
    <w:rsid w:val="00590AD6"/>
    <w:rsid w:val="00591892"/>
    <w:rsid w:val="00591E16"/>
    <w:rsid w:val="0059214F"/>
    <w:rsid w:val="0059249E"/>
    <w:rsid w:val="0059255C"/>
    <w:rsid w:val="005929C7"/>
    <w:rsid w:val="00592A2D"/>
    <w:rsid w:val="00592C5D"/>
    <w:rsid w:val="00592E0B"/>
    <w:rsid w:val="00593451"/>
    <w:rsid w:val="00593E23"/>
    <w:rsid w:val="00594A69"/>
    <w:rsid w:val="00594A9A"/>
    <w:rsid w:val="00594C5B"/>
    <w:rsid w:val="00594E88"/>
    <w:rsid w:val="0059506A"/>
    <w:rsid w:val="005953D5"/>
    <w:rsid w:val="00595614"/>
    <w:rsid w:val="005957BB"/>
    <w:rsid w:val="0059597F"/>
    <w:rsid w:val="00595F3E"/>
    <w:rsid w:val="0059683B"/>
    <w:rsid w:val="00596F9E"/>
    <w:rsid w:val="0059733F"/>
    <w:rsid w:val="005977B8"/>
    <w:rsid w:val="00597E3B"/>
    <w:rsid w:val="00597F36"/>
    <w:rsid w:val="005A03F8"/>
    <w:rsid w:val="005A0725"/>
    <w:rsid w:val="005A0B1C"/>
    <w:rsid w:val="005A118F"/>
    <w:rsid w:val="005A1391"/>
    <w:rsid w:val="005A1655"/>
    <w:rsid w:val="005A18AA"/>
    <w:rsid w:val="005A18EA"/>
    <w:rsid w:val="005A1D76"/>
    <w:rsid w:val="005A23DA"/>
    <w:rsid w:val="005A2AD4"/>
    <w:rsid w:val="005A3108"/>
    <w:rsid w:val="005A32F7"/>
    <w:rsid w:val="005A3BAC"/>
    <w:rsid w:val="005A44B4"/>
    <w:rsid w:val="005A4988"/>
    <w:rsid w:val="005A4B56"/>
    <w:rsid w:val="005A52CF"/>
    <w:rsid w:val="005A52E0"/>
    <w:rsid w:val="005A56CD"/>
    <w:rsid w:val="005A5B2B"/>
    <w:rsid w:val="005A5C72"/>
    <w:rsid w:val="005A5E88"/>
    <w:rsid w:val="005A5F8E"/>
    <w:rsid w:val="005A6316"/>
    <w:rsid w:val="005A64E0"/>
    <w:rsid w:val="005A662E"/>
    <w:rsid w:val="005A6A92"/>
    <w:rsid w:val="005A6EA7"/>
    <w:rsid w:val="005A7365"/>
    <w:rsid w:val="005A7490"/>
    <w:rsid w:val="005A7891"/>
    <w:rsid w:val="005A78AD"/>
    <w:rsid w:val="005A7F48"/>
    <w:rsid w:val="005B0182"/>
    <w:rsid w:val="005B021C"/>
    <w:rsid w:val="005B0463"/>
    <w:rsid w:val="005B0A24"/>
    <w:rsid w:val="005B0A86"/>
    <w:rsid w:val="005B0BB2"/>
    <w:rsid w:val="005B0F34"/>
    <w:rsid w:val="005B1004"/>
    <w:rsid w:val="005B1412"/>
    <w:rsid w:val="005B147B"/>
    <w:rsid w:val="005B1A22"/>
    <w:rsid w:val="005B213E"/>
    <w:rsid w:val="005B2B56"/>
    <w:rsid w:val="005B3219"/>
    <w:rsid w:val="005B3336"/>
    <w:rsid w:val="005B34EC"/>
    <w:rsid w:val="005B369B"/>
    <w:rsid w:val="005B36F6"/>
    <w:rsid w:val="005B3716"/>
    <w:rsid w:val="005B37AB"/>
    <w:rsid w:val="005B3B56"/>
    <w:rsid w:val="005B3BCC"/>
    <w:rsid w:val="005B3EEF"/>
    <w:rsid w:val="005B40DC"/>
    <w:rsid w:val="005B436B"/>
    <w:rsid w:val="005B47DC"/>
    <w:rsid w:val="005B4852"/>
    <w:rsid w:val="005B498C"/>
    <w:rsid w:val="005B4D64"/>
    <w:rsid w:val="005B4EA4"/>
    <w:rsid w:val="005B4F7A"/>
    <w:rsid w:val="005B4FC0"/>
    <w:rsid w:val="005B55D0"/>
    <w:rsid w:val="005B57F1"/>
    <w:rsid w:val="005B5848"/>
    <w:rsid w:val="005B5B86"/>
    <w:rsid w:val="005B5C03"/>
    <w:rsid w:val="005B5E0D"/>
    <w:rsid w:val="005B62A3"/>
    <w:rsid w:val="005B64AA"/>
    <w:rsid w:val="005B6639"/>
    <w:rsid w:val="005B69F2"/>
    <w:rsid w:val="005B6B07"/>
    <w:rsid w:val="005B79ED"/>
    <w:rsid w:val="005C0CE5"/>
    <w:rsid w:val="005C1321"/>
    <w:rsid w:val="005C1856"/>
    <w:rsid w:val="005C1B9F"/>
    <w:rsid w:val="005C23C0"/>
    <w:rsid w:val="005C30D6"/>
    <w:rsid w:val="005C3125"/>
    <w:rsid w:val="005C31CB"/>
    <w:rsid w:val="005C3214"/>
    <w:rsid w:val="005C344C"/>
    <w:rsid w:val="005C35CD"/>
    <w:rsid w:val="005C363E"/>
    <w:rsid w:val="005C367F"/>
    <w:rsid w:val="005C38D0"/>
    <w:rsid w:val="005C39A4"/>
    <w:rsid w:val="005C3A01"/>
    <w:rsid w:val="005C3F58"/>
    <w:rsid w:val="005C40CD"/>
    <w:rsid w:val="005C47CE"/>
    <w:rsid w:val="005C4C24"/>
    <w:rsid w:val="005C4EE9"/>
    <w:rsid w:val="005C4F9E"/>
    <w:rsid w:val="005C53E0"/>
    <w:rsid w:val="005C58E7"/>
    <w:rsid w:val="005C5F7C"/>
    <w:rsid w:val="005C660E"/>
    <w:rsid w:val="005C662F"/>
    <w:rsid w:val="005C70AB"/>
    <w:rsid w:val="005C732E"/>
    <w:rsid w:val="005C7465"/>
    <w:rsid w:val="005C7B6D"/>
    <w:rsid w:val="005C7C5E"/>
    <w:rsid w:val="005C7D8D"/>
    <w:rsid w:val="005C7F36"/>
    <w:rsid w:val="005D0539"/>
    <w:rsid w:val="005D0CB5"/>
    <w:rsid w:val="005D0F3E"/>
    <w:rsid w:val="005D114E"/>
    <w:rsid w:val="005D1273"/>
    <w:rsid w:val="005D199C"/>
    <w:rsid w:val="005D1CDA"/>
    <w:rsid w:val="005D2235"/>
    <w:rsid w:val="005D2582"/>
    <w:rsid w:val="005D271E"/>
    <w:rsid w:val="005D2920"/>
    <w:rsid w:val="005D35F7"/>
    <w:rsid w:val="005D3876"/>
    <w:rsid w:val="005D3937"/>
    <w:rsid w:val="005D3E16"/>
    <w:rsid w:val="005D43DB"/>
    <w:rsid w:val="005D44CD"/>
    <w:rsid w:val="005D4866"/>
    <w:rsid w:val="005D4B98"/>
    <w:rsid w:val="005D5124"/>
    <w:rsid w:val="005D539D"/>
    <w:rsid w:val="005D5D00"/>
    <w:rsid w:val="005D627D"/>
    <w:rsid w:val="005D6530"/>
    <w:rsid w:val="005D6684"/>
    <w:rsid w:val="005D6948"/>
    <w:rsid w:val="005D69AC"/>
    <w:rsid w:val="005D69CF"/>
    <w:rsid w:val="005D7470"/>
    <w:rsid w:val="005D78CE"/>
    <w:rsid w:val="005D7B40"/>
    <w:rsid w:val="005D7D61"/>
    <w:rsid w:val="005D7F00"/>
    <w:rsid w:val="005E0302"/>
    <w:rsid w:val="005E07A9"/>
    <w:rsid w:val="005E09C3"/>
    <w:rsid w:val="005E0D5F"/>
    <w:rsid w:val="005E0DC1"/>
    <w:rsid w:val="005E0F10"/>
    <w:rsid w:val="005E1022"/>
    <w:rsid w:val="005E17D4"/>
    <w:rsid w:val="005E1D16"/>
    <w:rsid w:val="005E1F48"/>
    <w:rsid w:val="005E250B"/>
    <w:rsid w:val="005E2536"/>
    <w:rsid w:val="005E25ED"/>
    <w:rsid w:val="005E2A65"/>
    <w:rsid w:val="005E2B9A"/>
    <w:rsid w:val="005E2BEE"/>
    <w:rsid w:val="005E2E5B"/>
    <w:rsid w:val="005E3606"/>
    <w:rsid w:val="005E38AB"/>
    <w:rsid w:val="005E40E3"/>
    <w:rsid w:val="005E4808"/>
    <w:rsid w:val="005E4978"/>
    <w:rsid w:val="005E4DB3"/>
    <w:rsid w:val="005E5120"/>
    <w:rsid w:val="005E54AC"/>
    <w:rsid w:val="005E5500"/>
    <w:rsid w:val="005E5CDB"/>
    <w:rsid w:val="005E60A4"/>
    <w:rsid w:val="005E61FE"/>
    <w:rsid w:val="005E6546"/>
    <w:rsid w:val="005E68F0"/>
    <w:rsid w:val="005E6B40"/>
    <w:rsid w:val="005E6C01"/>
    <w:rsid w:val="005E6C06"/>
    <w:rsid w:val="005E6D40"/>
    <w:rsid w:val="005E7167"/>
    <w:rsid w:val="005E7548"/>
    <w:rsid w:val="005E7706"/>
    <w:rsid w:val="005E7B29"/>
    <w:rsid w:val="005F02C4"/>
    <w:rsid w:val="005F0478"/>
    <w:rsid w:val="005F0963"/>
    <w:rsid w:val="005F09BA"/>
    <w:rsid w:val="005F0CD0"/>
    <w:rsid w:val="005F0FB6"/>
    <w:rsid w:val="005F104B"/>
    <w:rsid w:val="005F126D"/>
    <w:rsid w:val="005F12B5"/>
    <w:rsid w:val="005F133F"/>
    <w:rsid w:val="005F15A7"/>
    <w:rsid w:val="005F19E5"/>
    <w:rsid w:val="005F1FCA"/>
    <w:rsid w:val="005F20F1"/>
    <w:rsid w:val="005F25BF"/>
    <w:rsid w:val="005F25C2"/>
    <w:rsid w:val="005F2983"/>
    <w:rsid w:val="005F2A11"/>
    <w:rsid w:val="005F2B27"/>
    <w:rsid w:val="005F2D86"/>
    <w:rsid w:val="005F39D5"/>
    <w:rsid w:val="005F39FE"/>
    <w:rsid w:val="005F3DFA"/>
    <w:rsid w:val="005F3E75"/>
    <w:rsid w:val="005F4A09"/>
    <w:rsid w:val="005F4A59"/>
    <w:rsid w:val="005F5005"/>
    <w:rsid w:val="005F566A"/>
    <w:rsid w:val="005F571B"/>
    <w:rsid w:val="005F59E0"/>
    <w:rsid w:val="005F5A88"/>
    <w:rsid w:val="005F5A92"/>
    <w:rsid w:val="005F5B51"/>
    <w:rsid w:val="005F5BE9"/>
    <w:rsid w:val="005F5F8F"/>
    <w:rsid w:val="005F63DD"/>
    <w:rsid w:val="005F647D"/>
    <w:rsid w:val="005F6AF2"/>
    <w:rsid w:val="005F7726"/>
    <w:rsid w:val="00600243"/>
    <w:rsid w:val="006002A4"/>
    <w:rsid w:val="006005F8"/>
    <w:rsid w:val="006008F2"/>
    <w:rsid w:val="0060094E"/>
    <w:rsid w:val="00601202"/>
    <w:rsid w:val="0060124C"/>
    <w:rsid w:val="006012B4"/>
    <w:rsid w:val="006012B9"/>
    <w:rsid w:val="006013D1"/>
    <w:rsid w:val="00601649"/>
    <w:rsid w:val="00601965"/>
    <w:rsid w:val="0060196D"/>
    <w:rsid w:val="00602048"/>
    <w:rsid w:val="00602183"/>
    <w:rsid w:val="00602EC4"/>
    <w:rsid w:val="00602EE1"/>
    <w:rsid w:val="00602FE4"/>
    <w:rsid w:val="0060385A"/>
    <w:rsid w:val="00603952"/>
    <w:rsid w:val="0060407A"/>
    <w:rsid w:val="00604409"/>
    <w:rsid w:val="006044D3"/>
    <w:rsid w:val="0060471C"/>
    <w:rsid w:val="00604909"/>
    <w:rsid w:val="00604B8A"/>
    <w:rsid w:val="00604C46"/>
    <w:rsid w:val="00604F3C"/>
    <w:rsid w:val="00605009"/>
    <w:rsid w:val="00605FCE"/>
    <w:rsid w:val="006063E9"/>
    <w:rsid w:val="006066F3"/>
    <w:rsid w:val="0060670C"/>
    <w:rsid w:val="006068CA"/>
    <w:rsid w:val="0060698E"/>
    <w:rsid w:val="00606D31"/>
    <w:rsid w:val="00606DCF"/>
    <w:rsid w:val="00606E0A"/>
    <w:rsid w:val="00606E68"/>
    <w:rsid w:val="00607093"/>
    <w:rsid w:val="006072F0"/>
    <w:rsid w:val="00607338"/>
    <w:rsid w:val="006074CA"/>
    <w:rsid w:val="00607619"/>
    <w:rsid w:val="00607705"/>
    <w:rsid w:val="00607C74"/>
    <w:rsid w:val="00607CDA"/>
    <w:rsid w:val="00607E7B"/>
    <w:rsid w:val="00607EE7"/>
    <w:rsid w:val="0061081F"/>
    <w:rsid w:val="006109FE"/>
    <w:rsid w:val="00610CDD"/>
    <w:rsid w:val="00610D9F"/>
    <w:rsid w:val="006113A8"/>
    <w:rsid w:val="00611436"/>
    <w:rsid w:val="006116E4"/>
    <w:rsid w:val="00611E1F"/>
    <w:rsid w:val="0061216E"/>
    <w:rsid w:val="00612460"/>
    <w:rsid w:val="00612753"/>
    <w:rsid w:val="00612BDB"/>
    <w:rsid w:val="00612E0B"/>
    <w:rsid w:val="00612E89"/>
    <w:rsid w:val="00612FA1"/>
    <w:rsid w:val="006133E3"/>
    <w:rsid w:val="00613775"/>
    <w:rsid w:val="00613C1B"/>
    <w:rsid w:val="00613FA6"/>
    <w:rsid w:val="00614138"/>
    <w:rsid w:val="0061432B"/>
    <w:rsid w:val="00614534"/>
    <w:rsid w:val="00614664"/>
    <w:rsid w:val="00614704"/>
    <w:rsid w:val="00614915"/>
    <w:rsid w:val="00614946"/>
    <w:rsid w:val="00614B23"/>
    <w:rsid w:val="00614DDD"/>
    <w:rsid w:val="00614E54"/>
    <w:rsid w:val="006157D2"/>
    <w:rsid w:val="006157F9"/>
    <w:rsid w:val="00615847"/>
    <w:rsid w:val="00615E79"/>
    <w:rsid w:val="00615E7B"/>
    <w:rsid w:val="00616125"/>
    <w:rsid w:val="006162F6"/>
    <w:rsid w:val="0061651E"/>
    <w:rsid w:val="0061692B"/>
    <w:rsid w:val="00616AD5"/>
    <w:rsid w:val="006172B0"/>
    <w:rsid w:val="00617371"/>
    <w:rsid w:val="006175E0"/>
    <w:rsid w:val="0061765B"/>
    <w:rsid w:val="006179BB"/>
    <w:rsid w:val="00617D72"/>
    <w:rsid w:val="00617FD1"/>
    <w:rsid w:val="006202EF"/>
    <w:rsid w:val="00621546"/>
    <w:rsid w:val="00621D7E"/>
    <w:rsid w:val="00622055"/>
    <w:rsid w:val="006220D7"/>
    <w:rsid w:val="00622260"/>
    <w:rsid w:val="006225D0"/>
    <w:rsid w:val="00622650"/>
    <w:rsid w:val="00622D85"/>
    <w:rsid w:val="00622E20"/>
    <w:rsid w:val="00623266"/>
    <w:rsid w:val="006236F6"/>
    <w:rsid w:val="0062398C"/>
    <w:rsid w:val="006240B4"/>
    <w:rsid w:val="0062462C"/>
    <w:rsid w:val="00625669"/>
    <w:rsid w:val="006256BA"/>
    <w:rsid w:val="006258E5"/>
    <w:rsid w:val="0062593C"/>
    <w:rsid w:val="00625A6A"/>
    <w:rsid w:val="00625B2A"/>
    <w:rsid w:val="00625CB9"/>
    <w:rsid w:val="00625DA8"/>
    <w:rsid w:val="00626250"/>
    <w:rsid w:val="00626621"/>
    <w:rsid w:val="006268FB"/>
    <w:rsid w:val="006269C3"/>
    <w:rsid w:val="00626B18"/>
    <w:rsid w:val="006275D2"/>
    <w:rsid w:val="00630637"/>
    <w:rsid w:val="00630CF5"/>
    <w:rsid w:val="0063131A"/>
    <w:rsid w:val="0063139E"/>
    <w:rsid w:val="006314A4"/>
    <w:rsid w:val="00631603"/>
    <w:rsid w:val="006317EC"/>
    <w:rsid w:val="00631924"/>
    <w:rsid w:val="00631B76"/>
    <w:rsid w:val="00631DCB"/>
    <w:rsid w:val="00631FAD"/>
    <w:rsid w:val="006320BB"/>
    <w:rsid w:val="006320D3"/>
    <w:rsid w:val="00632457"/>
    <w:rsid w:val="00632477"/>
    <w:rsid w:val="00632CED"/>
    <w:rsid w:val="00632CF6"/>
    <w:rsid w:val="00633425"/>
    <w:rsid w:val="0063413F"/>
    <w:rsid w:val="006343F9"/>
    <w:rsid w:val="00634459"/>
    <w:rsid w:val="00634665"/>
    <w:rsid w:val="006346F5"/>
    <w:rsid w:val="0063508C"/>
    <w:rsid w:val="006352B5"/>
    <w:rsid w:val="00635562"/>
    <w:rsid w:val="00635651"/>
    <w:rsid w:val="00635916"/>
    <w:rsid w:val="00635935"/>
    <w:rsid w:val="00636124"/>
    <w:rsid w:val="006361EF"/>
    <w:rsid w:val="00636249"/>
    <w:rsid w:val="006367C5"/>
    <w:rsid w:val="00637159"/>
    <w:rsid w:val="00637215"/>
    <w:rsid w:val="006376BE"/>
    <w:rsid w:val="00637DF0"/>
    <w:rsid w:val="00637F5D"/>
    <w:rsid w:val="00637F74"/>
    <w:rsid w:val="00640036"/>
    <w:rsid w:val="00640199"/>
    <w:rsid w:val="0064024F"/>
    <w:rsid w:val="0064041E"/>
    <w:rsid w:val="00640BD6"/>
    <w:rsid w:val="00640D2B"/>
    <w:rsid w:val="00640D46"/>
    <w:rsid w:val="00641071"/>
    <w:rsid w:val="006411F2"/>
    <w:rsid w:val="00641DE7"/>
    <w:rsid w:val="00641F52"/>
    <w:rsid w:val="006420C4"/>
    <w:rsid w:val="00642227"/>
    <w:rsid w:val="00642914"/>
    <w:rsid w:val="00642989"/>
    <w:rsid w:val="00642A9E"/>
    <w:rsid w:val="0064308B"/>
    <w:rsid w:val="0064333B"/>
    <w:rsid w:val="00643999"/>
    <w:rsid w:val="00643EAA"/>
    <w:rsid w:val="0064559E"/>
    <w:rsid w:val="00645C1B"/>
    <w:rsid w:val="00645D5A"/>
    <w:rsid w:val="00645EC2"/>
    <w:rsid w:val="006461AB"/>
    <w:rsid w:val="006461B0"/>
    <w:rsid w:val="006464BB"/>
    <w:rsid w:val="006472A2"/>
    <w:rsid w:val="00647835"/>
    <w:rsid w:val="00647D1A"/>
    <w:rsid w:val="00647DF1"/>
    <w:rsid w:val="00647F7E"/>
    <w:rsid w:val="006505A3"/>
    <w:rsid w:val="00650A6C"/>
    <w:rsid w:val="00650A92"/>
    <w:rsid w:val="00650D0B"/>
    <w:rsid w:val="0065162F"/>
    <w:rsid w:val="00651749"/>
    <w:rsid w:val="006517B8"/>
    <w:rsid w:val="00651876"/>
    <w:rsid w:val="00651910"/>
    <w:rsid w:val="00652147"/>
    <w:rsid w:val="0065241A"/>
    <w:rsid w:val="006524DA"/>
    <w:rsid w:val="0065258B"/>
    <w:rsid w:val="00652756"/>
    <w:rsid w:val="00652DF2"/>
    <w:rsid w:val="00653061"/>
    <w:rsid w:val="00653065"/>
    <w:rsid w:val="006530AF"/>
    <w:rsid w:val="006531D1"/>
    <w:rsid w:val="006532B6"/>
    <w:rsid w:val="006535FF"/>
    <w:rsid w:val="00653FE4"/>
    <w:rsid w:val="006545C3"/>
    <w:rsid w:val="00654847"/>
    <w:rsid w:val="00654A8F"/>
    <w:rsid w:val="00654DAB"/>
    <w:rsid w:val="00655429"/>
    <w:rsid w:val="00655883"/>
    <w:rsid w:val="00655A40"/>
    <w:rsid w:val="006561E9"/>
    <w:rsid w:val="00656250"/>
    <w:rsid w:val="00656607"/>
    <w:rsid w:val="006572EA"/>
    <w:rsid w:val="00657512"/>
    <w:rsid w:val="00657AC5"/>
    <w:rsid w:val="00657DD7"/>
    <w:rsid w:val="00657E4D"/>
    <w:rsid w:val="00657E84"/>
    <w:rsid w:val="00657F11"/>
    <w:rsid w:val="00657F8A"/>
    <w:rsid w:val="00660059"/>
    <w:rsid w:val="0066015C"/>
    <w:rsid w:val="006602CF"/>
    <w:rsid w:val="00660341"/>
    <w:rsid w:val="006607BC"/>
    <w:rsid w:val="006609F1"/>
    <w:rsid w:val="00660B13"/>
    <w:rsid w:val="00660F7A"/>
    <w:rsid w:val="00661AED"/>
    <w:rsid w:val="006622F8"/>
    <w:rsid w:val="00663B98"/>
    <w:rsid w:val="00663D21"/>
    <w:rsid w:val="006640F7"/>
    <w:rsid w:val="0066421C"/>
    <w:rsid w:val="0066487A"/>
    <w:rsid w:val="00664951"/>
    <w:rsid w:val="00664A39"/>
    <w:rsid w:val="00664BA8"/>
    <w:rsid w:val="00664D78"/>
    <w:rsid w:val="00664EBB"/>
    <w:rsid w:val="00664F84"/>
    <w:rsid w:val="00665392"/>
    <w:rsid w:val="0066569E"/>
    <w:rsid w:val="006658C6"/>
    <w:rsid w:val="00665AF6"/>
    <w:rsid w:val="00665C59"/>
    <w:rsid w:val="00665FBD"/>
    <w:rsid w:val="006661AC"/>
    <w:rsid w:val="00666289"/>
    <w:rsid w:val="006662A7"/>
    <w:rsid w:val="006662CE"/>
    <w:rsid w:val="00666514"/>
    <w:rsid w:val="0066696B"/>
    <w:rsid w:val="00667570"/>
    <w:rsid w:val="0066769F"/>
    <w:rsid w:val="00667779"/>
    <w:rsid w:val="00667EAB"/>
    <w:rsid w:val="00670B99"/>
    <w:rsid w:val="00670BA9"/>
    <w:rsid w:val="00670E0C"/>
    <w:rsid w:val="00670E69"/>
    <w:rsid w:val="00671A0A"/>
    <w:rsid w:val="00671A23"/>
    <w:rsid w:val="00671A51"/>
    <w:rsid w:val="00672608"/>
    <w:rsid w:val="00672878"/>
    <w:rsid w:val="0067312A"/>
    <w:rsid w:val="0067347F"/>
    <w:rsid w:val="0067457E"/>
    <w:rsid w:val="006745E0"/>
    <w:rsid w:val="00674991"/>
    <w:rsid w:val="00675121"/>
    <w:rsid w:val="006751FD"/>
    <w:rsid w:val="006753EF"/>
    <w:rsid w:val="006754E5"/>
    <w:rsid w:val="006759DA"/>
    <w:rsid w:val="0067615D"/>
    <w:rsid w:val="006764A3"/>
    <w:rsid w:val="00676B63"/>
    <w:rsid w:val="00676CD5"/>
    <w:rsid w:val="00676D8C"/>
    <w:rsid w:val="0067738D"/>
    <w:rsid w:val="00677AAC"/>
    <w:rsid w:val="00677D8B"/>
    <w:rsid w:val="00677FA2"/>
    <w:rsid w:val="006808F1"/>
    <w:rsid w:val="00680966"/>
    <w:rsid w:val="00681025"/>
    <w:rsid w:val="006810C9"/>
    <w:rsid w:val="006816A8"/>
    <w:rsid w:val="0068170F"/>
    <w:rsid w:val="0068196F"/>
    <w:rsid w:val="00681A67"/>
    <w:rsid w:val="00681BF1"/>
    <w:rsid w:val="00682248"/>
    <w:rsid w:val="00682253"/>
    <w:rsid w:val="006822E5"/>
    <w:rsid w:val="006823A5"/>
    <w:rsid w:val="00682BD0"/>
    <w:rsid w:val="00682FF6"/>
    <w:rsid w:val="00683363"/>
    <w:rsid w:val="00683ACA"/>
    <w:rsid w:val="00683DFD"/>
    <w:rsid w:val="00683E08"/>
    <w:rsid w:val="006841EF"/>
    <w:rsid w:val="006844CB"/>
    <w:rsid w:val="006845AF"/>
    <w:rsid w:val="00684635"/>
    <w:rsid w:val="006848FB"/>
    <w:rsid w:val="00684B1E"/>
    <w:rsid w:val="00684D98"/>
    <w:rsid w:val="00685755"/>
    <w:rsid w:val="00685768"/>
    <w:rsid w:val="0068596E"/>
    <w:rsid w:val="00685BDB"/>
    <w:rsid w:val="0068624E"/>
    <w:rsid w:val="00686262"/>
    <w:rsid w:val="006865F3"/>
    <w:rsid w:val="006866B1"/>
    <w:rsid w:val="00686D3C"/>
    <w:rsid w:val="00686D5C"/>
    <w:rsid w:val="006875F6"/>
    <w:rsid w:val="00687689"/>
    <w:rsid w:val="00687756"/>
    <w:rsid w:val="006877BF"/>
    <w:rsid w:val="00687DD7"/>
    <w:rsid w:val="00690B9A"/>
    <w:rsid w:val="00690E02"/>
    <w:rsid w:val="00690E7A"/>
    <w:rsid w:val="006912FC"/>
    <w:rsid w:val="00691982"/>
    <w:rsid w:val="00691BDE"/>
    <w:rsid w:val="00691F19"/>
    <w:rsid w:val="00692057"/>
    <w:rsid w:val="006920EC"/>
    <w:rsid w:val="0069220D"/>
    <w:rsid w:val="006923A0"/>
    <w:rsid w:val="006927EE"/>
    <w:rsid w:val="00692846"/>
    <w:rsid w:val="006929B5"/>
    <w:rsid w:val="0069312E"/>
    <w:rsid w:val="006931E6"/>
    <w:rsid w:val="00693813"/>
    <w:rsid w:val="0069415A"/>
    <w:rsid w:val="006947DC"/>
    <w:rsid w:val="00694897"/>
    <w:rsid w:val="0069497A"/>
    <w:rsid w:val="00694C70"/>
    <w:rsid w:val="00694C81"/>
    <w:rsid w:val="006954DD"/>
    <w:rsid w:val="00695D39"/>
    <w:rsid w:val="00696034"/>
    <w:rsid w:val="00696143"/>
    <w:rsid w:val="00696455"/>
    <w:rsid w:val="00697931"/>
    <w:rsid w:val="00697952"/>
    <w:rsid w:val="00697D66"/>
    <w:rsid w:val="00697F12"/>
    <w:rsid w:val="00697FDD"/>
    <w:rsid w:val="006A0034"/>
    <w:rsid w:val="006A0090"/>
    <w:rsid w:val="006A0263"/>
    <w:rsid w:val="006A0321"/>
    <w:rsid w:val="006A03EA"/>
    <w:rsid w:val="006A05C7"/>
    <w:rsid w:val="006A093F"/>
    <w:rsid w:val="006A0CA6"/>
    <w:rsid w:val="006A1248"/>
    <w:rsid w:val="006A1868"/>
    <w:rsid w:val="006A20B5"/>
    <w:rsid w:val="006A2617"/>
    <w:rsid w:val="006A3162"/>
    <w:rsid w:val="006A3D2D"/>
    <w:rsid w:val="006A47C5"/>
    <w:rsid w:val="006A4B43"/>
    <w:rsid w:val="006A4C4F"/>
    <w:rsid w:val="006A4CB3"/>
    <w:rsid w:val="006A4CB6"/>
    <w:rsid w:val="006A531F"/>
    <w:rsid w:val="006A5420"/>
    <w:rsid w:val="006A5B9E"/>
    <w:rsid w:val="006A5F20"/>
    <w:rsid w:val="006A6A6B"/>
    <w:rsid w:val="006A6A81"/>
    <w:rsid w:val="006A6AAD"/>
    <w:rsid w:val="006A6B09"/>
    <w:rsid w:val="006A6C56"/>
    <w:rsid w:val="006A7198"/>
    <w:rsid w:val="006A741A"/>
    <w:rsid w:val="006A78A6"/>
    <w:rsid w:val="006A7D0B"/>
    <w:rsid w:val="006A7D85"/>
    <w:rsid w:val="006B02D3"/>
    <w:rsid w:val="006B0901"/>
    <w:rsid w:val="006B120E"/>
    <w:rsid w:val="006B129A"/>
    <w:rsid w:val="006B13A4"/>
    <w:rsid w:val="006B171D"/>
    <w:rsid w:val="006B18FF"/>
    <w:rsid w:val="006B1C11"/>
    <w:rsid w:val="006B1DA7"/>
    <w:rsid w:val="006B234D"/>
    <w:rsid w:val="006B23DE"/>
    <w:rsid w:val="006B2B44"/>
    <w:rsid w:val="006B31E4"/>
    <w:rsid w:val="006B37D5"/>
    <w:rsid w:val="006B388D"/>
    <w:rsid w:val="006B3950"/>
    <w:rsid w:val="006B43A1"/>
    <w:rsid w:val="006B464F"/>
    <w:rsid w:val="006B4B87"/>
    <w:rsid w:val="006B4C13"/>
    <w:rsid w:val="006B4F1A"/>
    <w:rsid w:val="006B4FE8"/>
    <w:rsid w:val="006B53CB"/>
    <w:rsid w:val="006B5457"/>
    <w:rsid w:val="006B55B9"/>
    <w:rsid w:val="006B5E24"/>
    <w:rsid w:val="006B5E9E"/>
    <w:rsid w:val="006B5F34"/>
    <w:rsid w:val="006B60C1"/>
    <w:rsid w:val="006B6153"/>
    <w:rsid w:val="006B62CC"/>
    <w:rsid w:val="006B6530"/>
    <w:rsid w:val="006B660A"/>
    <w:rsid w:val="006B67AE"/>
    <w:rsid w:val="006B6841"/>
    <w:rsid w:val="006B68DF"/>
    <w:rsid w:val="006B68E5"/>
    <w:rsid w:val="006B73F2"/>
    <w:rsid w:val="006B76D9"/>
    <w:rsid w:val="006B7783"/>
    <w:rsid w:val="006C02E4"/>
    <w:rsid w:val="006C08A1"/>
    <w:rsid w:val="006C0FFE"/>
    <w:rsid w:val="006C116E"/>
    <w:rsid w:val="006C1175"/>
    <w:rsid w:val="006C11F2"/>
    <w:rsid w:val="006C17C4"/>
    <w:rsid w:val="006C1E5B"/>
    <w:rsid w:val="006C25D3"/>
    <w:rsid w:val="006C25DC"/>
    <w:rsid w:val="006C2CA6"/>
    <w:rsid w:val="006C302E"/>
    <w:rsid w:val="006C366A"/>
    <w:rsid w:val="006C36A7"/>
    <w:rsid w:val="006C396E"/>
    <w:rsid w:val="006C3A64"/>
    <w:rsid w:val="006C41A4"/>
    <w:rsid w:val="006C451D"/>
    <w:rsid w:val="006C46C6"/>
    <w:rsid w:val="006C4AF0"/>
    <w:rsid w:val="006C4F13"/>
    <w:rsid w:val="006C50B3"/>
    <w:rsid w:val="006C522D"/>
    <w:rsid w:val="006C591A"/>
    <w:rsid w:val="006C5A16"/>
    <w:rsid w:val="006C5BB2"/>
    <w:rsid w:val="006C5CA4"/>
    <w:rsid w:val="006C5E11"/>
    <w:rsid w:val="006C6758"/>
    <w:rsid w:val="006C730A"/>
    <w:rsid w:val="006C74C0"/>
    <w:rsid w:val="006C77BF"/>
    <w:rsid w:val="006C7AE2"/>
    <w:rsid w:val="006C7C59"/>
    <w:rsid w:val="006D0168"/>
    <w:rsid w:val="006D02FE"/>
    <w:rsid w:val="006D0362"/>
    <w:rsid w:val="006D0606"/>
    <w:rsid w:val="006D073C"/>
    <w:rsid w:val="006D0B36"/>
    <w:rsid w:val="006D11A5"/>
    <w:rsid w:val="006D129C"/>
    <w:rsid w:val="006D13B5"/>
    <w:rsid w:val="006D1D2B"/>
    <w:rsid w:val="006D1DDD"/>
    <w:rsid w:val="006D226B"/>
    <w:rsid w:val="006D237C"/>
    <w:rsid w:val="006D245F"/>
    <w:rsid w:val="006D24C9"/>
    <w:rsid w:val="006D28A1"/>
    <w:rsid w:val="006D2D36"/>
    <w:rsid w:val="006D3AB8"/>
    <w:rsid w:val="006D3ABF"/>
    <w:rsid w:val="006D3B1E"/>
    <w:rsid w:val="006D3EC2"/>
    <w:rsid w:val="006D3EFD"/>
    <w:rsid w:val="006D4030"/>
    <w:rsid w:val="006D4463"/>
    <w:rsid w:val="006D4625"/>
    <w:rsid w:val="006D511A"/>
    <w:rsid w:val="006D57BF"/>
    <w:rsid w:val="006D595F"/>
    <w:rsid w:val="006D5AE1"/>
    <w:rsid w:val="006D65CA"/>
    <w:rsid w:val="006D6A5E"/>
    <w:rsid w:val="006D6DFE"/>
    <w:rsid w:val="006D76ED"/>
    <w:rsid w:val="006D7B01"/>
    <w:rsid w:val="006D7BEA"/>
    <w:rsid w:val="006E0745"/>
    <w:rsid w:val="006E0D79"/>
    <w:rsid w:val="006E0F3F"/>
    <w:rsid w:val="006E11D1"/>
    <w:rsid w:val="006E1679"/>
    <w:rsid w:val="006E178C"/>
    <w:rsid w:val="006E1E06"/>
    <w:rsid w:val="006E23B2"/>
    <w:rsid w:val="006E2911"/>
    <w:rsid w:val="006E2FD2"/>
    <w:rsid w:val="006E31F0"/>
    <w:rsid w:val="006E3ADD"/>
    <w:rsid w:val="006E3EC6"/>
    <w:rsid w:val="006E4D36"/>
    <w:rsid w:val="006E4E51"/>
    <w:rsid w:val="006E4FD2"/>
    <w:rsid w:val="006E53A4"/>
    <w:rsid w:val="006E53DB"/>
    <w:rsid w:val="006E54B7"/>
    <w:rsid w:val="006E58F0"/>
    <w:rsid w:val="006E5992"/>
    <w:rsid w:val="006E5A7C"/>
    <w:rsid w:val="006E5DFA"/>
    <w:rsid w:val="006E6248"/>
    <w:rsid w:val="006E678F"/>
    <w:rsid w:val="006E69A0"/>
    <w:rsid w:val="006E6FFD"/>
    <w:rsid w:val="006E73D8"/>
    <w:rsid w:val="006E7586"/>
    <w:rsid w:val="006E7A90"/>
    <w:rsid w:val="006F010F"/>
    <w:rsid w:val="006F0802"/>
    <w:rsid w:val="006F0CF0"/>
    <w:rsid w:val="006F1148"/>
    <w:rsid w:val="006F19F3"/>
    <w:rsid w:val="006F1C63"/>
    <w:rsid w:val="006F202B"/>
    <w:rsid w:val="006F20A2"/>
    <w:rsid w:val="006F239F"/>
    <w:rsid w:val="006F268C"/>
    <w:rsid w:val="006F27B9"/>
    <w:rsid w:val="006F29F5"/>
    <w:rsid w:val="006F2BB2"/>
    <w:rsid w:val="006F2CBA"/>
    <w:rsid w:val="006F2E16"/>
    <w:rsid w:val="006F322D"/>
    <w:rsid w:val="006F34D4"/>
    <w:rsid w:val="006F3659"/>
    <w:rsid w:val="006F3D35"/>
    <w:rsid w:val="006F3D4F"/>
    <w:rsid w:val="006F41EB"/>
    <w:rsid w:val="006F444D"/>
    <w:rsid w:val="006F4662"/>
    <w:rsid w:val="006F47DA"/>
    <w:rsid w:val="006F4E47"/>
    <w:rsid w:val="006F5027"/>
    <w:rsid w:val="006F52E7"/>
    <w:rsid w:val="006F57E5"/>
    <w:rsid w:val="006F5A5C"/>
    <w:rsid w:val="006F697A"/>
    <w:rsid w:val="006F6AE0"/>
    <w:rsid w:val="006F6CBB"/>
    <w:rsid w:val="006F6CE0"/>
    <w:rsid w:val="006F7097"/>
    <w:rsid w:val="006F74F4"/>
    <w:rsid w:val="0070013A"/>
    <w:rsid w:val="007001F7"/>
    <w:rsid w:val="00700258"/>
    <w:rsid w:val="007004CB"/>
    <w:rsid w:val="007005BB"/>
    <w:rsid w:val="00700C0D"/>
    <w:rsid w:val="00700DBF"/>
    <w:rsid w:val="00700F5D"/>
    <w:rsid w:val="00700FEC"/>
    <w:rsid w:val="00701048"/>
    <w:rsid w:val="00701235"/>
    <w:rsid w:val="0070130A"/>
    <w:rsid w:val="00701386"/>
    <w:rsid w:val="0070161D"/>
    <w:rsid w:val="0070198F"/>
    <w:rsid w:val="00701E5A"/>
    <w:rsid w:val="00702001"/>
    <w:rsid w:val="00702107"/>
    <w:rsid w:val="0070227D"/>
    <w:rsid w:val="007022A3"/>
    <w:rsid w:val="00702476"/>
    <w:rsid w:val="00702912"/>
    <w:rsid w:val="00702C08"/>
    <w:rsid w:val="00702D99"/>
    <w:rsid w:val="00702FF0"/>
    <w:rsid w:val="007032C1"/>
    <w:rsid w:val="0070491B"/>
    <w:rsid w:val="00704EE1"/>
    <w:rsid w:val="00704F8C"/>
    <w:rsid w:val="007052E6"/>
    <w:rsid w:val="00705326"/>
    <w:rsid w:val="007061E2"/>
    <w:rsid w:val="007068C8"/>
    <w:rsid w:val="00706B2E"/>
    <w:rsid w:val="0070726E"/>
    <w:rsid w:val="00707396"/>
    <w:rsid w:val="0070748F"/>
    <w:rsid w:val="007076F3"/>
    <w:rsid w:val="00707F7A"/>
    <w:rsid w:val="00710123"/>
    <w:rsid w:val="00710343"/>
    <w:rsid w:val="00710AC8"/>
    <w:rsid w:val="007111DD"/>
    <w:rsid w:val="00711664"/>
    <w:rsid w:val="00711B3E"/>
    <w:rsid w:val="00711BD7"/>
    <w:rsid w:val="00711FA0"/>
    <w:rsid w:val="007120C3"/>
    <w:rsid w:val="007127DB"/>
    <w:rsid w:val="00712B4E"/>
    <w:rsid w:val="00712E6F"/>
    <w:rsid w:val="00712EB0"/>
    <w:rsid w:val="007138D0"/>
    <w:rsid w:val="00713C14"/>
    <w:rsid w:val="00713DB6"/>
    <w:rsid w:val="00714322"/>
    <w:rsid w:val="007147D9"/>
    <w:rsid w:val="00714C25"/>
    <w:rsid w:val="00714DBF"/>
    <w:rsid w:val="00714EF1"/>
    <w:rsid w:val="00714F84"/>
    <w:rsid w:val="007157B1"/>
    <w:rsid w:val="007157FF"/>
    <w:rsid w:val="00715D3C"/>
    <w:rsid w:val="00716040"/>
    <w:rsid w:val="00716058"/>
    <w:rsid w:val="00716079"/>
    <w:rsid w:val="00716440"/>
    <w:rsid w:val="00716B7F"/>
    <w:rsid w:val="00716ED4"/>
    <w:rsid w:val="00717438"/>
    <w:rsid w:val="00717490"/>
    <w:rsid w:val="007175D9"/>
    <w:rsid w:val="00717D0B"/>
    <w:rsid w:val="00717ED0"/>
    <w:rsid w:val="00717FF8"/>
    <w:rsid w:val="007200B7"/>
    <w:rsid w:val="00720413"/>
    <w:rsid w:val="007204E3"/>
    <w:rsid w:val="007205B2"/>
    <w:rsid w:val="007207B3"/>
    <w:rsid w:val="00720840"/>
    <w:rsid w:val="00720CC7"/>
    <w:rsid w:val="00720E40"/>
    <w:rsid w:val="00721758"/>
    <w:rsid w:val="00721872"/>
    <w:rsid w:val="00721B83"/>
    <w:rsid w:val="00722016"/>
    <w:rsid w:val="007221F5"/>
    <w:rsid w:val="0072252D"/>
    <w:rsid w:val="00724A3E"/>
    <w:rsid w:val="00724ADC"/>
    <w:rsid w:val="00725359"/>
    <w:rsid w:val="0072563C"/>
    <w:rsid w:val="0072599D"/>
    <w:rsid w:val="00725D7B"/>
    <w:rsid w:val="00726D21"/>
    <w:rsid w:val="00726E3F"/>
    <w:rsid w:val="00727167"/>
    <w:rsid w:val="007272CC"/>
    <w:rsid w:val="007272CE"/>
    <w:rsid w:val="007273CA"/>
    <w:rsid w:val="00730102"/>
    <w:rsid w:val="00730506"/>
    <w:rsid w:val="007306FF"/>
    <w:rsid w:val="007310DE"/>
    <w:rsid w:val="0073131D"/>
    <w:rsid w:val="0073155E"/>
    <w:rsid w:val="007319A0"/>
    <w:rsid w:val="00731B92"/>
    <w:rsid w:val="00731CE3"/>
    <w:rsid w:val="00731ED8"/>
    <w:rsid w:val="00732495"/>
    <w:rsid w:val="00732688"/>
    <w:rsid w:val="00732BC5"/>
    <w:rsid w:val="00732BD2"/>
    <w:rsid w:val="00733204"/>
    <w:rsid w:val="0073320A"/>
    <w:rsid w:val="007334D6"/>
    <w:rsid w:val="00733743"/>
    <w:rsid w:val="0073381D"/>
    <w:rsid w:val="00733BFC"/>
    <w:rsid w:val="00733D4A"/>
    <w:rsid w:val="00734754"/>
    <w:rsid w:val="00734BEF"/>
    <w:rsid w:val="007350B9"/>
    <w:rsid w:val="0073558D"/>
    <w:rsid w:val="0073559B"/>
    <w:rsid w:val="007357EA"/>
    <w:rsid w:val="00735856"/>
    <w:rsid w:val="00735860"/>
    <w:rsid w:val="00735AE3"/>
    <w:rsid w:val="007360AD"/>
    <w:rsid w:val="0073649C"/>
    <w:rsid w:val="007368CB"/>
    <w:rsid w:val="00736C9E"/>
    <w:rsid w:val="00736DC4"/>
    <w:rsid w:val="00737126"/>
    <w:rsid w:val="00737260"/>
    <w:rsid w:val="0073788D"/>
    <w:rsid w:val="007378BA"/>
    <w:rsid w:val="007379A1"/>
    <w:rsid w:val="00737A51"/>
    <w:rsid w:val="00737C1E"/>
    <w:rsid w:val="0074071C"/>
    <w:rsid w:val="00740842"/>
    <w:rsid w:val="007408BE"/>
    <w:rsid w:val="00740AE4"/>
    <w:rsid w:val="00741462"/>
    <w:rsid w:val="0074150F"/>
    <w:rsid w:val="00741695"/>
    <w:rsid w:val="00741BC6"/>
    <w:rsid w:val="00741F23"/>
    <w:rsid w:val="00742332"/>
    <w:rsid w:val="00742379"/>
    <w:rsid w:val="007430A8"/>
    <w:rsid w:val="00743123"/>
    <w:rsid w:val="00743201"/>
    <w:rsid w:val="0074461D"/>
    <w:rsid w:val="00744CD7"/>
    <w:rsid w:val="00744CE2"/>
    <w:rsid w:val="00744EBB"/>
    <w:rsid w:val="007453A4"/>
    <w:rsid w:val="0074575C"/>
    <w:rsid w:val="0074624E"/>
    <w:rsid w:val="00746367"/>
    <w:rsid w:val="007464FF"/>
    <w:rsid w:val="00746662"/>
    <w:rsid w:val="0074667B"/>
    <w:rsid w:val="007466E2"/>
    <w:rsid w:val="00746C70"/>
    <w:rsid w:val="0074701E"/>
    <w:rsid w:val="0074750F"/>
    <w:rsid w:val="00747904"/>
    <w:rsid w:val="00747EFD"/>
    <w:rsid w:val="007502DF"/>
    <w:rsid w:val="00750661"/>
    <w:rsid w:val="00750829"/>
    <w:rsid w:val="00750FA0"/>
    <w:rsid w:val="00751143"/>
    <w:rsid w:val="007513C6"/>
    <w:rsid w:val="00751428"/>
    <w:rsid w:val="007517A5"/>
    <w:rsid w:val="00751855"/>
    <w:rsid w:val="00751A26"/>
    <w:rsid w:val="00751F59"/>
    <w:rsid w:val="0075222F"/>
    <w:rsid w:val="007524C1"/>
    <w:rsid w:val="007525D4"/>
    <w:rsid w:val="007527C0"/>
    <w:rsid w:val="00752F51"/>
    <w:rsid w:val="00753488"/>
    <w:rsid w:val="00753A91"/>
    <w:rsid w:val="00753BC7"/>
    <w:rsid w:val="00753CD1"/>
    <w:rsid w:val="00754099"/>
    <w:rsid w:val="007544EB"/>
    <w:rsid w:val="007545C2"/>
    <w:rsid w:val="00754AA9"/>
    <w:rsid w:val="00754C00"/>
    <w:rsid w:val="00754CB6"/>
    <w:rsid w:val="00754E1E"/>
    <w:rsid w:val="00755193"/>
    <w:rsid w:val="0075562E"/>
    <w:rsid w:val="007556B9"/>
    <w:rsid w:val="00755776"/>
    <w:rsid w:val="0075687A"/>
    <w:rsid w:val="0075687F"/>
    <w:rsid w:val="00757356"/>
    <w:rsid w:val="00757819"/>
    <w:rsid w:val="007578CD"/>
    <w:rsid w:val="00757C25"/>
    <w:rsid w:val="00757EC4"/>
    <w:rsid w:val="0076031F"/>
    <w:rsid w:val="0076051E"/>
    <w:rsid w:val="007605D2"/>
    <w:rsid w:val="0076069E"/>
    <w:rsid w:val="00760E68"/>
    <w:rsid w:val="0076113E"/>
    <w:rsid w:val="00761600"/>
    <w:rsid w:val="00762373"/>
    <w:rsid w:val="00762445"/>
    <w:rsid w:val="007626EF"/>
    <w:rsid w:val="00762784"/>
    <w:rsid w:val="00762930"/>
    <w:rsid w:val="00762DC2"/>
    <w:rsid w:val="0076328F"/>
    <w:rsid w:val="00763548"/>
    <w:rsid w:val="00763749"/>
    <w:rsid w:val="00763D83"/>
    <w:rsid w:val="007642A4"/>
    <w:rsid w:val="00764488"/>
    <w:rsid w:val="00764F0A"/>
    <w:rsid w:val="00765539"/>
    <w:rsid w:val="00765840"/>
    <w:rsid w:val="0076585A"/>
    <w:rsid w:val="007666AC"/>
    <w:rsid w:val="0076688C"/>
    <w:rsid w:val="007668CF"/>
    <w:rsid w:val="00766930"/>
    <w:rsid w:val="00767886"/>
    <w:rsid w:val="007679C7"/>
    <w:rsid w:val="00767B03"/>
    <w:rsid w:val="00767C65"/>
    <w:rsid w:val="00767C9A"/>
    <w:rsid w:val="00767CAB"/>
    <w:rsid w:val="007709F0"/>
    <w:rsid w:val="00770B42"/>
    <w:rsid w:val="00770F6B"/>
    <w:rsid w:val="00771087"/>
    <w:rsid w:val="007713E9"/>
    <w:rsid w:val="00771428"/>
    <w:rsid w:val="0077180A"/>
    <w:rsid w:val="00771EA7"/>
    <w:rsid w:val="0077225A"/>
    <w:rsid w:val="007722E5"/>
    <w:rsid w:val="007723FF"/>
    <w:rsid w:val="00772577"/>
    <w:rsid w:val="00772A1D"/>
    <w:rsid w:val="00772C48"/>
    <w:rsid w:val="00772D33"/>
    <w:rsid w:val="00772FF2"/>
    <w:rsid w:val="0077326E"/>
    <w:rsid w:val="007732BD"/>
    <w:rsid w:val="007732E2"/>
    <w:rsid w:val="00773765"/>
    <w:rsid w:val="007739FD"/>
    <w:rsid w:val="00773E93"/>
    <w:rsid w:val="00774F5B"/>
    <w:rsid w:val="007757BC"/>
    <w:rsid w:val="007757E7"/>
    <w:rsid w:val="00775930"/>
    <w:rsid w:val="00775A54"/>
    <w:rsid w:val="00776388"/>
    <w:rsid w:val="007766DF"/>
    <w:rsid w:val="007769EB"/>
    <w:rsid w:val="00776D29"/>
    <w:rsid w:val="007771AE"/>
    <w:rsid w:val="00777242"/>
    <w:rsid w:val="00777703"/>
    <w:rsid w:val="0077790A"/>
    <w:rsid w:val="007800D4"/>
    <w:rsid w:val="00780521"/>
    <w:rsid w:val="0078076B"/>
    <w:rsid w:val="00780EF2"/>
    <w:rsid w:val="007810FE"/>
    <w:rsid w:val="00781516"/>
    <w:rsid w:val="00781B1C"/>
    <w:rsid w:val="00783325"/>
    <w:rsid w:val="00783870"/>
    <w:rsid w:val="00783AB5"/>
    <w:rsid w:val="00783AF4"/>
    <w:rsid w:val="00783B74"/>
    <w:rsid w:val="00783F78"/>
    <w:rsid w:val="00784140"/>
    <w:rsid w:val="00784F05"/>
    <w:rsid w:val="007853D1"/>
    <w:rsid w:val="007854C4"/>
    <w:rsid w:val="00785532"/>
    <w:rsid w:val="007856C8"/>
    <w:rsid w:val="007859FC"/>
    <w:rsid w:val="00785B2A"/>
    <w:rsid w:val="00785B8E"/>
    <w:rsid w:val="00785BA4"/>
    <w:rsid w:val="007869C8"/>
    <w:rsid w:val="00786D9F"/>
    <w:rsid w:val="007874A0"/>
    <w:rsid w:val="0078781C"/>
    <w:rsid w:val="007878B3"/>
    <w:rsid w:val="00787B40"/>
    <w:rsid w:val="007901CE"/>
    <w:rsid w:val="0079024C"/>
    <w:rsid w:val="007903FE"/>
    <w:rsid w:val="00790663"/>
    <w:rsid w:val="00790B9B"/>
    <w:rsid w:val="00790FAF"/>
    <w:rsid w:val="00791034"/>
    <w:rsid w:val="0079104A"/>
    <w:rsid w:val="0079114B"/>
    <w:rsid w:val="0079147A"/>
    <w:rsid w:val="007918CB"/>
    <w:rsid w:val="00791AE7"/>
    <w:rsid w:val="00791B28"/>
    <w:rsid w:val="007920BD"/>
    <w:rsid w:val="007925D3"/>
    <w:rsid w:val="00792733"/>
    <w:rsid w:val="00792A15"/>
    <w:rsid w:val="00792C9B"/>
    <w:rsid w:val="007932A8"/>
    <w:rsid w:val="00793499"/>
    <w:rsid w:val="0079353B"/>
    <w:rsid w:val="007947FE"/>
    <w:rsid w:val="00794B99"/>
    <w:rsid w:val="00794DAE"/>
    <w:rsid w:val="007956E3"/>
    <w:rsid w:val="00795987"/>
    <w:rsid w:val="00796490"/>
    <w:rsid w:val="00796509"/>
    <w:rsid w:val="007965ED"/>
    <w:rsid w:val="00796B90"/>
    <w:rsid w:val="007973E2"/>
    <w:rsid w:val="007973F6"/>
    <w:rsid w:val="00797AF2"/>
    <w:rsid w:val="00797D01"/>
    <w:rsid w:val="00797E7D"/>
    <w:rsid w:val="007A03A1"/>
    <w:rsid w:val="007A042D"/>
    <w:rsid w:val="007A060F"/>
    <w:rsid w:val="007A0D5E"/>
    <w:rsid w:val="007A0EA0"/>
    <w:rsid w:val="007A11F3"/>
    <w:rsid w:val="007A1533"/>
    <w:rsid w:val="007A1735"/>
    <w:rsid w:val="007A1FFF"/>
    <w:rsid w:val="007A21A6"/>
    <w:rsid w:val="007A26FE"/>
    <w:rsid w:val="007A2754"/>
    <w:rsid w:val="007A280E"/>
    <w:rsid w:val="007A2A53"/>
    <w:rsid w:val="007A2E96"/>
    <w:rsid w:val="007A3E17"/>
    <w:rsid w:val="007A3F17"/>
    <w:rsid w:val="007A3F28"/>
    <w:rsid w:val="007A4136"/>
    <w:rsid w:val="007A44C5"/>
    <w:rsid w:val="007A4DCF"/>
    <w:rsid w:val="007A4FBA"/>
    <w:rsid w:val="007A52EE"/>
    <w:rsid w:val="007A562C"/>
    <w:rsid w:val="007A5CB7"/>
    <w:rsid w:val="007A5DC8"/>
    <w:rsid w:val="007A5EF9"/>
    <w:rsid w:val="007A6244"/>
    <w:rsid w:val="007A69D6"/>
    <w:rsid w:val="007A6D4E"/>
    <w:rsid w:val="007A72F2"/>
    <w:rsid w:val="007A736E"/>
    <w:rsid w:val="007A77A9"/>
    <w:rsid w:val="007A77B5"/>
    <w:rsid w:val="007A78B0"/>
    <w:rsid w:val="007A79B6"/>
    <w:rsid w:val="007A7BF3"/>
    <w:rsid w:val="007A7F4D"/>
    <w:rsid w:val="007B062F"/>
    <w:rsid w:val="007B078A"/>
    <w:rsid w:val="007B0F84"/>
    <w:rsid w:val="007B19E6"/>
    <w:rsid w:val="007B1ADA"/>
    <w:rsid w:val="007B1B32"/>
    <w:rsid w:val="007B1C73"/>
    <w:rsid w:val="007B2108"/>
    <w:rsid w:val="007B2C73"/>
    <w:rsid w:val="007B2CA2"/>
    <w:rsid w:val="007B3414"/>
    <w:rsid w:val="007B35FA"/>
    <w:rsid w:val="007B36D2"/>
    <w:rsid w:val="007B388C"/>
    <w:rsid w:val="007B388D"/>
    <w:rsid w:val="007B3D49"/>
    <w:rsid w:val="007B42DA"/>
    <w:rsid w:val="007B473A"/>
    <w:rsid w:val="007B4D84"/>
    <w:rsid w:val="007B5160"/>
    <w:rsid w:val="007B542E"/>
    <w:rsid w:val="007B5E37"/>
    <w:rsid w:val="007B6388"/>
    <w:rsid w:val="007B63C4"/>
    <w:rsid w:val="007B6483"/>
    <w:rsid w:val="007B6873"/>
    <w:rsid w:val="007B687F"/>
    <w:rsid w:val="007B6B06"/>
    <w:rsid w:val="007B6C63"/>
    <w:rsid w:val="007B6DC7"/>
    <w:rsid w:val="007B72A0"/>
    <w:rsid w:val="007B737B"/>
    <w:rsid w:val="007B7AE2"/>
    <w:rsid w:val="007C02B1"/>
    <w:rsid w:val="007C0675"/>
    <w:rsid w:val="007C0926"/>
    <w:rsid w:val="007C0BD2"/>
    <w:rsid w:val="007C14C5"/>
    <w:rsid w:val="007C17D7"/>
    <w:rsid w:val="007C1A9E"/>
    <w:rsid w:val="007C1AD5"/>
    <w:rsid w:val="007C1B05"/>
    <w:rsid w:val="007C1FFE"/>
    <w:rsid w:val="007C206B"/>
    <w:rsid w:val="007C2399"/>
    <w:rsid w:val="007C23F1"/>
    <w:rsid w:val="007C2733"/>
    <w:rsid w:val="007C2CE2"/>
    <w:rsid w:val="007C304D"/>
    <w:rsid w:val="007C31CA"/>
    <w:rsid w:val="007C37F1"/>
    <w:rsid w:val="007C3924"/>
    <w:rsid w:val="007C4546"/>
    <w:rsid w:val="007C476C"/>
    <w:rsid w:val="007C49EA"/>
    <w:rsid w:val="007C4DF3"/>
    <w:rsid w:val="007C529D"/>
    <w:rsid w:val="007C5C30"/>
    <w:rsid w:val="007C5CF0"/>
    <w:rsid w:val="007C5D19"/>
    <w:rsid w:val="007C60D2"/>
    <w:rsid w:val="007C61E1"/>
    <w:rsid w:val="007C6489"/>
    <w:rsid w:val="007C6608"/>
    <w:rsid w:val="007C66C6"/>
    <w:rsid w:val="007C6F93"/>
    <w:rsid w:val="007C7A08"/>
    <w:rsid w:val="007C7E66"/>
    <w:rsid w:val="007D0BED"/>
    <w:rsid w:val="007D0C01"/>
    <w:rsid w:val="007D0C22"/>
    <w:rsid w:val="007D0FA4"/>
    <w:rsid w:val="007D1059"/>
    <w:rsid w:val="007D1FB2"/>
    <w:rsid w:val="007D20F9"/>
    <w:rsid w:val="007D238F"/>
    <w:rsid w:val="007D243B"/>
    <w:rsid w:val="007D248E"/>
    <w:rsid w:val="007D27DB"/>
    <w:rsid w:val="007D2CB1"/>
    <w:rsid w:val="007D30B1"/>
    <w:rsid w:val="007D310E"/>
    <w:rsid w:val="007D378D"/>
    <w:rsid w:val="007D3ABC"/>
    <w:rsid w:val="007D40BA"/>
    <w:rsid w:val="007D4499"/>
    <w:rsid w:val="007D44ED"/>
    <w:rsid w:val="007D46FD"/>
    <w:rsid w:val="007D4BBD"/>
    <w:rsid w:val="007D566E"/>
    <w:rsid w:val="007D5F34"/>
    <w:rsid w:val="007D6123"/>
    <w:rsid w:val="007D623A"/>
    <w:rsid w:val="007D62B4"/>
    <w:rsid w:val="007D65BA"/>
    <w:rsid w:val="007D6985"/>
    <w:rsid w:val="007D6FFB"/>
    <w:rsid w:val="007D7181"/>
    <w:rsid w:val="007D75D9"/>
    <w:rsid w:val="007E0069"/>
    <w:rsid w:val="007E03EB"/>
    <w:rsid w:val="007E0D34"/>
    <w:rsid w:val="007E18D4"/>
    <w:rsid w:val="007E1BE1"/>
    <w:rsid w:val="007E1BF6"/>
    <w:rsid w:val="007E1CC2"/>
    <w:rsid w:val="007E1E6F"/>
    <w:rsid w:val="007E1F2C"/>
    <w:rsid w:val="007E1FA8"/>
    <w:rsid w:val="007E2130"/>
    <w:rsid w:val="007E22D0"/>
    <w:rsid w:val="007E2400"/>
    <w:rsid w:val="007E2D1C"/>
    <w:rsid w:val="007E2F63"/>
    <w:rsid w:val="007E3930"/>
    <w:rsid w:val="007E3CD3"/>
    <w:rsid w:val="007E3F88"/>
    <w:rsid w:val="007E4465"/>
    <w:rsid w:val="007E467D"/>
    <w:rsid w:val="007E493B"/>
    <w:rsid w:val="007E4C9E"/>
    <w:rsid w:val="007E4D78"/>
    <w:rsid w:val="007E4F43"/>
    <w:rsid w:val="007E5282"/>
    <w:rsid w:val="007E5880"/>
    <w:rsid w:val="007E6A83"/>
    <w:rsid w:val="007E6AE3"/>
    <w:rsid w:val="007E7069"/>
    <w:rsid w:val="007E707C"/>
    <w:rsid w:val="007E715D"/>
    <w:rsid w:val="007E72AD"/>
    <w:rsid w:val="007E7307"/>
    <w:rsid w:val="007E7601"/>
    <w:rsid w:val="007E791B"/>
    <w:rsid w:val="007E79EA"/>
    <w:rsid w:val="007E7ACF"/>
    <w:rsid w:val="007E7C41"/>
    <w:rsid w:val="007F024E"/>
    <w:rsid w:val="007F02B1"/>
    <w:rsid w:val="007F08D5"/>
    <w:rsid w:val="007F0A2B"/>
    <w:rsid w:val="007F0A3E"/>
    <w:rsid w:val="007F0F03"/>
    <w:rsid w:val="007F162C"/>
    <w:rsid w:val="007F1A3A"/>
    <w:rsid w:val="007F1E98"/>
    <w:rsid w:val="007F237B"/>
    <w:rsid w:val="007F24BD"/>
    <w:rsid w:val="007F296B"/>
    <w:rsid w:val="007F29C2"/>
    <w:rsid w:val="007F2C21"/>
    <w:rsid w:val="007F2D35"/>
    <w:rsid w:val="007F32C3"/>
    <w:rsid w:val="007F3561"/>
    <w:rsid w:val="007F3640"/>
    <w:rsid w:val="007F36E3"/>
    <w:rsid w:val="007F3BD0"/>
    <w:rsid w:val="007F40E3"/>
    <w:rsid w:val="007F420E"/>
    <w:rsid w:val="007F499A"/>
    <w:rsid w:val="007F4D85"/>
    <w:rsid w:val="007F5485"/>
    <w:rsid w:val="007F574F"/>
    <w:rsid w:val="007F58A7"/>
    <w:rsid w:val="007F5EB6"/>
    <w:rsid w:val="007F6132"/>
    <w:rsid w:val="007F6364"/>
    <w:rsid w:val="007F651F"/>
    <w:rsid w:val="007F6935"/>
    <w:rsid w:val="007F693F"/>
    <w:rsid w:val="007F6A2C"/>
    <w:rsid w:val="007F6ED1"/>
    <w:rsid w:val="007F712C"/>
    <w:rsid w:val="007F73E1"/>
    <w:rsid w:val="007F73F9"/>
    <w:rsid w:val="007F746B"/>
    <w:rsid w:val="007F7488"/>
    <w:rsid w:val="007F7825"/>
    <w:rsid w:val="007F7A8E"/>
    <w:rsid w:val="007F7ED1"/>
    <w:rsid w:val="00800292"/>
    <w:rsid w:val="0080122E"/>
    <w:rsid w:val="008013D7"/>
    <w:rsid w:val="00801575"/>
    <w:rsid w:val="008018C9"/>
    <w:rsid w:val="008019DF"/>
    <w:rsid w:val="00801BCD"/>
    <w:rsid w:val="00801D05"/>
    <w:rsid w:val="00801D69"/>
    <w:rsid w:val="00801F2F"/>
    <w:rsid w:val="0080247B"/>
    <w:rsid w:val="00802569"/>
    <w:rsid w:val="008025CB"/>
    <w:rsid w:val="00802772"/>
    <w:rsid w:val="0080299A"/>
    <w:rsid w:val="00802B57"/>
    <w:rsid w:val="00802F11"/>
    <w:rsid w:val="008034B0"/>
    <w:rsid w:val="0080363F"/>
    <w:rsid w:val="0080387B"/>
    <w:rsid w:val="00803BF4"/>
    <w:rsid w:val="00804F13"/>
    <w:rsid w:val="0080517C"/>
    <w:rsid w:val="008051EC"/>
    <w:rsid w:val="0080547C"/>
    <w:rsid w:val="0080577C"/>
    <w:rsid w:val="00805C29"/>
    <w:rsid w:val="00805D08"/>
    <w:rsid w:val="00806A9E"/>
    <w:rsid w:val="00806CC5"/>
    <w:rsid w:val="00807016"/>
    <w:rsid w:val="008071D7"/>
    <w:rsid w:val="008072E5"/>
    <w:rsid w:val="008074C6"/>
    <w:rsid w:val="008074E0"/>
    <w:rsid w:val="008076C2"/>
    <w:rsid w:val="00807895"/>
    <w:rsid w:val="008101BE"/>
    <w:rsid w:val="00810417"/>
    <w:rsid w:val="008105D7"/>
    <w:rsid w:val="00810A0E"/>
    <w:rsid w:val="00810A6F"/>
    <w:rsid w:val="00810AE4"/>
    <w:rsid w:val="00810B57"/>
    <w:rsid w:val="00811276"/>
    <w:rsid w:val="00811ABE"/>
    <w:rsid w:val="00811B65"/>
    <w:rsid w:val="008123F1"/>
    <w:rsid w:val="0081264E"/>
    <w:rsid w:val="008126EA"/>
    <w:rsid w:val="008127A1"/>
    <w:rsid w:val="00812840"/>
    <w:rsid w:val="00812C76"/>
    <w:rsid w:val="00812DBC"/>
    <w:rsid w:val="00812FD3"/>
    <w:rsid w:val="008131D1"/>
    <w:rsid w:val="0081354C"/>
    <w:rsid w:val="00813B69"/>
    <w:rsid w:val="00813DB0"/>
    <w:rsid w:val="00813EDA"/>
    <w:rsid w:val="0081401E"/>
    <w:rsid w:val="0081410F"/>
    <w:rsid w:val="00814704"/>
    <w:rsid w:val="008148C8"/>
    <w:rsid w:val="00815A6D"/>
    <w:rsid w:val="00815AAF"/>
    <w:rsid w:val="00815BA7"/>
    <w:rsid w:val="00816017"/>
    <w:rsid w:val="0081611A"/>
    <w:rsid w:val="008167A8"/>
    <w:rsid w:val="008169CB"/>
    <w:rsid w:val="00816A00"/>
    <w:rsid w:val="00816B10"/>
    <w:rsid w:val="00817909"/>
    <w:rsid w:val="008201F6"/>
    <w:rsid w:val="00820CAF"/>
    <w:rsid w:val="00820D71"/>
    <w:rsid w:val="008210EE"/>
    <w:rsid w:val="00821187"/>
    <w:rsid w:val="0082148E"/>
    <w:rsid w:val="008218E6"/>
    <w:rsid w:val="00821B99"/>
    <w:rsid w:val="00821BCD"/>
    <w:rsid w:val="00821D91"/>
    <w:rsid w:val="00821E1D"/>
    <w:rsid w:val="00822733"/>
    <w:rsid w:val="00822DF2"/>
    <w:rsid w:val="00823FB0"/>
    <w:rsid w:val="00824525"/>
    <w:rsid w:val="0082485C"/>
    <w:rsid w:val="00824C5E"/>
    <w:rsid w:val="008252D2"/>
    <w:rsid w:val="0082548B"/>
    <w:rsid w:val="00825B6B"/>
    <w:rsid w:val="00825C93"/>
    <w:rsid w:val="008261A1"/>
    <w:rsid w:val="0082620C"/>
    <w:rsid w:val="008265D5"/>
    <w:rsid w:val="00826FA4"/>
    <w:rsid w:val="00827348"/>
    <w:rsid w:val="0082743C"/>
    <w:rsid w:val="00827A42"/>
    <w:rsid w:val="00827A53"/>
    <w:rsid w:val="00827E3A"/>
    <w:rsid w:val="00827E57"/>
    <w:rsid w:val="00830015"/>
    <w:rsid w:val="0083006E"/>
    <w:rsid w:val="00830224"/>
    <w:rsid w:val="008311DD"/>
    <w:rsid w:val="008317FE"/>
    <w:rsid w:val="0083221C"/>
    <w:rsid w:val="00832745"/>
    <w:rsid w:val="008329FE"/>
    <w:rsid w:val="008334A6"/>
    <w:rsid w:val="00834031"/>
    <w:rsid w:val="008341B5"/>
    <w:rsid w:val="0083430C"/>
    <w:rsid w:val="00834679"/>
    <w:rsid w:val="00834B41"/>
    <w:rsid w:val="00834D10"/>
    <w:rsid w:val="00834E30"/>
    <w:rsid w:val="0083526D"/>
    <w:rsid w:val="008358AA"/>
    <w:rsid w:val="00835CAA"/>
    <w:rsid w:val="00835F65"/>
    <w:rsid w:val="00836D0A"/>
    <w:rsid w:val="008373E1"/>
    <w:rsid w:val="00837A73"/>
    <w:rsid w:val="00837F96"/>
    <w:rsid w:val="00840002"/>
    <w:rsid w:val="008401DB"/>
    <w:rsid w:val="008404C0"/>
    <w:rsid w:val="00840812"/>
    <w:rsid w:val="00840D28"/>
    <w:rsid w:val="00840DE6"/>
    <w:rsid w:val="00840DF0"/>
    <w:rsid w:val="00841199"/>
    <w:rsid w:val="008412FB"/>
    <w:rsid w:val="00841907"/>
    <w:rsid w:val="008421EC"/>
    <w:rsid w:val="0084242F"/>
    <w:rsid w:val="0084244F"/>
    <w:rsid w:val="00842895"/>
    <w:rsid w:val="008428DC"/>
    <w:rsid w:val="008429F2"/>
    <w:rsid w:val="00842FEB"/>
    <w:rsid w:val="008430CB"/>
    <w:rsid w:val="00843393"/>
    <w:rsid w:val="0084383C"/>
    <w:rsid w:val="00843CC6"/>
    <w:rsid w:val="008440F5"/>
    <w:rsid w:val="008441C5"/>
    <w:rsid w:val="008441E3"/>
    <w:rsid w:val="008448A8"/>
    <w:rsid w:val="00844AA1"/>
    <w:rsid w:val="00844FF1"/>
    <w:rsid w:val="00845477"/>
    <w:rsid w:val="00845CC7"/>
    <w:rsid w:val="008463A9"/>
    <w:rsid w:val="008463DC"/>
    <w:rsid w:val="0084661D"/>
    <w:rsid w:val="00846D9B"/>
    <w:rsid w:val="00847A75"/>
    <w:rsid w:val="00850019"/>
    <w:rsid w:val="008500A5"/>
    <w:rsid w:val="0085110C"/>
    <w:rsid w:val="008517B4"/>
    <w:rsid w:val="0085195A"/>
    <w:rsid w:val="00851999"/>
    <w:rsid w:val="00851C2C"/>
    <w:rsid w:val="00851C88"/>
    <w:rsid w:val="00851DC8"/>
    <w:rsid w:val="008525C1"/>
    <w:rsid w:val="00852846"/>
    <w:rsid w:val="00852A76"/>
    <w:rsid w:val="00852FE6"/>
    <w:rsid w:val="0085319C"/>
    <w:rsid w:val="00853664"/>
    <w:rsid w:val="008536BD"/>
    <w:rsid w:val="0085384F"/>
    <w:rsid w:val="00853FF1"/>
    <w:rsid w:val="008546AB"/>
    <w:rsid w:val="00854A64"/>
    <w:rsid w:val="00855420"/>
    <w:rsid w:val="00855930"/>
    <w:rsid w:val="008562C1"/>
    <w:rsid w:val="0085631D"/>
    <w:rsid w:val="008563C0"/>
    <w:rsid w:val="008565F4"/>
    <w:rsid w:val="0085683F"/>
    <w:rsid w:val="00856876"/>
    <w:rsid w:val="00856FA5"/>
    <w:rsid w:val="00857363"/>
    <w:rsid w:val="008573D8"/>
    <w:rsid w:val="0085775B"/>
    <w:rsid w:val="00857F81"/>
    <w:rsid w:val="00860688"/>
    <w:rsid w:val="008607CD"/>
    <w:rsid w:val="00860C7C"/>
    <w:rsid w:val="00861720"/>
    <w:rsid w:val="00861730"/>
    <w:rsid w:val="0086246A"/>
    <w:rsid w:val="00862D67"/>
    <w:rsid w:val="00863122"/>
    <w:rsid w:val="0086314E"/>
    <w:rsid w:val="008631B4"/>
    <w:rsid w:val="008639A5"/>
    <w:rsid w:val="00863D73"/>
    <w:rsid w:val="008644F2"/>
    <w:rsid w:val="0086462D"/>
    <w:rsid w:val="008649E7"/>
    <w:rsid w:val="00864D01"/>
    <w:rsid w:val="00864DF2"/>
    <w:rsid w:val="008655AC"/>
    <w:rsid w:val="0086571A"/>
    <w:rsid w:val="00865CAA"/>
    <w:rsid w:val="00866077"/>
    <w:rsid w:val="00866255"/>
    <w:rsid w:val="00866673"/>
    <w:rsid w:val="0086698D"/>
    <w:rsid w:val="00866D06"/>
    <w:rsid w:val="00866E15"/>
    <w:rsid w:val="00867351"/>
    <w:rsid w:val="0086753B"/>
    <w:rsid w:val="008707CF"/>
    <w:rsid w:val="008709B5"/>
    <w:rsid w:val="00870D58"/>
    <w:rsid w:val="008712E5"/>
    <w:rsid w:val="00871BD3"/>
    <w:rsid w:val="00871F61"/>
    <w:rsid w:val="0087218B"/>
    <w:rsid w:val="00872503"/>
    <w:rsid w:val="00872B21"/>
    <w:rsid w:val="00872BA0"/>
    <w:rsid w:val="00872D5D"/>
    <w:rsid w:val="0087415B"/>
    <w:rsid w:val="008742CE"/>
    <w:rsid w:val="008745D7"/>
    <w:rsid w:val="008747C0"/>
    <w:rsid w:val="00874844"/>
    <w:rsid w:val="00874991"/>
    <w:rsid w:val="00874BDB"/>
    <w:rsid w:val="00874D11"/>
    <w:rsid w:val="00874E28"/>
    <w:rsid w:val="00874EED"/>
    <w:rsid w:val="00874F7C"/>
    <w:rsid w:val="00874FCC"/>
    <w:rsid w:val="008752D5"/>
    <w:rsid w:val="00876FA3"/>
    <w:rsid w:val="00877563"/>
    <w:rsid w:val="0087765F"/>
    <w:rsid w:val="00877B60"/>
    <w:rsid w:val="008801DA"/>
    <w:rsid w:val="008801E0"/>
    <w:rsid w:val="00880727"/>
    <w:rsid w:val="0088075E"/>
    <w:rsid w:val="008808CB"/>
    <w:rsid w:val="008814A3"/>
    <w:rsid w:val="008819CE"/>
    <w:rsid w:val="008819DD"/>
    <w:rsid w:val="00882988"/>
    <w:rsid w:val="00882E66"/>
    <w:rsid w:val="00882EA7"/>
    <w:rsid w:val="0088320A"/>
    <w:rsid w:val="008839D7"/>
    <w:rsid w:val="00883EA7"/>
    <w:rsid w:val="00883F30"/>
    <w:rsid w:val="00883F86"/>
    <w:rsid w:val="00884340"/>
    <w:rsid w:val="00884391"/>
    <w:rsid w:val="00884618"/>
    <w:rsid w:val="00884BE6"/>
    <w:rsid w:val="00884C3B"/>
    <w:rsid w:val="00884D3A"/>
    <w:rsid w:val="00884E34"/>
    <w:rsid w:val="0088503E"/>
    <w:rsid w:val="008850C2"/>
    <w:rsid w:val="008851E8"/>
    <w:rsid w:val="008852B0"/>
    <w:rsid w:val="0088530F"/>
    <w:rsid w:val="00885420"/>
    <w:rsid w:val="00885445"/>
    <w:rsid w:val="00885555"/>
    <w:rsid w:val="00885B85"/>
    <w:rsid w:val="00885EFA"/>
    <w:rsid w:val="008865E0"/>
    <w:rsid w:val="00886B4E"/>
    <w:rsid w:val="00886E33"/>
    <w:rsid w:val="00887191"/>
    <w:rsid w:val="0088741D"/>
    <w:rsid w:val="0088767A"/>
    <w:rsid w:val="008879C1"/>
    <w:rsid w:val="00887CD1"/>
    <w:rsid w:val="00890105"/>
    <w:rsid w:val="008906D5"/>
    <w:rsid w:val="00890B2A"/>
    <w:rsid w:val="00891948"/>
    <w:rsid w:val="00891BE5"/>
    <w:rsid w:val="00891F75"/>
    <w:rsid w:val="00892224"/>
    <w:rsid w:val="008925BD"/>
    <w:rsid w:val="0089275D"/>
    <w:rsid w:val="00892861"/>
    <w:rsid w:val="00892E2E"/>
    <w:rsid w:val="00892EAD"/>
    <w:rsid w:val="00892EDD"/>
    <w:rsid w:val="008933EC"/>
    <w:rsid w:val="00893974"/>
    <w:rsid w:val="008939FD"/>
    <w:rsid w:val="00893A4F"/>
    <w:rsid w:val="00893C90"/>
    <w:rsid w:val="00893F18"/>
    <w:rsid w:val="0089457C"/>
    <w:rsid w:val="00894823"/>
    <w:rsid w:val="00894AF6"/>
    <w:rsid w:val="00894FF3"/>
    <w:rsid w:val="008954C2"/>
    <w:rsid w:val="00895793"/>
    <w:rsid w:val="00895E36"/>
    <w:rsid w:val="00895F78"/>
    <w:rsid w:val="008965BF"/>
    <w:rsid w:val="00896798"/>
    <w:rsid w:val="0089692A"/>
    <w:rsid w:val="00896A85"/>
    <w:rsid w:val="00896AC1"/>
    <w:rsid w:val="00896F6D"/>
    <w:rsid w:val="008973A4"/>
    <w:rsid w:val="00897D5E"/>
    <w:rsid w:val="008A02C2"/>
    <w:rsid w:val="008A04F5"/>
    <w:rsid w:val="008A0DB2"/>
    <w:rsid w:val="008A1129"/>
    <w:rsid w:val="008A1246"/>
    <w:rsid w:val="008A1704"/>
    <w:rsid w:val="008A1CDB"/>
    <w:rsid w:val="008A202F"/>
    <w:rsid w:val="008A2119"/>
    <w:rsid w:val="008A215B"/>
    <w:rsid w:val="008A2477"/>
    <w:rsid w:val="008A2A81"/>
    <w:rsid w:val="008A2B0E"/>
    <w:rsid w:val="008A2BF5"/>
    <w:rsid w:val="008A32B3"/>
    <w:rsid w:val="008A332F"/>
    <w:rsid w:val="008A35EC"/>
    <w:rsid w:val="008A364E"/>
    <w:rsid w:val="008A3762"/>
    <w:rsid w:val="008A38D7"/>
    <w:rsid w:val="008A3995"/>
    <w:rsid w:val="008A3A91"/>
    <w:rsid w:val="008A3E0E"/>
    <w:rsid w:val="008A3E4D"/>
    <w:rsid w:val="008A4435"/>
    <w:rsid w:val="008A451F"/>
    <w:rsid w:val="008A4796"/>
    <w:rsid w:val="008A4CAB"/>
    <w:rsid w:val="008A4F17"/>
    <w:rsid w:val="008A4FE5"/>
    <w:rsid w:val="008A5662"/>
    <w:rsid w:val="008A57E3"/>
    <w:rsid w:val="008A5AC1"/>
    <w:rsid w:val="008A5D1A"/>
    <w:rsid w:val="008A5EAC"/>
    <w:rsid w:val="008A6A0B"/>
    <w:rsid w:val="008A71BB"/>
    <w:rsid w:val="008A73BF"/>
    <w:rsid w:val="008A73DF"/>
    <w:rsid w:val="008A7915"/>
    <w:rsid w:val="008A7E84"/>
    <w:rsid w:val="008B0537"/>
    <w:rsid w:val="008B07BF"/>
    <w:rsid w:val="008B0A8B"/>
    <w:rsid w:val="008B1A74"/>
    <w:rsid w:val="008B22AF"/>
    <w:rsid w:val="008B243D"/>
    <w:rsid w:val="008B28EC"/>
    <w:rsid w:val="008B2AFF"/>
    <w:rsid w:val="008B2CA5"/>
    <w:rsid w:val="008B3141"/>
    <w:rsid w:val="008B3743"/>
    <w:rsid w:val="008B389D"/>
    <w:rsid w:val="008B3A1A"/>
    <w:rsid w:val="008B3A63"/>
    <w:rsid w:val="008B4334"/>
    <w:rsid w:val="008B4515"/>
    <w:rsid w:val="008B507F"/>
    <w:rsid w:val="008B59A6"/>
    <w:rsid w:val="008B5A55"/>
    <w:rsid w:val="008B6240"/>
    <w:rsid w:val="008B66C1"/>
    <w:rsid w:val="008B6E93"/>
    <w:rsid w:val="008B71B3"/>
    <w:rsid w:val="008B79EF"/>
    <w:rsid w:val="008C00BE"/>
    <w:rsid w:val="008C0111"/>
    <w:rsid w:val="008C0254"/>
    <w:rsid w:val="008C02E9"/>
    <w:rsid w:val="008C071F"/>
    <w:rsid w:val="008C1593"/>
    <w:rsid w:val="008C1728"/>
    <w:rsid w:val="008C1C2E"/>
    <w:rsid w:val="008C1FCB"/>
    <w:rsid w:val="008C21D1"/>
    <w:rsid w:val="008C25B6"/>
    <w:rsid w:val="008C2A21"/>
    <w:rsid w:val="008C2AF7"/>
    <w:rsid w:val="008C2D87"/>
    <w:rsid w:val="008C3256"/>
    <w:rsid w:val="008C3360"/>
    <w:rsid w:val="008C3DF8"/>
    <w:rsid w:val="008C3F38"/>
    <w:rsid w:val="008C4A49"/>
    <w:rsid w:val="008C4C0E"/>
    <w:rsid w:val="008C54D6"/>
    <w:rsid w:val="008C59A8"/>
    <w:rsid w:val="008C6097"/>
    <w:rsid w:val="008C656B"/>
    <w:rsid w:val="008C6696"/>
    <w:rsid w:val="008C67E9"/>
    <w:rsid w:val="008C689A"/>
    <w:rsid w:val="008C69AF"/>
    <w:rsid w:val="008C6D86"/>
    <w:rsid w:val="008C6F66"/>
    <w:rsid w:val="008C74BC"/>
    <w:rsid w:val="008C7830"/>
    <w:rsid w:val="008C7D40"/>
    <w:rsid w:val="008C7EBA"/>
    <w:rsid w:val="008D0100"/>
    <w:rsid w:val="008D03C9"/>
    <w:rsid w:val="008D08CA"/>
    <w:rsid w:val="008D08F7"/>
    <w:rsid w:val="008D0ABE"/>
    <w:rsid w:val="008D0AC8"/>
    <w:rsid w:val="008D10D2"/>
    <w:rsid w:val="008D1223"/>
    <w:rsid w:val="008D1263"/>
    <w:rsid w:val="008D1A82"/>
    <w:rsid w:val="008D1AD8"/>
    <w:rsid w:val="008D22AD"/>
    <w:rsid w:val="008D254E"/>
    <w:rsid w:val="008D2605"/>
    <w:rsid w:val="008D266A"/>
    <w:rsid w:val="008D2FC6"/>
    <w:rsid w:val="008D324A"/>
    <w:rsid w:val="008D386A"/>
    <w:rsid w:val="008D399F"/>
    <w:rsid w:val="008D39D6"/>
    <w:rsid w:val="008D40CF"/>
    <w:rsid w:val="008D480F"/>
    <w:rsid w:val="008D4F48"/>
    <w:rsid w:val="008D52D6"/>
    <w:rsid w:val="008D5566"/>
    <w:rsid w:val="008D5BE2"/>
    <w:rsid w:val="008D5F8A"/>
    <w:rsid w:val="008D60EB"/>
    <w:rsid w:val="008D628D"/>
    <w:rsid w:val="008D62A9"/>
    <w:rsid w:val="008D63B0"/>
    <w:rsid w:val="008D67A1"/>
    <w:rsid w:val="008D6AAD"/>
    <w:rsid w:val="008D6B94"/>
    <w:rsid w:val="008D7129"/>
    <w:rsid w:val="008D7FC2"/>
    <w:rsid w:val="008E00AE"/>
    <w:rsid w:val="008E0428"/>
    <w:rsid w:val="008E0D50"/>
    <w:rsid w:val="008E0D9D"/>
    <w:rsid w:val="008E0EB9"/>
    <w:rsid w:val="008E0F20"/>
    <w:rsid w:val="008E11B6"/>
    <w:rsid w:val="008E1310"/>
    <w:rsid w:val="008E1836"/>
    <w:rsid w:val="008E1AF7"/>
    <w:rsid w:val="008E2323"/>
    <w:rsid w:val="008E23BE"/>
    <w:rsid w:val="008E24C2"/>
    <w:rsid w:val="008E2DA1"/>
    <w:rsid w:val="008E2DB6"/>
    <w:rsid w:val="008E304B"/>
    <w:rsid w:val="008E3254"/>
    <w:rsid w:val="008E3746"/>
    <w:rsid w:val="008E3968"/>
    <w:rsid w:val="008E420A"/>
    <w:rsid w:val="008E4317"/>
    <w:rsid w:val="008E4E42"/>
    <w:rsid w:val="008E5016"/>
    <w:rsid w:val="008E5127"/>
    <w:rsid w:val="008E513F"/>
    <w:rsid w:val="008E521B"/>
    <w:rsid w:val="008E573E"/>
    <w:rsid w:val="008E60D6"/>
    <w:rsid w:val="008E6412"/>
    <w:rsid w:val="008E66FF"/>
    <w:rsid w:val="008E67D9"/>
    <w:rsid w:val="008E73FF"/>
    <w:rsid w:val="008E77CA"/>
    <w:rsid w:val="008E7B96"/>
    <w:rsid w:val="008F0488"/>
    <w:rsid w:val="008F04EB"/>
    <w:rsid w:val="008F0961"/>
    <w:rsid w:val="008F159C"/>
    <w:rsid w:val="008F2429"/>
    <w:rsid w:val="008F2441"/>
    <w:rsid w:val="008F270F"/>
    <w:rsid w:val="008F2BDA"/>
    <w:rsid w:val="008F2C5E"/>
    <w:rsid w:val="008F390F"/>
    <w:rsid w:val="008F3DC4"/>
    <w:rsid w:val="008F3E4C"/>
    <w:rsid w:val="008F3F35"/>
    <w:rsid w:val="008F4214"/>
    <w:rsid w:val="008F441E"/>
    <w:rsid w:val="008F45EC"/>
    <w:rsid w:val="008F484F"/>
    <w:rsid w:val="008F4980"/>
    <w:rsid w:val="008F4B9D"/>
    <w:rsid w:val="008F4C10"/>
    <w:rsid w:val="008F4D35"/>
    <w:rsid w:val="008F4E04"/>
    <w:rsid w:val="008F4F2F"/>
    <w:rsid w:val="008F515F"/>
    <w:rsid w:val="008F546E"/>
    <w:rsid w:val="008F5541"/>
    <w:rsid w:val="008F557A"/>
    <w:rsid w:val="008F5604"/>
    <w:rsid w:val="008F60B6"/>
    <w:rsid w:val="008F63F8"/>
    <w:rsid w:val="008F6689"/>
    <w:rsid w:val="008F6759"/>
    <w:rsid w:val="008F6A9F"/>
    <w:rsid w:val="008F7035"/>
    <w:rsid w:val="008F7173"/>
    <w:rsid w:val="008F773A"/>
    <w:rsid w:val="008F7CBB"/>
    <w:rsid w:val="008F7EA6"/>
    <w:rsid w:val="009003BE"/>
    <w:rsid w:val="00901008"/>
    <w:rsid w:val="00901136"/>
    <w:rsid w:val="00901A77"/>
    <w:rsid w:val="00901ACE"/>
    <w:rsid w:val="00901C66"/>
    <w:rsid w:val="00902175"/>
    <w:rsid w:val="00902519"/>
    <w:rsid w:val="00902EF5"/>
    <w:rsid w:val="00902F65"/>
    <w:rsid w:val="009040A1"/>
    <w:rsid w:val="00904471"/>
    <w:rsid w:val="009045B7"/>
    <w:rsid w:val="009049A5"/>
    <w:rsid w:val="00904AFC"/>
    <w:rsid w:val="00904D0D"/>
    <w:rsid w:val="00904E3B"/>
    <w:rsid w:val="00905426"/>
    <w:rsid w:val="00905F72"/>
    <w:rsid w:val="00906199"/>
    <w:rsid w:val="0090668D"/>
    <w:rsid w:val="00906C43"/>
    <w:rsid w:val="00906ECD"/>
    <w:rsid w:val="00906EE2"/>
    <w:rsid w:val="00907098"/>
    <w:rsid w:val="009070A2"/>
    <w:rsid w:val="0090752A"/>
    <w:rsid w:val="00907744"/>
    <w:rsid w:val="0091064F"/>
    <w:rsid w:val="00911660"/>
    <w:rsid w:val="00911823"/>
    <w:rsid w:val="009118F5"/>
    <w:rsid w:val="00911F72"/>
    <w:rsid w:val="00911FC7"/>
    <w:rsid w:val="0091237B"/>
    <w:rsid w:val="00912467"/>
    <w:rsid w:val="00912626"/>
    <w:rsid w:val="00912786"/>
    <w:rsid w:val="0091280A"/>
    <w:rsid w:val="00913199"/>
    <w:rsid w:val="009133ED"/>
    <w:rsid w:val="00913657"/>
    <w:rsid w:val="00913920"/>
    <w:rsid w:val="00913ACF"/>
    <w:rsid w:val="00913B2A"/>
    <w:rsid w:val="00913C4E"/>
    <w:rsid w:val="00913C52"/>
    <w:rsid w:val="00913E61"/>
    <w:rsid w:val="00913EB4"/>
    <w:rsid w:val="009142FA"/>
    <w:rsid w:val="009145D1"/>
    <w:rsid w:val="00914630"/>
    <w:rsid w:val="009146FB"/>
    <w:rsid w:val="00914BF9"/>
    <w:rsid w:val="00914CAB"/>
    <w:rsid w:val="009150E5"/>
    <w:rsid w:val="009151C0"/>
    <w:rsid w:val="009154A6"/>
    <w:rsid w:val="009155E1"/>
    <w:rsid w:val="00915966"/>
    <w:rsid w:val="0091649F"/>
    <w:rsid w:val="009168AD"/>
    <w:rsid w:val="009169F0"/>
    <w:rsid w:val="00916AA6"/>
    <w:rsid w:val="00916BF0"/>
    <w:rsid w:val="009170F0"/>
    <w:rsid w:val="00917ADB"/>
    <w:rsid w:val="009201AE"/>
    <w:rsid w:val="00920651"/>
    <w:rsid w:val="0092181A"/>
    <w:rsid w:val="00921940"/>
    <w:rsid w:val="0092198A"/>
    <w:rsid w:val="00921A2D"/>
    <w:rsid w:val="00921D1B"/>
    <w:rsid w:val="00922297"/>
    <w:rsid w:val="009228C4"/>
    <w:rsid w:val="00922982"/>
    <w:rsid w:val="00922B8D"/>
    <w:rsid w:val="0092328A"/>
    <w:rsid w:val="009232A6"/>
    <w:rsid w:val="0092399D"/>
    <w:rsid w:val="00923A99"/>
    <w:rsid w:val="00923BEB"/>
    <w:rsid w:val="009240BE"/>
    <w:rsid w:val="009243F7"/>
    <w:rsid w:val="00924662"/>
    <w:rsid w:val="00924CEF"/>
    <w:rsid w:val="00924E63"/>
    <w:rsid w:val="00925D30"/>
    <w:rsid w:val="00925DC3"/>
    <w:rsid w:val="00925FF2"/>
    <w:rsid w:val="009262D8"/>
    <w:rsid w:val="00926F08"/>
    <w:rsid w:val="00926FDE"/>
    <w:rsid w:val="0092779E"/>
    <w:rsid w:val="0092783B"/>
    <w:rsid w:val="0092784C"/>
    <w:rsid w:val="009279A4"/>
    <w:rsid w:val="00927A22"/>
    <w:rsid w:val="00927CCD"/>
    <w:rsid w:val="00927DCD"/>
    <w:rsid w:val="00927EE8"/>
    <w:rsid w:val="0093004F"/>
    <w:rsid w:val="009301DF"/>
    <w:rsid w:val="00930884"/>
    <w:rsid w:val="009315B1"/>
    <w:rsid w:val="00931671"/>
    <w:rsid w:val="0093193C"/>
    <w:rsid w:val="00932486"/>
    <w:rsid w:val="009329E4"/>
    <w:rsid w:val="00932F5B"/>
    <w:rsid w:val="00933072"/>
    <w:rsid w:val="009330D9"/>
    <w:rsid w:val="0093360A"/>
    <w:rsid w:val="00933803"/>
    <w:rsid w:val="009341C9"/>
    <w:rsid w:val="00934A0B"/>
    <w:rsid w:val="00934F0A"/>
    <w:rsid w:val="00934F61"/>
    <w:rsid w:val="0093508B"/>
    <w:rsid w:val="00935318"/>
    <w:rsid w:val="009355D3"/>
    <w:rsid w:val="00935A4D"/>
    <w:rsid w:val="00935D7E"/>
    <w:rsid w:val="00935F94"/>
    <w:rsid w:val="0093622F"/>
    <w:rsid w:val="00936924"/>
    <w:rsid w:val="00936935"/>
    <w:rsid w:val="00936B60"/>
    <w:rsid w:val="00936CC8"/>
    <w:rsid w:val="00936D2A"/>
    <w:rsid w:val="00936EEB"/>
    <w:rsid w:val="009373A6"/>
    <w:rsid w:val="00937997"/>
    <w:rsid w:val="009379BF"/>
    <w:rsid w:val="00937D5A"/>
    <w:rsid w:val="00940460"/>
    <w:rsid w:val="0094096B"/>
    <w:rsid w:val="0094121B"/>
    <w:rsid w:val="009413E4"/>
    <w:rsid w:val="00941692"/>
    <w:rsid w:val="00941724"/>
    <w:rsid w:val="00941969"/>
    <w:rsid w:val="00942133"/>
    <w:rsid w:val="00942D50"/>
    <w:rsid w:val="00942D86"/>
    <w:rsid w:val="00943A96"/>
    <w:rsid w:val="00944328"/>
    <w:rsid w:val="0094493A"/>
    <w:rsid w:val="00944A3D"/>
    <w:rsid w:val="00944E55"/>
    <w:rsid w:val="00945236"/>
    <w:rsid w:val="00945709"/>
    <w:rsid w:val="00945CF3"/>
    <w:rsid w:val="009460AF"/>
    <w:rsid w:val="0094637C"/>
    <w:rsid w:val="00946740"/>
    <w:rsid w:val="0094745E"/>
    <w:rsid w:val="00947B8D"/>
    <w:rsid w:val="009501BA"/>
    <w:rsid w:val="009502E1"/>
    <w:rsid w:val="009505E0"/>
    <w:rsid w:val="0095063E"/>
    <w:rsid w:val="00950F6F"/>
    <w:rsid w:val="0095178D"/>
    <w:rsid w:val="009517AB"/>
    <w:rsid w:val="00951A15"/>
    <w:rsid w:val="00952128"/>
    <w:rsid w:val="0095249A"/>
    <w:rsid w:val="0095254E"/>
    <w:rsid w:val="00952B17"/>
    <w:rsid w:val="00952BAB"/>
    <w:rsid w:val="00952C4F"/>
    <w:rsid w:val="00952F68"/>
    <w:rsid w:val="00953EF5"/>
    <w:rsid w:val="0095401C"/>
    <w:rsid w:val="0095406C"/>
    <w:rsid w:val="00954429"/>
    <w:rsid w:val="009549E9"/>
    <w:rsid w:val="00954E8C"/>
    <w:rsid w:val="00955024"/>
    <w:rsid w:val="00955291"/>
    <w:rsid w:val="009554AC"/>
    <w:rsid w:val="009555C4"/>
    <w:rsid w:val="00955622"/>
    <w:rsid w:val="0095575B"/>
    <w:rsid w:val="009557BC"/>
    <w:rsid w:val="00955C20"/>
    <w:rsid w:val="00955C4E"/>
    <w:rsid w:val="009563EA"/>
    <w:rsid w:val="00956630"/>
    <w:rsid w:val="00956A03"/>
    <w:rsid w:val="00956CA5"/>
    <w:rsid w:val="00956D82"/>
    <w:rsid w:val="00956EC8"/>
    <w:rsid w:val="0095784B"/>
    <w:rsid w:val="00957881"/>
    <w:rsid w:val="009578A6"/>
    <w:rsid w:val="00957D81"/>
    <w:rsid w:val="00957E80"/>
    <w:rsid w:val="00957F57"/>
    <w:rsid w:val="0096043B"/>
    <w:rsid w:val="0096046B"/>
    <w:rsid w:val="00960682"/>
    <w:rsid w:val="009611B9"/>
    <w:rsid w:val="00961417"/>
    <w:rsid w:val="0096181D"/>
    <w:rsid w:val="00961BCB"/>
    <w:rsid w:val="00961EE3"/>
    <w:rsid w:val="0096266E"/>
    <w:rsid w:val="00962A9E"/>
    <w:rsid w:val="00962B13"/>
    <w:rsid w:val="009637E4"/>
    <w:rsid w:val="00963886"/>
    <w:rsid w:val="00963963"/>
    <w:rsid w:val="00963C20"/>
    <w:rsid w:val="0096415C"/>
    <w:rsid w:val="00964165"/>
    <w:rsid w:val="009641EE"/>
    <w:rsid w:val="009642BB"/>
    <w:rsid w:val="0096444A"/>
    <w:rsid w:val="00964665"/>
    <w:rsid w:val="00964749"/>
    <w:rsid w:val="00964E2F"/>
    <w:rsid w:val="009650DF"/>
    <w:rsid w:val="0096556C"/>
    <w:rsid w:val="009660A9"/>
    <w:rsid w:val="009666F1"/>
    <w:rsid w:val="00966887"/>
    <w:rsid w:val="00966922"/>
    <w:rsid w:val="00966939"/>
    <w:rsid w:val="00966AC1"/>
    <w:rsid w:val="00966AF7"/>
    <w:rsid w:val="00966D10"/>
    <w:rsid w:val="009672D7"/>
    <w:rsid w:val="00967329"/>
    <w:rsid w:val="00967933"/>
    <w:rsid w:val="009679FC"/>
    <w:rsid w:val="00967A4A"/>
    <w:rsid w:val="009701E1"/>
    <w:rsid w:val="00970614"/>
    <w:rsid w:val="00970AB6"/>
    <w:rsid w:val="00971121"/>
    <w:rsid w:val="0097145A"/>
    <w:rsid w:val="00971518"/>
    <w:rsid w:val="009715B1"/>
    <w:rsid w:val="00971AFD"/>
    <w:rsid w:val="00971CEB"/>
    <w:rsid w:val="00971DF8"/>
    <w:rsid w:val="009722A5"/>
    <w:rsid w:val="00973B54"/>
    <w:rsid w:val="00973DA0"/>
    <w:rsid w:val="00973F34"/>
    <w:rsid w:val="009743AF"/>
    <w:rsid w:val="00974470"/>
    <w:rsid w:val="00974C54"/>
    <w:rsid w:val="00974CE5"/>
    <w:rsid w:val="00974E0E"/>
    <w:rsid w:val="009758A3"/>
    <w:rsid w:val="00975AC3"/>
    <w:rsid w:val="00975D8B"/>
    <w:rsid w:val="0097641C"/>
    <w:rsid w:val="00976452"/>
    <w:rsid w:val="0097685E"/>
    <w:rsid w:val="00976B9C"/>
    <w:rsid w:val="00976C26"/>
    <w:rsid w:val="00976DF4"/>
    <w:rsid w:val="00976F95"/>
    <w:rsid w:val="009770FB"/>
    <w:rsid w:val="009771C6"/>
    <w:rsid w:val="009772A5"/>
    <w:rsid w:val="009772F3"/>
    <w:rsid w:val="009779D0"/>
    <w:rsid w:val="00980026"/>
    <w:rsid w:val="00980318"/>
    <w:rsid w:val="0098051B"/>
    <w:rsid w:val="009808C6"/>
    <w:rsid w:val="009808E7"/>
    <w:rsid w:val="00980BA1"/>
    <w:rsid w:val="00980C82"/>
    <w:rsid w:val="00981165"/>
    <w:rsid w:val="00981378"/>
    <w:rsid w:val="00981DD7"/>
    <w:rsid w:val="0098262B"/>
    <w:rsid w:val="00982688"/>
    <w:rsid w:val="009826D6"/>
    <w:rsid w:val="00982B6F"/>
    <w:rsid w:val="00982BB1"/>
    <w:rsid w:val="00982CB5"/>
    <w:rsid w:val="00982D66"/>
    <w:rsid w:val="00982F05"/>
    <w:rsid w:val="009831C2"/>
    <w:rsid w:val="00983560"/>
    <w:rsid w:val="00983698"/>
    <w:rsid w:val="009836B2"/>
    <w:rsid w:val="00983947"/>
    <w:rsid w:val="0098395C"/>
    <w:rsid w:val="00983A7B"/>
    <w:rsid w:val="00984079"/>
    <w:rsid w:val="0098429C"/>
    <w:rsid w:val="0098447D"/>
    <w:rsid w:val="00984660"/>
    <w:rsid w:val="00984737"/>
    <w:rsid w:val="00984979"/>
    <w:rsid w:val="009849EA"/>
    <w:rsid w:val="0098527F"/>
    <w:rsid w:val="009854E3"/>
    <w:rsid w:val="00985EB7"/>
    <w:rsid w:val="00985F7B"/>
    <w:rsid w:val="00985FEB"/>
    <w:rsid w:val="00986DFB"/>
    <w:rsid w:val="00986E2D"/>
    <w:rsid w:val="00987561"/>
    <w:rsid w:val="009875FA"/>
    <w:rsid w:val="009877CA"/>
    <w:rsid w:val="009877F3"/>
    <w:rsid w:val="00987B75"/>
    <w:rsid w:val="00987B8C"/>
    <w:rsid w:val="00990537"/>
    <w:rsid w:val="00990626"/>
    <w:rsid w:val="00991129"/>
    <w:rsid w:val="00991189"/>
    <w:rsid w:val="0099165E"/>
    <w:rsid w:val="00991BFC"/>
    <w:rsid w:val="00991C5B"/>
    <w:rsid w:val="00991CCB"/>
    <w:rsid w:val="00992ED9"/>
    <w:rsid w:val="009931F5"/>
    <w:rsid w:val="00993602"/>
    <w:rsid w:val="0099384A"/>
    <w:rsid w:val="009939AD"/>
    <w:rsid w:val="00993BEA"/>
    <w:rsid w:val="00993D5C"/>
    <w:rsid w:val="00994147"/>
    <w:rsid w:val="009943BF"/>
    <w:rsid w:val="00994C15"/>
    <w:rsid w:val="00995343"/>
    <w:rsid w:val="0099540B"/>
    <w:rsid w:val="00995568"/>
    <w:rsid w:val="009959AA"/>
    <w:rsid w:val="009959F4"/>
    <w:rsid w:val="00997A3B"/>
    <w:rsid w:val="00997B45"/>
    <w:rsid w:val="00997C8E"/>
    <w:rsid w:val="00997EED"/>
    <w:rsid w:val="009A151F"/>
    <w:rsid w:val="009A15FA"/>
    <w:rsid w:val="009A1640"/>
    <w:rsid w:val="009A1AF8"/>
    <w:rsid w:val="009A1B8D"/>
    <w:rsid w:val="009A2370"/>
    <w:rsid w:val="009A2C7D"/>
    <w:rsid w:val="009A2D7E"/>
    <w:rsid w:val="009A3B15"/>
    <w:rsid w:val="009A40C3"/>
    <w:rsid w:val="009A4244"/>
    <w:rsid w:val="009A4CAF"/>
    <w:rsid w:val="009A4CB2"/>
    <w:rsid w:val="009A5211"/>
    <w:rsid w:val="009A5212"/>
    <w:rsid w:val="009A57AF"/>
    <w:rsid w:val="009A5D5F"/>
    <w:rsid w:val="009A5F3D"/>
    <w:rsid w:val="009A6640"/>
    <w:rsid w:val="009A6D48"/>
    <w:rsid w:val="009A6FD6"/>
    <w:rsid w:val="009A745E"/>
    <w:rsid w:val="009A787B"/>
    <w:rsid w:val="009A7C40"/>
    <w:rsid w:val="009B02EA"/>
    <w:rsid w:val="009B060B"/>
    <w:rsid w:val="009B0628"/>
    <w:rsid w:val="009B0725"/>
    <w:rsid w:val="009B1107"/>
    <w:rsid w:val="009B13FE"/>
    <w:rsid w:val="009B18E2"/>
    <w:rsid w:val="009B28F8"/>
    <w:rsid w:val="009B2B45"/>
    <w:rsid w:val="009B2E39"/>
    <w:rsid w:val="009B3395"/>
    <w:rsid w:val="009B3F98"/>
    <w:rsid w:val="009B4048"/>
    <w:rsid w:val="009B4334"/>
    <w:rsid w:val="009B433A"/>
    <w:rsid w:val="009B45AC"/>
    <w:rsid w:val="009B4DF0"/>
    <w:rsid w:val="009B4F50"/>
    <w:rsid w:val="009B5236"/>
    <w:rsid w:val="009B5DB8"/>
    <w:rsid w:val="009B5E41"/>
    <w:rsid w:val="009B5E4C"/>
    <w:rsid w:val="009B5EEB"/>
    <w:rsid w:val="009B6080"/>
    <w:rsid w:val="009B6380"/>
    <w:rsid w:val="009B68EB"/>
    <w:rsid w:val="009B6B09"/>
    <w:rsid w:val="009B6B77"/>
    <w:rsid w:val="009B6BF2"/>
    <w:rsid w:val="009B6C24"/>
    <w:rsid w:val="009B6C58"/>
    <w:rsid w:val="009B6D96"/>
    <w:rsid w:val="009B6DDF"/>
    <w:rsid w:val="009B70B5"/>
    <w:rsid w:val="009B7123"/>
    <w:rsid w:val="009B7399"/>
    <w:rsid w:val="009B7548"/>
    <w:rsid w:val="009B7A70"/>
    <w:rsid w:val="009C0161"/>
    <w:rsid w:val="009C040F"/>
    <w:rsid w:val="009C0479"/>
    <w:rsid w:val="009C0697"/>
    <w:rsid w:val="009C070C"/>
    <w:rsid w:val="009C0BA5"/>
    <w:rsid w:val="009C0C5B"/>
    <w:rsid w:val="009C0E15"/>
    <w:rsid w:val="009C123B"/>
    <w:rsid w:val="009C141A"/>
    <w:rsid w:val="009C16B8"/>
    <w:rsid w:val="009C17DC"/>
    <w:rsid w:val="009C1B60"/>
    <w:rsid w:val="009C1E01"/>
    <w:rsid w:val="009C1E57"/>
    <w:rsid w:val="009C1E83"/>
    <w:rsid w:val="009C1FD7"/>
    <w:rsid w:val="009C2ADE"/>
    <w:rsid w:val="009C2CB0"/>
    <w:rsid w:val="009C2ED7"/>
    <w:rsid w:val="009C3075"/>
    <w:rsid w:val="009C3770"/>
    <w:rsid w:val="009C45C4"/>
    <w:rsid w:val="009C4AA5"/>
    <w:rsid w:val="009C4DDB"/>
    <w:rsid w:val="009C4F15"/>
    <w:rsid w:val="009C5071"/>
    <w:rsid w:val="009C5319"/>
    <w:rsid w:val="009C58B9"/>
    <w:rsid w:val="009C5C6E"/>
    <w:rsid w:val="009C62C3"/>
    <w:rsid w:val="009C62F7"/>
    <w:rsid w:val="009C6779"/>
    <w:rsid w:val="009C6A6D"/>
    <w:rsid w:val="009C6ADE"/>
    <w:rsid w:val="009C6E97"/>
    <w:rsid w:val="009C72A1"/>
    <w:rsid w:val="009C734A"/>
    <w:rsid w:val="009C74C6"/>
    <w:rsid w:val="009C77D1"/>
    <w:rsid w:val="009C790C"/>
    <w:rsid w:val="009C79B4"/>
    <w:rsid w:val="009C7B7B"/>
    <w:rsid w:val="009C7C43"/>
    <w:rsid w:val="009C7F1A"/>
    <w:rsid w:val="009D004B"/>
    <w:rsid w:val="009D0350"/>
    <w:rsid w:val="009D03AB"/>
    <w:rsid w:val="009D0559"/>
    <w:rsid w:val="009D05CD"/>
    <w:rsid w:val="009D076C"/>
    <w:rsid w:val="009D0A71"/>
    <w:rsid w:val="009D12CF"/>
    <w:rsid w:val="009D1507"/>
    <w:rsid w:val="009D1741"/>
    <w:rsid w:val="009D17D8"/>
    <w:rsid w:val="009D20F6"/>
    <w:rsid w:val="009D233B"/>
    <w:rsid w:val="009D3320"/>
    <w:rsid w:val="009D3347"/>
    <w:rsid w:val="009D3440"/>
    <w:rsid w:val="009D35FA"/>
    <w:rsid w:val="009D36BD"/>
    <w:rsid w:val="009D3859"/>
    <w:rsid w:val="009D387C"/>
    <w:rsid w:val="009D3B7A"/>
    <w:rsid w:val="009D43BC"/>
    <w:rsid w:val="009D47FC"/>
    <w:rsid w:val="009D4CF0"/>
    <w:rsid w:val="009D5585"/>
    <w:rsid w:val="009D6070"/>
    <w:rsid w:val="009D62E1"/>
    <w:rsid w:val="009D6905"/>
    <w:rsid w:val="009D71A8"/>
    <w:rsid w:val="009D721E"/>
    <w:rsid w:val="009D78C2"/>
    <w:rsid w:val="009D7AAF"/>
    <w:rsid w:val="009D7B52"/>
    <w:rsid w:val="009D7F7F"/>
    <w:rsid w:val="009E00E6"/>
    <w:rsid w:val="009E0688"/>
    <w:rsid w:val="009E06F7"/>
    <w:rsid w:val="009E0A1A"/>
    <w:rsid w:val="009E0DB2"/>
    <w:rsid w:val="009E0FA2"/>
    <w:rsid w:val="009E165B"/>
    <w:rsid w:val="009E16A8"/>
    <w:rsid w:val="009E202C"/>
    <w:rsid w:val="009E298C"/>
    <w:rsid w:val="009E2BC4"/>
    <w:rsid w:val="009E2DAF"/>
    <w:rsid w:val="009E310B"/>
    <w:rsid w:val="009E3451"/>
    <w:rsid w:val="009E3938"/>
    <w:rsid w:val="009E3A81"/>
    <w:rsid w:val="009E3CCC"/>
    <w:rsid w:val="009E3D7E"/>
    <w:rsid w:val="009E3E14"/>
    <w:rsid w:val="009E41B1"/>
    <w:rsid w:val="009E4681"/>
    <w:rsid w:val="009E52ED"/>
    <w:rsid w:val="009E56A6"/>
    <w:rsid w:val="009E5807"/>
    <w:rsid w:val="009E58C1"/>
    <w:rsid w:val="009E593C"/>
    <w:rsid w:val="009E62A6"/>
    <w:rsid w:val="009E6367"/>
    <w:rsid w:val="009E64A7"/>
    <w:rsid w:val="009E670C"/>
    <w:rsid w:val="009E760D"/>
    <w:rsid w:val="009E7757"/>
    <w:rsid w:val="009E7F4C"/>
    <w:rsid w:val="009F005A"/>
    <w:rsid w:val="009F0939"/>
    <w:rsid w:val="009F09BB"/>
    <w:rsid w:val="009F1254"/>
    <w:rsid w:val="009F168A"/>
    <w:rsid w:val="009F1740"/>
    <w:rsid w:val="009F1F40"/>
    <w:rsid w:val="009F2282"/>
    <w:rsid w:val="009F22F7"/>
    <w:rsid w:val="009F25E2"/>
    <w:rsid w:val="009F2FD4"/>
    <w:rsid w:val="009F3079"/>
    <w:rsid w:val="009F3701"/>
    <w:rsid w:val="009F3894"/>
    <w:rsid w:val="009F3AA1"/>
    <w:rsid w:val="009F3B91"/>
    <w:rsid w:val="009F3BBE"/>
    <w:rsid w:val="009F3F68"/>
    <w:rsid w:val="009F43D8"/>
    <w:rsid w:val="009F4ADB"/>
    <w:rsid w:val="009F584A"/>
    <w:rsid w:val="009F58FE"/>
    <w:rsid w:val="009F5D33"/>
    <w:rsid w:val="009F5E5B"/>
    <w:rsid w:val="009F60BC"/>
    <w:rsid w:val="009F6545"/>
    <w:rsid w:val="009F6CE9"/>
    <w:rsid w:val="009F6D22"/>
    <w:rsid w:val="009F6F55"/>
    <w:rsid w:val="009F6F63"/>
    <w:rsid w:val="009F7147"/>
    <w:rsid w:val="009F7199"/>
    <w:rsid w:val="009F77A5"/>
    <w:rsid w:val="009F7B42"/>
    <w:rsid w:val="009F7CDE"/>
    <w:rsid w:val="00A006D8"/>
    <w:rsid w:val="00A00BD6"/>
    <w:rsid w:val="00A00E17"/>
    <w:rsid w:val="00A014E0"/>
    <w:rsid w:val="00A0152E"/>
    <w:rsid w:val="00A01C96"/>
    <w:rsid w:val="00A01E6D"/>
    <w:rsid w:val="00A01F28"/>
    <w:rsid w:val="00A020FF"/>
    <w:rsid w:val="00A026B8"/>
    <w:rsid w:val="00A0289C"/>
    <w:rsid w:val="00A02C0E"/>
    <w:rsid w:val="00A02F84"/>
    <w:rsid w:val="00A04B3E"/>
    <w:rsid w:val="00A04B6E"/>
    <w:rsid w:val="00A055AF"/>
    <w:rsid w:val="00A062F2"/>
    <w:rsid w:val="00A06AEB"/>
    <w:rsid w:val="00A07404"/>
    <w:rsid w:val="00A074A6"/>
    <w:rsid w:val="00A074DB"/>
    <w:rsid w:val="00A0787D"/>
    <w:rsid w:val="00A07DBD"/>
    <w:rsid w:val="00A100C5"/>
    <w:rsid w:val="00A10206"/>
    <w:rsid w:val="00A1071C"/>
    <w:rsid w:val="00A10B78"/>
    <w:rsid w:val="00A111C6"/>
    <w:rsid w:val="00A114BB"/>
    <w:rsid w:val="00A117C6"/>
    <w:rsid w:val="00A11AAB"/>
    <w:rsid w:val="00A12353"/>
    <w:rsid w:val="00A1240A"/>
    <w:rsid w:val="00A12772"/>
    <w:rsid w:val="00A127FC"/>
    <w:rsid w:val="00A12CFA"/>
    <w:rsid w:val="00A1340F"/>
    <w:rsid w:val="00A13609"/>
    <w:rsid w:val="00A13ECE"/>
    <w:rsid w:val="00A1411B"/>
    <w:rsid w:val="00A14A07"/>
    <w:rsid w:val="00A14AC3"/>
    <w:rsid w:val="00A14D5A"/>
    <w:rsid w:val="00A14E53"/>
    <w:rsid w:val="00A150BC"/>
    <w:rsid w:val="00A1542A"/>
    <w:rsid w:val="00A156B9"/>
    <w:rsid w:val="00A157D0"/>
    <w:rsid w:val="00A159C7"/>
    <w:rsid w:val="00A167A3"/>
    <w:rsid w:val="00A169C3"/>
    <w:rsid w:val="00A16BBE"/>
    <w:rsid w:val="00A16CEF"/>
    <w:rsid w:val="00A16D22"/>
    <w:rsid w:val="00A16ED4"/>
    <w:rsid w:val="00A17963"/>
    <w:rsid w:val="00A179A9"/>
    <w:rsid w:val="00A17AE0"/>
    <w:rsid w:val="00A17FEE"/>
    <w:rsid w:val="00A201A5"/>
    <w:rsid w:val="00A201F2"/>
    <w:rsid w:val="00A202A4"/>
    <w:rsid w:val="00A203FD"/>
    <w:rsid w:val="00A20555"/>
    <w:rsid w:val="00A20593"/>
    <w:rsid w:val="00A20828"/>
    <w:rsid w:val="00A20B20"/>
    <w:rsid w:val="00A20B3F"/>
    <w:rsid w:val="00A20E17"/>
    <w:rsid w:val="00A2141D"/>
    <w:rsid w:val="00A216CF"/>
    <w:rsid w:val="00A21AA0"/>
    <w:rsid w:val="00A21FFA"/>
    <w:rsid w:val="00A2205E"/>
    <w:rsid w:val="00A225C8"/>
    <w:rsid w:val="00A22691"/>
    <w:rsid w:val="00A2294F"/>
    <w:rsid w:val="00A22B0A"/>
    <w:rsid w:val="00A22D7C"/>
    <w:rsid w:val="00A23814"/>
    <w:rsid w:val="00A2393E"/>
    <w:rsid w:val="00A23B1E"/>
    <w:rsid w:val="00A23B6E"/>
    <w:rsid w:val="00A23D00"/>
    <w:rsid w:val="00A23D8B"/>
    <w:rsid w:val="00A23EFC"/>
    <w:rsid w:val="00A241BB"/>
    <w:rsid w:val="00A2437E"/>
    <w:rsid w:val="00A24BA9"/>
    <w:rsid w:val="00A24D3D"/>
    <w:rsid w:val="00A2511C"/>
    <w:rsid w:val="00A253A9"/>
    <w:rsid w:val="00A257BC"/>
    <w:rsid w:val="00A25D4A"/>
    <w:rsid w:val="00A25D4D"/>
    <w:rsid w:val="00A26386"/>
    <w:rsid w:val="00A266DC"/>
    <w:rsid w:val="00A27215"/>
    <w:rsid w:val="00A2758A"/>
    <w:rsid w:val="00A27687"/>
    <w:rsid w:val="00A27D90"/>
    <w:rsid w:val="00A27E1E"/>
    <w:rsid w:val="00A27ECA"/>
    <w:rsid w:val="00A303B5"/>
    <w:rsid w:val="00A30724"/>
    <w:rsid w:val="00A309E0"/>
    <w:rsid w:val="00A30BF7"/>
    <w:rsid w:val="00A30E04"/>
    <w:rsid w:val="00A3122E"/>
    <w:rsid w:val="00A312CA"/>
    <w:rsid w:val="00A3137E"/>
    <w:rsid w:val="00A314B6"/>
    <w:rsid w:val="00A31568"/>
    <w:rsid w:val="00A31577"/>
    <w:rsid w:val="00A31579"/>
    <w:rsid w:val="00A3159C"/>
    <w:rsid w:val="00A3179B"/>
    <w:rsid w:val="00A320B4"/>
    <w:rsid w:val="00A3225F"/>
    <w:rsid w:val="00A3343D"/>
    <w:rsid w:val="00A334DF"/>
    <w:rsid w:val="00A3374F"/>
    <w:rsid w:val="00A338AE"/>
    <w:rsid w:val="00A33917"/>
    <w:rsid w:val="00A33EF8"/>
    <w:rsid w:val="00A34290"/>
    <w:rsid w:val="00A343B6"/>
    <w:rsid w:val="00A355FB"/>
    <w:rsid w:val="00A356A4"/>
    <w:rsid w:val="00A356D0"/>
    <w:rsid w:val="00A35A2F"/>
    <w:rsid w:val="00A35E75"/>
    <w:rsid w:val="00A36030"/>
    <w:rsid w:val="00A36E8E"/>
    <w:rsid w:val="00A373D1"/>
    <w:rsid w:val="00A379C0"/>
    <w:rsid w:val="00A37AB2"/>
    <w:rsid w:val="00A37D4E"/>
    <w:rsid w:val="00A401F6"/>
    <w:rsid w:val="00A402E0"/>
    <w:rsid w:val="00A403A3"/>
    <w:rsid w:val="00A40619"/>
    <w:rsid w:val="00A407B4"/>
    <w:rsid w:val="00A40ECB"/>
    <w:rsid w:val="00A41312"/>
    <w:rsid w:val="00A413C5"/>
    <w:rsid w:val="00A414DA"/>
    <w:rsid w:val="00A4168D"/>
    <w:rsid w:val="00A4181A"/>
    <w:rsid w:val="00A41903"/>
    <w:rsid w:val="00A41D12"/>
    <w:rsid w:val="00A41D21"/>
    <w:rsid w:val="00A4233E"/>
    <w:rsid w:val="00A42657"/>
    <w:rsid w:val="00A42E17"/>
    <w:rsid w:val="00A42ED1"/>
    <w:rsid w:val="00A437FE"/>
    <w:rsid w:val="00A4389E"/>
    <w:rsid w:val="00A43962"/>
    <w:rsid w:val="00A43A23"/>
    <w:rsid w:val="00A43D91"/>
    <w:rsid w:val="00A4460D"/>
    <w:rsid w:val="00A44D2F"/>
    <w:rsid w:val="00A45A57"/>
    <w:rsid w:val="00A45E6F"/>
    <w:rsid w:val="00A45E70"/>
    <w:rsid w:val="00A45EC2"/>
    <w:rsid w:val="00A461E8"/>
    <w:rsid w:val="00A46373"/>
    <w:rsid w:val="00A46A71"/>
    <w:rsid w:val="00A46C12"/>
    <w:rsid w:val="00A46F0B"/>
    <w:rsid w:val="00A4715E"/>
    <w:rsid w:val="00A47B27"/>
    <w:rsid w:val="00A47DF4"/>
    <w:rsid w:val="00A502CD"/>
    <w:rsid w:val="00A502D5"/>
    <w:rsid w:val="00A5038B"/>
    <w:rsid w:val="00A50432"/>
    <w:rsid w:val="00A5049F"/>
    <w:rsid w:val="00A504F1"/>
    <w:rsid w:val="00A511AA"/>
    <w:rsid w:val="00A51417"/>
    <w:rsid w:val="00A51555"/>
    <w:rsid w:val="00A516C3"/>
    <w:rsid w:val="00A5248A"/>
    <w:rsid w:val="00A526F4"/>
    <w:rsid w:val="00A5275A"/>
    <w:rsid w:val="00A52B8E"/>
    <w:rsid w:val="00A530CA"/>
    <w:rsid w:val="00A53153"/>
    <w:rsid w:val="00A53486"/>
    <w:rsid w:val="00A53845"/>
    <w:rsid w:val="00A53B0B"/>
    <w:rsid w:val="00A53C12"/>
    <w:rsid w:val="00A5472F"/>
    <w:rsid w:val="00A548EB"/>
    <w:rsid w:val="00A54A4B"/>
    <w:rsid w:val="00A54E48"/>
    <w:rsid w:val="00A55305"/>
    <w:rsid w:val="00A5547A"/>
    <w:rsid w:val="00A5574B"/>
    <w:rsid w:val="00A55B69"/>
    <w:rsid w:val="00A55DF1"/>
    <w:rsid w:val="00A56020"/>
    <w:rsid w:val="00A560A4"/>
    <w:rsid w:val="00A56757"/>
    <w:rsid w:val="00A567EF"/>
    <w:rsid w:val="00A5699C"/>
    <w:rsid w:val="00A56B42"/>
    <w:rsid w:val="00A571B1"/>
    <w:rsid w:val="00A574A7"/>
    <w:rsid w:val="00A57743"/>
    <w:rsid w:val="00A57B23"/>
    <w:rsid w:val="00A57BC6"/>
    <w:rsid w:val="00A60460"/>
    <w:rsid w:val="00A60708"/>
    <w:rsid w:val="00A60751"/>
    <w:rsid w:val="00A608EC"/>
    <w:rsid w:val="00A60A9B"/>
    <w:rsid w:val="00A60D32"/>
    <w:rsid w:val="00A60E67"/>
    <w:rsid w:val="00A60E7D"/>
    <w:rsid w:val="00A60E8E"/>
    <w:rsid w:val="00A60EA7"/>
    <w:rsid w:val="00A61C61"/>
    <w:rsid w:val="00A6252F"/>
    <w:rsid w:val="00A6255E"/>
    <w:rsid w:val="00A62791"/>
    <w:rsid w:val="00A627BC"/>
    <w:rsid w:val="00A62E3E"/>
    <w:rsid w:val="00A63072"/>
    <w:rsid w:val="00A6322D"/>
    <w:rsid w:val="00A6378C"/>
    <w:rsid w:val="00A6388F"/>
    <w:rsid w:val="00A638CD"/>
    <w:rsid w:val="00A63ACC"/>
    <w:rsid w:val="00A642AC"/>
    <w:rsid w:val="00A6464E"/>
    <w:rsid w:val="00A64F37"/>
    <w:rsid w:val="00A65305"/>
    <w:rsid w:val="00A65527"/>
    <w:rsid w:val="00A65CBD"/>
    <w:rsid w:val="00A6613F"/>
    <w:rsid w:val="00A66202"/>
    <w:rsid w:val="00A66285"/>
    <w:rsid w:val="00A668E6"/>
    <w:rsid w:val="00A66A2C"/>
    <w:rsid w:val="00A66DDD"/>
    <w:rsid w:val="00A67169"/>
    <w:rsid w:val="00A674BA"/>
    <w:rsid w:val="00A677DF"/>
    <w:rsid w:val="00A67D07"/>
    <w:rsid w:val="00A7001B"/>
    <w:rsid w:val="00A708BE"/>
    <w:rsid w:val="00A70A6D"/>
    <w:rsid w:val="00A70CA7"/>
    <w:rsid w:val="00A70F40"/>
    <w:rsid w:val="00A713A8"/>
    <w:rsid w:val="00A720CE"/>
    <w:rsid w:val="00A72AF4"/>
    <w:rsid w:val="00A72B31"/>
    <w:rsid w:val="00A7307A"/>
    <w:rsid w:val="00A73419"/>
    <w:rsid w:val="00A7355E"/>
    <w:rsid w:val="00A73B2B"/>
    <w:rsid w:val="00A73BA6"/>
    <w:rsid w:val="00A73E56"/>
    <w:rsid w:val="00A74412"/>
    <w:rsid w:val="00A74F9E"/>
    <w:rsid w:val="00A752AF"/>
    <w:rsid w:val="00A756D7"/>
    <w:rsid w:val="00A75D20"/>
    <w:rsid w:val="00A76659"/>
    <w:rsid w:val="00A76930"/>
    <w:rsid w:val="00A76C1E"/>
    <w:rsid w:val="00A76FF8"/>
    <w:rsid w:val="00A771DE"/>
    <w:rsid w:val="00A7720A"/>
    <w:rsid w:val="00A7747C"/>
    <w:rsid w:val="00A779DE"/>
    <w:rsid w:val="00A77B02"/>
    <w:rsid w:val="00A77C00"/>
    <w:rsid w:val="00A80542"/>
    <w:rsid w:val="00A808D2"/>
    <w:rsid w:val="00A816F7"/>
    <w:rsid w:val="00A81719"/>
    <w:rsid w:val="00A81AB9"/>
    <w:rsid w:val="00A81C55"/>
    <w:rsid w:val="00A81C61"/>
    <w:rsid w:val="00A81DB1"/>
    <w:rsid w:val="00A82244"/>
    <w:rsid w:val="00A82262"/>
    <w:rsid w:val="00A822D4"/>
    <w:rsid w:val="00A82660"/>
    <w:rsid w:val="00A82FA2"/>
    <w:rsid w:val="00A832B3"/>
    <w:rsid w:val="00A83463"/>
    <w:rsid w:val="00A83607"/>
    <w:rsid w:val="00A83A4C"/>
    <w:rsid w:val="00A83A56"/>
    <w:rsid w:val="00A83F86"/>
    <w:rsid w:val="00A844BB"/>
    <w:rsid w:val="00A847D7"/>
    <w:rsid w:val="00A84812"/>
    <w:rsid w:val="00A848A2"/>
    <w:rsid w:val="00A848D8"/>
    <w:rsid w:val="00A84CF0"/>
    <w:rsid w:val="00A84F1C"/>
    <w:rsid w:val="00A85212"/>
    <w:rsid w:val="00A85358"/>
    <w:rsid w:val="00A855D9"/>
    <w:rsid w:val="00A85639"/>
    <w:rsid w:val="00A85791"/>
    <w:rsid w:val="00A859AF"/>
    <w:rsid w:val="00A85A23"/>
    <w:rsid w:val="00A85BFD"/>
    <w:rsid w:val="00A85D15"/>
    <w:rsid w:val="00A85F4C"/>
    <w:rsid w:val="00A861DD"/>
    <w:rsid w:val="00A8677F"/>
    <w:rsid w:val="00A8686D"/>
    <w:rsid w:val="00A86D2C"/>
    <w:rsid w:val="00A86EAB"/>
    <w:rsid w:val="00A87070"/>
    <w:rsid w:val="00A87755"/>
    <w:rsid w:val="00A879AD"/>
    <w:rsid w:val="00A87ED4"/>
    <w:rsid w:val="00A87F28"/>
    <w:rsid w:val="00A90272"/>
    <w:rsid w:val="00A90318"/>
    <w:rsid w:val="00A905FF"/>
    <w:rsid w:val="00A907B6"/>
    <w:rsid w:val="00A90E80"/>
    <w:rsid w:val="00A90E86"/>
    <w:rsid w:val="00A914C2"/>
    <w:rsid w:val="00A915B6"/>
    <w:rsid w:val="00A91981"/>
    <w:rsid w:val="00A919E3"/>
    <w:rsid w:val="00A91A04"/>
    <w:rsid w:val="00A91A73"/>
    <w:rsid w:val="00A92283"/>
    <w:rsid w:val="00A922F8"/>
    <w:rsid w:val="00A92338"/>
    <w:rsid w:val="00A9252E"/>
    <w:rsid w:val="00A94289"/>
    <w:rsid w:val="00A94470"/>
    <w:rsid w:val="00A945FD"/>
    <w:rsid w:val="00A94C45"/>
    <w:rsid w:val="00A94E2A"/>
    <w:rsid w:val="00A952AE"/>
    <w:rsid w:val="00A952D7"/>
    <w:rsid w:val="00A95651"/>
    <w:rsid w:val="00A9584F"/>
    <w:rsid w:val="00A95971"/>
    <w:rsid w:val="00A960B1"/>
    <w:rsid w:val="00A9616A"/>
    <w:rsid w:val="00A96500"/>
    <w:rsid w:val="00A9666B"/>
    <w:rsid w:val="00A96FA1"/>
    <w:rsid w:val="00A9760B"/>
    <w:rsid w:val="00A97B8C"/>
    <w:rsid w:val="00AA000B"/>
    <w:rsid w:val="00AA01E4"/>
    <w:rsid w:val="00AA060A"/>
    <w:rsid w:val="00AA0C10"/>
    <w:rsid w:val="00AA0E3C"/>
    <w:rsid w:val="00AA112E"/>
    <w:rsid w:val="00AA1171"/>
    <w:rsid w:val="00AA1442"/>
    <w:rsid w:val="00AA167E"/>
    <w:rsid w:val="00AA1970"/>
    <w:rsid w:val="00AA1D27"/>
    <w:rsid w:val="00AA215D"/>
    <w:rsid w:val="00AA25D4"/>
    <w:rsid w:val="00AA2C9C"/>
    <w:rsid w:val="00AA3941"/>
    <w:rsid w:val="00AA394D"/>
    <w:rsid w:val="00AA48FB"/>
    <w:rsid w:val="00AA494D"/>
    <w:rsid w:val="00AA4C94"/>
    <w:rsid w:val="00AA4CEC"/>
    <w:rsid w:val="00AA4D9F"/>
    <w:rsid w:val="00AA4E40"/>
    <w:rsid w:val="00AA521C"/>
    <w:rsid w:val="00AA5230"/>
    <w:rsid w:val="00AA5A07"/>
    <w:rsid w:val="00AA5BD3"/>
    <w:rsid w:val="00AA5F16"/>
    <w:rsid w:val="00AA5FC4"/>
    <w:rsid w:val="00AA64EC"/>
    <w:rsid w:val="00AA6680"/>
    <w:rsid w:val="00AA6836"/>
    <w:rsid w:val="00AA68EE"/>
    <w:rsid w:val="00AA6D1E"/>
    <w:rsid w:val="00AA7843"/>
    <w:rsid w:val="00AA7ADC"/>
    <w:rsid w:val="00AA7FFE"/>
    <w:rsid w:val="00AB0045"/>
    <w:rsid w:val="00AB02D7"/>
    <w:rsid w:val="00AB060A"/>
    <w:rsid w:val="00AB06F2"/>
    <w:rsid w:val="00AB0E0E"/>
    <w:rsid w:val="00AB1065"/>
    <w:rsid w:val="00AB1374"/>
    <w:rsid w:val="00AB163E"/>
    <w:rsid w:val="00AB1914"/>
    <w:rsid w:val="00AB1F33"/>
    <w:rsid w:val="00AB20C1"/>
    <w:rsid w:val="00AB2272"/>
    <w:rsid w:val="00AB2543"/>
    <w:rsid w:val="00AB288B"/>
    <w:rsid w:val="00AB34CD"/>
    <w:rsid w:val="00AB39D2"/>
    <w:rsid w:val="00AB3C46"/>
    <w:rsid w:val="00AB4524"/>
    <w:rsid w:val="00AB454B"/>
    <w:rsid w:val="00AB46FA"/>
    <w:rsid w:val="00AB4A0D"/>
    <w:rsid w:val="00AB4A22"/>
    <w:rsid w:val="00AB4AE8"/>
    <w:rsid w:val="00AB4C37"/>
    <w:rsid w:val="00AB4D4C"/>
    <w:rsid w:val="00AB4F5A"/>
    <w:rsid w:val="00AB50B5"/>
    <w:rsid w:val="00AB51BC"/>
    <w:rsid w:val="00AB59CC"/>
    <w:rsid w:val="00AB63BC"/>
    <w:rsid w:val="00AB6419"/>
    <w:rsid w:val="00AB6480"/>
    <w:rsid w:val="00AB6C37"/>
    <w:rsid w:val="00AB6D03"/>
    <w:rsid w:val="00AB6FFD"/>
    <w:rsid w:val="00AB74E3"/>
    <w:rsid w:val="00AB7762"/>
    <w:rsid w:val="00AB7DD2"/>
    <w:rsid w:val="00AC0104"/>
    <w:rsid w:val="00AC01F6"/>
    <w:rsid w:val="00AC0237"/>
    <w:rsid w:val="00AC0A30"/>
    <w:rsid w:val="00AC0B20"/>
    <w:rsid w:val="00AC0E4E"/>
    <w:rsid w:val="00AC1084"/>
    <w:rsid w:val="00AC1097"/>
    <w:rsid w:val="00AC113B"/>
    <w:rsid w:val="00AC1815"/>
    <w:rsid w:val="00AC1920"/>
    <w:rsid w:val="00AC1C11"/>
    <w:rsid w:val="00AC233D"/>
    <w:rsid w:val="00AC2787"/>
    <w:rsid w:val="00AC2DB9"/>
    <w:rsid w:val="00AC397C"/>
    <w:rsid w:val="00AC3E12"/>
    <w:rsid w:val="00AC4103"/>
    <w:rsid w:val="00AC4248"/>
    <w:rsid w:val="00AC429C"/>
    <w:rsid w:val="00AC454F"/>
    <w:rsid w:val="00AC4BF8"/>
    <w:rsid w:val="00AC5078"/>
    <w:rsid w:val="00AC5561"/>
    <w:rsid w:val="00AC5B0B"/>
    <w:rsid w:val="00AC5D8D"/>
    <w:rsid w:val="00AC5F9F"/>
    <w:rsid w:val="00AC6224"/>
    <w:rsid w:val="00AC659D"/>
    <w:rsid w:val="00AC6C91"/>
    <w:rsid w:val="00AC6EE6"/>
    <w:rsid w:val="00AC78B5"/>
    <w:rsid w:val="00AC78DB"/>
    <w:rsid w:val="00AD0731"/>
    <w:rsid w:val="00AD0A23"/>
    <w:rsid w:val="00AD0AC1"/>
    <w:rsid w:val="00AD0C98"/>
    <w:rsid w:val="00AD0D46"/>
    <w:rsid w:val="00AD0FF2"/>
    <w:rsid w:val="00AD128F"/>
    <w:rsid w:val="00AD1448"/>
    <w:rsid w:val="00AD19FB"/>
    <w:rsid w:val="00AD1ADC"/>
    <w:rsid w:val="00AD1CFA"/>
    <w:rsid w:val="00AD1D6D"/>
    <w:rsid w:val="00AD1EBB"/>
    <w:rsid w:val="00AD21A9"/>
    <w:rsid w:val="00AD21C5"/>
    <w:rsid w:val="00AD222F"/>
    <w:rsid w:val="00AD224B"/>
    <w:rsid w:val="00AD24A1"/>
    <w:rsid w:val="00AD2761"/>
    <w:rsid w:val="00AD281C"/>
    <w:rsid w:val="00AD28E9"/>
    <w:rsid w:val="00AD2C78"/>
    <w:rsid w:val="00AD31BB"/>
    <w:rsid w:val="00AD3E35"/>
    <w:rsid w:val="00AD3E50"/>
    <w:rsid w:val="00AD40A7"/>
    <w:rsid w:val="00AD440F"/>
    <w:rsid w:val="00AD441B"/>
    <w:rsid w:val="00AD4994"/>
    <w:rsid w:val="00AD4A26"/>
    <w:rsid w:val="00AD4B1B"/>
    <w:rsid w:val="00AD4FEC"/>
    <w:rsid w:val="00AD5125"/>
    <w:rsid w:val="00AD5857"/>
    <w:rsid w:val="00AD5D19"/>
    <w:rsid w:val="00AD5D59"/>
    <w:rsid w:val="00AD5FEB"/>
    <w:rsid w:val="00AD6A2D"/>
    <w:rsid w:val="00AD6C94"/>
    <w:rsid w:val="00AD6D16"/>
    <w:rsid w:val="00AD77F6"/>
    <w:rsid w:val="00AD7B08"/>
    <w:rsid w:val="00AE01FF"/>
    <w:rsid w:val="00AE0552"/>
    <w:rsid w:val="00AE07F2"/>
    <w:rsid w:val="00AE09B8"/>
    <w:rsid w:val="00AE1A95"/>
    <w:rsid w:val="00AE1AE6"/>
    <w:rsid w:val="00AE200D"/>
    <w:rsid w:val="00AE2365"/>
    <w:rsid w:val="00AE2E1A"/>
    <w:rsid w:val="00AE3B0E"/>
    <w:rsid w:val="00AE3BA9"/>
    <w:rsid w:val="00AE3CF2"/>
    <w:rsid w:val="00AE407F"/>
    <w:rsid w:val="00AE41D3"/>
    <w:rsid w:val="00AE4959"/>
    <w:rsid w:val="00AE4FE7"/>
    <w:rsid w:val="00AE53D0"/>
    <w:rsid w:val="00AE54F7"/>
    <w:rsid w:val="00AE5B3C"/>
    <w:rsid w:val="00AE63A7"/>
    <w:rsid w:val="00AE6B05"/>
    <w:rsid w:val="00AE6E0B"/>
    <w:rsid w:val="00AE71D4"/>
    <w:rsid w:val="00AF034E"/>
    <w:rsid w:val="00AF04D3"/>
    <w:rsid w:val="00AF083E"/>
    <w:rsid w:val="00AF0A44"/>
    <w:rsid w:val="00AF0F58"/>
    <w:rsid w:val="00AF13D3"/>
    <w:rsid w:val="00AF15A4"/>
    <w:rsid w:val="00AF198F"/>
    <w:rsid w:val="00AF1C67"/>
    <w:rsid w:val="00AF1CDE"/>
    <w:rsid w:val="00AF1D3F"/>
    <w:rsid w:val="00AF20C9"/>
    <w:rsid w:val="00AF2593"/>
    <w:rsid w:val="00AF27DB"/>
    <w:rsid w:val="00AF2B04"/>
    <w:rsid w:val="00AF3544"/>
    <w:rsid w:val="00AF355A"/>
    <w:rsid w:val="00AF3818"/>
    <w:rsid w:val="00AF3AFA"/>
    <w:rsid w:val="00AF445A"/>
    <w:rsid w:val="00AF4628"/>
    <w:rsid w:val="00AF4885"/>
    <w:rsid w:val="00AF4D08"/>
    <w:rsid w:val="00AF4DF8"/>
    <w:rsid w:val="00AF53CA"/>
    <w:rsid w:val="00AF53DB"/>
    <w:rsid w:val="00AF54DA"/>
    <w:rsid w:val="00AF5A02"/>
    <w:rsid w:val="00AF5A4D"/>
    <w:rsid w:val="00AF5FA6"/>
    <w:rsid w:val="00AF67D2"/>
    <w:rsid w:val="00AF686D"/>
    <w:rsid w:val="00AF69F6"/>
    <w:rsid w:val="00AF6E83"/>
    <w:rsid w:val="00AF73E1"/>
    <w:rsid w:val="00AF7524"/>
    <w:rsid w:val="00AF7EE4"/>
    <w:rsid w:val="00B004FC"/>
    <w:rsid w:val="00B008CC"/>
    <w:rsid w:val="00B01075"/>
    <w:rsid w:val="00B01522"/>
    <w:rsid w:val="00B0178E"/>
    <w:rsid w:val="00B0233A"/>
    <w:rsid w:val="00B02C44"/>
    <w:rsid w:val="00B02CB8"/>
    <w:rsid w:val="00B02D2F"/>
    <w:rsid w:val="00B03432"/>
    <w:rsid w:val="00B034D2"/>
    <w:rsid w:val="00B03720"/>
    <w:rsid w:val="00B03ACB"/>
    <w:rsid w:val="00B04043"/>
    <w:rsid w:val="00B041C9"/>
    <w:rsid w:val="00B0467B"/>
    <w:rsid w:val="00B04CE8"/>
    <w:rsid w:val="00B0527E"/>
    <w:rsid w:val="00B0541F"/>
    <w:rsid w:val="00B0586B"/>
    <w:rsid w:val="00B05D5C"/>
    <w:rsid w:val="00B06018"/>
    <w:rsid w:val="00B06418"/>
    <w:rsid w:val="00B0680F"/>
    <w:rsid w:val="00B06974"/>
    <w:rsid w:val="00B06B06"/>
    <w:rsid w:val="00B06D5F"/>
    <w:rsid w:val="00B07295"/>
    <w:rsid w:val="00B07304"/>
    <w:rsid w:val="00B074E4"/>
    <w:rsid w:val="00B07684"/>
    <w:rsid w:val="00B07782"/>
    <w:rsid w:val="00B07881"/>
    <w:rsid w:val="00B079F1"/>
    <w:rsid w:val="00B07D1D"/>
    <w:rsid w:val="00B07D42"/>
    <w:rsid w:val="00B100F1"/>
    <w:rsid w:val="00B103D3"/>
    <w:rsid w:val="00B108D1"/>
    <w:rsid w:val="00B10973"/>
    <w:rsid w:val="00B110AE"/>
    <w:rsid w:val="00B1118E"/>
    <w:rsid w:val="00B11203"/>
    <w:rsid w:val="00B113E3"/>
    <w:rsid w:val="00B11418"/>
    <w:rsid w:val="00B11843"/>
    <w:rsid w:val="00B11AAE"/>
    <w:rsid w:val="00B11EA0"/>
    <w:rsid w:val="00B1215F"/>
    <w:rsid w:val="00B12454"/>
    <w:rsid w:val="00B1287B"/>
    <w:rsid w:val="00B128DB"/>
    <w:rsid w:val="00B12A89"/>
    <w:rsid w:val="00B12BA6"/>
    <w:rsid w:val="00B12E2D"/>
    <w:rsid w:val="00B13543"/>
    <w:rsid w:val="00B138B2"/>
    <w:rsid w:val="00B13A14"/>
    <w:rsid w:val="00B13ADE"/>
    <w:rsid w:val="00B13F4E"/>
    <w:rsid w:val="00B1417D"/>
    <w:rsid w:val="00B1433F"/>
    <w:rsid w:val="00B1488C"/>
    <w:rsid w:val="00B156E5"/>
    <w:rsid w:val="00B15A64"/>
    <w:rsid w:val="00B15B31"/>
    <w:rsid w:val="00B16999"/>
    <w:rsid w:val="00B16C1D"/>
    <w:rsid w:val="00B16EE7"/>
    <w:rsid w:val="00B1737A"/>
    <w:rsid w:val="00B1769F"/>
    <w:rsid w:val="00B17836"/>
    <w:rsid w:val="00B17892"/>
    <w:rsid w:val="00B179C0"/>
    <w:rsid w:val="00B17DB6"/>
    <w:rsid w:val="00B17EE8"/>
    <w:rsid w:val="00B204BB"/>
    <w:rsid w:val="00B20C26"/>
    <w:rsid w:val="00B20FC0"/>
    <w:rsid w:val="00B216E3"/>
    <w:rsid w:val="00B21AD0"/>
    <w:rsid w:val="00B21BF5"/>
    <w:rsid w:val="00B21C0C"/>
    <w:rsid w:val="00B21EF9"/>
    <w:rsid w:val="00B225DF"/>
    <w:rsid w:val="00B22833"/>
    <w:rsid w:val="00B22875"/>
    <w:rsid w:val="00B22A57"/>
    <w:rsid w:val="00B22D08"/>
    <w:rsid w:val="00B23303"/>
    <w:rsid w:val="00B23B02"/>
    <w:rsid w:val="00B23DE2"/>
    <w:rsid w:val="00B23DFC"/>
    <w:rsid w:val="00B243AC"/>
    <w:rsid w:val="00B24854"/>
    <w:rsid w:val="00B248DC"/>
    <w:rsid w:val="00B24B59"/>
    <w:rsid w:val="00B24EE3"/>
    <w:rsid w:val="00B26C05"/>
    <w:rsid w:val="00B278A8"/>
    <w:rsid w:val="00B27BDC"/>
    <w:rsid w:val="00B27BF3"/>
    <w:rsid w:val="00B27E9B"/>
    <w:rsid w:val="00B3045B"/>
    <w:rsid w:val="00B30AF9"/>
    <w:rsid w:val="00B30D9C"/>
    <w:rsid w:val="00B30EDB"/>
    <w:rsid w:val="00B30FC2"/>
    <w:rsid w:val="00B31470"/>
    <w:rsid w:val="00B31504"/>
    <w:rsid w:val="00B31880"/>
    <w:rsid w:val="00B31AE3"/>
    <w:rsid w:val="00B31D4D"/>
    <w:rsid w:val="00B31DDA"/>
    <w:rsid w:val="00B3235E"/>
    <w:rsid w:val="00B3243B"/>
    <w:rsid w:val="00B32F8F"/>
    <w:rsid w:val="00B32FD5"/>
    <w:rsid w:val="00B33241"/>
    <w:rsid w:val="00B33D7A"/>
    <w:rsid w:val="00B3463E"/>
    <w:rsid w:val="00B3464A"/>
    <w:rsid w:val="00B3467F"/>
    <w:rsid w:val="00B34B2B"/>
    <w:rsid w:val="00B34B66"/>
    <w:rsid w:val="00B34DE9"/>
    <w:rsid w:val="00B34E76"/>
    <w:rsid w:val="00B352B9"/>
    <w:rsid w:val="00B359A8"/>
    <w:rsid w:val="00B3603E"/>
    <w:rsid w:val="00B3622C"/>
    <w:rsid w:val="00B362E1"/>
    <w:rsid w:val="00B3692B"/>
    <w:rsid w:val="00B36DD5"/>
    <w:rsid w:val="00B36DE3"/>
    <w:rsid w:val="00B378BE"/>
    <w:rsid w:val="00B37998"/>
    <w:rsid w:val="00B37B0F"/>
    <w:rsid w:val="00B40221"/>
    <w:rsid w:val="00B4025A"/>
    <w:rsid w:val="00B405EF"/>
    <w:rsid w:val="00B4071B"/>
    <w:rsid w:val="00B40BCD"/>
    <w:rsid w:val="00B411AF"/>
    <w:rsid w:val="00B41872"/>
    <w:rsid w:val="00B41C13"/>
    <w:rsid w:val="00B41C7E"/>
    <w:rsid w:val="00B41D31"/>
    <w:rsid w:val="00B41F9C"/>
    <w:rsid w:val="00B422FD"/>
    <w:rsid w:val="00B429B9"/>
    <w:rsid w:val="00B42CE0"/>
    <w:rsid w:val="00B42E54"/>
    <w:rsid w:val="00B42FEB"/>
    <w:rsid w:val="00B430EA"/>
    <w:rsid w:val="00B43264"/>
    <w:rsid w:val="00B4373D"/>
    <w:rsid w:val="00B4374B"/>
    <w:rsid w:val="00B4397C"/>
    <w:rsid w:val="00B43BDE"/>
    <w:rsid w:val="00B43E0D"/>
    <w:rsid w:val="00B43E2A"/>
    <w:rsid w:val="00B44DD7"/>
    <w:rsid w:val="00B44F7C"/>
    <w:rsid w:val="00B44FB0"/>
    <w:rsid w:val="00B453BD"/>
    <w:rsid w:val="00B45452"/>
    <w:rsid w:val="00B45907"/>
    <w:rsid w:val="00B4605B"/>
    <w:rsid w:val="00B4671E"/>
    <w:rsid w:val="00B46DAD"/>
    <w:rsid w:val="00B476D2"/>
    <w:rsid w:val="00B477D0"/>
    <w:rsid w:val="00B4794E"/>
    <w:rsid w:val="00B47B53"/>
    <w:rsid w:val="00B47B91"/>
    <w:rsid w:val="00B47E08"/>
    <w:rsid w:val="00B47EE7"/>
    <w:rsid w:val="00B5099F"/>
    <w:rsid w:val="00B50BD0"/>
    <w:rsid w:val="00B50EF2"/>
    <w:rsid w:val="00B51040"/>
    <w:rsid w:val="00B51112"/>
    <w:rsid w:val="00B5127D"/>
    <w:rsid w:val="00B51700"/>
    <w:rsid w:val="00B5171E"/>
    <w:rsid w:val="00B51874"/>
    <w:rsid w:val="00B518FB"/>
    <w:rsid w:val="00B51B66"/>
    <w:rsid w:val="00B51C1B"/>
    <w:rsid w:val="00B52374"/>
    <w:rsid w:val="00B5246C"/>
    <w:rsid w:val="00B52487"/>
    <w:rsid w:val="00B526C2"/>
    <w:rsid w:val="00B526D6"/>
    <w:rsid w:val="00B52C03"/>
    <w:rsid w:val="00B5346E"/>
    <w:rsid w:val="00B53B90"/>
    <w:rsid w:val="00B53B96"/>
    <w:rsid w:val="00B53DF7"/>
    <w:rsid w:val="00B5401D"/>
    <w:rsid w:val="00B545C3"/>
    <w:rsid w:val="00B54641"/>
    <w:rsid w:val="00B5499E"/>
    <w:rsid w:val="00B5516C"/>
    <w:rsid w:val="00B5540A"/>
    <w:rsid w:val="00B557DE"/>
    <w:rsid w:val="00B5581E"/>
    <w:rsid w:val="00B56A8D"/>
    <w:rsid w:val="00B56B30"/>
    <w:rsid w:val="00B56B7F"/>
    <w:rsid w:val="00B56CF3"/>
    <w:rsid w:val="00B56F20"/>
    <w:rsid w:val="00B573AE"/>
    <w:rsid w:val="00B57D5D"/>
    <w:rsid w:val="00B57ECC"/>
    <w:rsid w:val="00B60050"/>
    <w:rsid w:val="00B60144"/>
    <w:rsid w:val="00B6018D"/>
    <w:rsid w:val="00B6043D"/>
    <w:rsid w:val="00B6056F"/>
    <w:rsid w:val="00B60696"/>
    <w:rsid w:val="00B60C50"/>
    <w:rsid w:val="00B60D8F"/>
    <w:rsid w:val="00B60E7A"/>
    <w:rsid w:val="00B61376"/>
    <w:rsid w:val="00B616CF"/>
    <w:rsid w:val="00B62018"/>
    <w:rsid w:val="00B6205F"/>
    <w:rsid w:val="00B621C8"/>
    <w:rsid w:val="00B6289C"/>
    <w:rsid w:val="00B628A6"/>
    <w:rsid w:val="00B62AB2"/>
    <w:rsid w:val="00B63DBB"/>
    <w:rsid w:val="00B642EF"/>
    <w:rsid w:val="00B64A8E"/>
    <w:rsid w:val="00B64C46"/>
    <w:rsid w:val="00B65239"/>
    <w:rsid w:val="00B65376"/>
    <w:rsid w:val="00B656AC"/>
    <w:rsid w:val="00B65A96"/>
    <w:rsid w:val="00B65C82"/>
    <w:rsid w:val="00B65DE1"/>
    <w:rsid w:val="00B65F64"/>
    <w:rsid w:val="00B66026"/>
    <w:rsid w:val="00B661E0"/>
    <w:rsid w:val="00B6634E"/>
    <w:rsid w:val="00B664E5"/>
    <w:rsid w:val="00B66B3D"/>
    <w:rsid w:val="00B66C3E"/>
    <w:rsid w:val="00B66C55"/>
    <w:rsid w:val="00B6721A"/>
    <w:rsid w:val="00B6745D"/>
    <w:rsid w:val="00B67471"/>
    <w:rsid w:val="00B674E9"/>
    <w:rsid w:val="00B6764A"/>
    <w:rsid w:val="00B67B2E"/>
    <w:rsid w:val="00B704E8"/>
    <w:rsid w:val="00B707B1"/>
    <w:rsid w:val="00B707B9"/>
    <w:rsid w:val="00B7097A"/>
    <w:rsid w:val="00B70CA4"/>
    <w:rsid w:val="00B71088"/>
    <w:rsid w:val="00B71436"/>
    <w:rsid w:val="00B718A8"/>
    <w:rsid w:val="00B71B63"/>
    <w:rsid w:val="00B71E17"/>
    <w:rsid w:val="00B72084"/>
    <w:rsid w:val="00B72366"/>
    <w:rsid w:val="00B723C5"/>
    <w:rsid w:val="00B72714"/>
    <w:rsid w:val="00B72A1F"/>
    <w:rsid w:val="00B72AC8"/>
    <w:rsid w:val="00B72EE0"/>
    <w:rsid w:val="00B73086"/>
    <w:rsid w:val="00B7337E"/>
    <w:rsid w:val="00B733F7"/>
    <w:rsid w:val="00B73E81"/>
    <w:rsid w:val="00B7414E"/>
    <w:rsid w:val="00B741FB"/>
    <w:rsid w:val="00B745C8"/>
    <w:rsid w:val="00B74740"/>
    <w:rsid w:val="00B748BA"/>
    <w:rsid w:val="00B74C0B"/>
    <w:rsid w:val="00B74E0F"/>
    <w:rsid w:val="00B74FF8"/>
    <w:rsid w:val="00B7517A"/>
    <w:rsid w:val="00B7531F"/>
    <w:rsid w:val="00B758E9"/>
    <w:rsid w:val="00B75A09"/>
    <w:rsid w:val="00B75ED2"/>
    <w:rsid w:val="00B7639D"/>
    <w:rsid w:val="00B7649B"/>
    <w:rsid w:val="00B76C54"/>
    <w:rsid w:val="00B771C6"/>
    <w:rsid w:val="00B7737B"/>
    <w:rsid w:val="00B77595"/>
    <w:rsid w:val="00B77668"/>
    <w:rsid w:val="00B77915"/>
    <w:rsid w:val="00B77D62"/>
    <w:rsid w:val="00B805EF"/>
    <w:rsid w:val="00B8065A"/>
    <w:rsid w:val="00B808AB"/>
    <w:rsid w:val="00B80FB1"/>
    <w:rsid w:val="00B811D5"/>
    <w:rsid w:val="00B812ED"/>
    <w:rsid w:val="00B8194B"/>
    <w:rsid w:val="00B81C65"/>
    <w:rsid w:val="00B81F2F"/>
    <w:rsid w:val="00B82484"/>
    <w:rsid w:val="00B82497"/>
    <w:rsid w:val="00B82746"/>
    <w:rsid w:val="00B82783"/>
    <w:rsid w:val="00B82AB9"/>
    <w:rsid w:val="00B82B33"/>
    <w:rsid w:val="00B82DE4"/>
    <w:rsid w:val="00B82F59"/>
    <w:rsid w:val="00B8303F"/>
    <w:rsid w:val="00B83378"/>
    <w:rsid w:val="00B83A4C"/>
    <w:rsid w:val="00B842B5"/>
    <w:rsid w:val="00B842B8"/>
    <w:rsid w:val="00B8458F"/>
    <w:rsid w:val="00B84BD8"/>
    <w:rsid w:val="00B84C3E"/>
    <w:rsid w:val="00B859C7"/>
    <w:rsid w:val="00B86732"/>
    <w:rsid w:val="00B868A0"/>
    <w:rsid w:val="00B86912"/>
    <w:rsid w:val="00B869F6"/>
    <w:rsid w:val="00B87493"/>
    <w:rsid w:val="00B87624"/>
    <w:rsid w:val="00B876E7"/>
    <w:rsid w:val="00B87C8D"/>
    <w:rsid w:val="00B87F81"/>
    <w:rsid w:val="00B9040A"/>
    <w:rsid w:val="00B905C4"/>
    <w:rsid w:val="00B908AF"/>
    <w:rsid w:val="00B908E2"/>
    <w:rsid w:val="00B90B01"/>
    <w:rsid w:val="00B90E41"/>
    <w:rsid w:val="00B90F98"/>
    <w:rsid w:val="00B910AB"/>
    <w:rsid w:val="00B916A2"/>
    <w:rsid w:val="00B919C1"/>
    <w:rsid w:val="00B91A3D"/>
    <w:rsid w:val="00B92050"/>
    <w:rsid w:val="00B9213A"/>
    <w:rsid w:val="00B92C0D"/>
    <w:rsid w:val="00B92DDC"/>
    <w:rsid w:val="00B92FB8"/>
    <w:rsid w:val="00B93039"/>
    <w:rsid w:val="00B93677"/>
    <w:rsid w:val="00B93ECB"/>
    <w:rsid w:val="00B94301"/>
    <w:rsid w:val="00B947E3"/>
    <w:rsid w:val="00B94853"/>
    <w:rsid w:val="00B94997"/>
    <w:rsid w:val="00B94B52"/>
    <w:rsid w:val="00B94CFF"/>
    <w:rsid w:val="00B94F2F"/>
    <w:rsid w:val="00B95118"/>
    <w:rsid w:val="00B95216"/>
    <w:rsid w:val="00B95229"/>
    <w:rsid w:val="00B9543D"/>
    <w:rsid w:val="00B95C87"/>
    <w:rsid w:val="00B95E0E"/>
    <w:rsid w:val="00B95F81"/>
    <w:rsid w:val="00B96B8B"/>
    <w:rsid w:val="00B97289"/>
    <w:rsid w:val="00B97670"/>
    <w:rsid w:val="00B97694"/>
    <w:rsid w:val="00B978D5"/>
    <w:rsid w:val="00B97960"/>
    <w:rsid w:val="00B97C59"/>
    <w:rsid w:val="00BA00FA"/>
    <w:rsid w:val="00BA0454"/>
    <w:rsid w:val="00BA04BA"/>
    <w:rsid w:val="00BA081B"/>
    <w:rsid w:val="00BA09E6"/>
    <w:rsid w:val="00BA0C1D"/>
    <w:rsid w:val="00BA1338"/>
    <w:rsid w:val="00BA13BC"/>
    <w:rsid w:val="00BA157C"/>
    <w:rsid w:val="00BA18BD"/>
    <w:rsid w:val="00BA20C9"/>
    <w:rsid w:val="00BA2152"/>
    <w:rsid w:val="00BA232D"/>
    <w:rsid w:val="00BA26C1"/>
    <w:rsid w:val="00BA2AB2"/>
    <w:rsid w:val="00BA2D2B"/>
    <w:rsid w:val="00BA2D6F"/>
    <w:rsid w:val="00BA30BC"/>
    <w:rsid w:val="00BA311F"/>
    <w:rsid w:val="00BA3380"/>
    <w:rsid w:val="00BA347D"/>
    <w:rsid w:val="00BA3545"/>
    <w:rsid w:val="00BA3D78"/>
    <w:rsid w:val="00BA3E50"/>
    <w:rsid w:val="00BA40E7"/>
    <w:rsid w:val="00BA4182"/>
    <w:rsid w:val="00BA45F6"/>
    <w:rsid w:val="00BA4758"/>
    <w:rsid w:val="00BA4AC3"/>
    <w:rsid w:val="00BA4CA6"/>
    <w:rsid w:val="00BA5281"/>
    <w:rsid w:val="00BA5C54"/>
    <w:rsid w:val="00BA5DB3"/>
    <w:rsid w:val="00BA6215"/>
    <w:rsid w:val="00BA62DC"/>
    <w:rsid w:val="00BA63F1"/>
    <w:rsid w:val="00BA664A"/>
    <w:rsid w:val="00BA6948"/>
    <w:rsid w:val="00BA6A35"/>
    <w:rsid w:val="00BA7291"/>
    <w:rsid w:val="00BA79E0"/>
    <w:rsid w:val="00BA7C92"/>
    <w:rsid w:val="00BA7FA2"/>
    <w:rsid w:val="00BB00A4"/>
    <w:rsid w:val="00BB0260"/>
    <w:rsid w:val="00BB0568"/>
    <w:rsid w:val="00BB05A0"/>
    <w:rsid w:val="00BB09A8"/>
    <w:rsid w:val="00BB1100"/>
    <w:rsid w:val="00BB1104"/>
    <w:rsid w:val="00BB146B"/>
    <w:rsid w:val="00BB14C0"/>
    <w:rsid w:val="00BB1818"/>
    <w:rsid w:val="00BB1D11"/>
    <w:rsid w:val="00BB222B"/>
    <w:rsid w:val="00BB2BC6"/>
    <w:rsid w:val="00BB2C96"/>
    <w:rsid w:val="00BB2E3A"/>
    <w:rsid w:val="00BB32C4"/>
    <w:rsid w:val="00BB36EB"/>
    <w:rsid w:val="00BB3763"/>
    <w:rsid w:val="00BB3812"/>
    <w:rsid w:val="00BB3931"/>
    <w:rsid w:val="00BB3D8E"/>
    <w:rsid w:val="00BB47CB"/>
    <w:rsid w:val="00BB507F"/>
    <w:rsid w:val="00BB52C4"/>
    <w:rsid w:val="00BB55DD"/>
    <w:rsid w:val="00BB57C0"/>
    <w:rsid w:val="00BB5B50"/>
    <w:rsid w:val="00BB5F48"/>
    <w:rsid w:val="00BB5F82"/>
    <w:rsid w:val="00BB640E"/>
    <w:rsid w:val="00BB6446"/>
    <w:rsid w:val="00BB6524"/>
    <w:rsid w:val="00BB6613"/>
    <w:rsid w:val="00BB7675"/>
    <w:rsid w:val="00BB775E"/>
    <w:rsid w:val="00BB77EF"/>
    <w:rsid w:val="00BB7934"/>
    <w:rsid w:val="00BB7954"/>
    <w:rsid w:val="00BB7CFB"/>
    <w:rsid w:val="00BC02A6"/>
    <w:rsid w:val="00BC041D"/>
    <w:rsid w:val="00BC0637"/>
    <w:rsid w:val="00BC07CD"/>
    <w:rsid w:val="00BC18ED"/>
    <w:rsid w:val="00BC2D0A"/>
    <w:rsid w:val="00BC3170"/>
    <w:rsid w:val="00BC3AC2"/>
    <w:rsid w:val="00BC3BEB"/>
    <w:rsid w:val="00BC3F72"/>
    <w:rsid w:val="00BC4AB4"/>
    <w:rsid w:val="00BC4C2B"/>
    <w:rsid w:val="00BC4C83"/>
    <w:rsid w:val="00BC4C96"/>
    <w:rsid w:val="00BC4FE4"/>
    <w:rsid w:val="00BC547B"/>
    <w:rsid w:val="00BC581F"/>
    <w:rsid w:val="00BC5921"/>
    <w:rsid w:val="00BC5998"/>
    <w:rsid w:val="00BC5D5B"/>
    <w:rsid w:val="00BC5E9E"/>
    <w:rsid w:val="00BC6107"/>
    <w:rsid w:val="00BC6210"/>
    <w:rsid w:val="00BC6562"/>
    <w:rsid w:val="00BC6EF7"/>
    <w:rsid w:val="00BC71A0"/>
    <w:rsid w:val="00BC7344"/>
    <w:rsid w:val="00BC76C1"/>
    <w:rsid w:val="00BC7762"/>
    <w:rsid w:val="00BC790C"/>
    <w:rsid w:val="00BC7D46"/>
    <w:rsid w:val="00BD0412"/>
    <w:rsid w:val="00BD0462"/>
    <w:rsid w:val="00BD063A"/>
    <w:rsid w:val="00BD0B8B"/>
    <w:rsid w:val="00BD0C51"/>
    <w:rsid w:val="00BD0F94"/>
    <w:rsid w:val="00BD10C6"/>
    <w:rsid w:val="00BD1113"/>
    <w:rsid w:val="00BD155A"/>
    <w:rsid w:val="00BD15F0"/>
    <w:rsid w:val="00BD16E2"/>
    <w:rsid w:val="00BD172B"/>
    <w:rsid w:val="00BD172F"/>
    <w:rsid w:val="00BD1C6B"/>
    <w:rsid w:val="00BD1D84"/>
    <w:rsid w:val="00BD245F"/>
    <w:rsid w:val="00BD24A8"/>
    <w:rsid w:val="00BD2614"/>
    <w:rsid w:val="00BD37B3"/>
    <w:rsid w:val="00BD3A67"/>
    <w:rsid w:val="00BD3B71"/>
    <w:rsid w:val="00BD3DB1"/>
    <w:rsid w:val="00BD4182"/>
    <w:rsid w:val="00BD41C3"/>
    <w:rsid w:val="00BD45F4"/>
    <w:rsid w:val="00BD47AD"/>
    <w:rsid w:val="00BD4B1B"/>
    <w:rsid w:val="00BD5477"/>
    <w:rsid w:val="00BD56E7"/>
    <w:rsid w:val="00BD586B"/>
    <w:rsid w:val="00BD594C"/>
    <w:rsid w:val="00BD5CE3"/>
    <w:rsid w:val="00BD5ED8"/>
    <w:rsid w:val="00BD6008"/>
    <w:rsid w:val="00BD6546"/>
    <w:rsid w:val="00BD6E6C"/>
    <w:rsid w:val="00BD76DC"/>
    <w:rsid w:val="00BD7762"/>
    <w:rsid w:val="00BD799A"/>
    <w:rsid w:val="00BD7D5E"/>
    <w:rsid w:val="00BE027D"/>
    <w:rsid w:val="00BE0A70"/>
    <w:rsid w:val="00BE0D20"/>
    <w:rsid w:val="00BE0DCE"/>
    <w:rsid w:val="00BE0DF9"/>
    <w:rsid w:val="00BE0FEA"/>
    <w:rsid w:val="00BE1373"/>
    <w:rsid w:val="00BE1ABF"/>
    <w:rsid w:val="00BE1AE7"/>
    <w:rsid w:val="00BE1F23"/>
    <w:rsid w:val="00BE2874"/>
    <w:rsid w:val="00BE29D8"/>
    <w:rsid w:val="00BE313C"/>
    <w:rsid w:val="00BE31BB"/>
    <w:rsid w:val="00BE33CF"/>
    <w:rsid w:val="00BE382C"/>
    <w:rsid w:val="00BE3CC7"/>
    <w:rsid w:val="00BE3E85"/>
    <w:rsid w:val="00BE4181"/>
    <w:rsid w:val="00BE43AB"/>
    <w:rsid w:val="00BE4613"/>
    <w:rsid w:val="00BE4C0D"/>
    <w:rsid w:val="00BE4C34"/>
    <w:rsid w:val="00BE4ED4"/>
    <w:rsid w:val="00BE52F8"/>
    <w:rsid w:val="00BE554D"/>
    <w:rsid w:val="00BE5675"/>
    <w:rsid w:val="00BE5A45"/>
    <w:rsid w:val="00BE5A8D"/>
    <w:rsid w:val="00BE5C37"/>
    <w:rsid w:val="00BE6929"/>
    <w:rsid w:val="00BE6ABC"/>
    <w:rsid w:val="00BE72E8"/>
    <w:rsid w:val="00BE74CA"/>
    <w:rsid w:val="00BE77BF"/>
    <w:rsid w:val="00BE7E0B"/>
    <w:rsid w:val="00BF004D"/>
    <w:rsid w:val="00BF02CB"/>
    <w:rsid w:val="00BF049A"/>
    <w:rsid w:val="00BF05FA"/>
    <w:rsid w:val="00BF08F9"/>
    <w:rsid w:val="00BF0931"/>
    <w:rsid w:val="00BF151D"/>
    <w:rsid w:val="00BF16FE"/>
    <w:rsid w:val="00BF19FB"/>
    <w:rsid w:val="00BF1CBC"/>
    <w:rsid w:val="00BF1E93"/>
    <w:rsid w:val="00BF2689"/>
    <w:rsid w:val="00BF2A35"/>
    <w:rsid w:val="00BF2C32"/>
    <w:rsid w:val="00BF2D2C"/>
    <w:rsid w:val="00BF2F4A"/>
    <w:rsid w:val="00BF3186"/>
    <w:rsid w:val="00BF333F"/>
    <w:rsid w:val="00BF3687"/>
    <w:rsid w:val="00BF3C93"/>
    <w:rsid w:val="00BF3D43"/>
    <w:rsid w:val="00BF3EFF"/>
    <w:rsid w:val="00BF49D5"/>
    <w:rsid w:val="00BF49FD"/>
    <w:rsid w:val="00BF4A3A"/>
    <w:rsid w:val="00BF50E3"/>
    <w:rsid w:val="00BF5577"/>
    <w:rsid w:val="00BF59AF"/>
    <w:rsid w:val="00BF60EB"/>
    <w:rsid w:val="00BF6102"/>
    <w:rsid w:val="00BF6121"/>
    <w:rsid w:val="00BF66A4"/>
    <w:rsid w:val="00BF6927"/>
    <w:rsid w:val="00BF69F1"/>
    <w:rsid w:val="00BF76A7"/>
    <w:rsid w:val="00BF76B6"/>
    <w:rsid w:val="00BF775D"/>
    <w:rsid w:val="00BF7B4F"/>
    <w:rsid w:val="00BF7F48"/>
    <w:rsid w:val="00C00167"/>
    <w:rsid w:val="00C00467"/>
    <w:rsid w:val="00C008BA"/>
    <w:rsid w:val="00C00906"/>
    <w:rsid w:val="00C014EF"/>
    <w:rsid w:val="00C01606"/>
    <w:rsid w:val="00C01784"/>
    <w:rsid w:val="00C02195"/>
    <w:rsid w:val="00C029BF"/>
    <w:rsid w:val="00C03C7E"/>
    <w:rsid w:val="00C03EA4"/>
    <w:rsid w:val="00C045EA"/>
    <w:rsid w:val="00C0507E"/>
    <w:rsid w:val="00C0514E"/>
    <w:rsid w:val="00C05473"/>
    <w:rsid w:val="00C05B99"/>
    <w:rsid w:val="00C05F56"/>
    <w:rsid w:val="00C06052"/>
    <w:rsid w:val="00C063EA"/>
    <w:rsid w:val="00C06D99"/>
    <w:rsid w:val="00C06F87"/>
    <w:rsid w:val="00C073DA"/>
    <w:rsid w:val="00C0775E"/>
    <w:rsid w:val="00C10585"/>
    <w:rsid w:val="00C10653"/>
    <w:rsid w:val="00C11463"/>
    <w:rsid w:val="00C11A5E"/>
    <w:rsid w:val="00C11A7F"/>
    <w:rsid w:val="00C11B22"/>
    <w:rsid w:val="00C11BA6"/>
    <w:rsid w:val="00C11CA2"/>
    <w:rsid w:val="00C11E91"/>
    <w:rsid w:val="00C12342"/>
    <w:rsid w:val="00C1242E"/>
    <w:rsid w:val="00C12BAA"/>
    <w:rsid w:val="00C12ECF"/>
    <w:rsid w:val="00C1304B"/>
    <w:rsid w:val="00C132C3"/>
    <w:rsid w:val="00C1351C"/>
    <w:rsid w:val="00C1388E"/>
    <w:rsid w:val="00C13FB2"/>
    <w:rsid w:val="00C140E2"/>
    <w:rsid w:val="00C1441D"/>
    <w:rsid w:val="00C14A0A"/>
    <w:rsid w:val="00C14C5F"/>
    <w:rsid w:val="00C14CD9"/>
    <w:rsid w:val="00C1557C"/>
    <w:rsid w:val="00C15807"/>
    <w:rsid w:val="00C15CBC"/>
    <w:rsid w:val="00C15F39"/>
    <w:rsid w:val="00C1601D"/>
    <w:rsid w:val="00C16BB4"/>
    <w:rsid w:val="00C16C8C"/>
    <w:rsid w:val="00C16F21"/>
    <w:rsid w:val="00C17042"/>
    <w:rsid w:val="00C17427"/>
    <w:rsid w:val="00C174BB"/>
    <w:rsid w:val="00C17934"/>
    <w:rsid w:val="00C17B79"/>
    <w:rsid w:val="00C17C32"/>
    <w:rsid w:val="00C17F96"/>
    <w:rsid w:val="00C20014"/>
    <w:rsid w:val="00C20A78"/>
    <w:rsid w:val="00C20BDA"/>
    <w:rsid w:val="00C20C0D"/>
    <w:rsid w:val="00C20CF8"/>
    <w:rsid w:val="00C20F96"/>
    <w:rsid w:val="00C213B0"/>
    <w:rsid w:val="00C21473"/>
    <w:rsid w:val="00C215D5"/>
    <w:rsid w:val="00C21708"/>
    <w:rsid w:val="00C220E5"/>
    <w:rsid w:val="00C2221D"/>
    <w:rsid w:val="00C222AC"/>
    <w:rsid w:val="00C2266E"/>
    <w:rsid w:val="00C22755"/>
    <w:rsid w:val="00C229F9"/>
    <w:rsid w:val="00C22A36"/>
    <w:rsid w:val="00C230BC"/>
    <w:rsid w:val="00C2312C"/>
    <w:rsid w:val="00C232DC"/>
    <w:rsid w:val="00C2343A"/>
    <w:rsid w:val="00C2359D"/>
    <w:rsid w:val="00C23D7D"/>
    <w:rsid w:val="00C242D5"/>
    <w:rsid w:val="00C24CCD"/>
    <w:rsid w:val="00C24F87"/>
    <w:rsid w:val="00C256C0"/>
    <w:rsid w:val="00C25B68"/>
    <w:rsid w:val="00C26143"/>
    <w:rsid w:val="00C2696D"/>
    <w:rsid w:val="00C26E7A"/>
    <w:rsid w:val="00C27187"/>
    <w:rsid w:val="00C2726C"/>
    <w:rsid w:val="00C274BD"/>
    <w:rsid w:val="00C275FE"/>
    <w:rsid w:val="00C3042D"/>
    <w:rsid w:val="00C30468"/>
    <w:rsid w:val="00C30B84"/>
    <w:rsid w:val="00C30CE9"/>
    <w:rsid w:val="00C31232"/>
    <w:rsid w:val="00C31303"/>
    <w:rsid w:val="00C316F3"/>
    <w:rsid w:val="00C319A2"/>
    <w:rsid w:val="00C32072"/>
    <w:rsid w:val="00C32D43"/>
    <w:rsid w:val="00C32D87"/>
    <w:rsid w:val="00C32FFC"/>
    <w:rsid w:val="00C33025"/>
    <w:rsid w:val="00C337BE"/>
    <w:rsid w:val="00C33AC3"/>
    <w:rsid w:val="00C34180"/>
    <w:rsid w:val="00C346D7"/>
    <w:rsid w:val="00C346E4"/>
    <w:rsid w:val="00C35189"/>
    <w:rsid w:val="00C3538B"/>
    <w:rsid w:val="00C355DA"/>
    <w:rsid w:val="00C3564F"/>
    <w:rsid w:val="00C35657"/>
    <w:rsid w:val="00C3586B"/>
    <w:rsid w:val="00C3590E"/>
    <w:rsid w:val="00C35F55"/>
    <w:rsid w:val="00C3650E"/>
    <w:rsid w:val="00C368B6"/>
    <w:rsid w:val="00C36B10"/>
    <w:rsid w:val="00C36E5A"/>
    <w:rsid w:val="00C374B3"/>
    <w:rsid w:val="00C37510"/>
    <w:rsid w:val="00C37E0A"/>
    <w:rsid w:val="00C4007D"/>
    <w:rsid w:val="00C40139"/>
    <w:rsid w:val="00C40375"/>
    <w:rsid w:val="00C40388"/>
    <w:rsid w:val="00C40583"/>
    <w:rsid w:val="00C406B1"/>
    <w:rsid w:val="00C4075B"/>
    <w:rsid w:val="00C40980"/>
    <w:rsid w:val="00C41139"/>
    <w:rsid w:val="00C419EA"/>
    <w:rsid w:val="00C41F7D"/>
    <w:rsid w:val="00C42DFF"/>
    <w:rsid w:val="00C43378"/>
    <w:rsid w:val="00C437BA"/>
    <w:rsid w:val="00C43DB2"/>
    <w:rsid w:val="00C44046"/>
    <w:rsid w:val="00C446ED"/>
    <w:rsid w:val="00C44757"/>
    <w:rsid w:val="00C4491D"/>
    <w:rsid w:val="00C44969"/>
    <w:rsid w:val="00C44CB4"/>
    <w:rsid w:val="00C44F64"/>
    <w:rsid w:val="00C4552B"/>
    <w:rsid w:val="00C45597"/>
    <w:rsid w:val="00C45B32"/>
    <w:rsid w:val="00C45FDA"/>
    <w:rsid w:val="00C46010"/>
    <w:rsid w:val="00C4601F"/>
    <w:rsid w:val="00C4642D"/>
    <w:rsid w:val="00C46680"/>
    <w:rsid w:val="00C46720"/>
    <w:rsid w:val="00C4675E"/>
    <w:rsid w:val="00C46B4F"/>
    <w:rsid w:val="00C46D01"/>
    <w:rsid w:val="00C46D04"/>
    <w:rsid w:val="00C4731C"/>
    <w:rsid w:val="00C473A4"/>
    <w:rsid w:val="00C4751F"/>
    <w:rsid w:val="00C477ED"/>
    <w:rsid w:val="00C47B87"/>
    <w:rsid w:val="00C47C30"/>
    <w:rsid w:val="00C47EB6"/>
    <w:rsid w:val="00C47F42"/>
    <w:rsid w:val="00C47FD5"/>
    <w:rsid w:val="00C5013A"/>
    <w:rsid w:val="00C50DEE"/>
    <w:rsid w:val="00C51033"/>
    <w:rsid w:val="00C5119C"/>
    <w:rsid w:val="00C5159D"/>
    <w:rsid w:val="00C5177C"/>
    <w:rsid w:val="00C51969"/>
    <w:rsid w:val="00C51F57"/>
    <w:rsid w:val="00C5214E"/>
    <w:rsid w:val="00C5248E"/>
    <w:rsid w:val="00C524F9"/>
    <w:rsid w:val="00C52638"/>
    <w:rsid w:val="00C527CE"/>
    <w:rsid w:val="00C527E0"/>
    <w:rsid w:val="00C52C28"/>
    <w:rsid w:val="00C53040"/>
    <w:rsid w:val="00C5319C"/>
    <w:rsid w:val="00C53396"/>
    <w:rsid w:val="00C533D2"/>
    <w:rsid w:val="00C53783"/>
    <w:rsid w:val="00C538E8"/>
    <w:rsid w:val="00C542FE"/>
    <w:rsid w:val="00C547CA"/>
    <w:rsid w:val="00C5490F"/>
    <w:rsid w:val="00C54E2A"/>
    <w:rsid w:val="00C55D88"/>
    <w:rsid w:val="00C5609D"/>
    <w:rsid w:val="00C56556"/>
    <w:rsid w:val="00C568B2"/>
    <w:rsid w:val="00C56BBB"/>
    <w:rsid w:val="00C5703F"/>
    <w:rsid w:val="00C57266"/>
    <w:rsid w:val="00C5778E"/>
    <w:rsid w:val="00C57A4F"/>
    <w:rsid w:val="00C604AD"/>
    <w:rsid w:val="00C60E70"/>
    <w:rsid w:val="00C60F00"/>
    <w:rsid w:val="00C61696"/>
    <w:rsid w:val="00C61863"/>
    <w:rsid w:val="00C61997"/>
    <w:rsid w:val="00C62173"/>
    <w:rsid w:val="00C6218B"/>
    <w:rsid w:val="00C6220E"/>
    <w:rsid w:val="00C6249E"/>
    <w:rsid w:val="00C62650"/>
    <w:rsid w:val="00C63384"/>
    <w:rsid w:val="00C63DE1"/>
    <w:rsid w:val="00C63F93"/>
    <w:rsid w:val="00C64DC1"/>
    <w:rsid w:val="00C64E29"/>
    <w:rsid w:val="00C64E8C"/>
    <w:rsid w:val="00C65334"/>
    <w:rsid w:val="00C656DD"/>
    <w:rsid w:val="00C65899"/>
    <w:rsid w:val="00C65B60"/>
    <w:rsid w:val="00C66613"/>
    <w:rsid w:val="00C67551"/>
    <w:rsid w:val="00C67CF8"/>
    <w:rsid w:val="00C67CFF"/>
    <w:rsid w:val="00C701CB"/>
    <w:rsid w:val="00C70657"/>
    <w:rsid w:val="00C70D73"/>
    <w:rsid w:val="00C71591"/>
    <w:rsid w:val="00C71751"/>
    <w:rsid w:val="00C721EF"/>
    <w:rsid w:val="00C724AA"/>
    <w:rsid w:val="00C727C9"/>
    <w:rsid w:val="00C72B89"/>
    <w:rsid w:val="00C72F8A"/>
    <w:rsid w:val="00C73102"/>
    <w:rsid w:val="00C731AA"/>
    <w:rsid w:val="00C73435"/>
    <w:rsid w:val="00C73B11"/>
    <w:rsid w:val="00C73CBE"/>
    <w:rsid w:val="00C73E9E"/>
    <w:rsid w:val="00C74004"/>
    <w:rsid w:val="00C7450B"/>
    <w:rsid w:val="00C74602"/>
    <w:rsid w:val="00C74AE5"/>
    <w:rsid w:val="00C74E31"/>
    <w:rsid w:val="00C753D2"/>
    <w:rsid w:val="00C75935"/>
    <w:rsid w:val="00C75D18"/>
    <w:rsid w:val="00C75F11"/>
    <w:rsid w:val="00C760C5"/>
    <w:rsid w:val="00C76A79"/>
    <w:rsid w:val="00C76AFC"/>
    <w:rsid w:val="00C775F0"/>
    <w:rsid w:val="00C77618"/>
    <w:rsid w:val="00C777E9"/>
    <w:rsid w:val="00C7782D"/>
    <w:rsid w:val="00C77850"/>
    <w:rsid w:val="00C77B85"/>
    <w:rsid w:val="00C77FF3"/>
    <w:rsid w:val="00C8035C"/>
    <w:rsid w:val="00C80C06"/>
    <w:rsid w:val="00C8125A"/>
    <w:rsid w:val="00C814D1"/>
    <w:rsid w:val="00C817F7"/>
    <w:rsid w:val="00C81AD5"/>
    <w:rsid w:val="00C824F6"/>
    <w:rsid w:val="00C82855"/>
    <w:rsid w:val="00C8298A"/>
    <w:rsid w:val="00C83029"/>
    <w:rsid w:val="00C831D8"/>
    <w:rsid w:val="00C83264"/>
    <w:rsid w:val="00C83A3E"/>
    <w:rsid w:val="00C844CF"/>
    <w:rsid w:val="00C8483B"/>
    <w:rsid w:val="00C84C5E"/>
    <w:rsid w:val="00C84C88"/>
    <w:rsid w:val="00C84E5D"/>
    <w:rsid w:val="00C851DE"/>
    <w:rsid w:val="00C8560D"/>
    <w:rsid w:val="00C85779"/>
    <w:rsid w:val="00C857F4"/>
    <w:rsid w:val="00C85D7E"/>
    <w:rsid w:val="00C85D9C"/>
    <w:rsid w:val="00C86095"/>
    <w:rsid w:val="00C86235"/>
    <w:rsid w:val="00C863A8"/>
    <w:rsid w:val="00C8645B"/>
    <w:rsid w:val="00C86592"/>
    <w:rsid w:val="00C86970"/>
    <w:rsid w:val="00C86D49"/>
    <w:rsid w:val="00C87040"/>
    <w:rsid w:val="00C87750"/>
    <w:rsid w:val="00C87D7B"/>
    <w:rsid w:val="00C91128"/>
    <w:rsid w:val="00C91516"/>
    <w:rsid w:val="00C91528"/>
    <w:rsid w:val="00C9173C"/>
    <w:rsid w:val="00C917AD"/>
    <w:rsid w:val="00C917C0"/>
    <w:rsid w:val="00C91B4F"/>
    <w:rsid w:val="00C91C32"/>
    <w:rsid w:val="00C91C6B"/>
    <w:rsid w:val="00C92031"/>
    <w:rsid w:val="00C930FA"/>
    <w:rsid w:val="00C9496E"/>
    <w:rsid w:val="00C9557B"/>
    <w:rsid w:val="00C9566D"/>
    <w:rsid w:val="00C95BDF"/>
    <w:rsid w:val="00C9643E"/>
    <w:rsid w:val="00C96DA5"/>
    <w:rsid w:val="00C96E7F"/>
    <w:rsid w:val="00C96E9F"/>
    <w:rsid w:val="00C96ECE"/>
    <w:rsid w:val="00C96F72"/>
    <w:rsid w:val="00C96FE3"/>
    <w:rsid w:val="00C9702D"/>
    <w:rsid w:val="00C9713B"/>
    <w:rsid w:val="00C97296"/>
    <w:rsid w:val="00C97662"/>
    <w:rsid w:val="00C976A8"/>
    <w:rsid w:val="00C97C4C"/>
    <w:rsid w:val="00CA0161"/>
    <w:rsid w:val="00CA06AD"/>
    <w:rsid w:val="00CA06E2"/>
    <w:rsid w:val="00CA0938"/>
    <w:rsid w:val="00CA0976"/>
    <w:rsid w:val="00CA0D1B"/>
    <w:rsid w:val="00CA110B"/>
    <w:rsid w:val="00CA145D"/>
    <w:rsid w:val="00CA17F7"/>
    <w:rsid w:val="00CA1AE5"/>
    <w:rsid w:val="00CA1E89"/>
    <w:rsid w:val="00CA2DB3"/>
    <w:rsid w:val="00CA3007"/>
    <w:rsid w:val="00CA35D8"/>
    <w:rsid w:val="00CA3C73"/>
    <w:rsid w:val="00CA3EEA"/>
    <w:rsid w:val="00CA3FD7"/>
    <w:rsid w:val="00CA4194"/>
    <w:rsid w:val="00CA419E"/>
    <w:rsid w:val="00CA4A29"/>
    <w:rsid w:val="00CA4AD9"/>
    <w:rsid w:val="00CA4C27"/>
    <w:rsid w:val="00CA4D83"/>
    <w:rsid w:val="00CA52E9"/>
    <w:rsid w:val="00CA543C"/>
    <w:rsid w:val="00CA5E9D"/>
    <w:rsid w:val="00CA5FCC"/>
    <w:rsid w:val="00CA6545"/>
    <w:rsid w:val="00CA6723"/>
    <w:rsid w:val="00CA67C6"/>
    <w:rsid w:val="00CA683D"/>
    <w:rsid w:val="00CA68C9"/>
    <w:rsid w:val="00CA6E51"/>
    <w:rsid w:val="00CA72FD"/>
    <w:rsid w:val="00CA74D3"/>
    <w:rsid w:val="00CA7829"/>
    <w:rsid w:val="00CA7B24"/>
    <w:rsid w:val="00CA7BB2"/>
    <w:rsid w:val="00CB0871"/>
    <w:rsid w:val="00CB0F00"/>
    <w:rsid w:val="00CB193F"/>
    <w:rsid w:val="00CB235E"/>
    <w:rsid w:val="00CB2F11"/>
    <w:rsid w:val="00CB3177"/>
    <w:rsid w:val="00CB31FC"/>
    <w:rsid w:val="00CB375B"/>
    <w:rsid w:val="00CB3B7C"/>
    <w:rsid w:val="00CB3E71"/>
    <w:rsid w:val="00CB42AF"/>
    <w:rsid w:val="00CB45E1"/>
    <w:rsid w:val="00CB4871"/>
    <w:rsid w:val="00CB49F1"/>
    <w:rsid w:val="00CB4DD4"/>
    <w:rsid w:val="00CB58CB"/>
    <w:rsid w:val="00CB5C2E"/>
    <w:rsid w:val="00CB6108"/>
    <w:rsid w:val="00CB6488"/>
    <w:rsid w:val="00CB6544"/>
    <w:rsid w:val="00CB6AE7"/>
    <w:rsid w:val="00CB713D"/>
    <w:rsid w:val="00CB7190"/>
    <w:rsid w:val="00CB78DB"/>
    <w:rsid w:val="00CC0282"/>
    <w:rsid w:val="00CC08A6"/>
    <w:rsid w:val="00CC0E21"/>
    <w:rsid w:val="00CC183A"/>
    <w:rsid w:val="00CC1940"/>
    <w:rsid w:val="00CC2152"/>
    <w:rsid w:val="00CC23BF"/>
    <w:rsid w:val="00CC2649"/>
    <w:rsid w:val="00CC2762"/>
    <w:rsid w:val="00CC295D"/>
    <w:rsid w:val="00CC2B46"/>
    <w:rsid w:val="00CC304B"/>
    <w:rsid w:val="00CC3334"/>
    <w:rsid w:val="00CC39AF"/>
    <w:rsid w:val="00CC3C39"/>
    <w:rsid w:val="00CC3F06"/>
    <w:rsid w:val="00CC424F"/>
    <w:rsid w:val="00CC436A"/>
    <w:rsid w:val="00CC4BFD"/>
    <w:rsid w:val="00CC4D57"/>
    <w:rsid w:val="00CC4FBB"/>
    <w:rsid w:val="00CC521B"/>
    <w:rsid w:val="00CC52AF"/>
    <w:rsid w:val="00CC57E8"/>
    <w:rsid w:val="00CC59B2"/>
    <w:rsid w:val="00CC5F57"/>
    <w:rsid w:val="00CC60E7"/>
    <w:rsid w:val="00CC6337"/>
    <w:rsid w:val="00CC6A8D"/>
    <w:rsid w:val="00CC76F3"/>
    <w:rsid w:val="00CC7CE7"/>
    <w:rsid w:val="00CC7DD6"/>
    <w:rsid w:val="00CD01CA"/>
    <w:rsid w:val="00CD02BE"/>
    <w:rsid w:val="00CD0308"/>
    <w:rsid w:val="00CD0644"/>
    <w:rsid w:val="00CD0CA7"/>
    <w:rsid w:val="00CD10E1"/>
    <w:rsid w:val="00CD183E"/>
    <w:rsid w:val="00CD1B3C"/>
    <w:rsid w:val="00CD2445"/>
    <w:rsid w:val="00CD2944"/>
    <w:rsid w:val="00CD2E3B"/>
    <w:rsid w:val="00CD2FAD"/>
    <w:rsid w:val="00CD301C"/>
    <w:rsid w:val="00CD31F4"/>
    <w:rsid w:val="00CD3218"/>
    <w:rsid w:val="00CD3548"/>
    <w:rsid w:val="00CD37FE"/>
    <w:rsid w:val="00CD3AE8"/>
    <w:rsid w:val="00CD3BCA"/>
    <w:rsid w:val="00CD3BD6"/>
    <w:rsid w:val="00CD3CFA"/>
    <w:rsid w:val="00CD3F9B"/>
    <w:rsid w:val="00CD4073"/>
    <w:rsid w:val="00CD429F"/>
    <w:rsid w:val="00CD44C1"/>
    <w:rsid w:val="00CD45E6"/>
    <w:rsid w:val="00CD48EE"/>
    <w:rsid w:val="00CD4B5E"/>
    <w:rsid w:val="00CD531F"/>
    <w:rsid w:val="00CD5985"/>
    <w:rsid w:val="00CD59EB"/>
    <w:rsid w:val="00CD5DDD"/>
    <w:rsid w:val="00CD5E58"/>
    <w:rsid w:val="00CD64D1"/>
    <w:rsid w:val="00CD657B"/>
    <w:rsid w:val="00CD66AF"/>
    <w:rsid w:val="00CD6AD1"/>
    <w:rsid w:val="00CD6BB0"/>
    <w:rsid w:val="00CD7109"/>
    <w:rsid w:val="00CD74B5"/>
    <w:rsid w:val="00CD7706"/>
    <w:rsid w:val="00CD7728"/>
    <w:rsid w:val="00CD7D6E"/>
    <w:rsid w:val="00CE0606"/>
    <w:rsid w:val="00CE0897"/>
    <w:rsid w:val="00CE08AC"/>
    <w:rsid w:val="00CE0A56"/>
    <w:rsid w:val="00CE0C19"/>
    <w:rsid w:val="00CE0EB5"/>
    <w:rsid w:val="00CE12AF"/>
    <w:rsid w:val="00CE1558"/>
    <w:rsid w:val="00CE1595"/>
    <w:rsid w:val="00CE18B8"/>
    <w:rsid w:val="00CE19B3"/>
    <w:rsid w:val="00CE1B7D"/>
    <w:rsid w:val="00CE1D52"/>
    <w:rsid w:val="00CE24CB"/>
    <w:rsid w:val="00CE26CB"/>
    <w:rsid w:val="00CE2747"/>
    <w:rsid w:val="00CE282E"/>
    <w:rsid w:val="00CE29A2"/>
    <w:rsid w:val="00CE2B47"/>
    <w:rsid w:val="00CE2E46"/>
    <w:rsid w:val="00CE2FA8"/>
    <w:rsid w:val="00CE30EC"/>
    <w:rsid w:val="00CE3259"/>
    <w:rsid w:val="00CE3935"/>
    <w:rsid w:val="00CE39C8"/>
    <w:rsid w:val="00CE3AFA"/>
    <w:rsid w:val="00CE3C99"/>
    <w:rsid w:val="00CE4811"/>
    <w:rsid w:val="00CE4B29"/>
    <w:rsid w:val="00CE50B1"/>
    <w:rsid w:val="00CE53B8"/>
    <w:rsid w:val="00CE5538"/>
    <w:rsid w:val="00CE554D"/>
    <w:rsid w:val="00CE572F"/>
    <w:rsid w:val="00CE5B7D"/>
    <w:rsid w:val="00CE5C54"/>
    <w:rsid w:val="00CE5F1C"/>
    <w:rsid w:val="00CE6323"/>
    <w:rsid w:val="00CE65E9"/>
    <w:rsid w:val="00CE6D80"/>
    <w:rsid w:val="00CE6DA0"/>
    <w:rsid w:val="00CE725F"/>
    <w:rsid w:val="00CE7287"/>
    <w:rsid w:val="00CE7BA3"/>
    <w:rsid w:val="00CE7CCF"/>
    <w:rsid w:val="00CE7F6D"/>
    <w:rsid w:val="00CF0105"/>
    <w:rsid w:val="00CF015E"/>
    <w:rsid w:val="00CF02E4"/>
    <w:rsid w:val="00CF0507"/>
    <w:rsid w:val="00CF078F"/>
    <w:rsid w:val="00CF0D04"/>
    <w:rsid w:val="00CF1039"/>
    <w:rsid w:val="00CF15FE"/>
    <w:rsid w:val="00CF1B88"/>
    <w:rsid w:val="00CF1F52"/>
    <w:rsid w:val="00CF209B"/>
    <w:rsid w:val="00CF23D8"/>
    <w:rsid w:val="00CF2434"/>
    <w:rsid w:val="00CF291A"/>
    <w:rsid w:val="00CF298C"/>
    <w:rsid w:val="00CF3388"/>
    <w:rsid w:val="00CF3578"/>
    <w:rsid w:val="00CF4A6A"/>
    <w:rsid w:val="00CF4A6E"/>
    <w:rsid w:val="00CF4B06"/>
    <w:rsid w:val="00CF4D46"/>
    <w:rsid w:val="00CF5032"/>
    <w:rsid w:val="00CF551B"/>
    <w:rsid w:val="00CF573F"/>
    <w:rsid w:val="00CF59C8"/>
    <w:rsid w:val="00CF5AC6"/>
    <w:rsid w:val="00CF5E2A"/>
    <w:rsid w:val="00CF605A"/>
    <w:rsid w:val="00CF681C"/>
    <w:rsid w:val="00CF6C6F"/>
    <w:rsid w:val="00CF6F86"/>
    <w:rsid w:val="00CF708B"/>
    <w:rsid w:val="00CF72A7"/>
    <w:rsid w:val="00CF7DC1"/>
    <w:rsid w:val="00CF7E19"/>
    <w:rsid w:val="00CF7E6F"/>
    <w:rsid w:val="00CF7EE1"/>
    <w:rsid w:val="00D007AF"/>
    <w:rsid w:val="00D008DC"/>
    <w:rsid w:val="00D01352"/>
    <w:rsid w:val="00D01403"/>
    <w:rsid w:val="00D014F4"/>
    <w:rsid w:val="00D01AC8"/>
    <w:rsid w:val="00D02014"/>
    <w:rsid w:val="00D02846"/>
    <w:rsid w:val="00D028D7"/>
    <w:rsid w:val="00D02A8A"/>
    <w:rsid w:val="00D02CA2"/>
    <w:rsid w:val="00D03AD6"/>
    <w:rsid w:val="00D04155"/>
    <w:rsid w:val="00D0462E"/>
    <w:rsid w:val="00D0488D"/>
    <w:rsid w:val="00D04986"/>
    <w:rsid w:val="00D04FAF"/>
    <w:rsid w:val="00D052BC"/>
    <w:rsid w:val="00D055B9"/>
    <w:rsid w:val="00D059FA"/>
    <w:rsid w:val="00D05C18"/>
    <w:rsid w:val="00D05FD6"/>
    <w:rsid w:val="00D05FFC"/>
    <w:rsid w:val="00D06537"/>
    <w:rsid w:val="00D06D88"/>
    <w:rsid w:val="00D06DB5"/>
    <w:rsid w:val="00D071A1"/>
    <w:rsid w:val="00D07494"/>
    <w:rsid w:val="00D07981"/>
    <w:rsid w:val="00D10141"/>
    <w:rsid w:val="00D10596"/>
    <w:rsid w:val="00D10957"/>
    <w:rsid w:val="00D10BBD"/>
    <w:rsid w:val="00D10DB8"/>
    <w:rsid w:val="00D11429"/>
    <w:rsid w:val="00D116E7"/>
    <w:rsid w:val="00D11D46"/>
    <w:rsid w:val="00D12040"/>
    <w:rsid w:val="00D12109"/>
    <w:rsid w:val="00D12172"/>
    <w:rsid w:val="00D1241A"/>
    <w:rsid w:val="00D126D8"/>
    <w:rsid w:val="00D126EA"/>
    <w:rsid w:val="00D1292C"/>
    <w:rsid w:val="00D12FB5"/>
    <w:rsid w:val="00D131AC"/>
    <w:rsid w:val="00D138C4"/>
    <w:rsid w:val="00D139E9"/>
    <w:rsid w:val="00D13A90"/>
    <w:rsid w:val="00D13BEA"/>
    <w:rsid w:val="00D1457D"/>
    <w:rsid w:val="00D14D23"/>
    <w:rsid w:val="00D14E38"/>
    <w:rsid w:val="00D1511F"/>
    <w:rsid w:val="00D1520E"/>
    <w:rsid w:val="00D15468"/>
    <w:rsid w:val="00D15736"/>
    <w:rsid w:val="00D15807"/>
    <w:rsid w:val="00D158AA"/>
    <w:rsid w:val="00D15938"/>
    <w:rsid w:val="00D15D68"/>
    <w:rsid w:val="00D15ED8"/>
    <w:rsid w:val="00D162C9"/>
    <w:rsid w:val="00D1670D"/>
    <w:rsid w:val="00D16C87"/>
    <w:rsid w:val="00D16DA9"/>
    <w:rsid w:val="00D16F16"/>
    <w:rsid w:val="00D16FA7"/>
    <w:rsid w:val="00D17700"/>
    <w:rsid w:val="00D17E66"/>
    <w:rsid w:val="00D2001C"/>
    <w:rsid w:val="00D201FB"/>
    <w:rsid w:val="00D20318"/>
    <w:rsid w:val="00D20835"/>
    <w:rsid w:val="00D209AF"/>
    <w:rsid w:val="00D20B54"/>
    <w:rsid w:val="00D20C5A"/>
    <w:rsid w:val="00D2119B"/>
    <w:rsid w:val="00D21462"/>
    <w:rsid w:val="00D2193A"/>
    <w:rsid w:val="00D21941"/>
    <w:rsid w:val="00D2199F"/>
    <w:rsid w:val="00D21ED2"/>
    <w:rsid w:val="00D21FCE"/>
    <w:rsid w:val="00D2217D"/>
    <w:rsid w:val="00D22FAD"/>
    <w:rsid w:val="00D230DB"/>
    <w:rsid w:val="00D23278"/>
    <w:rsid w:val="00D23941"/>
    <w:rsid w:val="00D23B33"/>
    <w:rsid w:val="00D23B4A"/>
    <w:rsid w:val="00D23C34"/>
    <w:rsid w:val="00D24CA7"/>
    <w:rsid w:val="00D24CAB"/>
    <w:rsid w:val="00D25BAD"/>
    <w:rsid w:val="00D2633D"/>
    <w:rsid w:val="00D26865"/>
    <w:rsid w:val="00D2691A"/>
    <w:rsid w:val="00D26982"/>
    <w:rsid w:val="00D26A13"/>
    <w:rsid w:val="00D26C28"/>
    <w:rsid w:val="00D271A1"/>
    <w:rsid w:val="00D2727D"/>
    <w:rsid w:val="00D27488"/>
    <w:rsid w:val="00D2750A"/>
    <w:rsid w:val="00D27709"/>
    <w:rsid w:val="00D27A81"/>
    <w:rsid w:val="00D27D5A"/>
    <w:rsid w:val="00D27F8C"/>
    <w:rsid w:val="00D30038"/>
    <w:rsid w:val="00D303FF"/>
    <w:rsid w:val="00D305C4"/>
    <w:rsid w:val="00D305C6"/>
    <w:rsid w:val="00D307EE"/>
    <w:rsid w:val="00D3081B"/>
    <w:rsid w:val="00D30DEB"/>
    <w:rsid w:val="00D311AC"/>
    <w:rsid w:val="00D3143D"/>
    <w:rsid w:val="00D314DF"/>
    <w:rsid w:val="00D315CC"/>
    <w:rsid w:val="00D31854"/>
    <w:rsid w:val="00D3195B"/>
    <w:rsid w:val="00D32E91"/>
    <w:rsid w:val="00D333E7"/>
    <w:rsid w:val="00D3340C"/>
    <w:rsid w:val="00D338C7"/>
    <w:rsid w:val="00D33AA4"/>
    <w:rsid w:val="00D33AA8"/>
    <w:rsid w:val="00D33D9A"/>
    <w:rsid w:val="00D34314"/>
    <w:rsid w:val="00D344BC"/>
    <w:rsid w:val="00D345B8"/>
    <w:rsid w:val="00D349E9"/>
    <w:rsid w:val="00D34FA1"/>
    <w:rsid w:val="00D35163"/>
    <w:rsid w:val="00D3630B"/>
    <w:rsid w:val="00D36322"/>
    <w:rsid w:val="00D36CC2"/>
    <w:rsid w:val="00D36CF5"/>
    <w:rsid w:val="00D36DE1"/>
    <w:rsid w:val="00D371F3"/>
    <w:rsid w:val="00D373FF"/>
    <w:rsid w:val="00D37481"/>
    <w:rsid w:val="00D3748D"/>
    <w:rsid w:val="00D375ED"/>
    <w:rsid w:val="00D379FF"/>
    <w:rsid w:val="00D37ED2"/>
    <w:rsid w:val="00D402DD"/>
    <w:rsid w:val="00D40B87"/>
    <w:rsid w:val="00D40BE6"/>
    <w:rsid w:val="00D410BF"/>
    <w:rsid w:val="00D4137D"/>
    <w:rsid w:val="00D41A26"/>
    <w:rsid w:val="00D41A3F"/>
    <w:rsid w:val="00D41BE5"/>
    <w:rsid w:val="00D41CB5"/>
    <w:rsid w:val="00D41CE5"/>
    <w:rsid w:val="00D41E63"/>
    <w:rsid w:val="00D41F5E"/>
    <w:rsid w:val="00D42104"/>
    <w:rsid w:val="00D42651"/>
    <w:rsid w:val="00D427BD"/>
    <w:rsid w:val="00D428C5"/>
    <w:rsid w:val="00D42932"/>
    <w:rsid w:val="00D42B11"/>
    <w:rsid w:val="00D42D6D"/>
    <w:rsid w:val="00D43E38"/>
    <w:rsid w:val="00D441EB"/>
    <w:rsid w:val="00D4434F"/>
    <w:rsid w:val="00D443E9"/>
    <w:rsid w:val="00D447ED"/>
    <w:rsid w:val="00D44F8E"/>
    <w:rsid w:val="00D45093"/>
    <w:rsid w:val="00D454A6"/>
    <w:rsid w:val="00D456B3"/>
    <w:rsid w:val="00D45AD9"/>
    <w:rsid w:val="00D45AFD"/>
    <w:rsid w:val="00D45BA7"/>
    <w:rsid w:val="00D45E0E"/>
    <w:rsid w:val="00D463B1"/>
    <w:rsid w:val="00D463C5"/>
    <w:rsid w:val="00D465E1"/>
    <w:rsid w:val="00D466B0"/>
    <w:rsid w:val="00D4681E"/>
    <w:rsid w:val="00D4695D"/>
    <w:rsid w:val="00D47108"/>
    <w:rsid w:val="00D47411"/>
    <w:rsid w:val="00D47896"/>
    <w:rsid w:val="00D4794F"/>
    <w:rsid w:val="00D479CF"/>
    <w:rsid w:val="00D47C3D"/>
    <w:rsid w:val="00D50515"/>
    <w:rsid w:val="00D50B08"/>
    <w:rsid w:val="00D50BB1"/>
    <w:rsid w:val="00D5102A"/>
    <w:rsid w:val="00D514BB"/>
    <w:rsid w:val="00D515FD"/>
    <w:rsid w:val="00D51994"/>
    <w:rsid w:val="00D519D3"/>
    <w:rsid w:val="00D51CE0"/>
    <w:rsid w:val="00D51DD4"/>
    <w:rsid w:val="00D52BF7"/>
    <w:rsid w:val="00D52F88"/>
    <w:rsid w:val="00D53132"/>
    <w:rsid w:val="00D5324C"/>
    <w:rsid w:val="00D533A4"/>
    <w:rsid w:val="00D53937"/>
    <w:rsid w:val="00D53EEB"/>
    <w:rsid w:val="00D53EF2"/>
    <w:rsid w:val="00D54747"/>
    <w:rsid w:val="00D548B6"/>
    <w:rsid w:val="00D54A4B"/>
    <w:rsid w:val="00D54F21"/>
    <w:rsid w:val="00D5549D"/>
    <w:rsid w:val="00D5561A"/>
    <w:rsid w:val="00D55C6C"/>
    <w:rsid w:val="00D560E6"/>
    <w:rsid w:val="00D562F7"/>
    <w:rsid w:val="00D563EC"/>
    <w:rsid w:val="00D56602"/>
    <w:rsid w:val="00D5686F"/>
    <w:rsid w:val="00D56916"/>
    <w:rsid w:val="00D56D0F"/>
    <w:rsid w:val="00D5704A"/>
    <w:rsid w:val="00D6089A"/>
    <w:rsid w:val="00D60AA6"/>
    <w:rsid w:val="00D60B8A"/>
    <w:rsid w:val="00D6118E"/>
    <w:rsid w:val="00D614DC"/>
    <w:rsid w:val="00D61C5B"/>
    <w:rsid w:val="00D61CF4"/>
    <w:rsid w:val="00D61D43"/>
    <w:rsid w:val="00D6227B"/>
    <w:rsid w:val="00D623A6"/>
    <w:rsid w:val="00D624E9"/>
    <w:rsid w:val="00D62AF5"/>
    <w:rsid w:val="00D63011"/>
    <w:rsid w:val="00D6392D"/>
    <w:rsid w:val="00D63A46"/>
    <w:rsid w:val="00D644F7"/>
    <w:rsid w:val="00D6489D"/>
    <w:rsid w:val="00D64B17"/>
    <w:rsid w:val="00D65057"/>
    <w:rsid w:val="00D65064"/>
    <w:rsid w:val="00D65335"/>
    <w:rsid w:val="00D6536E"/>
    <w:rsid w:val="00D654C6"/>
    <w:rsid w:val="00D65E94"/>
    <w:rsid w:val="00D65EC6"/>
    <w:rsid w:val="00D660CA"/>
    <w:rsid w:val="00D6630B"/>
    <w:rsid w:val="00D67C46"/>
    <w:rsid w:val="00D67D02"/>
    <w:rsid w:val="00D7063F"/>
    <w:rsid w:val="00D706E2"/>
    <w:rsid w:val="00D708FC"/>
    <w:rsid w:val="00D70E5C"/>
    <w:rsid w:val="00D70EF5"/>
    <w:rsid w:val="00D710BF"/>
    <w:rsid w:val="00D723D3"/>
    <w:rsid w:val="00D7259B"/>
    <w:rsid w:val="00D72722"/>
    <w:rsid w:val="00D729C1"/>
    <w:rsid w:val="00D7381B"/>
    <w:rsid w:val="00D73839"/>
    <w:rsid w:val="00D73954"/>
    <w:rsid w:val="00D73BD8"/>
    <w:rsid w:val="00D73F63"/>
    <w:rsid w:val="00D741D0"/>
    <w:rsid w:val="00D742D9"/>
    <w:rsid w:val="00D751DC"/>
    <w:rsid w:val="00D7545B"/>
    <w:rsid w:val="00D75479"/>
    <w:rsid w:val="00D757E3"/>
    <w:rsid w:val="00D75822"/>
    <w:rsid w:val="00D75FE1"/>
    <w:rsid w:val="00D763FF"/>
    <w:rsid w:val="00D7643B"/>
    <w:rsid w:val="00D76812"/>
    <w:rsid w:val="00D769B9"/>
    <w:rsid w:val="00D7708E"/>
    <w:rsid w:val="00D77457"/>
    <w:rsid w:val="00D775FD"/>
    <w:rsid w:val="00D77890"/>
    <w:rsid w:val="00D77A83"/>
    <w:rsid w:val="00D77B79"/>
    <w:rsid w:val="00D77FDA"/>
    <w:rsid w:val="00D77FDE"/>
    <w:rsid w:val="00D80350"/>
    <w:rsid w:val="00D804A6"/>
    <w:rsid w:val="00D80686"/>
    <w:rsid w:val="00D8097B"/>
    <w:rsid w:val="00D80CE6"/>
    <w:rsid w:val="00D80F7D"/>
    <w:rsid w:val="00D81101"/>
    <w:rsid w:val="00D82087"/>
    <w:rsid w:val="00D82A43"/>
    <w:rsid w:val="00D839B6"/>
    <w:rsid w:val="00D83E45"/>
    <w:rsid w:val="00D8450A"/>
    <w:rsid w:val="00D845C1"/>
    <w:rsid w:val="00D84B20"/>
    <w:rsid w:val="00D84BA8"/>
    <w:rsid w:val="00D84C84"/>
    <w:rsid w:val="00D84F74"/>
    <w:rsid w:val="00D8501D"/>
    <w:rsid w:val="00D85F7D"/>
    <w:rsid w:val="00D861E7"/>
    <w:rsid w:val="00D86202"/>
    <w:rsid w:val="00D865C5"/>
    <w:rsid w:val="00D867B4"/>
    <w:rsid w:val="00D86C75"/>
    <w:rsid w:val="00D87A4D"/>
    <w:rsid w:val="00D87B69"/>
    <w:rsid w:val="00D87D47"/>
    <w:rsid w:val="00D9017B"/>
    <w:rsid w:val="00D90A29"/>
    <w:rsid w:val="00D90A3A"/>
    <w:rsid w:val="00D90E23"/>
    <w:rsid w:val="00D91827"/>
    <w:rsid w:val="00D91BF9"/>
    <w:rsid w:val="00D91DA1"/>
    <w:rsid w:val="00D91E79"/>
    <w:rsid w:val="00D91EB8"/>
    <w:rsid w:val="00D91F7B"/>
    <w:rsid w:val="00D9214B"/>
    <w:rsid w:val="00D9252A"/>
    <w:rsid w:val="00D9275E"/>
    <w:rsid w:val="00D92A8E"/>
    <w:rsid w:val="00D92EBD"/>
    <w:rsid w:val="00D9330B"/>
    <w:rsid w:val="00D934D8"/>
    <w:rsid w:val="00D93791"/>
    <w:rsid w:val="00D93799"/>
    <w:rsid w:val="00D93EC9"/>
    <w:rsid w:val="00D9430C"/>
    <w:rsid w:val="00D9460C"/>
    <w:rsid w:val="00D9492A"/>
    <w:rsid w:val="00D95107"/>
    <w:rsid w:val="00D95570"/>
    <w:rsid w:val="00D9580D"/>
    <w:rsid w:val="00D95A21"/>
    <w:rsid w:val="00D95CB4"/>
    <w:rsid w:val="00D96509"/>
    <w:rsid w:val="00D969D3"/>
    <w:rsid w:val="00D97165"/>
    <w:rsid w:val="00D97495"/>
    <w:rsid w:val="00D97C35"/>
    <w:rsid w:val="00D97FED"/>
    <w:rsid w:val="00DA0141"/>
    <w:rsid w:val="00DA146B"/>
    <w:rsid w:val="00DA19B4"/>
    <w:rsid w:val="00DA1D5A"/>
    <w:rsid w:val="00DA1EA6"/>
    <w:rsid w:val="00DA1F08"/>
    <w:rsid w:val="00DA2104"/>
    <w:rsid w:val="00DA2111"/>
    <w:rsid w:val="00DA2864"/>
    <w:rsid w:val="00DA2B32"/>
    <w:rsid w:val="00DA31EF"/>
    <w:rsid w:val="00DA36C9"/>
    <w:rsid w:val="00DA3762"/>
    <w:rsid w:val="00DA40CF"/>
    <w:rsid w:val="00DA443C"/>
    <w:rsid w:val="00DA443F"/>
    <w:rsid w:val="00DA4AAF"/>
    <w:rsid w:val="00DA4B53"/>
    <w:rsid w:val="00DA528B"/>
    <w:rsid w:val="00DA5588"/>
    <w:rsid w:val="00DA5627"/>
    <w:rsid w:val="00DA5886"/>
    <w:rsid w:val="00DA58EC"/>
    <w:rsid w:val="00DA5F36"/>
    <w:rsid w:val="00DA5F5F"/>
    <w:rsid w:val="00DA665E"/>
    <w:rsid w:val="00DA67E6"/>
    <w:rsid w:val="00DA6B1E"/>
    <w:rsid w:val="00DA7D82"/>
    <w:rsid w:val="00DA7FB6"/>
    <w:rsid w:val="00DB00C6"/>
    <w:rsid w:val="00DB0859"/>
    <w:rsid w:val="00DB0E18"/>
    <w:rsid w:val="00DB13F7"/>
    <w:rsid w:val="00DB16E5"/>
    <w:rsid w:val="00DB185C"/>
    <w:rsid w:val="00DB19DD"/>
    <w:rsid w:val="00DB1A64"/>
    <w:rsid w:val="00DB1C47"/>
    <w:rsid w:val="00DB1CC2"/>
    <w:rsid w:val="00DB1DC3"/>
    <w:rsid w:val="00DB22B9"/>
    <w:rsid w:val="00DB24CB"/>
    <w:rsid w:val="00DB2EA0"/>
    <w:rsid w:val="00DB3935"/>
    <w:rsid w:val="00DB3CC2"/>
    <w:rsid w:val="00DB41A9"/>
    <w:rsid w:val="00DB472F"/>
    <w:rsid w:val="00DB4BB6"/>
    <w:rsid w:val="00DB54AD"/>
    <w:rsid w:val="00DB5505"/>
    <w:rsid w:val="00DB5912"/>
    <w:rsid w:val="00DB5B2E"/>
    <w:rsid w:val="00DB5DA0"/>
    <w:rsid w:val="00DB614B"/>
    <w:rsid w:val="00DB65BB"/>
    <w:rsid w:val="00DB6786"/>
    <w:rsid w:val="00DB697A"/>
    <w:rsid w:val="00DB6C54"/>
    <w:rsid w:val="00DB711A"/>
    <w:rsid w:val="00DB72CA"/>
    <w:rsid w:val="00DB732A"/>
    <w:rsid w:val="00DB7457"/>
    <w:rsid w:val="00DC0062"/>
    <w:rsid w:val="00DC01B4"/>
    <w:rsid w:val="00DC01F5"/>
    <w:rsid w:val="00DC02D4"/>
    <w:rsid w:val="00DC07D4"/>
    <w:rsid w:val="00DC0EFE"/>
    <w:rsid w:val="00DC0F7A"/>
    <w:rsid w:val="00DC0FE0"/>
    <w:rsid w:val="00DC148D"/>
    <w:rsid w:val="00DC160F"/>
    <w:rsid w:val="00DC1702"/>
    <w:rsid w:val="00DC1910"/>
    <w:rsid w:val="00DC1943"/>
    <w:rsid w:val="00DC1A1B"/>
    <w:rsid w:val="00DC1A8A"/>
    <w:rsid w:val="00DC1DB7"/>
    <w:rsid w:val="00DC2106"/>
    <w:rsid w:val="00DC21DF"/>
    <w:rsid w:val="00DC2356"/>
    <w:rsid w:val="00DC268C"/>
    <w:rsid w:val="00DC2E52"/>
    <w:rsid w:val="00DC2F5F"/>
    <w:rsid w:val="00DC3272"/>
    <w:rsid w:val="00DC32B7"/>
    <w:rsid w:val="00DC35AC"/>
    <w:rsid w:val="00DC398D"/>
    <w:rsid w:val="00DC3B2F"/>
    <w:rsid w:val="00DC3DCE"/>
    <w:rsid w:val="00DC3F31"/>
    <w:rsid w:val="00DC4260"/>
    <w:rsid w:val="00DC491A"/>
    <w:rsid w:val="00DC4A7A"/>
    <w:rsid w:val="00DC4D74"/>
    <w:rsid w:val="00DC4EE7"/>
    <w:rsid w:val="00DC5054"/>
    <w:rsid w:val="00DC5B81"/>
    <w:rsid w:val="00DC616B"/>
    <w:rsid w:val="00DC6436"/>
    <w:rsid w:val="00DC661C"/>
    <w:rsid w:val="00DC6C7C"/>
    <w:rsid w:val="00DC6D9B"/>
    <w:rsid w:val="00DC6F15"/>
    <w:rsid w:val="00DC7605"/>
    <w:rsid w:val="00DC77C8"/>
    <w:rsid w:val="00DC7898"/>
    <w:rsid w:val="00DC7DC1"/>
    <w:rsid w:val="00DC7F20"/>
    <w:rsid w:val="00DD011F"/>
    <w:rsid w:val="00DD0B82"/>
    <w:rsid w:val="00DD0DBB"/>
    <w:rsid w:val="00DD144D"/>
    <w:rsid w:val="00DD151B"/>
    <w:rsid w:val="00DD1579"/>
    <w:rsid w:val="00DD18CB"/>
    <w:rsid w:val="00DD1A67"/>
    <w:rsid w:val="00DD1B34"/>
    <w:rsid w:val="00DD1C1E"/>
    <w:rsid w:val="00DD1FE6"/>
    <w:rsid w:val="00DD2623"/>
    <w:rsid w:val="00DD26D2"/>
    <w:rsid w:val="00DD32EC"/>
    <w:rsid w:val="00DD35E5"/>
    <w:rsid w:val="00DD3A53"/>
    <w:rsid w:val="00DD3F79"/>
    <w:rsid w:val="00DD45ED"/>
    <w:rsid w:val="00DD490E"/>
    <w:rsid w:val="00DD4D8C"/>
    <w:rsid w:val="00DD4E03"/>
    <w:rsid w:val="00DD4F66"/>
    <w:rsid w:val="00DD5338"/>
    <w:rsid w:val="00DD53C3"/>
    <w:rsid w:val="00DD54FC"/>
    <w:rsid w:val="00DD5BD3"/>
    <w:rsid w:val="00DD5DF7"/>
    <w:rsid w:val="00DD63A5"/>
    <w:rsid w:val="00DD67F8"/>
    <w:rsid w:val="00DD686D"/>
    <w:rsid w:val="00DD692F"/>
    <w:rsid w:val="00DD7518"/>
    <w:rsid w:val="00DD77A7"/>
    <w:rsid w:val="00DD7DB2"/>
    <w:rsid w:val="00DE036E"/>
    <w:rsid w:val="00DE0748"/>
    <w:rsid w:val="00DE0D68"/>
    <w:rsid w:val="00DE13CB"/>
    <w:rsid w:val="00DE1918"/>
    <w:rsid w:val="00DE1AFE"/>
    <w:rsid w:val="00DE1D3C"/>
    <w:rsid w:val="00DE1E7A"/>
    <w:rsid w:val="00DE236E"/>
    <w:rsid w:val="00DE23A6"/>
    <w:rsid w:val="00DE2434"/>
    <w:rsid w:val="00DE259B"/>
    <w:rsid w:val="00DE2B66"/>
    <w:rsid w:val="00DE2E23"/>
    <w:rsid w:val="00DE2E56"/>
    <w:rsid w:val="00DE34FE"/>
    <w:rsid w:val="00DE3649"/>
    <w:rsid w:val="00DE36A0"/>
    <w:rsid w:val="00DE3752"/>
    <w:rsid w:val="00DE3932"/>
    <w:rsid w:val="00DE3B42"/>
    <w:rsid w:val="00DE4140"/>
    <w:rsid w:val="00DE45DF"/>
    <w:rsid w:val="00DE4698"/>
    <w:rsid w:val="00DE4DC4"/>
    <w:rsid w:val="00DE5589"/>
    <w:rsid w:val="00DE5EC6"/>
    <w:rsid w:val="00DE5F60"/>
    <w:rsid w:val="00DE6629"/>
    <w:rsid w:val="00DE687D"/>
    <w:rsid w:val="00DE691B"/>
    <w:rsid w:val="00DE69AF"/>
    <w:rsid w:val="00DE69BC"/>
    <w:rsid w:val="00DE6AB3"/>
    <w:rsid w:val="00DE6C71"/>
    <w:rsid w:val="00DE6D60"/>
    <w:rsid w:val="00DE7429"/>
    <w:rsid w:val="00DE764F"/>
    <w:rsid w:val="00DE78B8"/>
    <w:rsid w:val="00DF064A"/>
    <w:rsid w:val="00DF064C"/>
    <w:rsid w:val="00DF0EC1"/>
    <w:rsid w:val="00DF1577"/>
    <w:rsid w:val="00DF20F7"/>
    <w:rsid w:val="00DF2455"/>
    <w:rsid w:val="00DF25D7"/>
    <w:rsid w:val="00DF28CB"/>
    <w:rsid w:val="00DF2AAC"/>
    <w:rsid w:val="00DF3518"/>
    <w:rsid w:val="00DF4163"/>
    <w:rsid w:val="00DF4B5E"/>
    <w:rsid w:val="00DF4CA4"/>
    <w:rsid w:val="00DF5423"/>
    <w:rsid w:val="00DF55FB"/>
    <w:rsid w:val="00DF5728"/>
    <w:rsid w:val="00DF59EF"/>
    <w:rsid w:val="00DF5B86"/>
    <w:rsid w:val="00DF610F"/>
    <w:rsid w:val="00DF6445"/>
    <w:rsid w:val="00DF6610"/>
    <w:rsid w:val="00DF67E3"/>
    <w:rsid w:val="00DF6BDB"/>
    <w:rsid w:val="00DF6D5A"/>
    <w:rsid w:val="00DF6E8D"/>
    <w:rsid w:val="00DF7174"/>
    <w:rsid w:val="00DF71D2"/>
    <w:rsid w:val="00DF77F2"/>
    <w:rsid w:val="00DF7944"/>
    <w:rsid w:val="00DF7AFE"/>
    <w:rsid w:val="00DF7E09"/>
    <w:rsid w:val="00DF7F87"/>
    <w:rsid w:val="00E00182"/>
    <w:rsid w:val="00E0027D"/>
    <w:rsid w:val="00E00502"/>
    <w:rsid w:val="00E006F4"/>
    <w:rsid w:val="00E0090E"/>
    <w:rsid w:val="00E00931"/>
    <w:rsid w:val="00E00AFF"/>
    <w:rsid w:val="00E00B17"/>
    <w:rsid w:val="00E00B58"/>
    <w:rsid w:val="00E01276"/>
    <w:rsid w:val="00E018B6"/>
    <w:rsid w:val="00E018BF"/>
    <w:rsid w:val="00E018D6"/>
    <w:rsid w:val="00E01B48"/>
    <w:rsid w:val="00E01CF4"/>
    <w:rsid w:val="00E02056"/>
    <w:rsid w:val="00E0218B"/>
    <w:rsid w:val="00E023C2"/>
    <w:rsid w:val="00E025AC"/>
    <w:rsid w:val="00E02639"/>
    <w:rsid w:val="00E02BE4"/>
    <w:rsid w:val="00E03253"/>
    <w:rsid w:val="00E0336F"/>
    <w:rsid w:val="00E0342F"/>
    <w:rsid w:val="00E03C8E"/>
    <w:rsid w:val="00E0414F"/>
    <w:rsid w:val="00E04228"/>
    <w:rsid w:val="00E05667"/>
    <w:rsid w:val="00E0610B"/>
    <w:rsid w:val="00E065E2"/>
    <w:rsid w:val="00E06682"/>
    <w:rsid w:val="00E066C7"/>
    <w:rsid w:val="00E06993"/>
    <w:rsid w:val="00E06BEC"/>
    <w:rsid w:val="00E0724B"/>
    <w:rsid w:val="00E073CE"/>
    <w:rsid w:val="00E0750B"/>
    <w:rsid w:val="00E075E2"/>
    <w:rsid w:val="00E07A45"/>
    <w:rsid w:val="00E07B34"/>
    <w:rsid w:val="00E07E49"/>
    <w:rsid w:val="00E10017"/>
    <w:rsid w:val="00E10D8D"/>
    <w:rsid w:val="00E110F2"/>
    <w:rsid w:val="00E11309"/>
    <w:rsid w:val="00E1165F"/>
    <w:rsid w:val="00E119F3"/>
    <w:rsid w:val="00E11A13"/>
    <w:rsid w:val="00E11B4E"/>
    <w:rsid w:val="00E12194"/>
    <w:rsid w:val="00E12694"/>
    <w:rsid w:val="00E127E5"/>
    <w:rsid w:val="00E12BD4"/>
    <w:rsid w:val="00E12CB1"/>
    <w:rsid w:val="00E13136"/>
    <w:rsid w:val="00E132A1"/>
    <w:rsid w:val="00E13755"/>
    <w:rsid w:val="00E137CE"/>
    <w:rsid w:val="00E143B3"/>
    <w:rsid w:val="00E146B6"/>
    <w:rsid w:val="00E14774"/>
    <w:rsid w:val="00E1493C"/>
    <w:rsid w:val="00E14D3B"/>
    <w:rsid w:val="00E14D6D"/>
    <w:rsid w:val="00E151C7"/>
    <w:rsid w:val="00E1527E"/>
    <w:rsid w:val="00E1610B"/>
    <w:rsid w:val="00E163E2"/>
    <w:rsid w:val="00E16852"/>
    <w:rsid w:val="00E16FD5"/>
    <w:rsid w:val="00E174C3"/>
    <w:rsid w:val="00E174EF"/>
    <w:rsid w:val="00E1774F"/>
    <w:rsid w:val="00E1782A"/>
    <w:rsid w:val="00E203C0"/>
    <w:rsid w:val="00E203D1"/>
    <w:rsid w:val="00E205D2"/>
    <w:rsid w:val="00E2063F"/>
    <w:rsid w:val="00E20F01"/>
    <w:rsid w:val="00E20FC6"/>
    <w:rsid w:val="00E21264"/>
    <w:rsid w:val="00E218E9"/>
    <w:rsid w:val="00E219B8"/>
    <w:rsid w:val="00E21A45"/>
    <w:rsid w:val="00E21C30"/>
    <w:rsid w:val="00E22256"/>
    <w:rsid w:val="00E2239F"/>
    <w:rsid w:val="00E22B50"/>
    <w:rsid w:val="00E22CC9"/>
    <w:rsid w:val="00E23195"/>
    <w:rsid w:val="00E23DBB"/>
    <w:rsid w:val="00E24296"/>
    <w:rsid w:val="00E24817"/>
    <w:rsid w:val="00E249CB"/>
    <w:rsid w:val="00E24B85"/>
    <w:rsid w:val="00E24C18"/>
    <w:rsid w:val="00E24C3B"/>
    <w:rsid w:val="00E2502B"/>
    <w:rsid w:val="00E255D5"/>
    <w:rsid w:val="00E256A4"/>
    <w:rsid w:val="00E25817"/>
    <w:rsid w:val="00E25968"/>
    <w:rsid w:val="00E259E6"/>
    <w:rsid w:val="00E25C72"/>
    <w:rsid w:val="00E25FFA"/>
    <w:rsid w:val="00E2607D"/>
    <w:rsid w:val="00E26242"/>
    <w:rsid w:val="00E26613"/>
    <w:rsid w:val="00E266F6"/>
    <w:rsid w:val="00E267CC"/>
    <w:rsid w:val="00E26940"/>
    <w:rsid w:val="00E26C3F"/>
    <w:rsid w:val="00E271F4"/>
    <w:rsid w:val="00E27A13"/>
    <w:rsid w:val="00E27ADB"/>
    <w:rsid w:val="00E27D06"/>
    <w:rsid w:val="00E27F1B"/>
    <w:rsid w:val="00E30369"/>
    <w:rsid w:val="00E30947"/>
    <w:rsid w:val="00E3117E"/>
    <w:rsid w:val="00E315E6"/>
    <w:rsid w:val="00E31773"/>
    <w:rsid w:val="00E3194C"/>
    <w:rsid w:val="00E3197E"/>
    <w:rsid w:val="00E31CE9"/>
    <w:rsid w:val="00E3243B"/>
    <w:rsid w:val="00E32625"/>
    <w:rsid w:val="00E32667"/>
    <w:rsid w:val="00E327F4"/>
    <w:rsid w:val="00E32AC1"/>
    <w:rsid w:val="00E32C74"/>
    <w:rsid w:val="00E32D95"/>
    <w:rsid w:val="00E330E2"/>
    <w:rsid w:val="00E334EE"/>
    <w:rsid w:val="00E3356E"/>
    <w:rsid w:val="00E338B0"/>
    <w:rsid w:val="00E33AD4"/>
    <w:rsid w:val="00E33B08"/>
    <w:rsid w:val="00E34008"/>
    <w:rsid w:val="00E34529"/>
    <w:rsid w:val="00E34807"/>
    <w:rsid w:val="00E34A53"/>
    <w:rsid w:val="00E34D3C"/>
    <w:rsid w:val="00E34E4B"/>
    <w:rsid w:val="00E34F4C"/>
    <w:rsid w:val="00E34FFA"/>
    <w:rsid w:val="00E35056"/>
    <w:rsid w:val="00E35EDE"/>
    <w:rsid w:val="00E362AA"/>
    <w:rsid w:val="00E36420"/>
    <w:rsid w:val="00E36445"/>
    <w:rsid w:val="00E37B4F"/>
    <w:rsid w:val="00E37D23"/>
    <w:rsid w:val="00E37DA2"/>
    <w:rsid w:val="00E37DE8"/>
    <w:rsid w:val="00E37FAB"/>
    <w:rsid w:val="00E40013"/>
    <w:rsid w:val="00E40743"/>
    <w:rsid w:val="00E40AA1"/>
    <w:rsid w:val="00E4125C"/>
    <w:rsid w:val="00E41622"/>
    <w:rsid w:val="00E41856"/>
    <w:rsid w:val="00E41EB6"/>
    <w:rsid w:val="00E41FF4"/>
    <w:rsid w:val="00E4201B"/>
    <w:rsid w:val="00E42141"/>
    <w:rsid w:val="00E4222F"/>
    <w:rsid w:val="00E4238D"/>
    <w:rsid w:val="00E42656"/>
    <w:rsid w:val="00E426C4"/>
    <w:rsid w:val="00E428BA"/>
    <w:rsid w:val="00E42ABB"/>
    <w:rsid w:val="00E42ECE"/>
    <w:rsid w:val="00E43020"/>
    <w:rsid w:val="00E435A6"/>
    <w:rsid w:val="00E43887"/>
    <w:rsid w:val="00E43C60"/>
    <w:rsid w:val="00E442F6"/>
    <w:rsid w:val="00E44746"/>
    <w:rsid w:val="00E44773"/>
    <w:rsid w:val="00E447E3"/>
    <w:rsid w:val="00E44AA7"/>
    <w:rsid w:val="00E44D39"/>
    <w:rsid w:val="00E459E1"/>
    <w:rsid w:val="00E46178"/>
    <w:rsid w:val="00E46272"/>
    <w:rsid w:val="00E46545"/>
    <w:rsid w:val="00E4664A"/>
    <w:rsid w:val="00E46749"/>
    <w:rsid w:val="00E46807"/>
    <w:rsid w:val="00E468CB"/>
    <w:rsid w:val="00E46ED1"/>
    <w:rsid w:val="00E47832"/>
    <w:rsid w:val="00E4794B"/>
    <w:rsid w:val="00E479E5"/>
    <w:rsid w:val="00E501D8"/>
    <w:rsid w:val="00E50378"/>
    <w:rsid w:val="00E50B7A"/>
    <w:rsid w:val="00E50D05"/>
    <w:rsid w:val="00E50FAC"/>
    <w:rsid w:val="00E511C3"/>
    <w:rsid w:val="00E51555"/>
    <w:rsid w:val="00E51D34"/>
    <w:rsid w:val="00E52473"/>
    <w:rsid w:val="00E5291C"/>
    <w:rsid w:val="00E52A19"/>
    <w:rsid w:val="00E536B1"/>
    <w:rsid w:val="00E5409C"/>
    <w:rsid w:val="00E54556"/>
    <w:rsid w:val="00E545AB"/>
    <w:rsid w:val="00E547F2"/>
    <w:rsid w:val="00E54C56"/>
    <w:rsid w:val="00E54C7F"/>
    <w:rsid w:val="00E54EE6"/>
    <w:rsid w:val="00E54F49"/>
    <w:rsid w:val="00E54F75"/>
    <w:rsid w:val="00E551AE"/>
    <w:rsid w:val="00E5564A"/>
    <w:rsid w:val="00E557AA"/>
    <w:rsid w:val="00E55A75"/>
    <w:rsid w:val="00E567CD"/>
    <w:rsid w:val="00E56DF3"/>
    <w:rsid w:val="00E56FE3"/>
    <w:rsid w:val="00E57277"/>
    <w:rsid w:val="00E57282"/>
    <w:rsid w:val="00E57D93"/>
    <w:rsid w:val="00E600AB"/>
    <w:rsid w:val="00E60682"/>
    <w:rsid w:val="00E60C25"/>
    <w:rsid w:val="00E60CFA"/>
    <w:rsid w:val="00E60F83"/>
    <w:rsid w:val="00E61074"/>
    <w:rsid w:val="00E61277"/>
    <w:rsid w:val="00E61686"/>
    <w:rsid w:val="00E61765"/>
    <w:rsid w:val="00E61D0B"/>
    <w:rsid w:val="00E61F32"/>
    <w:rsid w:val="00E61FBB"/>
    <w:rsid w:val="00E6225A"/>
    <w:rsid w:val="00E62A60"/>
    <w:rsid w:val="00E62C67"/>
    <w:rsid w:val="00E63248"/>
    <w:rsid w:val="00E6383B"/>
    <w:rsid w:val="00E63A4D"/>
    <w:rsid w:val="00E63A5F"/>
    <w:rsid w:val="00E63FE9"/>
    <w:rsid w:val="00E6409D"/>
    <w:rsid w:val="00E640FB"/>
    <w:rsid w:val="00E64A55"/>
    <w:rsid w:val="00E650A4"/>
    <w:rsid w:val="00E652A2"/>
    <w:rsid w:val="00E653D0"/>
    <w:rsid w:val="00E65646"/>
    <w:rsid w:val="00E661CA"/>
    <w:rsid w:val="00E66539"/>
    <w:rsid w:val="00E66562"/>
    <w:rsid w:val="00E6662F"/>
    <w:rsid w:val="00E668FD"/>
    <w:rsid w:val="00E6703B"/>
    <w:rsid w:val="00E67365"/>
    <w:rsid w:val="00E67897"/>
    <w:rsid w:val="00E67937"/>
    <w:rsid w:val="00E67ABD"/>
    <w:rsid w:val="00E705D2"/>
    <w:rsid w:val="00E70639"/>
    <w:rsid w:val="00E70816"/>
    <w:rsid w:val="00E70CEA"/>
    <w:rsid w:val="00E71491"/>
    <w:rsid w:val="00E715BF"/>
    <w:rsid w:val="00E71B01"/>
    <w:rsid w:val="00E720FD"/>
    <w:rsid w:val="00E72804"/>
    <w:rsid w:val="00E728ED"/>
    <w:rsid w:val="00E72B30"/>
    <w:rsid w:val="00E72BE5"/>
    <w:rsid w:val="00E72EB8"/>
    <w:rsid w:val="00E731D2"/>
    <w:rsid w:val="00E73574"/>
    <w:rsid w:val="00E735E4"/>
    <w:rsid w:val="00E738A6"/>
    <w:rsid w:val="00E73BB7"/>
    <w:rsid w:val="00E74278"/>
    <w:rsid w:val="00E744BA"/>
    <w:rsid w:val="00E7456B"/>
    <w:rsid w:val="00E748FA"/>
    <w:rsid w:val="00E749F3"/>
    <w:rsid w:val="00E74A04"/>
    <w:rsid w:val="00E75272"/>
    <w:rsid w:val="00E75308"/>
    <w:rsid w:val="00E75BE2"/>
    <w:rsid w:val="00E75F51"/>
    <w:rsid w:val="00E761A8"/>
    <w:rsid w:val="00E76355"/>
    <w:rsid w:val="00E76506"/>
    <w:rsid w:val="00E7685C"/>
    <w:rsid w:val="00E76A6F"/>
    <w:rsid w:val="00E775D6"/>
    <w:rsid w:val="00E77626"/>
    <w:rsid w:val="00E776EA"/>
    <w:rsid w:val="00E778FC"/>
    <w:rsid w:val="00E77C68"/>
    <w:rsid w:val="00E77E1A"/>
    <w:rsid w:val="00E77EF4"/>
    <w:rsid w:val="00E801B8"/>
    <w:rsid w:val="00E80455"/>
    <w:rsid w:val="00E80554"/>
    <w:rsid w:val="00E80B79"/>
    <w:rsid w:val="00E80E09"/>
    <w:rsid w:val="00E80FEF"/>
    <w:rsid w:val="00E81093"/>
    <w:rsid w:val="00E8142A"/>
    <w:rsid w:val="00E816DE"/>
    <w:rsid w:val="00E81D4F"/>
    <w:rsid w:val="00E81EEE"/>
    <w:rsid w:val="00E821B7"/>
    <w:rsid w:val="00E82BEE"/>
    <w:rsid w:val="00E832F3"/>
    <w:rsid w:val="00E83446"/>
    <w:rsid w:val="00E83487"/>
    <w:rsid w:val="00E83AB6"/>
    <w:rsid w:val="00E83EC4"/>
    <w:rsid w:val="00E83F26"/>
    <w:rsid w:val="00E840BF"/>
    <w:rsid w:val="00E84986"/>
    <w:rsid w:val="00E849D6"/>
    <w:rsid w:val="00E85158"/>
    <w:rsid w:val="00E85EFA"/>
    <w:rsid w:val="00E863E5"/>
    <w:rsid w:val="00E8652E"/>
    <w:rsid w:val="00E86DA9"/>
    <w:rsid w:val="00E86DDE"/>
    <w:rsid w:val="00E870FC"/>
    <w:rsid w:val="00E872AE"/>
    <w:rsid w:val="00E875BC"/>
    <w:rsid w:val="00E877CD"/>
    <w:rsid w:val="00E87C77"/>
    <w:rsid w:val="00E90391"/>
    <w:rsid w:val="00E905EB"/>
    <w:rsid w:val="00E90D3E"/>
    <w:rsid w:val="00E90DB6"/>
    <w:rsid w:val="00E90ED9"/>
    <w:rsid w:val="00E910D5"/>
    <w:rsid w:val="00E914DE"/>
    <w:rsid w:val="00E919C0"/>
    <w:rsid w:val="00E91CC5"/>
    <w:rsid w:val="00E91E7E"/>
    <w:rsid w:val="00E91FD5"/>
    <w:rsid w:val="00E92687"/>
    <w:rsid w:val="00E929CB"/>
    <w:rsid w:val="00E9344B"/>
    <w:rsid w:val="00E934BA"/>
    <w:rsid w:val="00E934EA"/>
    <w:rsid w:val="00E934F4"/>
    <w:rsid w:val="00E93E6C"/>
    <w:rsid w:val="00E94278"/>
    <w:rsid w:val="00E94289"/>
    <w:rsid w:val="00E943E2"/>
    <w:rsid w:val="00E949D2"/>
    <w:rsid w:val="00E94B13"/>
    <w:rsid w:val="00E94C59"/>
    <w:rsid w:val="00E9510E"/>
    <w:rsid w:val="00E952E3"/>
    <w:rsid w:val="00E95862"/>
    <w:rsid w:val="00E958BD"/>
    <w:rsid w:val="00E95A78"/>
    <w:rsid w:val="00E963B9"/>
    <w:rsid w:val="00E96AAE"/>
    <w:rsid w:val="00E9705A"/>
    <w:rsid w:val="00E97117"/>
    <w:rsid w:val="00E97841"/>
    <w:rsid w:val="00E97B14"/>
    <w:rsid w:val="00EA041A"/>
    <w:rsid w:val="00EA05B3"/>
    <w:rsid w:val="00EA06E6"/>
    <w:rsid w:val="00EA0734"/>
    <w:rsid w:val="00EA07C4"/>
    <w:rsid w:val="00EA0AF1"/>
    <w:rsid w:val="00EA1058"/>
    <w:rsid w:val="00EA1473"/>
    <w:rsid w:val="00EA1567"/>
    <w:rsid w:val="00EA1775"/>
    <w:rsid w:val="00EA1CBD"/>
    <w:rsid w:val="00EA1DA0"/>
    <w:rsid w:val="00EA2195"/>
    <w:rsid w:val="00EA21A7"/>
    <w:rsid w:val="00EA2200"/>
    <w:rsid w:val="00EA23A8"/>
    <w:rsid w:val="00EA2437"/>
    <w:rsid w:val="00EA2807"/>
    <w:rsid w:val="00EA2C68"/>
    <w:rsid w:val="00EA2D5D"/>
    <w:rsid w:val="00EA3FF9"/>
    <w:rsid w:val="00EA4249"/>
    <w:rsid w:val="00EA4252"/>
    <w:rsid w:val="00EA44A3"/>
    <w:rsid w:val="00EA462A"/>
    <w:rsid w:val="00EA4688"/>
    <w:rsid w:val="00EA52FA"/>
    <w:rsid w:val="00EA568C"/>
    <w:rsid w:val="00EA5C05"/>
    <w:rsid w:val="00EA5ED0"/>
    <w:rsid w:val="00EA60FE"/>
    <w:rsid w:val="00EA65D5"/>
    <w:rsid w:val="00EA66CF"/>
    <w:rsid w:val="00EA6E10"/>
    <w:rsid w:val="00EA6EFD"/>
    <w:rsid w:val="00EA70F8"/>
    <w:rsid w:val="00EA755F"/>
    <w:rsid w:val="00EA7F9F"/>
    <w:rsid w:val="00EB01D8"/>
    <w:rsid w:val="00EB0759"/>
    <w:rsid w:val="00EB07EB"/>
    <w:rsid w:val="00EB080E"/>
    <w:rsid w:val="00EB0AE2"/>
    <w:rsid w:val="00EB0AF0"/>
    <w:rsid w:val="00EB0F0D"/>
    <w:rsid w:val="00EB0F55"/>
    <w:rsid w:val="00EB1158"/>
    <w:rsid w:val="00EB1280"/>
    <w:rsid w:val="00EB1300"/>
    <w:rsid w:val="00EB1406"/>
    <w:rsid w:val="00EB1543"/>
    <w:rsid w:val="00EB1D64"/>
    <w:rsid w:val="00EB212E"/>
    <w:rsid w:val="00EB23FD"/>
    <w:rsid w:val="00EB2487"/>
    <w:rsid w:val="00EB24C3"/>
    <w:rsid w:val="00EB24C9"/>
    <w:rsid w:val="00EB256D"/>
    <w:rsid w:val="00EB2E96"/>
    <w:rsid w:val="00EB2EE7"/>
    <w:rsid w:val="00EB2FD6"/>
    <w:rsid w:val="00EB3361"/>
    <w:rsid w:val="00EB33B1"/>
    <w:rsid w:val="00EB3412"/>
    <w:rsid w:val="00EB3E49"/>
    <w:rsid w:val="00EB49A1"/>
    <w:rsid w:val="00EB4B2B"/>
    <w:rsid w:val="00EB4B92"/>
    <w:rsid w:val="00EB4C11"/>
    <w:rsid w:val="00EB566E"/>
    <w:rsid w:val="00EB5EDE"/>
    <w:rsid w:val="00EB63AE"/>
    <w:rsid w:val="00EB6568"/>
    <w:rsid w:val="00EB65E0"/>
    <w:rsid w:val="00EB65EF"/>
    <w:rsid w:val="00EB6B11"/>
    <w:rsid w:val="00EB6B3E"/>
    <w:rsid w:val="00EB6F4E"/>
    <w:rsid w:val="00EB6F55"/>
    <w:rsid w:val="00EB7384"/>
    <w:rsid w:val="00EB79D7"/>
    <w:rsid w:val="00EB7F3B"/>
    <w:rsid w:val="00EC0360"/>
    <w:rsid w:val="00EC09DB"/>
    <w:rsid w:val="00EC0E3F"/>
    <w:rsid w:val="00EC0E42"/>
    <w:rsid w:val="00EC0FD2"/>
    <w:rsid w:val="00EC1100"/>
    <w:rsid w:val="00EC1408"/>
    <w:rsid w:val="00EC140B"/>
    <w:rsid w:val="00EC1459"/>
    <w:rsid w:val="00EC165A"/>
    <w:rsid w:val="00EC1676"/>
    <w:rsid w:val="00EC18DF"/>
    <w:rsid w:val="00EC19C8"/>
    <w:rsid w:val="00EC2388"/>
    <w:rsid w:val="00EC26A5"/>
    <w:rsid w:val="00EC270C"/>
    <w:rsid w:val="00EC27B9"/>
    <w:rsid w:val="00EC298E"/>
    <w:rsid w:val="00EC29F1"/>
    <w:rsid w:val="00EC2F45"/>
    <w:rsid w:val="00EC31FB"/>
    <w:rsid w:val="00EC3701"/>
    <w:rsid w:val="00EC39F5"/>
    <w:rsid w:val="00EC3C08"/>
    <w:rsid w:val="00EC426B"/>
    <w:rsid w:val="00EC47BB"/>
    <w:rsid w:val="00EC48CA"/>
    <w:rsid w:val="00EC4ECC"/>
    <w:rsid w:val="00EC4FB7"/>
    <w:rsid w:val="00EC55B4"/>
    <w:rsid w:val="00EC5C2D"/>
    <w:rsid w:val="00EC5D8A"/>
    <w:rsid w:val="00EC5DA5"/>
    <w:rsid w:val="00EC5E30"/>
    <w:rsid w:val="00EC5EE2"/>
    <w:rsid w:val="00EC621C"/>
    <w:rsid w:val="00EC627C"/>
    <w:rsid w:val="00EC662B"/>
    <w:rsid w:val="00EC6679"/>
    <w:rsid w:val="00EC66E6"/>
    <w:rsid w:val="00EC71EE"/>
    <w:rsid w:val="00EC75A7"/>
    <w:rsid w:val="00EC79F9"/>
    <w:rsid w:val="00EC7AB6"/>
    <w:rsid w:val="00EC7C19"/>
    <w:rsid w:val="00ED0027"/>
    <w:rsid w:val="00ED0D51"/>
    <w:rsid w:val="00ED0D59"/>
    <w:rsid w:val="00ED1203"/>
    <w:rsid w:val="00ED17C0"/>
    <w:rsid w:val="00ED18C0"/>
    <w:rsid w:val="00ED1B3C"/>
    <w:rsid w:val="00ED1E31"/>
    <w:rsid w:val="00ED1ED3"/>
    <w:rsid w:val="00ED1FE8"/>
    <w:rsid w:val="00ED2438"/>
    <w:rsid w:val="00ED24C0"/>
    <w:rsid w:val="00ED25A2"/>
    <w:rsid w:val="00ED2E34"/>
    <w:rsid w:val="00ED300D"/>
    <w:rsid w:val="00ED3238"/>
    <w:rsid w:val="00ED35ED"/>
    <w:rsid w:val="00ED36E2"/>
    <w:rsid w:val="00ED3C0D"/>
    <w:rsid w:val="00ED3DFB"/>
    <w:rsid w:val="00ED4017"/>
    <w:rsid w:val="00ED40F1"/>
    <w:rsid w:val="00ED423D"/>
    <w:rsid w:val="00ED4348"/>
    <w:rsid w:val="00ED4593"/>
    <w:rsid w:val="00ED4CFF"/>
    <w:rsid w:val="00ED4EA1"/>
    <w:rsid w:val="00ED5016"/>
    <w:rsid w:val="00ED5184"/>
    <w:rsid w:val="00ED5367"/>
    <w:rsid w:val="00ED54B9"/>
    <w:rsid w:val="00ED59B9"/>
    <w:rsid w:val="00ED5BE9"/>
    <w:rsid w:val="00ED5ED8"/>
    <w:rsid w:val="00ED5F48"/>
    <w:rsid w:val="00ED605A"/>
    <w:rsid w:val="00ED64B9"/>
    <w:rsid w:val="00ED652E"/>
    <w:rsid w:val="00ED69E2"/>
    <w:rsid w:val="00ED6A3C"/>
    <w:rsid w:val="00ED6C95"/>
    <w:rsid w:val="00ED6CC3"/>
    <w:rsid w:val="00ED6F61"/>
    <w:rsid w:val="00ED70F2"/>
    <w:rsid w:val="00ED70FE"/>
    <w:rsid w:val="00ED79D2"/>
    <w:rsid w:val="00ED7F57"/>
    <w:rsid w:val="00EE04F1"/>
    <w:rsid w:val="00EE0847"/>
    <w:rsid w:val="00EE09FF"/>
    <w:rsid w:val="00EE10FC"/>
    <w:rsid w:val="00EE1E7D"/>
    <w:rsid w:val="00EE218B"/>
    <w:rsid w:val="00EE22E8"/>
    <w:rsid w:val="00EE2B8A"/>
    <w:rsid w:val="00EE2C0F"/>
    <w:rsid w:val="00EE30D3"/>
    <w:rsid w:val="00EE33EE"/>
    <w:rsid w:val="00EE35A7"/>
    <w:rsid w:val="00EE37C2"/>
    <w:rsid w:val="00EE37E8"/>
    <w:rsid w:val="00EE3B15"/>
    <w:rsid w:val="00EE3FEE"/>
    <w:rsid w:val="00EE407B"/>
    <w:rsid w:val="00EE4111"/>
    <w:rsid w:val="00EE4376"/>
    <w:rsid w:val="00EE49D1"/>
    <w:rsid w:val="00EE4CE1"/>
    <w:rsid w:val="00EE4E0C"/>
    <w:rsid w:val="00EE523A"/>
    <w:rsid w:val="00EE5282"/>
    <w:rsid w:val="00EE53BE"/>
    <w:rsid w:val="00EE57B8"/>
    <w:rsid w:val="00EE5ACD"/>
    <w:rsid w:val="00EE5C70"/>
    <w:rsid w:val="00EE5C80"/>
    <w:rsid w:val="00EE5E12"/>
    <w:rsid w:val="00EE65E9"/>
    <w:rsid w:val="00EE68BF"/>
    <w:rsid w:val="00EE6AB0"/>
    <w:rsid w:val="00EE6E68"/>
    <w:rsid w:val="00EE73A6"/>
    <w:rsid w:val="00EE7B61"/>
    <w:rsid w:val="00EE7F01"/>
    <w:rsid w:val="00EF0216"/>
    <w:rsid w:val="00EF0313"/>
    <w:rsid w:val="00EF04CF"/>
    <w:rsid w:val="00EF06B0"/>
    <w:rsid w:val="00EF098A"/>
    <w:rsid w:val="00EF09E1"/>
    <w:rsid w:val="00EF0A63"/>
    <w:rsid w:val="00EF0FD9"/>
    <w:rsid w:val="00EF113D"/>
    <w:rsid w:val="00EF128E"/>
    <w:rsid w:val="00EF1489"/>
    <w:rsid w:val="00EF18C3"/>
    <w:rsid w:val="00EF1922"/>
    <w:rsid w:val="00EF2083"/>
    <w:rsid w:val="00EF250C"/>
    <w:rsid w:val="00EF253B"/>
    <w:rsid w:val="00EF26CA"/>
    <w:rsid w:val="00EF285F"/>
    <w:rsid w:val="00EF29EA"/>
    <w:rsid w:val="00EF2F7B"/>
    <w:rsid w:val="00EF2FB4"/>
    <w:rsid w:val="00EF38AB"/>
    <w:rsid w:val="00EF3B4A"/>
    <w:rsid w:val="00EF3E6C"/>
    <w:rsid w:val="00EF414E"/>
    <w:rsid w:val="00EF5063"/>
    <w:rsid w:val="00EF5290"/>
    <w:rsid w:val="00EF52F9"/>
    <w:rsid w:val="00EF54C3"/>
    <w:rsid w:val="00EF554E"/>
    <w:rsid w:val="00EF55CA"/>
    <w:rsid w:val="00EF5DE4"/>
    <w:rsid w:val="00EF5EEB"/>
    <w:rsid w:val="00EF61B8"/>
    <w:rsid w:val="00EF61D1"/>
    <w:rsid w:val="00EF6694"/>
    <w:rsid w:val="00EF7108"/>
    <w:rsid w:val="00EF7205"/>
    <w:rsid w:val="00EF72A3"/>
    <w:rsid w:val="00EF7A4E"/>
    <w:rsid w:val="00F0016B"/>
    <w:rsid w:val="00F004ED"/>
    <w:rsid w:val="00F00A69"/>
    <w:rsid w:val="00F00B77"/>
    <w:rsid w:val="00F017AF"/>
    <w:rsid w:val="00F01EC6"/>
    <w:rsid w:val="00F02934"/>
    <w:rsid w:val="00F02EDC"/>
    <w:rsid w:val="00F030ED"/>
    <w:rsid w:val="00F036AE"/>
    <w:rsid w:val="00F03F9F"/>
    <w:rsid w:val="00F046D3"/>
    <w:rsid w:val="00F0485F"/>
    <w:rsid w:val="00F04DB9"/>
    <w:rsid w:val="00F04E28"/>
    <w:rsid w:val="00F0514E"/>
    <w:rsid w:val="00F05437"/>
    <w:rsid w:val="00F05C7C"/>
    <w:rsid w:val="00F05F60"/>
    <w:rsid w:val="00F064A8"/>
    <w:rsid w:val="00F06E98"/>
    <w:rsid w:val="00F076E1"/>
    <w:rsid w:val="00F0796D"/>
    <w:rsid w:val="00F07FAB"/>
    <w:rsid w:val="00F100E0"/>
    <w:rsid w:val="00F10320"/>
    <w:rsid w:val="00F10517"/>
    <w:rsid w:val="00F1089A"/>
    <w:rsid w:val="00F1090D"/>
    <w:rsid w:val="00F10E00"/>
    <w:rsid w:val="00F111B4"/>
    <w:rsid w:val="00F1170A"/>
    <w:rsid w:val="00F1193D"/>
    <w:rsid w:val="00F11BCE"/>
    <w:rsid w:val="00F11DF6"/>
    <w:rsid w:val="00F1222B"/>
    <w:rsid w:val="00F128D0"/>
    <w:rsid w:val="00F12D76"/>
    <w:rsid w:val="00F138DD"/>
    <w:rsid w:val="00F138EB"/>
    <w:rsid w:val="00F13F4C"/>
    <w:rsid w:val="00F14712"/>
    <w:rsid w:val="00F1498E"/>
    <w:rsid w:val="00F14A77"/>
    <w:rsid w:val="00F14CFF"/>
    <w:rsid w:val="00F14EE7"/>
    <w:rsid w:val="00F15234"/>
    <w:rsid w:val="00F15476"/>
    <w:rsid w:val="00F15850"/>
    <w:rsid w:val="00F15952"/>
    <w:rsid w:val="00F15C0C"/>
    <w:rsid w:val="00F15C86"/>
    <w:rsid w:val="00F160AF"/>
    <w:rsid w:val="00F1669C"/>
    <w:rsid w:val="00F16C89"/>
    <w:rsid w:val="00F16ED0"/>
    <w:rsid w:val="00F172C9"/>
    <w:rsid w:val="00F177E8"/>
    <w:rsid w:val="00F20549"/>
    <w:rsid w:val="00F20697"/>
    <w:rsid w:val="00F20CEF"/>
    <w:rsid w:val="00F211C7"/>
    <w:rsid w:val="00F2146D"/>
    <w:rsid w:val="00F2149D"/>
    <w:rsid w:val="00F218F5"/>
    <w:rsid w:val="00F21A96"/>
    <w:rsid w:val="00F21B24"/>
    <w:rsid w:val="00F21C51"/>
    <w:rsid w:val="00F21F28"/>
    <w:rsid w:val="00F21F6E"/>
    <w:rsid w:val="00F2207D"/>
    <w:rsid w:val="00F22486"/>
    <w:rsid w:val="00F2334E"/>
    <w:rsid w:val="00F23E55"/>
    <w:rsid w:val="00F23E7A"/>
    <w:rsid w:val="00F23F99"/>
    <w:rsid w:val="00F24012"/>
    <w:rsid w:val="00F24058"/>
    <w:rsid w:val="00F24074"/>
    <w:rsid w:val="00F244D4"/>
    <w:rsid w:val="00F24929"/>
    <w:rsid w:val="00F24B29"/>
    <w:rsid w:val="00F24D6F"/>
    <w:rsid w:val="00F24D9F"/>
    <w:rsid w:val="00F24F6F"/>
    <w:rsid w:val="00F25163"/>
    <w:rsid w:val="00F2575D"/>
    <w:rsid w:val="00F2586C"/>
    <w:rsid w:val="00F2599E"/>
    <w:rsid w:val="00F25A49"/>
    <w:rsid w:val="00F25AC1"/>
    <w:rsid w:val="00F26096"/>
    <w:rsid w:val="00F2620A"/>
    <w:rsid w:val="00F266E4"/>
    <w:rsid w:val="00F26985"/>
    <w:rsid w:val="00F26FCD"/>
    <w:rsid w:val="00F2703D"/>
    <w:rsid w:val="00F27222"/>
    <w:rsid w:val="00F2744E"/>
    <w:rsid w:val="00F2759E"/>
    <w:rsid w:val="00F2785E"/>
    <w:rsid w:val="00F27C32"/>
    <w:rsid w:val="00F27FD3"/>
    <w:rsid w:val="00F301AA"/>
    <w:rsid w:val="00F30365"/>
    <w:rsid w:val="00F3094B"/>
    <w:rsid w:val="00F30953"/>
    <w:rsid w:val="00F30B1E"/>
    <w:rsid w:val="00F30CA2"/>
    <w:rsid w:val="00F30CBE"/>
    <w:rsid w:val="00F30F06"/>
    <w:rsid w:val="00F310A2"/>
    <w:rsid w:val="00F311FD"/>
    <w:rsid w:val="00F313E1"/>
    <w:rsid w:val="00F31A5B"/>
    <w:rsid w:val="00F328E1"/>
    <w:rsid w:val="00F32922"/>
    <w:rsid w:val="00F330FC"/>
    <w:rsid w:val="00F33342"/>
    <w:rsid w:val="00F333B1"/>
    <w:rsid w:val="00F33908"/>
    <w:rsid w:val="00F33B9C"/>
    <w:rsid w:val="00F33F47"/>
    <w:rsid w:val="00F33FEA"/>
    <w:rsid w:val="00F34892"/>
    <w:rsid w:val="00F34A0D"/>
    <w:rsid w:val="00F3502B"/>
    <w:rsid w:val="00F353F6"/>
    <w:rsid w:val="00F35488"/>
    <w:rsid w:val="00F356DC"/>
    <w:rsid w:val="00F36102"/>
    <w:rsid w:val="00F36250"/>
    <w:rsid w:val="00F36283"/>
    <w:rsid w:val="00F368A8"/>
    <w:rsid w:val="00F36D98"/>
    <w:rsid w:val="00F3783D"/>
    <w:rsid w:val="00F37ACE"/>
    <w:rsid w:val="00F4040E"/>
    <w:rsid w:val="00F407B9"/>
    <w:rsid w:val="00F4092F"/>
    <w:rsid w:val="00F409A7"/>
    <w:rsid w:val="00F40A88"/>
    <w:rsid w:val="00F40B66"/>
    <w:rsid w:val="00F40FB5"/>
    <w:rsid w:val="00F40FDE"/>
    <w:rsid w:val="00F414C3"/>
    <w:rsid w:val="00F4259B"/>
    <w:rsid w:val="00F42834"/>
    <w:rsid w:val="00F4365A"/>
    <w:rsid w:val="00F43930"/>
    <w:rsid w:val="00F43950"/>
    <w:rsid w:val="00F43974"/>
    <w:rsid w:val="00F442DB"/>
    <w:rsid w:val="00F44551"/>
    <w:rsid w:val="00F44656"/>
    <w:rsid w:val="00F4479D"/>
    <w:rsid w:val="00F44CEE"/>
    <w:rsid w:val="00F44D63"/>
    <w:rsid w:val="00F44FC9"/>
    <w:rsid w:val="00F4523E"/>
    <w:rsid w:val="00F45356"/>
    <w:rsid w:val="00F45545"/>
    <w:rsid w:val="00F45DDD"/>
    <w:rsid w:val="00F45F5D"/>
    <w:rsid w:val="00F46199"/>
    <w:rsid w:val="00F4632E"/>
    <w:rsid w:val="00F464F6"/>
    <w:rsid w:val="00F4670D"/>
    <w:rsid w:val="00F46D9B"/>
    <w:rsid w:val="00F47469"/>
    <w:rsid w:val="00F47951"/>
    <w:rsid w:val="00F47EF3"/>
    <w:rsid w:val="00F50621"/>
    <w:rsid w:val="00F5088E"/>
    <w:rsid w:val="00F51054"/>
    <w:rsid w:val="00F511EB"/>
    <w:rsid w:val="00F5171E"/>
    <w:rsid w:val="00F517F8"/>
    <w:rsid w:val="00F51B10"/>
    <w:rsid w:val="00F522B7"/>
    <w:rsid w:val="00F52AF6"/>
    <w:rsid w:val="00F53379"/>
    <w:rsid w:val="00F533A0"/>
    <w:rsid w:val="00F534B2"/>
    <w:rsid w:val="00F5355A"/>
    <w:rsid w:val="00F535FC"/>
    <w:rsid w:val="00F53958"/>
    <w:rsid w:val="00F54370"/>
    <w:rsid w:val="00F5462B"/>
    <w:rsid w:val="00F546A5"/>
    <w:rsid w:val="00F5563D"/>
    <w:rsid w:val="00F559E1"/>
    <w:rsid w:val="00F55B7B"/>
    <w:rsid w:val="00F56196"/>
    <w:rsid w:val="00F5633C"/>
    <w:rsid w:val="00F566FE"/>
    <w:rsid w:val="00F56942"/>
    <w:rsid w:val="00F56A5D"/>
    <w:rsid w:val="00F56BA7"/>
    <w:rsid w:val="00F57427"/>
    <w:rsid w:val="00F60EA7"/>
    <w:rsid w:val="00F61D53"/>
    <w:rsid w:val="00F623AB"/>
    <w:rsid w:val="00F6245E"/>
    <w:rsid w:val="00F62EEB"/>
    <w:rsid w:val="00F630C4"/>
    <w:rsid w:val="00F631AA"/>
    <w:rsid w:val="00F63559"/>
    <w:rsid w:val="00F63637"/>
    <w:rsid w:val="00F63C8B"/>
    <w:rsid w:val="00F63E78"/>
    <w:rsid w:val="00F6463A"/>
    <w:rsid w:val="00F647B0"/>
    <w:rsid w:val="00F64B4E"/>
    <w:rsid w:val="00F654B1"/>
    <w:rsid w:val="00F65542"/>
    <w:rsid w:val="00F6602A"/>
    <w:rsid w:val="00F6614B"/>
    <w:rsid w:val="00F66E22"/>
    <w:rsid w:val="00F670C8"/>
    <w:rsid w:val="00F67377"/>
    <w:rsid w:val="00F67658"/>
    <w:rsid w:val="00F676A7"/>
    <w:rsid w:val="00F67B00"/>
    <w:rsid w:val="00F703CB"/>
    <w:rsid w:val="00F70C5C"/>
    <w:rsid w:val="00F70D81"/>
    <w:rsid w:val="00F70E37"/>
    <w:rsid w:val="00F70E93"/>
    <w:rsid w:val="00F70EBD"/>
    <w:rsid w:val="00F70FE9"/>
    <w:rsid w:val="00F71364"/>
    <w:rsid w:val="00F7144C"/>
    <w:rsid w:val="00F71931"/>
    <w:rsid w:val="00F71937"/>
    <w:rsid w:val="00F72221"/>
    <w:rsid w:val="00F72326"/>
    <w:rsid w:val="00F72982"/>
    <w:rsid w:val="00F729E0"/>
    <w:rsid w:val="00F729F7"/>
    <w:rsid w:val="00F74181"/>
    <w:rsid w:val="00F7440D"/>
    <w:rsid w:val="00F749C8"/>
    <w:rsid w:val="00F756B5"/>
    <w:rsid w:val="00F756F0"/>
    <w:rsid w:val="00F759CF"/>
    <w:rsid w:val="00F75F4C"/>
    <w:rsid w:val="00F768E4"/>
    <w:rsid w:val="00F7694E"/>
    <w:rsid w:val="00F775AB"/>
    <w:rsid w:val="00F779C2"/>
    <w:rsid w:val="00F77A67"/>
    <w:rsid w:val="00F77BD4"/>
    <w:rsid w:val="00F8001B"/>
    <w:rsid w:val="00F80057"/>
    <w:rsid w:val="00F8021D"/>
    <w:rsid w:val="00F80343"/>
    <w:rsid w:val="00F80B65"/>
    <w:rsid w:val="00F80B84"/>
    <w:rsid w:val="00F80CC6"/>
    <w:rsid w:val="00F80DF0"/>
    <w:rsid w:val="00F816A3"/>
    <w:rsid w:val="00F8195B"/>
    <w:rsid w:val="00F81A6C"/>
    <w:rsid w:val="00F81B28"/>
    <w:rsid w:val="00F81BB4"/>
    <w:rsid w:val="00F81FDD"/>
    <w:rsid w:val="00F820B8"/>
    <w:rsid w:val="00F8255E"/>
    <w:rsid w:val="00F82561"/>
    <w:rsid w:val="00F82660"/>
    <w:rsid w:val="00F83203"/>
    <w:rsid w:val="00F83300"/>
    <w:rsid w:val="00F83C9A"/>
    <w:rsid w:val="00F84141"/>
    <w:rsid w:val="00F84180"/>
    <w:rsid w:val="00F847C2"/>
    <w:rsid w:val="00F848A3"/>
    <w:rsid w:val="00F84ED5"/>
    <w:rsid w:val="00F8501B"/>
    <w:rsid w:val="00F85120"/>
    <w:rsid w:val="00F8517E"/>
    <w:rsid w:val="00F853AB"/>
    <w:rsid w:val="00F85450"/>
    <w:rsid w:val="00F857F0"/>
    <w:rsid w:val="00F85D02"/>
    <w:rsid w:val="00F85E99"/>
    <w:rsid w:val="00F8635A"/>
    <w:rsid w:val="00F86574"/>
    <w:rsid w:val="00F866D3"/>
    <w:rsid w:val="00F87115"/>
    <w:rsid w:val="00F87792"/>
    <w:rsid w:val="00F90340"/>
    <w:rsid w:val="00F904F4"/>
    <w:rsid w:val="00F90596"/>
    <w:rsid w:val="00F905BB"/>
    <w:rsid w:val="00F907EF"/>
    <w:rsid w:val="00F90E15"/>
    <w:rsid w:val="00F90E8B"/>
    <w:rsid w:val="00F91311"/>
    <w:rsid w:val="00F91423"/>
    <w:rsid w:val="00F9156E"/>
    <w:rsid w:val="00F91753"/>
    <w:rsid w:val="00F91B11"/>
    <w:rsid w:val="00F91E0D"/>
    <w:rsid w:val="00F922C0"/>
    <w:rsid w:val="00F925CA"/>
    <w:rsid w:val="00F9262B"/>
    <w:rsid w:val="00F92660"/>
    <w:rsid w:val="00F92685"/>
    <w:rsid w:val="00F9290C"/>
    <w:rsid w:val="00F92C01"/>
    <w:rsid w:val="00F92CBA"/>
    <w:rsid w:val="00F930CE"/>
    <w:rsid w:val="00F93404"/>
    <w:rsid w:val="00F934A0"/>
    <w:rsid w:val="00F93A5A"/>
    <w:rsid w:val="00F93E1F"/>
    <w:rsid w:val="00F940B7"/>
    <w:rsid w:val="00F94555"/>
    <w:rsid w:val="00F9467F"/>
    <w:rsid w:val="00F94975"/>
    <w:rsid w:val="00F94C92"/>
    <w:rsid w:val="00F94FCA"/>
    <w:rsid w:val="00F94FF5"/>
    <w:rsid w:val="00F952FA"/>
    <w:rsid w:val="00F95A07"/>
    <w:rsid w:val="00F95B21"/>
    <w:rsid w:val="00F95BF1"/>
    <w:rsid w:val="00F95D00"/>
    <w:rsid w:val="00F967B1"/>
    <w:rsid w:val="00F96AC8"/>
    <w:rsid w:val="00F96F86"/>
    <w:rsid w:val="00F972E4"/>
    <w:rsid w:val="00F976A4"/>
    <w:rsid w:val="00F97C9D"/>
    <w:rsid w:val="00FA0083"/>
    <w:rsid w:val="00FA0A7A"/>
    <w:rsid w:val="00FA0D9C"/>
    <w:rsid w:val="00FA1156"/>
    <w:rsid w:val="00FA1274"/>
    <w:rsid w:val="00FA14BB"/>
    <w:rsid w:val="00FA14CF"/>
    <w:rsid w:val="00FA1BEB"/>
    <w:rsid w:val="00FA222A"/>
    <w:rsid w:val="00FA24B1"/>
    <w:rsid w:val="00FA2937"/>
    <w:rsid w:val="00FA2960"/>
    <w:rsid w:val="00FA2BE9"/>
    <w:rsid w:val="00FA2D90"/>
    <w:rsid w:val="00FA2FCB"/>
    <w:rsid w:val="00FA3285"/>
    <w:rsid w:val="00FA32ED"/>
    <w:rsid w:val="00FA34B8"/>
    <w:rsid w:val="00FA354A"/>
    <w:rsid w:val="00FA36A7"/>
    <w:rsid w:val="00FA3718"/>
    <w:rsid w:val="00FA37BF"/>
    <w:rsid w:val="00FA4218"/>
    <w:rsid w:val="00FA422C"/>
    <w:rsid w:val="00FA425B"/>
    <w:rsid w:val="00FA4296"/>
    <w:rsid w:val="00FA4495"/>
    <w:rsid w:val="00FA4F95"/>
    <w:rsid w:val="00FA571A"/>
    <w:rsid w:val="00FA5851"/>
    <w:rsid w:val="00FA5D63"/>
    <w:rsid w:val="00FA614A"/>
    <w:rsid w:val="00FA62CB"/>
    <w:rsid w:val="00FA663F"/>
    <w:rsid w:val="00FA6B37"/>
    <w:rsid w:val="00FA6E52"/>
    <w:rsid w:val="00FA6E66"/>
    <w:rsid w:val="00FA7078"/>
    <w:rsid w:val="00FA72AC"/>
    <w:rsid w:val="00FA759F"/>
    <w:rsid w:val="00FA788B"/>
    <w:rsid w:val="00FA7BC1"/>
    <w:rsid w:val="00FB00B4"/>
    <w:rsid w:val="00FB0367"/>
    <w:rsid w:val="00FB0622"/>
    <w:rsid w:val="00FB0E78"/>
    <w:rsid w:val="00FB10D4"/>
    <w:rsid w:val="00FB11D1"/>
    <w:rsid w:val="00FB11FA"/>
    <w:rsid w:val="00FB1230"/>
    <w:rsid w:val="00FB18E2"/>
    <w:rsid w:val="00FB1B5D"/>
    <w:rsid w:val="00FB2566"/>
    <w:rsid w:val="00FB2AFD"/>
    <w:rsid w:val="00FB2B46"/>
    <w:rsid w:val="00FB2CEE"/>
    <w:rsid w:val="00FB2E77"/>
    <w:rsid w:val="00FB2F42"/>
    <w:rsid w:val="00FB357B"/>
    <w:rsid w:val="00FB3660"/>
    <w:rsid w:val="00FB3C10"/>
    <w:rsid w:val="00FB4290"/>
    <w:rsid w:val="00FB42EF"/>
    <w:rsid w:val="00FB43D5"/>
    <w:rsid w:val="00FB49F2"/>
    <w:rsid w:val="00FB529D"/>
    <w:rsid w:val="00FB5C19"/>
    <w:rsid w:val="00FB6331"/>
    <w:rsid w:val="00FB6791"/>
    <w:rsid w:val="00FB6923"/>
    <w:rsid w:val="00FB6CC9"/>
    <w:rsid w:val="00FB6E3E"/>
    <w:rsid w:val="00FB6EA2"/>
    <w:rsid w:val="00FB70DC"/>
    <w:rsid w:val="00FB7479"/>
    <w:rsid w:val="00FB776D"/>
    <w:rsid w:val="00FC013A"/>
    <w:rsid w:val="00FC0342"/>
    <w:rsid w:val="00FC052C"/>
    <w:rsid w:val="00FC0555"/>
    <w:rsid w:val="00FC0B67"/>
    <w:rsid w:val="00FC0C6C"/>
    <w:rsid w:val="00FC0CF6"/>
    <w:rsid w:val="00FC191C"/>
    <w:rsid w:val="00FC1B00"/>
    <w:rsid w:val="00FC2923"/>
    <w:rsid w:val="00FC293F"/>
    <w:rsid w:val="00FC2A61"/>
    <w:rsid w:val="00FC2BD0"/>
    <w:rsid w:val="00FC2CD8"/>
    <w:rsid w:val="00FC3D76"/>
    <w:rsid w:val="00FC3FC6"/>
    <w:rsid w:val="00FC401F"/>
    <w:rsid w:val="00FC445F"/>
    <w:rsid w:val="00FC4C33"/>
    <w:rsid w:val="00FC54A2"/>
    <w:rsid w:val="00FC58F9"/>
    <w:rsid w:val="00FC59FA"/>
    <w:rsid w:val="00FC5A8D"/>
    <w:rsid w:val="00FC5B82"/>
    <w:rsid w:val="00FC5CE4"/>
    <w:rsid w:val="00FC5E4F"/>
    <w:rsid w:val="00FC612B"/>
    <w:rsid w:val="00FC664F"/>
    <w:rsid w:val="00FC6DA1"/>
    <w:rsid w:val="00FC6DAD"/>
    <w:rsid w:val="00FC6EDB"/>
    <w:rsid w:val="00FC787B"/>
    <w:rsid w:val="00FC7E43"/>
    <w:rsid w:val="00FD0336"/>
    <w:rsid w:val="00FD0549"/>
    <w:rsid w:val="00FD0858"/>
    <w:rsid w:val="00FD0A63"/>
    <w:rsid w:val="00FD0DC8"/>
    <w:rsid w:val="00FD1348"/>
    <w:rsid w:val="00FD1393"/>
    <w:rsid w:val="00FD14ED"/>
    <w:rsid w:val="00FD1917"/>
    <w:rsid w:val="00FD1F61"/>
    <w:rsid w:val="00FD1FB5"/>
    <w:rsid w:val="00FD2212"/>
    <w:rsid w:val="00FD25C6"/>
    <w:rsid w:val="00FD2F62"/>
    <w:rsid w:val="00FD3DCA"/>
    <w:rsid w:val="00FD3ED7"/>
    <w:rsid w:val="00FD4114"/>
    <w:rsid w:val="00FD4298"/>
    <w:rsid w:val="00FD43F0"/>
    <w:rsid w:val="00FD47DF"/>
    <w:rsid w:val="00FD4C71"/>
    <w:rsid w:val="00FD4D65"/>
    <w:rsid w:val="00FD4E7F"/>
    <w:rsid w:val="00FD5146"/>
    <w:rsid w:val="00FD56CC"/>
    <w:rsid w:val="00FD5DDB"/>
    <w:rsid w:val="00FD6195"/>
    <w:rsid w:val="00FD61BF"/>
    <w:rsid w:val="00FD684E"/>
    <w:rsid w:val="00FD6A88"/>
    <w:rsid w:val="00FD6C3C"/>
    <w:rsid w:val="00FD7382"/>
    <w:rsid w:val="00FD7521"/>
    <w:rsid w:val="00FD7A90"/>
    <w:rsid w:val="00FD7EDF"/>
    <w:rsid w:val="00FE0177"/>
    <w:rsid w:val="00FE0A1B"/>
    <w:rsid w:val="00FE10B6"/>
    <w:rsid w:val="00FE1170"/>
    <w:rsid w:val="00FE16B1"/>
    <w:rsid w:val="00FE17AA"/>
    <w:rsid w:val="00FE192C"/>
    <w:rsid w:val="00FE1BDD"/>
    <w:rsid w:val="00FE21ED"/>
    <w:rsid w:val="00FE224C"/>
    <w:rsid w:val="00FE29BB"/>
    <w:rsid w:val="00FE2A0D"/>
    <w:rsid w:val="00FE2D75"/>
    <w:rsid w:val="00FE3207"/>
    <w:rsid w:val="00FE383E"/>
    <w:rsid w:val="00FE3A17"/>
    <w:rsid w:val="00FE3A1B"/>
    <w:rsid w:val="00FE3ACD"/>
    <w:rsid w:val="00FE3E8C"/>
    <w:rsid w:val="00FE4902"/>
    <w:rsid w:val="00FE4F32"/>
    <w:rsid w:val="00FE5AE9"/>
    <w:rsid w:val="00FE5F0F"/>
    <w:rsid w:val="00FE6073"/>
    <w:rsid w:val="00FE6B71"/>
    <w:rsid w:val="00FE6F5C"/>
    <w:rsid w:val="00FE71CE"/>
    <w:rsid w:val="00FE7312"/>
    <w:rsid w:val="00FE7652"/>
    <w:rsid w:val="00FE79F8"/>
    <w:rsid w:val="00FE7A25"/>
    <w:rsid w:val="00FE7A6B"/>
    <w:rsid w:val="00FE7EA5"/>
    <w:rsid w:val="00FE7F41"/>
    <w:rsid w:val="00FF004B"/>
    <w:rsid w:val="00FF00A7"/>
    <w:rsid w:val="00FF028F"/>
    <w:rsid w:val="00FF0324"/>
    <w:rsid w:val="00FF054D"/>
    <w:rsid w:val="00FF0A63"/>
    <w:rsid w:val="00FF0E00"/>
    <w:rsid w:val="00FF14D0"/>
    <w:rsid w:val="00FF182A"/>
    <w:rsid w:val="00FF18DA"/>
    <w:rsid w:val="00FF2005"/>
    <w:rsid w:val="00FF2394"/>
    <w:rsid w:val="00FF25BC"/>
    <w:rsid w:val="00FF3024"/>
    <w:rsid w:val="00FF327E"/>
    <w:rsid w:val="00FF3542"/>
    <w:rsid w:val="00FF389C"/>
    <w:rsid w:val="00FF434D"/>
    <w:rsid w:val="00FF4442"/>
    <w:rsid w:val="00FF44AF"/>
    <w:rsid w:val="00FF46CE"/>
    <w:rsid w:val="00FF4BB6"/>
    <w:rsid w:val="00FF4BBC"/>
    <w:rsid w:val="00FF4D1C"/>
    <w:rsid w:val="00FF509C"/>
    <w:rsid w:val="00FF529A"/>
    <w:rsid w:val="00FF5341"/>
    <w:rsid w:val="00FF56C1"/>
    <w:rsid w:val="00FF58E1"/>
    <w:rsid w:val="00FF5F5C"/>
    <w:rsid w:val="00FF65AB"/>
    <w:rsid w:val="00FF66F4"/>
    <w:rsid w:val="00FF6C5E"/>
    <w:rsid w:val="00FF6EFB"/>
    <w:rsid w:val="00FF72F8"/>
    <w:rsid w:val="00FF74AF"/>
    <w:rsid w:val="00FF7632"/>
    <w:rsid w:val="00FF7942"/>
    <w:rsid w:val="00FF7DDA"/>
    <w:rsid w:val="00FF7FF5"/>
    <w:rsid w:val="01C285DC"/>
    <w:rsid w:val="028DE711"/>
    <w:rsid w:val="02B7750F"/>
    <w:rsid w:val="039288BB"/>
    <w:rsid w:val="03AD8A6C"/>
    <w:rsid w:val="0715B67A"/>
    <w:rsid w:val="077B9295"/>
    <w:rsid w:val="07E1BDE1"/>
    <w:rsid w:val="082E5B56"/>
    <w:rsid w:val="0853A2F2"/>
    <w:rsid w:val="09287AA5"/>
    <w:rsid w:val="0A9C6C3E"/>
    <w:rsid w:val="0B16F1AF"/>
    <w:rsid w:val="0C7A23B0"/>
    <w:rsid w:val="0C99E31B"/>
    <w:rsid w:val="0CACE00B"/>
    <w:rsid w:val="0CD59E24"/>
    <w:rsid w:val="0CD885D4"/>
    <w:rsid w:val="0CF61607"/>
    <w:rsid w:val="0D43ED2D"/>
    <w:rsid w:val="0E5947D2"/>
    <w:rsid w:val="11230934"/>
    <w:rsid w:val="11CD0AD7"/>
    <w:rsid w:val="13213848"/>
    <w:rsid w:val="136C4DA6"/>
    <w:rsid w:val="138959D5"/>
    <w:rsid w:val="1459E5BA"/>
    <w:rsid w:val="15CFA0CF"/>
    <w:rsid w:val="15DAB258"/>
    <w:rsid w:val="185B73F4"/>
    <w:rsid w:val="1865154F"/>
    <w:rsid w:val="19C73DE7"/>
    <w:rsid w:val="1A2183FB"/>
    <w:rsid w:val="1C2B26E8"/>
    <w:rsid w:val="1D6FD3B6"/>
    <w:rsid w:val="1EAA3851"/>
    <w:rsid w:val="1FE0D6BA"/>
    <w:rsid w:val="203F6B30"/>
    <w:rsid w:val="20716AA2"/>
    <w:rsid w:val="20D64C56"/>
    <w:rsid w:val="21294340"/>
    <w:rsid w:val="2137D3BC"/>
    <w:rsid w:val="219342C3"/>
    <w:rsid w:val="21F5FD06"/>
    <w:rsid w:val="224885DA"/>
    <w:rsid w:val="22B7B93F"/>
    <w:rsid w:val="23D22A65"/>
    <w:rsid w:val="26467E8F"/>
    <w:rsid w:val="265106E5"/>
    <w:rsid w:val="2710FB2E"/>
    <w:rsid w:val="271D1250"/>
    <w:rsid w:val="280126F8"/>
    <w:rsid w:val="28359757"/>
    <w:rsid w:val="28A9E529"/>
    <w:rsid w:val="28F2EABF"/>
    <w:rsid w:val="2919C828"/>
    <w:rsid w:val="29A69D94"/>
    <w:rsid w:val="2A0093B2"/>
    <w:rsid w:val="2A7E4CA4"/>
    <w:rsid w:val="2AA11BE1"/>
    <w:rsid w:val="2C7A11A2"/>
    <w:rsid w:val="2D017E2B"/>
    <w:rsid w:val="2F1D4027"/>
    <w:rsid w:val="2F85FEBB"/>
    <w:rsid w:val="30E87A60"/>
    <w:rsid w:val="314A5078"/>
    <w:rsid w:val="337CC7A2"/>
    <w:rsid w:val="3424DDFC"/>
    <w:rsid w:val="36864358"/>
    <w:rsid w:val="36C991A5"/>
    <w:rsid w:val="37A858A6"/>
    <w:rsid w:val="37DBAD15"/>
    <w:rsid w:val="397510BB"/>
    <w:rsid w:val="39A782AD"/>
    <w:rsid w:val="3A2101CA"/>
    <w:rsid w:val="3A494CF9"/>
    <w:rsid w:val="3ACBB44E"/>
    <w:rsid w:val="3B605C9C"/>
    <w:rsid w:val="3C03856A"/>
    <w:rsid w:val="3CA5DF35"/>
    <w:rsid w:val="3CBBE7CA"/>
    <w:rsid w:val="3D867AD8"/>
    <w:rsid w:val="3D870C7B"/>
    <w:rsid w:val="41269186"/>
    <w:rsid w:val="417F5BB8"/>
    <w:rsid w:val="42BB2DE2"/>
    <w:rsid w:val="43EE024E"/>
    <w:rsid w:val="45BB79CB"/>
    <w:rsid w:val="47688034"/>
    <w:rsid w:val="4817A6B5"/>
    <w:rsid w:val="4887ED96"/>
    <w:rsid w:val="48A79797"/>
    <w:rsid w:val="48C4334C"/>
    <w:rsid w:val="492F6509"/>
    <w:rsid w:val="499AAE95"/>
    <w:rsid w:val="49BC176D"/>
    <w:rsid w:val="4ABD0947"/>
    <w:rsid w:val="4AF1875D"/>
    <w:rsid w:val="4B63F51A"/>
    <w:rsid w:val="4B8793AE"/>
    <w:rsid w:val="4CC9E786"/>
    <w:rsid w:val="4E0C4628"/>
    <w:rsid w:val="518C7015"/>
    <w:rsid w:val="51E847DB"/>
    <w:rsid w:val="537DB438"/>
    <w:rsid w:val="541D5763"/>
    <w:rsid w:val="56A504F9"/>
    <w:rsid w:val="578CF5AA"/>
    <w:rsid w:val="57B5A2FA"/>
    <w:rsid w:val="5A798B56"/>
    <w:rsid w:val="5B04664A"/>
    <w:rsid w:val="5B06A6FB"/>
    <w:rsid w:val="5B5AAFE4"/>
    <w:rsid w:val="5C0F15D1"/>
    <w:rsid w:val="5E6ED195"/>
    <w:rsid w:val="5F60C5FE"/>
    <w:rsid w:val="614B7F13"/>
    <w:rsid w:val="636B2C64"/>
    <w:rsid w:val="656A91A7"/>
    <w:rsid w:val="667C9B0A"/>
    <w:rsid w:val="67A3FC73"/>
    <w:rsid w:val="695FCD08"/>
    <w:rsid w:val="69A6E052"/>
    <w:rsid w:val="6A8F9357"/>
    <w:rsid w:val="6AD5CDFA"/>
    <w:rsid w:val="6EE6047A"/>
    <w:rsid w:val="6F538841"/>
    <w:rsid w:val="6FC17975"/>
    <w:rsid w:val="70325E82"/>
    <w:rsid w:val="7046D711"/>
    <w:rsid w:val="716B3F35"/>
    <w:rsid w:val="71A12963"/>
    <w:rsid w:val="732F1371"/>
    <w:rsid w:val="735886E7"/>
    <w:rsid w:val="739E8FB8"/>
    <w:rsid w:val="741CC936"/>
    <w:rsid w:val="742F2BFE"/>
    <w:rsid w:val="74D9206A"/>
    <w:rsid w:val="7506039E"/>
    <w:rsid w:val="7536346F"/>
    <w:rsid w:val="7590458F"/>
    <w:rsid w:val="75DC54DE"/>
    <w:rsid w:val="75F17D74"/>
    <w:rsid w:val="771ACB66"/>
    <w:rsid w:val="781398A7"/>
    <w:rsid w:val="78D436C4"/>
    <w:rsid w:val="79C931CA"/>
    <w:rsid w:val="7B302286"/>
    <w:rsid w:val="7BA92DB7"/>
    <w:rsid w:val="7D09346A"/>
    <w:rsid w:val="7D4F4CAC"/>
    <w:rsid w:val="7DD53AEE"/>
    <w:rsid w:val="7F19EA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D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AU" w:eastAsia="en-AU" w:bidi="ar-SA"/>
      </w:rPr>
    </w:rPrDefault>
    <w:pPrDefault>
      <w:pPr>
        <w:spacing w:before="120"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nhideWhenUsed="1"/>
    <w:lsdException w:name="toc 3" w:semiHidden="1" w:unhideWhenUsed="1"/>
    <w:lsdException w:name="toc 4" w:semiHidden="1" w:unhideWhenUsed="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lsdException w:name="header" w:semiHidden="1" w:unhideWhenUsed="1"/>
    <w:lsdException w:name="footer" w:semiHidden="1" w:uiPriority="99" w:unhideWhenUsed="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iPriority="99"/>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toa heading" w:semiHidden="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lsdException w:name="Signature" w:semiHidden="1"/>
    <w:lsdException w:name="Default Paragraph Font" w:semiHidden="1" w:unhideWhenUsed="1"/>
    <w:lsdException w:name="Body Text" w:semiHidden="1"/>
    <w:lsdException w:name="Body Text Indent" w:semiHidden="1"/>
    <w:lsdException w:name="List Continue" w:semiHidden="1" w:unhideWhenUsed="1"/>
    <w:lsdException w:name="List Continue 2" w:semiHidden="1" w:unhideWhenUsed="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uiPriority="99"/>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0375A8"/>
  </w:style>
  <w:style w:type="paragraph" w:styleId="Heading1">
    <w:name w:val="heading 1"/>
    <w:basedOn w:val="HeadingBase"/>
    <w:next w:val="Normal"/>
    <w:qFormat/>
    <w:rsid w:val="000375A8"/>
    <w:pPr>
      <w:keepNext/>
      <w:spacing w:before="600" w:after="360"/>
      <w:outlineLvl w:val="0"/>
    </w:pPr>
    <w:rPr>
      <w:rFonts w:cs="Arial"/>
      <w:color w:val="142147"/>
      <w:kern w:val="32"/>
      <w:sz w:val="56"/>
      <w:szCs w:val="36"/>
    </w:rPr>
  </w:style>
  <w:style w:type="paragraph" w:styleId="Heading2">
    <w:name w:val="heading 2"/>
    <w:basedOn w:val="Normal"/>
    <w:next w:val="Normal"/>
    <w:qFormat/>
    <w:rsid w:val="000375A8"/>
    <w:pPr>
      <w:keepNext/>
      <w:spacing w:before="480" w:after="240"/>
      <w:outlineLvl w:val="1"/>
    </w:pPr>
    <w:rPr>
      <w:rFonts w:ascii="Georgia" w:hAnsi="Georgia" w:cs="Arial"/>
      <w:iCs/>
      <w:color w:val="701F4C"/>
      <w:kern w:val="32"/>
      <w:sz w:val="40"/>
      <w:szCs w:val="28"/>
      <w14:numForm w14:val="lining"/>
      <w14:numSpacing w14:val="proportional"/>
    </w:rPr>
  </w:style>
  <w:style w:type="paragraph" w:styleId="Heading3">
    <w:name w:val="heading 3"/>
    <w:basedOn w:val="Normal"/>
    <w:next w:val="Normal"/>
    <w:qFormat/>
    <w:rsid w:val="000375A8"/>
    <w:pPr>
      <w:keepNext/>
      <w:spacing w:before="320"/>
      <w:outlineLvl w:val="2"/>
    </w:pPr>
    <w:rPr>
      <w:rFonts w:ascii="Georgia" w:hAnsi="Georgia" w:cs="Arial"/>
      <w:color w:val="432B73"/>
      <w:kern w:val="32"/>
      <w:sz w:val="34"/>
      <w:szCs w:val="26"/>
      <w14:numForm w14:val="lining"/>
      <w14:numSpacing w14:val="proportional"/>
    </w:rPr>
  </w:style>
  <w:style w:type="paragraph" w:styleId="Heading4">
    <w:name w:val="heading 4"/>
    <w:basedOn w:val="Normal"/>
    <w:next w:val="Normal"/>
    <w:qFormat/>
    <w:rsid w:val="000375A8"/>
    <w:pPr>
      <w:keepNext/>
      <w:spacing w:before="280" w:after="60"/>
      <w:outlineLvl w:val="3"/>
    </w:pPr>
    <w:rPr>
      <w:rFonts w:ascii="Georgia" w:hAnsi="Georgia" w:cs="Arial"/>
      <w:kern w:val="32"/>
      <w:sz w:val="28"/>
      <w:szCs w:val="26"/>
      <w14:numForm w14:val="lining"/>
      <w14:numSpacing w14:val="proportional"/>
    </w:rPr>
  </w:style>
  <w:style w:type="paragraph" w:styleId="Heading5">
    <w:name w:val="heading 5"/>
    <w:basedOn w:val="Normal"/>
    <w:next w:val="Normal"/>
    <w:qFormat/>
    <w:rsid w:val="000375A8"/>
    <w:pPr>
      <w:keepNext/>
      <w:spacing w:before="240" w:after="0" w:line="276" w:lineRule="auto"/>
      <w:outlineLvl w:val="4"/>
    </w:pPr>
    <w:rPr>
      <w:rFonts w:ascii="Georgia" w:hAnsi="Georgia" w:cs="Arial"/>
      <w:iCs/>
      <w:color w:val="595959"/>
      <w:kern w:val="32"/>
      <w:sz w:val="25"/>
      <w:szCs w:val="36"/>
      <w14:numForm w14:val="lining"/>
      <w14:numSpacing w14:val="proportional"/>
    </w:rPr>
  </w:style>
  <w:style w:type="paragraph" w:styleId="Heading6">
    <w:name w:val="heading 6"/>
    <w:basedOn w:val="Normal"/>
    <w:next w:val="Normal"/>
    <w:qFormat/>
    <w:rsid w:val="000375A8"/>
    <w:pPr>
      <w:keepNext/>
      <w:spacing w:after="0" w:line="276" w:lineRule="auto"/>
      <w:outlineLvl w:val="5"/>
    </w:pPr>
    <w:rPr>
      <w:rFonts w:cs="Arial"/>
      <w:b/>
      <w:color w:val="000000"/>
      <w:kern w:val="32"/>
      <w:sz w:val="25"/>
      <w14:numForm w14:val="lining"/>
      <w14:numSpacing w14:val="proportional"/>
    </w:rPr>
  </w:style>
  <w:style w:type="paragraph" w:styleId="Heading7">
    <w:name w:val="heading 7"/>
    <w:basedOn w:val="HeadingBase"/>
    <w:next w:val="Normal"/>
    <w:qFormat/>
    <w:rsid w:val="000375A8"/>
    <w:pPr>
      <w:outlineLvl w:val="6"/>
    </w:pPr>
    <w:rPr>
      <w:rFonts w:asciiTheme="minorHAnsi" w:hAnsiTheme="minorHAnsi"/>
      <w:b/>
      <w:color w:val="000000" w:themeColor="text1"/>
      <w:sz w:val="23"/>
      <w:szCs w:val="24"/>
    </w:rPr>
  </w:style>
  <w:style w:type="paragraph" w:styleId="Heading8">
    <w:name w:val="heading 8"/>
    <w:basedOn w:val="HeadingBase"/>
    <w:next w:val="Normal"/>
    <w:qFormat/>
    <w:rsid w:val="000375A8"/>
    <w:pPr>
      <w:outlineLvl w:val="7"/>
    </w:pPr>
    <w:rPr>
      <w:rFonts w:asciiTheme="minorHAnsi" w:hAnsiTheme="minorHAnsi"/>
      <w:b/>
      <w:iCs/>
      <w:color w:val="5F5F5F" w:themeColor="text2"/>
      <w:sz w:val="22"/>
      <w:szCs w:val="24"/>
    </w:rPr>
  </w:style>
  <w:style w:type="paragraph" w:styleId="Heading9">
    <w:name w:val="heading 9"/>
    <w:basedOn w:val="HeadingBase"/>
    <w:next w:val="Normal"/>
    <w:qFormat/>
    <w:rsid w:val="000375A8"/>
    <w:pPr>
      <w:outlineLvl w:val="8"/>
    </w:pPr>
    <w:rPr>
      <w:rFonts w:asciiTheme="minorHAnsi" w:hAnsiTheme="minorHAnsi" w:cs="Arial"/>
      <w:i/>
      <w:color w:val="5F5F5F"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next w:val="Normal"/>
    <w:link w:val="HeadingBaseChar"/>
    <w:semiHidden/>
    <w:rsid w:val="000375A8"/>
    <w:rPr>
      <w:rFonts w:ascii="Georgia" w:hAnsi="Georgia"/>
      <w:color w:val="142147" w:themeColor="accent1"/>
      <w:sz w:val="64"/>
      <w14:numForm w14:val="lining"/>
      <w14:numSpacing w14:val="proportional"/>
    </w:rPr>
  </w:style>
  <w:style w:type="paragraph" w:customStyle="1" w:styleId="SingleParagraph">
    <w:name w:val="Single Paragraph"/>
    <w:basedOn w:val="Normal"/>
    <w:link w:val="SingleParagraphChar"/>
    <w:rsid w:val="00275B5F"/>
    <w:pPr>
      <w:spacing w:before="0" w:after="0"/>
    </w:pPr>
  </w:style>
  <w:style w:type="character" w:styleId="Hyperlink">
    <w:name w:val="Hyperlink"/>
    <w:basedOn w:val="DefaultParagraphFont"/>
    <w:uiPriority w:val="99"/>
    <w:rsid w:val="000375A8"/>
    <w:rPr>
      <w:color w:val="2B4798" w:themeColor="accent1" w:themeTint="BF"/>
      <w:u w:val="single"/>
    </w:rPr>
  </w:style>
  <w:style w:type="paragraph" w:customStyle="1" w:styleId="Non-ChapterHeading">
    <w:name w:val="Non-Chapter Heading"/>
    <w:basedOn w:val="HeadingBase"/>
    <w:next w:val="Normal"/>
    <w:rsid w:val="000375A8"/>
    <w:pPr>
      <w:pageBreakBefore/>
      <w:spacing w:before="360" w:after="360"/>
    </w:pPr>
    <w:rPr>
      <w:i/>
      <w:sz w:val="56"/>
      <w:szCs w:val="38"/>
    </w:rPr>
  </w:style>
  <w:style w:type="character" w:styleId="PageNumber">
    <w:name w:val="page number"/>
    <w:basedOn w:val="DefaultParagraphFont"/>
    <w:semiHidden/>
    <w:rsid w:val="000375A8"/>
    <w:rPr>
      <w:rFonts w:ascii="Arial" w:hAnsi="Arial"/>
      <w:sz w:val="18"/>
    </w:rPr>
  </w:style>
  <w:style w:type="paragraph" w:styleId="EndnoteText">
    <w:name w:val="endnote text"/>
    <w:basedOn w:val="Normal"/>
    <w:link w:val="EndnoteTextChar"/>
    <w:unhideWhenUsed/>
    <w:rsid w:val="000375A8"/>
    <w:pPr>
      <w:spacing w:before="0" w:after="0"/>
    </w:pPr>
    <w:rPr>
      <w:sz w:val="20"/>
      <w:szCs w:val="20"/>
    </w:rPr>
  </w:style>
  <w:style w:type="paragraph" w:customStyle="1" w:styleId="Bullet">
    <w:name w:val="Bullet"/>
    <w:aliases w:val="b,Body,b + line,b1,level 1,Bullet + line,BodyNum,Bullet Char1,Bullet Char1 Char Char Char,Bullet Char1 Char Char Char Char,Bullet Char1 Char Char Char Char Char,b1 Char Char Char,bulleted"/>
    <w:basedOn w:val="Normal"/>
    <w:link w:val="BulletChar"/>
    <w:rsid w:val="00B94997"/>
    <w:pPr>
      <w:numPr>
        <w:numId w:val="8"/>
      </w:numPr>
      <w:tabs>
        <w:tab w:val="left" w:pos="567"/>
      </w:tabs>
    </w:pPr>
  </w:style>
  <w:style w:type="paragraph" w:customStyle="1" w:styleId="Dash">
    <w:name w:val="Dash"/>
    <w:basedOn w:val="Normal"/>
    <w:link w:val="DashChar"/>
    <w:rsid w:val="000375A8"/>
    <w:pPr>
      <w:numPr>
        <w:ilvl w:val="1"/>
        <w:numId w:val="8"/>
      </w:numPr>
      <w:tabs>
        <w:tab w:val="left" w:pos="1134"/>
      </w:tabs>
    </w:pPr>
  </w:style>
  <w:style w:type="paragraph" w:customStyle="1" w:styleId="DoubleDot">
    <w:name w:val="Double Dot"/>
    <w:basedOn w:val="Normal"/>
    <w:rsid w:val="000375A8"/>
    <w:pPr>
      <w:numPr>
        <w:ilvl w:val="2"/>
        <w:numId w:val="8"/>
      </w:numPr>
      <w:tabs>
        <w:tab w:val="left" w:pos="1701"/>
      </w:tabs>
    </w:pPr>
  </w:style>
  <w:style w:type="paragraph" w:customStyle="1" w:styleId="NumberedList1">
    <w:name w:val="Numbered List 1"/>
    <w:basedOn w:val="Normal"/>
    <w:rsid w:val="000375A8"/>
    <w:pPr>
      <w:numPr>
        <w:numId w:val="1"/>
      </w:numPr>
      <w:ind w:left="851"/>
    </w:pPr>
  </w:style>
  <w:style w:type="paragraph" w:customStyle="1" w:styleId="NumberedList11">
    <w:name w:val="Numbered List 1.1"/>
    <w:basedOn w:val="Normal"/>
    <w:rsid w:val="000375A8"/>
    <w:pPr>
      <w:numPr>
        <w:ilvl w:val="1"/>
        <w:numId w:val="1"/>
      </w:numPr>
      <w:ind w:left="851"/>
    </w:pPr>
  </w:style>
  <w:style w:type="paragraph" w:customStyle="1" w:styleId="NumberedList111">
    <w:name w:val="Numbered List 1.1.1"/>
    <w:basedOn w:val="Normal"/>
    <w:rsid w:val="000375A8"/>
    <w:pPr>
      <w:numPr>
        <w:ilvl w:val="2"/>
        <w:numId w:val="1"/>
      </w:numPr>
      <w:ind w:left="851"/>
    </w:pPr>
  </w:style>
  <w:style w:type="paragraph" w:customStyle="1" w:styleId="AlphaParagraph">
    <w:name w:val="Alpha Paragraph"/>
    <w:basedOn w:val="Normal"/>
    <w:uiPriority w:val="1"/>
    <w:unhideWhenUsed/>
    <w:rsid w:val="000375A8"/>
    <w:pPr>
      <w:numPr>
        <w:numId w:val="2"/>
      </w:numPr>
    </w:pPr>
  </w:style>
  <w:style w:type="paragraph" w:customStyle="1" w:styleId="AppendixHeading">
    <w:name w:val="Appendix Heading"/>
    <w:basedOn w:val="Heading1"/>
    <w:next w:val="Normal"/>
    <w:rsid w:val="000375A8"/>
    <w:rPr>
      <w:sz w:val="38"/>
      <w:szCs w:val="38"/>
    </w:rPr>
  </w:style>
  <w:style w:type="paragraph" w:styleId="ListParagraph">
    <w:name w:val="List Paragraph"/>
    <w:basedOn w:val="Normal"/>
    <w:uiPriority w:val="34"/>
    <w:qFormat/>
    <w:rsid w:val="000375A8"/>
    <w:pPr>
      <w:ind w:left="720"/>
      <w:contextualSpacing/>
    </w:pPr>
  </w:style>
  <w:style w:type="paragraph" w:customStyle="1" w:styleId="BoxHeading1">
    <w:name w:val="Box Heading 1"/>
    <w:basedOn w:val="HeadingBase"/>
    <w:next w:val="BoxText"/>
    <w:rsid w:val="000375A8"/>
    <w:pPr>
      <w:spacing w:after="80"/>
    </w:pPr>
    <w:rPr>
      <w:i/>
      <w:color w:val="auto"/>
      <w:sz w:val="28"/>
    </w:rPr>
  </w:style>
  <w:style w:type="paragraph" w:customStyle="1" w:styleId="BoxText">
    <w:name w:val="Box Text"/>
    <w:basedOn w:val="Normal"/>
    <w:rsid w:val="000375A8"/>
  </w:style>
  <w:style w:type="paragraph" w:customStyle="1" w:styleId="NumberedParagraph111">
    <w:name w:val="Numbered Paragraph 1.1.1"/>
    <w:basedOn w:val="NumberedParagraph11"/>
    <w:qFormat/>
    <w:rsid w:val="000375A8"/>
    <w:pPr>
      <w:numPr>
        <w:ilvl w:val="2"/>
      </w:numPr>
    </w:pPr>
  </w:style>
  <w:style w:type="paragraph" w:customStyle="1" w:styleId="Notealpha">
    <w:name w:val="Note alpha"/>
    <w:basedOn w:val="Note"/>
    <w:rsid w:val="000375A8"/>
    <w:pPr>
      <w:numPr>
        <w:numId w:val="3"/>
      </w:numPr>
      <w:spacing w:after="120"/>
    </w:pPr>
    <w:rPr>
      <w:szCs w:val="16"/>
    </w:rPr>
  </w:style>
  <w:style w:type="paragraph" w:customStyle="1" w:styleId="ChartGraphic">
    <w:name w:val="Chart Graphic"/>
    <w:basedOn w:val="Normal"/>
    <w:next w:val="Normal"/>
    <w:rsid w:val="000375A8"/>
    <w:pPr>
      <w:spacing w:after="20"/>
      <w:jc w:val="center"/>
    </w:pPr>
  </w:style>
  <w:style w:type="paragraph" w:customStyle="1" w:styleId="ChartHeading1">
    <w:name w:val="Chart Heading 1"/>
    <w:basedOn w:val="Normal"/>
    <w:next w:val="ChartGraphic"/>
    <w:rsid w:val="000375A8"/>
    <w:pPr>
      <w:keepNext/>
      <w:spacing w:before="240" w:after="60"/>
      <w:outlineLvl w:val="2"/>
    </w:pPr>
    <w:rPr>
      <w:rFonts w:asciiTheme="majorHAnsi" w:hAnsiTheme="majorHAnsi" w:cs="Arial"/>
      <w:color w:val="142147"/>
      <w:kern w:val="32"/>
      <w:sz w:val="26"/>
      <w:szCs w:val="26"/>
      <w14:numForm w14:val="lining"/>
      <w14:numSpacing w14:val="proportional"/>
    </w:rPr>
  </w:style>
  <w:style w:type="paragraph" w:customStyle="1" w:styleId="Note">
    <w:name w:val="Note"/>
    <w:basedOn w:val="Normal"/>
    <w:next w:val="Normal"/>
    <w:rsid w:val="000375A8"/>
    <w:pPr>
      <w:spacing w:before="40" w:after="60"/>
      <w:ind w:left="709" w:hanging="709"/>
      <w:contextualSpacing/>
      <w:jc w:val="both"/>
    </w:pPr>
    <w:rPr>
      <w:rFonts w:asciiTheme="minorHAnsi" w:hAnsiTheme="minorHAnsi"/>
      <w:sz w:val="18"/>
    </w:rPr>
  </w:style>
  <w:style w:type="paragraph" w:customStyle="1" w:styleId="ChartHeading2">
    <w:name w:val="Chart Heading 2"/>
    <w:basedOn w:val="Normal"/>
    <w:next w:val="ChartGraphic"/>
    <w:rsid w:val="000375A8"/>
    <w:pPr>
      <w:keepNext/>
      <w:spacing w:before="60"/>
    </w:pPr>
    <w:rPr>
      <w:rFonts w:asciiTheme="minorHAnsi" w:hAnsiTheme="minorHAnsi"/>
      <w:b/>
      <w:bCs/>
      <w:color w:val="142147"/>
      <w:szCs w:val="20"/>
    </w:rPr>
  </w:style>
  <w:style w:type="paragraph" w:customStyle="1" w:styleId="Classification">
    <w:name w:val="Classification"/>
    <w:basedOn w:val="HeadingBase"/>
    <w:next w:val="Footer"/>
    <w:unhideWhenUsed/>
    <w:rsid w:val="000375A8"/>
    <w:pPr>
      <w:jc w:val="center"/>
    </w:pPr>
    <w:rPr>
      <w:b/>
      <w:smallCaps/>
    </w:rPr>
  </w:style>
  <w:style w:type="paragraph" w:styleId="Footer">
    <w:name w:val="footer"/>
    <w:basedOn w:val="HeadingBase"/>
    <w:link w:val="FooterChar"/>
    <w:uiPriority w:val="99"/>
    <w:rsid w:val="000375A8"/>
    <w:pPr>
      <w:tabs>
        <w:tab w:val="left" w:pos="0"/>
        <w:tab w:val="right" w:pos="9639"/>
      </w:tabs>
      <w:jc w:val="center"/>
    </w:pPr>
    <w:rPr>
      <w:color w:val="701F4D" w:themeColor="accent2"/>
      <w:sz w:val="22"/>
    </w:rPr>
  </w:style>
  <w:style w:type="paragraph" w:customStyle="1" w:styleId="ContentsHeading">
    <w:name w:val="Contents Heading"/>
    <w:basedOn w:val="HeadingBase"/>
    <w:next w:val="Normal"/>
    <w:rsid w:val="000375A8"/>
    <w:pPr>
      <w:spacing w:before="360" w:after="600"/>
      <w:outlineLvl w:val="0"/>
    </w:pPr>
    <w:rPr>
      <w:i/>
      <w:sz w:val="56"/>
      <w:szCs w:val="38"/>
    </w:rPr>
  </w:style>
  <w:style w:type="paragraph" w:customStyle="1" w:styleId="CoverTitleMain">
    <w:name w:val="Cover Title Main"/>
    <w:basedOn w:val="HeadingBase"/>
    <w:next w:val="Normal"/>
    <w:rsid w:val="000375A8"/>
    <w:pPr>
      <w:spacing w:before="9600" w:after="240"/>
      <w:ind w:right="2268"/>
      <w:contextualSpacing/>
      <w:outlineLvl w:val="0"/>
    </w:pPr>
    <w:rPr>
      <w:kern w:val="32"/>
      <w:sz w:val="68"/>
      <w:szCs w:val="52"/>
    </w:rPr>
  </w:style>
  <w:style w:type="paragraph" w:customStyle="1" w:styleId="CoverTitleSub">
    <w:name w:val="Cover Title Sub"/>
    <w:basedOn w:val="HeadingBase"/>
    <w:rsid w:val="000375A8"/>
    <w:pPr>
      <w:spacing w:after="600"/>
      <w:contextualSpacing/>
    </w:pPr>
    <w:rPr>
      <w:sz w:val="36"/>
      <w:szCs w:val="36"/>
    </w:rPr>
  </w:style>
  <w:style w:type="paragraph" w:customStyle="1" w:styleId="FooterCentered">
    <w:name w:val="Footer Centered"/>
    <w:basedOn w:val="Footer"/>
    <w:semiHidden/>
    <w:rsid w:val="000375A8"/>
  </w:style>
  <w:style w:type="paragraph" w:customStyle="1" w:styleId="FooterEven">
    <w:name w:val="Footer Even"/>
    <w:basedOn w:val="Footer"/>
    <w:rsid w:val="000375A8"/>
  </w:style>
  <w:style w:type="paragraph" w:customStyle="1" w:styleId="FooterOdd">
    <w:name w:val="Footer Odd"/>
    <w:basedOn w:val="Footer"/>
    <w:rsid w:val="000375A8"/>
    <w:pPr>
      <w:jc w:val="right"/>
    </w:pPr>
  </w:style>
  <w:style w:type="character" w:customStyle="1" w:styleId="FramedFooter">
    <w:name w:val="Framed Footer"/>
    <w:semiHidden/>
    <w:rsid w:val="000375A8"/>
    <w:rPr>
      <w:rFonts w:ascii="Arial" w:hAnsi="Arial"/>
      <w:color w:val="000080"/>
      <w:sz w:val="18"/>
      <w:szCs w:val="18"/>
    </w:rPr>
  </w:style>
  <w:style w:type="character" w:customStyle="1" w:styleId="FramedHeader">
    <w:name w:val="Framed Header"/>
    <w:basedOn w:val="DefaultParagraphFont"/>
    <w:semiHidden/>
    <w:rsid w:val="000375A8"/>
    <w:rPr>
      <w:rFonts w:ascii="Arial" w:hAnsi="Arial"/>
      <w:dstrike w:val="0"/>
      <w:color w:val="000080"/>
      <w:sz w:val="18"/>
      <w:szCs w:val="18"/>
      <w:vertAlign w:val="baseline"/>
    </w:rPr>
  </w:style>
  <w:style w:type="paragraph" w:styleId="Header">
    <w:name w:val="header"/>
    <w:basedOn w:val="HeadingBase"/>
    <w:link w:val="HeaderChar"/>
    <w:unhideWhenUsed/>
    <w:rsid w:val="000375A8"/>
    <w:rPr>
      <w:sz w:val="22"/>
    </w:rPr>
  </w:style>
  <w:style w:type="paragraph" w:customStyle="1" w:styleId="HeaderEven">
    <w:name w:val="Header Even"/>
    <w:basedOn w:val="Header"/>
    <w:rsid w:val="000375A8"/>
    <w:pPr>
      <w:jc w:val="right"/>
    </w:pPr>
  </w:style>
  <w:style w:type="paragraph" w:customStyle="1" w:styleId="HeaderOdd">
    <w:name w:val="Header Odd"/>
    <w:basedOn w:val="Header"/>
    <w:rsid w:val="000375A8"/>
  </w:style>
  <w:style w:type="paragraph" w:styleId="NormalIndent">
    <w:name w:val="Normal Indent"/>
    <w:basedOn w:val="Normal"/>
    <w:rsid w:val="000375A8"/>
    <w:pPr>
      <w:ind w:left="567"/>
    </w:pPr>
  </w:style>
  <w:style w:type="paragraph" w:styleId="IntenseQuote">
    <w:name w:val="Intense Quote"/>
    <w:basedOn w:val="Normal"/>
    <w:next w:val="Normal"/>
    <w:link w:val="IntenseQuoteChar"/>
    <w:unhideWhenUsed/>
    <w:qFormat/>
    <w:rsid w:val="000375A8"/>
    <w:pPr>
      <w:pBdr>
        <w:top w:val="single" w:sz="4" w:space="10" w:color="142147" w:themeColor="accent1"/>
        <w:bottom w:val="single" w:sz="4" w:space="10" w:color="142147" w:themeColor="accent1"/>
      </w:pBdr>
      <w:spacing w:before="360" w:after="360"/>
      <w:ind w:left="862" w:right="862"/>
      <w:jc w:val="center"/>
    </w:pPr>
    <w:rPr>
      <w:rFonts w:asciiTheme="majorHAnsi" w:hAnsiTheme="majorHAnsi"/>
      <w:i/>
      <w:iCs/>
      <w:color w:val="142147" w:themeColor="accent1"/>
    </w:rPr>
  </w:style>
  <w:style w:type="character" w:customStyle="1" w:styleId="IntenseQuoteChar">
    <w:name w:val="Intense Quote Char"/>
    <w:basedOn w:val="DefaultParagraphFont"/>
    <w:link w:val="IntenseQuote"/>
    <w:rsid w:val="000375A8"/>
    <w:rPr>
      <w:rFonts w:asciiTheme="majorHAnsi" w:hAnsiTheme="majorHAnsi"/>
      <w:i/>
      <w:iCs/>
      <w:color w:val="142147" w:themeColor="accent1"/>
    </w:rPr>
  </w:style>
  <w:style w:type="table" w:styleId="ListTable4-Accent1">
    <w:name w:val="List Table 4 Accent 1"/>
    <w:basedOn w:val="TableNormal"/>
    <w:uiPriority w:val="49"/>
    <w:rsid w:val="000375A8"/>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insideH w:val="single" w:sz="4" w:space="0" w:color="142147" w:themeColor="accent1"/>
      </w:tblBorders>
    </w:tblPr>
    <w:tblStylePr w:type="firstRow">
      <w:rPr>
        <w:b w:val="0"/>
        <w:bCs/>
        <w:color w:val="FFFFFF" w:themeColor="background1"/>
      </w:rPr>
      <w:tblPr/>
      <w:tcPr>
        <w:tcBorders>
          <w:top w:val="single" w:sz="4" w:space="0" w:color="142147" w:themeColor="accent1"/>
          <w:left w:val="single" w:sz="4" w:space="0" w:color="142147" w:themeColor="accent1"/>
          <w:bottom w:val="single" w:sz="4" w:space="0" w:color="142147" w:themeColor="accent1"/>
          <w:right w:val="single" w:sz="4" w:space="0" w:color="142147" w:themeColor="accent1"/>
          <w:insideH w:val="nil"/>
        </w:tcBorders>
        <w:shd w:val="clear" w:color="auto" w:fill="142147" w:themeFill="accent1"/>
      </w:tcPr>
    </w:tblStylePr>
    <w:tblStylePr w:type="lastRow">
      <w:rPr>
        <w:b w:val="0"/>
        <w:bCs/>
      </w:rPr>
      <w:tblPr/>
      <w:tcPr>
        <w:tcBorders>
          <w:top w:val="double" w:sz="4" w:space="0" w:color="3A5EC7" w:themeColor="accent1" w:themeTint="99"/>
        </w:tcBorders>
      </w:tcPr>
    </w:tblStylePr>
    <w:tblStylePr w:type="firstCol">
      <w:rPr>
        <w:b w:val="0"/>
        <w:bCs/>
      </w:rPr>
    </w:tblStylePr>
    <w:tblStylePr w:type="lastCol">
      <w:rPr>
        <w:b w:val="0"/>
        <w:bCs/>
      </w:rPr>
    </w:tblStylePr>
    <w:tblStylePr w:type="band1Vert">
      <w:tblPr/>
      <w:tcPr>
        <w:shd w:val="clear" w:color="auto" w:fill="BDC9EC" w:themeFill="accent1" w:themeFillTint="33"/>
      </w:tcPr>
    </w:tblStylePr>
    <w:tblStylePr w:type="band1Horz">
      <w:tblPr/>
      <w:tcPr>
        <w:shd w:val="clear" w:color="auto" w:fill="BDC9EC" w:themeFill="accent1" w:themeFillTint="33"/>
      </w:tcPr>
    </w:tblStylePr>
  </w:style>
  <w:style w:type="paragraph" w:customStyle="1" w:styleId="TableHeaderCellCentred">
    <w:name w:val="Table Header Cell Centred"/>
    <w:basedOn w:val="TableHeaderCellLeft"/>
    <w:rsid w:val="000375A8"/>
    <w:pPr>
      <w:jc w:val="center"/>
    </w:pPr>
    <w:rPr>
      <w:rFonts w:asciiTheme="minorHAnsi" w:hAnsiTheme="minorHAnsi"/>
    </w:rPr>
  </w:style>
  <w:style w:type="paragraph" w:customStyle="1" w:styleId="TableHeaderCellLeft">
    <w:name w:val="Table Header Cell Left"/>
    <w:basedOn w:val="Normal"/>
    <w:rsid w:val="000375A8"/>
    <w:pPr>
      <w:spacing w:before="60" w:after="60"/>
    </w:pPr>
    <w:rPr>
      <w:rFonts w:asciiTheme="majorHAnsi" w:hAnsiTheme="majorHAnsi"/>
      <w:sz w:val="20"/>
      <w:szCs w:val="18"/>
    </w:rPr>
  </w:style>
  <w:style w:type="paragraph" w:customStyle="1" w:styleId="TableHeaderCellRight">
    <w:name w:val="Table Header Cell Right"/>
    <w:basedOn w:val="TableHeaderCellLeft"/>
    <w:rsid w:val="000375A8"/>
    <w:pPr>
      <w:jc w:val="right"/>
    </w:pPr>
  </w:style>
  <w:style w:type="paragraph" w:customStyle="1" w:styleId="TableGraphic">
    <w:name w:val="Table Graphic"/>
    <w:basedOn w:val="HeadingBase"/>
    <w:next w:val="Normal"/>
    <w:uiPriority w:val="99"/>
    <w:semiHidden/>
    <w:rsid w:val="000375A8"/>
    <w:pPr>
      <w:spacing w:after="40"/>
      <w:ind w:right="-113"/>
    </w:pPr>
  </w:style>
  <w:style w:type="paragraph" w:customStyle="1" w:styleId="TableHeading1">
    <w:name w:val="Table Heading 1"/>
    <w:basedOn w:val="Normal"/>
    <w:next w:val="TableGraphic"/>
    <w:rsid w:val="00511EC3"/>
    <w:pPr>
      <w:keepNext/>
      <w:spacing w:before="240" w:after="60"/>
    </w:pPr>
    <w:rPr>
      <w:rFonts w:asciiTheme="majorHAnsi" w:hAnsiTheme="majorHAnsi" w:cs="Arial"/>
      <w:color w:val="142147"/>
      <w:kern w:val="32"/>
      <w:sz w:val="26"/>
      <w:szCs w:val="26"/>
      <w14:numForm w14:val="lining"/>
      <w14:numSpacing w14:val="proportional"/>
    </w:rPr>
  </w:style>
  <w:style w:type="paragraph" w:customStyle="1" w:styleId="TableHeading1continued">
    <w:name w:val="Table Heading 1 continued"/>
    <w:basedOn w:val="TableHeading1"/>
    <w:next w:val="TableGraphic"/>
    <w:rsid w:val="000375A8"/>
    <w:pPr>
      <w:spacing w:after="20"/>
    </w:pPr>
  </w:style>
  <w:style w:type="paragraph" w:customStyle="1" w:styleId="TableHeading2">
    <w:name w:val="Table Heading 2"/>
    <w:basedOn w:val="Normal"/>
    <w:next w:val="TableGraphic"/>
    <w:rsid w:val="000375A8"/>
    <w:pPr>
      <w:keepNext/>
      <w:spacing w:before="60"/>
    </w:pPr>
    <w:rPr>
      <w:rFonts w:asciiTheme="minorHAnsi" w:hAnsiTheme="minorHAnsi"/>
      <w:b/>
      <w:color w:val="142147"/>
      <w:szCs w:val="20"/>
    </w:rPr>
  </w:style>
  <w:style w:type="paragraph" w:customStyle="1" w:styleId="TableBodyCellCentered">
    <w:name w:val="Table Body Cell Centered"/>
    <w:basedOn w:val="Normal"/>
    <w:rsid w:val="000375A8"/>
    <w:pPr>
      <w:spacing w:before="20" w:after="20"/>
      <w:jc w:val="center"/>
    </w:pPr>
    <w:rPr>
      <w:rFonts w:asciiTheme="minorHAnsi" w:hAnsiTheme="minorHAnsi"/>
      <w:color w:val="000000"/>
      <w:sz w:val="20"/>
      <w:szCs w:val="18"/>
    </w:rPr>
  </w:style>
  <w:style w:type="paragraph" w:customStyle="1" w:styleId="TableBodyCellLeftIndented">
    <w:name w:val="Table Body Cell Left Indented"/>
    <w:basedOn w:val="Normal"/>
    <w:rsid w:val="000375A8"/>
    <w:pPr>
      <w:spacing w:before="20" w:after="20"/>
      <w:ind w:left="284"/>
    </w:pPr>
    <w:rPr>
      <w:rFonts w:asciiTheme="minorHAnsi" w:hAnsiTheme="minorHAnsi"/>
      <w:color w:val="000000"/>
      <w:sz w:val="20"/>
      <w:szCs w:val="18"/>
    </w:rPr>
  </w:style>
  <w:style w:type="paragraph" w:customStyle="1" w:styleId="TableBodyCellLeft">
    <w:name w:val="Table Body Cell Left"/>
    <w:basedOn w:val="Normal"/>
    <w:rsid w:val="000375A8"/>
    <w:pPr>
      <w:spacing w:before="20" w:after="20"/>
    </w:pPr>
    <w:rPr>
      <w:rFonts w:asciiTheme="minorHAnsi" w:hAnsiTheme="minorHAnsi"/>
      <w:sz w:val="20"/>
      <w:szCs w:val="18"/>
    </w:rPr>
  </w:style>
  <w:style w:type="paragraph" w:customStyle="1" w:styleId="TableBodyCellRight">
    <w:name w:val="Table Body Cell Right"/>
    <w:basedOn w:val="Normal"/>
    <w:rsid w:val="000375A8"/>
    <w:pPr>
      <w:spacing w:before="20" w:after="20"/>
      <w:jc w:val="right"/>
    </w:pPr>
    <w:rPr>
      <w:rFonts w:asciiTheme="minorHAnsi" w:hAnsiTheme="minorHAnsi"/>
      <w:color w:val="000000"/>
      <w:sz w:val="20"/>
      <w:szCs w:val="18"/>
    </w:rPr>
  </w:style>
  <w:style w:type="paragraph" w:styleId="TOC1">
    <w:name w:val="toc 1"/>
    <w:basedOn w:val="HeadingBase"/>
    <w:next w:val="Normal"/>
    <w:uiPriority w:val="39"/>
    <w:rsid w:val="000375A8"/>
    <w:pPr>
      <w:tabs>
        <w:tab w:val="right" w:leader="dot" w:pos="9639"/>
      </w:tabs>
      <w:ind w:right="1134"/>
    </w:pPr>
    <w:rPr>
      <w:sz w:val="24"/>
    </w:rPr>
  </w:style>
  <w:style w:type="paragraph" w:styleId="TOC2">
    <w:name w:val="toc 2"/>
    <w:basedOn w:val="Normal"/>
    <w:next w:val="Normal"/>
    <w:rsid w:val="000375A8"/>
    <w:pPr>
      <w:tabs>
        <w:tab w:val="right" w:leader="dot" w:pos="9639"/>
      </w:tabs>
      <w:spacing w:before="60" w:after="60"/>
      <w:ind w:right="1134"/>
    </w:pPr>
    <w:rPr>
      <w:rFonts w:ascii="Arial" w:hAnsi="Arial"/>
      <w:color w:val="701F4D" w:themeColor="accent2"/>
      <w:sz w:val="20"/>
      <w:szCs w:val="20"/>
    </w:rPr>
  </w:style>
  <w:style w:type="paragraph" w:styleId="TOC3">
    <w:name w:val="toc 3"/>
    <w:basedOn w:val="Normal"/>
    <w:next w:val="Normal"/>
    <w:rsid w:val="000375A8"/>
    <w:pPr>
      <w:tabs>
        <w:tab w:val="right" w:pos="7700"/>
      </w:tabs>
      <w:spacing w:before="20" w:after="0"/>
      <w:ind w:left="284" w:right="851"/>
    </w:pPr>
  </w:style>
  <w:style w:type="paragraph" w:styleId="TOC4">
    <w:name w:val="toc 4"/>
    <w:basedOn w:val="Normal"/>
    <w:next w:val="Normal"/>
    <w:unhideWhenUsed/>
    <w:rsid w:val="000375A8"/>
    <w:pPr>
      <w:tabs>
        <w:tab w:val="right" w:pos="7700"/>
      </w:tabs>
      <w:spacing w:after="0"/>
      <w:ind w:left="284" w:right="851"/>
    </w:pPr>
  </w:style>
  <w:style w:type="table" w:styleId="GridTable1Light-Accent2">
    <w:name w:val="Grid Table 1 Light Accent 2"/>
    <w:basedOn w:val="TableNormal"/>
    <w:uiPriority w:val="46"/>
    <w:rsid w:val="000375A8"/>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insideH w:val="single" w:sz="4" w:space="0" w:color="701F4D" w:themeColor="accent2"/>
        <w:insideV w:val="single" w:sz="4" w:space="0" w:color="701F4D" w:themeColor="accent2"/>
      </w:tblBorders>
    </w:tblPr>
    <w:tblStylePr w:type="firstRow">
      <w:rPr>
        <w:b w:val="0"/>
        <w:bCs/>
      </w:rPr>
      <w:tblPr/>
      <w:tcPr>
        <w:tcBorders>
          <w:bottom w:val="single" w:sz="12" w:space="0" w:color="701F4D" w:themeColor="accent2"/>
        </w:tcBorders>
      </w:tcPr>
    </w:tblStylePr>
    <w:tblStylePr w:type="lastRow">
      <w:rPr>
        <w:b w:val="0"/>
        <w:bCs/>
      </w:rPr>
      <w:tblPr/>
      <w:tcPr>
        <w:tcBorders>
          <w:top w:val="double" w:sz="2" w:space="0" w:color="701F4D" w:themeColor="accent2"/>
        </w:tcBorders>
      </w:tcPr>
    </w:tblStylePr>
    <w:tblStylePr w:type="firstCol">
      <w:rPr>
        <w:b w:val="0"/>
        <w:bCs/>
      </w:rPr>
    </w:tblStylePr>
    <w:tblStylePr w:type="lastCol">
      <w:rPr>
        <w:b w:val="0"/>
        <w:bCs/>
      </w:rPr>
    </w:tblStylePr>
  </w:style>
  <w:style w:type="paragraph" w:customStyle="1" w:styleId="NumberedParagraph1">
    <w:name w:val="Numbered Paragraph 1"/>
    <w:basedOn w:val="Normal"/>
    <w:rsid w:val="000375A8"/>
    <w:pPr>
      <w:numPr>
        <w:numId w:val="6"/>
      </w:numPr>
    </w:pPr>
  </w:style>
  <w:style w:type="paragraph" w:customStyle="1" w:styleId="BoxBullet">
    <w:name w:val="Box Bullet"/>
    <w:basedOn w:val="Bullet"/>
    <w:rsid w:val="000375A8"/>
    <w:pPr>
      <w:numPr>
        <w:numId w:val="4"/>
      </w:numPr>
      <w:spacing w:before="60" w:after="60"/>
    </w:pPr>
  </w:style>
  <w:style w:type="paragraph" w:customStyle="1" w:styleId="BoxDash">
    <w:name w:val="Box Dash"/>
    <w:basedOn w:val="BoxBullet"/>
    <w:rsid w:val="000375A8"/>
    <w:pPr>
      <w:numPr>
        <w:ilvl w:val="1"/>
      </w:numPr>
      <w:tabs>
        <w:tab w:val="left" w:pos="1134"/>
      </w:tabs>
    </w:pPr>
  </w:style>
  <w:style w:type="paragraph" w:customStyle="1" w:styleId="BoxDoubleDot">
    <w:name w:val="Box Double Dot"/>
    <w:basedOn w:val="BoxDash"/>
    <w:rsid w:val="000375A8"/>
    <w:pPr>
      <w:numPr>
        <w:ilvl w:val="2"/>
      </w:numPr>
    </w:pPr>
  </w:style>
  <w:style w:type="character" w:customStyle="1" w:styleId="EndnoteTextChar">
    <w:name w:val="Endnote Text Char"/>
    <w:basedOn w:val="DefaultParagraphFont"/>
    <w:link w:val="EndnoteText"/>
    <w:rsid w:val="000375A8"/>
    <w:rPr>
      <w:sz w:val="20"/>
      <w:szCs w:val="20"/>
    </w:rPr>
  </w:style>
  <w:style w:type="paragraph" w:styleId="List2">
    <w:name w:val="List 2"/>
    <w:basedOn w:val="Normal"/>
    <w:semiHidden/>
    <w:rsid w:val="000375A8"/>
    <w:pPr>
      <w:ind w:left="566" w:hanging="283"/>
      <w:contextualSpacing/>
    </w:pPr>
  </w:style>
  <w:style w:type="paragraph" w:customStyle="1" w:styleId="CoverDate">
    <w:name w:val="Cover Date"/>
    <w:basedOn w:val="CoverTitleSub"/>
    <w:rsid w:val="000375A8"/>
  </w:style>
  <w:style w:type="character" w:styleId="FootnoteReference">
    <w:name w:val="footnote reference"/>
    <w:basedOn w:val="DefaultParagraphFont"/>
    <w:unhideWhenUsed/>
    <w:rsid w:val="000375A8"/>
    <w:rPr>
      <w:sz w:val="20"/>
      <w:szCs w:val="20"/>
      <w:vertAlign w:val="superscript"/>
    </w:rPr>
  </w:style>
  <w:style w:type="paragraph" w:styleId="FootnoteText">
    <w:name w:val="footnote text"/>
    <w:basedOn w:val="Normal"/>
    <w:link w:val="FootnoteTextChar"/>
    <w:unhideWhenUsed/>
    <w:rsid w:val="00205936"/>
    <w:pPr>
      <w:tabs>
        <w:tab w:val="left" w:pos="340"/>
      </w:tabs>
      <w:spacing w:after="0"/>
      <w:ind w:left="340" w:hanging="340"/>
    </w:pPr>
    <w:rPr>
      <w:sz w:val="18"/>
      <w:szCs w:val="18"/>
    </w:rPr>
  </w:style>
  <w:style w:type="table" w:styleId="TableContemporary">
    <w:name w:val="Table Contemporary"/>
    <w:basedOn w:val="TableNormal"/>
    <w:rsid w:val="000375A8"/>
    <w:pPr>
      <w:spacing w:after="240" w:line="300" w:lineRule="exact"/>
      <w:jc w:val="both"/>
    </w:pPr>
    <w:tblPr>
      <w:tblStyleRowBandSize w:val="1"/>
      <w:tblBorders>
        <w:insideH w:val="single" w:sz="18" w:space="0" w:color="FFFFFF"/>
        <w:insideV w:val="single" w:sz="18" w:space="0" w:color="FFFFFF"/>
      </w:tblBorders>
    </w:tblPr>
    <w:tblStylePr w:type="firstRow">
      <w:rPr>
        <w:b w:val="0"/>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mphasis">
    <w:name w:val="Emphasis"/>
    <w:basedOn w:val="DefaultParagraphFont"/>
    <w:uiPriority w:val="20"/>
    <w:rsid w:val="000375A8"/>
    <w:rPr>
      <w:i/>
      <w:iCs/>
    </w:rPr>
  </w:style>
  <w:style w:type="paragraph" w:customStyle="1" w:styleId="Graphic">
    <w:name w:val="Graphic"/>
    <w:basedOn w:val="Normal"/>
    <w:semiHidden/>
    <w:rsid w:val="000375A8"/>
    <w:pPr>
      <w:spacing w:after="0"/>
      <w:jc w:val="center"/>
    </w:pPr>
  </w:style>
  <w:style w:type="character" w:styleId="EndnoteReference">
    <w:name w:val="endnote reference"/>
    <w:basedOn w:val="DefaultParagraphFont"/>
    <w:unhideWhenUsed/>
    <w:rsid w:val="000375A8"/>
    <w:rPr>
      <w:vertAlign w:val="superscript"/>
    </w:rPr>
  </w:style>
  <w:style w:type="table" w:styleId="PlainTable5">
    <w:name w:val="Plain Table 5"/>
    <w:basedOn w:val="TableNormal"/>
    <w:uiPriority w:val="45"/>
    <w:rsid w:val="000375A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0375A8"/>
    <w:tblPr>
      <w:tblStyleRowBandSize w:val="1"/>
      <w:tblStyleColBandSize w:val="1"/>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qFormat/>
    <w:rsid w:val="000375A8"/>
    <w:rPr>
      <w:b/>
      <w:bCs/>
    </w:rPr>
  </w:style>
  <w:style w:type="paragraph" w:customStyle="1" w:styleId="Romannumeral">
    <w:name w:val="Roman numeral"/>
    <w:basedOn w:val="Normal"/>
    <w:uiPriority w:val="1"/>
    <w:unhideWhenUsed/>
    <w:rsid w:val="000375A8"/>
    <w:pPr>
      <w:numPr>
        <w:numId w:val="5"/>
      </w:numPr>
    </w:pPr>
  </w:style>
  <w:style w:type="paragraph" w:styleId="BalloonText">
    <w:name w:val="Balloon Text"/>
    <w:basedOn w:val="Normal"/>
    <w:link w:val="BalloonTextChar"/>
    <w:semiHidden/>
    <w:rsid w:val="000375A8"/>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0375A8"/>
    <w:rPr>
      <w:rFonts w:ascii="Tahoma" w:hAnsi="Tahoma" w:cs="Tahoma"/>
      <w:sz w:val="16"/>
      <w:szCs w:val="16"/>
    </w:rPr>
  </w:style>
  <w:style w:type="table" w:styleId="TableGrid">
    <w:name w:val="Table Grid"/>
    <w:basedOn w:val="TableNormal"/>
    <w:rsid w:val="00037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0375A8"/>
    <w:tblPr>
      <w:tblStyleRowBandSize w:val="1"/>
      <w:tblStyleColBandSize w:val="1"/>
    </w:tblPr>
    <w:tblStylePr w:type="firstRow">
      <w:rPr>
        <w:b w:val="0"/>
        <w:bCs/>
        <w:caps/>
      </w:rPr>
      <w:tblPr/>
      <w:tcPr>
        <w:tcBorders>
          <w:bottom w:val="single" w:sz="4" w:space="0" w:color="7F7F7F" w:themeColor="text1" w:themeTint="80"/>
        </w:tcBorders>
      </w:tcPr>
    </w:tblStylePr>
    <w:tblStylePr w:type="lastRow">
      <w:rPr>
        <w:b w:val="0"/>
        <w:bCs/>
        <w:caps/>
      </w:rPr>
      <w:tblPr/>
      <w:tcPr>
        <w:tcBorders>
          <w:top w:val="nil"/>
        </w:tcBorders>
      </w:tcPr>
    </w:tblStylePr>
    <w:tblStylePr w:type="firstCol">
      <w:rPr>
        <w:b w:val="0"/>
        <w:bCs/>
        <w:caps/>
      </w:rPr>
      <w:tblPr/>
      <w:tcPr>
        <w:tcBorders>
          <w:right w:val="single" w:sz="4" w:space="0" w:color="7F7F7F" w:themeColor="text1" w:themeTint="80"/>
        </w:tcBorders>
      </w:tcPr>
    </w:tblStylePr>
    <w:tblStylePr w:type="lastCol">
      <w:rPr>
        <w:b w:val="0"/>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umberedParagraph11">
    <w:name w:val="Numbered Paragraph 1.1"/>
    <w:basedOn w:val="Bullet"/>
    <w:qFormat/>
    <w:rsid w:val="000375A8"/>
    <w:pPr>
      <w:numPr>
        <w:ilvl w:val="1"/>
        <w:numId w:val="6"/>
      </w:numPr>
    </w:pPr>
  </w:style>
  <w:style w:type="paragraph" w:customStyle="1" w:styleId="NumberedParagraphalpha">
    <w:name w:val="Numbered Paragraph alpha"/>
    <w:basedOn w:val="Dash"/>
    <w:qFormat/>
    <w:rsid w:val="000375A8"/>
    <w:pPr>
      <w:numPr>
        <w:ilvl w:val="3"/>
        <w:numId w:val="6"/>
      </w:numPr>
    </w:pPr>
  </w:style>
  <w:style w:type="paragraph" w:customStyle="1" w:styleId="NumberedParagraphnumbers">
    <w:name w:val="Numbered Paragraph numbers"/>
    <w:basedOn w:val="DoubleDot"/>
    <w:qFormat/>
    <w:rsid w:val="000375A8"/>
    <w:pPr>
      <w:numPr>
        <w:ilvl w:val="4"/>
        <w:numId w:val="6"/>
      </w:numPr>
    </w:pPr>
  </w:style>
  <w:style w:type="paragraph" w:customStyle="1" w:styleId="NumberedParagraphroman">
    <w:name w:val="Numbered Paragraph roman"/>
    <w:basedOn w:val="Normal"/>
    <w:qFormat/>
    <w:rsid w:val="000375A8"/>
    <w:pPr>
      <w:numPr>
        <w:ilvl w:val="5"/>
        <w:numId w:val="6"/>
      </w:numPr>
      <w:tabs>
        <w:tab w:val="left" w:pos="2268"/>
      </w:tabs>
    </w:pPr>
  </w:style>
  <w:style w:type="table" w:styleId="PlainTable2">
    <w:name w:val="Plain Table 2"/>
    <w:basedOn w:val="TableNormal"/>
    <w:uiPriority w:val="42"/>
    <w:rsid w:val="000375A8"/>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0375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val="0"/>
        <w:bCs/>
      </w:rPr>
      <w:tblPr/>
      <w:tcPr>
        <w:tcBorders>
          <w:bottom w:val="single" w:sz="12" w:space="0" w:color="666666" w:themeColor="text1" w:themeTint="99"/>
        </w:tcBorders>
      </w:tcPr>
    </w:tblStylePr>
    <w:tblStylePr w:type="lastRow">
      <w:rPr>
        <w:b w:val="0"/>
        <w:bCs/>
      </w:rPr>
      <w:tblPr/>
      <w:tcPr>
        <w:tcBorders>
          <w:top w:val="double" w:sz="2" w:space="0" w:color="666666" w:themeColor="text1" w:themeTint="99"/>
        </w:tcBorders>
      </w:tcPr>
    </w:tblStylePr>
    <w:tblStylePr w:type="firstCol">
      <w:rPr>
        <w:b w:val="0"/>
        <w:bCs/>
      </w:rPr>
    </w:tblStylePr>
    <w:tblStylePr w:type="lastCol">
      <w:rPr>
        <w:b w:val="0"/>
        <w:bCs/>
      </w:rPr>
    </w:tblStylePr>
  </w:style>
  <w:style w:type="table" w:styleId="GridTable1Light-Accent1">
    <w:name w:val="Grid Table 1 Light Accent 1"/>
    <w:basedOn w:val="TableNormal"/>
    <w:uiPriority w:val="46"/>
    <w:rsid w:val="000375A8"/>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insideH w:val="single" w:sz="4" w:space="0" w:color="142147" w:themeColor="accent1"/>
        <w:insideV w:val="single" w:sz="4" w:space="0" w:color="142147" w:themeColor="accent1"/>
      </w:tblBorders>
    </w:tblPr>
    <w:tblStylePr w:type="firstRow">
      <w:rPr>
        <w:b w:val="0"/>
        <w:bCs/>
      </w:rPr>
      <w:tblPr/>
      <w:tcPr>
        <w:tcBorders>
          <w:bottom w:val="single" w:sz="12" w:space="0" w:color="142147" w:themeColor="accent1"/>
        </w:tcBorders>
      </w:tcPr>
    </w:tblStylePr>
    <w:tblStylePr w:type="lastRow">
      <w:rPr>
        <w:b w:val="0"/>
        <w:bCs/>
      </w:rPr>
      <w:tblPr/>
      <w:tcPr>
        <w:tcBorders>
          <w:top w:val="double" w:sz="2" w:space="0" w:color="142147" w:themeColor="accent1"/>
        </w:tcBorders>
      </w:tcPr>
    </w:tblStylePr>
    <w:tblStylePr w:type="firstCol">
      <w:rPr>
        <w:b w:val="0"/>
        <w:bCs/>
      </w:rPr>
    </w:tblStylePr>
    <w:tblStylePr w:type="lastCol">
      <w:rPr>
        <w:b w:val="0"/>
        <w:bCs/>
      </w:rPr>
    </w:tblStylePr>
  </w:style>
  <w:style w:type="paragraph" w:styleId="Quote">
    <w:name w:val="Quote"/>
    <w:basedOn w:val="Normal"/>
    <w:next w:val="Normal"/>
    <w:link w:val="QuoteChar"/>
    <w:qFormat/>
    <w:rsid w:val="000375A8"/>
    <w:rPr>
      <w:i/>
      <w:iCs/>
      <w:color w:val="000000" w:themeColor="text1"/>
    </w:rPr>
  </w:style>
  <w:style w:type="character" w:customStyle="1" w:styleId="QuoteChar">
    <w:name w:val="Quote Char"/>
    <w:basedOn w:val="DefaultParagraphFont"/>
    <w:link w:val="Quote"/>
    <w:rsid w:val="000375A8"/>
    <w:rPr>
      <w:i/>
      <w:iCs/>
      <w:color w:val="000000" w:themeColor="text1"/>
    </w:rPr>
  </w:style>
  <w:style w:type="character" w:styleId="FollowedHyperlink">
    <w:name w:val="FollowedHyperlink"/>
    <w:basedOn w:val="DefaultParagraphFont"/>
    <w:semiHidden/>
    <w:rsid w:val="000375A8"/>
    <w:rPr>
      <w:color w:val="844D9E" w:themeColor="followedHyperlink"/>
      <w:u w:val="single"/>
    </w:rPr>
  </w:style>
  <w:style w:type="numbering" w:customStyle="1" w:styleId="ChartandTableFootnoteAlphaList">
    <w:name w:val="ChartandTableFootnoteAlphaList"/>
    <w:uiPriority w:val="99"/>
    <w:rsid w:val="000375A8"/>
    <w:pPr>
      <w:numPr>
        <w:numId w:val="7"/>
      </w:numPr>
    </w:pPr>
  </w:style>
  <w:style w:type="table" w:styleId="PlainTable1">
    <w:name w:val="Plain Table 1"/>
    <w:basedOn w:val="TableNormal"/>
    <w:uiPriority w:val="41"/>
    <w:rsid w:val="000375A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r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375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3">
    <w:name w:val="Grid Table 1 Light Accent 3"/>
    <w:basedOn w:val="TableNormal"/>
    <w:uiPriority w:val="46"/>
    <w:rsid w:val="000375A8"/>
    <w:tblPr>
      <w:tblStyleRowBandSize w:val="1"/>
      <w:tblStyleColBandSize w:val="1"/>
      <w:tblBorders>
        <w:top w:val="single" w:sz="4" w:space="0" w:color="D4C2A8" w:themeColor="accent3"/>
        <w:left w:val="single" w:sz="4" w:space="0" w:color="D4C2A8" w:themeColor="accent3"/>
        <w:bottom w:val="single" w:sz="4" w:space="0" w:color="D4C2A8" w:themeColor="accent3"/>
        <w:right w:val="single" w:sz="4" w:space="0" w:color="D4C2A8" w:themeColor="accent3"/>
        <w:insideH w:val="single" w:sz="4" w:space="0" w:color="D4C2A8" w:themeColor="accent3"/>
        <w:insideV w:val="single" w:sz="4" w:space="0" w:color="D4C2A8" w:themeColor="accent3"/>
      </w:tblBorders>
    </w:tblPr>
    <w:tblStylePr w:type="firstRow">
      <w:rPr>
        <w:b/>
        <w:bCs/>
      </w:rPr>
      <w:tblPr/>
      <w:tcPr>
        <w:tcBorders>
          <w:bottom w:val="single" w:sz="12" w:space="0" w:color="D4C2A8" w:themeColor="accent3"/>
        </w:tcBorders>
      </w:tcPr>
    </w:tblStylePr>
    <w:tblStylePr w:type="lastRow">
      <w:rPr>
        <w:b/>
        <w:bCs/>
      </w:rPr>
      <w:tblPr/>
      <w:tcPr>
        <w:tcBorders>
          <w:top w:val="double" w:sz="2" w:space="0" w:color="D4C2A8" w:themeColor="accent3"/>
        </w:tcBorders>
      </w:tcPr>
    </w:tblStylePr>
    <w:tblStylePr w:type="firstCol">
      <w:rPr>
        <w:b/>
        <w:bCs/>
      </w:rPr>
    </w:tblStylePr>
    <w:tblStylePr w:type="lastCol">
      <w:rPr>
        <w:b/>
        <w:bCs/>
      </w:rPr>
    </w:tblStylePr>
  </w:style>
  <w:style w:type="table" w:styleId="GridTable2">
    <w:name w:val="Grid Table 2"/>
    <w:basedOn w:val="TableNormal"/>
    <w:uiPriority w:val="47"/>
    <w:rsid w:val="000375A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0375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val="0"/>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val="0"/>
        <w:bCs/>
      </w:rPr>
      <w:tblPr/>
      <w:tcPr>
        <w:tcBorders>
          <w:top w:val="double" w:sz="4" w:space="0" w:color="000000" w:themeColor="text1"/>
        </w:tcBorders>
      </w:tcPr>
    </w:tblStylePr>
    <w:tblStylePr w:type="firstCol">
      <w:rPr>
        <w:b w:val="0"/>
        <w:bCs/>
      </w:rPr>
    </w:tblStylePr>
    <w:tblStylePr w:type="lastCol">
      <w:rPr>
        <w:b w:val="0"/>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75A8"/>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insideH w:val="single" w:sz="4" w:space="0" w:color="142147" w:themeColor="accent1"/>
        <w:insideV w:val="single" w:sz="4" w:space="0" w:color="142147" w:themeColor="accent1"/>
      </w:tblBorders>
    </w:tblPr>
    <w:tblStylePr w:type="firstRow">
      <w:rPr>
        <w:b w:val="0"/>
        <w:bCs/>
        <w:color w:val="FFFFFF" w:themeColor="background1"/>
      </w:rPr>
      <w:tblPr/>
      <w:tcPr>
        <w:tcBorders>
          <w:top w:val="single" w:sz="4" w:space="0" w:color="142147" w:themeColor="accent1"/>
          <w:left w:val="single" w:sz="4" w:space="0" w:color="142147" w:themeColor="accent1"/>
          <w:bottom w:val="single" w:sz="4" w:space="0" w:color="142147" w:themeColor="accent1"/>
          <w:right w:val="single" w:sz="4" w:space="0" w:color="142147" w:themeColor="accent1"/>
          <w:insideH w:val="nil"/>
          <w:insideV w:val="nil"/>
        </w:tcBorders>
        <w:shd w:val="clear" w:color="auto" w:fill="142147" w:themeFill="accent1"/>
      </w:tcPr>
    </w:tblStylePr>
    <w:tblStylePr w:type="lastRow">
      <w:rPr>
        <w:b w:val="0"/>
        <w:bCs/>
      </w:rPr>
      <w:tblPr/>
      <w:tcPr>
        <w:tcBorders>
          <w:top w:val="double" w:sz="4" w:space="0" w:color="142147" w:themeColor="accent1"/>
        </w:tcBorders>
      </w:tcPr>
    </w:tblStylePr>
    <w:tblStylePr w:type="firstCol">
      <w:rPr>
        <w:b w:val="0"/>
        <w:bCs/>
      </w:rPr>
    </w:tblStylePr>
    <w:tblStylePr w:type="lastCol">
      <w:rPr>
        <w:b w:val="0"/>
        <w:bCs/>
      </w:rPr>
    </w:tblStylePr>
    <w:tblStylePr w:type="band1Vert">
      <w:tblPr/>
      <w:tcPr>
        <w:shd w:val="clear" w:color="auto" w:fill="BDC9EC" w:themeFill="accent1" w:themeFillTint="33"/>
      </w:tcPr>
    </w:tblStylePr>
    <w:tblStylePr w:type="band1Horz">
      <w:tblPr/>
      <w:tcPr>
        <w:shd w:val="clear" w:color="auto" w:fill="BDC9EC" w:themeFill="accent1" w:themeFillTint="33"/>
      </w:tcPr>
    </w:tblStylePr>
  </w:style>
  <w:style w:type="table" w:styleId="GridTable4-Accent2">
    <w:name w:val="Grid Table 4 Accent 2"/>
    <w:basedOn w:val="TableNormal"/>
    <w:uiPriority w:val="49"/>
    <w:rsid w:val="000375A8"/>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insideH w:val="single" w:sz="4" w:space="0" w:color="701F4D" w:themeColor="accent2"/>
        <w:insideV w:val="single" w:sz="4" w:space="0" w:color="701F4D" w:themeColor="accent2"/>
      </w:tblBorders>
    </w:tblPr>
    <w:tblStylePr w:type="firstRow">
      <w:rPr>
        <w:b w:val="0"/>
        <w:bCs/>
        <w:color w:val="FFFFFF" w:themeColor="background1"/>
      </w:rPr>
      <w:tblPr/>
      <w:tcPr>
        <w:tcBorders>
          <w:top w:val="single" w:sz="4" w:space="0" w:color="701F4D" w:themeColor="accent2"/>
          <w:left w:val="single" w:sz="4" w:space="0" w:color="701F4D" w:themeColor="accent2"/>
          <w:bottom w:val="single" w:sz="4" w:space="0" w:color="701F4D" w:themeColor="accent2"/>
          <w:right w:val="single" w:sz="4" w:space="0" w:color="701F4D" w:themeColor="accent2"/>
          <w:insideH w:val="nil"/>
          <w:insideV w:val="nil"/>
        </w:tcBorders>
        <w:shd w:val="clear" w:color="auto" w:fill="701F4D" w:themeFill="accent2"/>
      </w:tcPr>
    </w:tblStylePr>
    <w:tblStylePr w:type="lastRow">
      <w:rPr>
        <w:b w:val="0"/>
        <w:bCs/>
      </w:rPr>
      <w:tblPr/>
      <w:tcPr>
        <w:tcBorders>
          <w:top w:val="double" w:sz="4" w:space="0" w:color="701F4D" w:themeColor="accent2"/>
        </w:tcBorders>
      </w:tcPr>
    </w:tblStylePr>
    <w:tblStylePr w:type="firstCol">
      <w:rPr>
        <w:b w:val="0"/>
        <w:bCs/>
      </w:rPr>
    </w:tblStylePr>
    <w:tblStylePr w:type="lastCol">
      <w:rPr>
        <w:b w:val="0"/>
        <w:bCs/>
      </w:rPr>
    </w:tblStylePr>
    <w:tblStylePr w:type="band1Vert">
      <w:tblPr/>
      <w:tcPr>
        <w:shd w:val="clear" w:color="auto" w:fill="EFC5DC" w:themeFill="accent2" w:themeFillTint="33"/>
      </w:tcPr>
    </w:tblStylePr>
    <w:tblStylePr w:type="band1Horz">
      <w:tblPr/>
      <w:tcPr>
        <w:shd w:val="clear" w:color="auto" w:fill="EFC5DC" w:themeFill="accent2" w:themeFillTint="33"/>
      </w:tcPr>
    </w:tblStylePr>
  </w:style>
  <w:style w:type="table" w:styleId="GridTable4-Accent3">
    <w:name w:val="Grid Table 4 Accent 3"/>
    <w:basedOn w:val="TableNormal"/>
    <w:uiPriority w:val="49"/>
    <w:rsid w:val="000375A8"/>
    <w:tblPr>
      <w:tblStyleRowBandSize w:val="1"/>
      <w:tblStyleColBandSize w:val="1"/>
      <w:tblBorders>
        <w:top w:val="single" w:sz="4" w:space="0" w:color="D4C2A8" w:themeColor="accent3"/>
        <w:left w:val="single" w:sz="4" w:space="0" w:color="D4C2A8" w:themeColor="accent3"/>
        <w:bottom w:val="single" w:sz="4" w:space="0" w:color="D4C2A8" w:themeColor="accent3"/>
        <w:right w:val="single" w:sz="4" w:space="0" w:color="D4C2A8" w:themeColor="accent3"/>
        <w:insideH w:val="single" w:sz="4" w:space="0" w:color="D4C2A8" w:themeColor="accent3"/>
        <w:insideV w:val="single" w:sz="4" w:space="0" w:color="D4C2A8" w:themeColor="accent3"/>
      </w:tblBorders>
    </w:tblPr>
    <w:tblStylePr w:type="firstRow">
      <w:rPr>
        <w:b w:val="0"/>
        <w:bCs/>
        <w:color w:val="FFFFFF" w:themeColor="background1"/>
      </w:rPr>
      <w:tblPr/>
      <w:tcPr>
        <w:tcBorders>
          <w:top w:val="single" w:sz="4" w:space="0" w:color="D4C2A8" w:themeColor="accent3"/>
          <w:left w:val="single" w:sz="4" w:space="0" w:color="D4C2A8" w:themeColor="accent3"/>
          <w:bottom w:val="single" w:sz="4" w:space="0" w:color="D4C2A8" w:themeColor="accent3"/>
          <w:right w:val="single" w:sz="4" w:space="0" w:color="D4C2A8" w:themeColor="accent3"/>
          <w:insideH w:val="nil"/>
          <w:insideV w:val="nil"/>
        </w:tcBorders>
        <w:shd w:val="clear" w:color="auto" w:fill="D4C2A8" w:themeFill="accent3"/>
      </w:tcPr>
    </w:tblStylePr>
    <w:tblStylePr w:type="lastRow">
      <w:rPr>
        <w:b w:val="0"/>
        <w:bCs/>
      </w:rPr>
      <w:tblPr/>
      <w:tcPr>
        <w:tcBorders>
          <w:top w:val="double" w:sz="4" w:space="0" w:color="D4C2A8" w:themeColor="accent3"/>
        </w:tcBorders>
      </w:tcPr>
    </w:tblStylePr>
    <w:tblStylePr w:type="firstCol">
      <w:rPr>
        <w:b w:val="0"/>
        <w:bCs/>
      </w:rPr>
    </w:tblStylePr>
    <w:tblStylePr w:type="lastCol">
      <w:rPr>
        <w:b w:val="0"/>
        <w:bCs/>
      </w:rPr>
    </w:tblStylePr>
    <w:tblStylePr w:type="band1Vert">
      <w:tblPr/>
      <w:tcPr>
        <w:shd w:val="clear" w:color="auto" w:fill="F6F2ED" w:themeFill="accent3" w:themeFillTint="33"/>
      </w:tcPr>
    </w:tblStylePr>
    <w:tblStylePr w:type="band1Horz">
      <w:tblPr/>
      <w:tcPr>
        <w:shd w:val="clear" w:color="auto" w:fill="F6F2ED" w:themeFill="accent3" w:themeFillTint="33"/>
      </w:tcPr>
    </w:tblStylePr>
  </w:style>
  <w:style w:type="table" w:styleId="GridTable4-Accent4">
    <w:name w:val="Grid Table 4 Accent 4"/>
    <w:basedOn w:val="TableNormal"/>
    <w:uiPriority w:val="49"/>
    <w:rsid w:val="000375A8"/>
    <w:tblPr>
      <w:tblStyleRowBandSize w:val="1"/>
      <w:tblStyleColBandSize w:val="1"/>
      <w:tblBorders>
        <w:top w:val="single" w:sz="4" w:space="0" w:color="8565C5" w:themeColor="accent4" w:themeTint="99"/>
        <w:left w:val="single" w:sz="4" w:space="0" w:color="8565C5" w:themeColor="accent4" w:themeTint="99"/>
        <w:bottom w:val="single" w:sz="4" w:space="0" w:color="8565C5" w:themeColor="accent4" w:themeTint="99"/>
        <w:right w:val="single" w:sz="4" w:space="0" w:color="8565C5" w:themeColor="accent4" w:themeTint="99"/>
        <w:insideH w:val="single" w:sz="4" w:space="0" w:color="8565C5" w:themeColor="accent4" w:themeTint="99"/>
        <w:insideV w:val="single" w:sz="4" w:space="0" w:color="8565C5" w:themeColor="accent4" w:themeTint="99"/>
      </w:tblBorders>
    </w:tblPr>
    <w:tblStylePr w:type="firstRow">
      <w:rPr>
        <w:b w:val="0"/>
        <w:bCs/>
        <w:color w:val="000000" w:themeColor="text1"/>
      </w:rPr>
      <w:tblPr/>
      <w:tcPr>
        <w:tcBorders>
          <w:top w:val="single" w:sz="4" w:space="0" w:color="432B73" w:themeColor="accent4"/>
          <w:left w:val="single" w:sz="4" w:space="0" w:color="432B73" w:themeColor="accent4"/>
          <w:bottom w:val="single" w:sz="4" w:space="0" w:color="432B73" w:themeColor="accent4"/>
          <w:right w:val="single" w:sz="4" w:space="0" w:color="432B73" w:themeColor="accent4"/>
          <w:insideH w:val="nil"/>
          <w:insideV w:val="nil"/>
        </w:tcBorders>
        <w:shd w:val="clear" w:color="auto" w:fill="432B73" w:themeFill="accent4"/>
      </w:tcPr>
    </w:tblStylePr>
    <w:tblStylePr w:type="lastRow">
      <w:rPr>
        <w:b w:val="0"/>
        <w:bCs/>
      </w:rPr>
      <w:tblPr/>
      <w:tcPr>
        <w:tcBorders>
          <w:top w:val="double" w:sz="4" w:space="0" w:color="432B73" w:themeColor="accent4"/>
        </w:tcBorders>
      </w:tcPr>
    </w:tblStylePr>
    <w:tblStylePr w:type="firstCol">
      <w:rPr>
        <w:b w:val="0"/>
        <w:bCs/>
      </w:rPr>
    </w:tblStylePr>
    <w:tblStylePr w:type="lastCol">
      <w:rPr>
        <w:b w:val="0"/>
        <w:bCs/>
      </w:rPr>
    </w:tblStylePr>
    <w:tblStylePr w:type="band1Vert">
      <w:tblPr/>
      <w:tcPr>
        <w:shd w:val="clear" w:color="auto" w:fill="D6CBEB" w:themeFill="accent4" w:themeFillTint="33"/>
      </w:tcPr>
    </w:tblStylePr>
    <w:tblStylePr w:type="band1Horz">
      <w:tblPr/>
      <w:tcPr>
        <w:shd w:val="clear" w:color="auto" w:fill="D6CBEB" w:themeFill="accent4" w:themeFillTint="33"/>
      </w:tcPr>
    </w:tblStylePr>
  </w:style>
  <w:style w:type="table" w:styleId="GridTable4-Accent5">
    <w:name w:val="Grid Table 4 Accent 5"/>
    <w:basedOn w:val="TableNormal"/>
    <w:uiPriority w:val="49"/>
    <w:rsid w:val="000375A8"/>
    <w:tblPr>
      <w:tblStyleRowBandSize w:val="1"/>
      <w:tblStyleColBandSize w:val="1"/>
      <w:tblBorders>
        <w:top w:val="single" w:sz="4" w:space="0" w:color="A2CDEA" w:themeColor="accent5" w:themeTint="99"/>
        <w:left w:val="single" w:sz="4" w:space="0" w:color="A2CDEA" w:themeColor="accent5" w:themeTint="99"/>
        <w:bottom w:val="single" w:sz="4" w:space="0" w:color="A2CDEA" w:themeColor="accent5" w:themeTint="99"/>
        <w:right w:val="single" w:sz="4" w:space="0" w:color="A2CDEA" w:themeColor="accent5" w:themeTint="99"/>
        <w:insideH w:val="single" w:sz="4" w:space="0" w:color="A2CDEA" w:themeColor="accent5" w:themeTint="99"/>
        <w:insideV w:val="single" w:sz="4" w:space="0" w:color="A2CDEA" w:themeColor="accent5" w:themeTint="99"/>
      </w:tblBorders>
    </w:tblPr>
    <w:tblStylePr w:type="firstRow">
      <w:rPr>
        <w:b w:val="0"/>
        <w:bCs/>
        <w:color w:val="000000" w:themeColor="text1"/>
      </w:rPr>
      <w:tblPr/>
      <w:tcPr>
        <w:tcBorders>
          <w:top w:val="single" w:sz="4" w:space="0" w:color="65ACDC" w:themeColor="accent5"/>
          <w:left w:val="single" w:sz="4" w:space="0" w:color="65ACDC" w:themeColor="accent5"/>
          <w:bottom w:val="single" w:sz="4" w:space="0" w:color="65ACDC" w:themeColor="accent5"/>
          <w:right w:val="single" w:sz="4" w:space="0" w:color="65ACDC" w:themeColor="accent5"/>
          <w:insideH w:val="nil"/>
          <w:insideV w:val="nil"/>
        </w:tcBorders>
        <w:shd w:val="clear" w:color="auto" w:fill="65ACDC" w:themeFill="accent5"/>
      </w:tcPr>
    </w:tblStylePr>
    <w:tblStylePr w:type="lastRow">
      <w:rPr>
        <w:b w:val="0"/>
        <w:bCs/>
      </w:rPr>
      <w:tblPr/>
      <w:tcPr>
        <w:tcBorders>
          <w:top w:val="double" w:sz="4" w:space="0" w:color="65ACDC" w:themeColor="accent5"/>
        </w:tcBorders>
      </w:tcPr>
    </w:tblStylePr>
    <w:tblStylePr w:type="firstCol">
      <w:rPr>
        <w:b w:val="0"/>
        <w:bCs/>
      </w:rPr>
    </w:tblStylePr>
    <w:tblStylePr w:type="lastCol">
      <w:rPr>
        <w:b w:val="0"/>
        <w:bCs/>
      </w:rPr>
    </w:tblStylePr>
    <w:tblStylePr w:type="band1Vert">
      <w:tblPr/>
      <w:tcPr>
        <w:shd w:val="clear" w:color="auto" w:fill="E0EEF8" w:themeFill="accent5" w:themeFillTint="33"/>
      </w:tcPr>
    </w:tblStylePr>
    <w:tblStylePr w:type="band1Horz">
      <w:tblPr/>
      <w:tcPr>
        <w:shd w:val="clear" w:color="auto" w:fill="E0EEF8" w:themeFill="accent5" w:themeFillTint="33"/>
      </w:tcPr>
    </w:tblStylePr>
  </w:style>
  <w:style w:type="table" w:styleId="GridTable4-Accent6">
    <w:name w:val="Grid Table 4 Accent 6"/>
    <w:basedOn w:val="TableNormal"/>
    <w:uiPriority w:val="49"/>
    <w:rsid w:val="000375A8"/>
    <w:tblPr>
      <w:tblStyleRowBandSize w:val="1"/>
      <w:tblStyleColBandSize w:val="1"/>
      <w:tblBorders>
        <w:top w:val="single" w:sz="4" w:space="0" w:color="C6C5E5" w:themeColor="accent6" w:themeTint="99"/>
        <w:left w:val="single" w:sz="4" w:space="0" w:color="C6C5E5" w:themeColor="accent6" w:themeTint="99"/>
        <w:bottom w:val="single" w:sz="4" w:space="0" w:color="C6C5E5" w:themeColor="accent6" w:themeTint="99"/>
        <w:right w:val="single" w:sz="4" w:space="0" w:color="C6C5E5" w:themeColor="accent6" w:themeTint="99"/>
        <w:insideH w:val="single" w:sz="4" w:space="0" w:color="C6C5E5" w:themeColor="accent6" w:themeTint="99"/>
        <w:insideV w:val="single" w:sz="4" w:space="0" w:color="C6C5E5" w:themeColor="accent6" w:themeTint="99"/>
      </w:tblBorders>
    </w:tblPr>
    <w:tblStylePr w:type="firstRow">
      <w:rPr>
        <w:b w:val="0"/>
        <w:bCs/>
        <w:color w:val="auto"/>
      </w:rPr>
      <w:tblPr/>
      <w:tcPr>
        <w:tcBorders>
          <w:top w:val="single" w:sz="4" w:space="0" w:color="A2A0D5" w:themeColor="accent6"/>
          <w:left w:val="single" w:sz="4" w:space="0" w:color="A2A0D5" w:themeColor="accent6"/>
          <w:bottom w:val="single" w:sz="4" w:space="0" w:color="A2A0D5" w:themeColor="accent6"/>
          <w:right w:val="single" w:sz="4" w:space="0" w:color="A2A0D5" w:themeColor="accent6"/>
          <w:insideH w:val="nil"/>
          <w:insideV w:val="nil"/>
        </w:tcBorders>
        <w:shd w:val="clear" w:color="auto" w:fill="A2A0D5" w:themeFill="accent6"/>
      </w:tcPr>
    </w:tblStylePr>
    <w:tblStylePr w:type="lastRow">
      <w:rPr>
        <w:b w:val="0"/>
        <w:bCs/>
      </w:rPr>
      <w:tblPr/>
      <w:tcPr>
        <w:tcBorders>
          <w:top w:val="double" w:sz="4" w:space="0" w:color="A2A0D5" w:themeColor="accent6"/>
        </w:tcBorders>
      </w:tcPr>
    </w:tblStylePr>
    <w:tblStylePr w:type="firstCol">
      <w:rPr>
        <w:b w:val="0"/>
        <w:bCs/>
      </w:rPr>
    </w:tblStylePr>
    <w:tblStylePr w:type="lastCol">
      <w:rPr>
        <w:b w:val="0"/>
        <w:bCs/>
      </w:rPr>
    </w:tblStylePr>
    <w:tblStylePr w:type="band1Vert">
      <w:tblPr/>
      <w:tcPr>
        <w:shd w:val="clear" w:color="auto" w:fill="ECEBF6" w:themeFill="accent6" w:themeFillTint="33"/>
      </w:tcPr>
    </w:tblStylePr>
    <w:tblStylePr w:type="band1Horz">
      <w:tblPr/>
      <w:tcPr>
        <w:shd w:val="clear" w:color="auto" w:fill="ECEBF6" w:themeFill="accent6" w:themeFillTint="33"/>
      </w:tcPr>
    </w:tblStylePr>
  </w:style>
  <w:style w:type="table" w:styleId="GridTable5Dark">
    <w:name w:val="Grid Table 5 Dark"/>
    <w:basedOn w:val="TableNormal"/>
    <w:uiPriority w:val="50"/>
    <w:rsid w:val="000375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75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C9EC"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2147" w:themeFill="accent1"/>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2147"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2147" w:themeFill="accent1"/>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2147" w:themeFill="accent1"/>
      </w:tcPr>
    </w:tblStylePr>
    <w:tblStylePr w:type="band1Vert">
      <w:tblPr/>
      <w:tcPr>
        <w:shd w:val="clear" w:color="auto" w:fill="7C94DA" w:themeFill="accent1" w:themeFillTint="66"/>
      </w:tcPr>
    </w:tblStylePr>
    <w:tblStylePr w:type="band1Horz">
      <w:tblPr/>
      <w:tcPr>
        <w:shd w:val="clear" w:color="auto" w:fill="7C94DA" w:themeFill="accent1" w:themeFillTint="66"/>
      </w:tcPr>
    </w:tblStylePr>
  </w:style>
  <w:style w:type="table" w:styleId="GridTable5Dark-Accent2">
    <w:name w:val="Grid Table 5 Dark Accent 2"/>
    <w:basedOn w:val="TableNormal"/>
    <w:uiPriority w:val="50"/>
    <w:rsid w:val="000375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C5DC" w:themeFill="accent2"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1F4D" w:themeFill="accent2"/>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1F4D" w:themeFill="accent2"/>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1F4D" w:themeFill="accent2"/>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1F4D" w:themeFill="accent2"/>
      </w:tcPr>
    </w:tblStylePr>
    <w:tblStylePr w:type="band1Vert">
      <w:tblPr/>
      <w:tcPr>
        <w:shd w:val="clear" w:color="auto" w:fill="DF8BBA" w:themeFill="accent2" w:themeFillTint="66"/>
      </w:tcPr>
    </w:tblStylePr>
    <w:tblStylePr w:type="band1Horz">
      <w:tblPr/>
      <w:tcPr>
        <w:shd w:val="clear" w:color="auto" w:fill="DF8BBA" w:themeFill="accent2" w:themeFillTint="66"/>
      </w:tcPr>
    </w:tblStylePr>
  </w:style>
  <w:style w:type="table" w:styleId="GridTable5Dark-Accent3">
    <w:name w:val="Grid Table 5 Dark Accent 3"/>
    <w:basedOn w:val="TableNormal"/>
    <w:uiPriority w:val="50"/>
    <w:rsid w:val="000375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2ED" w:themeFill="accent3"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C2A8" w:themeFill="accent3"/>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C2A8" w:themeFill="accent3"/>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C2A8" w:themeFill="accent3"/>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C2A8" w:themeFill="accent3"/>
      </w:tcPr>
    </w:tblStylePr>
    <w:tblStylePr w:type="band1Vert">
      <w:tblPr/>
      <w:tcPr>
        <w:shd w:val="clear" w:color="auto" w:fill="EDE6DC" w:themeFill="accent3" w:themeFillTint="66"/>
      </w:tcPr>
    </w:tblStylePr>
    <w:tblStylePr w:type="band1Horz">
      <w:tblPr/>
      <w:tcPr>
        <w:shd w:val="clear" w:color="auto" w:fill="EDE6DC" w:themeFill="accent3" w:themeFillTint="66"/>
      </w:tcPr>
    </w:tblStylePr>
  </w:style>
  <w:style w:type="table" w:styleId="GridTable5Dark-Accent4">
    <w:name w:val="Grid Table 5 Dark Accent 4"/>
    <w:basedOn w:val="TableNormal"/>
    <w:uiPriority w:val="50"/>
    <w:rsid w:val="000375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CBEB" w:themeFill="accent4" w:themeFillTint="33"/>
    </w:tcPr>
    <w:tblStylePr w:type="firstRow">
      <w:rPr>
        <w:b w:val="0"/>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32B73" w:themeFill="accent4"/>
      </w:tcPr>
    </w:tblStylePr>
    <w:tblStylePr w:type="lastRow">
      <w:rPr>
        <w:b w:val="0"/>
        <w:bCs/>
        <w:color w:va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32B73" w:themeFill="accent4"/>
      </w:tcPr>
    </w:tblStylePr>
    <w:tblStylePr w:type="firstCol">
      <w:rPr>
        <w:b w:val="0"/>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32B73" w:themeFill="accent4"/>
      </w:tcPr>
    </w:tblStylePr>
    <w:tblStylePr w:type="lastCol">
      <w:rPr>
        <w:b w:val="0"/>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32B73" w:themeFill="accent4"/>
      </w:tcPr>
    </w:tblStylePr>
    <w:tblStylePr w:type="band1Vert">
      <w:tblPr/>
      <w:tcPr>
        <w:shd w:val="clear" w:color="auto" w:fill="AD98D8" w:themeFill="accent4" w:themeFillTint="66"/>
      </w:tcPr>
    </w:tblStylePr>
    <w:tblStylePr w:type="band1Horz">
      <w:tblPr/>
      <w:tcPr>
        <w:shd w:val="clear" w:color="auto" w:fill="AD98D8" w:themeFill="accent4" w:themeFillTint="66"/>
      </w:tcPr>
    </w:tblStylePr>
  </w:style>
  <w:style w:type="table" w:styleId="GridTable5Dark-Accent5">
    <w:name w:val="Grid Table 5 Dark Accent 5"/>
    <w:basedOn w:val="TableNormal"/>
    <w:uiPriority w:val="50"/>
    <w:rsid w:val="000375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EF8" w:themeFill="accent5" w:themeFillTint="33"/>
    </w:tcPr>
    <w:tblStylePr w:type="firstRow">
      <w:rPr>
        <w:b w:val="0"/>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5ACDC" w:themeFill="accent5"/>
      </w:tcPr>
    </w:tblStylePr>
    <w:tblStylePr w:type="lastRow">
      <w:rPr>
        <w:b w:val="0"/>
        <w:bCs/>
        <w:color w:va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5ACDC" w:themeFill="accent5"/>
      </w:tcPr>
    </w:tblStylePr>
    <w:tblStylePr w:type="firstCol">
      <w:rPr>
        <w:b w:val="0"/>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5ACDC" w:themeFill="accent5"/>
      </w:tcPr>
    </w:tblStylePr>
    <w:tblStylePr w:type="lastCol">
      <w:rPr>
        <w:b w:val="0"/>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5ACDC" w:themeFill="accent5"/>
      </w:tcPr>
    </w:tblStylePr>
    <w:tblStylePr w:type="band1Vert">
      <w:tblPr/>
      <w:tcPr>
        <w:shd w:val="clear" w:color="auto" w:fill="C1DDF1" w:themeFill="accent5" w:themeFillTint="66"/>
      </w:tcPr>
    </w:tblStylePr>
    <w:tblStylePr w:type="band1Horz">
      <w:tblPr/>
      <w:tcPr>
        <w:shd w:val="clear" w:color="auto" w:fill="C1DDF1" w:themeFill="accent5" w:themeFillTint="66"/>
      </w:tcPr>
    </w:tblStylePr>
  </w:style>
  <w:style w:type="table" w:styleId="GridTable5Dark-Accent6">
    <w:name w:val="Grid Table 5 Dark Accent 6"/>
    <w:basedOn w:val="TableNormal"/>
    <w:uiPriority w:val="50"/>
    <w:rsid w:val="000375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BF6" w:themeFill="accent6" w:themeFillTint="33"/>
    </w:tcPr>
    <w:tblStylePr w:type="firstRow">
      <w:rPr>
        <w:b w:val="0"/>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2A0D5" w:themeFill="accent6"/>
      </w:tcPr>
    </w:tblStylePr>
    <w:tblStylePr w:type="lastRow">
      <w:rPr>
        <w:b w:val="0"/>
        <w:bCs/>
        <w:color w:va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2A0D5" w:themeFill="accent6"/>
      </w:tcPr>
    </w:tblStylePr>
    <w:tblStylePr w:type="firstCol">
      <w:rPr>
        <w:b w:val="0"/>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2A0D5" w:themeFill="accent6"/>
      </w:tcPr>
    </w:tblStylePr>
    <w:tblStylePr w:type="lastCol">
      <w:rPr>
        <w:b w:val="0"/>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2A0D5" w:themeFill="accent6"/>
      </w:tcPr>
    </w:tblStylePr>
    <w:tblStylePr w:type="band1Vert">
      <w:tblPr/>
      <w:tcPr>
        <w:shd w:val="clear" w:color="auto" w:fill="D9D8EE" w:themeFill="accent6" w:themeFillTint="66"/>
      </w:tcPr>
    </w:tblStylePr>
    <w:tblStylePr w:type="band1Horz">
      <w:tblPr/>
      <w:tcPr>
        <w:shd w:val="clear" w:color="auto" w:fill="D9D8EE" w:themeFill="accent6" w:themeFillTint="66"/>
      </w:tcPr>
    </w:tblStylePr>
  </w:style>
  <w:style w:type="table" w:styleId="GridTable6Colorful">
    <w:name w:val="Grid Table 6 Colorful"/>
    <w:basedOn w:val="TableNormal"/>
    <w:uiPriority w:val="51"/>
    <w:rsid w:val="000375A8"/>
    <w:rPr>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bCs/>
      </w:rPr>
      <w:tblPr/>
      <w:tcPr>
        <w:tcBorders>
          <w:bottom w:val="single" w:sz="12" w:space="0" w:color="666666" w:themeColor="text1" w:themeTint="99"/>
        </w:tcBorders>
      </w:tcPr>
    </w:tblStylePr>
    <w:tblStylePr w:type="lastRow">
      <w:rPr>
        <w:b w:val="0"/>
        <w:bCs/>
      </w:rPr>
      <w:tblPr/>
      <w:tcPr>
        <w:tcBorders>
          <w:top w:val="double" w:sz="4" w:space="0" w:color="666666" w:themeColor="text1" w:themeTint="99"/>
        </w:tcBorders>
      </w:tcPr>
    </w:tblStylePr>
    <w:tblStylePr w:type="firstCol">
      <w:rPr>
        <w:b w:val="0"/>
        <w:bCs/>
      </w:rPr>
    </w:tblStylePr>
    <w:tblStylePr w:type="lastCol">
      <w:rPr>
        <w:b w:val="0"/>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75A8"/>
    <w:rPr>
      <w:color w:val="0F1835" w:themeColor="accent1" w:themeShade="BF"/>
    </w:rPr>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insideH w:val="single" w:sz="4" w:space="0" w:color="142147" w:themeColor="accent1"/>
        <w:insideV w:val="single" w:sz="4" w:space="0" w:color="142147" w:themeColor="accent1"/>
      </w:tblBorders>
    </w:tblPr>
    <w:tblStylePr w:type="firstRow">
      <w:rPr>
        <w:b w:val="0"/>
        <w:bCs/>
      </w:rPr>
      <w:tblPr/>
      <w:tcPr>
        <w:tcBorders>
          <w:bottom w:val="single" w:sz="12" w:space="0" w:color="auto"/>
        </w:tcBorders>
      </w:tcPr>
    </w:tblStylePr>
    <w:tblStylePr w:type="lastRow">
      <w:rPr>
        <w:b w:val="0"/>
        <w:bCs/>
      </w:rPr>
      <w:tblPr/>
      <w:tcPr>
        <w:tcBorders>
          <w:top w:val="double" w:sz="4" w:space="0" w:color="142147" w:themeColor="accent1"/>
        </w:tcBorders>
      </w:tcPr>
    </w:tblStylePr>
    <w:tblStylePr w:type="firstCol">
      <w:rPr>
        <w:b w:val="0"/>
        <w:bCs/>
      </w:rPr>
    </w:tblStylePr>
    <w:tblStylePr w:type="lastCol">
      <w:rPr>
        <w:b w:val="0"/>
        <w:bCs/>
      </w:rPr>
    </w:tblStylePr>
    <w:tblStylePr w:type="band1Vert">
      <w:tblPr/>
      <w:tcPr>
        <w:shd w:val="clear" w:color="auto" w:fill="BDC9EC" w:themeFill="accent1" w:themeFillTint="33"/>
      </w:tcPr>
    </w:tblStylePr>
    <w:tblStylePr w:type="band1Horz">
      <w:tblPr/>
      <w:tcPr>
        <w:shd w:val="clear" w:color="auto" w:fill="BDC9EC" w:themeFill="accent1" w:themeFillTint="33"/>
      </w:tcPr>
    </w:tblStylePr>
  </w:style>
  <w:style w:type="table" w:styleId="GridTable6Colorful-Accent2">
    <w:name w:val="Grid Table 6 Colorful Accent 2"/>
    <w:basedOn w:val="TableNormal"/>
    <w:uiPriority w:val="51"/>
    <w:rsid w:val="000375A8"/>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insideH w:val="single" w:sz="4" w:space="0" w:color="701F4D" w:themeColor="accent2"/>
        <w:insideV w:val="single" w:sz="4" w:space="0" w:color="701F4D" w:themeColor="accent2"/>
      </w:tblBorders>
    </w:tblPr>
    <w:tblStylePr w:type="firstRow">
      <w:rPr>
        <w:b w:val="0"/>
        <w:bCs/>
      </w:rPr>
      <w:tblPr/>
      <w:tcPr>
        <w:tcBorders>
          <w:bottom w:val="single" w:sz="12" w:space="0" w:color="701F4D" w:themeColor="accent2"/>
        </w:tcBorders>
      </w:tcPr>
    </w:tblStylePr>
    <w:tblStylePr w:type="lastRow">
      <w:rPr>
        <w:b w:val="0"/>
        <w:bCs/>
      </w:rPr>
      <w:tblPr/>
      <w:tcPr>
        <w:tcBorders>
          <w:top w:val="double" w:sz="4" w:space="0" w:color="701F4D" w:themeColor="accent2"/>
        </w:tcBorders>
      </w:tcPr>
    </w:tblStylePr>
    <w:tblStylePr w:type="firstCol">
      <w:rPr>
        <w:b w:val="0"/>
        <w:bCs/>
      </w:rPr>
    </w:tblStylePr>
    <w:tblStylePr w:type="lastCol">
      <w:rPr>
        <w:b w:val="0"/>
        <w:bCs/>
      </w:rPr>
    </w:tblStylePr>
    <w:tblStylePr w:type="band1Vert">
      <w:tblPr/>
      <w:tcPr>
        <w:shd w:val="clear" w:color="auto" w:fill="EFC5DC" w:themeFill="accent2" w:themeFillTint="33"/>
      </w:tcPr>
    </w:tblStylePr>
    <w:tblStylePr w:type="band1Horz">
      <w:tblPr/>
      <w:tcPr>
        <w:shd w:val="clear" w:color="auto" w:fill="EFC5DC" w:themeFill="accent2" w:themeFillTint="33"/>
      </w:tcPr>
    </w:tblStylePr>
  </w:style>
  <w:style w:type="table" w:styleId="GridTable6Colorful-Accent3">
    <w:name w:val="Grid Table 6 Colorful Accent 3"/>
    <w:basedOn w:val="TableNormal"/>
    <w:uiPriority w:val="51"/>
    <w:rsid w:val="000375A8"/>
    <w:rPr>
      <w:color w:val="B49468" w:themeColor="accent3" w:themeShade="BF"/>
    </w:rPr>
    <w:tblPr>
      <w:tblStyleRowBandSize w:val="1"/>
      <w:tblStyleColBandSize w:val="1"/>
      <w:tblBorders>
        <w:top w:val="single" w:sz="4" w:space="0" w:color="D4C2A8" w:themeColor="accent3"/>
        <w:left w:val="single" w:sz="4" w:space="0" w:color="D4C2A8" w:themeColor="accent3"/>
        <w:bottom w:val="single" w:sz="4" w:space="0" w:color="D4C2A8" w:themeColor="accent3"/>
        <w:right w:val="single" w:sz="4" w:space="0" w:color="D4C2A8" w:themeColor="accent3"/>
        <w:insideH w:val="single" w:sz="4" w:space="0" w:color="D4C2A8" w:themeColor="accent3"/>
        <w:insideV w:val="single" w:sz="4" w:space="0" w:color="D4C2A8" w:themeColor="accent3"/>
      </w:tblBorders>
    </w:tblPr>
    <w:tblStylePr w:type="firstRow">
      <w:rPr>
        <w:b w:val="0"/>
        <w:bCs/>
      </w:rPr>
      <w:tblPr/>
      <w:tcPr>
        <w:tcBorders>
          <w:bottom w:val="single" w:sz="12" w:space="0" w:color="D4C2A8" w:themeColor="accent3"/>
        </w:tcBorders>
      </w:tcPr>
    </w:tblStylePr>
    <w:tblStylePr w:type="lastRow">
      <w:rPr>
        <w:b w:val="0"/>
        <w:bCs/>
      </w:rPr>
      <w:tblPr/>
      <w:tcPr>
        <w:tcBorders>
          <w:top w:val="double" w:sz="4" w:space="0" w:color="D4C2A8" w:themeColor="accent3"/>
        </w:tcBorders>
      </w:tcPr>
    </w:tblStylePr>
    <w:tblStylePr w:type="firstCol">
      <w:rPr>
        <w:b w:val="0"/>
        <w:bCs/>
      </w:rPr>
    </w:tblStylePr>
    <w:tblStylePr w:type="lastCol">
      <w:rPr>
        <w:b w:val="0"/>
        <w:bCs/>
      </w:rPr>
    </w:tblStylePr>
    <w:tblStylePr w:type="band1Vert">
      <w:tblPr/>
      <w:tcPr>
        <w:shd w:val="clear" w:color="auto" w:fill="F6F2ED" w:themeFill="accent3" w:themeFillTint="33"/>
      </w:tcPr>
    </w:tblStylePr>
    <w:tblStylePr w:type="band1Horz">
      <w:tblPr/>
      <w:tcPr>
        <w:shd w:val="clear" w:color="auto" w:fill="F6F2ED" w:themeFill="accent3" w:themeFillTint="33"/>
      </w:tcPr>
    </w:tblStylePr>
  </w:style>
  <w:style w:type="table" w:styleId="GridTable6Colorful-Accent4">
    <w:name w:val="Grid Table 6 Colorful Accent 4"/>
    <w:basedOn w:val="TableNormal"/>
    <w:uiPriority w:val="51"/>
    <w:rsid w:val="000375A8"/>
    <w:rPr>
      <w:color w:val="D4C2A8" w:themeColor="accent3"/>
    </w:rPr>
    <w:tblPr>
      <w:tblStyleRowBandSize w:val="1"/>
      <w:tblStyleColBandSize w:val="1"/>
      <w:tblBorders>
        <w:top w:val="single" w:sz="4" w:space="0" w:color="8565C5" w:themeColor="accent4" w:themeTint="99"/>
        <w:left w:val="single" w:sz="4" w:space="0" w:color="8565C5" w:themeColor="accent4" w:themeTint="99"/>
        <w:bottom w:val="single" w:sz="4" w:space="0" w:color="8565C5" w:themeColor="accent4" w:themeTint="99"/>
        <w:right w:val="single" w:sz="4" w:space="0" w:color="8565C5" w:themeColor="accent4" w:themeTint="99"/>
        <w:insideH w:val="single" w:sz="4" w:space="0" w:color="8565C5" w:themeColor="accent4" w:themeTint="99"/>
        <w:insideV w:val="single" w:sz="4" w:space="0" w:color="8565C5" w:themeColor="accent4" w:themeTint="99"/>
      </w:tblBorders>
    </w:tblPr>
    <w:tblStylePr w:type="firstRow">
      <w:rPr>
        <w:b w:val="0"/>
        <w:bCs/>
      </w:rPr>
      <w:tblPr/>
      <w:tcPr>
        <w:tcBorders>
          <w:bottom w:val="single" w:sz="12" w:space="0" w:color="8565C5" w:themeColor="accent4" w:themeTint="99"/>
        </w:tcBorders>
      </w:tcPr>
    </w:tblStylePr>
    <w:tblStylePr w:type="lastRow">
      <w:rPr>
        <w:b w:val="0"/>
        <w:bCs/>
      </w:rPr>
      <w:tblPr/>
      <w:tcPr>
        <w:tcBorders>
          <w:top w:val="double" w:sz="4" w:space="0" w:color="8565C5" w:themeColor="accent4" w:themeTint="99"/>
        </w:tcBorders>
      </w:tcPr>
    </w:tblStylePr>
    <w:tblStylePr w:type="firstCol">
      <w:rPr>
        <w:b w:val="0"/>
        <w:bCs/>
      </w:rPr>
    </w:tblStylePr>
    <w:tblStylePr w:type="lastCol">
      <w:rPr>
        <w:b w:val="0"/>
        <w:bCs/>
        <w:color w:val="D4C2A8" w:themeColor="accent3"/>
      </w:rPr>
    </w:tblStylePr>
    <w:tblStylePr w:type="band1Vert">
      <w:tblPr/>
      <w:tcPr>
        <w:shd w:val="clear" w:color="auto" w:fill="D6CBEB" w:themeFill="accent4" w:themeFillTint="33"/>
      </w:tcPr>
    </w:tblStylePr>
    <w:tblStylePr w:type="band1Horz">
      <w:tblPr/>
      <w:tcPr>
        <w:shd w:val="clear" w:color="auto" w:fill="D6CBEB" w:themeFill="accent4" w:themeFillTint="33"/>
      </w:tcPr>
    </w:tblStylePr>
  </w:style>
  <w:style w:type="table" w:styleId="GridTable6Colorful-Accent5">
    <w:name w:val="Grid Table 6 Colorful Accent 5"/>
    <w:basedOn w:val="TableNormal"/>
    <w:uiPriority w:val="51"/>
    <w:rsid w:val="000375A8"/>
    <w:rPr>
      <w:color w:val="142147" w:themeColor="accent1"/>
    </w:rPr>
    <w:tblPr>
      <w:tblStyleRowBandSize w:val="1"/>
      <w:tblStyleColBandSize w:val="1"/>
      <w:tblBorders>
        <w:top w:val="single" w:sz="4" w:space="0" w:color="A2CDEA" w:themeColor="accent5" w:themeTint="99"/>
        <w:left w:val="single" w:sz="4" w:space="0" w:color="A2CDEA" w:themeColor="accent5" w:themeTint="99"/>
        <w:bottom w:val="single" w:sz="4" w:space="0" w:color="A2CDEA" w:themeColor="accent5" w:themeTint="99"/>
        <w:right w:val="single" w:sz="4" w:space="0" w:color="A2CDEA" w:themeColor="accent5" w:themeTint="99"/>
        <w:insideH w:val="single" w:sz="4" w:space="0" w:color="A2CDEA" w:themeColor="accent5" w:themeTint="99"/>
        <w:insideV w:val="single" w:sz="4" w:space="0" w:color="A2CDEA" w:themeColor="accent5" w:themeTint="99"/>
      </w:tblBorders>
    </w:tblPr>
    <w:tblStylePr w:type="firstRow">
      <w:rPr>
        <w:b w:val="0"/>
        <w:bCs/>
      </w:rPr>
      <w:tblPr/>
      <w:tcPr>
        <w:tcBorders>
          <w:bottom w:val="single" w:sz="12" w:space="0" w:color="A2CDEA" w:themeColor="accent5" w:themeTint="99"/>
        </w:tcBorders>
      </w:tcPr>
    </w:tblStylePr>
    <w:tblStylePr w:type="lastRow">
      <w:rPr>
        <w:b w:val="0"/>
        <w:bCs/>
      </w:rPr>
      <w:tblPr/>
      <w:tcPr>
        <w:tcBorders>
          <w:top w:val="double" w:sz="4" w:space="0" w:color="A2CDEA" w:themeColor="accent5" w:themeTint="99"/>
        </w:tcBorders>
      </w:tcPr>
    </w:tblStylePr>
    <w:tblStylePr w:type="firstCol">
      <w:rPr>
        <w:b w:val="0"/>
        <w:bCs/>
      </w:rPr>
    </w:tblStylePr>
    <w:tblStylePr w:type="lastCol">
      <w:rPr>
        <w:b w:val="0"/>
        <w:bCs/>
      </w:rPr>
    </w:tblStylePr>
    <w:tblStylePr w:type="band1Vert">
      <w:tblPr/>
      <w:tcPr>
        <w:shd w:val="clear" w:color="auto" w:fill="E0EEF8" w:themeFill="accent5" w:themeFillTint="33"/>
      </w:tcPr>
    </w:tblStylePr>
    <w:tblStylePr w:type="band1Horz">
      <w:tblPr/>
      <w:tcPr>
        <w:shd w:val="clear" w:color="auto" w:fill="E0EEF8" w:themeFill="accent5" w:themeFillTint="33"/>
      </w:tcPr>
    </w:tblStylePr>
  </w:style>
  <w:style w:type="table" w:styleId="GridTable6Colorful-Accent6">
    <w:name w:val="Grid Table 6 Colorful Accent 6"/>
    <w:basedOn w:val="TableNormal"/>
    <w:uiPriority w:val="51"/>
    <w:rsid w:val="000375A8"/>
    <w:rPr>
      <w:color w:val="701F4D" w:themeColor="accent2"/>
    </w:rPr>
    <w:tblPr>
      <w:tblStyleRowBandSize w:val="1"/>
      <w:tblStyleColBandSize w:val="1"/>
      <w:tblBorders>
        <w:top w:val="single" w:sz="4" w:space="0" w:color="C6C5E5" w:themeColor="accent6" w:themeTint="99"/>
        <w:left w:val="single" w:sz="4" w:space="0" w:color="C6C5E5" w:themeColor="accent6" w:themeTint="99"/>
        <w:bottom w:val="single" w:sz="4" w:space="0" w:color="C6C5E5" w:themeColor="accent6" w:themeTint="99"/>
        <w:right w:val="single" w:sz="4" w:space="0" w:color="C6C5E5" w:themeColor="accent6" w:themeTint="99"/>
        <w:insideH w:val="single" w:sz="4" w:space="0" w:color="C6C5E5" w:themeColor="accent6" w:themeTint="99"/>
        <w:insideV w:val="single" w:sz="4" w:space="0" w:color="C6C5E5" w:themeColor="accent6" w:themeTint="99"/>
      </w:tblBorders>
    </w:tblPr>
    <w:tblStylePr w:type="firstRow">
      <w:rPr>
        <w:b w:val="0"/>
        <w:bCs/>
      </w:rPr>
      <w:tblPr/>
      <w:tcPr>
        <w:tcBorders>
          <w:bottom w:val="single" w:sz="12" w:space="0" w:color="C6C5E5" w:themeColor="accent6" w:themeTint="99"/>
        </w:tcBorders>
      </w:tcPr>
    </w:tblStylePr>
    <w:tblStylePr w:type="lastRow">
      <w:rPr>
        <w:b w:val="0"/>
        <w:bCs/>
      </w:rPr>
      <w:tblPr/>
      <w:tcPr>
        <w:tcBorders>
          <w:top w:val="double" w:sz="4" w:space="0" w:color="C6C5E5" w:themeColor="accent6" w:themeTint="99"/>
        </w:tcBorders>
      </w:tcPr>
    </w:tblStylePr>
    <w:tblStylePr w:type="firstCol">
      <w:rPr>
        <w:b w:val="0"/>
        <w:bCs/>
      </w:rPr>
    </w:tblStylePr>
    <w:tblStylePr w:type="lastCol">
      <w:rPr>
        <w:b w:val="0"/>
        <w:bCs/>
      </w:rPr>
    </w:tblStylePr>
    <w:tblStylePr w:type="band1Vert">
      <w:tblPr/>
      <w:tcPr>
        <w:shd w:val="clear" w:color="auto" w:fill="ECEBF6" w:themeFill="accent6" w:themeFillTint="33"/>
      </w:tcPr>
    </w:tblStylePr>
    <w:tblStylePr w:type="band1Horz">
      <w:tblPr/>
      <w:tcPr>
        <w:shd w:val="clear" w:color="auto" w:fill="ECEBF6" w:themeFill="accent6" w:themeFillTint="33"/>
      </w:tcPr>
    </w:tblStylePr>
  </w:style>
  <w:style w:type="table" w:styleId="ListTable4">
    <w:name w:val="List Table 4"/>
    <w:basedOn w:val="TableNormal"/>
    <w:uiPriority w:val="49"/>
    <w:rsid w:val="000375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val="0"/>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val="0"/>
        <w:bCs/>
      </w:rPr>
      <w:tblPr/>
      <w:tcPr>
        <w:tcBorders>
          <w:top w:val="double" w:sz="4" w:space="0" w:color="666666" w:themeColor="text1" w:themeTint="99"/>
        </w:tcBorders>
      </w:tcPr>
    </w:tblStylePr>
    <w:tblStylePr w:type="firstCol">
      <w:rPr>
        <w:b w:val="0"/>
        <w:bCs/>
      </w:rPr>
    </w:tblStylePr>
    <w:tblStylePr w:type="lastCol">
      <w:rPr>
        <w:b w:val="0"/>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2">
    <w:name w:val="List Table 4 Accent 2"/>
    <w:basedOn w:val="TableNormal"/>
    <w:uiPriority w:val="49"/>
    <w:rsid w:val="000375A8"/>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insideH w:val="single" w:sz="4" w:space="0" w:color="701F4D" w:themeColor="accent2"/>
      </w:tblBorders>
    </w:tblPr>
    <w:tblStylePr w:type="firstRow">
      <w:rPr>
        <w:b w:val="0"/>
        <w:bCs/>
        <w:color w:val="FFFFFF" w:themeColor="background1"/>
      </w:rPr>
      <w:tblPr/>
      <w:tcPr>
        <w:tcBorders>
          <w:top w:val="single" w:sz="4" w:space="0" w:color="701F4D" w:themeColor="accent2"/>
          <w:left w:val="single" w:sz="4" w:space="0" w:color="701F4D" w:themeColor="accent2"/>
          <w:bottom w:val="single" w:sz="4" w:space="0" w:color="701F4D" w:themeColor="accent2"/>
          <w:right w:val="single" w:sz="4" w:space="0" w:color="701F4D" w:themeColor="accent2"/>
          <w:insideH w:val="nil"/>
        </w:tcBorders>
        <w:shd w:val="clear" w:color="auto" w:fill="701F4D" w:themeFill="accent2"/>
      </w:tcPr>
    </w:tblStylePr>
    <w:tblStylePr w:type="lastRow">
      <w:rPr>
        <w:b w:val="0"/>
        <w:bCs/>
      </w:rPr>
      <w:tblPr/>
      <w:tcPr>
        <w:tcBorders>
          <w:top w:val="double" w:sz="4" w:space="0" w:color="CF5298" w:themeColor="accent2" w:themeTint="99"/>
        </w:tcBorders>
      </w:tcPr>
    </w:tblStylePr>
    <w:tblStylePr w:type="firstCol">
      <w:rPr>
        <w:b w:val="0"/>
        <w:bCs/>
      </w:rPr>
    </w:tblStylePr>
    <w:tblStylePr w:type="lastCol">
      <w:rPr>
        <w:b w:val="0"/>
        <w:bCs/>
      </w:rPr>
    </w:tblStylePr>
    <w:tblStylePr w:type="band1Vert">
      <w:tblPr/>
      <w:tcPr>
        <w:shd w:val="clear" w:color="auto" w:fill="EFC5DC" w:themeFill="accent2" w:themeFillTint="33"/>
      </w:tcPr>
    </w:tblStylePr>
    <w:tblStylePr w:type="band1Horz">
      <w:tblPr/>
      <w:tcPr>
        <w:shd w:val="clear" w:color="auto" w:fill="EFC5DC" w:themeFill="accent2" w:themeFillTint="33"/>
      </w:tcPr>
    </w:tblStylePr>
  </w:style>
  <w:style w:type="table" w:styleId="ListTable4-Accent3">
    <w:name w:val="List Table 4 Accent 3"/>
    <w:basedOn w:val="TableNormal"/>
    <w:uiPriority w:val="49"/>
    <w:rsid w:val="000375A8"/>
    <w:tblPr>
      <w:tblStyleRowBandSize w:val="1"/>
      <w:tblStyleColBandSize w:val="1"/>
      <w:tblBorders>
        <w:top w:val="single" w:sz="4" w:space="0" w:color="E5DACA" w:themeColor="accent3" w:themeTint="99"/>
        <w:left w:val="single" w:sz="4" w:space="0" w:color="E5DACA" w:themeColor="accent3" w:themeTint="99"/>
        <w:bottom w:val="single" w:sz="4" w:space="0" w:color="E5DACA" w:themeColor="accent3" w:themeTint="99"/>
        <w:right w:val="single" w:sz="4" w:space="0" w:color="E5DACA" w:themeColor="accent3" w:themeTint="99"/>
        <w:insideH w:val="single" w:sz="4" w:space="0" w:color="E5DACA" w:themeColor="accent3" w:themeTint="99"/>
      </w:tblBorders>
    </w:tblPr>
    <w:tblStylePr w:type="firstRow">
      <w:rPr>
        <w:b w:val="0"/>
        <w:bCs/>
        <w:color w:val="FFFFFF" w:themeColor="background1"/>
      </w:rPr>
      <w:tblPr/>
      <w:tcPr>
        <w:tcBorders>
          <w:top w:val="single" w:sz="4" w:space="0" w:color="D4C2A8" w:themeColor="accent3"/>
          <w:left w:val="single" w:sz="4" w:space="0" w:color="D4C2A8" w:themeColor="accent3"/>
          <w:bottom w:val="single" w:sz="4" w:space="0" w:color="D4C2A8" w:themeColor="accent3"/>
          <w:right w:val="single" w:sz="4" w:space="0" w:color="D4C2A8" w:themeColor="accent3"/>
          <w:insideH w:val="nil"/>
        </w:tcBorders>
        <w:shd w:val="clear" w:color="auto" w:fill="D4C2A8" w:themeFill="accent3"/>
      </w:tcPr>
    </w:tblStylePr>
    <w:tblStylePr w:type="lastRow">
      <w:rPr>
        <w:b w:val="0"/>
        <w:bCs/>
      </w:rPr>
      <w:tblPr/>
      <w:tcPr>
        <w:tcBorders>
          <w:top w:val="double" w:sz="4" w:space="0" w:color="E5DACA" w:themeColor="accent3" w:themeTint="99"/>
        </w:tcBorders>
      </w:tcPr>
    </w:tblStylePr>
    <w:tblStylePr w:type="firstCol">
      <w:rPr>
        <w:b w:val="0"/>
        <w:bCs/>
      </w:rPr>
    </w:tblStylePr>
    <w:tblStylePr w:type="lastCol">
      <w:rPr>
        <w:b w:val="0"/>
        <w:bCs/>
      </w:rPr>
    </w:tblStylePr>
    <w:tblStylePr w:type="band1Vert">
      <w:tblPr/>
      <w:tcPr>
        <w:shd w:val="clear" w:color="auto" w:fill="F6F2ED" w:themeFill="accent3" w:themeFillTint="33"/>
      </w:tcPr>
    </w:tblStylePr>
    <w:tblStylePr w:type="band1Horz">
      <w:tblPr/>
      <w:tcPr>
        <w:shd w:val="clear" w:color="auto" w:fill="F6F2ED" w:themeFill="accent3" w:themeFillTint="33"/>
      </w:tcPr>
    </w:tblStylePr>
  </w:style>
  <w:style w:type="table" w:styleId="ListTable4-Accent4">
    <w:name w:val="List Table 4 Accent 4"/>
    <w:basedOn w:val="TableNormal"/>
    <w:uiPriority w:val="49"/>
    <w:rsid w:val="000375A8"/>
    <w:tblPr>
      <w:tblStyleRowBandSize w:val="1"/>
      <w:tblStyleColBandSize w:val="1"/>
      <w:tblBorders>
        <w:top w:val="single" w:sz="4" w:space="0" w:color="8565C5" w:themeColor="accent4" w:themeTint="99"/>
        <w:left w:val="single" w:sz="4" w:space="0" w:color="8565C5" w:themeColor="accent4" w:themeTint="99"/>
        <w:bottom w:val="single" w:sz="4" w:space="0" w:color="8565C5" w:themeColor="accent4" w:themeTint="99"/>
        <w:right w:val="single" w:sz="4" w:space="0" w:color="8565C5" w:themeColor="accent4" w:themeTint="99"/>
        <w:insideH w:val="single" w:sz="4" w:space="0" w:color="8565C5" w:themeColor="accent4" w:themeTint="99"/>
      </w:tblBorders>
    </w:tblPr>
    <w:tblStylePr w:type="firstRow">
      <w:rPr>
        <w:b w:val="0"/>
        <w:bCs/>
        <w:color w:val="auto"/>
      </w:rPr>
      <w:tblPr/>
      <w:tcPr>
        <w:tcBorders>
          <w:top w:val="single" w:sz="4" w:space="0" w:color="432B73" w:themeColor="accent4"/>
          <w:left w:val="single" w:sz="4" w:space="0" w:color="432B73" w:themeColor="accent4"/>
          <w:bottom w:val="single" w:sz="4" w:space="0" w:color="432B73" w:themeColor="accent4"/>
          <w:right w:val="single" w:sz="4" w:space="0" w:color="432B73" w:themeColor="accent4"/>
          <w:insideH w:val="nil"/>
        </w:tcBorders>
        <w:shd w:val="clear" w:color="auto" w:fill="432B73" w:themeFill="accent4"/>
      </w:tcPr>
    </w:tblStylePr>
    <w:tblStylePr w:type="lastRow">
      <w:rPr>
        <w:b w:val="0"/>
        <w:bCs/>
      </w:rPr>
      <w:tblPr/>
      <w:tcPr>
        <w:tcBorders>
          <w:top w:val="double" w:sz="4" w:space="0" w:color="8565C5" w:themeColor="accent4" w:themeTint="99"/>
        </w:tcBorders>
      </w:tcPr>
    </w:tblStylePr>
    <w:tblStylePr w:type="firstCol">
      <w:rPr>
        <w:b w:val="0"/>
        <w:bCs/>
      </w:rPr>
    </w:tblStylePr>
    <w:tblStylePr w:type="lastCol">
      <w:rPr>
        <w:b w:val="0"/>
        <w:bCs/>
      </w:rPr>
    </w:tblStylePr>
    <w:tblStylePr w:type="band1Vert">
      <w:tblPr/>
      <w:tcPr>
        <w:shd w:val="clear" w:color="auto" w:fill="D6CBEB" w:themeFill="accent4" w:themeFillTint="33"/>
      </w:tcPr>
    </w:tblStylePr>
    <w:tblStylePr w:type="band1Horz">
      <w:tblPr/>
      <w:tcPr>
        <w:shd w:val="clear" w:color="auto" w:fill="D6CBEB" w:themeFill="accent4" w:themeFillTint="33"/>
      </w:tcPr>
    </w:tblStylePr>
  </w:style>
  <w:style w:type="table" w:styleId="ListTable4-Accent5">
    <w:name w:val="List Table 4 Accent 5"/>
    <w:basedOn w:val="TableNormal"/>
    <w:uiPriority w:val="49"/>
    <w:rsid w:val="000375A8"/>
    <w:tblPr>
      <w:tblStyleRowBandSize w:val="1"/>
      <w:tblStyleColBandSize w:val="1"/>
      <w:tblBorders>
        <w:top w:val="single" w:sz="4" w:space="0" w:color="A2CDEA" w:themeColor="accent5" w:themeTint="99"/>
        <w:left w:val="single" w:sz="4" w:space="0" w:color="A2CDEA" w:themeColor="accent5" w:themeTint="99"/>
        <w:bottom w:val="single" w:sz="4" w:space="0" w:color="A2CDEA" w:themeColor="accent5" w:themeTint="99"/>
        <w:right w:val="single" w:sz="4" w:space="0" w:color="A2CDEA" w:themeColor="accent5" w:themeTint="99"/>
        <w:insideH w:val="single" w:sz="4" w:space="0" w:color="A2CDEA" w:themeColor="accent5" w:themeTint="99"/>
      </w:tblBorders>
    </w:tblPr>
    <w:tblStylePr w:type="firstRow">
      <w:rPr>
        <w:b w:val="0"/>
        <w:bCs/>
        <w:color w:val="auto"/>
      </w:rPr>
      <w:tblPr/>
      <w:tcPr>
        <w:tcBorders>
          <w:top w:val="single" w:sz="4" w:space="0" w:color="65ACDC" w:themeColor="accent5"/>
          <w:left w:val="single" w:sz="4" w:space="0" w:color="65ACDC" w:themeColor="accent5"/>
          <w:bottom w:val="single" w:sz="4" w:space="0" w:color="65ACDC" w:themeColor="accent5"/>
          <w:right w:val="single" w:sz="4" w:space="0" w:color="65ACDC" w:themeColor="accent5"/>
          <w:insideH w:val="nil"/>
        </w:tcBorders>
        <w:shd w:val="clear" w:color="auto" w:fill="65ACDC" w:themeFill="accent5"/>
      </w:tcPr>
    </w:tblStylePr>
    <w:tblStylePr w:type="lastRow">
      <w:rPr>
        <w:b w:val="0"/>
        <w:bCs/>
      </w:rPr>
      <w:tblPr/>
      <w:tcPr>
        <w:tcBorders>
          <w:top w:val="double" w:sz="4" w:space="0" w:color="A2CDEA" w:themeColor="accent5" w:themeTint="99"/>
        </w:tcBorders>
      </w:tcPr>
    </w:tblStylePr>
    <w:tblStylePr w:type="firstCol">
      <w:rPr>
        <w:b w:val="0"/>
        <w:bCs/>
      </w:rPr>
    </w:tblStylePr>
    <w:tblStylePr w:type="lastCol">
      <w:rPr>
        <w:b w:val="0"/>
        <w:bCs/>
      </w:rPr>
    </w:tblStylePr>
    <w:tblStylePr w:type="band1Vert">
      <w:tblPr/>
      <w:tcPr>
        <w:shd w:val="clear" w:color="auto" w:fill="E0EEF8" w:themeFill="accent5" w:themeFillTint="33"/>
      </w:tcPr>
    </w:tblStylePr>
    <w:tblStylePr w:type="band1Horz">
      <w:tblPr/>
      <w:tcPr>
        <w:shd w:val="clear" w:color="auto" w:fill="E0EEF8" w:themeFill="accent5" w:themeFillTint="33"/>
      </w:tcPr>
    </w:tblStylePr>
  </w:style>
  <w:style w:type="table" w:styleId="ListTable4-Accent6">
    <w:name w:val="List Table 4 Accent 6"/>
    <w:basedOn w:val="TableNormal"/>
    <w:uiPriority w:val="49"/>
    <w:rsid w:val="000375A8"/>
    <w:tblPr>
      <w:tblStyleRowBandSize w:val="1"/>
      <w:tblStyleColBandSize w:val="1"/>
      <w:tblBorders>
        <w:top w:val="single" w:sz="4" w:space="0" w:color="C6C5E5" w:themeColor="accent6" w:themeTint="99"/>
        <w:left w:val="single" w:sz="4" w:space="0" w:color="C6C5E5" w:themeColor="accent6" w:themeTint="99"/>
        <w:bottom w:val="single" w:sz="4" w:space="0" w:color="C6C5E5" w:themeColor="accent6" w:themeTint="99"/>
        <w:right w:val="single" w:sz="4" w:space="0" w:color="C6C5E5" w:themeColor="accent6" w:themeTint="99"/>
        <w:insideH w:val="single" w:sz="4" w:space="0" w:color="C6C5E5" w:themeColor="accent6" w:themeTint="99"/>
      </w:tblBorders>
    </w:tblPr>
    <w:tblStylePr w:type="firstRow">
      <w:rPr>
        <w:b w:val="0"/>
        <w:bCs/>
        <w:color w:val="auto"/>
      </w:rPr>
      <w:tblPr/>
      <w:tcPr>
        <w:tcBorders>
          <w:top w:val="single" w:sz="4" w:space="0" w:color="A2A0D5" w:themeColor="accent6"/>
          <w:left w:val="single" w:sz="4" w:space="0" w:color="A2A0D5" w:themeColor="accent6"/>
          <w:bottom w:val="single" w:sz="4" w:space="0" w:color="A2A0D5" w:themeColor="accent6"/>
          <w:right w:val="single" w:sz="4" w:space="0" w:color="A2A0D5" w:themeColor="accent6"/>
          <w:insideH w:val="nil"/>
        </w:tcBorders>
        <w:shd w:val="clear" w:color="auto" w:fill="A2A0D5" w:themeFill="accent6"/>
      </w:tcPr>
    </w:tblStylePr>
    <w:tblStylePr w:type="lastRow">
      <w:rPr>
        <w:b w:val="0"/>
        <w:bCs/>
      </w:rPr>
      <w:tblPr/>
      <w:tcPr>
        <w:tcBorders>
          <w:top w:val="double" w:sz="4" w:space="0" w:color="C6C5E5" w:themeColor="accent6" w:themeTint="99"/>
        </w:tcBorders>
      </w:tcPr>
    </w:tblStylePr>
    <w:tblStylePr w:type="firstCol">
      <w:rPr>
        <w:b w:val="0"/>
        <w:bCs/>
      </w:rPr>
    </w:tblStylePr>
    <w:tblStylePr w:type="lastCol">
      <w:rPr>
        <w:b w:val="0"/>
        <w:bCs/>
      </w:rPr>
    </w:tblStylePr>
    <w:tblStylePr w:type="band1Vert">
      <w:tblPr/>
      <w:tcPr>
        <w:shd w:val="clear" w:color="auto" w:fill="ECEBF6" w:themeFill="accent6" w:themeFillTint="33"/>
      </w:tcPr>
    </w:tblStylePr>
    <w:tblStylePr w:type="band1Horz">
      <w:tblPr/>
      <w:tcPr>
        <w:shd w:val="clear" w:color="auto" w:fill="ECEBF6" w:themeFill="accent6" w:themeFillTint="33"/>
      </w:tcPr>
    </w:tblStylePr>
  </w:style>
  <w:style w:type="table" w:styleId="ListTable3-Accent6">
    <w:name w:val="List Table 3 Accent 6"/>
    <w:basedOn w:val="TableNormal"/>
    <w:uiPriority w:val="48"/>
    <w:rsid w:val="000375A8"/>
    <w:tblPr>
      <w:tblStyleRowBandSize w:val="1"/>
      <w:tblStyleColBandSize w:val="1"/>
      <w:tblBorders>
        <w:top w:val="single" w:sz="4" w:space="0" w:color="A2A0D5" w:themeColor="accent6"/>
        <w:left w:val="single" w:sz="4" w:space="0" w:color="A2A0D5" w:themeColor="accent6"/>
        <w:bottom w:val="single" w:sz="4" w:space="0" w:color="A2A0D5" w:themeColor="accent6"/>
        <w:right w:val="single" w:sz="4" w:space="0" w:color="A2A0D5" w:themeColor="accent6"/>
      </w:tblBorders>
    </w:tblPr>
    <w:tblStylePr w:type="firstRow">
      <w:rPr>
        <w:b w:val="0"/>
        <w:bCs/>
        <w:color w:val="auto"/>
      </w:rPr>
      <w:tblPr/>
      <w:tcPr>
        <w:shd w:val="clear" w:color="auto" w:fill="A2A0D5" w:themeFill="accent6"/>
      </w:tcPr>
    </w:tblStylePr>
    <w:tblStylePr w:type="lastRow">
      <w:rPr>
        <w:b/>
        <w:bCs/>
      </w:rPr>
      <w:tblPr/>
      <w:tcPr>
        <w:tcBorders>
          <w:top w:val="double" w:sz="4" w:space="0" w:color="A2A0D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2A0D5" w:themeColor="accent6"/>
          <w:right w:val="single" w:sz="4" w:space="0" w:color="A2A0D5" w:themeColor="accent6"/>
        </w:tcBorders>
      </w:tcPr>
    </w:tblStylePr>
    <w:tblStylePr w:type="band1Horz">
      <w:tblPr/>
      <w:tcPr>
        <w:tcBorders>
          <w:top w:val="single" w:sz="4" w:space="0" w:color="A2A0D5" w:themeColor="accent6"/>
          <w:bottom w:val="single" w:sz="4" w:space="0" w:color="A2A0D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2A0D5" w:themeColor="accent6"/>
          <w:left w:val="nil"/>
        </w:tcBorders>
      </w:tcPr>
    </w:tblStylePr>
    <w:tblStylePr w:type="swCell">
      <w:tblPr/>
      <w:tcPr>
        <w:tcBorders>
          <w:top w:val="double" w:sz="4" w:space="0" w:color="A2A0D5" w:themeColor="accent6"/>
          <w:right w:val="nil"/>
        </w:tcBorders>
      </w:tcPr>
    </w:tblStylePr>
  </w:style>
  <w:style w:type="table" w:styleId="ListTable3-Accent5">
    <w:name w:val="List Table 3 Accent 5"/>
    <w:basedOn w:val="TableNormal"/>
    <w:uiPriority w:val="48"/>
    <w:rsid w:val="000375A8"/>
    <w:tblPr>
      <w:tblStyleRowBandSize w:val="1"/>
      <w:tblStyleColBandSize w:val="1"/>
      <w:tblBorders>
        <w:top w:val="single" w:sz="4" w:space="0" w:color="65ACDC" w:themeColor="accent5"/>
        <w:left w:val="single" w:sz="4" w:space="0" w:color="65ACDC" w:themeColor="accent5"/>
        <w:bottom w:val="single" w:sz="4" w:space="0" w:color="65ACDC" w:themeColor="accent5"/>
        <w:right w:val="single" w:sz="4" w:space="0" w:color="65ACDC" w:themeColor="accent5"/>
      </w:tblBorders>
    </w:tblPr>
    <w:tblStylePr w:type="firstRow">
      <w:rPr>
        <w:b w:val="0"/>
        <w:bCs/>
        <w:color w:val="auto"/>
      </w:rPr>
      <w:tblPr/>
      <w:tcPr>
        <w:shd w:val="clear" w:color="auto" w:fill="65ACDC" w:themeFill="accent5"/>
      </w:tcPr>
    </w:tblStylePr>
    <w:tblStylePr w:type="lastRow">
      <w:rPr>
        <w:b/>
        <w:bCs/>
      </w:rPr>
      <w:tblPr/>
      <w:tcPr>
        <w:tcBorders>
          <w:top w:val="double" w:sz="4" w:space="0" w:color="65ACD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ACDC" w:themeColor="accent5"/>
          <w:right w:val="single" w:sz="4" w:space="0" w:color="65ACDC" w:themeColor="accent5"/>
        </w:tcBorders>
      </w:tcPr>
    </w:tblStylePr>
    <w:tblStylePr w:type="band1Horz">
      <w:tblPr/>
      <w:tcPr>
        <w:tcBorders>
          <w:top w:val="single" w:sz="4" w:space="0" w:color="65ACDC" w:themeColor="accent5"/>
          <w:bottom w:val="single" w:sz="4" w:space="0" w:color="65ACD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ACDC" w:themeColor="accent5"/>
          <w:left w:val="nil"/>
        </w:tcBorders>
      </w:tcPr>
    </w:tblStylePr>
    <w:tblStylePr w:type="swCell">
      <w:tblPr/>
      <w:tcPr>
        <w:tcBorders>
          <w:top w:val="double" w:sz="4" w:space="0" w:color="65ACDC" w:themeColor="accent5"/>
          <w:right w:val="nil"/>
        </w:tcBorders>
      </w:tcPr>
    </w:tblStylePr>
  </w:style>
  <w:style w:type="table" w:styleId="ListTable3-Accent4">
    <w:name w:val="List Table 3 Accent 4"/>
    <w:basedOn w:val="TableNormal"/>
    <w:uiPriority w:val="48"/>
    <w:rsid w:val="000375A8"/>
    <w:tblPr>
      <w:tblStyleRowBandSize w:val="1"/>
      <w:tblStyleColBandSize w:val="1"/>
      <w:tblBorders>
        <w:top w:val="single" w:sz="4" w:space="0" w:color="432B73" w:themeColor="accent4"/>
        <w:left w:val="single" w:sz="4" w:space="0" w:color="432B73" w:themeColor="accent4"/>
        <w:bottom w:val="single" w:sz="4" w:space="0" w:color="432B73" w:themeColor="accent4"/>
        <w:right w:val="single" w:sz="4" w:space="0" w:color="432B73" w:themeColor="accent4"/>
      </w:tblBorders>
    </w:tblPr>
    <w:tblStylePr w:type="firstRow">
      <w:rPr>
        <w:b w:val="0"/>
        <w:bCs/>
        <w:color w:val="auto"/>
      </w:rPr>
      <w:tblPr/>
      <w:tcPr>
        <w:shd w:val="clear" w:color="auto" w:fill="432B73" w:themeFill="accent4"/>
      </w:tcPr>
    </w:tblStylePr>
    <w:tblStylePr w:type="lastRow">
      <w:rPr>
        <w:b/>
        <w:bCs/>
      </w:rPr>
      <w:tblPr/>
      <w:tcPr>
        <w:tcBorders>
          <w:top w:val="double" w:sz="4" w:space="0" w:color="432B7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32B73" w:themeColor="accent4"/>
          <w:right w:val="single" w:sz="4" w:space="0" w:color="432B73" w:themeColor="accent4"/>
        </w:tcBorders>
      </w:tcPr>
    </w:tblStylePr>
    <w:tblStylePr w:type="band1Horz">
      <w:tblPr/>
      <w:tcPr>
        <w:tcBorders>
          <w:top w:val="single" w:sz="4" w:space="0" w:color="432B73" w:themeColor="accent4"/>
          <w:bottom w:val="single" w:sz="4" w:space="0" w:color="432B7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32B73" w:themeColor="accent4"/>
          <w:left w:val="nil"/>
        </w:tcBorders>
      </w:tcPr>
    </w:tblStylePr>
    <w:tblStylePr w:type="swCell">
      <w:tblPr/>
      <w:tcPr>
        <w:tcBorders>
          <w:top w:val="double" w:sz="4" w:space="0" w:color="432B73" w:themeColor="accent4"/>
          <w:right w:val="nil"/>
        </w:tcBorders>
      </w:tcPr>
    </w:tblStylePr>
  </w:style>
  <w:style w:type="table" w:styleId="ListTable3-Accent3">
    <w:name w:val="List Table 3 Accent 3"/>
    <w:basedOn w:val="TableNormal"/>
    <w:uiPriority w:val="48"/>
    <w:rsid w:val="000375A8"/>
    <w:tblPr>
      <w:tblStyleRowBandSize w:val="1"/>
      <w:tblStyleColBandSize w:val="1"/>
      <w:tblBorders>
        <w:top w:val="single" w:sz="4" w:space="0" w:color="D4C2A8" w:themeColor="accent3"/>
        <w:left w:val="single" w:sz="4" w:space="0" w:color="D4C2A8" w:themeColor="accent3"/>
        <w:bottom w:val="single" w:sz="4" w:space="0" w:color="D4C2A8" w:themeColor="accent3"/>
        <w:right w:val="single" w:sz="4" w:space="0" w:color="D4C2A8" w:themeColor="accent3"/>
      </w:tblBorders>
    </w:tblPr>
    <w:tblStylePr w:type="firstRow">
      <w:rPr>
        <w:b w:val="0"/>
        <w:bCs/>
        <w:color w:val="FFFFFF" w:themeColor="background1"/>
      </w:rPr>
      <w:tblPr/>
      <w:tcPr>
        <w:shd w:val="clear" w:color="auto" w:fill="D4C2A8" w:themeFill="accent3"/>
      </w:tcPr>
    </w:tblStylePr>
    <w:tblStylePr w:type="lastRow">
      <w:rPr>
        <w:b/>
        <w:bCs/>
      </w:rPr>
      <w:tblPr/>
      <w:tcPr>
        <w:tcBorders>
          <w:top w:val="double" w:sz="4" w:space="0" w:color="D4C2A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C2A8" w:themeColor="accent3"/>
          <w:right w:val="single" w:sz="4" w:space="0" w:color="D4C2A8" w:themeColor="accent3"/>
        </w:tcBorders>
      </w:tcPr>
    </w:tblStylePr>
    <w:tblStylePr w:type="band1Horz">
      <w:tblPr/>
      <w:tcPr>
        <w:tcBorders>
          <w:top w:val="single" w:sz="4" w:space="0" w:color="D4C2A8" w:themeColor="accent3"/>
          <w:bottom w:val="single" w:sz="4" w:space="0" w:color="D4C2A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C2A8" w:themeColor="accent3"/>
          <w:left w:val="nil"/>
        </w:tcBorders>
      </w:tcPr>
    </w:tblStylePr>
    <w:tblStylePr w:type="swCell">
      <w:tblPr/>
      <w:tcPr>
        <w:tcBorders>
          <w:top w:val="double" w:sz="4" w:space="0" w:color="D4C2A8" w:themeColor="accent3"/>
          <w:right w:val="nil"/>
        </w:tcBorders>
      </w:tcPr>
    </w:tblStylePr>
  </w:style>
  <w:style w:type="table" w:styleId="ListTable3-Accent2">
    <w:name w:val="List Table 3 Accent 2"/>
    <w:basedOn w:val="TableNormal"/>
    <w:uiPriority w:val="48"/>
    <w:rsid w:val="000375A8"/>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tblBorders>
    </w:tblPr>
    <w:tblStylePr w:type="firstRow">
      <w:rPr>
        <w:b w:val="0"/>
        <w:bCs/>
        <w:color w:val="FFFFFF" w:themeColor="background1"/>
      </w:rPr>
      <w:tblPr/>
      <w:tcPr>
        <w:shd w:val="clear" w:color="auto" w:fill="701F4D" w:themeFill="accent2"/>
      </w:tcPr>
    </w:tblStylePr>
    <w:tblStylePr w:type="lastRow">
      <w:rPr>
        <w:b/>
        <w:bCs/>
      </w:rPr>
      <w:tblPr/>
      <w:tcPr>
        <w:tcBorders>
          <w:top w:val="double" w:sz="4" w:space="0" w:color="701F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1F4D" w:themeColor="accent2"/>
          <w:right w:val="single" w:sz="4" w:space="0" w:color="701F4D" w:themeColor="accent2"/>
        </w:tcBorders>
      </w:tcPr>
    </w:tblStylePr>
    <w:tblStylePr w:type="band1Horz">
      <w:tblPr/>
      <w:tcPr>
        <w:tcBorders>
          <w:top w:val="single" w:sz="4" w:space="0" w:color="701F4D" w:themeColor="accent2"/>
          <w:bottom w:val="single" w:sz="4" w:space="0" w:color="701F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1F4D" w:themeColor="accent2"/>
          <w:left w:val="nil"/>
        </w:tcBorders>
      </w:tcPr>
    </w:tblStylePr>
    <w:tblStylePr w:type="swCell">
      <w:tblPr/>
      <w:tcPr>
        <w:tcBorders>
          <w:top w:val="double" w:sz="4" w:space="0" w:color="701F4D" w:themeColor="accent2"/>
          <w:right w:val="nil"/>
        </w:tcBorders>
      </w:tcPr>
    </w:tblStylePr>
  </w:style>
  <w:style w:type="table" w:styleId="ListTable3-Accent1">
    <w:name w:val="List Table 3 Accent 1"/>
    <w:basedOn w:val="TableNormal"/>
    <w:uiPriority w:val="48"/>
    <w:rsid w:val="000375A8"/>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tblBorders>
    </w:tblPr>
    <w:tblStylePr w:type="firstRow">
      <w:rPr>
        <w:b w:val="0"/>
        <w:bCs/>
        <w:color w:val="FFFFFF" w:themeColor="background1"/>
      </w:rPr>
      <w:tblPr/>
      <w:tcPr>
        <w:shd w:val="clear" w:color="auto" w:fill="142147" w:themeFill="accent1"/>
      </w:tcPr>
    </w:tblStylePr>
    <w:tblStylePr w:type="lastRow">
      <w:rPr>
        <w:b/>
        <w:bCs/>
      </w:rPr>
      <w:tblPr/>
      <w:tcPr>
        <w:tcBorders>
          <w:top w:val="double" w:sz="4" w:space="0" w:color="1421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2147" w:themeColor="accent1"/>
          <w:right w:val="single" w:sz="4" w:space="0" w:color="142147" w:themeColor="accent1"/>
        </w:tcBorders>
      </w:tcPr>
    </w:tblStylePr>
    <w:tblStylePr w:type="band1Horz">
      <w:tblPr/>
      <w:tcPr>
        <w:tcBorders>
          <w:top w:val="single" w:sz="4" w:space="0" w:color="142147" w:themeColor="accent1"/>
          <w:bottom w:val="single" w:sz="4" w:space="0" w:color="1421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2147" w:themeColor="accent1"/>
          <w:left w:val="nil"/>
        </w:tcBorders>
      </w:tcPr>
    </w:tblStylePr>
    <w:tblStylePr w:type="swCell">
      <w:tblPr/>
      <w:tcPr>
        <w:tcBorders>
          <w:top w:val="double" w:sz="4" w:space="0" w:color="142147" w:themeColor="accent1"/>
          <w:right w:val="nil"/>
        </w:tcBorders>
      </w:tcPr>
    </w:tblStylePr>
  </w:style>
  <w:style w:type="table" w:styleId="ListTable3">
    <w:name w:val="List Table 3"/>
    <w:basedOn w:val="TableNormal"/>
    <w:uiPriority w:val="48"/>
    <w:rsid w:val="000375A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val="0"/>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3">
    <w:name w:val="List 3"/>
    <w:basedOn w:val="Normal"/>
    <w:semiHidden/>
    <w:rsid w:val="000375A8"/>
    <w:pPr>
      <w:ind w:left="849" w:hanging="283"/>
      <w:contextualSpacing/>
    </w:pPr>
  </w:style>
  <w:style w:type="paragraph" w:styleId="List4">
    <w:name w:val="List 4"/>
    <w:basedOn w:val="Normal"/>
    <w:semiHidden/>
    <w:rsid w:val="000375A8"/>
    <w:pPr>
      <w:ind w:left="1132" w:hanging="283"/>
      <w:contextualSpacing/>
    </w:pPr>
  </w:style>
  <w:style w:type="paragraph" w:styleId="List5">
    <w:name w:val="List 5"/>
    <w:basedOn w:val="Normal"/>
    <w:semiHidden/>
    <w:rsid w:val="000375A8"/>
    <w:pPr>
      <w:ind w:left="1415" w:hanging="283"/>
      <w:contextualSpacing/>
    </w:pPr>
  </w:style>
  <w:style w:type="paragraph" w:styleId="List">
    <w:name w:val="List"/>
    <w:basedOn w:val="Normal"/>
    <w:semiHidden/>
    <w:rsid w:val="000375A8"/>
    <w:pPr>
      <w:ind w:left="283" w:hanging="283"/>
      <w:contextualSpacing/>
    </w:pPr>
  </w:style>
  <w:style w:type="paragraph" w:styleId="ListBullet">
    <w:name w:val="List Bullet"/>
    <w:basedOn w:val="Normal"/>
    <w:semiHidden/>
    <w:rsid w:val="000375A8"/>
    <w:pPr>
      <w:numPr>
        <w:numId w:val="9"/>
      </w:numPr>
      <w:contextualSpacing/>
    </w:pPr>
  </w:style>
  <w:style w:type="paragraph" w:styleId="ListBullet2">
    <w:name w:val="List Bullet 2"/>
    <w:basedOn w:val="Normal"/>
    <w:semiHidden/>
    <w:rsid w:val="000375A8"/>
    <w:pPr>
      <w:numPr>
        <w:numId w:val="10"/>
      </w:numPr>
      <w:contextualSpacing/>
    </w:pPr>
  </w:style>
  <w:style w:type="paragraph" w:styleId="ListBullet3">
    <w:name w:val="List Bullet 3"/>
    <w:basedOn w:val="Normal"/>
    <w:semiHidden/>
    <w:rsid w:val="000375A8"/>
    <w:pPr>
      <w:numPr>
        <w:numId w:val="11"/>
      </w:numPr>
      <w:contextualSpacing/>
    </w:pPr>
  </w:style>
  <w:style w:type="paragraph" w:styleId="ListBullet4">
    <w:name w:val="List Bullet 4"/>
    <w:basedOn w:val="Normal"/>
    <w:semiHidden/>
    <w:rsid w:val="000375A8"/>
    <w:pPr>
      <w:numPr>
        <w:numId w:val="12"/>
      </w:numPr>
      <w:contextualSpacing/>
    </w:pPr>
  </w:style>
  <w:style w:type="paragraph" w:styleId="ListBullet5">
    <w:name w:val="List Bullet 5"/>
    <w:basedOn w:val="Normal"/>
    <w:semiHidden/>
    <w:rsid w:val="000375A8"/>
    <w:pPr>
      <w:numPr>
        <w:numId w:val="13"/>
      </w:numPr>
      <w:contextualSpacing/>
    </w:pPr>
  </w:style>
  <w:style w:type="paragraph" w:styleId="ListContinue">
    <w:name w:val="List Continue"/>
    <w:basedOn w:val="Normal"/>
    <w:semiHidden/>
    <w:rsid w:val="000375A8"/>
    <w:pPr>
      <w:ind w:left="283"/>
      <w:contextualSpacing/>
    </w:pPr>
  </w:style>
  <w:style w:type="paragraph" w:styleId="ListContinue2">
    <w:name w:val="List Continue 2"/>
    <w:basedOn w:val="Normal"/>
    <w:semiHidden/>
    <w:rsid w:val="000375A8"/>
    <w:pPr>
      <w:ind w:left="566"/>
      <w:contextualSpacing/>
    </w:pPr>
  </w:style>
  <w:style w:type="paragraph" w:styleId="ListContinue3">
    <w:name w:val="List Continue 3"/>
    <w:basedOn w:val="Normal"/>
    <w:semiHidden/>
    <w:rsid w:val="000375A8"/>
    <w:pPr>
      <w:ind w:left="849"/>
      <w:contextualSpacing/>
    </w:pPr>
  </w:style>
  <w:style w:type="paragraph" w:styleId="ListContinue4">
    <w:name w:val="List Continue 4"/>
    <w:basedOn w:val="Normal"/>
    <w:semiHidden/>
    <w:rsid w:val="000375A8"/>
    <w:pPr>
      <w:ind w:left="1132"/>
      <w:contextualSpacing/>
    </w:pPr>
  </w:style>
  <w:style w:type="paragraph" w:styleId="ListContinue5">
    <w:name w:val="List Continue 5"/>
    <w:basedOn w:val="Normal"/>
    <w:semiHidden/>
    <w:rsid w:val="000375A8"/>
    <w:pPr>
      <w:ind w:left="1415"/>
      <w:contextualSpacing/>
    </w:pPr>
  </w:style>
  <w:style w:type="paragraph" w:styleId="ListNumber">
    <w:name w:val="List Number"/>
    <w:basedOn w:val="Normal"/>
    <w:semiHidden/>
    <w:rsid w:val="000375A8"/>
    <w:pPr>
      <w:numPr>
        <w:numId w:val="14"/>
      </w:numPr>
      <w:contextualSpacing/>
    </w:pPr>
  </w:style>
  <w:style w:type="paragraph" w:styleId="ListNumber2">
    <w:name w:val="List Number 2"/>
    <w:basedOn w:val="Normal"/>
    <w:semiHidden/>
    <w:rsid w:val="000375A8"/>
    <w:pPr>
      <w:numPr>
        <w:numId w:val="15"/>
      </w:numPr>
      <w:contextualSpacing/>
    </w:pPr>
  </w:style>
  <w:style w:type="paragraph" w:styleId="ListNumber3">
    <w:name w:val="List Number 3"/>
    <w:basedOn w:val="Normal"/>
    <w:semiHidden/>
    <w:rsid w:val="000375A8"/>
    <w:pPr>
      <w:numPr>
        <w:numId w:val="16"/>
      </w:numPr>
      <w:contextualSpacing/>
    </w:pPr>
  </w:style>
  <w:style w:type="paragraph" w:styleId="ListNumber4">
    <w:name w:val="List Number 4"/>
    <w:basedOn w:val="Normal"/>
    <w:semiHidden/>
    <w:rsid w:val="000375A8"/>
    <w:pPr>
      <w:numPr>
        <w:numId w:val="17"/>
      </w:numPr>
      <w:contextualSpacing/>
    </w:pPr>
  </w:style>
  <w:style w:type="paragraph" w:styleId="ListNumber5">
    <w:name w:val="List Number 5"/>
    <w:basedOn w:val="Normal"/>
    <w:semiHidden/>
    <w:rsid w:val="000375A8"/>
    <w:pPr>
      <w:numPr>
        <w:numId w:val="18"/>
      </w:numPr>
      <w:contextualSpacing/>
    </w:pPr>
  </w:style>
  <w:style w:type="paragraph" w:styleId="MacroText">
    <w:name w:val="macro"/>
    <w:link w:val="MacroTextChar"/>
    <w:semiHidden/>
    <w:rsid w:val="000375A8"/>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0375A8"/>
    <w:rPr>
      <w:rFonts w:ascii="Consolas" w:hAnsi="Consolas"/>
      <w:sz w:val="20"/>
      <w:szCs w:val="20"/>
    </w:rPr>
  </w:style>
  <w:style w:type="paragraph" w:styleId="BlockText">
    <w:name w:val="Block Text"/>
    <w:basedOn w:val="Normal"/>
    <w:semiHidden/>
    <w:rsid w:val="000375A8"/>
    <w:pPr>
      <w:pBdr>
        <w:top w:val="single" w:sz="2" w:space="10" w:color="142147" w:themeColor="accent1"/>
        <w:left w:val="single" w:sz="2" w:space="10" w:color="142147" w:themeColor="accent1"/>
        <w:bottom w:val="single" w:sz="2" w:space="10" w:color="142147" w:themeColor="accent1"/>
        <w:right w:val="single" w:sz="2" w:space="10" w:color="142147" w:themeColor="accent1"/>
      </w:pBdr>
      <w:ind w:left="1152" w:right="1152"/>
    </w:pPr>
    <w:rPr>
      <w:rFonts w:asciiTheme="minorHAnsi" w:eastAsiaTheme="minorEastAsia" w:hAnsiTheme="minorHAnsi" w:cstheme="minorBidi"/>
      <w:i/>
      <w:iCs/>
      <w:color w:val="142147" w:themeColor="accent1"/>
    </w:rPr>
  </w:style>
  <w:style w:type="paragraph" w:styleId="Caption">
    <w:name w:val="caption"/>
    <w:basedOn w:val="Normal"/>
    <w:next w:val="Normal"/>
    <w:unhideWhenUsed/>
    <w:qFormat/>
    <w:rsid w:val="000375A8"/>
    <w:pPr>
      <w:spacing w:before="0" w:after="200"/>
    </w:pPr>
    <w:rPr>
      <w:i/>
      <w:iCs/>
      <w:color w:val="5F5F5F" w:themeColor="text2"/>
      <w:sz w:val="18"/>
      <w:szCs w:val="18"/>
    </w:rPr>
  </w:style>
  <w:style w:type="paragraph" w:styleId="BodyText2">
    <w:name w:val="Body Text 2"/>
    <w:basedOn w:val="Normal"/>
    <w:link w:val="BodyText2Char"/>
    <w:semiHidden/>
    <w:rsid w:val="000375A8"/>
    <w:pPr>
      <w:spacing w:line="480" w:lineRule="auto"/>
    </w:pPr>
  </w:style>
  <w:style w:type="character" w:customStyle="1" w:styleId="BodyText2Char">
    <w:name w:val="Body Text 2 Char"/>
    <w:basedOn w:val="DefaultParagraphFont"/>
    <w:link w:val="BodyText2"/>
    <w:semiHidden/>
    <w:rsid w:val="000375A8"/>
  </w:style>
  <w:style w:type="paragraph" w:styleId="BodyText3">
    <w:name w:val="Body Text 3"/>
    <w:basedOn w:val="Normal"/>
    <w:link w:val="BodyText3Char"/>
    <w:semiHidden/>
    <w:rsid w:val="000375A8"/>
    <w:rPr>
      <w:sz w:val="16"/>
      <w:szCs w:val="16"/>
    </w:rPr>
  </w:style>
  <w:style w:type="character" w:customStyle="1" w:styleId="BodyText3Char">
    <w:name w:val="Body Text 3 Char"/>
    <w:basedOn w:val="DefaultParagraphFont"/>
    <w:link w:val="BodyText3"/>
    <w:semiHidden/>
    <w:rsid w:val="000375A8"/>
    <w:rPr>
      <w:sz w:val="16"/>
      <w:szCs w:val="16"/>
    </w:rPr>
  </w:style>
  <w:style w:type="paragraph" w:customStyle="1" w:styleId="KeyPointsHeading">
    <w:name w:val="Key Points Heading"/>
    <w:basedOn w:val="BoxHeading1"/>
    <w:qFormat/>
    <w:rsid w:val="000375A8"/>
    <w:rPr>
      <w:rFonts w:ascii="Arial Bold" w:hAnsi="Arial Bold"/>
      <w:b/>
      <w:i w:val="0"/>
      <w:caps/>
      <w:color w:val="404040"/>
      <w:sz w:val="24"/>
    </w:rPr>
  </w:style>
  <w:style w:type="paragraph" w:styleId="Index1">
    <w:name w:val="index 1"/>
    <w:basedOn w:val="Normal"/>
    <w:next w:val="Normal"/>
    <w:autoRedefine/>
    <w:semiHidden/>
    <w:rsid w:val="000375A8"/>
    <w:pPr>
      <w:spacing w:before="0" w:after="0"/>
      <w:ind w:left="220" w:hanging="220"/>
    </w:pPr>
  </w:style>
  <w:style w:type="paragraph" w:customStyle="1" w:styleId="TableTextLeft">
    <w:name w:val="Table Text Left"/>
    <w:basedOn w:val="Normal"/>
    <w:rsid w:val="000375A8"/>
    <w:pPr>
      <w:spacing w:before="30" w:after="80"/>
    </w:pPr>
    <w:rPr>
      <w:rFonts w:asciiTheme="minorHAnsi" w:hAnsiTheme="minorHAnsi"/>
      <w:color w:val="000000"/>
      <w:szCs w:val="18"/>
    </w:rPr>
  </w:style>
  <w:style w:type="paragraph" w:customStyle="1" w:styleId="TableColumnHeadingLeft">
    <w:name w:val="Table Column Heading Left"/>
    <w:basedOn w:val="Normal"/>
    <w:rsid w:val="000375A8"/>
    <w:pPr>
      <w:spacing w:before="60" w:after="60"/>
    </w:pPr>
    <w:rPr>
      <w:rFonts w:asciiTheme="minorHAnsi" w:hAnsiTheme="minorHAnsi"/>
      <w:color w:val="FFFFFF" w:themeColor="background1"/>
      <w:sz w:val="20"/>
      <w:szCs w:val="18"/>
    </w:rPr>
  </w:style>
  <w:style w:type="paragraph" w:customStyle="1" w:styleId="BoxHeading2">
    <w:name w:val="Box Heading 2"/>
    <w:basedOn w:val="BoxHeading1"/>
    <w:next w:val="BoxText"/>
    <w:qFormat/>
    <w:rsid w:val="000375A8"/>
    <w:rPr>
      <w:i w:val="0"/>
      <w:iCs/>
      <w:sz w:val="24"/>
      <w:szCs w:val="20"/>
    </w:rPr>
  </w:style>
  <w:style w:type="character" w:customStyle="1" w:styleId="FooterChar">
    <w:name w:val="Footer Char"/>
    <w:basedOn w:val="DefaultParagraphFont"/>
    <w:link w:val="Footer"/>
    <w:uiPriority w:val="99"/>
    <w:rsid w:val="000375A8"/>
    <w:rPr>
      <w:rFonts w:ascii="Georgia" w:hAnsi="Georgia"/>
      <w:color w:val="701F4D" w:themeColor="accent2"/>
      <w14:numForm w14:val="lining"/>
      <w14:numSpacing w14:val="proportional"/>
    </w:rPr>
  </w:style>
  <w:style w:type="table" w:customStyle="1" w:styleId="Style1">
    <w:name w:val="Style1"/>
    <w:basedOn w:val="TableNormal"/>
    <w:uiPriority w:val="99"/>
    <w:rsid w:val="000375A8"/>
    <w:pPr>
      <w:spacing w:before="0" w:after="0"/>
    </w:pPr>
    <w:tblPr/>
    <w:tblStylePr w:type="firstRow">
      <w:tblPr/>
      <w:tcPr>
        <w:shd w:val="clear" w:color="auto" w:fill="142147" w:themeFill="accent1"/>
      </w:tcPr>
    </w:tblStylePr>
    <w:tblStylePr w:type="firstCol">
      <w:tblPr/>
      <w:tcPr>
        <w:shd w:val="clear" w:color="auto" w:fill="142147" w:themeFill="accent1"/>
      </w:tcPr>
    </w:tblStylePr>
  </w:style>
  <w:style w:type="character" w:customStyle="1" w:styleId="SingleParagraphChar">
    <w:name w:val="Single Paragraph Char"/>
    <w:link w:val="SingleParagraph"/>
    <w:locked/>
    <w:rsid w:val="00275B5F"/>
  </w:style>
  <w:style w:type="character" w:customStyle="1" w:styleId="BulletChar">
    <w:name w:val="Bullet Char"/>
    <w:aliases w:val="b Char,b + line Char Char,b Char Char,b1 Char,b + line Char,Body Char,level 1 Char,Bulleted Para Char,Bullets Char,Number Char,Bullet + line Char,FooterText Char,L Char,List Paragraph1 Char,List Paragraph11 Char,List Paragraph2 Char"/>
    <w:basedOn w:val="DefaultParagraphFont"/>
    <w:link w:val="Bullet"/>
    <w:qFormat/>
    <w:locked/>
    <w:rsid w:val="00B94997"/>
  </w:style>
  <w:style w:type="character" w:styleId="CommentReference">
    <w:name w:val="annotation reference"/>
    <w:basedOn w:val="DefaultParagraphFont"/>
    <w:uiPriority w:val="99"/>
    <w:semiHidden/>
    <w:rsid w:val="002F3E00"/>
    <w:rPr>
      <w:sz w:val="16"/>
      <w:szCs w:val="16"/>
    </w:rPr>
  </w:style>
  <w:style w:type="character" w:customStyle="1" w:styleId="FootnoteTextChar">
    <w:name w:val="Footnote Text Char"/>
    <w:basedOn w:val="DefaultParagraphFont"/>
    <w:link w:val="FootnoteText"/>
    <w:rsid w:val="00205936"/>
    <w:rPr>
      <w:sz w:val="18"/>
      <w:szCs w:val="18"/>
    </w:rPr>
  </w:style>
  <w:style w:type="table" w:styleId="ListTable2-Accent5">
    <w:name w:val="List Table 2 Accent 5"/>
    <w:basedOn w:val="TableNormal"/>
    <w:uiPriority w:val="47"/>
    <w:rsid w:val="00036758"/>
    <w:pPr>
      <w:spacing w:after="0"/>
    </w:pPr>
    <w:tblPr>
      <w:tblStyleRowBandSize w:val="1"/>
      <w:tblStyleColBandSize w:val="1"/>
      <w:tblBorders>
        <w:top w:val="single" w:sz="4" w:space="0" w:color="A2CDEA" w:themeColor="accent5" w:themeTint="99"/>
        <w:bottom w:val="single" w:sz="4" w:space="0" w:color="A2CDEA" w:themeColor="accent5" w:themeTint="99"/>
        <w:insideH w:val="single" w:sz="4" w:space="0" w:color="A2CDE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EF8" w:themeFill="accent5" w:themeFillTint="33"/>
      </w:tcPr>
    </w:tblStylePr>
    <w:tblStylePr w:type="band1Horz">
      <w:tblPr/>
      <w:tcPr>
        <w:shd w:val="clear" w:color="auto" w:fill="E0EEF8" w:themeFill="accent5" w:themeFillTint="33"/>
      </w:tcPr>
    </w:tblStylePr>
  </w:style>
  <w:style w:type="paragraph" w:styleId="CommentSubject">
    <w:name w:val="annotation subject"/>
    <w:basedOn w:val="Normal"/>
    <w:next w:val="Normal"/>
    <w:link w:val="CommentSubjectChar"/>
    <w:semiHidden/>
    <w:rsid w:val="00341030"/>
    <w:rPr>
      <w:b/>
      <w:bCs/>
    </w:rPr>
  </w:style>
  <w:style w:type="character" w:customStyle="1" w:styleId="CommentSubjectChar">
    <w:name w:val="Comment Subject Char"/>
    <w:basedOn w:val="DefaultParagraphFont"/>
    <w:link w:val="CommentSubject"/>
    <w:semiHidden/>
    <w:rsid w:val="00341030"/>
    <w:rPr>
      <w:b/>
      <w:bCs/>
      <w:sz w:val="20"/>
      <w:szCs w:val="20"/>
    </w:rPr>
  </w:style>
  <w:style w:type="paragraph" w:styleId="Revision">
    <w:name w:val="Revision"/>
    <w:hidden/>
    <w:uiPriority w:val="99"/>
    <w:semiHidden/>
    <w:rsid w:val="00311C67"/>
    <w:pPr>
      <w:spacing w:before="0" w:after="0"/>
    </w:pPr>
  </w:style>
  <w:style w:type="character" w:styleId="Mention">
    <w:name w:val="Mention"/>
    <w:basedOn w:val="DefaultParagraphFont"/>
    <w:uiPriority w:val="99"/>
    <w:semiHidden/>
    <w:rsid w:val="004F3DAF"/>
    <w:rPr>
      <w:color w:val="2B579A"/>
      <w:shd w:val="clear" w:color="auto" w:fill="E1DFDD"/>
    </w:rPr>
  </w:style>
  <w:style w:type="character" w:styleId="UnresolvedMention">
    <w:name w:val="Unresolved Mention"/>
    <w:basedOn w:val="DefaultParagraphFont"/>
    <w:uiPriority w:val="99"/>
    <w:semiHidden/>
    <w:rsid w:val="000375A8"/>
    <w:rPr>
      <w:color w:val="605E5C"/>
      <w:shd w:val="clear" w:color="auto" w:fill="E1DFDD"/>
    </w:rPr>
  </w:style>
  <w:style w:type="character" w:customStyle="1" w:styleId="HeadingBaseChar">
    <w:name w:val="Heading Base Char"/>
    <w:basedOn w:val="DefaultParagraphFont"/>
    <w:link w:val="HeadingBase"/>
    <w:semiHidden/>
    <w:rsid w:val="00161AC8"/>
    <w:rPr>
      <w:rFonts w:ascii="Georgia" w:hAnsi="Georgia"/>
      <w:color w:val="142147" w:themeColor="accent1"/>
      <w:sz w:val="64"/>
      <w14:numForm w14:val="lining"/>
      <w14:numSpacing w14:val="proportional"/>
    </w:rPr>
  </w:style>
  <w:style w:type="character" w:customStyle="1" w:styleId="HeaderChar">
    <w:name w:val="Header Char"/>
    <w:basedOn w:val="HeadingBaseChar"/>
    <w:link w:val="Header"/>
    <w:rsid w:val="00161AC8"/>
    <w:rPr>
      <w:rFonts w:ascii="Georgia" w:hAnsi="Georgia"/>
      <w:color w:val="142147" w:themeColor="accent1"/>
      <w:sz w:val="64"/>
      <w14:numForm w14:val="lining"/>
      <w14:numSpacing w14:val="proportional"/>
    </w:rPr>
  </w:style>
  <w:style w:type="paragraph" w:styleId="NormalWeb">
    <w:name w:val="Normal (Web)"/>
    <w:basedOn w:val="Normal"/>
    <w:uiPriority w:val="99"/>
    <w:semiHidden/>
    <w:unhideWhenUsed/>
    <w:rsid w:val="00737A51"/>
    <w:pPr>
      <w:spacing w:before="100" w:beforeAutospacing="1" w:after="100" w:afterAutospacing="1"/>
    </w:pPr>
    <w:rPr>
      <w:rFonts w:ascii="Times New Roman" w:hAnsi="Times New Roman"/>
      <w:sz w:val="24"/>
      <w:szCs w:val="24"/>
    </w:rPr>
  </w:style>
  <w:style w:type="paragraph" w:styleId="NoSpacing">
    <w:name w:val="No Spacing"/>
    <w:uiPriority w:val="1"/>
    <w:semiHidden/>
    <w:qFormat/>
    <w:rsid w:val="006A7198"/>
    <w:pPr>
      <w:spacing w:before="0" w:after="0"/>
    </w:pPr>
  </w:style>
  <w:style w:type="character" w:styleId="IntenseEmphasis">
    <w:name w:val="Intense Emphasis"/>
    <w:basedOn w:val="DefaultParagraphFont"/>
    <w:uiPriority w:val="21"/>
    <w:semiHidden/>
    <w:qFormat/>
    <w:rsid w:val="000375A8"/>
    <w:rPr>
      <w:b/>
      <w:i/>
      <w:iCs/>
      <w:color w:val="auto"/>
    </w:rPr>
  </w:style>
  <w:style w:type="paragraph" w:customStyle="1" w:styleId="TableTextRight">
    <w:name w:val="Table Text Right"/>
    <w:basedOn w:val="Normal"/>
    <w:rsid w:val="00527FF7"/>
    <w:pPr>
      <w:spacing w:before="40" w:after="40"/>
      <w:jc w:val="right"/>
    </w:pPr>
    <w:rPr>
      <w:rFonts w:ascii="Arial" w:hAnsi="Arial"/>
      <w:color w:val="000000"/>
      <w:sz w:val="18"/>
      <w:szCs w:val="18"/>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Pr>
      <w:sz w:val="20"/>
      <w:szCs w:val="20"/>
    </w:rPr>
  </w:style>
  <w:style w:type="table" w:customStyle="1" w:styleId="GridTable5Dark-Accent31">
    <w:name w:val="Grid Table 5 Dark - Accent 31"/>
    <w:basedOn w:val="TableNormal"/>
    <w:next w:val="GridTable5Dark-Accent3"/>
    <w:uiPriority w:val="50"/>
    <w:rsid w:val="001B0BCD"/>
    <w:tblPr>
      <w:tblStyleRowBandSize w:val="1"/>
      <w:tblStyleColBandSize w:val="1"/>
      <w:tblCellMar>
        <w:top w:w="142" w:type="dxa"/>
        <w:left w:w="284" w:type="dxa"/>
        <w:bottom w:w="142" w:type="dxa"/>
        <w:right w:w="284" w:type="dxa"/>
      </w:tblCellMar>
    </w:tblPr>
    <w:tcPr>
      <w:shd w:val="clear" w:color="auto" w:fill="F6F2ED" w:themeFill="accent3" w:themeFillTint="33"/>
    </w:tcPr>
    <w:tblStylePr w:type="firstRow">
      <w:rPr>
        <w:b w:val="0"/>
        <w:bCs/>
        <w:color w:val="auto"/>
      </w:rPr>
      <w:tblPr/>
      <w:tcPr>
        <w:tcBorders>
          <w:top w:val="nil"/>
          <w:left w:val="nil"/>
          <w:bottom w:val="nil"/>
          <w:right w:val="nil"/>
          <w:insideH w:val="nil"/>
          <w:insideV w:val="nil"/>
          <w:tl2br w:val="nil"/>
          <w:tr2bl w:val="nil"/>
        </w:tcBorders>
        <w:shd w:val="clear" w:color="auto" w:fill="F6F2ED" w:themeFill="accent3" w:themeFillTint="33"/>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C2A8" w:themeFill="accent3"/>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C2A8" w:themeFill="accent3"/>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C2A8" w:themeFill="accent3"/>
      </w:tcPr>
    </w:tblStylePr>
    <w:tblStylePr w:type="band1Vert">
      <w:tblPr/>
      <w:tcPr>
        <w:shd w:val="clear" w:color="auto" w:fill="EDE6DC" w:themeFill="accent3" w:themeFillTint="66"/>
      </w:tcPr>
    </w:tblStylePr>
    <w:tblStylePr w:type="band1Horz">
      <w:tblPr/>
      <w:tcPr>
        <w:shd w:val="clear" w:color="auto" w:fill="EDE6DC" w:themeFill="accent3" w:themeFillTint="66"/>
      </w:tcPr>
    </w:tblStylePr>
  </w:style>
  <w:style w:type="table" w:customStyle="1" w:styleId="GridTable5Dark-Accent32">
    <w:name w:val="Grid Table 5 Dark - Accent 32"/>
    <w:basedOn w:val="TableNormal"/>
    <w:next w:val="GridTable5Dark-Accent3"/>
    <w:uiPriority w:val="50"/>
    <w:rsid w:val="00453C0B"/>
    <w:tblPr>
      <w:tblStyleRowBandSize w:val="1"/>
      <w:tblStyleColBandSize w:val="1"/>
      <w:tblCellMar>
        <w:top w:w="142" w:type="dxa"/>
        <w:left w:w="284" w:type="dxa"/>
        <w:bottom w:w="142" w:type="dxa"/>
        <w:right w:w="284" w:type="dxa"/>
      </w:tblCellMar>
    </w:tblPr>
    <w:tcPr>
      <w:shd w:val="clear" w:color="auto" w:fill="F6F2ED" w:themeFill="accent3" w:themeFillTint="33"/>
    </w:tcPr>
    <w:tblStylePr w:type="firstRow">
      <w:rPr>
        <w:b w:val="0"/>
        <w:bCs/>
        <w:color w:val="auto"/>
      </w:rPr>
      <w:tblPr/>
      <w:tcPr>
        <w:tcBorders>
          <w:top w:val="nil"/>
          <w:left w:val="nil"/>
          <w:bottom w:val="nil"/>
          <w:right w:val="nil"/>
          <w:insideH w:val="nil"/>
          <w:insideV w:val="nil"/>
          <w:tl2br w:val="nil"/>
          <w:tr2bl w:val="nil"/>
        </w:tcBorders>
        <w:shd w:val="clear" w:color="auto" w:fill="F6F2ED" w:themeFill="accent3" w:themeFillTint="33"/>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C2A8" w:themeFill="accent3"/>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C2A8" w:themeFill="accent3"/>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C2A8" w:themeFill="accent3"/>
      </w:tcPr>
    </w:tblStylePr>
    <w:tblStylePr w:type="band1Vert">
      <w:tblPr/>
      <w:tcPr>
        <w:shd w:val="clear" w:color="auto" w:fill="EDE6DC" w:themeFill="accent3" w:themeFillTint="66"/>
      </w:tcPr>
    </w:tblStylePr>
    <w:tblStylePr w:type="band1Horz">
      <w:tblPr/>
      <w:tcPr>
        <w:shd w:val="clear" w:color="auto" w:fill="EDE6DC" w:themeFill="accent3" w:themeFillTint="66"/>
      </w:tcPr>
    </w:tblStylePr>
  </w:style>
  <w:style w:type="character" w:customStyle="1" w:styleId="Bold">
    <w:name w:val="Bold"/>
    <w:basedOn w:val="DefaultParagraphFont"/>
    <w:rsid w:val="00625A6A"/>
    <w:rPr>
      <w:rFonts w:cs="Times New Roman"/>
      <w:b/>
    </w:rPr>
  </w:style>
  <w:style w:type="paragraph" w:customStyle="1" w:styleId="OutlineNumbered1">
    <w:name w:val="Outline Numbered 1"/>
    <w:basedOn w:val="Normal"/>
    <w:link w:val="OutlineNumbered1Char"/>
    <w:rsid w:val="00C446ED"/>
    <w:pPr>
      <w:tabs>
        <w:tab w:val="num" w:pos="520"/>
        <w:tab w:val="num" w:pos="567"/>
      </w:tabs>
      <w:spacing w:before="0" w:after="240" w:line="260" w:lineRule="exact"/>
      <w:ind w:left="520" w:hanging="520"/>
      <w:jc w:val="both"/>
    </w:pPr>
    <w:rPr>
      <w:rFonts w:ascii="Book Antiqua" w:hAnsi="Book Antiqua"/>
      <w:color w:val="000000"/>
      <w:szCs w:val="20"/>
    </w:rPr>
  </w:style>
  <w:style w:type="character" w:customStyle="1" w:styleId="OutlineNumbered1Char">
    <w:name w:val="Outline Numbered 1 Char"/>
    <w:basedOn w:val="DefaultParagraphFont"/>
    <w:link w:val="OutlineNumbered1"/>
    <w:locked/>
    <w:rsid w:val="00C446ED"/>
    <w:rPr>
      <w:rFonts w:ascii="Book Antiqua" w:hAnsi="Book Antiqua"/>
      <w:color w:val="000000"/>
      <w:szCs w:val="20"/>
    </w:rPr>
  </w:style>
  <w:style w:type="character" w:customStyle="1" w:styleId="DashChar">
    <w:name w:val="Dash Char"/>
    <w:basedOn w:val="DefaultParagraphFont"/>
    <w:link w:val="Dash"/>
    <w:rsid w:val="003C0A54"/>
  </w:style>
  <w:style w:type="paragraph" w:customStyle="1" w:styleId="Heading1Numbered">
    <w:name w:val="Heading 1 Numbered"/>
    <w:basedOn w:val="Heading1"/>
    <w:next w:val="Normal"/>
    <w:rsid w:val="0074667B"/>
    <w:pPr>
      <w:numPr>
        <w:numId w:val="19"/>
      </w:numPr>
      <w:spacing w:after="120" w:line="460" w:lineRule="exact"/>
    </w:pPr>
    <w:rPr>
      <w:rFonts w:ascii="Calibri" w:hAnsi="Calibri"/>
      <w:b/>
      <w:color w:val="D4C2A8" w:themeColor="accent3"/>
      <w:sz w:val="44"/>
      <w14:numForm w14:val="default"/>
      <w14:numSpacing w14:val="default"/>
    </w:rPr>
  </w:style>
  <w:style w:type="paragraph" w:customStyle="1" w:styleId="Heading2Numbered">
    <w:name w:val="Heading 2 Numbered"/>
    <w:basedOn w:val="Heading2"/>
    <w:next w:val="Normal"/>
    <w:rsid w:val="0074667B"/>
    <w:pPr>
      <w:numPr>
        <w:ilvl w:val="1"/>
        <w:numId w:val="19"/>
      </w:numPr>
      <w:spacing w:before="360" w:after="120" w:line="460" w:lineRule="exact"/>
      <w:ind w:left="284" w:hanging="284"/>
    </w:pPr>
    <w:rPr>
      <w:rFonts w:ascii="Calibri" w:hAnsi="Calibri"/>
      <w:color w:val="142147" w:themeColor="accent1"/>
      <w:sz w:val="36"/>
      <w14:numForm w14:val="default"/>
      <w14:numSpacing w14:val="default"/>
    </w:rPr>
  </w:style>
  <w:style w:type="paragraph" w:customStyle="1" w:styleId="Heading3Numbered">
    <w:name w:val="Heading 3 Numbered"/>
    <w:basedOn w:val="Heading3"/>
    <w:rsid w:val="0074667B"/>
    <w:pPr>
      <w:numPr>
        <w:ilvl w:val="2"/>
        <w:numId w:val="19"/>
      </w:numPr>
      <w:spacing w:after="0" w:line="276" w:lineRule="auto"/>
      <w:ind w:left="284" w:hanging="284"/>
    </w:pPr>
    <w:rPr>
      <w:rFonts w:ascii="Calibri" w:hAnsi="Calibri"/>
      <w:b/>
      <w:color w:val="701F4D" w:themeColor="accent2"/>
      <w:sz w:val="28"/>
      <w14:numForm w14:val="default"/>
      <w14:numSpacing w14:val="default"/>
    </w:rPr>
  </w:style>
  <w:style w:type="paragraph" w:customStyle="1" w:styleId="GhostLine">
    <w:name w:val="Ghost Line"/>
    <w:basedOn w:val="Normal"/>
    <w:qFormat/>
    <w:rsid w:val="004E3415"/>
    <w:pPr>
      <w:spacing w:before="0" w:after="0"/>
    </w:pPr>
    <w:rPr>
      <w:sz w:val="2"/>
      <w:szCs w:val="2"/>
    </w:rPr>
  </w:style>
  <w:style w:type="paragraph" w:customStyle="1" w:styleId="TableBullet">
    <w:name w:val="Table Bullet"/>
    <w:basedOn w:val="TableBodyCellLeft"/>
    <w:qFormat/>
    <w:rsid w:val="009C0161"/>
    <w:pPr>
      <w:numPr>
        <w:numId w:val="20"/>
      </w:numPr>
      <w:ind w:left="316" w:hanging="283"/>
    </w:pPr>
  </w:style>
  <w:style w:type="paragraph" w:customStyle="1" w:styleId="TableDash">
    <w:name w:val="Table Dash"/>
    <w:basedOn w:val="TableBullet"/>
    <w:qFormat/>
    <w:rsid w:val="009C0161"/>
    <w:pPr>
      <w:numPr>
        <w:numId w:val="21"/>
      </w:numPr>
      <w:ind w:left="600"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3140">
      <w:bodyDiv w:val="1"/>
      <w:marLeft w:val="0"/>
      <w:marRight w:val="0"/>
      <w:marTop w:val="0"/>
      <w:marBottom w:val="0"/>
      <w:divBdr>
        <w:top w:val="none" w:sz="0" w:space="0" w:color="auto"/>
        <w:left w:val="none" w:sz="0" w:space="0" w:color="auto"/>
        <w:bottom w:val="none" w:sz="0" w:space="0" w:color="auto"/>
        <w:right w:val="none" w:sz="0" w:space="0" w:color="auto"/>
      </w:divBdr>
    </w:div>
    <w:div w:id="69693215">
      <w:bodyDiv w:val="1"/>
      <w:marLeft w:val="0"/>
      <w:marRight w:val="0"/>
      <w:marTop w:val="0"/>
      <w:marBottom w:val="0"/>
      <w:divBdr>
        <w:top w:val="none" w:sz="0" w:space="0" w:color="auto"/>
        <w:left w:val="none" w:sz="0" w:space="0" w:color="auto"/>
        <w:bottom w:val="none" w:sz="0" w:space="0" w:color="auto"/>
        <w:right w:val="none" w:sz="0" w:space="0" w:color="auto"/>
      </w:divBdr>
      <w:divsChild>
        <w:div w:id="1787965553">
          <w:marLeft w:val="0"/>
          <w:marRight w:val="0"/>
          <w:marTop w:val="0"/>
          <w:marBottom w:val="0"/>
          <w:divBdr>
            <w:top w:val="none" w:sz="0" w:space="0" w:color="auto"/>
            <w:left w:val="none" w:sz="0" w:space="0" w:color="auto"/>
            <w:bottom w:val="none" w:sz="0" w:space="0" w:color="auto"/>
            <w:right w:val="none" w:sz="0" w:space="0" w:color="auto"/>
          </w:divBdr>
          <w:divsChild>
            <w:div w:id="381248949">
              <w:blockQuote w:val="1"/>
              <w:marLeft w:val="720"/>
              <w:marRight w:val="720"/>
              <w:marTop w:val="100"/>
              <w:marBottom w:val="100"/>
              <w:divBdr>
                <w:top w:val="none" w:sz="0" w:space="0" w:color="auto"/>
                <w:left w:val="none" w:sz="0" w:space="0" w:color="auto"/>
                <w:bottom w:val="none" w:sz="0" w:space="0" w:color="auto"/>
                <w:right w:val="none" w:sz="0" w:space="0" w:color="auto"/>
              </w:divBdr>
            </w:div>
            <w:div w:id="689450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903908">
      <w:bodyDiv w:val="1"/>
      <w:marLeft w:val="0"/>
      <w:marRight w:val="0"/>
      <w:marTop w:val="0"/>
      <w:marBottom w:val="0"/>
      <w:divBdr>
        <w:top w:val="none" w:sz="0" w:space="0" w:color="auto"/>
        <w:left w:val="none" w:sz="0" w:space="0" w:color="auto"/>
        <w:bottom w:val="none" w:sz="0" w:space="0" w:color="auto"/>
        <w:right w:val="none" w:sz="0" w:space="0" w:color="auto"/>
      </w:divBdr>
    </w:div>
    <w:div w:id="156194480">
      <w:bodyDiv w:val="1"/>
      <w:marLeft w:val="0"/>
      <w:marRight w:val="0"/>
      <w:marTop w:val="0"/>
      <w:marBottom w:val="0"/>
      <w:divBdr>
        <w:top w:val="none" w:sz="0" w:space="0" w:color="auto"/>
        <w:left w:val="none" w:sz="0" w:space="0" w:color="auto"/>
        <w:bottom w:val="none" w:sz="0" w:space="0" w:color="auto"/>
        <w:right w:val="none" w:sz="0" w:space="0" w:color="auto"/>
      </w:divBdr>
    </w:div>
    <w:div w:id="191917980">
      <w:bodyDiv w:val="1"/>
      <w:marLeft w:val="0"/>
      <w:marRight w:val="0"/>
      <w:marTop w:val="0"/>
      <w:marBottom w:val="0"/>
      <w:divBdr>
        <w:top w:val="none" w:sz="0" w:space="0" w:color="auto"/>
        <w:left w:val="none" w:sz="0" w:space="0" w:color="auto"/>
        <w:bottom w:val="none" w:sz="0" w:space="0" w:color="auto"/>
        <w:right w:val="none" w:sz="0" w:space="0" w:color="auto"/>
      </w:divBdr>
    </w:div>
    <w:div w:id="369765563">
      <w:bodyDiv w:val="1"/>
      <w:marLeft w:val="0"/>
      <w:marRight w:val="0"/>
      <w:marTop w:val="0"/>
      <w:marBottom w:val="0"/>
      <w:divBdr>
        <w:top w:val="none" w:sz="0" w:space="0" w:color="auto"/>
        <w:left w:val="none" w:sz="0" w:space="0" w:color="auto"/>
        <w:bottom w:val="none" w:sz="0" w:space="0" w:color="auto"/>
        <w:right w:val="none" w:sz="0" w:space="0" w:color="auto"/>
      </w:divBdr>
    </w:div>
    <w:div w:id="380637692">
      <w:bodyDiv w:val="1"/>
      <w:marLeft w:val="0"/>
      <w:marRight w:val="0"/>
      <w:marTop w:val="0"/>
      <w:marBottom w:val="0"/>
      <w:divBdr>
        <w:top w:val="none" w:sz="0" w:space="0" w:color="auto"/>
        <w:left w:val="none" w:sz="0" w:space="0" w:color="auto"/>
        <w:bottom w:val="none" w:sz="0" w:space="0" w:color="auto"/>
        <w:right w:val="none" w:sz="0" w:space="0" w:color="auto"/>
      </w:divBdr>
      <w:divsChild>
        <w:div w:id="320500731">
          <w:marLeft w:val="0"/>
          <w:marRight w:val="0"/>
          <w:marTop w:val="0"/>
          <w:marBottom w:val="0"/>
          <w:divBdr>
            <w:top w:val="none" w:sz="0" w:space="0" w:color="auto"/>
            <w:left w:val="none" w:sz="0" w:space="0" w:color="auto"/>
            <w:bottom w:val="none" w:sz="0" w:space="0" w:color="auto"/>
            <w:right w:val="none" w:sz="0" w:space="0" w:color="auto"/>
          </w:divBdr>
        </w:div>
      </w:divsChild>
    </w:div>
    <w:div w:id="425155482">
      <w:bodyDiv w:val="1"/>
      <w:marLeft w:val="0"/>
      <w:marRight w:val="0"/>
      <w:marTop w:val="0"/>
      <w:marBottom w:val="0"/>
      <w:divBdr>
        <w:top w:val="none" w:sz="0" w:space="0" w:color="auto"/>
        <w:left w:val="none" w:sz="0" w:space="0" w:color="auto"/>
        <w:bottom w:val="none" w:sz="0" w:space="0" w:color="auto"/>
        <w:right w:val="none" w:sz="0" w:space="0" w:color="auto"/>
      </w:divBdr>
    </w:div>
    <w:div w:id="464469605">
      <w:bodyDiv w:val="1"/>
      <w:marLeft w:val="0"/>
      <w:marRight w:val="0"/>
      <w:marTop w:val="0"/>
      <w:marBottom w:val="0"/>
      <w:divBdr>
        <w:top w:val="none" w:sz="0" w:space="0" w:color="auto"/>
        <w:left w:val="none" w:sz="0" w:space="0" w:color="auto"/>
        <w:bottom w:val="none" w:sz="0" w:space="0" w:color="auto"/>
        <w:right w:val="none" w:sz="0" w:space="0" w:color="auto"/>
      </w:divBdr>
    </w:div>
    <w:div w:id="522397807">
      <w:bodyDiv w:val="1"/>
      <w:marLeft w:val="0"/>
      <w:marRight w:val="0"/>
      <w:marTop w:val="0"/>
      <w:marBottom w:val="0"/>
      <w:divBdr>
        <w:top w:val="none" w:sz="0" w:space="0" w:color="auto"/>
        <w:left w:val="none" w:sz="0" w:space="0" w:color="auto"/>
        <w:bottom w:val="none" w:sz="0" w:space="0" w:color="auto"/>
        <w:right w:val="none" w:sz="0" w:space="0" w:color="auto"/>
      </w:divBdr>
      <w:divsChild>
        <w:div w:id="1789229355">
          <w:marLeft w:val="0"/>
          <w:marRight w:val="0"/>
          <w:marTop w:val="0"/>
          <w:marBottom w:val="0"/>
          <w:divBdr>
            <w:top w:val="none" w:sz="0" w:space="0" w:color="auto"/>
            <w:left w:val="none" w:sz="0" w:space="0" w:color="auto"/>
            <w:bottom w:val="none" w:sz="0" w:space="0" w:color="auto"/>
            <w:right w:val="none" w:sz="0" w:space="0" w:color="auto"/>
          </w:divBdr>
          <w:divsChild>
            <w:div w:id="696276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82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0357622">
      <w:bodyDiv w:val="1"/>
      <w:marLeft w:val="0"/>
      <w:marRight w:val="0"/>
      <w:marTop w:val="0"/>
      <w:marBottom w:val="0"/>
      <w:divBdr>
        <w:top w:val="none" w:sz="0" w:space="0" w:color="auto"/>
        <w:left w:val="none" w:sz="0" w:space="0" w:color="auto"/>
        <w:bottom w:val="none" w:sz="0" w:space="0" w:color="auto"/>
        <w:right w:val="none" w:sz="0" w:space="0" w:color="auto"/>
      </w:divBdr>
    </w:div>
    <w:div w:id="656153850">
      <w:bodyDiv w:val="1"/>
      <w:marLeft w:val="0"/>
      <w:marRight w:val="0"/>
      <w:marTop w:val="0"/>
      <w:marBottom w:val="0"/>
      <w:divBdr>
        <w:top w:val="none" w:sz="0" w:space="0" w:color="auto"/>
        <w:left w:val="none" w:sz="0" w:space="0" w:color="auto"/>
        <w:bottom w:val="none" w:sz="0" w:space="0" w:color="auto"/>
        <w:right w:val="none" w:sz="0" w:space="0" w:color="auto"/>
      </w:divBdr>
    </w:div>
    <w:div w:id="661540669">
      <w:bodyDiv w:val="1"/>
      <w:marLeft w:val="0"/>
      <w:marRight w:val="0"/>
      <w:marTop w:val="0"/>
      <w:marBottom w:val="0"/>
      <w:divBdr>
        <w:top w:val="none" w:sz="0" w:space="0" w:color="auto"/>
        <w:left w:val="none" w:sz="0" w:space="0" w:color="auto"/>
        <w:bottom w:val="none" w:sz="0" w:space="0" w:color="auto"/>
        <w:right w:val="none" w:sz="0" w:space="0" w:color="auto"/>
      </w:divBdr>
      <w:divsChild>
        <w:div w:id="1626539446">
          <w:marLeft w:val="0"/>
          <w:marRight w:val="0"/>
          <w:marTop w:val="0"/>
          <w:marBottom w:val="0"/>
          <w:divBdr>
            <w:top w:val="none" w:sz="0" w:space="0" w:color="auto"/>
            <w:left w:val="none" w:sz="0" w:space="0" w:color="auto"/>
            <w:bottom w:val="none" w:sz="0" w:space="0" w:color="auto"/>
            <w:right w:val="none" w:sz="0" w:space="0" w:color="auto"/>
          </w:divBdr>
        </w:div>
      </w:divsChild>
    </w:div>
    <w:div w:id="697853259">
      <w:bodyDiv w:val="1"/>
      <w:marLeft w:val="0"/>
      <w:marRight w:val="0"/>
      <w:marTop w:val="0"/>
      <w:marBottom w:val="0"/>
      <w:divBdr>
        <w:top w:val="none" w:sz="0" w:space="0" w:color="auto"/>
        <w:left w:val="none" w:sz="0" w:space="0" w:color="auto"/>
        <w:bottom w:val="none" w:sz="0" w:space="0" w:color="auto"/>
        <w:right w:val="none" w:sz="0" w:space="0" w:color="auto"/>
      </w:divBdr>
    </w:div>
    <w:div w:id="791748396">
      <w:bodyDiv w:val="1"/>
      <w:marLeft w:val="0"/>
      <w:marRight w:val="0"/>
      <w:marTop w:val="0"/>
      <w:marBottom w:val="0"/>
      <w:divBdr>
        <w:top w:val="none" w:sz="0" w:space="0" w:color="auto"/>
        <w:left w:val="none" w:sz="0" w:space="0" w:color="auto"/>
        <w:bottom w:val="none" w:sz="0" w:space="0" w:color="auto"/>
        <w:right w:val="none" w:sz="0" w:space="0" w:color="auto"/>
      </w:divBdr>
    </w:div>
    <w:div w:id="861362948">
      <w:bodyDiv w:val="1"/>
      <w:marLeft w:val="0"/>
      <w:marRight w:val="0"/>
      <w:marTop w:val="0"/>
      <w:marBottom w:val="0"/>
      <w:divBdr>
        <w:top w:val="none" w:sz="0" w:space="0" w:color="auto"/>
        <w:left w:val="none" w:sz="0" w:space="0" w:color="auto"/>
        <w:bottom w:val="none" w:sz="0" w:space="0" w:color="auto"/>
        <w:right w:val="none" w:sz="0" w:space="0" w:color="auto"/>
      </w:divBdr>
    </w:div>
    <w:div w:id="948586357">
      <w:bodyDiv w:val="1"/>
      <w:marLeft w:val="0"/>
      <w:marRight w:val="0"/>
      <w:marTop w:val="0"/>
      <w:marBottom w:val="0"/>
      <w:divBdr>
        <w:top w:val="none" w:sz="0" w:space="0" w:color="auto"/>
        <w:left w:val="none" w:sz="0" w:space="0" w:color="auto"/>
        <w:bottom w:val="none" w:sz="0" w:space="0" w:color="auto"/>
        <w:right w:val="none" w:sz="0" w:space="0" w:color="auto"/>
      </w:divBdr>
      <w:divsChild>
        <w:div w:id="652878915">
          <w:marLeft w:val="0"/>
          <w:marRight w:val="0"/>
          <w:marTop w:val="0"/>
          <w:marBottom w:val="0"/>
          <w:divBdr>
            <w:top w:val="none" w:sz="0" w:space="0" w:color="auto"/>
            <w:left w:val="none" w:sz="0" w:space="0" w:color="auto"/>
            <w:bottom w:val="none" w:sz="0" w:space="0" w:color="auto"/>
            <w:right w:val="none" w:sz="0" w:space="0" w:color="auto"/>
          </w:divBdr>
        </w:div>
      </w:divsChild>
    </w:div>
    <w:div w:id="1057704959">
      <w:bodyDiv w:val="1"/>
      <w:marLeft w:val="0"/>
      <w:marRight w:val="0"/>
      <w:marTop w:val="0"/>
      <w:marBottom w:val="0"/>
      <w:divBdr>
        <w:top w:val="none" w:sz="0" w:space="0" w:color="auto"/>
        <w:left w:val="none" w:sz="0" w:space="0" w:color="auto"/>
        <w:bottom w:val="none" w:sz="0" w:space="0" w:color="auto"/>
        <w:right w:val="none" w:sz="0" w:space="0" w:color="auto"/>
      </w:divBdr>
    </w:div>
    <w:div w:id="1061245317">
      <w:bodyDiv w:val="1"/>
      <w:marLeft w:val="0"/>
      <w:marRight w:val="0"/>
      <w:marTop w:val="0"/>
      <w:marBottom w:val="0"/>
      <w:divBdr>
        <w:top w:val="none" w:sz="0" w:space="0" w:color="auto"/>
        <w:left w:val="none" w:sz="0" w:space="0" w:color="auto"/>
        <w:bottom w:val="none" w:sz="0" w:space="0" w:color="auto"/>
        <w:right w:val="none" w:sz="0" w:space="0" w:color="auto"/>
      </w:divBdr>
    </w:div>
    <w:div w:id="1064599110">
      <w:bodyDiv w:val="1"/>
      <w:marLeft w:val="0"/>
      <w:marRight w:val="0"/>
      <w:marTop w:val="0"/>
      <w:marBottom w:val="0"/>
      <w:divBdr>
        <w:top w:val="none" w:sz="0" w:space="0" w:color="auto"/>
        <w:left w:val="none" w:sz="0" w:space="0" w:color="auto"/>
        <w:bottom w:val="none" w:sz="0" w:space="0" w:color="auto"/>
        <w:right w:val="none" w:sz="0" w:space="0" w:color="auto"/>
      </w:divBdr>
    </w:div>
    <w:div w:id="1097211802">
      <w:bodyDiv w:val="1"/>
      <w:marLeft w:val="0"/>
      <w:marRight w:val="0"/>
      <w:marTop w:val="0"/>
      <w:marBottom w:val="0"/>
      <w:divBdr>
        <w:top w:val="none" w:sz="0" w:space="0" w:color="auto"/>
        <w:left w:val="none" w:sz="0" w:space="0" w:color="auto"/>
        <w:bottom w:val="none" w:sz="0" w:space="0" w:color="auto"/>
        <w:right w:val="none" w:sz="0" w:space="0" w:color="auto"/>
      </w:divBdr>
    </w:div>
    <w:div w:id="1164661039">
      <w:bodyDiv w:val="1"/>
      <w:marLeft w:val="0"/>
      <w:marRight w:val="0"/>
      <w:marTop w:val="0"/>
      <w:marBottom w:val="0"/>
      <w:divBdr>
        <w:top w:val="none" w:sz="0" w:space="0" w:color="auto"/>
        <w:left w:val="none" w:sz="0" w:space="0" w:color="auto"/>
        <w:bottom w:val="none" w:sz="0" w:space="0" w:color="auto"/>
        <w:right w:val="none" w:sz="0" w:space="0" w:color="auto"/>
      </w:divBdr>
    </w:div>
    <w:div w:id="1268080354">
      <w:bodyDiv w:val="1"/>
      <w:marLeft w:val="0"/>
      <w:marRight w:val="0"/>
      <w:marTop w:val="0"/>
      <w:marBottom w:val="0"/>
      <w:divBdr>
        <w:top w:val="none" w:sz="0" w:space="0" w:color="auto"/>
        <w:left w:val="none" w:sz="0" w:space="0" w:color="auto"/>
        <w:bottom w:val="none" w:sz="0" w:space="0" w:color="auto"/>
        <w:right w:val="none" w:sz="0" w:space="0" w:color="auto"/>
      </w:divBdr>
    </w:div>
    <w:div w:id="1273780722">
      <w:bodyDiv w:val="1"/>
      <w:marLeft w:val="0"/>
      <w:marRight w:val="0"/>
      <w:marTop w:val="0"/>
      <w:marBottom w:val="0"/>
      <w:divBdr>
        <w:top w:val="none" w:sz="0" w:space="0" w:color="auto"/>
        <w:left w:val="none" w:sz="0" w:space="0" w:color="auto"/>
        <w:bottom w:val="none" w:sz="0" w:space="0" w:color="auto"/>
        <w:right w:val="none" w:sz="0" w:space="0" w:color="auto"/>
      </w:divBdr>
    </w:div>
    <w:div w:id="1338926771">
      <w:bodyDiv w:val="1"/>
      <w:marLeft w:val="0"/>
      <w:marRight w:val="0"/>
      <w:marTop w:val="0"/>
      <w:marBottom w:val="0"/>
      <w:divBdr>
        <w:top w:val="none" w:sz="0" w:space="0" w:color="auto"/>
        <w:left w:val="none" w:sz="0" w:space="0" w:color="auto"/>
        <w:bottom w:val="none" w:sz="0" w:space="0" w:color="auto"/>
        <w:right w:val="none" w:sz="0" w:space="0" w:color="auto"/>
      </w:divBdr>
      <w:divsChild>
        <w:div w:id="1932546166">
          <w:marLeft w:val="0"/>
          <w:marRight w:val="0"/>
          <w:marTop w:val="0"/>
          <w:marBottom w:val="0"/>
          <w:divBdr>
            <w:top w:val="none" w:sz="0" w:space="0" w:color="auto"/>
            <w:left w:val="none" w:sz="0" w:space="0" w:color="auto"/>
            <w:bottom w:val="none" w:sz="0" w:space="0" w:color="auto"/>
            <w:right w:val="none" w:sz="0" w:space="0" w:color="auto"/>
          </w:divBdr>
        </w:div>
      </w:divsChild>
    </w:div>
    <w:div w:id="1366901776">
      <w:bodyDiv w:val="1"/>
      <w:marLeft w:val="0"/>
      <w:marRight w:val="0"/>
      <w:marTop w:val="0"/>
      <w:marBottom w:val="0"/>
      <w:divBdr>
        <w:top w:val="none" w:sz="0" w:space="0" w:color="auto"/>
        <w:left w:val="none" w:sz="0" w:space="0" w:color="auto"/>
        <w:bottom w:val="none" w:sz="0" w:space="0" w:color="auto"/>
        <w:right w:val="none" w:sz="0" w:space="0" w:color="auto"/>
      </w:divBdr>
    </w:div>
    <w:div w:id="1370494803">
      <w:bodyDiv w:val="1"/>
      <w:marLeft w:val="0"/>
      <w:marRight w:val="0"/>
      <w:marTop w:val="0"/>
      <w:marBottom w:val="0"/>
      <w:divBdr>
        <w:top w:val="none" w:sz="0" w:space="0" w:color="auto"/>
        <w:left w:val="none" w:sz="0" w:space="0" w:color="auto"/>
        <w:bottom w:val="none" w:sz="0" w:space="0" w:color="auto"/>
        <w:right w:val="none" w:sz="0" w:space="0" w:color="auto"/>
      </w:divBdr>
    </w:div>
    <w:div w:id="1413161908">
      <w:bodyDiv w:val="1"/>
      <w:marLeft w:val="0"/>
      <w:marRight w:val="0"/>
      <w:marTop w:val="0"/>
      <w:marBottom w:val="0"/>
      <w:divBdr>
        <w:top w:val="none" w:sz="0" w:space="0" w:color="auto"/>
        <w:left w:val="none" w:sz="0" w:space="0" w:color="auto"/>
        <w:bottom w:val="none" w:sz="0" w:space="0" w:color="auto"/>
        <w:right w:val="none" w:sz="0" w:space="0" w:color="auto"/>
      </w:divBdr>
    </w:div>
    <w:div w:id="1450203707">
      <w:bodyDiv w:val="1"/>
      <w:marLeft w:val="0"/>
      <w:marRight w:val="0"/>
      <w:marTop w:val="0"/>
      <w:marBottom w:val="0"/>
      <w:divBdr>
        <w:top w:val="none" w:sz="0" w:space="0" w:color="auto"/>
        <w:left w:val="none" w:sz="0" w:space="0" w:color="auto"/>
        <w:bottom w:val="none" w:sz="0" w:space="0" w:color="auto"/>
        <w:right w:val="none" w:sz="0" w:space="0" w:color="auto"/>
      </w:divBdr>
    </w:div>
    <w:div w:id="1458837838">
      <w:bodyDiv w:val="1"/>
      <w:marLeft w:val="0"/>
      <w:marRight w:val="0"/>
      <w:marTop w:val="0"/>
      <w:marBottom w:val="0"/>
      <w:divBdr>
        <w:top w:val="none" w:sz="0" w:space="0" w:color="auto"/>
        <w:left w:val="none" w:sz="0" w:space="0" w:color="auto"/>
        <w:bottom w:val="none" w:sz="0" w:space="0" w:color="auto"/>
        <w:right w:val="none" w:sz="0" w:space="0" w:color="auto"/>
      </w:divBdr>
    </w:div>
    <w:div w:id="1614093993">
      <w:bodyDiv w:val="1"/>
      <w:marLeft w:val="0"/>
      <w:marRight w:val="0"/>
      <w:marTop w:val="0"/>
      <w:marBottom w:val="0"/>
      <w:divBdr>
        <w:top w:val="none" w:sz="0" w:space="0" w:color="auto"/>
        <w:left w:val="none" w:sz="0" w:space="0" w:color="auto"/>
        <w:bottom w:val="none" w:sz="0" w:space="0" w:color="auto"/>
        <w:right w:val="none" w:sz="0" w:space="0" w:color="auto"/>
      </w:divBdr>
    </w:div>
    <w:div w:id="1619989577">
      <w:bodyDiv w:val="1"/>
      <w:marLeft w:val="0"/>
      <w:marRight w:val="0"/>
      <w:marTop w:val="0"/>
      <w:marBottom w:val="0"/>
      <w:divBdr>
        <w:top w:val="none" w:sz="0" w:space="0" w:color="auto"/>
        <w:left w:val="none" w:sz="0" w:space="0" w:color="auto"/>
        <w:bottom w:val="none" w:sz="0" w:space="0" w:color="auto"/>
        <w:right w:val="none" w:sz="0" w:space="0" w:color="auto"/>
      </w:divBdr>
    </w:div>
    <w:div w:id="1632899266">
      <w:bodyDiv w:val="1"/>
      <w:marLeft w:val="0"/>
      <w:marRight w:val="0"/>
      <w:marTop w:val="0"/>
      <w:marBottom w:val="0"/>
      <w:divBdr>
        <w:top w:val="none" w:sz="0" w:space="0" w:color="auto"/>
        <w:left w:val="none" w:sz="0" w:space="0" w:color="auto"/>
        <w:bottom w:val="none" w:sz="0" w:space="0" w:color="auto"/>
        <w:right w:val="none" w:sz="0" w:space="0" w:color="auto"/>
      </w:divBdr>
    </w:div>
    <w:div w:id="1639450890">
      <w:bodyDiv w:val="1"/>
      <w:marLeft w:val="0"/>
      <w:marRight w:val="0"/>
      <w:marTop w:val="0"/>
      <w:marBottom w:val="0"/>
      <w:divBdr>
        <w:top w:val="none" w:sz="0" w:space="0" w:color="auto"/>
        <w:left w:val="none" w:sz="0" w:space="0" w:color="auto"/>
        <w:bottom w:val="none" w:sz="0" w:space="0" w:color="auto"/>
        <w:right w:val="none" w:sz="0" w:space="0" w:color="auto"/>
      </w:divBdr>
    </w:div>
    <w:div w:id="1656107835">
      <w:bodyDiv w:val="1"/>
      <w:marLeft w:val="0"/>
      <w:marRight w:val="0"/>
      <w:marTop w:val="0"/>
      <w:marBottom w:val="0"/>
      <w:divBdr>
        <w:top w:val="none" w:sz="0" w:space="0" w:color="auto"/>
        <w:left w:val="none" w:sz="0" w:space="0" w:color="auto"/>
        <w:bottom w:val="none" w:sz="0" w:space="0" w:color="auto"/>
        <w:right w:val="none" w:sz="0" w:space="0" w:color="auto"/>
      </w:divBdr>
      <w:divsChild>
        <w:div w:id="127939867">
          <w:marLeft w:val="0"/>
          <w:marRight w:val="0"/>
          <w:marTop w:val="0"/>
          <w:marBottom w:val="0"/>
          <w:divBdr>
            <w:top w:val="none" w:sz="0" w:space="0" w:color="auto"/>
            <w:left w:val="none" w:sz="0" w:space="0" w:color="auto"/>
            <w:bottom w:val="none" w:sz="0" w:space="0" w:color="auto"/>
            <w:right w:val="none" w:sz="0" w:space="0" w:color="auto"/>
          </w:divBdr>
        </w:div>
      </w:divsChild>
    </w:div>
    <w:div w:id="1695887825">
      <w:bodyDiv w:val="1"/>
      <w:marLeft w:val="0"/>
      <w:marRight w:val="0"/>
      <w:marTop w:val="0"/>
      <w:marBottom w:val="0"/>
      <w:divBdr>
        <w:top w:val="none" w:sz="0" w:space="0" w:color="auto"/>
        <w:left w:val="none" w:sz="0" w:space="0" w:color="auto"/>
        <w:bottom w:val="none" w:sz="0" w:space="0" w:color="auto"/>
        <w:right w:val="none" w:sz="0" w:space="0" w:color="auto"/>
      </w:divBdr>
    </w:div>
    <w:div w:id="1797288758">
      <w:bodyDiv w:val="1"/>
      <w:marLeft w:val="0"/>
      <w:marRight w:val="0"/>
      <w:marTop w:val="0"/>
      <w:marBottom w:val="0"/>
      <w:divBdr>
        <w:top w:val="none" w:sz="0" w:space="0" w:color="auto"/>
        <w:left w:val="none" w:sz="0" w:space="0" w:color="auto"/>
        <w:bottom w:val="none" w:sz="0" w:space="0" w:color="auto"/>
        <w:right w:val="none" w:sz="0" w:space="0" w:color="auto"/>
      </w:divBdr>
    </w:div>
    <w:div w:id="1856725616">
      <w:bodyDiv w:val="1"/>
      <w:marLeft w:val="0"/>
      <w:marRight w:val="0"/>
      <w:marTop w:val="0"/>
      <w:marBottom w:val="0"/>
      <w:divBdr>
        <w:top w:val="none" w:sz="0" w:space="0" w:color="auto"/>
        <w:left w:val="none" w:sz="0" w:space="0" w:color="auto"/>
        <w:bottom w:val="none" w:sz="0" w:space="0" w:color="auto"/>
        <w:right w:val="none" w:sz="0" w:space="0" w:color="auto"/>
      </w:divBdr>
    </w:div>
    <w:div w:id="1984457449">
      <w:bodyDiv w:val="1"/>
      <w:marLeft w:val="0"/>
      <w:marRight w:val="0"/>
      <w:marTop w:val="0"/>
      <w:marBottom w:val="0"/>
      <w:divBdr>
        <w:top w:val="none" w:sz="0" w:space="0" w:color="auto"/>
        <w:left w:val="none" w:sz="0" w:space="0" w:color="auto"/>
        <w:bottom w:val="none" w:sz="0" w:space="0" w:color="auto"/>
        <w:right w:val="none" w:sz="0" w:space="0" w:color="auto"/>
      </w:divBdr>
    </w:div>
    <w:div w:id="2008089482">
      <w:bodyDiv w:val="1"/>
      <w:marLeft w:val="0"/>
      <w:marRight w:val="0"/>
      <w:marTop w:val="0"/>
      <w:marBottom w:val="0"/>
      <w:divBdr>
        <w:top w:val="none" w:sz="0" w:space="0" w:color="auto"/>
        <w:left w:val="none" w:sz="0" w:space="0" w:color="auto"/>
        <w:bottom w:val="none" w:sz="0" w:space="0" w:color="auto"/>
        <w:right w:val="none" w:sz="0" w:space="0" w:color="auto"/>
      </w:divBdr>
    </w:div>
    <w:div w:id="2015329736">
      <w:bodyDiv w:val="1"/>
      <w:marLeft w:val="0"/>
      <w:marRight w:val="0"/>
      <w:marTop w:val="0"/>
      <w:marBottom w:val="0"/>
      <w:divBdr>
        <w:top w:val="none" w:sz="0" w:space="0" w:color="auto"/>
        <w:left w:val="none" w:sz="0" w:space="0" w:color="auto"/>
        <w:bottom w:val="none" w:sz="0" w:space="0" w:color="auto"/>
        <w:right w:val="none" w:sz="0" w:space="0" w:color="auto"/>
      </w:divBdr>
    </w:div>
    <w:div w:id="2056075868">
      <w:bodyDiv w:val="1"/>
      <w:marLeft w:val="0"/>
      <w:marRight w:val="0"/>
      <w:marTop w:val="0"/>
      <w:marBottom w:val="0"/>
      <w:divBdr>
        <w:top w:val="none" w:sz="0" w:space="0" w:color="auto"/>
        <w:left w:val="none" w:sz="0" w:space="0" w:color="auto"/>
        <w:bottom w:val="none" w:sz="0" w:space="0" w:color="auto"/>
        <w:right w:val="none" w:sz="0" w:space="0" w:color="auto"/>
      </w:divBdr>
    </w:div>
    <w:div w:id="2098210804">
      <w:bodyDiv w:val="1"/>
      <w:marLeft w:val="0"/>
      <w:marRight w:val="0"/>
      <w:marTop w:val="0"/>
      <w:marBottom w:val="0"/>
      <w:divBdr>
        <w:top w:val="none" w:sz="0" w:space="0" w:color="auto"/>
        <w:left w:val="none" w:sz="0" w:space="0" w:color="auto"/>
        <w:bottom w:val="none" w:sz="0" w:space="0" w:color="auto"/>
        <w:right w:val="none" w:sz="0" w:space="0" w:color="auto"/>
      </w:divBdr>
    </w:div>
    <w:div w:id="2101368266">
      <w:bodyDiv w:val="1"/>
      <w:marLeft w:val="0"/>
      <w:marRight w:val="0"/>
      <w:marTop w:val="0"/>
      <w:marBottom w:val="0"/>
      <w:divBdr>
        <w:top w:val="none" w:sz="0" w:space="0" w:color="auto"/>
        <w:left w:val="none" w:sz="0" w:space="0" w:color="auto"/>
        <w:bottom w:val="none" w:sz="0" w:space="0" w:color="auto"/>
        <w:right w:val="none" w:sz="0" w:space="0" w:color="auto"/>
      </w:divBdr>
    </w:div>
    <w:div w:id="2125222290">
      <w:bodyDiv w:val="1"/>
      <w:marLeft w:val="0"/>
      <w:marRight w:val="0"/>
      <w:marTop w:val="0"/>
      <w:marBottom w:val="0"/>
      <w:divBdr>
        <w:top w:val="none" w:sz="0" w:space="0" w:color="auto"/>
        <w:left w:val="none" w:sz="0" w:space="0" w:color="auto"/>
        <w:bottom w:val="none" w:sz="0" w:space="0" w:color="auto"/>
        <w:right w:val="none" w:sz="0" w:space="0" w:color="auto"/>
      </w:divBdr>
      <w:divsChild>
        <w:div w:id="43257914">
          <w:marLeft w:val="0"/>
          <w:marRight w:val="0"/>
          <w:marTop w:val="0"/>
          <w:marBottom w:val="0"/>
          <w:divBdr>
            <w:top w:val="none" w:sz="0" w:space="0" w:color="auto"/>
            <w:left w:val="none" w:sz="0" w:space="0" w:color="auto"/>
            <w:bottom w:val="none" w:sz="0" w:space="0" w:color="auto"/>
            <w:right w:val="none" w:sz="0" w:space="0" w:color="auto"/>
          </w:divBdr>
        </w:div>
      </w:divsChild>
    </w:div>
    <w:div w:id="2130199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13" Type="http://schemas.openxmlformats.org/officeDocument/2006/relationships/hyperlink" Target="https://www.pmc.gov.au/honours-and-symbols/commonwealth-coat-arms" TargetMode="External"/><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image" Target="media/image15.jpg"/><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footer" Target="footer1.xml"/><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hyperlink" Target="mailto:taxboard@taxboard.gov.a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oter" Target="footer5.xml"/><Relationship Id="rId32" Type="http://schemas.openxmlformats.org/officeDocument/2006/relationships/image" Target="media/image13.jpg"/><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axboard.gov.au" TargetMode="External"/><Relationship Id="rId23" Type="http://schemas.openxmlformats.org/officeDocument/2006/relationships/header" Target="header3.xml"/><Relationship Id="rId28" Type="http://schemas.openxmlformats.org/officeDocument/2006/relationships/image" Target="media/image9.jpg"/><Relationship Id="rId36" Type="http://schemas.openxmlformats.org/officeDocument/2006/relationships/header" Target="header4.xml"/><Relationship Id="rId10" Type="http://schemas.openxmlformats.org/officeDocument/2006/relationships/hyperlink" Target="https://creativecommons.org/licenses/by/4.0/legalcode" TargetMode="External"/><Relationship Id="rId19" Type="http://schemas.openxmlformats.org/officeDocument/2006/relationships/header" Target="header2.xml"/><Relationship Id="rId31"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mailto:media@treasury.gov.au" TargetMode="External"/><Relationship Id="rId22" Type="http://schemas.openxmlformats.org/officeDocument/2006/relationships/footer" Target="footer4.xml"/><Relationship Id="rId27" Type="http://schemas.openxmlformats.org/officeDocument/2006/relationships/image" Target="media/image8.jpeg"/><Relationship Id="rId30" Type="http://schemas.openxmlformats.org/officeDocument/2006/relationships/image" Target="media/image11.jpg"/><Relationship Id="rId35" Type="http://schemas.openxmlformats.org/officeDocument/2006/relationships/image" Target="media/image16.pn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data.gov.au/dataset/ds-dga-f71709a8-2eeb-4592-ad1f-443f7f520186/details" TargetMode="External"/><Relationship Id="rId2" Type="http://schemas.openxmlformats.org/officeDocument/2006/relationships/hyperlink" Target="https://treasury.gov.au/review/economic-reform-roundtable" TargetMode="External"/><Relationship Id="rId1" Type="http://schemas.openxmlformats.org/officeDocument/2006/relationships/hyperlink" Target="https://taxboard.gov.au/sounding-board-pl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oard of Tax">
      <a:dk1>
        <a:sysClr val="windowText" lastClr="000000"/>
      </a:dk1>
      <a:lt1>
        <a:sysClr val="window" lastClr="FFFFFF"/>
      </a:lt1>
      <a:dk2>
        <a:srgbClr val="5F5F5F"/>
      </a:dk2>
      <a:lt2>
        <a:srgbClr val="EEEEEE"/>
      </a:lt2>
      <a:accent1>
        <a:srgbClr val="142147"/>
      </a:accent1>
      <a:accent2>
        <a:srgbClr val="701F4D"/>
      </a:accent2>
      <a:accent3>
        <a:srgbClr val="D4C2A8"/>
      </a:accent3>
      <a:accent4>
        <a:srgbClr val="432B73"/>
      </a:accent4>
      <a:accent5>
        <a:srgbClr val="65ACDC"/>
      </a:accent5>
      <a:accent6>
        <a:srgbClr val="A2A0D5"/>
      </a:accent6>
      <a:hlink>
        <a:srgbClr val="3A6FAF"/>
      </a:hlink>
      <a:folHlink>
        <a:srgbClr val="844D9E"/>
      </a:folHlink>
    </a:clrScheme>
    <a:fontScheme name="Board of Tax">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55E78-0D01-47EB-BD0E-AFD7315E6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6889</Words>
  <Characters>38790</Characters>
  <Application>Microsoft Office Word</Application>
  <DocSecurity>0</DocSecurity>
  <Lines>969</Lines>
  <Paragraphs>625</Paragraphs>
  <ScaleCrop>false</ScaleCrop>
  <Company/>
  <LinksUpToDate>false</LinksUpToDate>
  <CharactersWithSpaces>45054</CharactersWithSpaces>
  <SharedDoc>false</SharedDoc>
  <HLinks>
    <vt:vector size="66" baseType="variant">
      <vt:variant>
        <vt:i4>4522034</vt:i4>
      </vt:variant>
      <vt:variant>
        <vt:i4>75</vt:i4>
      </vt:variant>
      <vt:variant>
        <vt:i4>0</vt:i4>
      </vt:variant>
      <vt:variant>
        <vt:i4>5</vt:i4>
      </vt:variant>
      <vt:variant>
        <vt:lpwstr>mailto:taxboard@taxboard.gov.au</vt:lpwstr>
      </vt:variant>
      <vt:variant>
        <vt:lpwstr/>
      </vt:variant>
      <vt:variant>
        <vt:i4>458837</vt:i4>
      </vt:variant>
      <vt:variant>
        <vt:i4>72</vt:i4>
      </vt:variant>
      <vt:variant>
        <vt:i4>0</vt:i4>
      </vt:variant>
      <vt:variant>
        <vt:i4>5</vt:i4>
      </vt:variant>
      <vt:variant>
        <vt:lpwstr>https://taxboard.gov.au/review/red-tape-reduction</vt:lpwstr>
      </vt:variant>
      <vt:variant>
        <vt:lpwstr/>
      </vt:variant>
      <vt:variant>
        <vt:i4>2097190</vt:i4>
      </vt:variant>
      <vt:variant>
        <vt:i4>15</vt:i4>
      </vt:variant>
      <vt:variant>
        <vt:i4>0</vt:i4>
      </vt:variant>
      <vt:variant>
        <vt:i4>5</vt:i4>
      </vt:variant>
      <vt:variant>
        <vt:lpwstr>http://www.taxboard.gov.au/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65560</vt:i4>
      </vt:variant>
      <vt:variant>
        <vt:i4>9</vt:i4>
      </vt:variant>
      <vt:variant>
        <vt:i4>0</vt:i4>
      </vt:variant>
      <vt:variant>
        <vt:i4>5</vt:i4>
      </vt:variant>
      <vt:variant>
        <vt:lpwstr>https://www.pmc.gov.au/honours-and-symbols/commonwealth-coat-arms</vt:lpwstr>
      </vt:variant>
      <vt:variant>
        <vt:lpwstr/>
      </vt:variant>
      <vt:variant>
        <vt:i4>5308424</vt:i4>
      </vt:variant>
      <vt:variant>
        <vt:i4>6</vt:i4>
      </vt:variant>
      <vt:variant>
        <vt:i4>0</vt:i4>
      </vt:variant>
      <vt:variant>
        <vt:i4>5</vt:i4>
      </vt:variant>
      <vt:variant>
        <vt:lpwstr>https://creativecommons.org/licenses/by/4.0/</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3538983</vt:i4>
      </vt:variant>
      <vt:variant>
        <vt:i4>6</vt:i4>
      </vt:variant>
      <vt:variant>
        <vt:i4>0</vt:i4>
      </vt:variant>
      <vt:variant>
        <vt:i4>5</vt:i4>
      </vt:variant>
      <vt:variant>
        <vt:lpwstr>https://data.gov.au/dataset/ds-dga-f71709a8-2eeb-4592-ad1f-443f7f520186/details</vt:lpwstr>
      </vt:variant>
      <vt:variant>
        <vt:lpwstr/>
      </vt:variant>
      <vt:variant>
        <vt:i4>131163</vt:i4>
      </vt:variant>
      <vt:variant>
        <vt:i4>3</vt:i4>
      </vt:variant>
      <vt:variant>
        <vt:i4>0</vt:i4>
      </vt:variant>
      <vt:variant>
        <vt:i4>5</vt:i4>
      </vt:variant>
      <vt:variant>
        <vt:lpwstr>https://treasury.gov.au/review/economic-reform-roundtable</vt:lpwstr>
      </vt:variant>
      <vt:variant>
        <vt:lpwstr/>
      </vt:variant>
      <vt:variant>
        <vt:i4>2424886</vt:i4>
      </vt:variant>
      <vt:variant>
        <vt:i4>0</vt:i4>
      </vt:variant>
      <vt:variant>
        <vt:i4>0</vt:i4>
      </vt:variant>
      <vt:variant>
        <vt:i4>5</vt:i4>
      </vt:variant>
      <vt:variant>
        <vt:lpwstr>https://taxboard.gov.au/sounding-board-plus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Taxation Annual Report 2025­–26</dc:title>
  <dc:subject/>
  <dc:creator>The Board of Taxation</dc:creator>
  <cp:keywords/>
  <cp:lastModifiedBy/>
  <cp:revision>1</cp:revision>
  <dcterms:created xsi:type="dcterms:W3CDTF">2026-08-31T00:33:00Z</dcterms:created>
  <dcterms:modified xsi:type="dcterms:W3CDTF">2026-08-31T00:37:00Z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2026-08-31T00:37:45Z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e9cc30bd-ac2a-4458-a1ae-bd52292e73d6</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