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6835901"/>
    <w:bookmarkStart w:id="1" w:name="_Toc198298995"/>
    <w:bookmarkStart w:id="2" w:name="_Toc198712383"/>
    <w:bookmarkStart w:id="3" w:name="_Toc199497019"/>
    <w:bookmarkStart w:id="4" w:name="_Toc199497074"/>
    <w:bookmarkStart w:id="5" w:name="_Toc199855156"/>
    <w:bookmarkStart w:id="6" w:name="_Toc205801150"/>
    <w:bookmarkStart w:id="7" w:name="_Toc206149898"/>
    <w:bookmarkStart w:id="8" w:name="_Toc206428225"/>
    <w:bookmarkStart w:id="9" w:name="_Toc210139145"/>
    <w:bookmarkStart w:id="10" w:name="_Toc210747835"/>
    <w:bookmarkStart w:id="11" w:name="_Toc211599917"/>
    <w:bookmarkStart w:id="12" w:name="_Toc212116306"/>
    <w:p w14:paraId="651A3575" w14:textId="4501B8B7" w:rsidR="00E83F26" w:rsidRPr="009C7F1A" w:rsidRDefault="000D5C07" w:rsidP="009C7F1A">
      <w:pPr>
        <w:pStyle w:val="CoverTitleMain"/>
      </w:pPr>
      <w:sdt>
        <w:sdtPr>
          <w:id w:val="1209766061"/>
          <w:docPartObj>
            <w:docPartGallery w:val="Cover Pages"/>
            <w:docPartUnique/>
          </w:docPartObj>
        </w:sdtPr>
        <w:sdtEndPr/>
        <w:sdtContent>
          <w:r w:rsidR="007739FD">
            <w:rPr>
              <w:noProof/>
              <w14:numForm w14:val="default"/>
              <w14:numSpacing w14:val="default"/>
            </w:rPr>
            <w:drawing>
              <wp:anchor distT="0" distB="0" distL="114300" distR="114300" simplePos="0" relativeHeight="251628544" behindDoc="1" locked="1" layoutInCell="1" allowOverlap="1" wp14:anchorId="53DDF566" wp14:editId="4071F71B">
                <wp:simplePos x="0" y="0"/>
                <wp:positionH relativeFrom="page">
                  <wp:align>center</wp:align>
                </wp:positionH>
                <wp:positionV relativeFrom="page">
                  <wp:align>top</wp:align>
                </wp:positionV>
                <wp:extent cx="7562215" cy="10691495"/>
                <wp:effectExtent l="0" t="0" r="63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2215" cy="10691495"/>
                        </a:xfrm>
                        <a:prstGeom prst="rect">
                          <a:avLst/>
                        </a:prstGeom>
                      </pic:spPr>
                    </pic:pic>
                  </a:graphicData>
                </a:graphic>
                <wp14:sizeRelH relativeFrom="page">
                  <wp14:pctWidth>0</wp14:pctWidth>
                </wp14:sizeRelH>
                <wp14:sizeRelV relativeFrom="page">
                  <wp14:pctHeight>0</wp14:pctHeight>
                </wp14:sizeRelV>
              </wp:anchor>
            </w:drawing>
          </w:r>
        </w:sdtContent>
      </w:sdt>
      <w:r w:rsidR="00B975C8">
        <w:t xml:space="preserve">Voluntary </w:t>
      </w:r>
      <w:r w:rsidR="00BB4866">
        <w:t>Tax Transparency Code</w:t>
      </w:r>
      <w:bookmarkEnd w:id="0"/>
      <w:bookmarkEnd w:id="1"/>
      <w:bookmarkEnd w:id="2"/>
      <w:bookmarkEnd w:id="3"/>
      <w:bookmarkEnd w:id="4"/>
      <w:bookmarkEnd w:id="5"/>
      <w:bookmarkEnd w:id="6"/>
      <w:bookmarkEnd w:id="7"/>
      <w:bookmarkEnd w:id="8"/>
      <w:bookmarkEnd w:id="9"/>
      <w:bookmarkEnd w:id="10"/>
      <w:bookmarkEnd w:id="11"/>
      <w:bookmarkEnd w:id="12"/>
    </w:p>
    <w:p w14:paraId="3981A538" w14:textId="6ED7875C" w:rsidR="00DD18CB" w:rsidRPr="00912467" w:rsidRDefault="3099283D" w:rsidP="009C7F1A">
      <w:pPr>
        <w:pStyle w:val="CoverDate"/>
      </w:pPr>
      <w:r>
        <w:t>October</w:t>
      </w:r>
      <w:r w:rsidR="00973586">
        <w:t xml:space="preserve"> 2025</w:t>
      </w:r>
    </w:p>
    <w:p w14:paraId="3DAC1568" w14:textId="77777777" w:rsidR="004C2DE1" w:rsidRPr="004C2DE1" w:rsidRDefault="004C2DE1" w:rsidP="004C2DE1">
      <w:pPr>
        <w:pStyle w:val="CoverTitleSub"/>
        <w:jc w:val="both"/>
        <w:sectPr w:rsidR="004C2DE1" w:rsidRPr="004C2DE1" w:rsidSect="00676D8C">
          <w:headerReference w:type="even" r:id="rId8"/>
          <w:headerReference w:type="default" r:id="rId9"/>
          <w:footerReference w:type="even" r:id="rId10"/>
          <w:footerReference w:type="default" r:id="rId11"/>
          <w:headerReference w:type="first" r:id="rId12"/>
          <w:footerReference w:type="first" r:id="rId13"/>
          <w:pgSz w:w="11909" w:h="16834" w:code="9"/>
          <w:pgMar w:top="1985" w:right="1134" w:bottom="1985" w:left="1134" w:header="1134" w:footer="1134" w:gutter="0"/>
          <w:pgNumType w:start="0"/>
          <w:cols w:space="708"/>
          <w:vAlign w:val="bottom"/>
          <w:titlePg/>
          <w:docGrid w:linePitch="360"/>
        </w:sectPr>
      </w:pPr>
    </w:p>
    <w:p w14:paraId="0DBE1C3D" w14:textId="0B96F44E" w:rsidR="00486666" w:rsidRDefault="00486666" w:rsidP="00457853">
      <w:pPr>
        <w:rPr>
          <w:highlight w:val="yellow"/>
        </w:rPr>
      </w:pPr>
      <w:r w:rsidRPr="00661BF0">
        <w:lastRenderedPageBreak/>
        <w:t xml:space="preserve">© Commonwealth of Australia </w:t>
      </w:r>
      <w:r>
        <w:t>202</w:t>
      </w:r>
      <w:r w:rsidR="61B01CF9">
        <w:t>5</w:t>
      </w:r>
    </w:p>
    <w:p w14:paraId="514E0163" w14:textId="77777777" w:rsidR="00486666" w:rsidRPr="00086F82" w:rsidRDefault="00486666" w:rsidP="006256BA">
      <w:pPr>
        <w:rPr>
          <w:rFonts w:cstheme="minorBidi"/>
          <w:sz w:val="24"/>
          <w:szCs w:val="24"/>
        </w:rPr>
      </w:pPr>
      <w:r w:rsidRPr="002F1BC2">
        <w:t>This publication is available for your use under a</w:t>
      </w:r>
      <w:r w:rsidRPr="00476F09">
        <w:rPr>
          <w:rFonts w:cstheme="minorHAnsi"/>
          <w:sz w:val="24"/>
          <w:szCs w:val="24"/>
        </w:rPr>
        <w:t xml:space="preserve"> </w:t>
      </w:r>
      <w:hyperlink r:id="rId14" w:history="1">
        <w:r w:rsidR="00CB0811">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w:t>
      </w:r>
      <w:r w:rsidR="00CB0811" w:rsidRPr="004F5ACF">
        <w:t>third</w:t>
      </w:r>
      <w:r w:rsidR="00CB0811">
        <w:t> </w:t>
      </w:r>
      <w:r w:rsidR="00CB0811" w:rsidRPr="004F5ACF">
        <w:t>party materials, materials protected by a trademark</w:t>
      </w:r>
      <w:r w:rsidR="00CB0811">
        <w:t xml:space="preserve">, </w:t>
      </w:r>
      <w:r>
        <w:t xml:space="preserve">signatures </w:t>
      </w:r>
      <w:r w:rsidRPr="002F1BC2">
        <w:t>and where otherwise stated</w:t>
      </w:r>
      <w:r w:rsidR="00CB0811">
        <w:t xml:space="preserve">. </w:t>
      </w:r>
      <w:r w:rsidRPr="002F1BC2">
        <w:t>The full</w:t>
      </w:r>
      <w:r w:rsidR="00CB0811">
        <w:t> </w:t>
      </w:r>
      <w:r w:rsidRPr="002F1BC2">
        <w:t>licence terms are available from</w:t>
      </w:r>
      <w:r w:rsidRPr="00476F09">
        <w:rPr>
          <w:rFonts w:cstheme="minorHAnsi"/>
          <w:sz w:val="24"/>
          <w:szCs w:val="24"/>
        </w:rPr>
        <w:t xml:space="preserve"> </w:t>
      </w:r>
      <w:hyperlink r:id="rId15" w:history="1">
        <w:r w:rsidR="00CB0811" w:rsidRPr="00CB0811">
          <w:rPr>
            <w:rStyle w:val="Hyperlink"/>
          </w:rPr>
          <w:t>creativecommons.org/licenses/by/4.0/</w:t>
        </w:r>
        <w:proofErr w:type="spellStart"/>
        <w:r w:rsidR="00CB0811" w:rsidRPr="00CB0811">
          <w:rPr>
            <w:rStyle w:val="Hyperlink"/>
          </w:rPr>
          <w:t>legalcode</w:t>
        </w:r>
        <w:proofErr w:type="spellEnd"/>
      </w:hyperlink>
      <w:r w:rsidR="00CB0811" w:rsidRPr="00CB0811">
        <w:t>.</w:t>
      </w:r>
    </w:p>
    <w:p w14:paraId="389819C4" w14:textId="77777777" w:rsidR="00486666" w:rsidRDefault="00486666" w:rsidP="006256BA">
      <w:pPr>
        <w:pStyle w:val="ChartGraphic"/>
        <w:spacing w:after="120"/>
        <w:jc w:val="left"/>
      </w:pPr>
      <w:r w:rsidRPr="00E56DFB">
        <w:rPr>
          <w:noProof/>
        </w:rPr>
        <w:drawing>
          <wp:inline distT="0" distB="0" distL="0" distR="0" wp14:anchorId="2288C627" wp14:editId="72BFEAF2">
            <wp:extent cx="809625" cy="285750"/>
            <wp:effectExtent l="0" t="0" r="9525" b="0"/>
            <wp:docPr id="2" name="Picture 2" descr="Creative Commons icon&#10;&#10;Creative Commons attribution licence 4.0 ico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icon&#10;&#10;Creative Commons attribution licence 4.0 icon. ">
                      <a:extLst>
                        <a:ext uri="{C183D7F6-B498-43B3-948B-1728B52AA6E4}">
                          <adec:decorative xmlns:adec="http://schemas.microsoft.com/office/drawing/2017/decorative" val="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E215623" w14:textId="77777777" w:rsidR="00486666" w:rsidRPr="006627B4" w:rsidRDefault="00486666" w:rsidP="006256BA">
      <w:r w:rsidRPr="006627B4">
        <w:t>Use of Treasury material under a</w:t>
      </w:r>
      <w:r w:rsidRPr="00476F09">
        <w:rPr>
          <w:rFonts w:cstheme="minorHAnsi"/>
          <w:sz w:val="24"/>
          <w:szCs w:val="24"/>
        </w:rPr>
        <w:t xml:space="preserve"> </w:t>
      </w:r>
      <w:hyperlink r:id="rId17" w:history="1">
        <w:r w:rsidR="00CB0811">
          <w:rPr>
            <w:rStyle w:val="Hyperlink"/>
          </w:rPr>
          <w:t>Creative Commons Attribution 4.0 International</w:t>
        </w:r>
      </w:hyperlink>
      <w:r w:rsidRPr="002F1BC2">
        <w:rPr>
          <w:rStyle w:val="Hyperlink"/>
        </w:rPr>
        <w:t xml:space="preserve"> </w:t>
      </w:r>
      <w:r w:rsidRPr="006627B4">
        <w:t>licence requires you to attribute the work (but not in any way that suggests that the Treasury endorse</w:t>
      </w:r>
      <w:r>
        <w:t>s you or your use of the</w:t>
      </w:r>
      <w:r w:rsidR="00CB0811">
        <w:t> </w:t>
      </w:r>
      <w:r>
        <w:t>work).</w:t>
      </w:r>
    </w:p>
    <w:p w14:paraId="1FF23FB4" w14:textId="77777777" w:rsidR="00486666" w:rsidRPr="00F73359" w:rsidRDefault="00486666" w:rsidP="00A600EF">
      <w:pPr>
        <w:spacing w:after="0"/>
        <w:rPr>
          <w:rStyle w:val="Strong"/>
        </w:rPr>
      </w:pPr>
      <w:r w:rsidRPr="00F73359">
        <w:rPr>
          <w:rStyle w:val="Strong"/>
        </w:rPr>
        <w:t>Treasury material used ‘as supplied’</w:t>
      </w:r>
    </w:p>
    <w:p w14:paraId="2B829EB4" w14:textId="77777777" w:rsidR="00486666" w:rsidRPr="00476F09" w:rsidRDefault="00486666" w:rsidP="006256BA">
      <w:r w:rsidRPr="00476F09">
        <w:t>Provided you have not modified or transformed Treasury material in any way including, for example, by</w:t>
      </w:r>
      <w:r w:rsidR="00CB0811">
        <w:t> </w:t>
      </w:r>
      <w:r w:rsidRPr="0096692D">
        <w:t>changing the Treasury text; calculating percentage changes; graphing or charting data</w:t>
      </w:r>
      <w:r>
        <w:t>;</w:t>
      </w:r>
      <w:r w:rsidRPr="0096692D">
        <w:t xml:space="preserve"> or deriving new statistics from published Treasury statistics</w:t>
      </w:r>
      <w:r>
        <w:t xml:space="preserve"> </w:t>
      </w:r>
      <w:r w:rsidR="00F73359">
        <w:rPr>
          <w:rFonts w:cs="Calibri"/>
        </w:rPr>
        <w:t>–</w:t>
      </w:r>
      <w:r>
        <w:t xml:space="preserve"> then Treasury prefers t</w:t>
      </w:r>
      <w:r w:rsidRPr="00476F09">
        <w:t xml:space="preserve">he following attribution: </w:t>
      </w:r>
    </w:p>
    <w:p w14:paraId="4D0F2FB7" w14:textId="77777777" w:rsidR="00F73359" w:rsidRPr="00A13A11" w:rsidRDefault="00F73359" w:rsidP="00F73359">
      <w:pPr>
        <w:ind w:firstLine="720"/>
      </w:pPr>
      <w:r w:rsidRPr="00E17231">
        <w:rPr>
          <w:iCs/>
        </w:rPr>
        <w:t>Source:</w:t>
      </w:r>
      <w:r w:rsidRPr="002F1BC2">
        <w:rPr>
          <w:i/>
        </w:rPr>
        <w:t xml:space="preserve"> </w:t>
      </w:r>
      <w:r w:rsidRPr="00AC2B70">
        <w:rPr>
          <w:rStyle w:val="Emphasis"/>
        </w:rPr>
        <w:t>The Commonwealth of Australia.</w:t>
      </w:r>
    </w:p>
    <w:p w14:paraId="5AA64E87" w14:textId="77777777" w:rsidR="00486666" w:rsidRPr="00F73359" w:rsidRDefault="00486666" w:rsidP="00A600EF">
      <w:pPr>
        <w:spacing w:after="0"/>
        <w:rPr>
          <w:rStyle w:val="Strong"/>
        </w:rPr>
      </w:pPr>
      <w:r w:rsidRPr="00F73359">
        <w:rPr>
          <w:rStyle w:val="Strong"/>
        </w:rPr>
        <w:t>Derivative material</w:t>
      </w:r>
    </w:p>
    <w:p w14:paraId="391F8316" w14:textId="77777777" w:rsidR="00486666" w:rsidRPr="006627B4" w:rsidRDefault="00486666" w:rsidP="006256BA">
      <w:r w:rsidRPr="006627B4">
        <w:t xml:space="preserve">If you have modified or transformed Treasury material, or derived new material from those of the Treasury in any way, then Treasury prefers the following attribution: </w:t>
      </w:r>
    </w:p>
    <w:p w14:paraId="08F4A801" w14:textId="77777777" w:rsidR="00F73359" w:rsidRPr="00AC2B70" w:rsidRDefault="00F73359" w:rsidP="00F73359">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2CDDED01" w14:textId="77777777" w:rsidR="00486666" w:rsidRPr="00F73359" w:rsidRDefault="00486666" w:rsidP="00A600EF">
      <w:pPr>
        <w:spacing w:before="240" w:after="0"/>
        <w:rPr>
          <w:rStyle w:val="Strong"/>
        </w:rPr>
      </w:pPr>
      <w:r w:rsidRPr="00F73359">
        <w:rPr>
          <w:rStyle w:val="Strong"/>
        </w:rPr>
        <w:t>Use of the Coat of Arms</w:t>
      </w:r>
    </w:p>
    <w:p w14:paraId="58DA1382" w14:textId="77777777" w:rsidR="00486666" w:rsidRPr="006627B4" w:rsidRDefault="00486666" w:rsidP="00820CAF">
      <w:r w:rsidRPr="00820CAF">
        <w:t>The terms under which the Coat of Arms can be used are set out on the Department of the Prime</w:t>
      </w:r>
      <w:r w:rsidR="00EE79BD">
        <w:t> </w:t>
      </w:r>
      <w:r w:rsidRPr="00820CAF">
        <w:t xml:space="preserve">Minister and Cabinet website (see </w:t>
      </w:r>
      <w:hyperlink r:id="rId18" w:history="1">
        <w:r w:rsidR="00F73359">
          <w:rPr>
            <w:rStyle w:val="Hyperlink"/>
          </w:rPr>
          <w:t>www.pmc.gov.au/government/commonwealth-coat-arms</w:t>
        </w:r>
      </w:hyperlink>
      <w:r w:rsidR="00F73359" w:rsidRPr="00F73359">
        <w:t>)</w:t>
      </w:r>
      <w:r w:rsidRPr="00F73359">
        <w:t>.</w:t>
      </w:r>
    </w:p>
    <w:p w14:paraId="412B3B64" w14:textId="77777777" w:rsidR="00486666" w:rsidRPr="00F73359" w:rsidRDefault="00486666" w:rsidP="00A600EF">
      <w:pPr>
        <w:spacing w:before="240" w:after="0"/>
        <w:rPr>
          <w:rStyle w:val="Strong"/>
        </w:rPr>
      </w:pPr>
      <w:r w:rsidRPr="00F73359">
        <w:rPr>
          <w:rStyle w:val="Strong"/>
        </w:rPr>
        <w:t>Other uses</w:t>
      </w:r>
    </w:p>
    <w:p w14:paraId="32924B03" w14:textId="77777777" w:rsidR="00486666" w:rsidRPr="006627B4" w:rsidRDefault="00486666" w:rsidP="00A43962">
      <w:r>
        <w:t>E</w:t>
      </w:r>
      <w:r w:rsidRPr="006627B4">
        <w:t>nquiries regarding this licence and any other use of this document are welcome at:</w:t>
      </w:r>
    </w:p>
    <w:p w14:paraId="1346DE1C" w14:textId="637BE0D2" w:rsidR="001D6A8A" w:rsidRDefault="00486666" w:rsidP="00F779BD">
      <w:pPr>
        <w:ind w:left="720"/>
        <w:sectPr w:rsidR="001D6A8A" w:rsidSect="00225987">
          <w:headerReference w:type="even" r:id="rId19"/>
          <w:headerReference w:type="default" r:id="rId20"/>
          <w:footerReference w:type="even" r:id="rId21"/>
          <w:footerReference w:type="default" r:id="rId22"/>
          <w:headerReference w:type="first" r:id="rId23"/>
          <w:footerReference w:type="first" r:id="rId24"/>
          <w:pgSz w:w="11909" w:h="16834" w:code="9"/>
          <w:pgMar w:top="1985" w:right="1134" w:bottom="1985" w:left="1134" w:header="1134" w:footer="1134" w:gutter="0"/>
          <w:pgNumType w:fmt="lowerRoman"/>
          <w:cols w:space="708"/>
          <w:titlePg/>
          <w:docGrid w:linePitch="360"/>
        </w:sectPr>
      </w:pPr>
      <w:r w:rsidRPr="006256BA">
        <w:t>Manager</w:t>
      </w:r>
      <w:r w:rsidRPr="006256BA">
        <w:br/>
        <w:t>Media Unit</w:t>
      </w:r>
      <w:r w:rsidRPr="006256BA">
        <w:br/>
        <w:t>The Treasury</w:t>
      </w:r>
      <w:r w:rsidRPr="006256BA">
        <w:br/>
        <w:t>Langton Crescent</w:t>
      </w:r>
      <w:r w:rsidRPr="006627B4">
        <w:t xml:space="preserve">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5" w:history="1">
        <w:r>
          <w:rPr>
            <w:rStyle w:val="Hyperlink"/>
          </w:rPr>
          <w:t>media@treasury.gov.au</w:t>
        </w:r>
      </w:hyperlink>
    </w:p>
    <w:p w14:paraId="2402F174" w14:textId="77777777" w:rsidR="00D81F39" w:rsidRDefault="006256BA" w:rsidP="00D81F39">
      <w:pPr>
        <w:pStyle w:val="ContentsHeading"/>
        <w:spacing w:before="0"/>
        <w:rPr>
          <w:noProof/>
        </w:rPr>
      </w:pPr>
      <w:bookmarkStart w:id="13" w:name="_Toc196835902"/>
      <w:bookmarkStart w:id="14" w:name="_Toc198298996"/>
      <w:bookmarkStart w:id="15" w:name="_Toc198712384"/>
      <w:bookmarkStart w:id="16" w:name="_Toc199497020"/>
      <w:bookmarkStart w:id="17" w:name="_Toc199497075"/>
      <w:bookmarkStart w:id="18" w:name="_Toc199855157"/>
      <w:bookmarkStart w:id="19" w:name="_Toc205801151"/>
      <w:bookmarkStart w:id="20" w:name="_Toc206149899"/>
      <w:bookmarkStart w:id="21" w:name="_Toc206428226"/>
      <w:bookmarkStart w:id="22" w:name="_Toc210139146"/>
      <w:bookmarkStart w:id="23" w:name="_Toc210747836"/>
      <w:bookmarkStart w:id="24" w:name="_Toc211599918"/>
      <w:bookmarkStart w:id="25" w:name="_Toc212116307"/>
      <w:r>
        <w:lastRenderedPageBreak/>
        <w:t>Contents</w:t>
      </w:r>
      <w:bookmarkEnd w:id="13"/>
      <w:bookmarkEnd w:id="14"/>
      <w:bookmarkEnd w:id="15"/>
      <w:bookmarkEnd w:id="16"/>
      <w:bookmarkEnd w:id="17"/>
      <w:bookmarkEnd w:id="18"/>
      <w:bookmarkEnd w:id="19"/>
      <w:bookmarkEnd w:id="20"/>
      <w:bookmarkEnd w:id="21"/>
      <w:bookmarkEnd w:id="22"/>
      <w:bookmarkEnd w:id="23"/>
      <w:bookmarkEnd w:id="24"/>
      <w:bookmarkEnd w:id="25"/>
      <w:r w:rsidR="00D81F39">
        <w:rPr>
          <w:rFonts w:asciiTheme="majorHAnsi" w:hAnsiTheme="majorHAnsi"/>
          <w:smallCaps/>
        </w:rPr>
        <w:fldChar w:fldCharType="begin"/>
      </w:r>
      <w:r w:rsidR="00D81F39">
        <w:rPr>
          <w:rFonts w:asciiTheme="majorHAnsi" w:hAnsiTheme="majorHAnsi"/>
          <w:smallCaps/>
        </w:rPr>
        <w:instrText xml:space="preserve"> TOC \o "1-1" \h \z \t "Heading 2,2" </w:instrText>
      </w:r>
      <w:r w:rsidR="00D81F39">
        <w:rPr>
          <w:rFonts w:asciiTheme="majorHAnsi" w:hAnsiTheme="majorHAnsi"/>
          <w:smallCaps/>
        </w:rPr>
        <w:fldChar w:fldCharType="separate"/>
      </w:r>
    </w:p>
    <w:p w14:paraId="257FDD97" w14:textId="66C296F7" w:rsidR="00D81F39" w:rsidRDefault="00D81F39">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116308" w:history="1">
        <w:r w:rsidRPr="00CF74DB">
          <w:rPr>
            <w:rStyle w:val="Hyperlink"/>
            <w:noProof/>
          </w:rPr>
          <w:t>VTTC reporting requirements</w:t>
        </w:r>
        <w:r>
          <w:rPr>
            <w:noProof/>
            <w:webHidden/>
          </w:rPr>
          <w:tab/>
        </w:r>
        <w:r>
          <w:rPr>
            <w:noProof/>
            <w:webHidden/>
          </w:rPr>
          <w:fldChar w:fldCharType="begin"/>
        </w:r>
        <w:r>
          <w:rPr>
            <w:noProof/>
            <w:webHidden/>
          </w:rPr>
          <w:instrText xml:space="preserve"> PAGEREF _Toc212116308 \h </w:instrText>
        </w:r>
        <w:r>
          <w:rPr>
            <w:noProof/>
            <w:webHidden/>
          </w:rPr>
        </w:r>
        <w:r>
          <w:rPr>
            <w:noProof/>
            <w:webHidden/>
          </w:rPr>
          <w:fldChar w:fldCharType="separate"/>
        </w:r>
        <w:r w:rsidR="001D3A16">
          <w:rPr>
            <w:noProof/>
            <w:webHidden/>
          </w:rPr>
          <w:t>1</w:t>
        </w:r>
        <w:r>
          <w:rPr>
            <w:noProof/>
            <w:webHidden/>
          </w:rPr>
          <w:fldChar w:fldCharType="end"/>
        </w:r>
      </w:hyperlink>
    </w:p>
    <w:p w14:paraId="3564C0D9" w14:textId="2B65C02C" w:rsidR="00D81F39" w:rsidRDefault="00D81F39">
      <w:pPr>
        <w:pStyle w:val="TOC2"/>
        <w:rPr>
          <w:rFonts w:asciiTheme="minorHAnsi" w:eastAsiaTheme="minorEastAsia" w:hAnsiTheme="minorHAnsi" w:cstheme="minorBidi"/>
          <w:noProof/>
          <w:color w:val="auto"/>
          <w:kern w:val="2"/>
          <w:sz w:val="24"/>
          <w:szCs w:val="24"/>
          <w14:ligatures w14:val="standardContextual"/>
        </w:rPr>
      </w:pPr>
      <w:hyperlink w:anchor="_Toc212116309" w:history="1">
        <w:r w:rsidRPr="00CF74DB">
          <w:rPr>
            <w:rStyle w:val="Hyperlink"/>
            <w:noProof/>
          </w:rPr>
          <w:t>Timing</w:t>
        </w:r>
        <w:r>
          <w:rPr>
            <w:noProof/>
            <w:webHidden/>
          </w:rPr>
          <w:tab/>
        </w:r>
        <w:r>
          <w:rPr>
            <w:noProof/>
            <w:webHidden/>
          </w:rPr>
          <w:fldChar w:fldCharType="begin"/>
        </w:r>
        <w:r>
          <w:rPr>
            <w:noProof/>
            <w:webHidden/>
          </w:rPr>
          <w:instrText xml:space="preserve"> PAGEREF _Toc212116309 \h </w:instrText>
        </w:r>
        <w:r>
          <w:rPr>
            <w:noProof/>
            <w:webHidden/>
          </w:rPr>
        </w:r>
        <w:r>
          <w:rPr>
            <w:noProof/>
            <w:webHidden/>
          </w:rPr>
          <w:fldChar w:fldCharType="separate"/>
        </w:r>
        <w:r w:rsidR="001D3A16">
          <w:rPr>
            <w:noProof/>
            <w:webHidden/>
          </w:rPr>
          <w:t>1</w:t>
        </w:r>
        <w:r>
          <w:rPr>
            <w:noProof/>
            <w:webHidden/>
          </w:rPr>
          <w:fldChar w:fldCharType="end"/>
        </w:r>
      </w:hyperlink>
    </w:p>
    <w:p w14:paraId="75471A3F" w14:textId="438415E5" w:rsidR="00D81F39" w:rsidRDefault="00D81F39">
      <w:pPr>
        <w:pStyle w:val="TOC2"/>
        <w:rPr>
          <w:rFonts w:asciiTheme="minorHAnsi" w:eastAsiaTheme="minorEastAsia" w:hAnsiTheme="minorHAnsi" w:cstheme="minorBidi"/>
          <w:noProof/>
          <w:color w:val="auto"/>
          <w:kern w:val="2"/>
          <w:sz w:val="24"/>
          <w:szCs w:val="24"/>
          <w14:ligatures w14:val="standardContextual"/>
        </w:rPr>
      </w:pPr>
      <w:hyperlink w:anchor="_Toc212116310" w:history="1">
        <w:r w:rsidRPr="00CF74DB">
          <w:rPr>
            <w:rStyle w:val="Hyperlink"/>
            <w:noProof/>
          </w:rPr>
          <w:t>Summary of VTTC reporting requirements</w:t>
        </w:r>
        <w:r>
          <w:rPr>
            <w:noProof/>
            <w:webHidden/>
          </w:rPr>
          <w:tab/>
        </w:r>
        <w:r>
          <w:rPr>
            <w:noProof/>
            <w:webHidden/>
          </w:rPr>
          <w:fldChar w:fldCharType="begin"/>
        </w:r>
        <w:r>
          <w:rPr>
            <w:noProof/>
            <w:webHidden/>
          </w:rPr>
          <w:instrText xml:space="preserve"> PAGEREF _Toc212116310 \h </w:instrText>
        </w:r>
        <w:r>
          <w:rPr>
            <w:noProof/>
            <w:webHidden/>
          </w:rPr>
        </w:r>
        <w:r>
          <w:rPr>
            <w:noProof/>
            <w:webHidden/>
          </w:rPr>
          <w:fldChar w:fldCharType="separate"/>
        </w:r>
        <w:r w:rsidR="001D3A16">
          <w:rPr>
            <w:noProof/>
            <w:webHidden/>
          </w:rPr>
          <w:t>2</w:t>
        </w:r>
        <w:r>
          <w:rPr>
            <w:noProof/>
            <w:webHidden/>
          </w:rPr>
          <w:fldChar w:fldCharType="end"/>
        </w:r>
      </w:hyperlink>
    </w:p>
    <w:p w14:paraId="43C6E5C9" w14:textId="2F128632" w:rsidR="00D81F39" w:rsidRDefault="00D81F39">
      <w:pPr>
        <w:pStyle w:val="TOC2"/>
        <w:rPr>
          <w:rFonts w:asciiTheme="minorHAnsi" w:eastAsiaTheme="minorEastAsia" w:hAnsiTheme="minorHAnsi" w:cstheme="minorBidi"/>
          <w:noProof/>
          <w:color w:val="auto"/>
          <w:kern w:val="2"/>
          <w:sz w:val="24"/>
          <w:szCs w:val="24"/>
          <w14:ligatures w14:val="standardContextual"/>
        </w:rPr>
      </w:pPr>
      <w:hyperlink w:anchor="_Toc212116311" w:history="1">
        <w:r w:rsidRPr="00CF74DB">
          <w:rPr>
            <w:rStyle w:val="Hyperlink"/>
            <w:noProof/>
          </w:rPr>
          <w:t>Public CbC reporter</w:t>
        </w:r>
        <w:r>
          <w:rPr>
            <w:noProof/>
            <w:webHidden/>
          </w:rPr>
          <w:tab/>
        </w:r>
        <w:r>
          <w:rPr>
            <w:noProof/>
            <w:webHidden/>
          </w:rPr>
          <w:fldChar w:fldCharType="begin"/>
        </w:r>
        <w:r>
          <w:rPr>
            <w:noProof/>
            <w:webHidden/>
          </w:rPr>
          <w:instrText xml:space="preserve"> PAGEREF _Toc212116311 \h </w:instrText>
        </w:r>
        <w:r>
          <w:rPr>
            <w:noProof/>
            <w:webHidden/>
          </w:rPr>
        </w:r>
        <w:r>
          <w:rPr>
            <w:noProof/>
            <w:webHidden/>
          </w:rPr>
          <w:fldChar w:fldCharType="separate"/>
        </w:r>
        <w:r w:rsidR="001D3A16">
          <w:rPr>
            <w:noProof/>
            <w:webHidden/>
          </w:rPr>
          <w:t>4</w:t>
        </w:r>
        <w:r>
          <w:rPr>
            <w:noProof/>
            <w:webHidden/>
          </w:rPr>
          <w:fldChar w:fldCharType="end"/>
        </w:r>
      </w:hyperlink>
    </w:p>
    <w:p w14:paraId="406A3672" w14:textId="13676120" w:rsidR="00D81F39" w:rsidRDefault="00D81F39">
      <w:pPr>
        <w:pStyle w:val="TOC2"/>
        <w:rPr>
          <w:rFonts w:asciiTheme="minorHAnsi" w:eastAsiaTheme="minorEastAsia" w:hAnsiTheme="minorHAnsi" w:cstheme="minorBidi"/>
          <w:noProof/>
          <w:color w:val="auto"/>
          <w:kern w:val="2"/>
          <w:sz w:val="24"/>
          <w:szCs w:val="24"/>
          <w14:ligatures w14:val="standardContextual"/>
        </w:rPr>
      </w:pPr>
      <w:hyperlink w:anchor="_Toc212116312" w:history="1">
        <w:r w:rsidRPr="00CF74DB">
          <w:rPr>
            <w:rStyle w:val="Hyperlink"/>
            <w:noProof/>
          </w:rPr>
          <w:t>Non-public CbC reporter</w:t>
        </w:r>
        <w:r>
          <w:rPr>
            <w:noProof/>
            <w:webHidden/>
          </w:rPr>
          <w:tab/>
        </w:r>
        <w:r>
          <w:rPr>
            <w:noProof/>
            <w:webHidden/>
          </w:rPr>
          <w:fldChar w:fldCharType="begin"/>
        </w:r>
        <w:r>
          <w:rPr>
            <w:noProof/>
            <w:webHidden/>
          </w:rPr>
          <w:instrText xml:space="preserve"> PAGEREF _Toc212116312 \h </w:instrText>
        </w:r>
        <w:r>
          <w:rPr>
            <w:noProof/>
            <w:webHidden/>
          </w:rPr>
        </w:r>
        <w:r>
          <w:rPr>
            <w:noProof/>
            <w:webHidden/>
          </w:rPr>
          <w:fldChar w:fldCharType="separate"/>
        </w:r>
        <w:r w:rsidR="001D3A16">
          <w:rPr>
            <w:noProof/>
            <w:webHidden/>
          </w:rPr>
          <w:t>10</w:t>
        </w:r>
        <w:r>
          <w:rPr>
            <w:noProof/>
            <w:webHidden/>
          </w:rPr>
          <w:fldChar w:fldCharType="end"/>
        </w:r>
      </w:hyperlink>
    </w:p>
    <w:p w14:paraId="45B798DE" w14:textId="76840952" w:rsidR="00D81F39" w:rsidRDefault="00D81F39">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116313" w:history="1">
        <w:r w:rsidRPr="00CF74DB">
          <w:rPr>
            <w:rStyle w:val="Hyperlink"/>
            <w:noProof/>
          </w:rPr>
          <w:t>Appendix A – Example template format of VTTC report</w:t>
        </w:r>
        <w:r>
          <w:rPr>
            <w:noProof/>
            <w:webHidden/>
          </w:rPr>
          <w:tab/>
        </w:r>
        <w:r>
          <w:rPr>
            <w:noProof/>
            <w:webHidden/>
          </w:rPr>
          <w:fldChar w:fldCharType="begin"/>
        </w:r>
        <w:r>
          <w:rPr>
            <w:noProof/>
            <w:webHidden/>
          </w:rPr>
          <w:instrText xml:space="preserve"> PAGEREF _Toc212116313 \h </w:instrText>
        </w:r>
        <w:r>
          <w:rPr>
            <w:noProof/>
            <w:webHidden/>
          </w:rPr>
        </w:r>
        <w:r>
          <w:rPr>
            <w:noProof/>
            <w:webHidden/>
          </w:rPr>
          <w:fldChar w:fldCharType="separate"/>
        </w:r>
        <w:r w:rsidR="001D3A16">
          <w:rPr>
            <w:noProof/>
            <w:webHidden/>
          </w:rPr>
          <w:t>17</w:t>
        </w:r>
        <w:r>
          <w:rPr>
            <w:noProof/>
            <w:webHidden/>
          </w:rPr>
          <w:fldChar w:fldCharType="end"/>
        </w:r>
      </w:hyperlink>
    </w:p>
    <w:p w14:paraId="2F70543E" w14:textId="745D3C3C" w:rsidR="00D81F39" w:rsidRDefault="00D81F39">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116314" w:history="1">
        <w:r w:rsidRPr="00CF74DB">
          <w:rPr>
            <w:rStyle w:val="Hyperlink"/>
            <w:noProof/>
          </w:rPr>
          <w:t>Public CbC Reporter: Example VTTC Report</w:t>
        </w:r>
        <w:r>
          <w:rPr>
            <w:noProof/>
            <w:webHidden/>
          </w:rPr>
          <w:tab/>
        </w:r>
        <w:r>
          <w:rPr>
            <w:noProof/>
            <w:webHidden/>
          </w:rPr>
          <w:fldChar w:fldCharType="begin"/>
        </w:r>
        <w:r>
          <w:rPr>
            <w:noProof/>
            <w:webHidden/>
          </w:rPr>
          <w:instrText xml:space="preserve"> PAGEREF _Toc212116314 \h </w:instrText>
        </w:r>
        <w:r>
          <w:rPr>
            <w:noProof/>
            <w:webHidden/>
          </w:rPr>
        </w:r>
        <w:r>
          <w:rPr>
            <w:noProof/>
            <w:webHidden/>
          </w:rPr>
          <w:fldChar w:fldCharType="separate"/>
        </w:r>
        <w:r w:rsidR="001D3A16">
          <w:rPr>
            <w:noProof/>
            <w:webHidden/>
          </w:rPr>
          <w:t>18</w:t>
        </w:r>
        <w:r>
          <w:rPr>
            <w:noProof/>
            <w:webHidden/>
          </w:rPr>
          <w:fldChar w:fldCharType="end"/>
        </w:r>
      </w:hyperlink>
    </w:p>
    <w:p w14:paraId="035C8EF7" w14:textId="2A302B57" w:rsidR="00D81F39" w:rsidRDefault="00D81F39">
      <w:pPr>
        <w:pStyle w:val="TOC2"/>
        <w:rPr>
          <w:rFonts w:asciiTheme="minorHAnsi" w:eastAsiaTheme="minorEastAsia" w:hAnsiTheme="minorHAnsi" w:cstheme="minorBidi"/>
          <w:noProof/>
          <w:color w:val="auto"/>
          <w:kern w:val="2"/>
          <w:sz w:val="24"/>
          <w:szCs w:val="24"/>
          <w14:ligatures w14:val="standardContextual"/>
        </w:rPr>
      </w:pPr>
      <w:hyperlink w:anchor="_Toc212116315" w:history="1">
        <w:r w:rsidRPr="00CF74DB">
          <w:rPr>
            <w:rStyle w:val="Hyperlink"/>
            <w:noProof/>
          </w:rPr>
          <w:t>Tax Transparency Report for JAS Ltd</w:t>
        </w:r>
        <w:r>
          <w:rPr>
            <w:noProof/>
            <w:webHidden/>
          </w:rPr>
          <w:tab/>
        </w:r>
        <w:r>
          <w:rPr>
            <w:noProof/>
            <w:webHidden/>
          </w:rPr>
          <w:fldChar w:fldCharType="begin"/>
        </w:r>
        <w:r>
          <w:rPr>
            <w:noProof/>
            <w:webHidden/>
          </w:rPr>
          <w:instrText xml:space="preserve"> PAGEREF _Toc212116315 \h </w:instrText>
        </w:r>
        <w:r>
          <w:rPr>
            <w:noProof/>
            <w:webHidden/>
          </w:rPr>
        </w:r>
        <w:r>
          <w:rPr>
            <w:noProof/>
            <w:webHidden/>
          </w:rPr>
          <w:fldChar w:fldCharType="separate"/>
        </w:r>
        <w:r w:rsidR="001D3A16">
          <w:rPr>
            <w:noProof/>
            <w:webHidden/>
          </w:rPr>
          <w:t>18</w:t>
        </w:r>
        <w:r>
          <w:rPr>
            <w:noProof/>
            <w:webHidden/>
          </w:rPr>
          <w:fldChar w:fldCharType="end"/>
        </w:r>
      </w:hyperlink>
    </w:p>
    <w:p w14:paraId="10E5554D" w14:textId="0DBFD87F" w:rsidR="00D81F39" w:rsidRDefault="00D81F39">
      <w:pPr>
        <w:pStyle w:val="TOC2"/>
        <w:rPr>
          <w:rFonts w:asciiTheme="minorHAnsi" w:eastAsiaTheme="minorEastAsia" w:hAnsiTheme="minorHAnsi" w:cstheme="minorBidi"/>
          <w:noProof/>
          <w:color w:val="auto"/>
          <w:kern w:val="2"/>
          <w:sz w:val="24"/>
          <w:szCs w:val="24"/>
          <w14:ligatures w14:val="standardContextual"/>
        </w:rPr>
      </w:pPr>
      <w:hyperlink w:anchor="_Toc212116316" w:history="1">
        <w:r w:rsidRPr="00CF74DB">
          <w:rPr>
            <w:rStyle w:val="Hyperlink"/>
            <w:noProof/>
          </w:rPr>
          <w:t>Overview</w:t>
        </w:r>
        <w:r>
          <w:rPr>
            <w:noProof/>
            <w:webHidden/>
          </w:rPr>
          <w:tab/>
        </w:r>
        <w:r>
          <w:rPr>
            <w:noProof/>
            <w:webHidden/>
          </w:rPr>
          <w:fldChar w:fldCharType="begin"/>
        </w:r>
        <w:r>
          <w:rPr>
            <w:noProof/>
            <w:webHidden/>
          </w:rPr>
          <w:instrText xml:space="preserve"> PAGEREF _Toc212116316 \h </w:instrText>
        </w:r>
        <w:r>
          <w:rPr>
            <w:noProof/>
            <w:webHidden/>
          </w:rPr>
        </w:r>
        <w:r>
          <w:rPr>
            <w:noProof/>
            <w:webHidden/>
          </w:rPr>
          <w:fldChar w:fldCharType="separate"/>
        </w:r>
        <w:r w:rsidR="001D3A16">
          <w:rPr>
            <w:noProof/>
            <w:webHidden/>
          </w:rPr>
          <w:t>18</w:t>
        </w:r>
        <w:r>
          <w:rPr>
            <w:noProof/>
            <w:webHidden/>
          </w:rPr>
          <w:fldChar w:fldCharType="end"/>
        </w:r>
      </w:hyperlink>
    </w:p>
    <w:p w14:paraId="49062DF5" w14:textId="44012320" w:rsidR="00D81F39" w:rsidRDefault="00D81F39">
      <w:pPr>
        <w:pStyle w:val="TOC2"/>
        <w:rPr>
          <w:rFonts w:asciiTheme="minorHAnsi" w:eastAsiaTheme="minorEastAsia" w:hAnsiTheme="minorHAnsi" w:cstheme="minorBidi"/>
          <w:noProof/>
          <w:color w:val="auto"/>
          <w:kern w:val="2"/>
          <w:sz w:val="24"/>
          <w:szCs w:val="24"/>
          <w14:ligatures w14:val="standardContextual"/>
        </w:rPr>
      </w:pPr>
      <w:hyperlink w:anchor="_Toc212116317" w:history="1">
        <w:r w:rsidRPr="00CF74DB">
          <w:rPr>
            <w:rStyle w:val="Hyperlink"/>
            <w:noProof/>
          </w:rPr>
          <w:t>Tax Data</w:t>
        </w:r>
        <w:r>
          <w:rPr>
            <w:noProof/>
            <w:webHidden/>
          </w:rPr>
          <w:tab/>
        </w:r>
        <w:r>
          <w:rPr>
            <w:noProof/>
            <w:webHidden/>
          </w:rPr>
          <w:fldChar w:fldCharType="begin"/>
        </w:r>
        <w:r>
          <w:rPr>
            <w:noProof/>
            <w:webHidden/>
          </w:rPr>
          <w:instrText xml:space="preserve"> PAGEREF _Toc212116317 \h </w:instrText>
        </w:r>
        <w:r>
          <w:rPr>
            <w:noProof/>
            <w:webHidden/>
          </w:rPr>
        </w:r>
        <w:r>
          <w:rPr>
            <w:noProof/>
            <w:webHidden/>
          </w:rPr>
          <w:fldChar w:fldCharType="separate"/>
        </w:r>
        <w:r w:rsidR="001D3A16">
          <w:rPr>
            <w:noProof/>
            <w:webHidden/>
          </w:rPr>
          <w:t>19</w:t>
        </w:r>
        <w:r>
          <w:rPr>
            <w:noProof/>
            <w:webHidden/>
          </w:rPr>
          <w:fldChar w:fldCharType="end"/>
        </w:r>
      </w:hyperlink>
    </w:p>
    <w:p w14:paraId="0D1DF8AF" w14:textId="692E227A" w:rsidR="00D81F39" w:rsidRDefault="00D81F39">
      <w:pPr>
        <w:pStyle w:val="TOC2"/>
        <w:rPr>
          <w:rFonts w:asciiTheme="minorHAnsi" w:eastAsiaTheme="minorEastAsia" w:hAnsiTheme="minorHAnsi" w:cstheme="minorBidi"/>
          <w:noProof/>
          <w:color w:val="auto"/>
          <w:kern w:val="2"/>
          <w:sz w:val="24"/>
          <w:szCs w:val="24"/>
          <w14:ligatures w14:val="standardContextual"/>
        </w:rPr>
      </w:pPr>
      <w:hyperlink w:anchor="_Toc212116318" w:history="1">
        <w:r w:rsidRPr="00CF74DB">
          <w:rPr>
            <w:rStyle w:val="Hyperlink"/>
            <w:noProof/>
          </w:rPr>
          <w:t>Overall approach to tax</w:t>
        </w:r>
        <w:r>
          <w:rPr>
            <w:noProof/>
            <w:webHidden/>
          </w:rPr>
          <w:tab/>
        </w:r>
        <w:r>
          <w:rPr>
            <w:noProof/>
            <w:webHidden/>
          </w:rPr>
          <w:fldChar w:fldCharType="begin"/>
        </w:r>
        <w:r>
          <w:rPr>
            <w:noProof/>
            <w:webHidden/>
          </w:rPr>
          <w:instrText xml:space="preserve"> PAGEREF _Toc212116318 \h </w:instrText>
        </w:r>
        <w:r>
          <w:rPr>
            <w:noProof/>
            <w:webHidden/>
          </w:rPr>
        </w:r>
        <w:r>
          <w:rPr>
            <w:noProof/>
            <w:webHidden/>
          </w:rPr>
          <w:fldChar w:fldCharType="separate"/>
        </w:r>
        <w:r w:rsidR="001D3A16">
          <w:rPr>
            <w:noProof/>
            <w:webHidden/>
          </w:rPr>
          <w:t>23</w:t>
        </w:r>
        <w:r>
          <w:rPr>
            <w:noProof/>
            <w:webHidden/>
          </w:rPr>
          <w:fldChar w:fldCharType="end"/>
        </w:r>
      </w:hyperlink>
    </w:p>
    <w:p w14:paraId="51D9FB89" w14:textId="18C0AB8D" w:rsidR="00D81F39" w:rsidRDefault="00D81F39">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116319" w:history="1">
        <w:r w:rsidRPr="00CF74DB">
          <w:rPr>
            <w:rStyle w:val="Hyperlink"/>
            <w:noProof/>
          </w:rPr>
          <w:t>Non-public CbC Reporter: Example VTTC Report</w:t>
        </w:r>
        <w:r>
          <w:rPr>
            <w:noProof/>
            <w:webHidden/>
          </w:rPr>
          <w:tab/>
        </w:r>
        <w:r>
          <w:rPr>
            <w:noProof/>
            <w:webHidden/>
          </w:rPr>
          <w:fldChar w:fldCharType="begin"/>
        </w:r>
        <w:r>
          <w:rPr>
            <w:noProof/>
            <w:webHidden/>
          </w:rPr>
          <w:instrText xml:space="preserve"> PAGEREF _Toc212116319 \h </w:instrText>
        </w:r>
        <w:r>
          <w:rPr>
            <w:noProof/>
            <w:webHidden/>
          </w:rPr>
        </w:r>
        <w:r>
          <w:rPr>
            <w:noProof/>
            <w:webHidden/>
          </w:rPr>
          <w:fldChar w:fldCharType="separate"/>
        </w:r>
        <w:r w:rsidR="001D3A16">
          <w:rPr>
            <w:noProof/>
            <w:webHidden/>
          </w:rPr>
          <w:t>29</w:t>
        </w:r>
        <w:r>
          <w:rPr>
            <w:noProof/>
            <w:webHidden/>
          </w:rPr>
          <w:fldChar w:fldCharType="end"/>
        </w:r>
      </w:hyperlink>
    </w:p>
    <w:p w14:paraId="329385D2" w14:textId="3DAB747E" w:rsidR="00D81F39" w:rsidRDefault="00D81F39">
      <w:pPr>
        <w:pStyle w:val="TOC2"/>
        <w:rPr>
          <w:rFonts w:asciiTheme="minorHAnsi" w:eastAsiaTheme="minorEastAsia" w:hAnsiTheme="minorHAnsi" w:cstheme="minorBidi"/>
          <w:noProof/>
          <w:color w:val="auto"/>
          <w:kern w:val="2"/>
          <w:sz w:val="24"/>
          <w:szCs w:val="24"/>
          <w14:ligatures w14:val="standardContextual"/>
        </w:rPr>
      </w:pPr>
      <w:hyperlink w:anchor="_Toc212116320" w:history="1">
        <w:r w:rsidRPr="00CF74DB">
          <w:rPr>
            <w:rStyle w:val="Hyperlink"/>
            <w:noProof/>
          </w:rPr>
          <w:t>Tax Transparency Report for PAA Ltd</w:t>
        </w:r>
        <w:r>
          <w:rPr>
            <w:noProof/>
            <w:webHidden/>
          </w:rPr>
          <w:tab/>
        </w:r>
        <w:r>
          <w:rPr>
            <w:noProof/>
            <w:webHidden/>
          </w:rPr>
          <w:fldChar w:fldCharType="begin"/>
        </w:r>
        <w:r>
          <w:rPr>
            <w:noProof/>
            <w:webHidden/>
          </w:rPr>
          <w:instrText xml:space="preserve"> PAGEREF _Toc212116320 \h </w:instrText>
        </w:r>
        <w:r>
          <w:rPr>
            <w:noProof/>
            <w:webHidden/>
          </w:rPr>
        </w:r>
        <w:r>
          <w:rPr>
            <w:noProof/>
            <w:webHidden/>
          </w:rPr>
          <w:fldChar w:fldCharType="separate"/>
        </w:r>
        <w:r w:rsidR="001D3A16">
          <w:rPr>
            <w:noProof/>
            <w:webHidden/>
          </w:rPr>
          <w:t>29</w:t>
        </w:r>
        <w:r>
          <w:rPr>
            <w:noProof/>
            <w:webHidden/>
          </w:rPr>
          <w:fldChar w:fldCharType="end"/>
        </w:r>
      </w:hyperlink>
    </w:p>
    <w:p w14:paraId="608194F7" w14:textId="395E884F" w:rsidR="00D81F39" w:rsidRDefault="00D81F39">
      <w:pPr>
        <w:pStyle w:val="TOC2"/>
        <w:rPr>
          <w:rFonts w:asciiTheme="minorHAnsi" w:eastAsiaTheme="minorEastAsia" w:hAnsiTheme="minorHAnsi" w:cstheme="minorBidi"/>
          <w:noProof/>
          <w:color w:val="auto"/>
          <w:kern w:val="2"/>
          <w:sz w:val="24"/>
          <w:szCs w:val="24"/>
          <w14:ligatures w14:val="standardContextual"/>
        </w:rPr>
      </w:pPr>
      <w:hyperlink w:anchor="_Toc212116321" w:history="1">
        <w:r w:rsidRPr="00CF74DB">
          <w:rPr>
            <w:rStyle w:val="Hyperlink"/>
            <w:noProof/>
          </w:rPr>
          <w:t>Overview</w:t>
        </w:r>
        <w:r>
          <w:rPr>
            <w:noProof/>
            <w:webHidden/>
          </w:rPr>
          <w:tab/>
        </w:r>
        <w:r>
          <w:rPr>
            <w:noProof/>
            <w:webHidden/>
          </w:rPr>
          <w:fldChar w:fldCharType="begin"/>
        </w:r>
        <w:r>
          <w:rPr>
            <w:noProof/>
            <w:webHidden/>
          </w:rPr>
          <w:instrText xml:space="preserve"> PAGEREF _Toc212116321 \h </w:instrText>
        </w:r>
        <w:r>
          <w:rPr>
            <w:noProof/>
            <w:webHidden/>
          </w:rPr>
        </w:r>
        <w:r>
          <w:rPr>
            <w:noProof/>
            <w:webHidden/>
          </w:rPr>
          <w:fldChar w:fldCharType="separate"/>
        </w:r>
        <w:r w:rsidR="001D3A16">
          <w:rPr>
            <w:noProof/>
            <w:webHidden/>
          </w:rPr>
          <w:t>29</w:t>
        </w:r>
        <w:r>
          <w:rPr>
            <w:noProof/>
            <w:webHidden/>
          </w:rPr>
          <w:fldChar w:fldCharType="end"/>
        </w:r>
      </w:hyperlink>
    </w:p>
    <w:p w14:paraId="663CB31A" w14:textId="6A224014" w:rsidR="00D81F39" w:rsidRDefault="00D81F39">
      <w:pPr>
        <w:pStyle w:val="TOC2"/>
        <w:rPr>
          <w:rFonts w:asciiTheme="minorHAnsi" w:eastAsiaTheme="minorEastAsia" w:hAnsiTheme="minorHAnsi" w:cstheme="minorBidi"/>
          <w:noProof/>
          <w:color w:val="auto"/>
          <w:kern w:val="2"/>
          <w:sz w:val="24"/>
          <w:szCs w:val="24"/>
          <w14:ligatures w14:val="standardContextual"/>
        </w:rPr>
      </w:pPr>
      <w:hyperlink w:anchor="_Toc212116322" w:history="1">
        <w:r w:rsidRPr="00CF74DB">
          <w:rPr>
            <w:rStyle w:val="Hyperlink"/>
            <w:noProof/>
          </w:rPr>
          <w:t>Tax Data</w:t>
        </w:r>
        <w:r>
          <w:rPr>
            <w:noProof/>
            <w:webHidden/>
          </w:rPr>
          <w:tab/>
        </w:r>
        <w:r>
          <w:rPr>
            <w:noProof/>
            <w:webHidden/>
          </w:rPr>
          <w:fldChar w:fldCharType="begin"/>
        </w:r>
        <w:r>
          <w:rPr>
            <w:noProof/>
            <w:webHidden/>
          </w:rPr>
          <w:instrText xml:space="preserve"> PAGEREF _Toc212116322 \h </w:instrText>
        </w:r>
        <w:r>
          <w:rPr>
            <w:noProof/>
            <w:webHidden/>
          </w:rPr>
        </w:r>
        <w:r>
          <w:rPr>
            <w:noProof/>
            <w:webHidden/>
          </w:rPr>
          <w:fldChar w:fldCharType="separate"/>
        </w:r>
        <w:r w:rsidR="001D3A16">
          <w:rPr>
            <w:noProof/>
            <w:webHidden/>
          </w:rPr>
          <w:t>30</w:t>
        </w:r>
        <w:r>
          <w:rPr>
            <w:noProof/>
            <w:webHidden/>
          </w:rPr>
          <w:fldChar w:fldCharType="end"/>
        </w:r>
      </w:hyperlink>
    </w:p>
    <w:p w14:paraId="41AFD173" w14:textId="2D293910" w:rsidR="00D81F39" w:rsidRDefault="00D81F39">
      <w:pPr>
        <w:pStyle w:val="TOC2"/>
        <w:rPr>
          <w:rFonts w:asciiTheme="minorHAnsi" w:eastAsiaTheme="minorEastAsia" w:hAnsiTheme="minorHAnsi" w:cstheme="minorBidi"/>
          <w:noProof/>
          <w:color w:val="auto"/>
          <w:kern w:val="2"/>
          <w:sz w:val="24"/>
          <w:szCs w:val="24"/>
          <w14:ligatures w14:val="standardContextual"/>
        </w:rPr>
      </w:pPr>
      <w:hyperlink w:anchor="_Toc212116323" w:history="1">
        <w:r w:rsidRPr="00CF74DB">
          <w:rPr>
            <w:rStyle w:val="Hyperlink"/>
            <w:noProof/>
          </w:rPr>
          <w:t>Overall approach to tax</w:t>
        </w:r>
        <w:r>
          <w:rPr>
            <w:noProof/>
            <w:webHidden/>
          </w:rPr>
          <w:tab/>
        </w:r>
        <w:r>
          <w:rPr>
            <w:noProof/>
            <w:webHidden/>
          </w:rPr>
          <w:fldChar w:fldCharType="begin"/>
        </w:r>
        <w:r>
          <w:rPr>
            <w:noProof/>
            <w:webHidden/>
          </w:rPr>
          <w:instrText xml:space="preserve"> PAGEREF _Toc212116323 \h </w:instrText>
        </w:r>
        <w:r>
          <w:rPr>
            <w:noProof/>
            <w:webHidden/>
          </w:rPr>
        </w:r>
        <w:r>
          <w:rPr>
            <w:noProof/>
            <w:webHidden/>
          </w:rPr>
          <w:fldChar w:fldCharType="separate"/>
        </w:r>
        <w:r w:rsidR="001D3A16">
          <w:rPr>
            <w:noProof/>
            <w:webHidden/>
          </w:rPr>
          <w:t>35</w:t>
        </w:r>
        <w:r>
          <w:rPr>
            <w:noProof/>
            <w:webHidden/>
          </w:rPr>
          <w:fldChar w:fldCharType="end"/>
        </w:r>
      </w:hyperlink>
    </w:p>
    <w:p w14:paraId="1102FCED" w14:textId="1A6BEB29" w:rsidR="00D81F39" w:rsidRDefault="00D81F39">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116324" w:history="1">
        <w:r w:rsidRPr="00CF74DB">
          <w:rPr>
            <w:rStyle w:val="Hyperlink"/>
            <w:noProof/>
          </w:rPr>
          <w:t>Appendix B – VTTC Checklist</w:t>
        </w:r>
        <w:r>
          <w:rPr>
            <w:noProof/>
            <w:webHidden/>
          </w:rPr>
          <w:tab/>
        </w:r>
        <w:r>
          <w:rPr>
            <w:noProof/>
            <w:webHidden/>
          </w:rPr>
          <w:fldChar w:fldCharType="begin"/>
        </w:r>
        <w:r>
          <w:rPr>
            <w:noProof/>
            <w:webHidden/>
          </w:rPr>
          <w:instrText xml:space="preserve"> PAGEREF _Toc212116324 \h </w:instrText>
        </w:r>
        <w:r>
          <w:rPr>
            <w:noProof/>
            <w:webHidden/>
          </w:rPr>
        </w:r>
        <w:r>
          <w:rPr>
            <w:noProof/>
            <w:webHidden/>
          </w:rPr>
          <w:fldChar w:fldCharType="separate"/>
        </w:r>
        <w:r w:rsidR="001D3A16">
          <w:rPr>
            <w:noProof/>
            <w:webHidden/>
          </w:rPr>
          <w:t>39</w:t>
        </w:r>
        <w:r>
          <w:rPr>
            <w:noProof/>
            <w:webHidden/>
          </w:rPr>
          <w:fldChar w:fldCharType="end"/>
        </w:r>
      </w:hyperlink>
    </w:p>
    <w:p w14:paraId="3AADC2E6" w14:textId="7C861175" w:rsidR="00D81F39" w:rsidRDefault="00D81F39">
      <w:pPr>
        <w:pStyle w:val="TOC2"/>
        <w:rPr>
          <w:rFonts w:asciiTheme="minorHAnsi" w:eastAsiaTheme="minorEastAsia" w:hAnsiTheme="minorHAnsi" w:cstheme="minorBidi"/>
          <w:noProof/>
          <w:color w:val="auto"/>
          <w:kern w:val="2"/>
          <w:sz w:val="24"/>
          <w:szCs w:val="24"/>
          <w14:ligatures w14:val="standardContextual"/>
        </w:rPr>
      </w:pPr>
      <w:hyperlink w:anchor="_Toc212116325" w:history="1">
        <w:r w:rsidRPr="00CF74DB">
          <w:rPr>
            <w:rStyle w:val="Hyperlink"/>
            <w:noProof/>
          </w:rPr>
          <w:t>Public CbC reporter</w:t>
        </w:r>
        <w:r>
          <w:rPr>
            <w:noProof/>
            <w:webHidden/>
          </w:rPr>
          <w:tab/>
        </w:r>
        <w:r>
          <w:rPr>
            <w:noProof/>
            <w:webHidden/>
          </w:rPr>
          <w:fldChar w:fldCharType="begin"/>
        </w:r>
        <w:r>
          <w:rPr>
            <w:noProof/>
            <w:webHidden/>
          </w:rPr>
          <w:instrText xml:space="preserve"> PAGEREF _Toc212116325 \h </w:instrText>
        </w:r>
        <w:r>
          <w:rPr>
            <w:noProof/>
            <w:webHidden/>
          </w:rPr>
        </w:r>
        <w:r>
          <w:rPr>
            <w:noProof/>
            <w:webHidden/>
          </w:rPr>
          <w:fldChar w:fldCharType="separate"/>
        </w:r>
        <w:r w:rsidR="001D3A16">
          <w:rPr>
            <w:noProof/>
            <w:webHidden/>
          </w:rPr>
          <w:t>39</w:t>
        </w:r>
        <w:r>
          <w:rPr>
            <w:noProof/>
            <w:webHidden/>
          </w:rPr>
          <w:fldChar w:fldCharType="end"/>
        </w:r>
      </w:hyperlink>
    </w:p>
    <w:p w14:paraId="371AD13D" w14:textId="6B767B8D" w:rsidR="00D81F39" w:rsidRDefault="00D81F39">
      <w:pPr>
        <w:pStyle w:val="TOC2"/>
        <w:rPr>
          <w:rFonts w:asciiTheme="minorHAnsi" w:eastAsiaTheme="minorEastAsia" w:hAnsiTheme="minorHAnsi" w:cstheme="minorBidi"/>
          <w:noProof/>
          <w:color w:val="auto"/>
          <w:kern w:val="2"/>
          <w:sz w:val="24"/>
          <w:szCs w:val="24"/>
          <w14:ligatures w14:val="standardContextual"/>
        </w:rPr>
      </w:pPr>
      <w:hyperlink w:anchor="_Toc212116326" w:history="1">
        <w:r w:rsidRPr="00CF74DB">
          <w:rPr>
            <w:rStyle w:val="Hyperlink"/>
            <w:noProof/>
          </w:rPr>
          <w:t>Non-public CbC reporter</w:t>
        </w:r>
        <w:r>
          <w:rPr>
            <w:noProof/>
            <w:webHidden/>
          </w:rPr>
          <w:tab/>
        </w:r>
        <w:r>
          <w:rPr>
            <w:noProof/>
            <w:webHidden/>
          </w:rPr>
          <w:fldChar w:fldCharType="begin"/>
        </w:r>
        <w:r>
          <w:rPr>
            <w:noProof/>
            <w:webHidden/>
          </w:rPr>
          <w:instrText xml:space="preserve"> PAGEREF _Toc212116326 \h </w:instrText>
        </w:r>
        <w:r>
          <w:rPr>
            <w:noProof/>
            <w:webHidden/>
          </w:rPr>
        </w:r>
        <w:r>
          <w:rPr>
            <w:noProof/>
            <w:webHidden/>
          </w:rPr>
          <w:fldChar w:fldCharType="separate"/>
        </w:r>
        <w:r w:rsidR="001D3A16">
          <w:rPr>
            <w:noProof/>
            <w:webHidden/>
          </w:rPr>
          <w:t>43</w:t>
        </w:r>
        <w:r>
          <w:rPr>
            <w:noProof/>
            <w:webHidden/>
          </w:rPr>
          <w:fldChar w:fldCharType="end"/>
        </w:r>
      </w:hyperlink>
    </w:p>
    <w:p w14:paraId="1AD9E947" w14:textId="2375ABD6" w:rsidR="00D81F39" w:rsidRDefault="00D81F39">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116327" w:history="1">
        <w:r w:rsidRPr="00CF74DB">
          <w:rPr>
            <w:rStyle w:val="Hyperlink"/>
            <w:noProof/>
          </w:rPr>
          <w:t>Appendix C – Glossary</w:t>
        </w:r>
        <w:r>
          <w:rPr>
            <w:noProof/>
            <w:webHidden/>
          </w:rPr>
          <w:tab/>
        </w:r>
        <w:r>
          <w:rPr>
            <w:noProof/>
            <w:webHidden/>
          </w:rPr>
          <w:fldChar w:fldCharType="begin"/>
        </w:r>
        <w:r>
          <w:rPr>
            <w:noProof/>
            <w:webHidden/>
          </w:rPr>
          <w:instrText xml:space="preserve"> PAGEREF _Toc212116327 \h </w:instrText>
        </w:r>
        <w:r>
          <w:rPr>
            <w:noProof/>
            <w:webHidden/>
          </w:rPr>
        </w:r>
        <w:r>
          <w:rPr>
            <w:noProof/>
            <w:webHidden/>
          </w:rPr>
          <w:fldChar w:fldCharType="separate"/>
        </w:r>
        <w:r w:rsidR="001D3A16">
          <w:rPr>
            <w:noProof/>
            <w:webHidden/>
          </w:rPr>
          <w:t>46</w:t>
        </w:r>
        <w:r>
          <w:rPr>
            <w:noProof/>
            <w:webHidden/>
          </w:rPr>
          <w:fldChar w:fldCharType="end"/>
        </w:r>
      </w:hyperlink>
    </w:p>
    <w:p w14:paraId="4B9D5C8C" w14:textId="52AF23F3" w:rsidR="006256BA" w:rsidRDefault="00D81F39" w:rsidP="00D81F39">
      <w:pPr>
        <w:pStyle w:val="ContentsHeading"/>
        <w:spacing w:before="0"/>
      </w:pPr>
      <w:r>
        <w:rPr>
          <w:rFonts w:asciiTheme="majorHAnsi" w:hAnsiTheme="majorHAnsi"/>
          <w:smallCaps/>
        </w:rPr>
        <w:fldChar w:fldCharType="end"/>
      </w:r>
    </w:p>
    <w:p w14:paraId="6EF452D5" w14:textId="77777777" w:rsidR="006256BA" w:rsidRDefault="006256BA">
      <w:pPr>
        <w:sectPr w:rsidR="006256BA" w:rsidSect="00F779BD">
          <w:pgSz w:w="11909" w:h="16834" w:code="9"/>
          <w:pgMar w:top="1985" w:right="1134" w:bottom="1985" w:left="1134" w:header="1134" w:footer="1134" w:gutter="0"/>
          <w:pgNumType w:fmt="lowerRoman"/>
          <w:cols w:space="708"/>
          <w:titlePg/>
          <w:docGrid w:linePitch="360"/>
        </w:sectPr>
      </w:pPr>
    </w:p>
    <w:p w14:paraId="14559A75" w14:textId="43C5ECBD" w:rsidR="007E7BDE" w:rsidRDefault="00254DE8" w:rsidP="00E11AE7">
      <w:pPr>
        <w:pStyle w:val="Heading1"/>
        <w:spacing w:before="0"/>
      </w:pPr>
      <w:bookmarkStart w:id="26" w:name="_Toc212116308"/>
      <w:r w:rsidRPr="00E11AE7">
        <w:lastRenderedPageBreak/>
        <w:t>V</w:t>
      </w:r>
      <w:r w:rsidR="00117277" w:rsidRPr="00E11AE7">
        <w:t>TTC</w:t>
      </w:r>
      <w:r w:rsidR="00117277">
        <w:t xml:space="preserve"> </w:t>
      </w:r>
      <w:r w:rsidR="001D4955">
        <w:t>reporting</w:t>
      </w:r>
      <w:r w:rsidR="006E4F91">
        <w:t xml:space="preserve"> </w:t>
      </w:r>
      <w:r w:rsidR="0083052E">
        <w:t>requirements</w:t>
      </w:r>
      <w:bookmarkEnd w:id="26"/>
    </w:p>
    <w:p w14:paraId="43E75C6A" w14:textId="3E9D482A" w:rsidR="0086278E" w:rsidRPr="00E11AE7" w:rsidRDefault="0086278E" w:rsidP="00E11AE7">
      <w:r w:rsidRPr="00E11AE7">
        <w:t xml:space="preserve">The </w:t>
      </w:r>
      <w:r w:rsidR="00B1559E" w:rsidRPr="00E11AE7">
        <w:t>V</w:t>
      </w:r>
      <w:r w:rsidRPr="00E11AE7">
        <w:t xml:space="preserve">TTC </w:t>
      </w:r>
      <w:r w:rsidR="001D4955" w:rsidRPr="00E11AE7">
        <w:t>reporting</w:t>
      </w:r>
      <w:r w:rsidRPr="00E11AE7">
        <w:t xml:space="preserve"> requirements are </w:t>
      </w:r>
      <w:r w:rsidR="00564112" w:rsidRPr="00E11AE7">
        <w:t xml:space="preserve">separated </w:t>
      </w:r>
      <w:r w:rsidRPr="00E11AE7">
        <w:t xml:space="preserve">based on </w:t>
      </w:r>
      <w:r w:rsidR="00B61089" w:rsidRPr="00E11AE7">
        <w:t>whether a</w:t>
      </w:r>
      <w:r w:rsidR="00053CE3" w:rsidRPr="00E11AE7">
        <w:t>n</w:t>
      </w:r>
      <w:r w:rsidR="00B61089" w:rsidRPr="00E11AE7">
        <w:t xml:space="preserve"> </w:t>
      </w:r>
      <w:r w:rsidR="00053CE3" w:rsidRPr="00E11AE7">
        <w:t xml:space="preserve">entity </w:t>
      </w:r>
      <w:r w:rsidR="00B61089" w:rsidRPr="00E11AE7">
        <w:t>is</w:t>
      </w:r>
      <w:r w:rsidR="006E4F91" w:rsidRPr="00E11AE7">
        <w:t xml:space="preserve"> a</w:t>
      </w:r>
      <w:r w:rsidR="0012660C" w:rsidRPr="00E11AE7">
        <w:t xml:space="preserve"> </w:t>
      </w:r>
      <w:r w:rsidRPr="00E11AE7">
        <w:t>‘</w:t>
      </w:r>
      <w:r w:rsidR="005F3057" w:rsidRPr="00E11AE7">
        <w:t xml:space="preserve">Public </w:t>
      </w:r>
      <w:proofErr w:type="spellStart"/>
      <w:r w:rsidRPr="00E11AE7">
        <w:t>CbC</w:t>
      </w:r>
      <w:proofErr w:type="spellEnd"/>
      <w:r w:rsidRPr="00E11AE7">
        <w:t xml:space="preserve"> reporter’ or a ‘Non-</w:t>
      </w:r>
      <w:r w:rsidR="005F3057" w:rsidRPr="00E11AE7">
        <w:t xml:space="preserve">public </w:t>
      </w:r>
      <w:proofErr w:type="spellStart"/>
      <w:r w:rsidRPr="00E11AE7">
        <w:t>CbC</w:t>
      </w:r>
      <w:proofErr w:type="spellEnd"/>
      <w:r w:rsidRPr="00E11AE7">
        <w:t xml:space="preserve"> reporter’</w:t>
      </w:r>
      <w:r w:rsidR="00FA65C0" w:rsidRPr="00E11AE7">
        <w:t xml:space="preserve"> for the period</w:t>
      </w:r>
      <w:r w:rsidRPr="00E11AE7">
        <w:t xml:space="preserve">: </w:t>
      </w:r>
    </w:p>
    <w:p w14:paraId="1DD1279A" w14:textId="21864B48" w:rsidR="0086278E" w:rsidRPr="003733B6" w:rsidRDefault="0086278E" w:rsidP="00034510">
      <w:pPr>
        <w:pStyle w:val="Bullet"/>
      </w:pPr>
      <w:r w:rsidRPr="003733B6">
        <w:t xml:space="preserve">A </w:t>
      </w:r>
      <w:r w:rsidRPr="003733B6">
        <w:rPr>
          <w:b/>
        </w:rPr>
        <w:t>‘</w:t>
      </w:r>
      <w:r w:rsidR="005F3057" w:rsidRPr="003733B6">
        <w:rPr>
          <w:b/>
        </w:rPr>
        <w:t xml:space="preserve">Public </w:t>
      </w:r>
      <w:proofErr w:type="spellStart"/>
      <w:r w:rsidRPr="003733B6">
        <w:rPr>
          <w:b/>
        </w:rPr>
        <w:t>CbC</w:t>
      </w:r>
      <w:proofErr w:type="spellEnd"/>
      <w:r w:rsidRPr="003733B6">
        <w:rPr>
          <w:b/>
        </w:rPr>
        <w:t xml:space="preserve"> reporter’ </w:t>
      </w:r>
      <w:r w:rsidRPr="003733B6">
        <w:t xml:space="preserve">for </w:t>
      </w:r>
      <w:r w:rsidR="00B1559E" w:rsidRPr="00284859">
        <w:t>V</w:t>
      </w:r>
      <w:r w:rsidRPr="003733B6">
        <w:t xml:space="preserve">TTC purposes </w:t>
      </w:r>
      <w:r w:rsidR="00483831" w:rsidRPr="003733B6">
        <w:t xml:space="preserve">is </w:t>
      </w:r>
      <w:r w:rsidRPr="003733B6">
        <w:t>a ‘</w:t>
      </w:r>
      <w:proofErr w:type="spellStart"/>
      <w:r w:rsidRPr="003733B6">
        <w:t>CbC</w:t>
      </w:r>
      <w:proofErr w:type="spellEnd"/>
      <w:r w:rsidRPr="003733B6">
        <w:t xml:space="preserve"> reporting </w:t>
      </w:r>
      <w:r w:rsidR="00D43464" w:rsidRPr="003733B6">
        <w:t xml:space="preserve">parent’ </w:t>
      </w:r>
      <w:r w:rsidR="00165A76" w:rsidRPr="003733B6">
        <w:t>(as defined under the ITAA 1997)</w:t>
      </w:r>
      <w:r w:rsidRPr="003733B6">
        <w:rPr>
          <w:i/>
        </w:rPr>
        <w:t xml:space="preserve"> </w:t>
      </w:r>
      <w:r w:rsidR="00266CFB" w:rsidRPr="003733B6">
        <w:t>that</w:t>
      </w:r>
      <w:r w:rsidRPr="003733B6">
        <w:t xml:space="preserve"> is required to publish information under section</w:t>
      </w:r>
      <w:r w:rsidR="00AA4E97" w:rsidRPr="003733B6">
        <w:t xml:space="preserve"> </w:t>
      </w:r>
      <w:r w:rsidRPr="003733B6">
        <w:t>3D of the TAA</w:t>
      </w:r>
      <w:r w:rsidR="007B1D62">
        <w:t>.</w:t>
      </w:r>
    </w:p>
    <w:p w14:paraId="7D3BD9BF" w14:textId="4A3F31B3" w:rsidR="005E3375" w:rsidRDefault="0086278E" w:rsidP="00034510">
      <w:pPr>
        <w:pStyle w:val="Bullet"/>
      </w:pPr>
      <w:r w:rsidRPr="00FE497B">
        <w:t xml:space="preserve">A </w:t>
      </w:r>
      <w:r w:rsidRPr="00FE497B">
        <w:rPr>
          <w:b/>
        </w:rPr>
        <w:t>‘Non-</w:t>
      </w:r>
      <w:r w:rsidR="005F3057">
        <w:rPr>
          <w:b/>
        </w:rPr>
        <w:t xml:space="preserve">public </w:t>
      </w:r>
      <w:proofErr w:type="spellStart"/>
      <w:r w:rsidRPr="00FE497B">
        <w:rPr>
          <w:b/>
        </w:rPr>
        <w:t>CbC</w:t>
      </w:r>
      <w:proofErr w:type="spellEnd"/>
      <w:r w:rsidRPr="00FE497B">
        <w:rPr>
          <w:b/>
        </w:rPr>
        <w:t xml:space="preserve"> reporter’</w:t>
      </w:r>
      <w:r w:rsidRPr="00FE497B">
        <w:t xml:space="preserve"> for </w:t>
      </w:r>
      <w:r w:rsidR="00170DB3">
        <w:t>V</w:t>
      </w:r>
      <w:r w:rsidRPr="00FE497B">
        <w:t xml:space="preserve">TTC purposes is defined as any </w:t>
      </w:r>
      <w:r w:rsidR="00053CE3">
        <w:t>entity</w:t>
      </w:r>
      <w:r w:rsidR="00053CE3" w:rsidRPr="00FE497B">
        <w:t xml:space="preserve"> </w:t>
      </w:r>
      <w:r w:rsidRPr="00FE497B">
        <w:t xml:space="preserve">that </w:t>
      </w:r>
      <w:r w:rsidR="00266CFB" w:rsidRPr="00FE497B">
        <w:t>is not a ‘</w:t>
      </w:r>
      <w:r w:rsidR="005F3057">
        <w:t xml:space="preserve">Public </w:t>
      </w:r>
      <w:proofErr w:type="spellStart"/>
      <w:r w:rsidR="00266CFB" w:rsidRPr="00FE497B">
        <w:t>CbC</w:t>
      </w:r>
      <w:proofErr w:type="spellEnd"/>
      <w:r w:rsidR="00266CFB" w:rsidRPr="00FE497B">
        <w:t xml:space="preserve"> reporter’ for </w:t>
      </w:r>
      <w:r w:rsidR="00170DB3">
        <w:t>V</w:t>
      </w:r>
      <w:r w:rsidR="00266CFB" w:rsidRPr="00FE497B">
        <w:t xml:space="preserve">TTC purposes. </w:t>
      </w:r>
      <w:r w:rsidR="00242295">
        <w:t xml:space="preserve">This includes </w:t>
      </w:r>
      <w:r w:rsidR="00CD2F74">
        <w:t xml:space="preserve">taxpayers who </w:t>
      </w:r>
      <w:r w:rsidR="00F24EFD">
        <w:t xml:space="preserve">are exempt </w:t>
      </w:r>
      <w:r w:rsidR="00CD2F74">
        <w:t xml:space="preserve">from the public </w:t>
      </w:r>
      <w:proofErr w:type="spellStart"/>
      <w:r w:rsidR="00CD2F74">
        <w:t>CbCr</w:t>
      </w:r>
      <w:proofErr w:type="spellEnd"/>
      <w:r w:rsidR="00CD2F74">
        <w:t>.</w:t>
      </w:r>
    </w:p>
    <w:p w14:paraId="21CD0C58" w14:textId="222B705B" w:rsidR="005E3375" w:rsidRPr="00FE497B" w:rsidRDefault="005E3375" w:rsidP="0052252F">
      <w:r>
        <w:t>(</w:t>
      </w:r>
      <w:r w:rsidRPr="0052252F">
        <w:t>See</w:t>
      </w:r>
      <w:r>
        <w:t xml:space="preserve"> </w:t>
      </w:r>
      <w:hyperlink w:anchor="Appendix_C_Glossary" w:history="1">
        <w:r w:rsidRPr="007523ED">
          <w:rPr>
            <w:rStyle w:val="Hyperlink"/>
            <w:b/>
            <w:bCs/>
          </w:rPr>
          <w:t>Appendix C – Glossary</w:t>
        </w:r>
      </w:hyperlink>
      <w:r>
        <w:t>)</w:t>
      </w:r>
    </w:p>
    <w:p w14:paraId="241D3100" w14:textId="209E73B2" w:rsidR="00564112" w:rsidRPr="003A25F3" w:rsidRDefault="001D4955" w:rsidP="0052252F">
      <w:pPr>
        <w:rPr>
          <w:rFonts w:asciiTheme="minorHAnsi" w:hAnsiTheme="minorHAnsi" w:cstheme="minorHAnsi"/>
        </w:rPr>
      </w:pPr>
      <w:r>
        <w:rPr>
          <w:rFonts w:asciiTheme="minorHAnsi" w:hAnsiTheme="minorHAnsi" w:cstheme="minorHAnsi"/>
        </w:rPr>
        <w:t>Reporting</w:t>
      </w:r>
      <w:r w:rsidR="006937EC">
        <w:rPr>
          <w:rFonts w:asciiTheme="minorHAnsi" w:hAnsiTheme="minorHAnsi" w:cstheme="minorHAnsi"/>
        </w:rPr>
        <w:t xml:space="preserve"> under the</w:t>
      </w:r>
      <w:r w:rsidR="00564112" w:rsidRPr="003A25F3">
        <w:rPr>
          <w:rFonts w:asciiTheme="minorHAnsi" w:hAnsiTheme="minorHAnsi" w:cstheme="minorHAnsi"/>
        </w:rPr>
        <w:t xml:space="preserve"> </w:t>
      </w:r>
      <w:r w:rsidR="00A7390F">
        <w:rPr>
          <w:rFonts w:asciiTheme="minorHAnsi" w:hAnsiTheme="minorHAnsi" w:cstheme="minorHAnsi"/>
        </w:rPr>
        <w:t>V</w:t>
      </w:r>
      <w:r w:rsidR="00564112" w:rsidRPr="003A25F3">
        <w:rPr>
          <w:rFonts w:asciiTheme="minorHAnsi" w:hAnsiTheme="minorHAnsi" w:cstheme="minorHAnsi"/>
        </w:rPr>
        <w:t>TTC includes both ‘requirements’ and ‘optional elements’</w:t>
      </w:r>
      <w:r w:rsidR="00564112">
        <w:rPr>
          <w:rFonts w:asciiTheme="minorHAnsi" w:hAnsiTheme="minorHAnsi" w:cstheme="minorHAnsi"/>
        </w:rPr>
        <w:t xml:space="preserve"> which differ according </w:t>
      </w:r>
      <w:r w:rsidR="00034EF8">
        <w:rPr>
          <w:rFonts w:asciiTheme="minorHAnsi" w:hAnsiTheme="minorHAnsi" w:cstheme="minorHAnsi"/>
        </w:rPr>
        <w:t xml:space="preserve">to classification </w:t>
      </w:r>
      <w:r w:rsidR="00564112" w:rsidRPr="003A25F3">
        <w:rPr>
          <w:rFonts w:asciiTheme="minorHAnsi" w:hAnsiTheme="minorHAnsi" w:cstheme="minorHAnsi"/>
        </w:rPr>
        <w:t>as a ‘</w:t>
      </w:r>
      <w:r w:rsidR="005F3057">
        <w:rPr>
          <w:rFonts w:asciiTheme="minorHAnsi" w:hAnsiTheme="minorHAnsi" w:cstheme="minorHAnsi"/>
        </w:rPr>
        <w:t xml:space="preserve">Public </w:t>
      </w:r>
      <w:proofErr w:type="spellStart"/>
      <w:r w:rsidR="00564112">
        <w:rPr>
          <w:rFonts w:asciiTheme="minorHAnsi" w:hAnsiTheme="minorHAnsi" w:cstheme="minorHAnsi"/>
        </w:rPr>
        <w:t>CbC</w:t>
      </w:r>
      <w:proofErr w:type="spellEnd"/>
      <w:r w:rsidR="00564112">
        <w:rPr>
          <w:rFonts w:asciiTheme="minorHAnsi" w:hAnsiTheme="minorHAnsi" w:cstheme="minorHAnsi"/>
        </w:rPr>
        <w:t xml:space="preserve"> reporter</w:t>
      </w:r>
      <w:r w:rsidR="00564112" w:rsidRPr="003A25F3">
        <w:rPr>
          <w:rFonts w:asciiTheme="minorHAnsi" w:hAnsiTheme="minorHAnsi" w:cstheme="minorHAnsi"/>
        </w:rPr>
        <w:t>’ or a ‘Non-</w:t>
      </w:r>
      <w:r w:rsidR="005F3057">
        <w:rPr>
          <w:rFonts w:asciiTheme="minorHAnsi" w:hAnsiTheme="minorHAnsi" w:cstheme="minorHAnsi"/>
        </w:rPr>
        <w:t xml:space="preserve">public </w:t>
      </w:r>
      <w:proofErr w:type="spellStart"/>
      <w:r w:rsidR="00564112">
        <w:rPr>
          <w:rFonts w:asciiTheme="minorHAnsi" w:hAnsiTheme="minorHAnsi" w:cstheme="minorHAnsi"/>
        </w:rPr>
        <w:t>CbC</w:t>
      </w:r>
      <w:proofErr w:type="spellEnd"/>
      <w:r w:rsidR="00564112">
        <w:rPr>
          <w:rFonts w:asciiTheme="minorHAnsi" w:hAnsiTheme="minorHAnsi" w:cstheme="minorHAnsi"/>
        </w:rPr>
        <w:t xml:space="preserve"> reporter</w:t>
      </w:r>
      <w:r w:rsidR="00564112" w:rsidRPr="003A25F3">
        <w:rPr>
          <w:rFonts w:asciiTheme="minorHAnsi" w:hAnsiTheme="minorHAnsi" w:cstheme="minorHAnsi"/>
        </w:rPr>
        <w:t>’</w:t>
      </w:r>
      <w:r w:rsidR="00352EA2">
        <w:rPr>
          <w:rFonts w:asciiTheme="minorHAnsi" w:hAnsiTheme="minorHAnsi" w:cstheme="minorHAnsi"/>
        </w:rPr>
        <w:t>:</w:t>
      </w:r>
      <w:r w:rsidR="00C40471">
        <w:rPr>
          <w:rStyle w:val="FootnoteReference"/>
          <w:rFonts w:asciiTheme="minorHAnsi" w:hAnsiTheme="minorHAnsi" w:cstheme="minorHAnsi"/>
        </w:rPr>
        <w:footnoteReference w:id="2"/>
      </w:r>
    </w:p>
    <w:p w14:paraId="0EED8679" w14:textId="23B680AE" w:rsidR="00564112" w:rsidRPr="002A0064" w:rsidRDefault="00564112" w:rsidP="002A0064">
      <w:pPr>
        <w:pStyle w:val="Bullet"/>
      </w:pPr>
      <w:r w:rsidRPr="00034510">
        <w:rPr>
          <w:b/>
          <w:bCs/>
        </w:rPr>
        <w:t>Requirements</w:t>
      </w:r>
      <w:r w:rsidRPr="002A0064">
        <w:t xml:space="preserve">: </w:t>
      </w:r>
      <w:r w:rsidR="00946EF7" w:rsidRPr="002A0064">
        <w:t xml:space="preserve">Entities </w:t>
      </w:r>
      <w:r w:rsidR="00541005" w:rsidRPr="002A0064">
        <w:t xml:space="preserve">who choose to adopt </w:t>
      </w:r>
      <w:r w:rsidRPr="002A0064">
        <w:t xml:space="preserve">the </w:t>
      </w:r>
      <w:r w:rsidR="00A7390F" w:rsidRPr="002A0064">
        <w:t>V</w:t>
      </w:r>
      <w:r w:rsidRPr="002A0064">
        <w:t xml:space="preserve">TTC should ensure </w:t>
      </w:r>
      <w:r w:rsidR="00046961" w:rsidRPr="002A0064">
        <w:t xml:space="preserve">that </w:t>
      </w:r>
      <w:r w:rsidRPr="002A0064">
        <w:t xml:space="preserve">all requirements have been met. </w:t>
      </w:r>
    </w:p>
    <w:p w14:paraId="291C074C" w14:textId="2B73560C" w:rsidR="004C3CBF" w:rsidRDefault="00564112" w:rsidP="670E04C8">
      <w:pPr>
        <w:pStyle w:val="Bullet"/>
        <w:spacing w:after="0"/>
        <w:rPr>
          <w:rFonts w:asciiTheme="minorHAnsi" w:hAnsiTheme="minorHAnsi" w:cstheme="minorBidi"/>
        </w:rPr>
      </w:pPr>
      <w:r w:rsidRPr="670E04C8">
        <w:rPr>
          <w:rFonts w:asciiTheme="minorHAnsi" w:hAnsiTheme="minorHAnsi" w:cstheme="minorBidi"/>
          <w:b/>
          <w:bCs/>
        </w:rPr>
        <w:t>Optional elements</w:t>
      </w:r>
      <w:r w:rsidRPr="670E04C8">
        <w:rPr>
          <w:rFonts w:asciiTheme="minorHAnsi" w:hAnsiTheme="minorHAnsi" w:cstheme="minorBidi"/>
        </w:rPr>
        <w:t xml:space="preserve">: </w:t>
      </w:r>
      <w:r w:rsidR="00946EF7">
        <w:rPr>
          <w:rFonts w:asciiTheme="minorHAnsi" w:hAnsiTheme="minorHAnsi" w:cstheme="minorBidi"/>
        </w:rPr>
        <w:t>Entities</w:t>
      </w:r>
      <w:r w:rsidR="00946EF7" w:rsidRPr="670E04C8">
        <w:rPr>
          <w:rFonts w:asciiTheme="minorHAnsi" w:hAnsiTheme="minorHAnsi" w:cstheme="minorBidi"/>
        </w:rPr>
        <w:t xml:space="preserve"> </w:t>
      </w:r>
      <w:r w:rsidRPr="670E04C8">
        <w:rPr>
          <w:rFonts w:asciiTheme="minorHAnsi" w:hAnsiTheme="minorHAnsi" w:cstheme="minorBidi"/>
        </w:rPr>
        <w:t xml:space="preserve">that wish to provide </w:t>
      </w:r>
      <w:r w:rsidR="0037203A" w:rsidRPr="4D10D2DC">
        <w:rPr>
          <w:rFonts w:asciiTheme="minorHAnsi" w:hAnsiTheme="minorHAnsi" w:cstheme="minorBidi"/>
        </w:rPr>
        <w:t>comprehensive</w:t>
      </w:r>
      <w:r w:rsidR="0037203A" w:rsidRPr="670E04C8">
        <w:rPr>
          <w:rFonts w:asciiTheme="minorHAnsi" w:hAnsiTheme="minorHAnsi" w:cstheme="minorBidi"/>
        </w:rPr>
        <w:t xml:space="preserve"> </w:t>
      </w:r>
      <w:r w:rsidRPr="670E04C8">
        <w:rPr>
          <w:rFonts w:asciiTheme="minorHAnsi" w:hAnsiTheme="minorHAnsi" w:cstheme="minorBidi"/>
        </w:rPr>
        <w:t xml:space="preserve">tax </w:t>
      </w:r>
      <w:r w:rsidR="007A62A5" w:rsidRPr="670E04C8">
        <w:rPr>
          <w:rFonts w:asciiTheme="minorHAnsi" w:hAnsiTheme="minorHAnsi" w:cstheme="minorBidi"/>
        </w:rPr>
        <w:t>information</w:t>
      </w:r>
      <w:r w:rsidRPr="670E04C8">
        <w:rPr>
          <w:rFonts w:asciiTheme="minorHAnsi" w:hAnsiTheme="minorHAnsi" w:cstheme="minorBidi"/>
        </w:rPr>
        <w:t xml:space="preserve"> are encouraged to adopt the optional </w:t>
      </w:r>
      <w:r w:rsidR="00DC67BD" w:rsidRPr="670E04C8">
        <w:rPr>
          <w:rFonts w:asciiTheme="minorHAnsi" w:hAnsiTheme="minorHAnsi" w:cstheme="minorBidi"/>
        </w:rPr>
        <w:t xml:space="preserve">elements </w:t>
      </w:r>
    </w:p>
    <w:p w14:paraId="43F9E0EE" w14:textId="7794DE5E" w:rsidR="00CF795C" w:rsidRDefault="00FB6BB2" w:rsidP="00E11AE7">
      <w:r w:rsidRPr="000503DD">
        <w:t xml:space="preserve">See </w:t>
      </w:r>
      <w:hyperlink w:anchor="Appendix_A">
        <w:r w:rsidRPr="005E0323">
          <w:rPr>
            <w:rStyle w:val="Hyperlink"/>
            <w:b/>
            <w:bCs/>
          </w:rPr>
          <w:t>Appendix A</w:t>
        </w:r>
      </w:hyperlink>
      <w:r w:rsidRPr="000503DD">
        <w:t xml:space="preserve"> for</w:t>
      </w:r>
      <w:r>
        <w:t xml:space="preserve"> an </w:t>
      </w:r>
      <w:r w:rsidRPr="0052252F">
        <w:t>example</w:t>
      </w:r>
      <w:r>
        <w:t xml:space="preserve"> </w:t>
      </w:r>
      <w:r w:rsidRPr="00E11AE7">
        <w:t>template</w:t>
      </w:r>
      <w:r>
        <w:t xml:space="preserve"> format of a </w:t>
      </w:r>
      <w:r w:rsidR="00A7390F">
        <w:t>V</w:t>
      </w:r>
      <w:r>
        <w:t xml:space="preserve">TTC report </w:t>
      </w:r>
      <w:r w:rsidR="00975C54">
        <w:t xml:space="preserve">and </w:t>
      </w:r>
      <w:hyperlink w:anchor="_Appendix_B_–" w:history="1">
        <w:r w:rsidR="00975C54" w:rsidRPr="00F91679">
          <w:rPr>
            <w:rStyle w:val="Hyperlink"/>
            <w:b/>
            <w:bCs/>
          </w:rPr>
          <w:t>Appendix B</w:t>
        </w:r>
      </w:hyperlink>
      <w:r w:rsidR="00975C54">
        <w:t xml:space="preserve"> for a self-assessment checklist</w:t>
      </w:r>
      <w:r w:rsidR="00975C54" w:rsidRPr="00A02C9A">
        <w:t xml:space="preserve"> </w:t>
      </w:r>
      <w:r w:rsidRPr="00A02C9A">
        <w:t xml:space="preserve">to aid with </w:t>
      </w:r>
      <w:r>
        <w:t xml:space="preserve">completion, </w:t>
      </w:r>
      <w:r w:rsidRPr="00A02C9A">
        <w:t xml:space="preserve">comparability and consistency of reports. </w:t>
      </w:r>
    </w:p>
    <w:p w14:paraId="01C6F8B2" w14:textId="02B8E51A" w:rsidR="00FB6BB2" w:rsidRPr="005E0323" w:rsidRDefault="00946EF7" w:rsidP="0052252F">
      <w:pPr>
        <w:rPr>
          <w:rFonts w:asciiTheme="minorHAnsi" w:hAnsiTheme="minorHAnsi" w:cstheme="minorBidi"/>
          <w:bCs/>
        </w:rPr>
      </w:pPr>
      <w:r>
        <w:t>Entities</w:t>
      </w:r>
      <w:r w:rsidR="00102EA0">
        <w:t xml:space="preserve"> may consider preparing the </w:t>
      </w:r>
      <w:r w:rsidR="00102EA0" w:rsidRPr="0052252F">
        <w:t>VTTC</w:t>
      </w:r>
      <w:r w:rsidR="00102EA0">
        <w:t xml:space="preserve"> as a standalone document </w:t>
      </w:r>
      <w:r w:rsidR="4BAF92F1">
        <w:t>(</w:t>
      </w:r>
      <w:r w:rsidR="00102EA0">
        <w:t>where they do not already have existing embedded processes</w:t>
      </w:r>
      <w:r w:rsidR="10DEF977">
        <w:t>)</w:t>
      </w:r>
      <w:r w:rsidR="00B93F2B">
        <w:t xml:space="preserve"> to improve accessibility and consistency. </w:t>
      </w:r>
    </w:p>
    <w:p w14:paraId="41B224EA" w14:textId="6D5C4E2E" w:rsidR="00FB6BB2" w:rsidRDefault="00FB6BB2" w:rsidP="00247334">
      <w:pPr>
        <w:pStyle w:val="Heading2"/>
      </w:pPr>
      <w:bookmarkStart w:id="27" w:name="_Toc212116309"/>
      <w:r>
        <w:t>Timing</w:t>
      </w:r>
      <w:bookmarkEnd w:id="27"/>
    </w:p>
    <w:p w14:paraId="66E7FB9A" w14:textId="67CFAB91" w:rsidR="008E605A" w:rsidRDefault="00F361F7" w:rsidP="0052252F">
      <w:pPr>
        <w:rPr>
          <w:rFonts w:asciiTheme="minorHAnsi" w:hAnsiTheme="minorHAnsi" w:cstheme="minorBidi"/>
          <w:bCs/>
        </w:rPr>
      </w:pPr>
      <w:r>
        <w:rPr>
          <w:rFonts w:asciiTheme="minorHAnsi" w:hAnsiTheme="minorHAnsi" w:cstheme="minorBidi"/>
          <w:bCs/>
        </w:rPr>
        <w:t xml:space="preserve">The VTTC </w:t>
      </w:r>
      <w:r w:rsidRPr="0052252F">
        <w:t>report</w:t>
      </w:r>
      <w:r>
        <w:rPr>
          <w:rFonts w:asciiTheme="minorHAnsi" w:hAnsiTheme="minorHAnsi" w:cstheme="minorBidi"/>
          <w:bCs/>
        </w:rPr>
        <w:t xml:space="preserve"> </w:t>
      </w:r>
      <w:r w:rsidR="00E91E15">
        <w:rPr>
          <w:rFonts w:asciiTheme="minorHAnsi" w:hAnsiTheme="minorHAnsi" w:cstheme="minorBidi"/>
          <w:bCs/>
        </w:rPr>
        <w:t xml:space="preserve">has been designed to </w:t>
      </w:r>
      <w:r w:rsidR="001E5939">
        <w:rPr>
          <w:rFonts w:asciiTheme="minorHAnsi" w:hAnsiTheme="minorHAnsi" w:cstheme="minorBidi"/>
          <w:bCs/>
        </w:rPr>
        <w:t>allow</w:t>
      </w:r>
      <w:r w:rsidR="00E91E15">
        <w:rPr>
          <w:rFonts w:asciiTheme="minorHAnsi" w:hAnsiTheme="minorHAnsi" w:cstheme="minorBidi"/>
          <w:bCs/>
        </w:rPr>
        <w:t xml:space="preserve"> flexibility</w:t>
      </w:r>
      <w:r w:rsidR="00DF3413">
        <w:rPr>
          <w:rStyle w:val="FootnoteReference"/>
          <w:rFonts w:asciiTheme="minorHAnsi" w:hAnsiTheme="minorHAnsi" w:cstheme="minorBidi"/>
          <w:bCs/>
        </w:rPr>
        <w:footnoteReference w:id="3"/>
      </w:r>
      <w:r w:rsidR="00E91E15">
        <w:rPr>
          <w:rFonts w:asciiTheme="minorHAnsi" w:hAnsiTheme="minorHAnsi" w:cstheme="minorBidi"/>
          <w:bCs/>
        </w:rPr>
        <w:t xml:space="preserve"> and </w:t>
      </w:r>
      <w:r>
        <w:rPr>
          <w:rFonts w:asciiTheme="minorHAnsi" w:hAnsiTheme="minorHAnsi" w:cstheme="minorBidi"/>
          <w:bCs/>
        </w:rPr>
        <w:t xml:space="preserve">can be published at any time. </w:t>
      </w:r>
      <w:r w:rsidR="008E605A">
        <w:rPr>
          <w:rFonts w:asciiTheme="minorHAnsi" w:hAnsiTheme="minorHAnsi" w:cstheme="minorBidi"/>
          <w:bCs/>
        </w:rPr>
        <w:t>To provide consistency,</w:t>
      </w:r>
      <w:r>
        <w:rPr>
          <w:rFonts w:asciiTheme="minorHAnsi" w:hAnsiTheme="minorHAnsi" w:cstheme="minorBidi"/>
          <w:bCs/>
        </w:rPr>
        <w:t xml:space="preserve"> it is recommend</w:t>
      </w:r>
      <w:r w:rsidR="00E91E15">
        <w:rPr>
          <w:rFonts w:asciiTheme="minorHAnsi" w:hAnsiTheme="minorHAnsi" w:cstheme="minorBidi"/>
          <w:bCs/>
        </w:rPr>
        <w:t xml:space="preserve">ed that </w:t>
      </w:r>
      <w:r w:rsidR="008E605A">
        <w:rPr>
          <w:rFonts w:asciiTheme="minorHAnsi" w:hAnsiTheme="minorHAnsi" w:cstheme="minorBidi"/>
          <w:bCs/>
        </w:rPr>
        <w:t>the VTTC</w:t>
      </w:r>
      <w:r w:rsidR="00E91E15">
        <w:rPr>
          <w:rFonts w:asciiTheme="minorHAnsi" w:hAnsiTheme="minorHAnsi" w:cstheme="minorBidi"/>
          <w:bCs/>
        </w:rPr>
        <w:t xml:space="preserve"> is published no </w:t>
      </w:r>
      <w:r w:rsidR="004520B7">
        <w:rPr>
          <w:rFonts w:asciiTheme="minorHAnsi" w:hAnsiTheme="minorHAnsi" w:cstheme="minorBidi"/>
          <w:bCs/>
        </w:rPr>
        <w:t>later than</w:t>
      </w:r>
      <w:r w:rsidR="008E605A">
        <w:rPr>
          <w:rFonts w:asciiTheme="minorHAnsi" w:hAnsiTheme="minorHAnsi" w:cstheme="minorBidi"/>
          <w:bCs/>
        </w:rPr>
        <w:t>:</w:t>
      </w:r>
    </w:p>
    <w:p w14:paraId="5B472B0F" w14:textId="53F0B583" w:rsidR="00271584" w:rsidRDefault="00271584" w:rsidP="008E605A">
      <w:pPr>
        <w:pStyle w:val="Bullet"/>
      </w:pPr>
      <w:r w:rsidRPr="00F91679">
        <w:rPr>
          <w:b/>
          <w:bCs/>
        </w:rPr>
        <w:t xml:space="preserve">For public </w:t>
      </w:r>
      <w:proofErr w:type="spellStart"/>
      <w:r w:rsidRPr="00F91679">
        <w:rPr>
          <w:b/>
          <w:bCs/>
        </w:rPr>
        <w:t>CbC</w:t>
      </w:r>
      <w:proofErr w:type="spellEnd"/>
      <w:r w:rsidRPr="00F91679">
        <w:rPr>
          <w:b/>
          <w:bCs/>
        </w:rPr>
        <w:t xml:space="preserve"> reporters</w:t>
      </w:r>
      <w:r>
        <w:t>: T</w:t>
      </w:r>
      <w:r w:rsidR="004520B7">
        <w:t xml:space="preserve">he publication </w:t>
      </w:r>
      <w:r w:rsidR="00846389">
        <w:t xml:space="preserve">date </w:t>
      </w:r>
      <w:r w:rsidR="004520B7">
        <w:t xml:space="preserve">of </w:t>
      </w:r>
      <w:r w:rsidR="008E605A">
        <w:t xml:space="preserve">the </w:t>
      </w:r>
      <w:r w:rsidR="004520B7">
        <w:t xml:space="preserve">public </w:t>
      </w:r>
      <w:proofErr w:type="spellStart"/>
      <w:r w:rsidR="004520B7">
        <w:t>CbCr</w:t>
      </w:r>
      <w:proofErr w:type="spellEnd"/>
      <w:r w:rsidR="004520B7">
        <w:t xml:space="preserve"> </w:t>
      </w:r>
      <w:r w:rsidR="008E605A">
        <w:t xml:space="preserve">report </w:t>
      </w:r>
      <w:r w:rsidR="004520B7">
        <w:t>for the same period</w:t>
      </w:r>
      <w:r>
        <w:t>;</w:t>
      </w:r>
      <w:r w:rsidR="004520B7">
        <w:t xml:space="preserve"> or </w:t>
      </w:r>
    </w:p>
    <w:p w14:paraId="4DA68305" w14:textId="4EA9B13B" w:rsidR="00F361F7" w:rsidRDefault="00271584" w:rsidP="00F91679">
      <w:pPr>
        <w:pStyle w:val="Bullet"/>
      </w:pPr>
      <w:r w:rsidRPr="00271584">
        <w:rPr>
          <w:b/>
          <w:bCs/>
        </w:rPr>
        <w:t>For non-</w:t>
      </w:r>
      <w:r w:rsidRPr="00F91679">
        <w:rPr>
          <w:b/>
          <w:bCs/>
        </w:rPr>
        <w:t xml:space="preserve">public </w:t>
      </w:r>
      <w:proofErr w:type="spellStart"/>
      <w:r w:rsidRPr="00F91679">
        <w:rPr>
          <w:b/>
          <w:bCs/>
        </w:rPr>
        <w:t>CbC</w:t>
      </w:r>
      <w:proofErr w:type="spellEnd"/>
      <w:r w:rsidRPr="00F91679">
        <w:rPr>
          <w:b/>
          <w:bCs/>
        </w:rPr>
        <w:t xml:space="preserve"> reporters</w:t>
      </w:r>
      <w:r>
        <w:t xml:space="preserve">: </w:t>
      </w:r>
      <w:r w:rsidR="004520B7">
        <w:t>18 months from the end of the tax period</w:t>
      </w:r>
      <w:r w:rsidR="006A245F">
        <w:t>.</w:t>
      </w:r>
    </w:p>
    <w:p w14:paraId="1F286B63" w14:textId="0BC1CBED" w:rsidR="0086278E" w:rsidRDefault="006E4F91" w:rsidP="00247334">
      <w:pPr>
        <w:pStyle w:val="Heading2"/>
      </w:pPr>
      <w:bookmarkStart w:id="28" w:name="_Toc212116310"/>
      <w:r w:rsidRPr="00E765E5">
        <w:lastRenderedPageBreak/>
        <w:t xml:space="preserve">Summary of </w:t>
      </w:r>
      <w:r w:rsidR="00A7390F">
        <w:t>V</w:t>
      </w:r>
      <w:r w:rsidR="00E045A4" w:rsidRPr="00E765E5">
        <w:t xml:space="preserve">TTC </w:t>
      </w:r>
      <w:r w:rsidR="00926292">
        <w:t>reporting</w:t>
      </w:r>
      <w:r w:rsidRPr="00E765E5">
        <w:t xml:space="preserve"> </w:t>
      </w:r>
      <w:r w:rsidRPr="00247334">
        <w:t>requirements</w:t>
      </w:r>
      <w:bookmarkEnd w:id="28"/>
      <w:r w:rsidRPr="00E765E5">
        <w:t xml:space="preserve"> </w:t>
      </w:r>
    </w:p>
    <w:p w14:paraId="64633029" w14:textId="07C31B13" w:rsidR="002C350E" w:rsidRPr="002C350E" w:rsidRDefault="002C350E" w:rsidP="00247334">
      <w:pPr>
        <w:pStyle w:val="Heading3"/>
      </w:pPr>
      <w:r w:rsidRPr="002C350E">
        <w:t xml:space="preserve">Overview </w:t>
      </w:r>
    </w:p>
    <w:tbl>
      <w:tblPr>
        <w:tblStyle w:val="ListTable3-Accent2"/>
        <w:tblW w:w="5000" w:type="pct"/>
        <w:tblLook w:val="04A0" w:firstRow="1" w:lastRow="0" w:firstColumn="1" w:lastColumn="0" w:noHBand="0" w:noVBand="1"/>
      </w:tblPr>
      <w:tblGrid>
        <w:gridCol w:w="4390"/>
        <w:gridCol w:w="2693"/>
        <w:gridCol w:w="2548"/>
      </w:tblGrid>
      <w:tr w:rsidR="0086278E" w14:paraId="5D12E9B7" w14:textId="77777777" w:rsidTr="0020420F">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4390" w:type="dxa"/>
            <w:vAlign w:val="center"/>
          </w:tcPr>
          <w:p w14:paraId="6CAC8489" w14:textId="5EC16741" w:rsidR="0086278E" w:rsidRPr="00620D7D" w:rsidRDefault="00254DE8" w:rsidP="00224889">
            <w:pPr>
              <w:pStyle w:val="TableHeaderCellLeft"/>
            </w:pPr>
            <w:r>
              <w:t>V</w:t>
            </w:r>
            <w:r w:rsidR="0086278E" w:rsidRPr="00620D7D">
              <w:t xml:space="preserve">TTC </w:t>
            </w:r>
            <w:r w:rsidR="00926292">
              <w:t>reporting</w:t>
            </w:r>
            <w:r w:rsidR="0086278E" w:rsidRPr="00620D7D">
              <w:t xml:space="preserve"> requirements</w:t>
            </w:r>
          </w:p>
        </w:tc>
        <w:tc>
          <w:tcPr>
            <w:tcW w:w="2693" w:type="dxa"/>
            <w:vAlign w:val="center"/>
          </w:tcPr>
          <w:p w14:paraId="3165783A" w14:textId="1814FB20" w:rsidR="0086278E" w:rsidRPr="00620D7D" w:rsidRDefault="00DE0E4A" w:rsidP="00224889">
            <w:pPr>
              <w:pStyle w:val="TableHeaderCellLeft"/>
              <w:cnfStyle w:val="100000000000" w:firstRow="1" w:lastRow="0" w:firstColumn="0" w:lastColumn="0" w:oddVBand="0" w:evenVBand="0" w:oddHBand="0" w:evenHBand="0" w:firstRowFirstColumn="0" w:firstRowLastColumn="0" w:lastRowFirstColumn="0" w:lastRowLastColumn="0"/>
            </w:pPr>
            <w:r>
              <w:t xml:space="preserve">Public </w:t>
            </w:r>
            <w:proofErr w:type="spellStart"/>
            <w:r w:rsidR="0086278E">
              <w:t>CbC</w:t>
            </w:r>
            <w:proofErr w:type="spellEnd"/>
            <w:r w:rsidR="0086278E">
              <w:t xml:space="preserve"> reporter</w:t>
            </w:r>
          </w:p>
        </w:tc>
        <w:tc>
          <w:tcPr>
            <w:tcW w:w="2548" w:type="dxa"/>
            <w:vAlign w:val="center"/>
          </w:tcPr>
          <w:p w14:paraId="1CC217AC" w14:textId="793C6728" w:rsidR="0086278E" w:rsidRPr="00620D7D" w:rsidRDefault="0086278E" w:rsidP="00224889">
            <w:pPr>
              <w:pStyle w:val="TableHeaderCellLeft"/>
              <w:cnfStyle w:val="100000000000" w:firstRow="1" w:lastRow="0" w:firstColumn="0" w:lastColumn="0" w:oddVBand="0" w:evenVBand="0" w:oddHBand="0" w:evenHBand="0" w:firstRowFirstColumn="0" w:firstRowLastColumn="0" w:lastRowFirstColumn="0" w:lastRowLastColumn="0"/>
            </w:pPr>
            <w:r>
              <w:t>Non-</w:t>
            </w:r>
            <w:r w:rsidR="00DE0E4A">
              <w:t xml:space="preserve">public </w:t>
            </w:r>
            <w:proofErr w:type="spellStart"/>
            <w:r>
              <w:t>CbC</w:t>
            </w:r>
            <w:proofErr w:type="spellEnd"/>
            <w:r>
              <w:t xml:space="preserve"> reporter</w:t>
            </w:r>
          </w:p>
        </w:tc>
      </w:tr>
      <w:tr w:rsidR="0086278E" w14:paraId="68F39F0D" w14:textId="77777777" w:rsidTr="0020420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7E405C91" w14:textId="77777777" w:rsidR="0086278E" w:rsidRPr="00567F9D" w:rsidRDefault="0086278E" w:rsidP="00EE0CA5">
            <w:pPr>
              <w:pStyle w:val="TableBodyCellLeft"/>
            </w:pPr>
            <w:r w:rsidRPr="00567F9D">
              <w:t xml:space="preserve">Entity </w:t>
            </w:r>
            <w:r>
              <w:t>n</w:t>
            </w:r>
            <w:r w:rsidRPr="00567F9D">
              <w:t>ame</w:t>
            </w:r>
          </w:p>
        </w:tc>
        <w:tc>
          <w:tcPr>
            <w:tcW w:w="2693" w:type="dxa"/>
            <w:vAlign w:val="center"/>
          </w:tcPr>
          <w:p w14:paraId="062C2EC0" w14:textId="4EB3B7E6" w:rsidR="0086278E" w:rsidRPr="00021F89" w:rsidRDefault="00AA12D3" w:rsidP="00411C1C">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Pr>
                <w:noProof/>
                <w:color w:val="701F4D" w:themeColor="accent2"/>
              </w:rPr>
              <w:drawing>
                <wp:inline distT="0" distB="0" distL="0" distR="0" wp14:anchorId="7D0B3957" wp14:editId="10026596">
                  <wp:extent cx="116006" cy="116006"/>
                  <wp:effectExtent l="0" t="0" r="0" b="0"/>
                  <wp:docPr id="1463251264"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251264"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411C1C">
              <w:rPr>
                <w:color w:val="701F4D" w:themeColor="accent2"/>
              </w:rPr>
              <w:t xml:space="preserve"> </w:t>
            </w:r>
            <w:r w:rsidR="00411C1C" w:rsidRPr="00411C1C">
              <w:rPr>
                <w:color w:val="701F4D" w:themeColor="accent2"/>
                <w:szCs w:val="20"/>
              </w:rPr>
              <w:t>Yes</w:t>
            </w:r>
          </w:p>
        </w:tc>
        <w:tc>
          <w:tcPr>
            <w:tcW w:w="2548" w:type="dxa"/>
            <w:vAlign w:val="center"/>
          </w:tcPr>
          <w:p w14:paraId="680A29D4" w14:textId="559F0DFD" w:rsidR="0086278E" w:rsidRPr="00021F89" w:rsidRDefault="00AA12D3" w:rsidP="00411C1C">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Pr>
                <w:noProof/>
                <w:color w:val="701F4D" w:themeColor="accent2"/>
              </w:rPr>
              <w:drawing>
                <wp:inline distT="0" distB="0" distL="0" distR="0" wp14:anchorId="11191E91" wp14:editId="019E0E33">
                  <wp:extent cx="116006" cy="116006"/>
                  <wp:effectExtent l="0" t="0" r="0" b="0"/>
                  <wp:docPr id="22604365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43652"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411C1C">
              <w:rPr>
                <w:color w:val="701F4D" w:themeColor="accent2"/>
              </w:rPr>
              <w:t xml:space="preserve"> </w:t>
            </w:r>
            <w:r w:rsidR="00411C1C" w:rsidRPr="00411C1C">
              <w:rPr>
                <w:color w:val="701F4D" w:themeColor="accent2"/>
                <w:szCs w:val="20"/>
              </w:rPr>
              <w:t>Yes</w:t>
            </w:r>
          </w:p>
        </w:tc>
      </w:tr>
      <w:tr w:rsidR="004F3A4B" w14:paraId="34DDCE1E" w14:textId="77777777" w:rsidTr="0020420F">
        <w:trPr>
          <w:trHeight w:val="51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B5BF847" w14:textId="4FE773DC" w:rsidR="004F3A4B" w:rsidRPr="00567F9D" w:rsidRDefault="004F3A4B" w:rsidP="00EE0CA5">
            <w:pPr>
              <w:pStyle w:val="TableBodyCellLeft"/>
            </w:pPr>
            <w:r w:rsidRPr="00EC654D">
              <w:t>Confirmation</w:t>
            </w:r>
            <w:r w:rsidR="001D6215">
              <w:t xml:space="preserve"> of</w:t>
            </w:r>
            <w:r w:rsidR="006D5164">
              <w:t xml:space="preserve"> </w:t>
            </w:r>
            <w:r w:rsidR="00033C13">
              <w:t>p</w:t>
            </w:r>
            <w:r w:rsidR="006D5164">
              <w:t>ublic</w:t>
            </w:r>
            <w:r w:rsidRPr="00EC654D">
              <w:t xml:space="preserve"> </w:t>
            </w:r>
            <w:proofErr w:type="spellStart"/>
            <w:r w:rsidRPr="00EC654D">
              <w:t>CbC</w:t>
            </w:r>
            <w:proofErr w:type="spellEnd"/>
            <w:r w:rsidRPr="00EC654D">
              <w:t xml:space="preserve"> reporting </w:t>
            </w:r>
            <w:r w:rsidR="00462066">
              <w:t xml:space="preserve">status </w:t>
            </w:r>
            <w:r w:rsidR="00033C13">
              <w:t>and compliance with reporting requirements</w:t>
            </w:r>
            <w:r w:rsidRPr="00EC654D">
              <w:t xml:space="preserve"> </w:t>
            </w:r>
            <w:r w:rsidR="00A52AB8">
              <w:t>under</w:t>
            </w:r>
            <w:r w:rsidR="003D45C7">
              <w:t xml:space="preserve"> the TAA.</w:t>
            </w:r>
          </w:p>
        </w:tc>
        <w:tc>
          <w:tcPr>
            <w:tcW w:w="2693" w:type="dxa"/>
            <w:vAlign w:val="center"/>
          </w:tcPr>
          <w:p w14:paraId="225097A8" w14:textId="05C88D23" w:rsidR="004F3A4B" w:rsidRPr="00021F89" w:rsidRDefault="00AA12D3" w:rsidP="00411C1C">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rPr>
            </w:pPr>
            <w:r>
              <w:rPr>
                <w:noProof/>
                <w:color w:val="701F4D" w:themeColor="accent2"/>
              </w:rPr>
              <w:drawing>
                <wp:inline distT="0" distB="0" distL="0" distR="0" wp14:anchorId="5CF0D473" wp14:editId="4131BB9E">
                  <wp:extent cx="116006" cy="116006"/>
                  <wp:effectExtent l="0" t="0" r="0" b="0"/>
                  <wp:docPr id="707280471"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280471"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411C1C">
              <w:rPr>
                <w:color w:val="701F4D" w:themeColor="accent2"/>
              </w:rPr>
              <w:t xml:space="preserve"> </w:t>
            </w:r>
            <w:r w:rsidR="00411C1C" w:rsidRPr="00411C1C">
              <w:rPr>
                <w:color w:val="701F4D" w:themeColor="accent2"/>
                <w:szCs w:val="20"/>
              </w:rPr>
              <w:t>Yes</w:t>
            </w:r>
          </w:p>
        </w:tc>
        <w:tc>
          <w:tcPr>
            <w:tcW w:w="2548" w:type="dxa"/>
            <w:vAlign w:val="center"/>
          </w:tcPr>
          <w:p w14:paraId="08D6D609" w14:textId="1E1E6BDE" w:rsidR="004F3A4B" w:rsidRPr="00021F89" w:rsidRDefault="00C53CDD" w:rsidP="00411C1C">
            <w:pPr>
              <w:pStyle w:val="TableBodyCellLeft"/>
              <w:cnfStyle w:val="000000000000" w:firstRow="0" w:lastRow="0" w:firstColumn="0" w:lastColumn="0" w:oddVBand="0" w:evenVBand="0" w:oddHBand="0" w:evenHBand="0" w:firstRowFirstColumn="0" w:firstRowLastColumn="0" w:lastRowFirstColumn="0" w:lastRowLastColumn="0"/>
              <w:rPr>
                <w:rFonts w:cstheme="minorHAnsi"/>
                <w:color w:val="701F4D" w:themeColor="accent2"/>
                <w:szCs w:val="20"/>
              </w:rPr>
            </w:pPr>
            <w:r>
              <w:rPr>
                <w:rFonts w:cstheme="minorHAnsi"/>
                <w:color w:val="701F4D" w:themeColor="accent2"/>
                <w:szCs w:val="20"/>
              </w:rPr>
              <w:t>Not applicable</w:t>
            </w:r>
          </w:p>
        </w:tc>
      </w:tr>
      <w:tr w:rsidR="00A52AB8" w14:paraId="37E181B1" w14:textId="77777777" w:rsidTr="0020420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7BDA597C" w14:textId="53BDDC3F" w:rsidR="00A52AB8" w:rsidRPr="00567F9D" w:rsidRDefault="00A52AB8" w:rsidP="00EE0CA5">
            <w:pPr>
              <w:pStyle w:val="TableBodyCellLeft"/>
            </w:pPr>
            <w:r>
              <w:t xml:space="preserve">Link to </w:t>
            </w:r>
            <w:r w:rsidR="00C45510">
              <w:t xml:space="preserve">completed </w:t>
            </w:r>
            <w:proofErr w:type="spellStart"/>
            <w:r w:rsidR="00C45510">
              <w:t>CbC</w:t>
            </w:r>
            <w:proofErr w:type="spellEnd"/>
            <w:r w:rsidR="00C45510">
              <w:t xml:space="preserve"> report</w:t>
            </w:r>
          </w:p>
        </w:tc>
        <w:tc>
          <w:tcPr>
            <w:tcW w:w="2693" w:type="dxa"/>
            <w:vAlign w:val="center"/>
          </w:tcPr>
          <w:p w14:paraId="02A7F4BE" w14:textId="35B731DB" w:rsidR="00A52AB8" w:rsidRPr="00021F89" w:rsidRDefault="00B23EA0" w:rsidP="00411C1C">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sidRPr="00021F89">
              <w:rPr>
                <w:color w:val="701F4D" w:themeColor="accent2"/>
                <w:szCs w:val="20"/>
              </w:rPr>
              <w:t>Optional element only</w:t>
            </w:r>
            <w:r w:rsidRPr="00021F89" w:rsidDel="00B23EA0">
              <w:rPr>
                <w:color w:val="701F4D" w:themeColor="accent2"/>
              </w:rPr>
              <w:t xml:space="preserve"> </w:t>
            </w:r>
          </w:p>
        </w:tc>
        <w:tc>
          <w:tcPr>
            <w:tcW w:w="2548" w:type="dxa"/>
            <w:vAlign w:val="center"/>
          </w:tcPr>
          <w:p w14:paraId="0064D8E5" w14:textId="5375E92F" w:rsidR="00A52AB8" w:rsidRPr="00021F89" w:rsidRDefault="00C53CDD" w:rsidP="00411C1C">
            <w:pPr>
              <w:pStyle w:val="TableBodyCellLeft"/>
              <w:cnfStyle w:val="000000100000" w:firstRow="0" w:lastRow="0" w:firstColumn="0" w:lastColumn="0" w:oddVBand="0" w:evenVBand="0" w:oddHBand="1" w:evenHBand="0" w:firstRowFirstColumn="0" w:firstRowLastColumn="0" w:lastRowFirstColumn="0" w:lastRowLastColumn="0"/>
              <w:rPr>
                <w:rFonts w:cstheme="minorHAnsi"/>
                <w:color w:val="701F4D" w:themeColor="accent2"/>
                <w:szCs w:val="20"/>
              </w:rPr>
            </w:pPr>
            <w:r>
              <w:rPr>
                <w:rFonts w:cstheme="minorHAnsi"/>
                <w:color w:val="701F4D" w:themeColor="accent2"/>
                <w:szCs w:val="20"/>
              </w:rPr>
              <w:t>Not applicable</w:t>
            </w:r>
          </w:p>
        </w:tc>
      </w:tr>
      <w:tr w:rsidR="0086278E" w14:paraId="20217470" w14:textId="77777777" w:rsidTr="0020420F">
        <w:trPr>
          <w:trHeight w:val="51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529AB48" w14:textId="77777777" w:rsidR="0086278E" w:rsidRPr="00567F9D" w:rsidRDefault="0086278E" w:rsidP="00EE0CA5">
            <w:pPr>
              <w:pStyle w:val="TableBodyCellLeft"/>
            </w:pPr>
            <w:r w:rsidRPr="00567F9D">
              <w:t>Activities</w:t>
            </w:r>
          </w:p>
        </w:tc>
        <w:tc>
          <w:tcPr>
            <w:tcW w:w="2693" w:type="dxa"/>
            <w:vAlign w:val="center"/>
          </w:tcPr>
          <w:p w14:paraId="0A9CE923" w14:textId="72D2E06B" w:rsidR="0086278E" w:rsidRPr="00021F89" w:rsidRDefault="0086278E" w:rsidP="00411C1C">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szCs w:val="20"/>
              </w:rPr>
            </w:pPr>
            <w:r w:rsidRPr="00021F89">
              <w:rPr>
                <w:color w:val="701F4D" w:themeColor="accent2"/>
                <w:szCs w:val="20"/>
              </w:rPr>
              <w:t xml:space="preserve">Covered by </w:t>
            </w:r>
            <w:r w:rsidR="6FE0B9E9" w:rsidRPr="00021F89">
              <w:rPr>
                <w:color w:val="701F4D" w:themeColor="accent2"/>
                <w:szCs w:val="20"/>
              </w:rPr>
              <w:t xml:space="preserve">the </w:t>
            </w:r>
            <w:r w:rsidR="00913B93" w:rsidRPr="00021F89">
              <w:rPr>
                <w:color w:val="701F4D" w:themeColor="accent2"/>
                <w:szCs w:val="20"/>
              </w:rPr>
              <w:t xml:space="preserve">public </w:t>
            </w:r>
            <w:proofErr w:type="spellStart"/>
            <w:r w:rsidRPr="00021F89">
              <w:rPr>
                <w:color w:val="701F4D" w:themeColor="accent2"/>
                <w:szCs w:val="20"/>
              </w:rPr>
              <w:t>CbCr</w:t>
            </w:r>
            <w:proofErr w:type="spellEnd"/>
          </w:p>
        </w:tc>
        <w:tc>
          <w:tcPr>
            <w:tcW w:w="2548" w:type="dxa"/>
            <w:vAlign w:val="center"/>
          </w:tcPr>
          <w:p w14:paraId="40A8A07B" w14:textId="6223AD84" w:rsidR="0086278E" w:rsidRPr="00021F89" w:rsidRDefault="00AA12D3" w:rsidP="00411C1C">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rPr>
            </w:pPr>
            <w:r>
              <w:rPr>
                <w:noProof/>
                <w:color w:val="701F4D" w:themeColor="accent2"/>
              </w:rPr>
              <w:drawing>
                <wp:inline distT="0" distB="0" distL="0" distR="0" wp14:anchorId="2D468172" wp14:editId="03BB1CA6">
                  <wp:extent cx="116006" cy="116006"/>
                  <wp:effectExtent l="0" t="0" r="0" b="0"/>
                  <wp:docPr id="120966028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60283"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411C1C">
              <w:rPr>
                <w:color w:val="701F4D" w:themeColor="accent2"/>
              </w:rPr>
              <w:t xml:space="preserve"> </w:t>
            </w:r>
            <w:r w:rsidR="00411C1C" w:rsidRPr="00411C1C">
              <w:rPr>
                <w:color w:val="701F4D" w:themeColor="accent2"/>
                <w:szCs w:val="20"/>
              </w:rPr>
              <w:t>Yes</w:t>
            </w:r>
          </w:p>
        </w:tc>
      </w:tr>
      <w:tr w:rsidR="002C350E" w14:paraId="4E4E51C4" w14:textId="77777777" w:rsidTr="0020420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3E7CB9CA" w14:textId="77777777" w:rsidR="002C350E" w:rsidRPr="00567F9D" w:rsidRDefault="002C350E" w:rsidP="00EE0CA5">
            <w:pPr>
              <w:pStyle w:val="TableBodyCellLeft"/>
            </w:pPr>
            <w:r w:rsidRPr="00567F9D">
              <w:t>Material subsidiaries</w:t>
            </w:r>
          </w:p>
        </w:tc>
        <w:tc>
          <w:tcPr>
            <w:tcW w:w="2693" w:type="dxa"/>
            <w:vAlign w:val="center"/>
          </w:tcPr>
          <w:p w14:paraId="51F050B3" w14:textId="0CD7933E" w:rsidR="002C350E" w:rsidRPr="00021F89" w:rsidRDefault="002C350E" w:rsidP="00411C1C">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szCs w:val="20"/>
              </w:rPr>
            </w:pPr>
            <w:r w:rsidRPr="00021F89">
              <w:rPr>
                <w:color w:val="701F4D" w:themeColor="accent2"/>
                <w:szCs w:val="20"/>
              </w:rPr>
              <w:t xml:space="preserve">Covered by the public </w:t>
            </w:r>
            <w:proofErr w:type="spellStart"/>
            <w:r w:rsidRPr="00021F89">
              <w:rPr>
                <w:color w:val="701F4D" w:themeColor="accent2"/>
                <w:szCs w:val="20"/>
              </w:rPr>
              <w:t>CbCr</w:t>
            </w:r>
            <w:proofErr w:type="spellEnd"/>
          </w:p>
        </w:tc>
        <w:tc>
          <w:tcPr>
            <w:tcW w:w="2548" w:type="dxa"/>
            <w:vAlign w:val="center"/>
          </w:tcPr>
          <w:p w14:paraId="693B60F4" w14:textId="65EAFC7C" w:rsidR="002C350E" w:rsidRPr="00021F89" w:rsidRDefault="00AA12D3" w:rsidP="00411C1C">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Pr>
                <w:noProof/>
                <w:color w:val="701F4D" w:themeColor="accent2"/>
              </w:rPr>
              <w:drawing>
                <wp:inline distT="0" distB="0" distL="0" distR="0" wp14:anchorId="7DDFBBA6" wp14:editId="0220D903">
                  <wp:extent cx="116006" cy="116006"/>
                  <wp:effectExtent l="0" t="0" r="0" b="0"/>
                  <wp:docPr id="123590417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904172"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411C1C">
              <w:rPr>
                <w:color w:val="701F4D" w:themeColor="accent2"/>
              </w:rPr>
              <w:t xml:space="preserve"> </w:t>
            </w:r>
            <w:r w:rsidR="00411C1C" w:rsidRPr="00411C1C">
              <w:rPr>
                <w:color w:val="701F4D" w:themeColor="accent2"/>
                <w:szCs w:val="20"/>
              </w:rPr>
              <w:t>Yes</w:t>
            </w:r>
          </w:p>
          <w:p w14:paraId="0B54C676" w14:textId="2601458F" w:rsidR="000B1FB9" w:rsidRPr="00021F89" w:rsidRDefault="000B1FB9" w:rsidP="00411C1C">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szCs w:val="20"/>
              </w:rPr>
            </w:pPr>
            <w:r w:rsidRPr="00021F89">
              <w:rPr>
                <w:color w:val="701F4D" w:themeColor="accent2"/>
                <w:szCs w:val="20"/>
              </w:rPr>
              <w:t>Or provide a link to CEDS</w:t>
            </w:r>
          </w:p>
        </w:tc>
      </w:tr>
      <w:tr w:rsidR="002C350E" w14:paraId="05874AA2" w14:textId="77777777" w:rsidTr="0020420F">
        <w:trPr>
          <w:trHeight w:val="51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DA3AF2F" w14:textId="77777777" w:rsidR="002C350E" w:rsidRPr="00567F9D" w:rsidRDefault="002C350E" w:rsidP="00EE0CA5">
            <w:pPr>
              <w:pStyle w:val="TableBodyCellLeft"/>
            </w:pPr>
            <w:r w:rsidRPr="00567F9D">
              <w:t>Number of employees</w:t>
            </w:r>
          </w:p>
        </w:tc>
        <w:tc>
          <w:tcPr>
            <w:tcW w:w="2693" w:type="dxa"/>
            <w:vAlign w:val="center"/>
          </w:tcPr>
          <w:p w14:paraId="7B8475E3" w14:textId="690DAB55" w:rsidR="002C350E" w:rsidRPr="00021F89" w:rsidRDefault="002C350E" w:rsidP="00411C1C">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szCs w:val="20"/>
              </w:rPr>
            </w:pPr>
            <w:r w:rsidRPr="00021F89">
              <w:rPr>
                <w:color w:val="701F4D" w:themeColor="accent2"/>
                <w:szCs w:val="20"/>
              </w:rPr>
              <w:t xml:space="preserve">Covered by the public </w:t>
            </w:r>
            <w:proofErr w:type="spellStart"/>
            <w:r w:rsidRPr="00021F89">
              <w:rPr>
                <w:color w:val="701F4D" w:themeColor="accent2"/>
                <w:szCs w:val="20"/>
              </w:rPr>
              <w:t>CbCr</w:t>
            </w:r>
            <w:proofErr w:type="spellEnd"/>
          </w:p>
        </w:tc>
        <w:tc>
          <w:tcPr>
            <w:tcW w:w="2548" w:type="dxa"/>
            <w:vAlign w:val="center"/>
          </w:tcPr>
          <w:p w14:paraId="23AB812C" w14:textId="15FA69FE" w:rsidR="002C350E" w:rsidRPr="00021F89" w:rsidRDefault="00AA12D3" w:rsidP="00411C1C">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rPr>
            </w:pPr>
            <w:r>
              <w:rPr>
                <w:noProof/>
                <w:color w:val="701F4D" w:themeColor="accent2"/>
              </w:rPr>
              <w:drawing>
                <wp:inline distT="0" distB="0" distL="0" distR="0" wp14:anchorId="32CCBA15" wp14:editId="7E1852AB">
                  <wp:extent cx="116006" cy="116006"/>
                  <wp:effectExtent l="0" t="0" r="0" b="0"/>
                  <wp:docPr id="189020628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206283"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411C1C">
              <w:rPr>
                <w:color w:val="701F4D" w:themeColor="accent2"/>
              </w:rPr>
              <w:t xml:space="preserve"> </w:t>
            </w:r>
            <w:r w:rsidR="00411C1C" w:rsidRPr="00411C1C">
              <w:rPr>
                <w:color w:val="701F4D" w:themeColor="accent2"/>
                <w:szCs w:val="20"/>
              </w:rPr>
              <w:t>Yes</w:t>
            </w:r>
          </w:p>
        </w:tc>
      </w:tr>
    </w:tbl>
    <w:p w14:paraId="65EE54EC" w14:textId="0BDF5AD1" w:rsidR="002C350E" w:rsidRPr="002C350E" w:rsidRDefault="002C350E" w:rsidP="00247334">
      <w:pPr>
        <w:pStyle w:val="Heading3"/>
      </w:pPr>
      <w:r w:rsidRPr="002C350E">
        <w:t xml:space="preserve">Tax data </w:t>
      </w:r>
    </w:p>
    <w:tbl>
      <w:tblPr>
        <w:tblStyle w:val="ListTable3-Accent2"/>
        <w:tblW w:w="5000" w:type="pct"/>
        <w:tblLook w:val="04A0" w:firstRow="1" w:lastRow="0" w:firstColumn="1" w:lastColumn="0" w:noHBand="0" w:noVBand="1"/>
      </w:tblPr>
      <w:tblGrid>
        <w:gridCol w:w="4531"/>
        <w:gridCol w:w="2552"/>
        <w:gridCol w:w="2548"/>
      </w:tblGrid>
      <w:tr w:rsidR="002C350E" w14:paraId="2E651B14" w14:textId="77777777" w:rsidTr="00A754AF">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4531" w:type="dxa"/>
            <w:vAlign w:val="center"/>
          </w:tcPr>
          <w:p w14:paraId="7A85FBBC" w14:textId="77777777" w:rsidR="002C350E" w:rsidRPr="00620D7D" w:rsidRDefault="002C350E" w:rsidP="00224889">
            <w:pPr>
              <w:pStyle w:val="TableHeaderCellLeft"/>
            </w:pPr>
            <w:r>
              <w:t>V</w:t>
            </w:r>
            <w:r w:rsidRPr="00620D7D">
              <w:t xml:space="preserve">TTC </w:t>
            </w:r>
            <w:r>
              <w:t>reporting</w:t>
            </w:r>
            <w:r w:rsidRPr="00620D7D">
              <w:t xml:space="preserve"> requirements</w:t>
            </w:r>
          </w:p>
        </w:tc>
        <w:tc>
          <w:tcPr>
            <w:tcW w:w="2552" w:type="dxa"/>
            <w:vAlign w:val="center"/>
          </w:tcPr>
          <w:p w14:paraId="01175848" w14:textId="77777777" w:rsidR="002C350E" w:rsidRPr="00620D7D" w:rsidRDefault="002C350E" w:rsidP="00224889">
            <w:pPr>
              <w:pStyle w:val="TableHeaderCellLeft"/>
              <w:cnfStyle w:val="100000000000" w:firstRow="1" w:lastRow="0" w:firstColumn="0" w:lastColumn="0" w:oddVBand="0" w:evenVBand="0" w:oddHBand="0" w:evenHBand="0" w:firstRowFirstColumn="0" w:firstRowLastColumn="0" w:lastRowFirstColumn="0" w:lastRowLastColumn="0"/>
            </w:pPr>
            <w:r>
              <w:t xml:space="preserve">Public </w:t>
            </w:r>
            <w:proofErr w:type="spellStart"/>
            <w:r>
              <w:t>CbC</w:t>
            </w:r>
            <w:proofErr w:type="spellEnd"/>
            <w:r>
              <w:t xml:space="preserve"> reporter</w:t>
            </w:r>
          </w:p>
        </w:tc>
        <w:tc>
          <w:tcPr>
            <w:tcW w:w="2548" w:type="dxa"/>
            <w:vAlign w:val="center"/>
          </w:tcPr>
          <w:p w14:paraId="77A274BB" w14:textId="77777777" w:rsidR="002C350E" w:rsidRPr="00620D7D" w:rsidRDefault="002C350E" w:rsidP="00224889">
            <w:pPr>
              <w:pStyle w:val="TableHeaderCellLeft"/>
              <w:cnfStyle w:val="100000000000" w:firstRow="1" w:lastRow="0" w:firstColumn="0" w:lastColumn="0" w:oddVBand="0" w:evenVBand="0" w:oddHBand="0" w:evenHBand="0" w:firstRowFirstColumn="0" w:firstRowLastColumn="0" w:lastRowFirstColumn="0" w:lastRowLastColumn="0"/>
            </w:pPr>
            <w:r>
              <w:t xml:space="preserve">Non-public </w:t>
            </w:r>
            <w:proofErr w:type="spellStart"/>
            <w:r>
              <w:t>CbC</w:t>
            </w:r>
            <w:proofErr w:type="spellEnd"/>
            <w:r>
              <w:t xml:space="preserve"> reporter</w:t>
            </w:r>
          </w:p>
        </w:tc>
      </w:tr>
      <w:tr w:rsidR="002C350E" w14:paraId="0D961167" w14:textId="77777777" w:rsidTr="00EE0CA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30C1FF9D" w14:textId="77777777" w:rsidR="002C350E" w:rsidRPr="00567F9D" w:rsidRDefault="002C350E" w:rsidP="00EE0CA5">
            <w:pPr>
              <w:pStyle w:val="TableBodyCellLeft"/>
            </w:pPr>
            <w:r w:rsidRPr="00567F9D">
              <w:t>Total tax contribution</w:t>
            </w:r>
          </w:p>
        </w:tc>
        <w:tc>
          <w:tcPr>
            <w:tcW w:w="2552" w:type="dxa"/>
            <w:vAlign w:val="center"/>
          </w:tcPr>
          <w:p w14:paraId="1D77F50A" w14:textId="34EF9562" w:rsidR="002C350E" w:rsidRPr="00C47017" w:rsidRDefault="003B131D" w:rsidP="00EE0CA5">
            <w:pPr>
              <w:pStyle w:val="TableBodyCellLef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701F4D" w:themeColor="accent2"/>
              </w:rPr>
            </w:pPr>
            <w:r>
              <w:rPr>
                <w:noProof/>
                <w:color w:val="701F4D" w:themeColor="accent2"/>
              </w:rPr>
              <w:drawing>
                <wp:inline distT="0" distB="0" distL="0" distR="0" wp14:anchorId="56258643" wp14:editId="424CEDF5">
                  <wp:extent cx="116006" cy="116006"/>
                  <wp:effectExtent l="0" t="0" r="0" b="0"/>
                  <wp:docPr id="78658462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84623"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EE0CA5">
              <w:rPr>
                <w:rFonts w:ascii="Segoe UI Symbol" w:hAnsi="Segoe UI Symbol" w:cs="Segoe UI Symbol"/>
                <w:color w:val="701F4D" w:themeColor="accent2"/>
              </w:rPr>
              <w:t xml:space="preserve"> </w:t>
            </w:r>
            <w:r w:rsidR="00EE0CA5" w:rsidRPr="00411C1C">
              <w:rPr>
                <w:color w:val="701F4D" w:themeColor="accent2"/>
                <w:szCs w:val="20"/>
              </w:rPr>
              <w:t>Yes</w:t>
            </w:r>
          </w:p>
        </w:tc>
        <w:tc>
          <w:tcPr>
            <w:tcW w:w="2548" w:type="dxa"/>
            <w:vAlign w:val="center"/>
          </w:tcPr>
          <w:p w14:paraId="1E0053A8" w14:textId="29E41638" w:rsidR="002C350E" w:rsidRPr="005177BD" w:rsidRDefault="003B131D" w:rsidP="00EE0CA5">
            <w:pPr>
              <w:pStyle w:val="TableBodyCellLef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701F4D" w:themeColor="accent2"/>
              </w:rPr>
            </w:pPr>
            <w:r>
              <w:rPr>
                <w:noProof/>
                <w:color w:val="701F4D" w:themeColor="accent2"/>
              </w:rPr>
              <w:drawing>
                <wp:inline distT="0" distB="0" distL="0" distR="0" wp14:anchorId="5530B0CA" wp14:editId="1E11359A">
                  <wp:extent cx="116006" cy="116006"/>
                  <wp:effectExtent l="0" t="0" r="0" b="0"/>
                  <wp:docPr id="133410707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07072"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EE0CA5">
              <w:rPr>
                <w:rFonts w:ascii="Segoe UI Symbol" w:hAnsi="Segoe UI Symbol" w:cs="Segoe UI Symbol"/>
                <w:color w:val="701F4D" w:themeColor="accent2"/>
              </w:rPr>
              <w:t xml:space="preserve"> </w:t>
            </w:r>
            <w:r w:rsidR="00EE0CA5" w:rsidRPr="00411C1C">
              <w:rPr>
                <w:color w:val="701F4D" w:themeColor="accent2"/>
                <w:szCs w:val="20"/>
              </w:rPr>
              <w:t>Yes</w:t>
            </w:r>
          </w:p>
        </w:tc>
      </w:tr>
      <w:tr w:rsidR="002C350E" w14:paraId="6104CA89" w14:textId="77777777" w:rsidTr="00FC30AE">
        <w:trPr>
          <w:trHeight w:val="689"/>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12646D4" w14:textId="77777777" w:rsidR="002C350E" w:rsidRPr="00567F9D" w:rsidRDefault="002C350E" w:rsidP="00EE0CA5">
            <w:pPr>
              <w:pStyle w:val="TableBodyCellLeft"/>
            </w:pPr>
            <w:r w:rsidRPr="00567F9D">
              <w:t>Effective tax rate for Australian and global operations</w:t>
            </w:r>
          </w:p>
        </w:tc>
        <w:tc>
          <w:tcPr>
            <w:tcW w:w="2552" w:type="dxa"/>
            <w:vAlign w:val="center"/>
          </w:tcPr>
          <w:p w14:paraId="44780583" w14:textId="76B70A96" w:rsidR="002C350E" w:rsidRPr="00C47017" w:rsidRDefault="003B131D" w:rsidP="00EE0CA5">
            <w:pPr>
              <w:pStyle w:val="TableBodyCellLef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701F4D" w:themeColor="accent2"/>
              </w:rPr>
            </w:pPr>
            <w:r>
              <w:rPr>
                <w:noProof/>
                <w:color w:val="701F4D" w:themeColor="accent2"/>
              </w:rPr>
              <w:drawing>
                <wp:inline distT="0" distB="0" distL="0" distR="0" wp14:anchorId="27CA2755" wp14:editId="671CC50A">
                  <wp:extent cx="116006" cy="116006"/>
                  <wp:effectExtent l="0" t="0" r="0" b="0"/>
                  <wp:docPr id="1009521390"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21390"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EE0CA5" w:rsidRPr="00411C1C">
              <w:rPr>
                <w:color w:val="701F4D" w:themeColor="accent2"/>
                <w:szCs w:val="20"/>
              </w:rPr>
              <w:t xml:space="preserve"> Yes</w:t>
            </w:r>
          </w:p>
        </w:tc>
        <w:tc>
          <w:tcPr>
            <w:tcW w:w="2548" w:type="dxa"/>
            <w:vAlign w:val="center"/>
          </w:tcPr>
          <w:p w14:paraId="34560D21" w14:textId="2EE7C08A" w:rsidR="002C350E" w:rsidRDefault="003B131D" w:rsidP="00EE0CA5">
            <w:pPr>
              <w:pStyle w:val="TableBodyCellLef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701F4D" w:themeColor="accent2"/>
              </w:rPr>
            </w:pPr>
            <w:r>
              <w:rPr>
                <w:noProof/>
                <w:color w:val="701F4D" w:themeColor="accent2"/>
              </w:rPr>
              <w:drawing>
                <wp:inline distT="0" distB="0" distL="0" distR="0" wp14:anchorId="401366BD" wp14:editId="6F0E83B1">
                  <wp:extent cx="116006" cy="116006"/>
                  <wp:effectExtent l="0" t="0" r="0" b="0"/>
                  <wp:docPr id="35642963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29633"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EE0CA5">
              <w:rPr>
                <w:rFonts w:ascii="Segoe UI Symbol" w:hAnsi="Segoe UI Symbol" w:cs="Segoe UI Symbol"/>
                <w:color w:val="701F4D" w:themeColor="accent2"/>
              </w:rPr>
              <w:t xml:space="preserve"> </w:t>
            </w:r>
            <w:r w:rsidR="00EE0CA5" w:rsidRPr="00411C1C">
              <w:rPr>
                <w:color w:val="701F4D" w:themeColor="accent2"/>
                <w:szCs w:val="20"/>
              </w:rPr>
              <w:t>Yes</w:t>
            </w:r>
          </w:p>
          <w:p w14:paraId="4B784BE7" w14:textId="5B5689D7" w:rsidR="00A06C42" w:rsidRPr="00C47017" w:rsidRDefault="00A06C42" w:rsidP="00EE0CA5">
            <w:pPr>
              <w:pStyle w:val="TableBodyCellLef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701F4D" w:themeColor="accent2"/>
              </w:rPr>
            </w:pPr>
            <w:r w:rsidRPr="000C235D">
              <w:rPr>
                <w:color w:val="701F4D" w:themeColor="accent2"/>
                <w:szCs w:val="20"/>
              </w:rPr>
              <w:t>Australian operations only</w:t>
            </w:r>
          </w:p>
        </w:tc>
      </w:tr>
      <w:tr w:rsidR="002C350E" w14:paraId="79D3AA7E" w14:textId="77777777" w:rsidTr="00EE0CA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0FDAE002" w14:textId="77777777" w:rsidR="002C350E" w:rsidRPr="00567F9D" w:rsidRDefault="002C350E" w:rsidP="00EE0CA5">
            <w:pPr>
              <w:pStyle w:val="TableBodyCellLeft"/>
            </w:pPr>
            <w:r w:rsidRPr="00567F9D">
              <w:t>Reconciliation of accounting profit to income tax expense to income tax paid or payable</w:t>
            </w:r>
          </w:p>
        </w:tc>
        <w:tc>
          <w:tcPr>
            <w:tcW w:w="2552" w:type="dxa"/>
            <w:vAlign w:val="center"/>
          </w:tcPr>
          <w:p w14:paraId="5AD07854" w14:textId="77777777" w:rsidR="002C350E" w:rsidRPr="000C235D" w:rsidRDefault="002C350E" w:rsidP="00EE0CA5">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szCs w:val="20"/>
              </w:rPr>
            </w:pPr>
            <w:r w:rsidRPr="000C235D">
              <w:rPr>
                <w:color w:val="701F4D" w:themeColor="accent2"/>
                <w:szCs w:val="20"/>
              </w:rPr>
              <w:t xml:space="preserve">Covered by the public </w:t>
            </w:r>
            <w:proofErr w:type="spellStart"/>
            <w:r w:rsidRPr="000C235D">
              <w:rPr>
                <w:color w:val="701F4D" w:themeColor="accent2"/>
                <w:szCs w:val="20"/>
              </w:rPr>
              <w:t>CbCr</w:t>
            </w:r>
            <w:proofErr w:type="spellEnd"/>
          </w:p>
        </w:tc>
        <w:tc>
          <w:tcPr>
            <w:tcW w:w="2548" w:type="dxa"/>
            <w:vAlign w:val="center"/>
          </w:tcPr>
          <w:p w14:paraId="0AA512EC" w14:textId="4DBB19E0" w:rsidR="002C350E" w:rsidRPr="00C47017" w:rsidRDefault="003B131D" w:rsidP="00EE0CA5">
            <w:pPr>
              <w:pStyle w:val="TableBodyCellLef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701F4D" w:themeColor="accent2"/>
              </w:rPr>
            </w:pPr>
            <w:r>
              <w:rPr>
                <w:noProof/>
                <w:color w:val="701F4D" w:themeColor="accent2"/>
              </w:rPr>
              <w:drawing>
                <wp:inline distT="0" distB="0" distL="0" distR="0" wp14:anchorId="12EE7EED" wp14:editId="64930CF2">
                  <wp:extent cx="116006" cy="116006"/>
                  <wp:effectExtent l="0" t="0" r="0" b="0"/>
                  <wp:docPr id="652893636"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93636"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EE0CA5">
              <w:rPr>
                <w:rFonts w:ascii="Segoe UI Symbol" w:hAnsi="Segoe UI Symbol" w:cs="Segoe UI Symbol"/>
                <w:color w:val="701F4D" w:themeColor="accent2"/>
              </w:rPr>
              <w:t xml:space="preserve"> </w:t>
            </w:r>
            <w:r w:rsidR="00EE0CA5" w:rsidRPr="00411C1C">
              <w:rPr>
                <w:color w:val="701F4D" w:themeColor="accent2"/>
                <w:szCs w:val="20"/>
              </w:rPr>
              <w:t>Yes</w:t>
            </w:r>
          </w:p>
        </w:tc>
      </w:tr>
      <w:tr w:rsidR="002C350E" w14:paraId="700132FD" w14:textId="77777777" w:rsidTr="00EE0CA5">
        <w:trPr>
          <w:trHeight w:val="56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48409DE8" w14:textId="77777777" w:rsidR="002C350E" w:rsidRPr="00567F9D" w:rsidRDefault="002C350E" w:rsidP="00EE0CA5">
            <w:pPr>
              <w:pStyle w:val="TableBodyCellLeft"/>
            </w:pPr>
            <w:r w:rsidRPr="00567F9D">
              <w:t xml:space="preserve">Reconciliation to ATO </w:t>
            </w:r>
            <w:r>
              <w:t>C</w:t>
            </w:r>
            <w:r w:rsidRPr="00567F9D">
              <w:t xml:space="preserve">orporate </w:t>
            </w:r>
            <w:r>
              <w:t>T</w:t>
            </w:r>
            <w:r w:rsidRPr="00567F9D">
              <w:t xml:space="preserve">ax </w:t>
            </w:r>
            <w:r>
              <w:t>T</w:t>
            </w:r>
            <w:r w:rsidRPr="00567F9D">
              <w:t xml:space="preserve">ransparency </w:t>
            </w:r>
            <w:r>
              <w:t>D</w:t>
            </w:r>
            <w:r w:rsidRPr="00567F9D">
              <w:t>isclosures</w:t>
            </w:r>
          </w:p>
        </w:tc>
        <w:tc>
          <w:tcPr>
            <w:tcW w:w="2552" w:type="dxa"/>
            <w:vAlign w:val="center"/>
          </w:tcPr>
          <w:p w14:paraId="71F6AA1D" w14:textId="500077A6" w:rsidR="002C350E" w:rsidRPr="000C235D" w:rsidRDefault="00D74E05" w:rsidP="00EE0CA5">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szCs w:val="20"/>
              </w:rPr>
            </w:pPr>
            <w:r w:rsidRPr="000C235D">
              <w:rPr>
                <w:color w:val="701F4D" w:themeColor="accent2"/>
                <w:szCs w:val="20"/>
              </w:rPr>
              <w:t>Optional element only</w:t>
            </w:r>
            <w:r w:rsidRPr="000C235D" w:rsidDel="00D74E05">
              <w:rPr>
                <w:color w:val="701F4D" w:themeColor="accent2"/>
                <w:szCs w:val="20"/>
              </w:rPr>
              <w:t xml:space="preserve"> </w:t>
            </w:r>
          </w:p>
        </w:tc>
        <w:tc>
          <w:tcPr>
            <w:tcW w:w="2548" w:type="dxa"/>
            <w:vAlign w:val="center"/>
          </w:tcPr>
          <w:p w14:paraId="1EE91CC3" w14:textId="3CFAF405" w:rsidR="002C350E" w:rsidRPr="00C47017" w:rsidRDefault="00D74E05" w:rsidP="00EE0CA5">
            <w:pPr>
              <w:pStyle w:val="TableBodyCellLef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701F4D" w:themeColor="accent2"/>
              </w:rPr>
            </w:pPr>
            <w:r w:rsidRPr="000C235D">
              <w:rPr>
                <w:color w:val="701F4D" w:themeColor="accent2"/>
                <w:szCs w:val="20"/>
              </w:rPr>
              <w:t>Optional element only</w:t>
            </w:r>
            <w:r w:rsidRPr="005177BD" w:rsidDel="00D74E05">
              <w:rPr>
                <w:rFonts w:ascii="Segoe UI Symbol" w:hAnsi="Segoe UI Symbol" w:cs="Segoe UI Symbol"/>
                <w:color w:val="701F4D" w:themeColor="accent2"/>
              </w:rPr>
              <w:t xml:space="preserve"> </w:t>
            </w:r>
          </w:p>
        </w:tc>
      </w:tr>
    </w:tbl>
    <w:p w14:paraId="00DED4DB" w14:textId="77777777" w:rsidR="002606F5" w:rsidRPr="00201AC7" w:rsidRDefault="002606F5" w:rsidP="00201AC7">
      <w:r>
        <w:br w:type="page"/>
      </w:r>
    </w:p>
    <w:p w14:paraId="447AFDE4" w14:textId="253FDBB5" w:rsidR="002C350E" w:rsidRPr="002C350E" w:rsidRDefault="002C350E" w:rsidP="00247334">
      <w:pPr>
        <w:pStyle w:val="Heading3"/>
      </w:pPr>
      <w:r w:rsidRPr="002C350E">
        <w:lastRenderedPageBreak/>
        <w:t xml:space="preserve">Overall approach to tax </w:t>
      </w:r>
    </w:p>
    <w:tbl>
      <w:tblPr>
        <w:tblStyle w:val="ListTable3-Accent2"/>
        <w:tblW w:w="5000" w:type="pct"/>
        <w:tblLook w:val="04A0" w:firstRow="1" w:lastRow="0" w:firstColumn="1" w:lastColumn="0" w:noHBand="0" w:noVBand="1"/>
      </w:tblPr>
      <w:tblGrid>
        <w:gridCol w:w="4390"/>
        <w:gridCol w:w="2693"/>
        <w:gridCol w:w="2548"/>
      </w:tblGrid>
      <w:tr w:rsidR="002C350E" w14:paraId="33356C9C" w14:textId="77777777" w:rsidTr="00224889">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4390" w:type="dxa"/>
            <w:vAlign w:val="center"/>
          </w:tcPr>
          <w:p w14:paraId="67110494" w14:textId="77777777" w:rsidR="002C350E" w:rsidRPr="00620D7D" w:rsidRDefault="002C350E" w:rsidP="00224889">
            <w:pPr>
              <w:pStyle w:val="TableHeaderCellLeft"/>
            </w:pPr>
            <w:r>
              <w:t>V</w:t>
            </w:r>
            <w:r w:rsidRPr="00620D7D">
              <w:t xml:space="preserve">TTC </w:t>
            </w:r>
            <w:r>
              <w:t>reporting</w:t>
            </w:r>
            <w:r w:rsidRPr="00620D7D">
              <w:t xml:space="preserve"> requirements</w:t>
            </w:r>
          </w:p>
        </w:tc>
        <w:tc>
          <w:tcPr>
            <w:tcW w:w="2693" w:type="dxa"/>
            <w:vAlign w:val="center"/>
          </w:tcPr>
          <w:p w14:paraId="12E9868C" w14:textId="77777777" w:rsidR="002C350E" w:rsidRPr="00620D7D" w:rsidRDefault="002C350E" w:rsidP="00224889">
            <w:pPr>
              <w:pStyle w:val="TableHeaderCellLeft"/>
              <w:cnfStyle w:val="100000000000" w:firstRow="1" w:lastRow="0" w:firstColumn="0" w:lastColumn="0" w:oddVBand="0" w:evenVBand="0" w:oddHBand="0" w:evenHBand="0" w:firstRowFirstColumn="0" w:firstRowLastColumn="0" w:lastRowFirstColumn="0" w:lastRowLastColumn="0"/>
            </w:pPr>
            <w:r>
              <w:t xml:space="preserve">Public </w:t>
            </w:r>
            <w:proofErr w:type="spellStart"/>
            <w:r>
              <w:t>CbC</w:t>
            </w:r>
            <w:proofErr w:type="spellEnd"/>
            <w:r>
              <w:t xml:space="preserve"> reporter</w:t>
            </w:r>
          </w:p>
        </w:tc>
        <w:tc>
          <w:tcPr>
            <w:tcW w:w="2548" w:type="dxa"/>
            <w:vAlign w:val="center"/>
          </w:tcPr>
          <w:p w14:paraId="23DB681A" w14:textId="77777777" w:rsidR="002C350E" w:rsidRPr="00620D7D" w:rsidRDefault="002C350E" w:rsidP="00224889">
            <w:pPr>
              <w:pStyle w:val="TableHeaderCellLeft"/>
              <w:cnfStyle w:val="100000000000" w:firstRow="1" w:lastRow="0" w:firstColumn="0" w:lastColumn="0" w:oddVBand="0" w:evenVBand="0" w:oddHBand="0" w:evenHBand="0" w:firstRowFirstColumn="0" w:firstRowLastColumn="0" w:lastRowFirstColumn="0" w:lastRowLastColumn="0"/>
            </w:pPr>
            <w:r>
              <w:t xml:space="preserve">Non-public </w:t>
            </w:r>
            <w:proofErr w:type="spellStart"/>
            <w:r>
              <w:t>CbC</w:t>
            </w:r>
            <w:proofErr w:type="spellEnd"/>
            <w:r>
              <w:t xml:space="preserve"> reporter</w:t>
            </w:r>
          </w:p>
        </w:tc>
      </w:tr>
      <w:tr w:rsidR="002C350E" w14:paraId="54FF7EBE" w14:textId="77777777" w:rsidTr="00B666E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DB4C289" w14:textId="77777777" w:rsidR="002C350E" w:rsidRPr="00A73118" w:rsidRDefault="002C350E" w:rsidP="00B666EA">
            <w:pPr>
              <w:pStyle w:val="TableBodyCellLeft"/>
            </w:pPr>
            <w:r w:rsidRPr="00A73118">
              <w:t xml:space="preserve">Approach to tax </w:t>
            </w:r>
          </w:p>
        </w:tc>
        <w:tc>
          <w:tcPr>
            <w:tcW w:w="2693" w:type="dxa"/>
            <w:vAlign w:val="center"/>
          </w:tcPr>
          <w:p w14:paraId="2A97EBCB" w14:textId="77777777" w:rsidR="002C350E" w:rsidRPr="000C235D" w:rsidRDefault="002C350E" w:rsidP="00B666EA">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szCs w:val="20"/>
              </w:rPr>
            </w:pPr>
            <w:r w:rsidRPr="000C235D">
              <w:rPr>
                <w:color w:val="701F4D" w:themeColor="accent2"/>
                <w:szCs w:val="20"/>
              </w:rPr>
              <w:t xml:space="preserve">Covered by the public </w:t>
            </w:r>
            <w:proofErr w:type="spellStart"/>
            <w:r w:rsidRPr="000C235D">
              <w:rPr>
                <w:color w:val="701F4D" w:themeColor="accent2"/>
                <w:szCs w:val="20"/>
              </w:rPr>
              <w:t>CbCr</w:t>
            </w:r>
            <w:proofErr w:type="spellEnd"/>
          </w:p>
        </w:tc>
        <w:tc>
          <w:tcPr>
            <w:tcW w:w="2548" w:type="dxa"/>
            <w:vAlign w:val="center"/>
          </w:tcPr>
          <w:p w14:paraId="213DA569" w14:textId="0DC00538" w:rsidR="002C350E" w:rsidRPr="00A73118" w:rsidRDefault="00A448E1" w:rsidP="00B666EA">
            <w:pPr>
              <w:pStyle w:val="TableBodyCellLeft"/>
              <w:cnfStyle w:val="000000100000" w:firstRow="0" w:lastRow="0" w:firstColumn="0" w:lastColumn="0" w:oddVBand="0" w:evenVBand="0" w:oddHBand="1" w:evenHBand="0" w:firstRowFirstColumn="0" w:firstRowLastColumn="0" w:lastRowFirstColumn="0" w:lastRowLastColumn="0"/>
            </w:pPr>
            <w:r>
              <w:rPr>
                <w:noProof/>
                <w:color w:val="701F4D" w:themeColor="accent2"/>
              </w:rPr>
              <w:drawing>
                <wp:inline distT="0" distB="0" distL="0" distR="0" wp14:anchorId="57BE5D6D" wp14:editId="1FD747A7">
                  <wp:extent cx="116006" cy="116006"/>
                  <wp:effectExtent l="0" t="0" r="0" b="0"/>
                  <wp:docPr id="435794700"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94700"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B666EA">
              <w:t xml:space="preserve"> </w:t>
            </w:r>
            <w:r w:rsidR="00B666EA" w:rsidRPr="00411C1C">
              <w:rPr>
                <w:color w:val="701F4D" w:themeColor="accent2"/>
                <w:szCs w:val="20"/>
              </w:rPr>
              <w:t>Yes</w:t>
            </w:r>
          </w:p>
        </w:tc>
      </w:tr>
      <w:tr w:rsidR="002C350E" w14:paraId="23E4296A" w14:textId="77777777" w:rsidTr="00B666EA">
        <w:trPr>
          <w:trHeight w:val="567"/>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E1172C6" w14:textId="0B98D1DC" w:rsidR="002C350E" w:rsidRDefault="002C350E" w:rsidP="00B666EA">
            <w:pPr>
              <w:pStyle w:val="TableBodyCellLeft"/>
            </w:pPr>
            <w:r w:rsidRPr="00A73118">
              <w:t xml:space="preserve">Tax governance, </w:t>
            </w:r>
            <w:r w:rsidR="00176A13" w:rsidRPr="00A73118">
              <w:t>control</w:t>
            </w:r>
            <w:r w:rsidR="00176A13">
              <w:t>,</w:t>
            </w:r>
            <w:r w:rsidRPr="00A73118">
              <w:t xml:space="preserve"> and risk management</w:t>
            </w:r>
          </w:p>
        </w:tc>
        <w:tc>
          <w:tcPr>
            <w:tcW w:w="2693" w:type="dxa"/>
            <w:vAlign w:val="center"/>
          </w:tcPr>
          <w:p w14:paraId="0E6CF817" w14:textId="74F2CB6F" w:rsidR="002C350E" w:rsidRPr="000C235D" w:rsidRDefault="002C350E" w:rsidP="00B666EA">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szCs w:val="20"/>
              </w:rPr>
            </w:pPr>
            <w:r w:rsidRPr="000C235D">
              <w:rPr>
                <w:color w:val="701F4D" w:themeColor="accent2"/>
                <w:szCs w:val="20"/>
              </w:rPr>
              <w:t>Optional elements only</w:t>
            </w:r>
          </w:p>
        </w:tc>
        <w:tc>
          <w:tcPr>
            <w:tcW w:w="2548" w:type="dxa"/>
            <w:vAlign w:val="center"/>
          </w:tcPr>
          <w:p w14:paraId="05763BE3" w14:textId="094F67F4" w:rsidR="002C350E" w:rsidRPr="000C235D" w:rsidRDefault="002C350E" w:rsidP="00B666EA">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szCs w:val="20"/>
              </w:rPr>
            </w:pPr>
            <w:r w:rsidRPr="000C235D">
              <w:rPr>
                <w:color w:val="701F4D" w:themeColor="accent2"/>
                <w:szCs w:val="20"/>
              </w:rPr>
              <w:t>Optional elements only</w:t>
            </w:r>
          </w:p>
        </w:tc>
      </w:tr>
      <w:tr w:rsidR="002C350E" w14:paraId="1835F0EA" w14:textId="77777777" w:rsidTr="00B666E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ADCFCA8" w14:textId="3FA59D2B" w:rsidR="002C350E" w:rsidRPr="00A73118" w:rsidRDefault="002C350E" w:rsidP="00B666EA">
            <w:pPr>
              <w:pStyle w:val="TableBodyCellLeft"/>
            </w:pPr>
            <w:r w:rsidRPr="00A73118">
              <w:t>Stakeholder engagement and management of concerns related to tax</w:t>
            </w:r>
          </w:p>
        </w:tc>
        <w:tc>
          <w:tcPr>
            <w:tcW w:w="2693" w:type="dxa"/>
            <w:vAlign w:val="center"/>
          </w:tcPr>
          <w:p w14:paraId="7AD57798" w14:textId="1F3083E4" w:rsidR="002C350E" w:rsidRPr="000C235D" w:rsidRDefault="002C350E" w:rsidP="00B666EA">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szCs w:val="20"/>
              </w:rPr>
            </w:pPr>
            <w:r w:rsidRPr="000C235D">
              <w:rPr>
                <w:color w:val="701F4D" w:themeColor="accent2"/>
                <w:szCs w:val="20"/>
              </w:rPr>
              <w:t>Optional elements only</w:t>
            </w:r>
          </w:p>
        </w:tc>
        <w:tc>
          <w:tcPr>
            <w:tcW w:w="2548" w:type="dxa"/>
            <w:vAlign w:val="center"/>
          </w:tcPr>
          <w:p w14:paraId="6A59F5C2" w14:textId="10E7DA82" w:rsidR="002C350E" w:rsidRPr="000C235D" w:rsidRDefault="002C350E" w:rsidP="00B666EA">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szCs w:val="20"/>
              </w:rPr>
            </w:pPr>
            <w:r w:rsidRPr="000C235D">
              <w:rPr>
                <w:color w:val="701F4D" w:themeColor="accent2"/>
                <w:szCs w:val="20"/>
              </w:rPr>
              <w:t>Optional elements only</w:t>
            </w:r>
          </w:p>
        </w:tc>
      </w:tr>
      <w:tr w:rsidR="002C350E" w14:paraId="38690AD0" w14:textId="77777777" w:rsidTr="00B666EA">
        <w:trPr>
          <w:trHeight w:val="567"/>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3BD0331C" w14:textId="77777777" w:rsidR="002C350E" w:rsidRPr="00A73118" w:rsidRDefault="002C350E" w:rsidP="00B666EA">
            <w:pPr>
              <w:pStyle w:val="TableBodyCellLeft"/>
            </w:pPr>
            <w:r w:rsidRPr="00A73118">
              <w:t>International related party dealings summary</w:t>
            </w:r>
          </w:p>
        </w:tc>
        <w:tc>
          <w:tcPr>
            <w:tcW w:w="2693" w:type="dxa"/>
            <w:vAlign w:val="center"/>
          </w:tcPr>
          <w:p w14:paraId="3D4598C8" w14:textId="1C08D806" w:rsidR="002C350E" w:rsidRPr="00A73118" w:rsidRDefault="00A448E1" w:rsidP="00B666EA">
            <w:pPr>
              <w:pStyle w:val="TableBodyCellLef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701F4D" w:themeColor="accent2"/>
              </w:rPr>
            </w:pPr>
            <w:r>
              <w:rPr>
                <w:noProof/>
                <w:color w:val="701F4D" w:themeColor="accent2"/>
              </w:rPr>
              <w:drawing>
                <wp:inline distT="0" distB="0" distL="0" distR="0" wp14:anchorId="446CED67" wp14:editId="1B4FE967">
                  <wp:extent cx="116006" cy="116006"/>
                  <wp:effectExtent l="0" t="0" r="0" b="0"/>
                  <wp:docPr id="1819060035"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60035"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B666EA">
              <w:rPr>
                <w:rFonts w:ascii="Segoe UI Symbol" w:hAnsi="Segoe UI Symbol" w:cs="Segoe UI Symbol"/>
                <w:color w:val="701F4D" w:themeColor="accent2"/>
              </w:rPr>
              <w:t xml:space="preserve"> </w:t>
            </w:r>
            <w:r w:rsidR="00B666EA" w:rsidRPr="00411C1C">
              <w:rPr>
                <w:color w:val="701F4D" w:themeColor="accent2"/>
                <w:szCs w:val="20"/>
              </w:rPr>
              <w:t>Yes</w:t>
            </w:r>
          </w:p>
        </w:tc>
        <w:tc>
          <w:tcPr>
            <w:tcW w:w="2548" w:type="dxa"/>
            <w:vAlign w:val="center"/>
          </w:tcPr>
          <w:p w14:paraId="320301CE" w14:textId="78CF7642" w:rsidR="002C350E" w:rsidRPr="00A73118" w:rsidRDefault="00A448E1" w:rsidP="00B666EA">
            <w:pPr>
              <w:pStyle w:val="TableBodyCellLef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701F4D" w:themeColor="accent2"/>
              </w:rPr>
            </w:pPr>
            <w:r>
              <w:rPr>
                <w:noProof/>
                <w:color w:val="701F4D" w:themeColor="accent2"/>
              </w:rPr>
              <w:drawing>
                <wp:inline distT="0" distB="0" distL="0" distR="0" wp14:anchorId="08257F21" wp14:editId="43DD06CA">
                  <wp:extent cx="116006" cy="116006"/>
                  <wp:effectExtent l="0" t="0" r="0" b="0"/>
                  <wp:docPr id="1309985810"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985810"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B666EA">
              <w:rPr>
                <w:rFonts w:ascii="Segoe UI Symbol" w:hAnsi="Segoe UI Symbol" w:cs="Segoe UI Symbol"/>
                <w:color w:val="701F4D" w:themeColor="accent2"/>
              </w:rPr>
              <w:t xml:space="preserve"> </w:t>
            </w:r>
            <w:r w:rsidR="00B666EA" w:rsidRPr="00411C1C">
              <w:rPr>
                <w:color w:val="701F4D" w:themeColor="accent2"/>
                <w:szCs w:val="20"/>
              </w:rPr>
              <w:t>Yes</w:t>
            </w:r>
          </w:p>
        </w:tc>
      </w:tr>
    </w:tbl>
    <w:p w14:paraId="556AAE33" w14:textId="5CE3760A" w:rsidR="00505A4B" w:rsidRPr="00686AC0" w:rsidRDefault="004A1B89" w:rsidP="00247334">
      <w:pPr>
        <w:pStyle w:val="Heading3"/>
      </w:pPr>
      <w:r>
        <w:t>V</w:t>
      </w:r>
      <w:r w:rsidR="00505A4B" w:rsidRPr="000F7121">
        <w:t xml:space="preserve">TTC Navigation </w:t>
      </w:r>
    </w:p>
    <w:tbl>
      <w:tblPr>
        <w:tblStyle w:val="ListTable3-Accent2"/>
        <w:tblW w:w="5000" w:type="pct"/>
        <w:tblLook w:val="04A0" w:firstRow="1" w:lastRow="0" w:firstColumn="1" w:lastColumn="0" w:noHBand="0" w:noVBand="1"/>
      </w:tblPr>
      <w:tblGrid>
        <w:gridCol w:w="3114"/>
        <w:gridCol w:w="3208"/>
        <w:gridCol w:w="3309"/>
      </w:tblGrid>
      <w:tr w:rsidR="00454D9C" w:rsidRPr="00620D7D" w14:paraId="22FBEDE6" w14:textId="77777777" w:rsidTr="00224889">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3114" w:type="dxa"/>
            <w:vAlign w:val="center"/>
          </w:tcPr>
          <w:p w14:paraId="314F8C56" w14:textId="15251254" w:rsidR="00454D9C" w:rsidRPr="00620D7D" w:rsidRDefault="00254DE8" w:rsidP="00224889">
            <w:pPr>
              <w:pStyle w:val="TableHeaderCellLeft"/>
            </w:pPr>
            <w:r>
              <w:t>V</w:t>
            </w:r>
            <w:r w:rsidR="00454D9C">
              <w:t>TTC section</w:t>
            </w:r>
          </w:p>
        </w:tc>
        <w:tc>
          <w:tcPr>
            <w:tcW w:w="3208" w:type="dxa"/>
            <w:vAlign w:val="center"/>
          </w:tcPr>
          <w:p w14:paraId="53C79CD4" w14:textId="3DFAE3AE" w:rsidR="00454D9C" w:rsidRPr="00620D7D" w:rsidRDefault="00DE0E4A" w:rsidP="00224889">
            <w:pPr>
              <w:pStyle w:val="TableHeaderCellLeft"/>
              <w:cnfStyle w:val="100000000000" w:firstRow="1" w:lastRow="0" w:firstColumn="0" w:lastColumn="0" w:oddVBand="0" w:evenVBand="0" w:oddHBand="0" w:evenHBand="0" w:firstRowFirstColumn="0" w:firstRowLastColumn="0" w:lastRowFirstColumn="0" w:lastRowLastColumn="0"/>
            </w:pPr>
            <w:r>
              <w:t xml:space="preserve">Public </w:t>
            </w:r>
            <w:proofErr w:type="spellStart"/>
            <w:r w:rsidR="00454D9C">
              <w:t>CbC</w:t>
            </w:r>
            <w:proofErr w:type="spellEnd"/>
            <w:r w:rsidR="00454D9C">
              <w:t xml:space="preserve"> reporter</w:t>
            </w:r>
          </w:p>
        </w:tc>
        <w:tc>
          <w:tcPr>
            <w:tcW w:w="3309" w:type="dxa"/>
            <w:vAlign w:val="center"/>
          </w:tcPr>
          <w:p w14:paraId="2BD845D6" w14:textId="566B03FE" w:rsidR="00454D9C" w:rsidRPr="00620D7D" w:rsidRDefault="00454D9C" w:rsidP="00224889">
            <w:pPr>
              <w:pStyle w:val="TableHeaderCellLeft"/>
              <w:cnfStyle w:val="100000000000" w:firstRow="1" w:lastRow="0" w:firstColumn="0" w:lastColumn="0" w:oddVBand="0" w:evenVBand="0" w:oddHBand="0" w:evenHBand="0" w:firstRowFirstColumn="0" w:firstRowLastColumn="0" w:lastRowFirstColumn="0" w:lastRowLastColumn="0"/>
            </w:pPr>
            <w:r>
              <w:t>Non-</w:t>
            </w:r>
            <w:r w:rsidR="00DE0E4A">
              <w:t xml:space="preserve">public </w:t>
            </w:r>
            <w:proofErr w:type="spellStart"/>
            <w:r>
              <w:t>CbC</w:t>
            </w:r>
            <w:proofErr w:type="spellEnd"/>
            <w:r>
              <w:t xml:space="preserve"> reporter</w:t>
            </w:r>
          </w:p>
        </w:tc>
      </w:tr>
      <w:tr w:rsidR="00454D9C" w:rsidRPr="005177BD" w14:paraId="6A4BA8B4" w14:textId="77777777" w:rsidTr="00B666EA">
        <w:trPr>
          <w:cnfStyle w:val="000000100000" w:firstRow="0" w:lastRow="0" w:firstColumn="0" w:lastColumn="0" w:oddVBand="0" w:evenVBand="0" w:oddHBand="1"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3114" w:type="dxa"/>
            <w:shd w:val="clear" w:color="auto" w:fill="F6F2ED" w:themeFill="accent3" w:themeFillTint="33"/>
            <w:vAlign w:val="center"/>
          </w:tcPr>
          <w:p w14:paraId="06CF2AC6" w14:textId="154F6982" w:rsidR="00454D9C" w:rsidRPr="006F7E3E" w:rsidRDefault="006B4266" w:rsidP="00B666EA">
            <w:pPr>
              <w:pStyle w:val="TableBodyCellLeft"/>
              <w:rPr>
                <w:b w:val="0"/>
                <w:bCs w:val="0"/>
              </w:rPr>
            </w:pPr>
            <w:r>
              <w:t>V</w:t>
            </w:r>
            <w:r w:rsidR="00BA5DA1">
              <w:t>TTC r</w:t>
            </w:r>
            <w:r w:rsidR="00454D9C" w:rsidRPr="006F7E3E">
              <w:t xml:space="preserve">eporting requirements </w:t>
            </w:r>
          </w:p>
        </w:tc>
        <w:tc>
          <w:tcPr>
            <w:tcW w:w="3208" w:type="dxa"/>
            <w:vAlign w:val="center"/>
          </w:tcPr>
          <w:p w14:paraId="305745F4" w14:textId="46A4FE9A" w:rsidR="003B5DAC" w:rsidRPr="002606F5" w:rsidRDefault="00454D9C" w:rsidP="00B666EA">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sidRPr="002606F5">
              <w:rPr>
                <w:color w:val="701F4D" w:themeColor="accent2"/>
              </w:rPr>
              <w:t>Navigate to page</w:t>
            </w:r>
            <w:r w:rsidR="00723C61" w:rsidRPr="002606F5">
              <w:rPr>
                <w:color w:val="701F4D" w:themeColor="accent2"/>
              </w:rPr>
              <w:t>s</w:t>
            </w:r>
            <w:r w:rsidRPr="002606F5">
              <w:rPr>
                <w:color w:val="701F4D" w:themeColor="accent2"/>
              </w:rPr>
              <w:t xml:space="preserve"> </w:t>
            </w:r>
            <w:r w:rsidR="003652B7">
              <w:rPr>
                <w:color w:val="701F4D" w:themeColor="accent2"/>
              </w:rPr>
              <w:t>4</w:t>
            </w:r>
            <w:r w:rsidR="009C248F" w:rsidRPr="002606F5">
              <w:rPr>
                <w:color w:val="701F4D" w:themeColor="accent2"/>
              </w:rPr>
              <w:t xml:space="preserve"> – </w:t>
            </w:r>
            <w:r w:rsidR="003652B7">
              <w:rPr>
                <w:color w:val="701F4D" w:themeColor="accent2"/>
              </w:rPr>
              <w:t>9</w:t>
            </w:r>
          </w:p>
          <w:p w14:paraId="54A89305" w14:textId="27869FEE" w:rsidR="00454D9C" w:rsidRPr="00BB61F7" w:rsidRDefault="00DE0E4A" w:rsidP="00B666EA">
            <w:pPr>
              <w:pStyle w:val="TableBodyCellLeft"/>
              <w:cnfStyle w:val="000000100000" w:firstRow="0" w:lastRow="0" w:firstColumn="0" w:lastColumn="0" w:oddVBand="0" w:evenVBand="0" w:oddHBand="1" w:evenHBand="0" w:firstRowFirstColumn="0" w:firstRowLastColumn="0" w:lastRowFirstColumn="0" w:lastRowLastColumn="0"/>
            </w:pPr>
            <w:hyperlink w:anchor="_Public_CbC_reporter_1" w:history="1">
              <w:r w:rsidRPr="00DE0E4A">
                <w:rPr>
                  <w:rStyle w:val="Hyperlink"/>
                </w:rPr>
                <w:t xml:space="preserve">Public </w:t>
              </w:r>
              <w:proofErr w:type="spellStart"/>
              <w:r w:rsidR="00B103A7" w:rsidRPr="00DE0E4A">
                <w:rPr>
                  <w:rStyle w:val="Hyperlink"/>
                </w:rPr>
                <w:t>CbC</w:t>
              </w:r>
              <w:proofErr w:type="spellEnd"/>
              <w:r w:rsidR="00B103A7" w:rsidRPr="00DE0E4A">
                <w:rPr>
                  <w:rStyle w:val="Hyperlink"/>
                </w:rPr>
                <w:t xml:space="preserve"> reporter</w:t>
              </w:r>
            </w:hyperlink>
          </w:p>
        </w:tc>
        <w:tc>
          <w:tcPr>
            <w:tcW w:w="3309" w:type="dxa"/>
            <w:vAlign w:val="center"/>
          </w:tcPr>
          <w:p w14:paraId="5E1D1376" w14:textId="5C756966" w:rsidR="00454D9C" w:rsidRPr="002606F5" w:rsidRDefault="00454D9C" w:rsidP="00B666EA">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sidRPr="002606F5">
              <w:rPr>
                <w:color w:val="701F4D" w:themeColor="accent2"/>
              </w:rPr>
              <w:t>Navigate to page</w:t>
            </w:r>
            <w:r w:rsidR="00723C61" w:rsidRPr="002606F5">
              <w:rPr>
                <w:color w:val="701F4D" w:themeColor="accent2"/>
              </w:rPr>
              <w:t>s</w:t>
            </w:r>
            <w:r w:rsidR="00F51AE6" w:rsidRPr="002606F5">
              <w:rPr>
                <w:color w:val="701F4D" w:themeColor="accent2"/>
              </w:rPr>
              <w:t xml:space="preserve"> 1</w:t>
            </w:r>
            <w:r w:rsidR="003652B7">
              <w:rPr>
                <w:color w:val="701F4D" w:themeColor="accent2"/>
              </w:rPr>
              <w:t>0</w:t>
            </w:r>
            <w:r w:rsidR="000B4241" w:rsidRPr="002606F5">
              <w:rPr>
                <w:color w:val="701F4D" w:themeColor="accent2"/>
              </w:rPr>
              <w:t xml:space="preserve"> </w:t>
            </w:r>
            <w:r w:rsidR="00E624D0" w:rsidRPr="002606F5">
              <w:rPr>
                <w:color w:val="701F4D" w:themeColor="accent2"/>
              </w:rPr>
              <w:t xml:space="preserve">– </w:t>
            </w:r>
            <w:r w:rsidR="00EC2201" w:rsidRPr="002606F5">
              <w:rPr>
                <w:color w:val="701F4D" w:themeColor="accent2"/>
              </w:rPr>
              <w:t>1</w:t>
            </w:r>
            <w:r w:rsidR="003652B7">
              <w:rPr>
                <w:color w:val="701F4D" w:themeColor="accent2"/>
              </w:rPr>
              <w:t>6</w:t>
            </w:r>
          </w:p>
          <w:p w14:paraId="621CFD48" w14:textId="2B55A2CD" w:rsidR="006F7E3E" w:rsidRPr="00454D9C" w:rsidRDefault="006F7E3E" w:rsidP="00B666EA">
            <w:pPr>
              <w:pStyle w:val="TableBodyCellLeft"/>
              <w:cnfStyle w:val="000000100000" w:firstRow="0" w:lastRow="0" w:firstColumn="0" w:lastColumn="0" w:oddVBand="0" w:evenVBand="0" w:oddHBand="1" w:evenHBand="0" w:firstRowFirstColumn="0" w:firstRowLastColumn="0" w:lastRowFirstColumn="0" w:lastRowLastColumn="0"/>
            </w:pPr>
            <w:hyperlink w:anchor="_Non-public_CbC_reporter_1" w:history="1">
              <w:r w:rsidRPr="006F7E3E">
                <w:rPr>
                  <w:rStyle w:val="Hyperlink"/>
                </w:rPr>
                <w:t>Non-</w:t>
              </w:r>
              <w:r w:rsidR="00DE0E4A">
                <w:rPr>
                  <w:rStyle w:val="Hyperlink"/>
                </w:rPr>
                <w:t xml:space="preserve">public </w:t>
              </w:r>
              <w:proofErr w:type="spellStart"/>
              <w:r w:rsidRPr="006F7E3E">
                <w:rPr>
                  <w:rStyle w:val="Hyperlink"/>
                </w:rPr>
                <w:t>CbC</w:t>
              </w:r>
              <w:proofErr w:type="spellEnd"/>
              <w:r w:rsidRPr="006F7E3E">
                <w:rPr>
                  <w:rStyle w:val="Hyperlink"/>
                </w:rPr>
                <w:t xml:space="preserve"> reporter</w:t>
              </w:r>
            </w:hyperlink>
          </w:p>
        </w:tc>
      </w:tr>
      <w:tr w:rsidR="00454D9C" w:rsidRPr="005177BD" w14:paraId="5CCEF850" w14:textId="77777777" w:rsidTr="00B666EA">
        <w:trPr>
          <w:trHeight w:val="812"/>
        </w:trPr>
        <w:tc>
          <w:tcPr>
            <w:cnfStyle w:val="001000000000" w:firstRow="0" w:lastRow="0" w:firstColumn="1" w:lastColumn="0" w:oddVBand="0" w:evenVBand="0" w:oddHBand="0" w:evenHBand="0" w:firstRowFirstColumn="0" w:firstRowLastColumn="0" w:lastRowFirstColumn="0" w:lastRowLastColumn="0"/>
            <w:tcW w:w="3114" w:type="dxa"/>
            <w:shd w:val="clear" w:color="auto" w:fill="F6F2ED" w:themeFill="accent3" w:themeFillTint="33"/>
            <w:vAlign w:val="center"/>
          </w:tcPr>
          <w:p w14:paraId="2B0D7BB4" w14:textId="095EC0D3" w:rsidR="00454D9C" w:rsidRPr="004B5D2F" w:rsidRDefault="00454D9C" w:rsidP="00B666EA">
            <w:pPr>
              <w:pStyle w:val="TableBodyCellLeft"/>
            </w:pPr>
            <w:r w:rsidRPr="004B5D2F">
              <w:t xml:space="preserve">Example </w:t>
            </w:r>
            <w:r w:rsidR="008C5345">
              <w:t>V</w:t>
            </w:r>
            <w:r w:rsidRPr="004B5D2F">
              <w:t xml:space="preserve">TTC report </w:t>
            </w:r>
            <w:r w:rsidR="00DE0E4A">
              <w:t>(Appendix A)</w:t>
            </w:r>
          </w:p>
        </w:tc>
        <w:tc>
          <w:tcPr>
            <w:tcW w:w="3208" w:type="dxa"/>
            <w:vAlign w:val="center"/>
          </w:tcPr>
          <w:p w14:paraId="16A78388" w14:textId="47DFD375" w:rsidR="002446B7" w:rsidRPr="002606F5" w:rsidRDefault="00454D9C" w:rsidP="00B666EA">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rPr>
            </w:pPr>
            <w:r w:rsidRPr="002606F5">
              <w:rPr>
                <w:color w:val="701F4D" w:themeColor="accent2"/>
              </w:rPr>
              <w:t>Navigate to page</w:t>
            </w:r>
            <w:r w:rsidR="00723C61" w:rsidRPr="002606F5">
              <w:rPr>
                <w:color w:val="701F4D" w:themeColor="accent2"/>
              </w:rPr>
              <w:t>s</w:t>
            </w:r>
            <w:r w:rsidR="00F51AE6" w:rsidRPr="002606F5">
              <w:rPr>
                <w:color w:val="701F4D" w:themeColor="accent2"/>
              </w:rPr>
              <w:t xml:space="preserve"> </w:t>
            </w:r>
            <w:r w:rsidR="003652B7">
              <w:rPr>
                <w:color w:val="701F4D" w:themeColor="accent2"/>
              </w:rPr>
              <w:t>18</w:t>
            </w:r>
            <w:r w:rsidR="001A3F22" w:rsidRPr="002606F5">
              <w:rPr>
                <w:color w:val="701F4D" w:themeColor="accent2"/>
              </w:rPr>
              <w:t xml:space="preserve"> – </w:t>
            </w:r>
            <w:r w:rsidR="009C248F" w:rsidRPr="002606F5">
              <w:rPr>
                <w:color w:val="701F4D" w:themeColor="accent2"/>
              </w:rPr>
              <w:t>2</w:t>
            </w:r>
            <w:r w:rsidR="003652B7">
              <w:rPr>
                <w:color w:val="701F4D" w:themeColor="accent2"/>
              </w:rPr>
              <w:t>8</w:t>
            </w:r>
            <w:r w:rsidR="001A3F22" w:rsidRPr="002606F5">
              <w:rPr>
                <w:color w:val="701F4D" w:themeColor="accent2"/>
              </w:rPr>
              <w:t xml:space="preserve"> </w:t>
            </w:r>
          </w:p>
          <w:p w14:paraId="3F4F65C2" w14:textId="200B9C18" w:rsidR="00454D9C" w:rsidRPr="00BB61F7" w:rsidRDefault="00DE0E4A" w:rsidP="00B666EA">
            <w:pPr>
              <w:pStyle w:val="TableBodyCellLeft"/>
              <w:cnfStyle w:val="000000000000" w:firstRow="0" w:lastRow="0" w:firstColumn="0" w:lastColumn="0" w:oddVBand="0" w:evenVBand="0" w:oddHBand="0" w:evenHBand="0" w:firstRowFirstColumn="0" w:firstRowLastColumn="0" w:lastRowFirstColumn="0" w:lastRowLastColumn="0"/>
            </w:pPr>
            <w:hyperlink w:anchor="_Public_CbC_Reporter:_1" w:history="1">
              <w:r w:rsidRPr="00DE0E4A">
                <w:rPr>
                  <w:rStyle w:val="Hyperlink"/>
                </w:rPr>
                <w:t xml:space="preserve">Public </w:t>
              </w:r>
              <w:proofErr w:type="spellStart"/>
              <w:r w:rsidR="00B103A7" w:rsidRPr="00DE0E4A">
                <w:rPr>
                  <w:rStyle w:val="Hyperlink"/>
                </w:rPr>
                <w:t>CbC</w:t>
              </w:r>
              <w:proofErr w:type="spellEnd"/>
              <w:r w:rsidR="00B103A7" w:rsidRPr="00DE0E4A">
                <w:rPr>
                  <w:rStyle w:val="Hyperlink"/>
                </w:rPr>
                <w:t xml:space="preserve"> Reporter: Example </w:t>
              </w:r>
              <w:r w:rsidR="008C5345">
                <w:rPr>
                  <w:rStyle w:val="Hyperlink"/>
                </w:rPr>
                <w:t>V</w:t>
              </w:r>
              <w:r w:rsidR="00B103A7" w:rsidRPr="00DE0E4A">
                <w:rPr>
                  <w:rStyle w:val="Hyperlink"/>
                </w:rPr>
                <w:t>TTC Report</w:t>
              </w:r>
            </w:hyperlink>
          </w:p>
        </w:tc>
        <w:tc>
          <w:tcPr>
            <w:tcW w:w="3309" w:type="dxa"/>
            <w:vAlign w:val="center"/>
          </w:tcPr>
          <w:p w14:paraId="1E5D1A6C" w14:textId="22ADBF62" w:rsidR="00454D9C" w:rsidRPr="002606F5" w:rsidRDefault="00454D9C" w:rsidP="00B666EA">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rPr>
            </w:pPr>
            <w:r w:rsidRPr="002606F5">
              <w:rPr>
                <w:color w:val="701F4D" w:themeColor="accent2"/>
              </w:rPr>
              <w:t>Navigate to page</w:t>
            </w:r>
            <w:r w:rsidR="00723C61" w:rsidRPr="002606F5">
              <w:rPr>
                <w:color w:val="701F4D" w:themeColor="accent2"/>
              </w:rPr>
              <w:t>s</w:t>
            </w:r>
            <w:r w:rsidR="00AA2FF2" w:rsidRPr="002606F5">
              <w:rPr>
                <w:color w:val="701F4D" w:themeColor="accent2"/>
              </w:rPr>
              <w:t xml:space="preserve"> </w:t>
            </w:r>
            <w:r w:rsidR="003652B7">
              <w:rPr>
                <w:color w:val="701F4D" w:themeColor="accent2"/>
              </w:rPr>
              <w:t>29</w:t>
            </w:r>
            <w:r w:rsidR="000B4241" w:rsidRPr="002606F5">
              <w:rPr>
                <w:color w:val="701F4D" w:themeColor="accent2"/>
              </w:rPr>
              <w:t xml:space="preserve"> </w:t>
            </w:r>
            <w:r w:rsidR="00E624D0" w:rsidRPr="002606F5">
              <w:rPr>
                <w:color w:val="701F4D" w:themeColor="accent2"/>
              </w:rPr>
              <w:t xml:space="preserve">– </w:t>
            </w:r>
            <w:r w:rsidR="005C3D6A" w:rsidRPr="002606F5">
              <w:rPr>
                <w:color w:val="701F4D" w:themeColor="accent2"/>
              </w:rPr>
              <w:t>38</w:t>
            </w:r>
          </w:p>
          <w:p w14:paraId="63FF943F" w14:textId="0956A51D" w:rsidR="006F7E3E" w:rsidRPr="006F7E3E" w:rsidRDefault="006F7E3E" w:rsidP="00B666EA">
            <w:pPr>
              <w:pStyle w:val="TableBodyCellLeft"/>
              <w:cnfStyle w:val="000000000000" w:firstRow="0" w:lastRow="0" w:firstColumn="0" w:lastColumn="0" w:oddVBand="0" w:evenVBand="0" w:oddHBand="0" w:evenHBand="0" w:firstRowFirstColumn="0" w:firstRowLastColumn="0" w:lastRowFirstColumn="0" w:lastRowLastColumn="0"/>
              <w:rPr>
                <w:rFonts w:cstheme="minorHAnsi"/>
              </w:rPr>
            </w:pPr>
            <w:hyperlink w:anchor="_Non-public_CbC_Reporter:" w:history="1">
              <w:r w:rsidRPr="006F7E3E">
                <w:rPr>
                  <w:rStyle w:val="Hyperlink"/>
                  <w:rFonts w:cstheme="minorHAnsi"/>
                </w:rPr>
                <w:t>Non-</w:t>
              </w:r>
              <w:r w:rsidR="00DE0E4A">
                <w:rPr>
                  <w:rStyle w:val="Hyperlink"/>
                  <w:rFonts w:cstheme="minorHAnsi"/>
                </w:rPr>
                <w:t xml:space="preserve">public </w:t>
              </w:r>
              <w:proofErr w:type="spellStart"/>
              <w:r w:rsidRPr="006F7E3E">
                <w:rPr>
                  <w:rStyle w:val="Hyperlink"/>
                  <w:rFonts w:cstheme="minorHAnsi"/>
                </w:rPr>
                <w:t>CbC</w:t>
              </w:r>
              <w:proofErr w:type="spellEnd"/>
              <w:r w:rsidRPr="006F7E3E">
                <w:rPr>
                  <w:rStyle w:val="Hyperlink"/>
                  <w:rFonts w:cstheme="minorHAnsi"/>
                </w:rPr>
                <w:t xml:space="preserve"> Reporter: Example </w:t>
              </w:r>
              <w:r w:rsidR="008C5345">
                <w:rPr>
                  <w:rStyle w:val="Hyperlink"/>
                  <w:rFonts w:cstheme="minorHAnsi"/>
                </w:rPr>
                <w:t>V</w:t>
              </w:r>
              <w:r w:rsidRPr="006F7E3E">
                <w:rPr>
                  <w:rStyle w:val="Hyperlink"/>
                  <w:rFonts w:cstheme="minorHAnsi"/>
                </w:rPr>
                <w:t>TTC Report</w:t>
              </w:r>
            </w:hyperlink>
          </w:p>
        </w:tc>
      </w:tr>
      <w:tr w:rsidR="00454D9C" w:rsidRPr="005177BD" w14:paraId="4C277E57" w14:textId="77777777" w:rsidTr="00B666EA">
        <w:trPr>
          <w:cnfStyle w:val="000000100000" w:firstRow="0" w:lastRow="0" w:firstColumn="0" w:lastColumn="0" w:oddVBand="0" w:evenVBand="0" w:oddHBand="1"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3114" w:type="dxa"/>
            <w:shd w:val="clear" w:color="auto" w:fill="F6F2ED" w:themeFill="accent3" w:themeFillTint="33"/>
            <w:vAlign w:val="center"/>
          </w:tcPr>
          <w:p w14:paraId="19424A50" w14:textId="47B97C1F" w:rsidR="00454D9C" w:rsidRPr="00BB61F7" w:rsidRDefault="00254DE8" w:rsidP="00B666EA">
            <w:pPr>
              <w:pStyle w:val="TableBodyCellLeft"/>
            </w:pPr>
            <w:r>
              <w:t>V</w:t>
            </w:r>
            <w:r w:rsidR="00454D9C" w:rsidRPr="00BB61F7">
              <w:t xml:space="preserve">TTC checklist </w:t>
            </w:r>
            <w:r w:rsidR="00DE0E4A">
              <w:t>(Appendix B)</w:t>
            </w:r>
          </w:p>
        </w:tc>
        <w:tc>
          <w:tcPr>
            <w:tcW w:w="3208" w:type="dxa"/>
            <w:vAlign w:val="center"/>
          </w:tcPr>
          <w:p w14:paraId="16CDFF10" w14:textId="6BEB898B" w:rsidR="00B32F5A" w:rsidRPr="002606F5" w:rsidRDefault="00454D9C" w:rsidP="00B666EA">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sidRPr="002606F5">
              <w:rPr>
                <w:color w:val="701F4D" w:themeColor="accent2"/>
              </w:rPr>
              <w:t>Navigate to page</w:t>
            </w:r>
            <w:r w:rsidR="00723C61" w:rsidRPr="002606F5">
              <w:rPr>
                <w:color w:val="701F4D" w:themeColor="accent2"/>
              </w:rPr>
              <w:t>s</w:t>
            </w:r>
            <w:r w:rsidR="00F51AE6" w:rsidRPr="002606F5">
              <w:rPr>
                <w:color w:val="701F4D" w:themeColor="accent2"/>
              </w:rPr>
              <w:t xml:space="preserve"> </w:t>
            </w:r>
            <w:r w:rsidR="00602650" w:rsidRPr="002606F5">
              <w:rPr>
                <w:color w:val="701F4D" w:themeColor="accent2"/>
              </w:rPr>
              <w:t>39</w:t>
            </w:r>
            <w:r w:rsidR="001A3F22" w:rsidRPr="002606F5">
              <w:rPr>
                <w:color w:val="701F4D" w:themeColor="accent2"/>
              </w:rPr>
              <w:t xml:space="preserve"> – 4</w:t>
            </w:r>
            <w:r w:rsidR="005C720C">
              <w:rPr>
                <w:color w:val="701F4D" w:themeColor="accent2"/>
              </w:rPr>
              <w:t>2</w:t>
            </w:r>
          </w:p>
          <w:p w14:paraId="1F29A0DA" w14:textId="1A67B831" w:rsidR="00454D9C" w:rsidRPr="00454D9C" w:rsidRDefault="00DE0E4A" w:rsidP="00B666EA">
            <w:pPr>
              <w:pStyle w:val="TableBodyCellLef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hyperlink w:anchor="_CbC_reporter_1" w:history="1">
              <w:r w:rsidRPr="00DE0E4A">
                <w:rPr>
                  <w:rStyle w:val="Hyperlink"/>
                </w:rPr>
                <w:t xml:space="preserve">Public </w:t>
              </w:r>
              <w:proofErr w:type="spellStart"/>
              <w:r w:rsidR="00B103A7" w:rsidRPr="00DE0E4A">
                <w:rPr>
                  <w:rStyle w:val="Hyperlink"/>
                </w:rPr>
                <w:t>CbC</w:t>
              </w:r>
              <w:proofErr w:type="spellEnd"/>
              <w:r w:rsidR="00B103A7" w:rsidRPr="00DE0E4A">
                <w:rPr>
                  <w:rStyle w:val="Hyperlink"/>
                </w:rPr>
                <w:t xml:space="preserve"> reporter</w:t>
              </w:r>
            </w:hyperlink>
          </w:p>
        </w:tc>
        <w:tc>
          <w:tcPr>
            <w:tcW w:w="3309" w:type="dxa"/>
            <w:vAlign w:val="center"/>
          </w:tcPr>
          <w:p w14:paraId="2AB005BC" w14:textId="11E842B5" w:rsidR="00454D9C" w:rsidRPr="002606F5" w:rsidRDefault="00454D9C" w:rsidP="00B666EA">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sidRPr="002606F5">
              <w:rPr>
                <w:color w:val="701F4D" w:themeColor="accent2"/>
              </w:rPr>
              <w:t>Navigate to page</w:t>
            </w:r>
            <w:r w:rsidR="00723C61" w:rsidRPr="002606F5">
              <w:rPr>
                <w:color w:val="701F4D" w:themeColor="accent2"/>
              </w:rPr>
              <w:t>s</w:t>
            </w:r>
            <w:r w:rsidR="00AA2FF2" w:rsidRPr="002606F5">
              <w:rPr>
                <w:color w:val="701F4D" w:themeColor="accent2"/>
              </w:rPr>
              <w:t xml:space="preserve"> </w:t>
            </w:r>
            <w:r w:rsidR="004D73BE" w:rsidRPr="002606F5">
              <w:rPr>
                <w:color w:val="701F4D" w:themeColor="accent2"/>
              </w:rPr>
              <w:t>4</w:t>
            </w:r>
            <w:r w:rsidR="005C720C">
              <w:rPr>
                <w:color w:val="701F4D" w:themeColor="accent2"/>
              </w:rPr>
              <w:t>3</w:t>
            </w:r>
            <w:r w:rsidR="001A3F22" w:rsidRPr="002606F5">
              <w:rPr>
                <w:color w:val="701F4D" w:themeColor="accent2"/>
              </w:rPr>
              <w:t xml:space="preserve"> – 4</w:t>
            </w:r>
            <w:r w:rsidR="005C720C">
              <w:rPr>
                <w:color w:val="701F4D" w:themeColor="accent2"/>
              </w:rPr>
              <w:t>5</w:t>
            </w:r>
            <w:r w:rsidR="001A3F22" w:rsidRPr="002606F5">
              <w:rPr>
                <w:color w:val="701F4D" w:themeColor="accent2"/>
              </w:rPr>
              <w:t xml:space="preserve"> </w:t>
            </w:r>
          </w:p>
          <w:p w14:paraId="1B0C911B" w14:textId="579625B1" w:rsidR="006F7E3E" w:rsidRPr="00454D9C" w:rsidRDefault="006F7E3E" w:rsidP="00B666EA">
            <w:pPr>
              <w:pStyle w:val="TableBodyCellLeft"/>
              <w:cnfStyle w:val="000000100000" w:firstRow="0" w:lastRow="0" w:firstColumn="0" w:lastColumn="0" w:oddVBand="0" w:evenVBand="0" w:oddHBand="1" w:evenHBand="0" w:firstRowFirstColumn="0" w:firstRowLastColumn="0" w:lastRowFirstColumn="0" w:lastRowLastColumn="0"/>
            </w:pPr>
            <w:hyperlink w:anchor="_Non-public_CbC_reporter_2" w:history="1">
              <w:r w:rsidRPr="006F7E3E">
                <w:rPr>
                  <w:rStyle w:val="Hyperlink"/>
                </w:rPr>
                <w:t>Non-</w:t>
              </w:r>
              <w:r w:rsidR="00DE0E4A">
                <w:rPr>
                  <w:rStyle w:val="Hyperlink"/>
                </w:rPr>
                <w:t xml:space="preserve">public </w:t>
              </w:r>
              <w:proofErr w:type="spellStart"/>
              <w:r w:rsidRPr="006F7E3E">
                <w:rPr>
                  <w:rStyle w:val="Hyperlink"/>
                </w:rPr>
                <w:t>CbC</w:t>
              </w:r>
              <w:proofErr w:type="spellEnd"/>
              <w:r w:rsidRPr="006F7E3E">
                <w:rPr>
                  <w:rStyle w:val="Hyperlink"/>
                </w:rPr>
                <w:t xml:space="preserve"> reporter</w:t>
              </w:r>
            </w:hyperlink>
          </w:p>
        </w:tc>
      </w:tr>
    </w:tbl>
    <w:p w14:paraId="6F4F5CD7" w14:textId="77777777" w:rsidR="00FF0EE7" w:rsidRPr="002606F5" w:rsidRDefault="00FF0EE7" w:rsidP="002606F5">
      <w:bookmarkStart w:id="29" w:name="_CbC_reporter"/>
      <w:bookmarkStart w:id="30" w:name="_Public_CbC_reporter"/>
      <w:bookmarkEnd w:id="29"/>
      <w:bookmarkEnd w:id="30"/>
      <w:r>
        <w:br w:type="page"/>
      </w:r>
    </w:p>
    <w:p w14:paraId="24216A6A" w14:textId="24D08A1E" w:rsidR="008903F7" w:rsidRPr="008903F7" w:rsidRDefault="00DE0E4A" w:rsidP="008903F7">
      <w:pPr>
        <w:pStyle w:val="Heading2"/>
      </w:pPr>
      <w:bookmarkStart w:id="31" w:name="_Public_CbC_reporter_1"/>
      <w:bookmarkStart w:id="32" w:name="_Toc212116311"/>
      <w:bookmarkEnd w:id="31"/>
      <w:r>
        <w:lastRenderedPageBreak/>
        <w:t xml:space="preserve">Public </w:t>
      </w:r>
      <w:proofErr w:type="spellStart"/>
      <w:r w:rsidR="00DD5AB2">
        <w:t>CbC</w:t>
      </w:r>
      <w:proofErr w:type="spellEnd"/>
      <w:r w:rsidR="00821D6D">
        <w:t xml:space="preserve"> reporter</w:t>
      </w:r>
      <w:bookmarkEnd w:id="32"/>
      <w:r w:rsidR="00821D6D">
        <w:t xml:space="preserve"> </w:t>
      </w:r>
    </w:p>
    <w:tbl>
      <w:tblPr>
        <w:tblStyle w:val="ListTable3-Accent2"/>
        <w:tblW w:w="5000" w:type="pct"/>
        <w:tblLook w:val="04A0" w:firstRow="1" w:lastRow="0" w:firstColumn="1" w:lastColumn="0" w:noHBand="0" w:noVBand="1"/>
      </w:tblPr>
      <w:tblGrid>
        <w:gridCol w:w="704"/>
        <w:gridCol w:w="6237"/>
        <w:gridCol w:w="2690"/>
      </w:tblGrid>
      <w:tr w:rsidR="00B73A20" w14:paraId="40D29C51" w14:textId="77777777" w:rsidTr="00832239">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704" w:type="dxa"/>
          </w:tcPr>
          <w:p w14:paraId="75AF7823" w14:textId="77777777" w:rsidR="00B73A20" w:rsidRPr="00B73A20" w:rsidRDefault="00B73A20" w:rsidP="00B73A20">
            <w:pPr>
              <w:jc w:val="both"/>
              <w:rPr>
                <w:rFonts w:asciiTheme="majorHAnsi" w:hAnsiTheme="majorHAnsi"/>
                <w:b/>
                <w:bCs w:val="0"/>
              </w:rPr>
            </w:pPr>
          </w:p>
        </w:tc>
        <w:tc>
          <w:tcPr>
            <w:tcW w:w="6237" w:type="dxa"/>
            <w:vAlign w:val="center"/>
          </w:tcPr>
          <w:p w14:paraId="67A0D006" w14:textId="7E3BEFD2" w:rsidR="00B73A20" w:rsidRPr="002913D1" w:rsidRDefault="00B73A20" w:rsidP="007B2C30">
            <w:pPr>
              <w:pStyle w:val="TableHeaderCellLeft"/>
              <w:cnfStyle w:val="100000000000" w:firstRow="1" w:lastRow="0" w:firstColumn="0" w:lastColumn="0" w:oddVBand="0" w:evenVBand="0" w:oddHBand="0" w:evenHBand="0" w:firstRowFirstColumn="0" w:firstRowLastColumn="0" w:lastRowFirstColumn="0" w:lastRowLastColumn="0"/>
            </w:pPr>
            <w:r w:rsidRPr="002913D1">
              <w:t>VTTC reporting requirements</w:t>
            </w:r>
          </w:p>
        </w:tc>
        <w:tc>
          <w:tcPr>
            <w:tcW w:w="2690" w:type="dxa"/>
            <w:vAlign w:val="center"/>
          </w:tcPr>
          <w:p w14:paraId="1F595305" w14:textId="349FA07C" w:rsidR="00B73A20" w:rsidRPr="002913D1" w:rsidRDefault="00B73A20" w:rsidP="007B2C30">
            <w:pPr>
              <w:pStyle w:val="TableHeaderCellLeft"/>
              <w:cnfStyle w:val="100000000000" w:firstRow="1" w:lastRow="0" w:firstColumn="0" w:lastColumn="0" w:oddVBand="0" w:evenVBand="0" w:oddHBand="0" w:evenHBand="0" w:firstRowFirstColumn="0" w:firstRowLastColumn="0" w:lastRowFirstColumn="0" w:lastRowLastColumn="0"/>
            </w:pPr>
            <w:r w:rsidRPr="002913D1">
              <w:t xml:space="preserve">Public </w:t>
            </w:r>
            <w:proofErr w:type="spellStart"/>
            <w:r w:rsidRPr="002913D1">
              <w:t>CbC</w:t>
            </w:r>
            <w:proofErr w:type="spellEnd"/>
            <w:r w:rsidRPr="002913D1">
              <w:t xml:space="preserve"> reporter</w:t>
            </w:r>
          </w:p>
        </w:tc>
      </w:tr>
      <w:tr w:rsidR="00614D9B" w14:paraId="3139D81F" w14:textId="77777777" w:rsidTr="009938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58A0925" w14:textId="73E58925" w:rsidR="00614D9B" w:rsidRPr="00804361" w:rsidRDefault="00C81E73" w:rsidP="00993846">
            <w:pPr>
              <w:pStyle w:val="TableBodyCellLeft"/>
              <w:rPr>
                <w:color w:val="701F4D" w:themeColor="accent2"/>
              </w:rPr>
            </w:pPr>
            <w:r w:rsidRPr="00804361">
              <w:rPr>
                <w:color w:val="701F4D" w:themeColor="accent2"/>
              </w:rPr>
              <w:t>1</w:t>
            </w:r>
          </w:p>
        </w:tc>
        <w:tc>
          <w:tcPr>
            <w:tcW w:w="6237" w:type="dxa"/>
            <w:vAlign w:val="center"/>
          </w:tcPr>
          <w:p w14:paraId="0415398D" w14:textId="64957A84" w:rsidR="00614D9B" w:rsidRPr="00620D7D" w:rsidRDefault="00614D9B" w:rsidP="00993846">
            <w:pPr>
              <w:pStyle w:val="TableBodyCellLeft"/>
              <w:cnfStyle w:val="000000100000" w:firstRow="0" w:lastRow="0" w:firstColumn="0" w:lastColumn="0" w:oddVBand="0" w:evenVBand="0" w:oddHBand="1" w:evenHBand="0" w:firstRowFirstColumn="0" w:firstRowLastColumn="0" w:lastRowFirstColumn="0" w:lastRowLastColumn="0"/>
              <w:rPr>
                <w:rFonts w:cstheme="minorHAnsi"/>
                <w:b/>
                <w:bCs/>
                <w:color w:val="701F4D" w:themeColor="accent2"/>
              </w:rPr>
            </w:pPr>
            <w:hyperlink w:anchor="_Basic_information_1" w:history="1">
              <w:r w:rsidRPr="00EA417A">
                <w:rPr>
                  <w:rStyle w:val="Hyperlink"/>
                  <w:rFonts w:cstheme="minorHAnsi"/>
                </w:rPr>
                <w:t>Overview</w:t>
              </w:r>
            </w:hyperlink>
            <w:r w:rsidRPr="00FC33C7">
              <w:rPr>
                <w:rFonts w:cstheme="minorHAnsi"/>
              </w:rPr>
              <w:t xml:space="preserve"> </w:t>
            </w:r>
          </w:p>
        </w:tc>
        <w:tc>
          <w:tcPr>
            <w:tcW w:w="2690" w:type="dxa"/>
            <w:vAlign w:val="center"/>
          </w:tcPr>
          <w:p w14:paraId="3FE437B4" w14:textId="3652F52F" w:rsidR="00614D9B" w:rsidRPr="00804361" w:rsidRDefault="00A448E1" w:rsidP="00993846">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Pr>
                <w:noProof/>
                <w:color w:val="701F4D" w:themeColor="accent2"/>
              </w:rPr>
              <w:drawing>
                <wp:inline distT="0" distB="0" distL="0" distR="0" wp14:anchorId="79C3E8EC" wp14:editId="51113B45">
                  <wp:extent cx="116006" cy="116006"/>
                  <wp:effectExtent l="0" t="0" r="0" b="0"/>
                  <wp:docPr id="881663858"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63858"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993846">
              <w:rPr>
                <w:color w:val="701F4D" w:themeColor="accent2"/>
              </w:rPr>
              <w:t xml:space="preserve"> </w:t>
            </w:r>
            <w:r w:rsidR="00993846" w:rsidRPr="00411C1C">
              <w:rPr>
                <w:color w:val="701F4D" w:themeColor="accent2"/>
                <w:szCs w:val="20"/>
              </w:rPr>
              <w:t>Yes</w:t>
            </w:r>
          </w:p>
        </w:tc>
      </w:tr>
      <w:tr w:rsidR="00614D9B" w14:paraId="2E08AD89" w14:textId="77777777" w:rsidTr="00993846">
        <w:trPr>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EFAC8AB" w14:textId="278790D4" w:rsidR="00614D9B" w:rsidRPr="00804361" w:rsidRDefault="00C81E73" w:rsidP="00993846">
            <w:pPr>
              <w:pStyle w:val="TableBodyCellLeft"/>
              <w:rPr>
                <w:color w:val="701F4D" w:themeColor="accent2"/>
              </w:rPr>
            </w:pPr>
            <w:r w:rsidRPr="00804361">
              <w:rPr>
                <w:color w:val="701F4D" w:themeColor="accent2"/>
              </w:rPr>
              <w:t xml:space="preserve">2.1 </w:t>
            </w:r>
          </w:p>
        </w:tc>
        <w:tc>
          <w:tcPr>
            <w:tcW w:w="6237" w:type="dxa"/>
            <w:vAlign w:val="center"/>
          </w:tcPr>
          <w:p w14:paraId="3993548E" w14:textId="689BE05A" w:rsidR="00614D9B" w:rsidRDefault="00614D9B" w:rsidP="00993846">
            <w:pPr>
              <w:pStyle w:val="TableBodyCellLeft"/>
              <w:cnfStyle w:val="000000000000" w:firstRow="0" w:lastRow="0" w:firstColumn="0" w:lastColumn="0" w:oddVBand="0" w:evenVBand="0" w:oddHBand="0" w:evenHBand="0" w:firstRowFirstColumn="0" w:firstRowLastColumn="0" w:lastRowFirstColumn="0" w:lastRowLastColumn="0"/>
            </w:pPr>
            <w:hyperlink w:anchor="_Total_tax_contribution_2" w:history="1">
              <w:r w:rsidRPr="00E433D5">
                <w:rPr>
                  <w:rStyle w:val="Hyperlink"/>
                </w:rPr>
                <w:t>Total tax contribution</w:t>
              </w:r>
            </w:hyperlink>
          </w:p>
        </w:tc>
        <w:tc>
          <w:tcPr>
            <w:tcW w:w="2690" w:type="dxa"/>
            <w:vAlign w:val="center"/>
          </w:tcPr>
          <w:p w14:paraId="641FABA4" w14:textId="2475004D" w:rsidR="00614D9B" w:rsidRPr="00804361" w:rsidRDefault="00A448E1" w:rsidP="00993846">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rPr>
            </w:pPr>
            <w:r>
              <w:rPr>
                <w:noProof/>
                <w:color w:val="701F4D" w:themeColor="accent2"/>
              </w:rPr>
              <w:drawing>
                <wp:inline distT="0" distB="0" distL="0" distR="0" wp14:anchorId="1A99F2B5" wp14:editId="2F3187B2">
                  <wp:extent cx="116006" cy="116006"/>
                  <wp:effectExtent l="0" t="0" r="0" b="0"/>
                  <wp:docPr id="127527762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277622"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993846">
              <w:rPr>
                <w:color w:val="701F4D" w:themeColor="accent2"/>
              </w:rPr>
              <w:t xml:space="preserve"> </w:t>
            </w:r>
            <w:r w:rsidR="00993846" w:rsidRPr="00411C1C">
              <w:rPr>
                <w:color w:val="701F4D" w:themeColor="accent2"/>
                <w:szCs w:val="20"/>
              </w:rPr>
              <w:t>Yes</w:t>
            </w:r>
          </w:p>
        </w:tc>
      </w:tr>
      <w:tr w:rsidR="00614D9B" w14:paraId="4F8A127C" w14:textId="77777777" w:rsidTr="009938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C200AFF" w14:textId="79035523" w:rsidR="00614D9B" w:rsidRPr="00804361" w:rsidRDefault="00A50C41" w:rsidP="00993846">
            <w:pPr>
              <w:pStyle w:val="TableBodyCellLeft"/>
              <w:rPr>
                <w:color w:val="701F4D" w:themeColor="accent2"/>
              </w:rPr>
            </w:pPr>
            <w:r w:rsidRPr="00804361">
              <w:rPr>
                <w:color w:val="701F4D" w:themeColor="accent2"/>
              </w:rPr>
              <w:t>2.2</w:t>
            </w:r>
          </w:p>
        </w:tc>
        <w:tc>
          <w:tcPr>
            <w:tcW w:w="6237" w:type="dxa"/>
            <w:vAlign w:val="center"/>
          </w:tcPr>
          <w:p w14:paraId="19682B9E" w14:textId="6CBCA558" w:rsidR="00614D9B" w:rsidRPr="00567F9D" w:rsidRDefault="00614D9B" w:rsidP="00993846">
            <w:pPr>
              <w:pStyle w:val="TableBodyCellLeft"/>
              <w:cnfStyle w:val="000000100000" w:firstRow="0" w:lastRow="0" w:firstColumn="0" w:lastColumn="0" w:oddVBand="0" w:evenVBand="0" w:oddHBand="1" w:evenHBand="0" w:firstRowFirstColumn="0" w:firstRowLastColumn="0" w:lastRowFirstColumn="0" w:lastRowLastColumn="0"/>
              <w:rPr>
                <w:b/>
                <w:bCs/>
              </w:rPr>
            </w:pPr>
            <w:hyperlink w:anchor="_Effective_tax_rates" w:history="1">
              <w:r w:rsidRPr="00E433D5">
                <w:rPr>
                  <w:rStyle w:val="Hyperlink"/>
                </w:rPr>
                <w:t>Effective tax rate for Australian and global operations</w:t>
              </w:r>
            </w:hyperlink>
          </w:p>
        </w:tc>
        <w:tc>
          <w:tcPr>
            <w:tcW w:w="2690" w:type="dxa"/>
            <w:vAlign w:val="center"/>
          </w:tcPr>
          <w:p w14:paraId="4C5E1EE5" w14:textId="2AC0E830" w:rsidR="00614D9B" w:rsidRPr="00804361" w:rsidRDefault="00A448E1" w:rsidP="00993846">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Pr>
                <w:noProof/>
                <w:color w:val="701F4D" w:themeColor="accent2"/>
              </w:rPr>
              <w:drawing>
                <wp:inline distT="0" distB="0" distL="0" distR="0" wp14:anchorId="65958F95" wp14:editId="6E26463C">
                  <wp:extent cx="116006" cy="116006"/>
                  <wp:effectExtent l="0" t="0" r="0" b="0"/>
                  <wp:docPr id="984725700"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725700"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993846">
              <w:rPr>
                <w:color w:val="701F4D" w:themeColor="accent2"/>
              </w:rPr>
              <w:t xml:space="preserve"> </w:t>
            </w:r>
            <w:r w:rsidR="00993846" w:rsidRPr="00411C1C">
              <w:rPr>
                <w:color w:val="701F4D" w:themeColor="accent2"/>
                <w:szCs w:val="20"/>
              </w:rPr>
              <w:t>Yes</w:t>
            </w:r>
          </w:p>
        </w:tc>
      </w:tr>
      <w:tr w:rsidR="00614D9B" w14:paraId="7BD8A502" w14:textId="77777777" w:rsidTr="00993846">
        <w:trPr>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8BB629A" w14:textId="2FB1CA00" w:rsidR="00614D9B" w:rsidRPr="00804361" w:rsidRDefault="00A50C41" w:rsidP="00993846">
            <w:pPr>
              <w:pStyle w:val="TableBodyCellLeft"/>
              <w:rPr>
                <w:color w:val="701F4D" w:themeColor="accent2"/>
              </w:rPr>
            </w:pPr>
            <w:r w:rsidRPr="00804361">
              <w:rPr>
                <w:color w:val="701F4D" w:themeColor="accent2"/>
              </w:rPr>
              <w:t>2.3</w:t>
            </w:r>
          </w:p>
        </w:tc>
        <w:tc>
          <w:tcPr>
            <w:tcW w:w="6237" w:type="dxa"/>
            <w:vAlign w:val="center"/>
          </w:tcPr>
          <w:p w14:paraId="7EF3EEEB" w14:textId="0205EF56" w:rsidR="00614D9B" w:rsidRPr="00567F9D" w:rsidRDefault="00614D9B" w:rsidP="00993846">
            <w:pPr>
              <w:pStyle w:val="TableBodyCellLeft"/>
              <w:cnfStyle w:val="000000000000" w:firstRow="0" w:lastRow="0" w:firstColumn="0" w:lastColumn="0" w:oddVBand="0" w:evenVBand="0" w:oddHBand="0" w:evenHBand="0" w:firstRowFirstColumn="0" w:firstRowLastColumn="0" w:lastRowFirstColumn="0" w:lastRowLastColumn="0"/>
              <w:rPr>
                <w:b/>
                <w:bCs/>
              </w:rPr>
            </w:pPr>
            <w:hyperlink w:anchor="_A_reconciliation_to" w:history="1">
              <w:r w:rsidRPr="00E433D5">
                <w:rPr>
                  <w:rStyle w:val="Hyperlink"/>
                </w:rPr>
                <w:t xml:space="preserve">Reconciliation to ATO </w:t>
              </w:r>
              <w:r>
                <w:rPr>
                  <w:rStyle w:val="Hyperlink"/>
                </w:rPr>
                <w:t>C</w:t>
              </w:r>
              <w:r w:rsidRPr="00E433D5">
                <w:rPr>
                  <w:rStyle w:val="Hyperlink"/>
                </w:rPr>
                <w:t xml:space="preserve">orporate </w:t>
              </w:r>
              <w:r>
                <w:rPr>
                  <w:rStyle w:val="Hyperlink"/>
                </w:rPr>
                <w:t>T</w:t>
              </w:r>
              <w:r w:rsidRPr="00E433D5">
                <w:rPr>
                  <w:rStyle w:val="Hyperlink"/>
                </w:rPr>
                <w:t xml:space="preserve">ax </w:t>
              </w:r>
              <w:r>
                <w:rPr>
                  <w:rStyle w:val="Hyperlink"/>
                </w:rPr>
                <w:t>T</w:t>
              </w:r>
              <w:r w:rsidRPr="00E433D5">
                <w:rPr>
                  <w:rStyle w:val="Hyperlink"/>
                </w:rPr>
                <w:t xml:space="preserve">ransparency </w:t>
              </w:r>
              <w:r>
                <w:rPr>
                  <w:rStyle w:val="Hyperlink"/>
                </w:rPr>
                <w:t>D</w:t>
              </w:r>
              <w:r w:rsidRPr="00E433D5">
                <w:rPr>
                  <w:rStyle w:val="Hyperlink"/>
                </w:rPr>
                <w:t>isclosures</w:t>
              </w:r>
            </w:hyperlink>
          </w:p>
        </w:tc>
        <w:tc>
          <w:tcPr>
            <w:tcW w:w="2690" w:type="dxa"/>
            <w:vAlign w:val="center"/>
          </w:tcPr>
          <w:p w14:paraId="6F219F56" w14:textId="17B7AD64" w:rsidR="00614D9B" w:rsidRPr="00804361" w:rsidRDefault="00FC2E08" w:rsidP="00993846">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rPr>
            </w:pPr>
            <w:r w:rsidRPr="00804361">
              <w:rPr>
                <w:color w:val="701F4D" w:themeColor="accent2"/>
                <w:szCs w:val="20"/>
              </w:rPr>
              <w:t>Optional element only</w:t>
            </w:r>
          </w:p>
        </w:tc>
      </w:tr>
      <w:tr w:rsidR="00930EE0" w14:paraId="35B668AF" w14:textId="77777777" w:rsidTr="009938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2262571" w14:textId="126464B4" w:rsidR="00930EE0" w:rsidRPr="00804361" w:rsidRDefault="00A6488A" w:rsidP="00993846">
            <w:pPr>
              <w:pStyle w:val="TableBodyCellLeft"/>
              <w:rPr>
                <w:color w:val="701F4D" w:themeColor="accent2"/>
              </w:rPr>
            </w:pPr>
            <w:r w:rsidRPr="00804361">
              <w:rPr>
                <w:color w:val="701F4D" w:themeColor="accent2"/>
              </w:rPr>
              <w:t>3.1</w:t>
            </w:r>
          </w:p>
        </w:tc>
        <w:tc>
          <w:tcPr>
            <w:tcW w:w="6237" w:type="dxa"/>
            <w:vAlign w:val="center"/>
          </w:tcPr>
          <w:p w14:paraId="4C7735EB" w14:textId="7A9CB24B" w:rsidR="00930EE0" w:rsidRDefault="00930EE0" w:rsidP="00993846">
            <w:pPr>
              <w:pStyle w:val="TableBodyCellLeft"/>
              <w:cnfStyle w:val="000000100000" w:firstRow="0" w:lastRow="0" w:firstColumn="0" w:lastColumn="0" w:oddVBand="0" w:evenVBand="0" w:oddHBand="1" w:evenHBand="0" w:firstRowFirstColumn="0" w:firstRowLastColumn="0" w:lastRowFirstColumn="0" w:lastRowLastColumn="0"/>
            </w:pPr>
            <w:hyperlink w:anchor="_Approach_to_risk" w:history="1">
              <w:r w:rsidRPr="00930EE0">
                <w:rPr>
                  <w:rStyle w:val="Hyperlink"/>
                </w:rPr>
                <w:t>Approach to tax</w:t>
              </w:r>
            </w:hyperlink>
          </w:p>
        </w:tc>
        <w:tc>
          <w:tcPr>
            <w:tcW w:w="2690" w:type="dxa"/>
            <w:vAlign w:val="center"/>
          </w:tcPr>
          <w:p w14:paraId="145C585B" w14:textId="37397211" w:rsidR="00930EE0" w:rsidRPr="00804361" w:rsidRDefault="00E76E72" w:rsidP="00993846">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szCs w:val="20"/>
              </w:rPr>
            </w:pPr>
            <w:r w:rsidRPr="00804361">
              <w:rPr>
                <w:color w:val="701F4D" w:themeColor="accent2"/>
                <w:szCs w:val="20"/>
              </w:rPr>
              <w:t xml:space="preserve">Covered by the public </w:t>
            </w:r>
            <w:proofErr w:type="spellStart"/>
            <w:r w:rsidRPr="00804361">
              <w:rPr>
                <w:color w:val="701F4D" w:themeColor="accent2"/>
                <w:szCs w:val="20"/>
              </w:rPr>
              <w:t>CbCr</w:t>
            </w:r>
            <w:proofErr w:type="spellEnd"/>
          </w:p>
        </w:tc>
      </w:tr>
      <w:tr w:rsidR="00614D9B" w14:paraId="6200EFA3" w14:textId="77777777" w:rsidTr="00993846">
        <w:trPr>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49FB64B" w14:textId="02C31013" w:rsidR="00614D9B" w:rsidRPr="00804361" w:rsidRDefault="00415D5C" w:rsidP="00993846">
            <w:pPr>
              <w:pStyle w:val="TableBodyCellLeft"/>
              <w:rPr>
                <w:color w:val="701F4D" w:themeColor="accent2"/>
              </w:rPr>
            </w:pPr>
            <w:r w:rsidRPr="00804361">
              <w:rPr>
                <w:color w:val="701F4D" w:themeColor="accent2"/>
              </w:rPr>
              <w:t>3.2</w:t>
            </w:r>
          </w:p>
        </w:tc>
        <w:tc>
          <w:tcPr>
            <w:tcW w:w="6237" w:type="dxa"/>
            <w:vAlign w:val="center"/>
          </w:tcPr>
          <w:p w14:paraId="043C6335" w14:textId="6936C13A" w:rsidR="00614D9B" w:rsidRPr="00567F9D" w:rsidRDefault="00614D9B" w:rsidP="00993846">
            <w:pPr>
              <w:pStyle w:val="TableBodyCellLeft"/>
              <w:cnfStyle w:val="000000000000" w:firstRow="0" w:lastRow="0" w:firstColumn="0" w:lastColumn="0" w:oddVBand="0" w:evenVBand="0" w:oddHBand="0" w:evenHBand="0" w:firstRowFirstColumn="0" w:firstRowLastColumn="0" w:lastRowFirstColumn="0" w:lastRowLastColumn="0"/>
              <w:rPr>
                <w:b/>
                <w:bCs/>
              </w:rPr>
            </w:pPr>
            <w:hyperlink w:anchor="_Tax_governance,_control," w:history="1">
              <w:r w:rsidRPr="00EA417A">
                <w:rPr>
                  <w:rStyle w:val="Hyperlink"/>
                </w:rPr>
                <w:t>Tax governance, control and risk management</w:t>
              </w:r>
            </w:hyperlink>
            <w:r>
              <w:t xml:space="preserve"> </w:t>
            </w:r>
          </w:p>
        </w:tc>
        <w:tc>
          <w:tcPr>
            <w:tcW w:w="2690" w:type="dxa"/>
            <w:vAlign w:val="center"/>
          </w:tcPr>
          <w:p w14:paraId="1BB6A2A0" w14:textId="6EF3FB53" w:rsidR="00614D9B" w:rsidRPr="00804361" w:rsidRDefault="00614D9B" w:rsidP="00993846">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szCs w:val="20"/>
              </w:rPr>
            </w:pPr>
            <w:r w:rsidRPr="00804361">
              <w:rPr>
                <w:color w:val="701F4D" w:themeColor="accent2"/>
                <w:szCs w:val="20"/>
              </w:rPr>
              <w:t>Optional elements only</w:t>
            </w:r>
          </w:p>
        </w:tc>
      </w:tr>
      <w:tr w:rsidR="00614D9B" w14:paraId="563DC615" w14:textId="77777777" w:rsidTr="009938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2097D8D" w14:textId="0C8271FE" w:rsidR="00614D9B" w:rsidRPr="00804361" w:rsidRDefault="00415D5C" w:rsidP="00993846">
            <w:pPr>
              <w:pStyle w:val="TableBodyCellLeft"/>
              <w:rPr>
                <w:color w:val="701F4D" w:themeColor="accent2"/>
              </w:rPr>
            </w:pPr>
            <w:r w:rsidRPr="00804361">
              <w:rPr>
                <w:color w:val="701F4D" w:themeColor="accent2"/>
              </w:rPr>
              <w:t>3.3</w:t>
            </w:r>
          </w:p>
        </w:tc>
        <w:tc>
          <w:tcPr>
            <w:tcW w:w="6237" w:type="dxa"/>
            <w:vAlign w:val="center"/>
          </w:tcPr>
          <w:p w14:paraId="78A18084" w14:textId="22C671D3" w:rsidR="00614D9B" w:rsidRPr="00567F9D" w:rsidRDefault="00614D9B" w:rsidP="00993846">
            <w:pPr>
              <w:pStyle w:val="TableBodyCellLeft"/>
              <w:cnfStyle w:val="000000100000" w:firstRow="0" w:lastRow="0" w:firstColumn="0" w:lastColumn="0" w:oddVBand="0" w:evenVBand="0" w:oddHBand="1" w:evenHBand="0" w:firstRowFirstColumn="0" w:firstRowLastColumn="0" w:lastRowFirstColumn="0" w:lastRowLastColumn="0"/>
              <w:rPr>
                <w:b/>
                <w:bCs/>
              </w:rPr>
            </w:pPr>
            <w:hyperlink w:anchor="_Stakeholder_engagement_and" w:history="1">
              <w:r w:rsidRPr="00EA417A">
                <w:rPr>
                  <w:rStyle w:val="Hyperlink"/>
                </w:rPr>
                <w:t>Stakeholder engagement and management of concerns related to tax</w:t>
              </w:r>
            </w:hyperlink>
            <w:r>
              <w:t xml:space="preserve"> </w:t>
            </w:r>
          </w:p>
        </w:tc>
        <w:tc>
          <w:tcPr>
            <w:tcW w:w="2690" w:type="dxa"/>
            <w:vAlign w:val="center"/>
          </w:tcPr>
          <w:p w14:paraId="66CC3BDD" w14:textId="25299D30" w:rsidR="00614D9B" w:rsidRPr="00804361" w:rsidRDefault="00614D9B" w:rsidP="00993846">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szCs w:val="20"/>
              </w:rPr>
            </w:pPr>
            <w:r w:rsidRPr="00804361">
              <w:rPr>
                <w:color w:val="701F4D" w:themeColor="accent2"/>
                <w:szCs w:val="20"/>
              </w:rPr>
              <w:t>Optional elements only</w:t>
            </w:r>
          </w:p>
        </w:tc>
      </w:tr>
      <w:tr w:rsidR="00614D9B" w14:paraId="7C49BDB9" w14:textId="77777777" w:rsidTr="00993846">
        <w:trPr>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EF6CF73" w14:textId="7D16591D" w:rsidR="00614D9B" w:rsidRPr="00804361" w:rsidRDefault="00415D5C" w:rsidP="00993846">
            <w:pPr>
              <w:pStyle w:val="TableBodyCellLeft"/>
              <w:rPr>
                <w:color w:val="701F4D" w:themeColor="accent2"/>
              </w:rPr>
            </w:pPr>
            <w:r w:rsidRPr="00804361">
              <w:rPr>
                <w:color w:val="701F4D" w:themeColor="accent2"/>
              </w:rPr>
              <w:t>3.4</w:t>
            </w:r>
          </w:p>
        </w:tc>
        <w:tc>
          <w:tcPr>
            <w:tcW w:w="6237" w:type="dxa"/>
            <w:vAlign w:val="center"/>
          </w:tcPr>
          <w:p w14:paraId="1AE4ED05" w14:textId="51E81191" w:rsidR="00614D9B" w:rsidRPr="00567F9D" w:rsidRDefault="00614D9B" w:rsidP="00993846">
            <w:pPr>
              <w:pStyle w:val="TableBodyCellLeft"/>
              <w:cnfStyle w:val="000000000000" w:firstRow="0" w:lastRow="0" w:firstColumn="0" w:lastColumn="0" w:oddVBand="0" w:evenVBand="0" w:oddHBand="0" w:evenHBand="0" w:firstRowFirstColumn="0" w:firstRowLastColumn="0" w:lastRowFirstColumn="0" w:lastRowLastColumn="0"/>
              <w:rPr>
                <w:b/>
                <w:bCs/>
              </w:rPr>
            </w:pPr>
            <w:hyperlink w:anchor="_International_related_party_1" w:history="1">
              <w:r w:rsidRPr="00E433D5">
                <w:rPr>
                  <w:rStyle w:val="Hyperlink"/>
                </w:rPr>
                <w:t>International related party dealings summary</w:t>
              </w:r>
            </w:hyperlink>
          </w:p>
        </w:tc>
        <w:tc>
          <w:tcPr>
            <w:tcW w:w="2690" w:type="dxa"/>
            <w:vAlign w:val="center"/>
          </w:tcPr>
          <w:p w14:paraId="5B65A70A" w14:textId="301A5030" w:rsidR="00614D9B" w:rsidRPr="00804361" w:rsidRDefault="00A448E1" w:rsidP="00993846">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rPr>
            </w:pPr>
            <w:r>
              <w:rPr>
                <w:noProof/>
                <w:color w:val="701F4D" w:themeColor="accent2"/>
              </w:rPr>
              <w:drawing>
                <wp:inline distT="0" distB="0" distL="0" distR="0" wp14:anchorId="7CAE95A8" wp14:editId="12297F32">
                  <wp:extent cx="116006" cy="116006"/>
                  <wp:effectExtent l="0" t="0" r="0" b="0"/>
                  <wp:docPr id="23817832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78327"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993846">
              <w:rPr>
                <w:color w:val="701F4D" w:themeColor="accent2"/>
              </w:rPr>
              <w:t xml:space="preserve"> </w:t>
            </w:r>
            <w:r w:rsidR="00993846" w:rsidRPr="00411C1C">
              <w:rPr>
                <w:color w:val="701F4D" w:themeColor="accent2"/>
                <w:szCs w:val="20"/>
              </w:rPr>
              <w:t>Yes</w:t>
            </w:r>
          </w:p>
        </w:tc>
      </w:tr>
    </w:tbl>
    <w:p w14:paraId="45447EEA" w14:textId="3C75FD34" w:rsidR="008A3532" w:rsidRDefault="002C3D48" w:rsidP="00D31922">
      <w:pPr>
        <w:pStyle w:val="Heading3"/>
        <w:numPr>
          <w:ilvl w:val="3"/>
          <w:numId w:val="21"/>
        </w:numPr>
      </w:pPr>
      <w:bookmarkStart w:id="33" w:name="_Basic_information_1"/>
      <w:bookmarkEnd w:id="33"/>
      <w:r>
        <w:t>Overview</w:t>
      </w:r>
    </w:p>
    <w:tbl>
      <w:tblPr>
        <w:tblStyle w:val="ListTable3-Accent2"/>
        <w:tblW w:w="5000" w:type="pct"/>
        <w:tblLook w:val="04A0" w:firstRow="1" w:lastRow="0" w:firstColumn="1" w:lastColumn="0" w:noHBand="0" w:noVBand="1"/>
      </w:tblPr>
      <w:tblGrid>
        <w:gridCol w:w="9636"/>
      </w:tblGrid>
      <w:tr w:rsidR="002C376C" w14:paraId="05CB6EE7" w14:textId="77777777" w:rsidTr="007B2C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vAlign w:val="center"/>
          </w:tcPr>
          <w:p w14:paraId="7D9DB717" w14:textId="0EA5EEAA" w:rsidR="002C376C" w:rsidRPr="008C7050" w:rsidRDefault="00792696" w:rsidP="00930440">
            <w:pPr>
              <w:pStyle w:val="Heading4"/>
              <w:spacing w:before="200" w:after="0"/>
            </w:pPr>
            <w:r>
              <w:t>V</w:t>
            </w:r>
            <w:r w:rsidR="002C376C" w:rsidRPr="008C7050">
              <w:t>TTC Requirement</w:t>
            </w:r>
          </w:p>
          <w:p w14:paraId="388FF58A" w14:textId="670E1CC9" w:rsidR="002C376C" w:rsidRPr="00C109A0" w:rsidRDefault="00946EF7" w:rsidP="00D9211C">
            <w:pPr>
              <w:pStyle w:val="Bullet"/>
              <w:numPr>
                <w:ilvl w:val="1"/>
                <w:numId w:val="30"/>
              </w:numPr>
              <w:tabs>
                <w:tab w:val="clear" w:pos="567"/>
                <w:tab w:val="left" w:pos="589"/>
              </w:tabs>
              <w:spacing w:after="200"/>
              <w:ind w:left="590" w:hanging="590"/>
            </w:pPr>
            <w:r>
              <w:t>Entities</w:t>
            </w:r>
            <w:r w:rsidRPr="00C109A0">
              <w:t xml:space="preserve"> </w:t>
            </w:r>
            <w:r w:rsidR="00045610" w:rsidRPr="00C109A0">
              <w:t xml:space="preserve">should </w:t>
            </w:r>
            <w:r w:rsidR="00702827" w:rsidRPr="00C109A0">
              <w:t>confirm</w:t>
            </w:r>
            <w:r w:rsidR="00FE5E3F" w:rsidRPr="00C109A0">
              <w:t xml:space="preserve"> </w:t>
            </w:r>
            <w:r w:rsidR="00702827" w:rsidRPr="00C109A0">
              <w:t>that they are a</w:t>
            </w:r>
            <w:r w:rsidR="00D22D2A" w:rsidRPr="00C109A0">
              <w:t xml:space="preserve"> </w:t>
            </w:r>
            <w:r w:rsidR="001A0AE4" w:rsidRPr="00C109A0">
              <w:t>public country-by-country</w:t>
            </w:r>
            <w:r w:rsidR="00D22D2A" w:rsidRPr="00C109A0">
              <w:t xml:space="preserve"> </w:t>
            </w:r>
            <w:r w:rsidR="00B33135" w:rsidRPr="00C109A0">
              <w:t xml:space="preserve">reporting </w:t>
            </w:r>
            <w:r w:rsidR="009B62D2" w:rsidRPr="00C109A0">
              <w:t>parent</w:t>
            </w:r>
            <w:r w:rsidR="00B33135" w:rsidRPr="00C109A0">
              <w:t xml:space="preserve"> </w:t>
            </w:r>
            <w:r w:rsidR="00FE5E3F" w:rsidRPr="00C109A0">
              <w:t xml:space="preserve">and that they have complied with their </w:t>
            </w:r>
            <w:r w:rsidR="00444ED9">
              <w:t xml:space="preserve">public </w:t>
            </w:r>
            <w:proofErr w:type="spellStart"/>
            <w:r w:rsidR="00444ED9">
              <w:t>CbCr</w:t>
            </w:r>
            <w:proofErr w:type="spellEnd"/>
            <w:r w:rsidR="00444ED9">
              <w:t xml:space="preserve"> </w:t>
            </w:r>
            <w:r w:rsidR="00FE5E3F" w:rsidRPr="00C109A0">
              <w:t>reporting requirements under the TAA</w:t>
            </w:r>
            <w:r w:rsidR="00905B09" w:rsidRPr="00C109A0">
              <w:t xml:space="preserve">. </w:t>
            </w:r>
          </w:p>
        </w:tc>
      </w:tr>
    </w:tbl>
    <w:p w14:paraId="79D4081C" w14:textId="768DD3C9" w:rsidR="000417CF" w:rsidRDefault="000417CF" w:rsidP="009E0472">
      <w:pPr>
        <w:pStyle w:val="Heading4"/>
      </w:pPr>
      <w:r>
        <w:t>Optional elements</w:t>
      </w:r>
    </w:p>
    <w:p w14:paraId="6E8A1F39" w14:textId="521DD513" w:rsidR="006F3B48" w:rsidRPr="00ED27F7" w:rsidRDefault="006F3B48" w:rsidP="002020DD">
      <w:r w:rsidRPr="002020DD">
        <w:t>Where</w:t>
      </w:r>
      <w:r w:rsidRPr="00ED27F7">
        <w:t xml:space="preserve"> available, </w:t>
      </w:r>
      <w:r w:rsidR="00905B09" w:rsidRPr="00ED27F7">
        <w:t>provide</w:t>
      </w:r>
      <w:r w:rsidR="00702827" w:rsidRPr="00ED27F7">
        <w:t xml:space="preserve"> a link </w:t>
      </w:r>
      <w:r w:rsidR="009B3703" w:rsidRPr="00ED27F7">
        <w:t xml:space="preserve">to </w:t>
      </w:r>
      <w:r w:rsidR="00D56375" w:rsidRPr="00ED27F7">
        <w:t>your</w:t>
      </w:r>
      <w:r w:rsidR="0099154B" w:rsidRPr="00ED27F7">
        <w:t xml:space="preserve"> </w:t>
      </w:r>
      <w:r w:rsidR="00C45510" w:rsidRPr="00ED27F7">
        <w:t xml:space="preserve">completed </w:t>
      </w:r>
      <w:r w:rsidR="0070526E" w:rsidRPr="00ED27F7">
        <w:t xml:space="preserve">public </w:t>
      </w:r>
      <w:proofErr w:type="spellStart"/>
      <w:r w:rsidR="00D22D2A" w:rsidRPr="00ED27F7">
        <w:t>CbC</w:t>
      </w:r>
      <w:proofErr w:type="spellEnd"/>
      <w:r w:rsidR="0099154B" w:rsidRPr="00ED27F7">
        <w:t xml:space="preserve"> report. </w:t>
      </w:r>
    </w:p>
    <w:p w14:paraId="1E9276A0" w14:textId="3169F953" w:rsidR="00676D9C" w:rsidRDefault="00591786" w:rsidP="00D31922">
      <w:pPr>
        <w:pStyle w:val="Heading3"/>
        <w:numPr>
          <w:ilvl w:val="0"/>
          <w:numId w:val="22"/>
        </w:numPr>
      </w:pPr>
      <w:r>
        <w:t xml:space="preserve">Tax Data </w:t>
      </w:r>
    </w:p>
    <w:p w14:paraId="04E9CD5D" w14:textId="77777777" w:rsidR="00BB2AB9" w:rsidRDefault="00BB2AB9" w:rsidP="00D92A31">
      <w:pPr>
        <w:pStyle w:val="Heading4"/>
      </w:pPr>
      <w:r w:rsidRPr="00AF130B">
        <w:t xml:space="preserve">Guidance </w:t>
      </w:r>
    </w:p>
    <w:p w14:paraId="3EA80C56" w14:textId="23733618" w:rsidR="00BB2AB9" w:rsidRPr="00BB2AB9" w:rsidRDefault="00D82DB0" w:rsidP="002020DD">
      <w:r>
        <w:t xml:space="preserve">Public </w:t>
      </w:r>
      <w:proofErr w:type="spellStart"/>
      <w:r>
        <w:t>CbC</w:t>
      </w:r>
      <w:proofErr w:type="spellEnd"/>
      <w:r>
        <w:t xml:space="preserve"> </w:t>
      </w:r>
      <w:r w:rsidRPr="002020DD">
        <w:t>reporters</w:t>
      </w:r>
      <w:r>
        <w:t xml:space="preserve"> may </w:t>
      </w:r>
      <w:r w:rsidR="00F31306">
        <w:t>elect</w:t>
      </w:r>
      <w:r>
        <w:t xml:space="preserve"> to </w:t>
      </w:r>
      <w:r w:rsidR="00C53D5F">
        <w:t>report</w:t>
      </w:r>
      <w:r w:rsidR="001D0E9F">
        <w:t xml:space="preserve"> the</w:t>
      </w:r>
      <w:r w:rsidR="00702EC1">
        <w:t xml:space="preserve"> </w:t>
      </w:r>
      <w:r w:rsidR="008758E5">
        <w:t>‘R</w:t>
      </w:r>
      <w:r w:rsidR="00702EC1">
        <w:t>equirements</w:t>
      </w:r>
      <w:r w:rsidR="008758E5">
        <w:t>’</w:t>
      </w:r>
      <w:r w:rsidR="00702EC1">
        <w:t xml:space="preserve"> </w:t>
      </w:r>
      <w:r w:rsidR="00A04667">
        <w:t xml:space="preserve">and </w:t>
      </w:r>
      <w:r w:rsidR="008758E5">
        <w:t>‘O</w:t>
      </w:r>
      <w:r w:rsidR="00A04667">
        <w:t>ptional elements</w:t>
      </w:r>
      <w:r w:rsidR="008758E5">
        <w:t xml:space="preserve">’ </w:t>
      </w:r>
      <w:r w:rsidR="00A04667">
        <w:t>under ‘Tax Data’ on an aggregated</w:t>
      </w:r>
      <w:r w:rsidR="003E0B03">
        <w:t xml:space="preserve"> basis</w:t>
      </w:r>
      <w:r w:rsidR="00014315">
        <w:t>,</w:t>
      </w:r>
      <w:r w:rsidR="00A04667">
        <w:t xml:space="preserve"> or</w:t>
      </w:r>
      <w:r w:rsidR="00014315">
        <w:t>,</w:t>
      </w:r>
      <w:r w:rsidR="00A04667">
        <w:t xml:space="preserve"> </w:t>
      </w:r>
      <w:r w:rsidR="0088559C">
        <w:t>if</w:t>
      </w:r>
      <w:r w:rsidR="003E0B03">
        <w:t xml:space="preserve"> preferable, </w:t>
      </w:r>
      <w:r w:rsidR="004A5E12">
        <w:t xml:space="preserve">a </w:t>
      </w:r>
      <w:r w:rsidR="00A04667">
        <w:t>disaggregated country-by-country basis</w:t>
      </w:r>
      <w:r w:rsidR="004A5E12">
        <w:t xml:space="preserve"> to align with the </w:t>
      </w:r>
      <w:r w:rsidR="00001918">
        <w:t xml:space="preserve">GRI 207-4 and the </w:t>
      </w:r>
      <w:r w:rsidR="00DA0F38">
        <w:t>p</w:t>
      </w:r>
      <w:r w:rsidR="004A5E12">
        <w:t xml:space="preserve">ublic </w:t>
      </w:r>
      <w:proofErr w:type="spellStart"/>
      <w:r w:rsidR="004A5E12">
        <w:t>CbCr</w:t>
      </w:r>
      <w:proofErr w:type="spellEnd"/>
      <w:r w:rsidR="009F298F">
        <w:t xml:space="preserve"> </w:t>
      </w:r>
      <w:r w:rsidR="009B60BA">
        <w:t>to</w:t>
      </w:r>
      <w:r w:rsidR="009F298F">
        <w:t xml:space="preserve"> </w:t>
      </w:r>
      <w:r w:rsidR="00014315">
        <w:t>minimise</w:t>
      </w:r>
      <w:r w:rsidR="009F298F">
        <w:t xml:space="preserve"> compliance burden</w:t>
      </w:r>
      <w:r w:rsidR="00A04667">
        <w:t xml:space="preserve">. </w:t>
      </w:r>
    </w:p>
    <w:p w14:paraId="22280AFF" w14:textId="696A677B" w:rsidR="007B298E" w:rsidRPr="007B298E" w:rsidRDefault="000417CF" w:rsidP="00F47665">
      <w:pPr>
        <w:pStyle w:val="Heading4"/>
        <w:numPr>
          <w:ilvl w:val="1"/>
          <w:numId w:val="22"/>
        </w:numPr>
        <w:ind w:left="720"/>
      </w:pPr>
      <w:bookmarkStart w:id="34" w:name="_Total_tax_contribution_2"/>
      <w:bookmarkEnd w:id="34"/>
      <w:r>
        <w:lastRenderedPageBreak/>
        <w:t xml:space="preserve">Total tax contribution </w:t>
      </w:r>
    </w:p>
    <w:tbl>
      <w:tblPr>
        <w:tblStyle w:val="ListTable3-Accent2"/>
        <w:tblW w:w="5000" w:type="pct"/>
        <w:tblLook w:val="04A0" w:firstRow="1" w:lastRow="0" w:firstColumn="1" w:lastColumn="0" w:noHBand="0" w:noVBand="1"/>
      </w:tblPr>
      <w:tblGrid>
        <w:gridCol w:w="9636"/>
      </w:tblGrid>
      <w:tr w:rsidR="000417CF" w14:paraId="1128B76A" w14:textId="77777777" w:rsidTr="005102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vAlign w:val="center"/>
          </w:tcPr>
          <w:p w14:paraId="7469175C" w14:textId="5250F4E5" w:rsidR="000417CF" w:rsidRPr="002913D1" w:rsidRDefault="00792696" w:rsidP="005102A1">
            <w:pPr>
              <w:pStyle w:val="Heading5"/>
              <w:spacing w:before="200"/>
              <w:rPr>
                <w:color w:val="FFFFFF" w:themeColor="background1"/>
              </w:rPr>
            </w:pPr>
            <w:r w:rsidRPr="002913D1">
              <w:rPr>
                <w:color w:val="FFFFFF" w:themeColor="background1"/>
              </w:rPr>
              <w:t>V</w:t>
            </w:r>
            <w:r w:rsidR="000417CF" w:rsidRPr="002913D1">
              <w:rPr>
                <w:color w:val="FFFFFF" w:themeColor="background1"/>
              </w:rPr>
              <w:t>TTC Requirement</w:t>
            </w:r>
          </w:p>
          <w:p w14:paraId="7EB216FC" w14:textId="0CDA0C77" w:rsidR="0056310D" w:rsidRPr="00027F67" w:rsidRDefault="00946EF7" w:rsidP="00D9211C">
            <w:pPr>
              <w:pStyle w:val="Bullet"/>
              <w:numPr>
                <w:ilvl w:val="2"/>
                <w:numId w:val="42"/>
              </w:numPr>
              <w:tabs>
                <w:tab w:val="clear" w:pos="567"/>
                <w:tab w:val="left" w:pos="731"/>
              </w:tabs>
              <w:spacing w:after="200"/>
              <w:ind w:left="873" w:hanging="873"/>
            </w:pPr>
            <w:r>
              <w:t>Entities</w:t>
            </w:r>
            <w:r w:rsidRPr="00693565">
              <w:t xml:space="preserve"> </w:t>
            </w:r>
            <w:r w:rsidR="000417CF" w:rsidRPr="00693565">
              <w:t xml:space="preserve">should </w:t>
            </w:r>
            <w:r w:rsidR="00E9485D">
              <w:t>report</w:t>
            </w:r>
            <w:r w:rsidR="000417CF">
              <w:t xml:space="preserve"> their total Australian </w:t>
            </w:r>
            <w:r w:rsidR="009C0798">
              <w:t xml:space="preserve">corporate </w:t>
            </w:r>
            <w:r w:rsidR="00D875AF">
              <w:t xml:space="preserve">income </w:t>
            </w:r>
            <w:r w:rsidR="000417CF">
              <w:t xml:space="preserve">tax </w:t>
            </w:r>
            <w:r w:rsidR="0019685B">
              <w:t>paid</w:t>
            </w:r>
            <w:r w:rsidR="00EA6BDA">
              <w:t>.</w:t>
            </w:r>
          </w:p>
        </w:tc>
      </w:tr>
    </w:tbl>
    <w:p w14:paraId="62110658" w14:textId="77777777" w:rsidR="000417CF" w:rsidRDefault="000417CF" w:rsidP="000417CF">
      <w:pPr>
        <w:pStyle w:val="Heading5"/>
      </w:pPr>
      <w:r>
        <w:t xml:space="preserve">Optional elements </w:t>
      </w:r>
    </w:p>
    <w:p w14:paraId="6835FB26" w14:textId="2AAC0200" w:rsidR="009B5E55" w:rsidRPr="00601E45" w:rsidRDefault="00E9485D" w:rsidP="00601E45">
      <w:pPr>
        <w:pStyle w:val="NumberedParagraphalpha"/>
      </w:pPr>
      <w:r w:rsidRPr="00601E45">
        <w:t>Report</w:t>
      </w:r>
      <w:r w:rsidR="00E15A2E" w:rsidRPr="00601E45">
        <w:t xml:space="preserve"> on</w:t>
      </w:r>
      <w:r w:rsidR="00760AFF" w:rsidRPr="00601E45">
        <w:t xml:space="preserve"> global group </w:t>
      </w:r>
      <w:r w:rsidR="008760E2" w:rsidRPr="00601E45">
        <w:t xml:space="preserve">total </w:t>
      </w:r>
      <w:r w:rsidR="00091C84" w:rsidRPr="00601E45">
        <w:t xml:space="preserve">income </w:t>
      </w:r>
      <w:r w:rsidR="00760AFF" w:rsidRPr="00601E45">
        <w:t xml:space="preserve">tax </w:t>
      </w:r>
      <w:r w:rsidR="00D55E0B" w:rsidRPr="00601E45">
        <w:t>paid</w:t>
      </w:r>
      <w:r w:rsidR="006542D1" w:rsidRPr="00601E45">
        <w:t>.</w:t>
      </w:r>
    </w:p>
    <w:p w14:paraId="40BA3698" w14:textId="6B090F77" w:rsidR="00A32701" w:rsidRPr="00601E45" w:rsidRDefault="00E9485D" w:rsidP="00601E45">
      <w:pPr>
        <w:pStyle w:val="NumberedParagraphalpha"/>
      </w:pPr>
      <w:r w:rsidRPr="00601E45">
        <w:t xml:space="preserve">Report </w:t>
      </w:r>
      <w:r w:rsidR="000417CF" w:rsidRPr="00601E45">
        <w:t>other Australian taxes and imposts paid to Government, for example Petroleum Resource</w:t>
      </w:r>
      <w:r w:rsidR="007F7D9D" w:rsidRPr="00601E45">
        <w:t xml:space="preserve"> </w:t>
      </w:r>
      <w:r w:rsidR="000417CF" w:rsidRPr="00601E45">
        <w:t>Rent Tax, royalties, excises, payroll taxes, stamp duties, fringe benefits tax and state taxes</w:t>
      </w:r>
      <w:r w:rsidR="00DD70E9" w:rsidRPr="00601E45">
        <w:t>.</w:t>
      </w:r>
    </w:p>
    <w:p w14:paraId="1126F3BB" w14:textId="241CE289" w:rsidR="000417CF" w:rsidRPr="00601E45" w:rsidRDefault="00E9485D" w:rsidP="00601E45">
      <w:pPr>
        <w:pStyle w:val="NumberedParagraphalpha"/>
      </w:pPr>
      <w:r w:rsidRPr="00601E45">
        <w:t>Report</w:t>
      </w:r>
      <w:r w:rsidR="000417CF" w:rsidRPr="00601E45" w:rsidDel="00C81BF6">
        <w:t xml:space="preserve"> Government imposts collected by the </w:t>
      </w:r>
      <w:r w:rsidR="00053CE3" w:rsidRPr="00601E45">
        <w:t>entity</w:t>
      </w:r>
      <w:r w:rsidR="00053CE3" w:rsidRPr="00601E45" w:rsidDel="00C81BF6">
        <w:t xml:space="preserve"> </w:t>
      </w:r>
      <w:r w:rsidR="000417CF" w:rsidRPr="00601E45" w:rsidDel="00C81BF6">
        <w:t xml:space="preserve">on behalf of others, for example, GST and Pay </w:t>
      </w:r>
      <w:proofErr w:type="gramStart"/>
      <w:r w:rsidR="000417CF" w:rsidRPr="00601E45" w:rsidDel="00C81BF6">
        <w:t>As</w:t>
      </w:r>
      <w:proofErr w:type="gramEnd"/>
      <w:r w:rsidR="000417CF" w:rsidRPr="00601E45" w:rsidDel="00C81BF6">
        <w:t xml:space="preserve"> You Go withholding taxes.</w:t>
      </w:r>
    </w:p>
    <w:p w14:paraId="6E57AF9A" w14:textId="30B62689" w:rsidR="001A4AF8" w:rsidRDefault="001A4AF8" w:rsidP="005C7B50">
      <w:pPr>
        <w:pStyle w:val="Heading5"/>
      </w:pPr>
      <w:r w:rsidRPr="00AF130B">
        <w:t xml:space="preserve">Guidance </w:t>
      </w:r>
    </w:p>
    <w:p w14:paraId="3501C164" w14:textId="77777777" w:rsidR="00E80B82" w:rsidRDefault="007018C5" w:rsidP="00E80B82">
      <w:r>
        <w:t xml:space="preserve">The Board acknowledges there </w:t>
      </w:r>
      <w:r w:rsidR="006A266E">
        <w:t>can be</w:t>
      </w:r>
      <w:r>
        <w:t xml:space="preserve"> nuances in how tax is reported and aims to </w:t>
      </w:r>
      <w:r w:rsidR="006A266E">
        <w:t>allow</w:t>
      </w:r>
      <w:r>
        <w:t xml:space="preserve"> flexibility to VTTC participants. Where the optional elements are adopted, entities may wish to specify quantitative amounts where taxes are collected on behalf of others </w:t>
      </w:r>
      <w:r w:rsidR="00310612">
        <w:t>(for example indirect taxes)</w:t>
      </w:r>
      <w:r>
        <w:t xml:space="preserve"> and where taxes are paid by the relevant entity.</w:t>
      </w:r>
      <w:bookmarkStart w:id="35" w:name="_Effective_tax_rates_2"/>
      <w:bookmarkStart w:id="36" w:name="_Effective_tax_rates"/>
      <w:bookmarkEnd w:id="35"/>
      <w:bookmarkEnd w:id="36"/>
    </w:p>
    <w:p w14:paraId="44E4E32D" w14:textId="3555BB5D" w:rsidR="002D7ED8" w:rsidRDefault="002D7ED8" w:rsidP="00F47665">
      <w:pPr>
        <w:pStyle w:val="Heading4"/>
        <w:numPr>
          <w:ilvl w:val="1"/>
          <w:numId w:val="22"/>
        </w:numPr>
        <w:ind w:left="720"/>
      </w:pPr>
      <w:r>
        <w:t xml:space="preserve">Effective tax rates – Australia and global </w:t>
      </w:r>
    </w:p>
    <w:tbl>
      <w:tblPr>
        <w:tblStyle w:val="ListTable3-Accent2"/>
        <w:tblW w:w="5000" w:type="pct"/>
        <w:tblLook w:val="04A0" w:firstRow="1" w:lastRow="0" w:firstColumn="1" w:lastColumn="0" w:noHBand="0" w:noVBand="1"/>
      </w:tblPr>
      <w:tblGrid>
        <w:gridCol w:w="9636"/>
      </w:tblGrid>
      <w:tr w:rsidR="002D7ED8" w14:paraId="7962CAA1" w14:textId="77777777" w:rsidTr="004647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vAlign w:val="center"/>
          </w:tcPr>
          <w:p w14:paraId="1BEC00F5" w14:textId="4CB4956F" w:rsidR="002D7ED8" w:rsidRPr="002913D1" w:rsidRDefault="00792696" w:rsidP="004647BD">
            <w:pPr>
              <w:pStyle w:val="Heading5"/>
              <w:spacing w:before="200"/>
              <w:rPr>
                <w:color w:val="FFFFFF" w:themeColor="background1"/>
              </w:rPr>
            </w:pPr>
            <w:r w:rsidRPr="002913D1">
              <w:rPr>
                <w:color w:val="FFFFFF" w:themeColor="background1"/>
              </w:rPr>
              <w:t>V</w:t>
            </w:r>
            <w:r w:rsidR="002D7ED8" w:rsidRPr="002913D1">
              <w:rPr>
                <w:color w:val="FFFFFF" w:themeColor="background1"/>
              </w:rPr>
              <w:t>TTC Requirement</w:t>
            </w:r>
          </w:p>
          <w:p w14:paraId="47ED65AF" w14:textId="0798A5E1" w:rsidR="00131133" w:rsidRPr="00E667B9" w:rsidRDefault="00946EF7" w:rsidP="00D9211C">
            <w:pPr>
              <w:pStyle w:val="Bullet"/>
              <w:numPr>
                <w:ilvl w:val="2"/>
                <w:numId w:val="31"/>
              </w:numPr>
              <w:tabs>
                <w:tab w:val="clear" w:pos="567"/>
                <w:tab w:val="left" w:pos="731"/>
              </w:tabs>
              <w:spacing w:after="200"/>
            </w:pPr>
            <w:r>
              <w:t>Entities</w:t>
            </w:r>
            <w:r w:rsidRPr="00693565">
              <w:t xml:space="preserve"> </w:t>
            </w:r>
            <w:r w:rsidR="002D7ED8" w:rsidRPr="00693565">
              <w:t xml:space="preserve">should </w:t>
            </w:r>
            <w:r w:rsidR="00E15A2E">
              <w:t>report</w:t>
            </w:r>
            <w:r w:rsidR="002D7ED8" w:rsidRPr="00693565">
              <w:t xml:space="preserve"> </w:t>
            </w:r>
            <w:r w:rsidR="002D7ED8">
              <w:t>an Australian accounting effective tax rate (ETR) and a global ETR for the worldwide accounting consolidated group calculated based on tax expense</w:t>
            </w:r>
            <w:r w:rsidR="0082379F">
              <w:t xml:space="preserve"> (income)</w:t>
            </w:r>
            <w:r w:rsidR="00E95B16">
              <w:t>.</w:t>
            </w:r>
            <w:r w:rsidR="008A4B0D">
              <w:t xml:space="preserve"> </w:t>
            </w:r>
            <w:r>
              <w:t>Entities</w:t>
            </w:r>
            <w:r w:rsidR="008A4B0D">
              <w:t xml:space="preserve"> should </w:t>
            </w:r>
            <w:r w:rsidR="00E667B9" w:rsidRPr="00EA54CD">
              <w:t>indicate the basis of their ETR calculations and any underlying assumptions</w:t>
            </w:r>
            <w:r w:rsidR="00E667B9">
              <w:t>.</w:t>
            </w:r>
          </w:p>
        </w:tc>
      </w:tr>
    </w:tbl>
    <w:p w14:paraId="5E047D72" w14:textId="77777777" w:rsidR="002D7ED8" w:rsidRDefault="002D7ED8" w:rsidP="002D7ED8">
      <w:pPr>
        <w:pStyle w:val="Heading5"/>
      </w:pPr>
      <w:r>
        <w:t xml:space="preserve">Optional elements </w:t>
      </w:r>
    </w:p>
    <w:p w14:paraId="4BACC25F" w14:textId="5DEF2457" w:rsidR="002D7ED8" w:rsidRPr="0011166C" w:rsidRDefault="002D7ED8" w:rsidP="00D9211C">
      <w:pPr>
        <w:pStyle w:val="NumberedParagraphalpha"/>
        <w:numPr>
          <w:ilvl w:val="3"/>
          <w:numId w:val="54"/>
        </w:numPr>
      </w:pPr>
      <w:r w:rsidRPr="0011166C">
        <w:t xml:space="preserve">Provide a description of the primary drivers of the gap between </w:t>
      </w:r>
      <w:r w:rsidR="00191FBB" w:rsidRPr="0011166C">
        <w:t>ETR</w:t>
      </w:r>
      <w:r w:rsidRPr="0011166C">
        <w:t xml:space="preserve"> and the weighted average statutory rate</w:t>
      </w:r>
      <w:r w:rsidR="00FA6B66" w:rsidRPr="0011166C">
        <w:t>.</w:t>
      </w:r>
    </w:p>
    <w:p w14:paraId="513FB23B" w14:textId="77777777" w:rsidR="00EE46B6" w:rsidRDefault="00EE46B6">
      <w:pPr>
        <w:rPr>
          <w:rFonts w:ascii="Georgia" w:hAnsi="Georgia" w:cs="Arial"/>
          <w:iCs/>
          <w:color w:val="595959"/>
          <w:kern w:val="32"/>
          <w:sz w:val="25"/>
          <w:szCs w:val="36"/>
          <w14:numForm w14:val="lining"/>
          <w14:numSpacing w14:val="proportional"/>
        </w:rPr>
      </w:pPr>
      <w:r>
        <w:br w:type="page"/>
      </w:r>
    </w:p>
    <w:p w14:paraId="3DA98CC1" w14:textId="7F71F136" w:rsidR="002D7ED8" w:rsidRPr="008D4C9A" w:rsidRDefault="002D7ED8" w:rsidP="002D7ED8">
      <w:pPr>
        <w:pStyle w:val="Heading5"/>
      </w:pPr>
      <w:r>
        <w:lastRenderedPageBreak/>
        <w:t>Guidance</w:t>
      </w:r>
    </w:p>
    <w:p w14:paraId="4203B54C" w14:textId="63E2BBBB" w:rsidR="00C0466E" w:rsidRDefault="00E86AF1" w:rsidP="002D7ED8">
      <w:r w:rsidRPr="00877312">
        <w:t xml:space="preserve">The </w:t>
      </w:r>
      <w:r w:rsidR="00B21500" w:rsidRPr="00566B1D">
        <w:t xml:space="preserve">Australian Accounting Standards Board </w:t>
      </w:r>
      <w:r w:rsidR="00B21500">
        <w:t xml:space="preserve">(AASB) </w:t>
      </w:r>
      <w:r w:rsidRPr="00877312">
        <w:t>developed</w:t>
      </w:r>
      <w:r w:rsidR="00247147">
        <w:t xml:space="preserve"> draft</w:t>
      </w:r>
      <w:r w:rsidRPr="00877312">
        <w:t xml:space="preserve"> guidance material to assist </w:t>
      </w:r>
      <w:r w:rsidR="00946EF7">
        <w:rPr>
          <w:rFonts w:asciiTheme="minorHAnsi" w:hAnsiTheme="minorHAnsi" w:cstheme="minorHAnsi"/>
        </w:rPr>
        <w:t>entities</w:t>
      </w:r>
      <w:r w:rsidR="00946EF7" w:rsidRPr="002F5B2C">
        <w:rPr>
          <w:rFonts w:asciiTheme="minorHAnsi" w:hAnsiTheme="minorHAnsi" w:cstheme="minorHAnsi"/>
        </w:rPr>
        <w:t xml:space="preserve"> </w:t>
      </w:r>
      <w:r w:rsidRPr="00877312">
        <w:t xml:space="preserve">in meeting the </w:t>
      </w:r>
      <w:r w:rsidR="00382E3C">
        <w:t>requirements of the</w:t>
      </w:r>
      <w:r w:rsidRPr="00877312">
        <w:t xml:space="preserve"> </w:t>
      </w:r>
      <w:r w:rsidR="00DB0051">
        <w:t>V</w:t>
      </w:r>
      <w:r w:rsidRPr="00877312">
        <w:t>TTC.</w:t>
      </w:r>
      <w:r w:rsidR="007C58B9">
        <w:rPr>
          <w:rStyle w:val="FootnoteReference"/>
        </w:rPr>
        <w:footnoteReference w:id="4"/>
      </w:r>
      <w:r w:rsidRPr="00877312">
        <w:t xml:space="preserve"> In particular, the AASB guidance establishes a common definition of ETR </w:t>
      </w:r>
      <w:r w:rsidR="0043224A">
        <w:t xml:space="preserve">(the </w:t>
      </w:r>
      <w:r w:rsidR="00D0349B">
        <w:t>‘</w:t>
      </w:r>
      <w:r w:rsidR="0043224A">
        <w:t>TTC ETR</w:t>
      </w:r>
      <w:r w:rsidR="00D0349B">
        <w:t>’</w:t>
      </w:r>
      <w:r w:rsidR="0043224A">
        <w:t xml:space="preserve">) </w:t>
      </w:r>
      <w:r w:rsidRPr="00877312">
        <w:t>to ensure consistency and comparability</w:t>
      </w:r>
      <w:r w:rsidR="00C0466E">
        <w:t>.</w:t>
      </w:r>
      <w:r w:rsidR="008652AD">
        <w:rPr>
          <w:rStyle w:val="FootnoteReference"/>
        </w:rPr>
        <w:footnoteReference w:id="5"/>
      </w:r>
      <w:r w:rsidRPr="00877312">
        <w:t xml:space="preserve"> </w:t>
      </w:r>
      <w:r w:rsidR="005C3C95">
        <w:t>Entities</w:t>
      </w:r>
      <w:r w:rsidR="005C3C95" w:rsidRPr="00877312">
        <w:t xml:space="preserve"> are </w:t>
      </w:r>
      <w:r w:rsidR="005C3C95">
        <w:t>encouraged</w:t>
      </w:r>
      <w:r w:rsidR="005C3C95" w:rsidRPr="00877312">
        <w:t xml:space="preserve"> to follow the AASB guidance in preparing their </w:t>
      </w:r>
      <w:r w:rsidR="005C3C95">
        <w:t>V</w:t>
      </w:r>
      <w:r w:rsidR="005C3C95" w:rsidRPr="00877312">
        <w:t xml:space="preserve">TTC </w:t>
      </w:r>
      <w:r w:rsidR="005C3C95">
        <w:t>reports.</w:t>
      </w:r>
      <w:r w:rsidR="005C3C95">
        <w:rPr>
          <w:rStyle w:val="FootnoteReference"/>
        </w:rPr>
        <w:footnoteReference w:id="6"/>
      </w:r>
      <w:r w:rsidR="005C3C95">
        <w:t xml:space="preserve"> </w:t>
      </w:r>
    </w:p>
    <w:p w14:paraId="1F47EDEA" w14:textId="711E4250" w:rsidR="005A2EF3" w:rsidRDefault="00F36676" w:rsidP="002D7ED8">
      <w:r w:rsidRPr="00356588">
        <w:t xml:space="preserve">The Board acknowledges that an ETR can be calculated on different bases (for example total profit vs underlying earnings). The VTTC provides flexibility in the use </w:t>
      </w:r>
      <w:r w:rsidR="00187DE9">
        <w:t xml:space="preserve">of </w:t>
      </w:r>
      <w:r w:rsidRPr="00356588">
        <w:t>ETR method</w:t>
      </w:r>
      <w:r w:rsidR="00C428D1">
        <w:t>. Whilst the Board encourages use of the AASB TTC ETR, entities may use other methods</w:t>
      </w:r>
      <w:r w:rsidRPr="00356588">
        <w:t xml:space="preserve"> such as the AASB accounting ETR or IFRS ratios. However, to provide users </w:t>
      </w:r>
      <w:r w:rsidR="00655229" w:rsidRPr="009F5F77">
        <w:t>of the tax transparency information</w:t>
      </w:r>
      <w:r w:rsidR="00655229" w:rsidRPr="00356588">
        <w:t xml:space="preserve"> </w:t>
      </w:r>
      <w:r w:rsidRPr="00356588">
        <w:t xml:space="preserve">with clarity and </w:t>
      </w:r>
      <w:r w:rsidR="00187DE9">
        <w:t xml:space="preserve">to </w:t>
      </w:r>
      <w:r w:rsidRPr="00356588">
        <w:t>prevent misleading information, an entity should clearly identify the basis of calculation adopted and any underlying assumptions.</w:t>
      </w:r>
      <w:r>
        <w:t xml:space="preserve"> </w:t>
      </w:r>
      <w:r w:rsidR="00CA671F">
        <w:t xml:space="preserve">An entity should apply the same ETR method year on year to promote consistency and comparability. </w:t>
      </w:r>
    </w:p>
    <w:p w14:paraId="3259CBE6" w14:textId="1D192502" w:rsidR="00A32701" w:rsidRDefault="002D7ED8" w:rsidP="00F91679">
      <w:r>
        <w:t xml:space="preserve">The global ETR should be calculated ‘for the worldwide accounting consolidated group’ of which the Australian operations form a part. </w:t>
      </w:r>
    </w:p>
    <w:p w14:paraId="285444BD" w14:textId="325D60B5" w:rsidR="002B1EEA" w:rsidRDefault="005118C0" w:rsidP="0090686F">
      <w:pPr>
        <w:pStyle w:val="Heading4"/>
        <w:numPr>
          <w:ilvl w:val="1"/>
          <w:numId w:val="22"/>
        </w:numPr>
        <w:ind w:left="720"/>
      </w:pPr>
      <w:bookmarkStart w:id="37" w:name="_A_reconciliation_to"/>
      <w:bookmarkEnd w:id="37"/>
      <w:r>
        <w:t>A r</w:t>
      </w:r>
      <w:r w:rsidR="002B1EEA">
        <w:t xml:space="preserve">econciliation to ATO </w:t>
      </w:r>
      <w:r w:rsidR="00F55BDB">
        <w:t>C</w:t>
      </w:r>
      <w:r w:rsidR="002B1EEA">
        <w:t xml:space="preserve">orporate </w:t>
      </w:r>
      <w:r w:rsidR="00F55BDB">
        <w:t>T</w:t>
      </w:r>
      <w:r w:rsidR="002B1EEA">
        <w:t xml:space="preserve">ax </w:t>
      </w:r>
      <w:r w:rsidR="00F55BDB">
        <w:t>T</w:t>
      </w:r>
      <w:r w:rsidR="002B1EEA">
        <w:t xml:space="preserve">ransparency </w:t>
      </w:r>
      <w:r w:rsidR="00F55BDB">
        <w:t>D</w:t>
      </w:r>
      <w:r w:rsidR="002B1EEA">
        <w:t>isclosures</w:t>
      </w:r>
    </w:p>
    <w:p w14:paraId="373DBBA6" w14:textId="77777777" w:rsidR="00D97A7B" w:rsidRDefault="002B1EEA" w:rsidP="002B1EEA">
      <w:pPr>
        <w:pStyle w:val="Heading5"/>
      </w:pPr>
      <w:r>
        <w:t xml:space="preserve">Optional elements </w:t>
      </w:r>
    </w:p>
    <w:p w14:paraId="41BEB773" w14:textId="20E01D62" w:rsidR="004E18B7" w:rsidRPr="00BC60C9" w:rsidRDefault="00034C6A" w:rsidP="00D9211C">
      <w:pPr>
        <w:pStyle w:val="NumberedParagraphalpha"/>
        <w:numPr>
          <w:ilvl w:val="3"/>
          <w:numId w:val="66"/>
        </w:numPr>
      </w:pPr>
      <w:r w:rsidRPr="00F91679">
        <w:t>For e</w:t>
      </w:r>
      <w:r w:rsidR="00946EF7" w:rsidRPr="00BC60C9">
        <w:t xml:space="preserve">ntities </w:t>
      </w:r>
      <w:r w:rsidR="004E18B7" w:rsidRPr="00BC60C9">
        <w:t>that are subject to the ATO Corporate Tax Transparency Disclosures</w:t>
      </w:r>
      <w:r w:rsidRPr="00F91679">
        <w:t>,</w:t>
      </w:r>
      <w:r w:rsidR="006438BC" w:rsidRPr="00F91679">
        <w:t xml:space="preserve"> </w:t>
      </w:r>
      <w:r w:rsidR="004E18B7" w:rsidRPr="00BC60C9">
        <w:t>provide a reconciliation</w:t>
      </w:r>
      <w:r w:rsidR="006438BC" w:rsidRPr="00F91679">
        <w:t xml:space="preserve"> or </w:t>
      </w:r>
      <w:r w:rsidR="00075F54" w:rsidRPr="00F91679">
        <w:t xml:space="preserve">a </w:t>
      </w:r>
      <w:r w:rsidR="006438BC" w:rsidRPr="00F91679">
        <w:t>qualitative narrative</w:t>
      </w:r>
      <w:r w:rsidR="004E18B7" w:rsidRPr="00BC60C9">
        <w:t xml:space="preserve"> of </w:t>
      </w:r>
      <w:r w:rsidR="00075F54" w:rsidRPr="00F91679">
        <w:t xml:space="preserve">any material differences in the </w:t>
      </w:r>
      <w:r w:rsidR="004E18B7" w:rsidRPr="00BC60C9">
        <w:t xml:space="preserve">data published by the ATO against the data in the </w:t>
      </w:r>
      <w:r w:rsidR="00DB0051" w:rsidRPr="00BC60C9">
        <w:t>V</w:t>
      </w:r>
      <w:r w:rsidR="004E18B7" w:rsidRPr="00BC60C9">
        <w:t>TTC</w:t>
      </w:r>
      <w:r w:rsidR="00A971CB">
        <w:t xml:space="preserve"> for the same period</w:t>
      </w:r>
      <w:r w:rsidR="00075F54" w:rsidRPr="00F91679">
        <w:t>.</w:t>
      </w:r>
    </w:p>
    <w:p w14:paraId="35AE448F" w14:textId="488BCD1B" w:rsidR="00601A45" w:rsidRDefault="00601A45" w:rsidP="00601A45">
      <w:pPr>
        <w:pStyle w:val="Heading5"/>
      </w:pPr>
      <w:r>
        <w:t>Guidance</w:t>
      </w:r>
    </w:p>
    <w:p w14:paraId="21C1CF6E" w14:textId="110CCDAD" w:rsidR="00A95E69" w:rsidRPr="00A21B42" w:rsidRDefault="00A95E69" w:rsidP="00CA0924">
      <w:r w:rsidRPr="00A21B42">
        <w:t xml:space="preserve">The </w:t>
      </w:r>
      <w:r>
        <w:t>V</w:t>
      </w:r>
      <w:r w:rsidRPr="00A21B42">
        <w:t xml:space="preserve">TTC provides an opportunity for </w:t>
      </w:r>
      <w:r>
        <w:t>an entity</w:t>
      </w:r>
      <w:r w:rsidRPr="00A21B42">
        <w:t xml:space="preserve"> to provide meaningful context to the information published annually by the ATO under the mandatory corporate tax transparency measures.</w:t>
      </w:r>
    </w:p>
    <w:p w14:paraId="572C0CD5" w14:textId="7B69ABC2" w:rsidR="00C65B96" w:rsidRPr="00EB31EB" w:rsidRDefault="00C65B96" w:rsidP="00CA0924">
      <w:r w:rsidRPr="00356588">
        <w:t xml:space="preserve">The Board acknowledges that there may be a timing misalignment with the </w:t>
      </w:r>
      <w:r w:rsidR="002056D8">
        <w:t>preparation</w:t>
      </w:r>
      <w:r w:rsidRPr="00356588">
        <w:t xml:space="preserve"> and publication of </w:t>
      </w:r>
      <w:r w:rsidR="00507FDC">
        <w:t xml:space="preserve">an </w:t>
      </w:r>
      <w:r w:rsidR="00FB0994">
        <w:t>entity’s</w:t>
      </w:r>
      <w:r w:rsidRPr="00356588">
        <w:t xml:space="preserve"> VTTC </w:t>
      </w:r>
      <w:r w:rsidR="00507FDC">
        <w:t xml:space="preserve">report </w:t>
      </w:r>
      <w:r w:rsidRPr="00356588">
        <w:t>and the ATO’s publication of tax transparency data</w:t>
      </w:r>
      <w:r w:rsidR="00507FDC">
        <w:t xml:space="preserve"> for the same period</w:t>
      </w:r>
      <w:r w:rsidRPr="00356588">
        <w:t xml:space="preserve">. To </w:t>
      </w:r>
      <w:r w:rsidR="0035702E">
        <w:t xml:space="preserve">provide flexibility </w:t>
      </w:r>
      <w:r w:rsidRPr="00356588">
        <w:t xml:space="preserve">and </w:t>
      </w:r>
      <w:r w:rsidR="0035702E">
        <w:t xml:space="preserve">in </w:t>
      </w:r>
      <w:r w:rsidRPr="00356588">
        <w:t>recognising its inapplicability to non</w:t>
      </w:r>
      <w:r w:rsidRPr="00356588">
        <w:noBreakHyphen/>
        <w:t xml:space="preserve">corporate entities, as well as the option for entities to present </w:t>
      </w:r>
      <w:r w:rsidR="0035702E">
        <w:t>this information</w:t>
      </w:r>
      <w:r w:rsidR="0001084B">
        <w:t xml:space="preserve"> </w:t>
      </w:r>
      <w:r w:rsidRPr="00356588">
        <w:t>through an alternative foru</w:t>
      </w:r>
      <w:r>
        <w:t xml:space="preserve">m, </w:t>
      </w:r>
      <w:r w:rsidRPr="00356588">
        <w:t xml:space="preserve">completion is </w:t>
      </w:r>
      <w:r w:rsidRPr="004E550C">
        <w:t>optional.</w:t>
      </w:r>
    </w:p>
    <w:p w14:paraId="530EE495" w14:textId="37CA4117" w:rsidR="00A95E69" w:rsidRDefault="00A95E69" w:rsidP="00CA0924">
      <w:r w:rsidRPr="002A260B">
        <w:t xml:space="preserve">This </w:t>
      </w:r>
      <w:r>
        <w:t>reconciliation</w:t>
      </w:r>
      <w:r w:rsidRPr="002A260B">
        <w:t xml:space="preserve"> will </w:t>
      </w:r>
      <w:r w:rsidR="006E24C8">
        <w:t>require</w:t>
      </w:r>
      <w:r w:rsidRPr="002A260B">
        <w:t xml:space="preserve"> </w:t>
      </w:r>
      <w:r>
        <w:rPr>
          <w:rFonts w:asciiTheme="minorHAnsi" w:hAnsiTheme="minorHAnsi" w:cstheme="minorHAnsi"/>
        </w:rPr>
        <w:t>entities</w:t>
      </w:r>
      <w:r w:rsidRPr="002F5B2C">
        <w:rPr>
          <w:rFonts w:asciiTheme="minorHAnsi" w:hAnsiTheme="minorHAnsi" w:cstheme="minorHAnsi"/>
        </w:rPr>
        <w:t xml:space="preserve"> </w:t>
      </w:r>
      <w:r w:rsidR="006E24C8">
        <w:rPr>
          <w:rFonts w:asciiTheme="minorHAnsi" w:hAnsiTheme="minorHAnsi" w:cstheme="minorHAnsi"/>
        </w:rPr>
        <w:t>to</w:t>
      </w:r>
      <w:r w:rsidRPr="002F5B2C">
        <w:rPr>
          <w:rFonts w:asciiTheme="minorHAnsi" w:hAnsiTheme="minorHAnsi" w:cstheme="minorHAnsi"/>
        </w:rPr>
        <w:t xml:space="preserve"> </w:t>
      </w:r>
      <w:r>
        <w:t>indicat</w:t>
      </w:r>
      <w:r w:rsidR="006E24C8">
        <w:t>e</w:t>
      </w:r>
      <w:r w:rsidRPr="002A260B">
        <w:t xml:space="preserve"> which entities in the ATO disclosures are covered by </w:t>
      </w:r>
      <w:r>
        <w:t>the V</w:t>
      </w:r>
      <w:r w:rsidRPr="002A260B">
        <w:t>TTC</w:t>
      </w:r>
      <w:r>
        <w:t>.</w:t>
      </w:r>
    </w:p>
    <w:p w14:paraId="5615AF81" w14:textId="71D80671" w:rsidR="00CA0924" w:rsidRDefault="00CA0924" w:rsidP="00CA0924">
      <w:r w:rsidRPr="00F91679">
        <w:t xml:space="preserve">Entities </w:t>
      </w:r>
      <w:r w:rsidRPr="00F42443">
        <w:t xml:space="preserve">with no material </w:t>
      </w:r>
      <w:r>
        <w:t>differences between the data sets</w:t>
      </w:r>
      <w:r w:rsidRPr="00F42443">
        <w:t xml:space="preserve"> should state this.</w:t>
      </w:r>
    </w:p>
    <w:p w14:paraId="4D92FBEA" w14:textId="3855E996" w:rsidR="00591786" w:rsidRDefault="001162CB" w:rsidP="00D31922">
      <w:pPr>
        <w:pStyle w:val="Heading3"/>
        <w:numPr>
          <w:ilvl w:val="0"/>
          <w:numId w:val="22"/>
        </w:numPr>
      </w:pPr>
      <w:bookmarkStart w:id="38" w:name="_Approach_to_Tax_1"/>
      <w:bookmarkEnd w:id="38"/>
      <w:r>
        <w:lastRenderedPageBreak/>
        <w:t>Overall a</w:t>
      </w:r>
      <w:r w:rsidR="00591786">
        <w:t xml:space="preserve">pproach to </w:t>
      </w:r>
      <w:r>
        <w:t>t</w:t>
      </w:r>
      <w:r w:rsidR="00591786">
        <w:t xml:space="preserve">ax </w:t>
      </w:r>
    </w:p>
    <w:p w14:paraId="28FE149A" w14:textId="484032AF" w:rsidR="001162CB" w:rsidRPr="001162CB" w:rsidRDefault="001162CB" w:rsidP="00F47665">
      <w:pPr>
        <w:pStyle w:val="Heading4"/>
        <w:numPr>
          <w:ilvl w:val="1"/>
          <w:numId w:val="22"/>
        </w:numPr>
        <w:ind w:left="720"/>
      </w:pPr>
      <w:bookmarkStart w:id="39" w:name="_Approach_to_risk"/>
      <w:bookmarkEnd w:id="39"/>
      <w:r>
        <w:t>Approach to tax</w:t>
      </w:r>
      <w:r w:rsidR="001A082A">
        <w:rPr>
          <w:rStyle w:val="FootnoteReference"/>
        </w:rPr>
        <w:footnoteReference w:id="7"/>
      </w:r>
    </w:p>
    <w:tbl>
      <w:tblPr>
        <w:tblStyle w:val="ListTable3-Accent2"/>
        <w:tblW w:w="5000" w:type="pct"/>
        <w:tblLook w:val="04A0" w:firstRow="1" w:lastRow="0" w:firstColumn="1" w:lastColumn="0" w:noHBand="0" w:noVBand="1"/>
      </w:tblPr>
      <w:tblGrid>
        <w:gridCol w:w="9636"/>
      </w:tblGrid>
      <w:tr w:rsidR="00F42FC6" w14:paraId="6E4156C6" w14:textId="77777777" w:rsidTr="005B5D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tcPr>
          <w:p w14:paraId="20567D62" w14:textId="19B31F19" w:rsidR="00F42FC6" w:rsidRPr="002913D1" w:rsidRDefault="00792696" w:rsidP="00FA23D9">
            <w:pPr>
              <w:pStyle w:val="Heading5"/>
              <w:spacing w:before="200"/>
              <w:rPr>
                <w:color w:val="FFFFFF" w:themeColor="background1"/>
              </w:rPr>
            </w:pPr>
            <w:r w:rsidRPr="002913D1">
              <w:rPr>
                <w:color w:val="FFFFFF" w:themeColor="background1"/>
              </w:rPr>
              <w:t>V</w:t>
            </w:r>
            <w:r w:rsidR="00AB142E" w:rsidRPr="002913D1">
              <w:rPr>
                <w:color w:val="FFFFFF" w:themeColor="background1"/>
              </w:rPr>
              <w:t xml:space="preserve">TTC requirement </w:t>
            </w:r>
          </w:p>
          <w:p w14:paraId="0062ED96" w14:textId="297991BA" w:rsidR="00AB142E" w:rsidRDefault="00946EF7" w:rsidP="00D9211C">
            <w:pPr>
              <w:pStyle w:val="Bullet"/>
              <w:numPr>
                <w:ilvl w:val="2"/>
                <w:numId w:val="32"/>
              </w:numPr>
              <w:tabs>
                <w:tab w:val="clear" w:pos="567"/>
                <w:tab w:val="left" w:pos="731"/>
              </w:tabs>
              <w:spacing w:after="200"/>
            </w:pPr>
            <w:r>
              <w:t>Entities</w:t>
            </w:r>
            <w:r w:rsidRPr="00045CBC">
              <w:t xml:space="preserve"> </w:t>
            </w:r>
            <w:r w:rsidR="00B4605C" w:rsidRPr="00045CBC">
              <w:t xml:space="preserve">should provide a statement </w:t>
            </w:r>
            <w:r w:rsidR="006B7993" w:rsidRPr="00045CBC">
              <w:t xml:space="preserve">confirming </w:t>
            </w:r>
            <w:r w:rsidR="00B4605C" w:rsidRPr="00045CBC">
              <w:t xml:space="preserve">that they </w:t>
            </w:r>
            <w:r w:rsidR="00FA6561" w:rsidRPr="00045CBC">
              <w:t>report on</w:t>
            </w:r>
            <w:r w:rsidR="00B4605C" w:rsidRPr="00045CBC">
              <w:t xml:space="preserve"> ‘approach to tax’</w:t>
            </w:r>
            <w:r w:rsidR="00FA6561" w:rsidRPr="00045CBC">
              <w:t xml:space="preserve">, </w:t>
            </w:r>
            <w:r w:rsidR="00B4605C" w:rsidRPr="00045CBC">
              <w:t>consistent with</w:t>
            </w:r>
            <w:r w:rsidR="00FA6561" w:rsidRPr="00045CBC">
              <w:t xml:space="preserve"> the</w:t>
            </w:r>
            <w:r w:rsidR="00B4605C" w:rsidRPr="00045CBC">
              <w:t xml:space="preserve"> GRI 207-1</w:t>
            </w:r>
            <w:r w:rsidR="00FA6561" w:rsidRPr="00045CBC">
              <w:t xml:space="preserve"> requirements</w:t>
            </w:r>
            <w:r w:rsidR="002B1F65" w:rsidRPr="00045CBC">
              <w:t xml:space="preserve">, </w:t>
            </w:r>
            <w:r w:rsidR="00A14EAF" w:rsidRPr="00045CBC">
              <w:t xml:space="preserve">in their </w:t>
            </w:r>
            <w:r w:rsidR="00B4260D" w:rsidRPr="00045CBC">
              <w:t xml:space="preserve">public </w:t>
            </w:r>
            <w:proofErr w:type="spellStart"/>
            <w:r w:rsidR="00A14EAF" w:rsidRPr="00045CBC">
              <w:t>CbC</w:t>
            </w:r>
            <w:proofErr w:type="spellEnd"/>
            <w:r w:rsidR="00A14EAF" w:rsidRPr="00045CBC">
              <w:t xml:space="preserve"> report. </w:t>
            </w:r>
          </w:p>
        </w:tc>
      </w:tr>
    </w:tbl>
    <w:p w14:paraId="4BE7CD81" w14:textId="42B82419" w:rsidR="001D4A50" w:rsidRDefault="008B1259" w:rsidP="00F47665">
      <w:pPr>
        <w:pStyle w:val="Heading4"/>
        <w:numPr>
          <w:ilvl w:val="1"/>
          <w:numId w:val="22"/>
        </w:numPr>
        <w:ind w:left="720"/>
      </w:pPr>
      <w:bookmarkStart w:id="40" w:name="_Tax_governance,_control,"/>
      <w:bookmarkEnd w:id="40"/>
      <w:r>
        <w:t>Tax governance, control, and risk management</w:t>
      </w:r>
      <w:r>
        <w:rPr>
          <w:rStyle w:val="FootnoteReference"/>
        </w:rPr>
        <w:footnoteReference w:id="8"/>
      </w:r>
      <w:r w:rsidR="005236E4">
        <w:t xml:space="preserve"> </w:t>
      </w:r>
    </w:p>
    <w:p w14:paraId="270BA7FB" w14:textId="1842BD98" w:rsidR="00D97A7B" w:rsidRDefault="002B1EEA" w:rsidP="002B1EEA">
      <w:pPr>
        <w:pStyle w:val="Heading5"/>
      </w:pPr>
      <w:r>
        <w:t xml:space="preserve">Optional elements </w:t>
      </w:r>
    </w:p>
    <w:p w14:paraId="48CB1221" w14:textId="370A53E2" w:rsidR="00294E16" w:rsidRDefault="00D43626" w:rsidP="00D9211C">
      <w:pPr>
        <w:pStyle w:val="NumberedParagraphalpha"/>
        <w:numPr>
          <w:ilvl w:val="3"/>
          <w:numId w:val="55"/>
        </w:numPr>
      </w:pPr>
      <w:r>
        <w:t>Provide a</w:t>
      </w:r>
      <w:r w:rsidR="00294E16">
        <w:t xml:space="preserve"> description of the </w:t>
      </w:r>
      <w:r w:rsidR="005824A8">
        <w:t>tax governance</w:t>
      </w:r>
      <w:r w:rsidR="00916200">
        <w:t xml:space="preserve"> and </w:t>
      </w:r>
      <w:r w:rsidR="005824A8">
        <w:t>control framework</w:t>
      </w:r>
      <w:r w:rsidR="006542D1">
        <w:t xml:space="preserve"> including:</w:t>
      </w:r>
      <w:r w:rsidR="00294E16">
        <w:t xml:space="preserve"> </w:t>
      </w:r>
    </w:p>
    <w:p w14:paraId="0B66CDFC" w14:textId="43B81133" w:rsidR="00F36AA8" w:rsidRPr="00F91679" w:rsidRDefault="009B7C19" w:rsidP="00B55CA9">
      <w:pPr>
        <w:pStyle w:val="NumberedParagraphroman"/>
        <w:ind w:left="1701"/>
      </w:pPr>
      <w:r w:rsidRPr="00F91679">
        <w:t>the</w:t>
      </w:r>
      <w:r w:rsidR="00F36AA8" w:rsidRPr="00F91679">
        <w:t xml:space="preserve"> governance body or </w:t>
      </w:r>
      <w:r w:rsidR="00A31983" w:rsidRPr="00F91679">
        <w:t>executive-level position within the organisation accountable for compliance with the tax strategy</w:t>
      </w:r>
      <w:r w:rsidR="00BA5A48">
        <w:t>.</w:t>
      </w:r>
    </w:p>
    <w:p w14:paraId="7D222442" w14:textId="5005E7E9" w:rsidR="00A31983" w:rsidRPr="00F91679" w:rsidRDefault="00A31983" w:rsidP="00B55CA9">
      <w:pPr>
        <w:pStyle w:val="NumberedParagraphroman"/>
        <w:ind w:left="1701"/>
      </w:pPr>
      <w:r w:rsidRPr="00F91679">
        <w:t xml:space="preserve">how </w:t>
      </w:r>
      <w:r w:rsidR="007213D8" w:rsidRPr="00F91679">
        <w:t xml:space="preserve">the </w:t>
      </w:r>
      <w:r w:rsidR="00C57419" w:rsidRPr="00F91679">
        <w:t>entity’s</w:t>
      </w:r>
      <w:r w:rsidR="007213D8" w:rsidRPr="00F91679">
        <w:t xml:space="preserve"> </w:t>
      </w:r>
      <w:r w:rsidR="009378C5" w:rsidRPr="00F91679">
        <w:t xml:space="preserve">approach to tax </w:t>
      </w:r>
      <w:r w:rsidRPr="00F91679">
        <w:t>is communicated and embedded in the organisation</w:t>
      </w:r>
      <w:r w:rsidR="00BA5A48">
        <w:t>.</w:t>
      </w:r>
    </w:p>
    <w:p w14:paraId="19E47E7D" w14:textId="028419F3" w:rsidR="00A31983" w:rsidRPr="00F91679" w:rsidRDefault="002574DD" w:rsidP="00B55CA9">
      <w:pPr>
        <w:pStyle w:val="NumberedParagraphroman"/>
        <w:ind w:left="1701"/>
      </w:pPr>
      <w:r w:rsidRPr="00F91679">
        <w:t xml:space="preserve">how tax risks are identified, </w:t>
      </w:r>
      <w:r w:rsidR="00176A13" w:rsidRPr="00F91679">
        <w:t>managed,</w:t>
      </w:r>
      <w:r w:rsidRPr="00F91679">
        <w:t xml:space="preserve"> and monitored</w:t>
      </w:r>
      <w:r w:rsidR="00BA5A48">
        <w:t>.</w:t>
      </w:r>
    </w:p>
    <w:p w14:paraId="72DC9C72" w14:textId="77CBD978" w:rsidR="00C95770" w:rsidRPr="00F91679" w:rsidRDefault="00C95770" w:rsidP="00B55CA9">
      <w:pPr>
        <w:pStyle w:val="NumberedParagraphroman"/>
        <w:ind w:left="1701"/>
      </w:pPr>
      <w:r w:rsidRPr="00F91679">
        <w:t>how compliance with tax governance and control framework is evaluated</w:t>
      </w:r>
      <w:r w:rsidR="00253417" w:rsidRPr="00F91679">
        <w:t xml:space="preserve">. </w:t>
      </w:r>
    </w:p>
    <w:p w14:paraId="6332E28E" w14:textId="07E26409" w:rsidR="00EC4268" w:rsidRPr="00EC4268" w:rsidRDefault="009B7C19" w:rsidP="00255BC3">
      <w:pPr>
        <w:pStyle w:val="NumberedParagraphalpha"/>
      </w:pPr>
      <w:r>
        <w:t xml:space="preserve">Provide a </w:t>
      </w:r>
      <w:r w:rsidR="006400D2">
        <w:t xml:space="preserve">description of the mechanisms to raise concerns about </w:t>
      </w:r>
      <w:r w:rsidR="00BF0A8A">
        <w:t xml:space="preserve">the </w:t>
      </w:r>
      <w:r w:rsidR="00B10672">
        <w:t>entity’s</w:t>
      </w:r>
      <w:r w:rsidR="00BF0A8A">
        <w:t xml:space="preserve"> </w:t>
      </w:r>
      <w:r w:rsidR="00C72158">
        <w:t xml:space="preserve">conduct and integrity in relation to tax. </w:t>
      </w:r>
    </w:p>
    <w:p w14:paraId="709016B1" w14:textId="4E2FBC36" w:rsidR="001B0205" w:rsidRPr="00924ED8" w:rsidRDefault="009B7C19" w:rsidP="00255BC3">
      <w:pPr>
        <w:pStyle w:val="NumberedParagraphalpha"/>
      </w:pPr>
      <w:bookmarkStart w:id="41" w:name="_Attitude_to_tax"/>
      <w:bookmarkEnd w:id="41"/>
      <w:r>
        <w:t>Provide a</w:t>
      </w:r>
      <w:r w:rsidR="001B0205" w:rsidRPr="00924ED8">
        <w:t xml:space="preserve"> description of the assurance process for disclosures on tax. </w:t>
      </w:r>
    </w:p>
    <w:p w14:paraId="1AD14BF3" w14:textId="4467A8BA" w:rsidR="003A0E8B" w:rsidRDefault="00036F66" w:rsidP="00F47665">
      <w:pPr>
        <w:pStyle w:val="Heading4"/>
        <w:numPr>
          <w:ilvl w:val="1"/>
          <w:numId w:val="22"/>
        </w:numPr>
        <w:ind w:left="720"/>
      </w:pPr>
      <w:bookmarkStart w:id="42" w:name="_Stakeholder_engagement_and"/>
      <w:bookmarkEnd w:id="42"/>
      <w:r>
        <w:t>Stakeholder engagement and management of concerns related to tax</w:t>
      </w:r>
      <w:r>
        <w:rPr>
          <w:rStyle w:val="FootnoteReference"/>
        </w:rPr>
        <w:footnoteReference w:id="9"/>
      </w:r>
      <w:r w:rsidR="00436848">
        <w:t xml:space="preserve"> </w:t>
      </w:r>
    </w:p>
    <w:p w14:paraId="134F5B8D" w14:textId="77777777" w:rsidR="00856B77" w:rsidRDefault="00856B77" w:rsidP="00856B77">
      <w:pPr>
        <w:pStyle w:val="Heading5"/>
      </w:pPr>
      <w:r>
        <w:t xml:space="preserve">Optional elements </w:t>
      </w:r>
    </w:p>
    <w:p w14:paraId="2F270B04" w14:textId="0B34F781" w:rsidR="00C26F01" w:rsidRDefault="009B7C19" w:rsidP="00D9211C">
      <w:pPr>
        <w:pStyle w:val="NumberedParagraphalpha"/>
        <w:numPr>
          <w:ilvl w:val="3"/>
          <w:numId w:val="56"/>
        </w:numPr>
      </w:pPr>
      <w:r>
        <w:t>Provide a</w:t>
      </w:r>
      <w:r w:rsidR="00F51B9C">
        <w:t xml:space="preserve"> description of </w:t>
      </w:r>
      <w:r w:rsidR="00CF119F">
        <w:t xml:space="preserve">the </w:t>
      </w:r>
      <w:r w:rsidR="00F51B9C">
        <w:t>approach to engagement with the ATO</w:t>
      </w:r>
      <w:r w:rsidR="00842D9B">
        <w:t>. This may include:</w:t>
      </w:r>
      <w:r w:rsidR="00F51B9C">
        <w:t xml:space="preserve"> </w:t>
      </w:r>
    </w:p>
    <w:p w14:paraId="4C415B21" w14:textId="5DAE11A4" w:rsidR="00F51B9C" w:rsidRPr="00F91679" w:rsidRDefault="00F51B9C" w:rsidP="00764A02">
      <w:pPr>
        <w:pStyle w:val="NumberedParagraphroman"/>
        <w:ind w:left="1701"/>
      </w:pPr>
      <w:r w:rsidRPr="00F91679">
        <w:t xml:space="preserve">the assurance regimes </w:t>
      </w:r>
      <w:r w:rsidR="00CF119F" w:rsidRPr="00F91679">
        <w:t xml:space="preserve">the entity </w:t>
      </w:r>
      <w:r w:rsidRPr="00F91679">
        <w:t>is subject to</w:t>
      </w:r>
      <w:r w:rsidR="00044C2F" w:rsidRPr="00F91679">
        <w:t>,</w:t>
      </w:r>
      <w:r w:rsidR="00D40E05" w:rsidRPr="00F91679">
        <w:t xml:space="preserve"> including </w:t>
      </w:r>
      <w:r w:rsidR="00C760F2" w:rsidRPr="00F91679">
        <w:t>any outcomes from assurance regimes</w:t>
      </w:r>
      <w:r w:rsidRPr="00F91679">
        <w:t>, for example, internal audit, external audit, Advance Pricing Arrangements (APAs)</w:t>
      </w:r>
      <w:r w:rsidR="00AD4954" w:rsidRPr="00F91679">
        <w:t xml:space="preserve">, </w:t>
      </w:r>
      <w:r w:rsidR="006D60F9" w:rsidRPr="00F91679">
        <w:t xml:space="preserve">Annual Compliance Arrangement (ACA), </w:t>
      </w:r>
      <w:r w:rsidR="00C31001" w:rsidRPr="00F91679">
        <w:t>Justified</w:t>
      </w:r>
      <w:r w:rsidR="00AD4954" w:rsidRPr="00F91679">
        <w:t xml:space="preserve"> Trust </w:t>
      </w:r>
      <w:r w:rsidR="00100622" w:rsidRPr="00F91679">
        <w:t>r</w:t>
      </w:r>
      <w:r w:rsidR="00AD4954" w:rsidRPr="00F91679">
        <w:t>eviews</w:t>
      </w:r>
      <w:r w:rsidRPr="00F91679">
        <w:t xml:space="preserve"> and ATO pre-lodg</w:t>
      </w:r>
      <w:r w:rsidR="00F84E16">
        <w:t>e</w:t>
      </w:r>
      <w:r w:rsidRPr="00F91679">
        <w:t>ment compliance reviews</w:t>
      </w:r>
      <w:r w:rsidR="00BA5A48">
        <w:t>.</w:t>
      </w:r>
    </w:p>
    <w:p w14:paraId="7C7F8F0E" w14:textId="7620F3C8" w:rsidR="00BC515B" w:rsidRPr="00F91679" w:rsidRDefault="009B7C19" w:rsidP="00764A02">
      <w:pPr>
        <w:pStyle w:val="NumberedParagraphroman"/>
        <w:ind w:left="1701"/>
      </w:pPr>
      <w:r w:rsidRPr="00F91679">
        <w:lastRenderedPageBreak/>
        <w:t>e</w:t>
      </w:r>
      <w:r w:rsidR="00BC515B" w:rsidRPr="00F91679">
        <w:t xml:space="preserve">ngagement on tax risks including private binding rulings obtained, cooperative compliance agreements, seeking active real-time audit, seeking clearance for significant transactions and </w:t>
      </w:r>
      <w:r w:rsidR="00AE2966">
        <w:t>APAs</w:t>
      </w:r>
      <w:r w:rsidR="00BC515B" w:rsidRPr="00F91679">
        <w:t xml:space="preserve"> sought</w:t>
      </w:r>
      <w:r w:rsidR="00BA5A48">
        <w:t>.</w:t>
      </w:r>
    </w:p>
    <w:p w14:paraId="50954A23" w14:textId="53DB2BDF" w:rsidR="00A32701" w:rsidRDefault="00BC515B" w:rsidP="00764A02">
      <w:pPr>
        <w:pStyle w:val="NumberedParagraphroman"/>
        <w:ind w:left="1701"/>
      </w:pPr>
      <w:r w:rsidRPr="00F91679">
        <w:t>the outcome of ATO compliance activities, for example, a ‘risk rating’ or the outcome of a streamlined risk review</w:t>
      </w:r>
      <w:r w:rsidR="00BA5A48">
        <w:t>.</w:t>
      </w:r>
    </w:p>
    <w:p w14:paraId="4A4AC355" w14:textId="353198B8" w:rsidR="00E70B94" w:rsidRPr="00F91679" w:rsidRDefault="00E70B94" w:rsidP="00764A02">
      <w:pPr>
        <w:pStyle w:val="NumberedParagraphroman"/>
        <w:ind w:left="1701"/>
      </w:pPr>
      <w:r>
        <w:t xml:space="preserve">any significant ongoing or recently settled tax disputes with the ATO and/or other revenue authorities, including settlement outcomes, to the extent not already disclosed in financial statements. </w:t>
      </w:r>
    </w:p>
    <w:p w14:paraId="7A8B5C73" w14:textId="58079E03" w:rsidR="00C26F01" w:rsidRDefault="009B7C19" w:rsidP="00B5464B">
      <w:pPr>
        <w:pStyle w:val="NumberedParagraphalpha"/>
      </w:pPr>
      <w:r>
        <w:t>Provide a</w:t>
      </w:r>
      <w:r w:rsidR="00C26F01">
        <w:t xml:space="preserve"> description of its</w:t>
      </w:r>
      <w:r w:rsidR="00C26F01" w:rsidRPr="00E665D9">
        <w:t xml:space="preserve"> approach to engagement with other tax authorities</w:t>
      </w:r>
      <w:r w:rsidR="00F51B9C">
        <w:t>.</w:t>
      </w:r>
      <w:r w:rsidR="00C26F01" w:rsidRPr="00E665D9">
        <w:t> </w:t>
      </w:r>
    </w:p>
    <w:p w14:paraId="2CDCF12D" w14:textId="4A99DE00" w:rsidR="00D13C79" w:rsidRDefault="009B7C19" w:rsidP="00B5464B">
      <w:pPr>
        <w:pStyle w:val="NumberedParagraphalpha"/>
      </w:pPr>
      <w:r>
        <w:t xml:space="preserve">Provide a </w:t>
      </w:r>
      <w:r w:rsidR="007069F1">
        <w:t>description of the</w:t>
      </w:r>
      <w:r w:rsidR="00D13C79">
        <w:t xml:space="preserve"> processes </w:t>
      </w:r>
      <w:r w:rsidR="00924ED8">
        <w:t xml:space="preserve">for collecting and considering the views and concerns of stakeholders, including external stakeholders. </w:t>
      </w:r>
    </w:p>
    <w:p w14:paraId="76CAD5A9" w14:textId="5A44B14B" w:rsidR="00EC4EA3" w:rsidRDefault="00EC4EA3" w:rsidP="0090686F">
      <w:pPr>
        <w:pStyle w:val="Heading4"/>
        <w:numPr>
          <w:ilvl w:val="1"/>
          <w:numId w:val="22"/>
        </w:numPr>
        <w:spacing w:after="120"/>
        <w:ind w:left="720"/>
      </w:pPr>
      <w:bookmarkStart w:id="43" w:name="_International_related_party_1"/>
      <w:bookmarkEnd w:id="43"/>
      <w:r>
        <w:t>International related party dealings summary</w:t>
      </w:r>
    </w:p>
    <w:tbl>
      <w:tblPr>
        <w:tblStyle w:val="ListTable3-Accent2"/>
        <w:tblW w:w="5000" w:type="pct"/>
        <w:tblLook w:val="04A0" w:firstRow="1" w:lastRow="0" w:firstColumn="1" w:lastColumn="0" w:noHBand="0" w:noVBand="1"/>
      </w:tblPr>
      <w:tblGrid>
        <w:gridCol w:w="9636"/>
      </w:tblGrid>
      <w:tr w:rsidR="00B66078" w14:paraId="3ADBDAC1" w14:textId="77777777" w:rsidTr="00AA5A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vAlign w:val="center"/>
          </w:tcPr>
          <w:p w14:paraId="53681F27" w14:textId="342EF3D8" w:rsidR="00B66078" w:rsidRPr="002913D1" w:rsidRDefault="00792696" w:rsidP="00AA5A3C">
            <w:pPr>
              <w:pStyle w:val="Heading5"/>
              <w:rPr>
                <w:color w:val="FFFFFF" w:themeColor="background1"/>
              </w:rPr>
            </w:pPr>
            <w:r w:rsidRPr="002913D1">
              <w:rPr>
                <w:color w:val="FFFFFF" w:themeColor="background1"/>
              </w:rPr>
              <w:t>V</w:t>
            </w:r>
            <w:r w:rsidR="008C7050" w:rsidRPr="002913D1">
              <w:rPr>
                <w:color w:val="FFFFFF" w:themeColor="background1"/>
              </w:rPr>
              <w:t>TTC Requirement</w:t>
            </w:r>
          </w:p>
          <w:p w14:paraId="6D9B2FB4" w14:textId="2B21D5B1" w:rsidR="003D7AFD" w:rsidRPr="00F91679" w:rsidRDefault="00946EF7" w:rsidP="00D9211C">
            <w:pPr>
              <w:pStyle w:val="ListParagraph"/>
              <w:numPr>
                <w:ilvl w:val="2"/>
                <w:numId w:val="33"/>
              </w:numPr>
            </w:pPr>
            <w:r w:rsidRPr="00F91679">
              <w:t xml:space="preserve">Entities </w:t>
            </w:r>
            <w:r w:rsidR="0057773C" w:rsidRPr="00F91679">
              <w:t xml:space="preserve">should provide a qualitative disclosure of key categories of dealings with offshore related parties which have a material impact on the </w:t>
            </w:r>
            <w:r w:rsidR="00F14FE5">
              <w:t>entity’</w:t>
            </w:r>
            <w:r w:rsidR="00FC32D5">
              <w:t>s</w:t>
            </w:r>
            <w:r w:rsidR="00BF0A8A">
              <w:t xml:space="preserve"> </w:t>
            </w:r>
            <w:r w:rsidR="0057773C" w:rsidRPr="00F91679">
              <w:t>Australian taxable income,</w:t>
            </w:r>
            <w:r w:rsidR="00256947" w:rsidRPr="00F91679">
              <w:t xml:space="preserve"> and give rise to revenue from related parties as reported in the public </w:t>
            </w:r>
            <w:proofErr w:type="spellStart"/>
            <w:r w:rsidR="00256947" w:rsidRPr="00F91679">
              <w:t>CbCr</w:t>
            </w:r>
            <w:proofErr w:type="spellEnd"/>
            <w:r w:rsidR="0057773C" w:rsidRPr="00F91679">
              <w:t xml:space="preserve"> including</w:t>
            </w:r>
            <w:r w:rsidR="003D7AFD" w:rsidRPr="00F91679">
              <w:t>:</w:t>
            </w:r>
          </w:p>
          <w:p w14:paraId="531589FC" w14:textId="35D9465E" w:rsidR="003D7AFD" w:rsidRDefault="0057773C" w:rsidP="00D9211C">
            <w:pPr>
              <w:pStyle w:val="Bullet"/>
              <w:numPr>
                <w:ilvl w:val="0"/>
                <w:numId w:val="34"/>
              </w:numPr>
            </w:pPr>
            <w:r w:rsidRPr="003D7AFD">
              <w:t xml:space="preserve">the nature of </w:t>
            </w:r>
            <w:r w:rsidR="003D7AFD">
              <w:t>the</w:t>
            </w:r>
            <w:r w:rsidRPr="003D7AFD">
              <w:t xml:space="preserve"> dealings</w:t>
            </w:r>
            <w:r w:rsidR="00281EE0">
              <w:t>.</w:t>
            </w:r>
          </w:p>
          <w:p w14:paraId="493C5774" w14:textId="4D0C98EF" w:rsidR="00650099" w:rsidRPr="00BB0B4C" w:rsidRDefault="0057773C" w:rsidP="00D9211C">
            <w:pPr>
              <w:pStyle w:val="Bullet"/>
              <w:numPr>
                <w:ilvl w:val="0"/>
                <w:numId w:val="34"/>
              </w:numPr>
            </w:pPr>
            <w:r w:rsidRPr="003D7AFD">
              <w:t>the country in which the related party is located</w:t>
            </w:r>
            <w:r w:rsidR="00FB6B90">
              <w:t>.</w:t>
            </w:r>
          </w:p>
          <w:p w14:paraId="2832AB21" w14:textId="7F8809CC" w:rsidR="005513F0" w:rsidRPr="00906B94" w:rsidRDefault="005513F0" w:rsidP="00AA5A3C">
            <w:pPr>
              <w:pStyle w:val="Bullet"/>
              <w:spacing w:after="240"/>
            </w:pPr>
            <w:r w:rsidRPr="00356588">
              <w:rPr>
                <w:b/>
                <w:bCs w:val="0"/>
              </w:rPr>
              <w:t>Note</w:t>
            </w:r>
            <w:r>
              <w:t>. No quantitative disclosures are required.</w:t>
            </w:r>
            <w:r w:rsidR="00BB0B4C">
              <w:t xml:space="preserve"> </w:t>
            </w:r>
            <w:r w:rsidR="00946EF7">
              <w:t>Entities</w:t>
            </w:r>
            <w:r w:rsidR="00BB0B4C">
              <w:t xml:space="preserve"> </w:t>
            </w:r>
            <w:r w:rsidR="00A05ED7">
              <w:t xml:space="preserve">can utilise this requirement to </w:t>
            </w:r>
            <w:r w:rsidR="00353EBB">
              <w:t xml:space="preserve">provide a qualitative </w:t>
            </w:r>
            <w:r w:rsidR="00A05ED7">
              <w:t>elaborat</w:t>
            </w:r>
            <w:r w:rsidR="00353EBB">
              <w:t>ion</w:t>
            </w:r>
            <w:r w:rsidR="00A05ED7">
              <w:t xml:space="preserve"> on any quantitative data reported in their public </w:t>
            </w:r>
            <w:proofErr w:type="spellStart"/>
            <w:r w:rsidR="00A05ED7">
              <w:t>CbCr</w:t>
            </w:r>
            <w:proofErr w:type="spellEnd"/>
            <w:r w:rsidR="00A05ED7">
              <w:t>.</w:t>
            </w:r>
          </w:p>
        </w:tc>
      </w:tr>
    </w:tbl>
    <w:p w14:paraId="4B693C26" w14:textId="77777777" w:rsidR="00856B77" w:rsidRDefault="00856B77" w:rsidP="00856B77">
      <w:pPr>
        <w:pStyle w:val="Heading5"/>
      </w:pPr>
      <w:r>
        <w:t>Guidance</w:t>
      </w:r>
    </w:p>
    <w:p w14:paraId="66408106" w14:textId="0EF1DC0A" w:rsidR="00395467" w:rsidRPr="00B5464B" w:rsidRDefault="00C823DA" w:rsidP="00B5464B">
      <w:r w:rsidRPr="00B5464B">
        <w:t>A</w:t>
      </w:r>
      <w:r w:rsidR="00BF0A8A" w:rsidRPr="00B5464B">
        <w:t>n entit</w:t>
      </w:r>
      <w:r w:rsidR="00F14FE5" w:rsidRPr="00B5464B">
        <w:t>y’s</w:t>
      </w:r>
      <w:r w:rsidR="00C15666" w:rsidRPr="00B5464B">
        <w:t>’</w:t>
      </w:r>
      <w:r w:rsidR="00BF0A8A" w:rsidRPr="00B5464B">
        <w:t xml:space="preserve"> </w:t>
      </w:r>
      <w:r w:rsidRPr="00B5464B">
        <w:t xml:space="preserve">dealings with international related parties have particular relevance for the </w:t>
      </w:r>
      <w:r w:rsidR="00954B47" w:rsidRPr="00B5464B">
        <w:t>V</w:t>
      </w:r>
      <w:r w:rsidR="05372D6B" w:rsidRPr="00B5464B">
        <w:t>TTC</w:t>
      </w:r>
      <w:r w:rsidR="1DDC58F7" w:rsidRPr="00B5464B">
        <w:t xml:space="preserve"> audience</w:t>
      </w:r>
      <w:r w:rsidR="05372D6B" w:rsidRPr="00B5464B">
        <w:t>.</w:t>
      </w:r>
      <w:r w:rsidRPr="00B5464B">
        <w:t xml:space="preserve"> </w:t>
      </w:r>
      <w:r w:rsidR="00946EF7" w:rsidRPr="00B5464B">
        <w:t xml:space="preserve">Entities </w:t>
      </w:r>
      <w:r w:rsidR="0038677C" w:rsidRPr="00B5464B">
        <w:t>may wish to provide further information, including:</w:t>
      </w:r>
    </w:p>
    <w:p w14:paraId="5B20DE5E" w14:textId="50541021" w:rsidR="00395467" w:rsidRPr="00B5464B" w:rsidRDefault="00395467" w:rsidP="00B5464B">
      <w:pPr>
        <w:pStyle w:val="Bullet"/>
      </w:pPr>
      <w:r w:rsidRPr="00B5464B">
        <w:t xml:space="preserve">A description of the </w:t>
      </w:r>
      <w:r w:rsidR="008D32A3" w:rsidRPr="00B5464B">
        <w:t>entit</w:t>
      </w:r>
      <w:r w:rsidR="00F14FE5" w:rsidRPr="00B5464B">
        <w:t>y’s</w:t>
      </w:r>
      <w:r w:rsidR="008D32A3" w:rsidRPr="00B5464B">
        <w:t xml:space="preserve"> </w:t>
      </w:r>
      <w:r w:rsidRPr="00B5464B">
        <w:t xml:space="preserve">approach to </w:t>
      </w:r>
      <w:r w:rsidR="00105724" w:rsidRPr="00B5464B">
        <w:t>determining the pricing of transactions</w:t>
      </w:r>
      <w:r w:rsidRPr="00B5464B">
        <w:t xml:space="preserve"> between international related parties. For example, use of the arm’s length principles in line with </w:t>
      </w:r>
      <w:r w:rsidR="00105724" w:rsidRPr="00B5464B">
        <w:t xml:space="preserve">Australian tax law and associated </w:t>
      </w:r>
      <w:r w:rsidRPr="00B5464B">
        <w:t>OECD guidelines</w:t>
      </w:r>
      <w:r w:rsidR="008963EB">
        <w:t>.</w:t>
      </w:r>
    </w:p>
    <w:p w14:paraId="16FF970A" w14:textId="5F2693B3" w:rsidR="00395467" w:rsidRPr="00B5464B" w:rsidRDefault="005707D2" w:rsidP="00B5464B">
      <w:pPr>
        <w:pStyle w:val="Bullet"/>
      </w:pPr>
      <w:r w:rsidRPr="00B5464B">
        <w:t>Additional</w:t>
      </w:r>
      <w:r w:rsidR="00395467" w:rsidRPr="00B5464B">
        <w:t xml:space="preserve"> context in relation to the size of their international related party dealings relative to their whole business. For example, a</w:t>
      </w:r>
      <w:r w:rsidR="008D32A3" w:rsidRPr="00B5464B">
        <w:t>n entity</w:t>
      </w:r>
      <w:r w:rsidR="0014579D" w:rsidRPr="00B5464B">
        <w:t xml:space="preserve"> </w:t>
      </w:r>
      <w:r w:rsidR="00395467" w:rsidRPr="00B5464B">
        <w:t>could express its international related party dealings as a percentage of its total revenue or expenditure, as relevan</w:t>
      </w:r>
      <w:r w:rsidR="00E11238" w:rsidRPr="00B5464B">
        <w:t>t</w:t>
      </w:r>
      <w:r w:rsidR="008963EB">
        <w:t>.</w:t>
      </w:r>
    </w:p>
    <w:p w14:paraId="1D5F6EF6" w14:textId="36FABD53" w:rsidR="00086B29" w:rsidRPr="00B5464B" w:rsidRDefault="00395467" w:rsidP="00B5464B">
      <w:pPr>
        <w:pStyle w:val="Bullet"/>
      </w:pPr>
      <w:r w:rsidRPr="00B5464B">
        <w:lastRenderedPageBreak/>
        <w:t xml:space="preserve">An explanation of activities undertaken in no or low tax jurisdictions, types of </w:t>
      </w:r>
      <w:r w:rsidR="0007354A" w:rsidRPr="00B5464B">
        <w:t xml:space="preserve">income </w:t>
      </w:r>
      <w:r w:rsidRPr="00B5464B">
        <w:t xml:space="preserve">tax incentives used, approach to transfer pricing and how it ensures its transactions are </w:t>
      </w:r>
      <w:r w:rsidR="00105724" w:rsidRPr="00B5464B">
        <w:t xml:space="preserve">consistent with </w:t>
      </w:r>
      <w:r w:rsidRPr="00B5464B">
        <w:t>arm’s length</w:t>
      </w:r>
      <w:r w:rsidR="00105724" w:rsidRPr="00B5464B">
        <w:t xml:space="preserve"> principles</w:t>
      </w:r>
      <w:r w:rsidR="008963EB">
        <w:t>.</w:t>
      </w:r>
    </w:p>
    <w:p w14:paraId="70FF4B8D" w14:textId="081A9D0B" w:rsidR="00593B81" w:rsidRDefault="00BC6F0D" w:rsidP="00F91679">
      <w:pPr>
        <w:pStyle w:val="Bullet"/>
      </w:pPr>
      <w:r>
        <w:t xml:space="preserve">Further explanation of the related party arrangements which give rise to the revenue from related parties reported in the public </w:t>
      </w:r>
      <w:proofErr w:type="spellStart"/>
      <w:r>
        <w:t>CbCr</w:t>
      </w:r>
      <w:proofErr w:type="spellEnd"/>
      <w:r>
        <w:t xml:space="preserve">. </w:t>
      </w:r>
    </w:p>
    <w:p w14:paraId="427B0645" w14:textId="595FAE8F" w:rsidR="00FD2093" w:rsidRPr="000A46EA" w:rsidRDefault="00FD2093" w:rsidP="000A46EA">
      <w:r w:rsidRPr="000A46EA">
        <w:t xml:space="preserve">The Board believes it is necessary for the </w:t>
      </w:r>
      <w:r w:rsidR="00954B47" w:rsidRPr="000A46EA">
        <w:t>V</w:t>
      </w:r>
      <w:r w:rsidRPr="000A46EA">
        <w:t xml:space="preserve">TTC to include this information in light of community concern and media coverage of tax issues. </w:t>
      </w:r>
      <w:r w:rsidR="00E92925" w:rsidRPr="000A46EA">
        <w:t xml:space="preserve">This information provides ‘Public </w:t>
      </w:r>
      <w:proofErr w:type="spellStart"/>
      <w:r w:rsidR="00E92925" w:rsidRPr="000A46EA">
        <w:t>CbC</w:t>
      </w:r>
      <w:proofErr w:type="spellEnd"/>
      <w:r w:rsidR="00E92925" w:rsidRPr="000A46EA">
        <w:t xml:space="preserve"> reporters’ with a platform to elaborate on the nature of any </w:t>
      </w:r>
      <w:r w:rsidR="00082FC1" w:rsidRPr="000A46EA">
        <w:t>related</w:t>
      </w:r>
      <w:r w:rsidR="00E92925" w:rsidRPr="000A46EA">
        <w:t xml:space="preserve"> party dealings and revenue from related parties reported under the public </w:t>
      </w:r>
      <w:proofErr w:type="spellStart"/>
      <w:r w:rsidR="00E92925" w:rsidRPr="000A46EA">
        <w:t>CbCr</w:t>
      </w:r>
      <w:proofErr w:type="spellEnd"/>
      <w:r w:rsidR="00E92925" w:rsidRPr="000A46EA">
        <w:t xml:space="preserve">. </w:t>
      </w:r>
      <w:r w:rsidR="00946EF7" w:rsidRPr="000A46EA">
        <w:t xml:space="preserve">Entities </w:t>
      </w:r>
      <w:r w:rsidR="00E92925" w:rsidRPr="000A46EA">
        <w:t xml:space="preserve">may address these </w:t>
      </w:r>
      <w:r w:rsidR="009400DF" w:rsidRPr="000A46EA">
        <w:t xml:space="preserve">concerns </w:t>
      </w:r>
      <w:r w:rsidR="00E92925" w:rsidRPr="000A46EA">
        <w:t>by carefully explaining the commercial context of the arrangements. </w:t>
      </w:r>
    </w:p>
    <w:p w14:paraId="3968DAF6" w14:textId="459DD3F8" w:rsidR="00C823DA" w:rsidRPr="000A46EA" w:rsidRDefault="00C823DA" w:rsidP="000A46EA">
      <w:r w:rsidRPr="000A46EA">
        <w:t>There is public interest in ensuring that international related party dealings are being conducted in a manner consistent with Australian tax law</w:t>
      </w:r>
      <w:r w:rsidR="00D75E46" w:rsidRPr="000A46EA">
        <w:t>.</w:t>
      </w:r>
      <w:r w:rsidRPr="000A46EA">
        <w:t xml:space="preserve"> </w:t>
      </w:r>
    </w:p>
    <w:p w14:paraId="18028BD3" w14:textId="62681DED" w:rsidR="007E2D97" w:rsidRPr="000A46EA" w:rsidRDefault="007E2D97" w:rsidP="000A46EA">
      <w:r w:rsidRPr="000A46EA">
        <w:t>The qualitative nature of the disclosure should provide an opportunity for an entity to explain and mitigate any misunderstanding, given that information about its activities in other jurisdictions may in any case</w:t>
      </w:r>
      <w:r w:rsidR="00576966" w:rsidRPr="000A46EA">
        <w:t xml:space="preserve"> </w:t>
      </w:r>
      <w:r w:rsidRPr="000A46EA">
        <w:t xml:space="preserve">require disclosure under other transparency regimes. </w:t>
      </w:r>
    </w:p>
    <w:p w14:paraId="7EC128AD" w14:textId="3DE4CCC6" w:rsidR="00506EBF" w:rsidRPr="000A46EA" w:rsidRDefault="009C04B4" w:rsidP="000A46EA">
      <w:r w:rsidRPr="000A46EA">
        <w:t>E</w:t>
      </w:r>
      <w:r w:rsidR="00946EF7" w:rsidRPr="000A46EA">
        <w:t xml:space="preserve">ntities </w:t>
      </w:r>
      <w:r w:rsidR="00F90A31" w:rsidRPr="000A46EA">
        <w:t xml:space="preserve">with no material international related party dealings should state this in their </w:t>
      </w:r>
      <w:r w:rsidR="00954B47" w:rsidRPr="000A46EA">
        <w:t>V</w:t>
      </w:r>
      <w:r w:rsidR="00F90A31" w:rsidRPr="000A46EA">
        <w:t>TTC. </w:t>
      </w:r>
    </w:p>
    <w:p w14:paraId="11DB2EA1" w14:textId="77777777" w:rsidR="0009033E" w:rsidRPr="000A46EA" w:rsidRDefault="0009033E" w:rsidP="000A46EA">
      <w:bookmarkStart w:id="44" w:name="_Non-Significant_Global_Entity"/>
      <w:bookmarkEnd w:id="44"/>
      <w:r>
        <w:br w:type="page"/>
      </w:r>
    </w:p>
    <w:p w14:paraId="0B6A6870" w14:textId="07BDA7CE" w:rsidR="00B823F9" w:rsidRDefault="00591786" w:rsidP="00B823F9">
      <w:pPr>
        <w:pStyle w:val="Heading2"/>
      </w:pPr>
      <w:bookmarkStart w:id="45" w:name="_Non-public_CbC_reporter_1"/>
      <w:bookmarkStart w:id="46" w:name="_Toc212116312"/>
      <w:bookmarkEnd w:id="45"/>
      <w:r>
        <w:lastRenderedPageBreak/>
        <w:t>Non-</w:t>
      </w:r>
      <w:r w:rsidR="00DE0E4A">
        <w:t xml:space="preserve">public </w:t>
      </w:r>
      <w:proofErr w:type="spellStart"/>
      <w:r w:rsidR="0096481E">
        <w:t>CbC</w:t>
      </w:r>
      <w:proofErr w:type="spellEnd"/>
      <w:r w:rsidR="0096481E">
        <w:t xml:space="preserve"> </w:t>
      </w:r>
      <w:r w:rsidR="00821D6D">
        <w:t>reporter</w:t>
      </w:r>
      <w:bookmarkEnd w:id="46"/>
      <w:r>
        <w:t xml:space="preserve"> </w:t>
      </w:r>
    </w:p>
    <w:tbl>
      <w:tblPr>
        <w:tblStyle w:val="ListTable3-Accent2"/>
        <w:tblW w:w="5000" w:type="pct"/>
        <w:tblLook w:val="04A0" w:firstRow="1" w:lastRow="0" w:firstColumn="1" w:lastColumn="0" w:noHBand="0" w:noVBand="1"/>
      </w:tblPr>
      <w:tblGrid>
        <w:gridCol w:w="704"/>
        <w:gridCol w:w="6237"/>
        <w:gridCol w:w="2690"/>
      </w:tblGrid>
      <w:tr w:rsidR="00091614" w:rsidRPr="00091614" w14:paraId="7EBD905D" w14:textId="77777777" w:rsidTr="00B8209A">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704" w:type="dxa"/>
          </w:tcPr>
          <w:p w14:paraId="27127E74" w14:textId="77777777" w:rsidR="00091614" w:rsidRPr="00091614" w:rsidRDefault="00091614" w:rsidP="00091614">
            <w:pPr>
              <w:pStyle w:val="TableHeaderCellLeft"/>
              <w:spacing w:before="0" w:after="120"/>
              <w:rPr>
                <w:bCs w:val="0"/>
                <w:sz w:val="24"/>
                <w:szCs w:val="24"/>
              </w:rPr>
            </w:pPr>
          </w:p>
        </w:tc>
        <w:tc>
          <w:tcPr>
            <w:tcW w:w="6237" w:type="dxa"/>
            <w:vAlign w:val="center"/>
          </w:tcPr>
          <w:p w14:paraId="0B89FC37" w14:textId="3F869A50" w:rsidR="00091614" w:rsidRPr="00564231" w:rsidRDefault="00091614" w:rsidP="00B8209A">
            <w:pPr>
              <w:pStyle w:val="TableHeaderCellLeft"/>
              <w:cnfStyle w:val="100000000000" w:firstRow="1" w:lastRow="0" w:firstColumn="0" w:lastColumn="0" w:oddVBand="0" w:evenVBand="0" w:oddHBand="0" w:evenHBand="0" w:firstRowFirstColumn="0" w:firstRowLastColumn="0" w:lastRowFirstColumn="0" w:lastRowLastColumn="0"/>
            </w:pPr>
            <w:r w:rsidRPr="00564231">
              <w:t>VTTC reporting requirements</w:t>
            </w:r>
          </w:p>
        </w:tc>
        <w:tc>
          <w:tcPr>
            <w:tcW w:w="2690" w:type="dxa"/>
            <w:vAlign w:val="center"/>
          </w:tcPr>
          <w:p w14:paraId="479D75D0" w14:textId="521C6515" w:rsidR="00091614" w:rsidRPr="00564231" w:rsidRDefault="00091614" w:rsidP="00B8209A">
            <w:pPr>
              <w:pStyle w:val="TableHeaderCellLeft"/>
              <w:cnfStyle w:val="100000000000" w:firstRow="1" w:lastRow="0" w:firstColumn="0" w:lastColumn="0" w:oddVBand="0" w:evenVBand="0" w:oddHBand="0" w:evenHBand="0" w:firstRowFirstColumn="0" w:firstRowLastColumn="0" w:lastRowFirstColumn="0" w:lastRowLastColumn="0"/>
            </w:pPr>
            <w:r w:rsidRPr="00564231">
              <w:t xml:space="preserve">Non-public </w:t>
            </w:r>
            <w:proofErr w:type="spellStart"/>
            <w:r w:rsidRPr="00564231">
              <w:t>CbC</w:t>
            </w:r>
            <w:proofErr w:type="spellEnd"/>
            <w:r w:rsidRPr="00564231">
              <w:t xml:space="preserve"> reporter</w:t>
            </w:r>
          </w:p>
        </w:tc>
      </w:tr>
      <w:tr w:rsidR="00091614" w14:paraId="42AD3C6F" w14:textId="77777777" w:rsidTr="00CF0BB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94D3E5E" w14:textId="6ADA6255" w:rsidR="00091614" w:rsidRPr="008156E5" w:rsidRDefault="00091614" w:rsidP="00CF0BBD">
            <w:pPr>
              <w:pStyle w:val="TableBodyCellLeft"/>
              <w:rPr>
                <w:color w:val="701F4D" w:themeColor="accent2"/>
              </w:rPr>
            </w:pPr>
            <w:r w:rsidRPr="008156E5">
              <w:rPr>
                <w:color w:val="701F4D" w:themeColor="accent2"/>
              </w:rPr>
              <w:t>1</w:t>
            </w:r>
          </w:p>
        </w:tc>
        <w:tc>
          <w:tcPr>
            <w:tcW w:w="6237" w:type="dxa"/>
            <w:vAlign w:val="center"/>
          </w:tcPr>
          <w:p w14:paraId="6D5C1679" w14:textId="5928B24E" w:rsidR="00091614" w:rsidRPr="00567F9D" w:rsidRDefault="00091614" w:rsidP="00CF0BBD">
            <w:pPr>
              <w:pStyle w:val="TableBodyCellLeft"/>
              <w:cnfStyle w:val="000000100000" w:firstRow="0" w:lastRow="0" w:firstColumn="0" w:lastColumn="0" w:oddVBand="0" w:evenVBand="0" w:oddHBand="1" w:evenHBand="0" w:firstRowFirstColumn="0" w:firstRowLastColumn="0" w:lastRowFirstColumn="0" w:lastRowLastColumn="0"/>
              <w:rPr>
                <w:b/>
                <w:bCs/>
              </w:rPr>
            </w:pPr>
            <w:hyperlink w:anchor="_Overview" w:history="1">
              <w:r w:rsidRPr="00EA417A">
                <w:rPr>
                  <w:rStyle w:val="Hyperlink"/>
                </w:rPr>
                <w:t>Overview</w:t>
              </w:r>
            </w:hyperlink>
            <w:r>
              <w:t xml:space="preserve"> </w:t>
            </w:r>
          </w:p>
        </w:tc>
        <w:tc>
          <w:tcPr>
            <w:tcW w:w="2690" w:type="dxa"/>
            <w:vAlign w:val="center"/>
          </w:tcPr>
          <w:p w14:paraId="56E5A30E" w14:textId="5A1A519E" w:rsidR="00091614" w:rsidRPr="00A448E1" w:rsidRDefault="00A448E1" w:rsidP="00CF0BBD">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vertAlign w:val="subscript"/>
              </w:rPr>
            </w:pPr>
            <w:r>
              <w:rPr>
                <w:noProof/>
                <w:color w:val="701F4D" w:themeColor="accent2"/>
              </w:rPr>
              <w:drawing>
                <wp:inline distT="0" distB="0" distL="0" distR="0" wp14:anchorId="422161B8" wp14:editId="1B23CAAD">
                  <wp:extent cx="116006" cy="116006"/>
                  <wp:effectExtent l="0" t="0" r="0" b="0"/>
                  <wp:docPr id="77335746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57463"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CF0BBD">
              <w:rPr>
                <w:color w:val="701F4D" w:themeColor="accent2"/>
                <w:vertAlign w:val="subscript"/>
              </w:rPr>
              <w:t xml:space="preserve"> </w:t>
            </w:r>
            <w:r w:rsidR="00CF0BBD" w:rsidRPr="00411C1C">
              <w:rPr>
                <w:color w:val="701F4D" w:themeColor="accent2"/>
                <w:szCs w:val="20"/>
              </w:rPr>
              <w:t>Yes</w:t>
            </w:r>
          </w:p>
        </w:tc>
      </w:tr>
      <w:tr w:rsidR="00091614" w14:paraId="033A024F" w14:textId="77777777" w:rsidTr="00CF0BBD">
        <w:trPr>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1EF4C7E" w14:textId="5AACC3A1" w:rsidR="00091614" w:rsidRPr="008156E5" w:rsidRDefault="00091614" w:rsidP="00CF0BBD">
            <w:pPr>
              <w:pStyle w:val="TableBodyCellLeft"/>
              <w:rPr>
                <w:color w:val="701F4D" w:themeColor="accent2"/>
              </w:rPr>
            </w:pPr>
            <w:r w:rsidRPr="008156E5">
              <w:rPr>
                <w:color w:val="701F4D" w:themeColor="accent2"/>
              </w:rPr>
              <w:t>2.1</w:t>
            </w:r>
          </w:p>
        </w:tc>
        <w:tc>
          <w:tcPr>
            <w:tcW w:w="6237" w:type="dxa"/>
            <w:vAlign w:val="center"/>
          </w:tcPr>
          <w:p w14:paraId="358C9161" w14:textId="33140422" w:rsidR="00091614" w:rsidRDefault="00091614" w:rsidP="00CF0BBD">
            <w:pPr>
              <w:pStyle w:val="TableBodyCellLeft"/>
              <w:cnfStyle w:val="000000000000" w:firstRow="0" w:lastRow="0" w:firstColumn="0" w:lastColumn="0" w:oddVBand="0" w:evenVBand="0" w:oddHBand="0" w:evenHBand="0" w:firstRowFirstColumn="0" w:firstRowLastColumn="0" w:lastRowFirstColumn="0" w:lastRowLastColumn="0"/>
            </w:pPr>
            <w:hyperlink w:anchor="_Total_tax_contribution" w:history="1">
              <w:r w:rsidRPr="00046620">
                <w:rPr>
                  <w:rStyle w:val="Hyperlink"/>
                </w:rPr>
                <w:t>Total tax contribution</w:t>
              </w:r>
            </w:hyperlink>
          </w:p>
        </w:tc>
        <w:tc>
          <w:tcPr>
            <w:tcW w:w="2690" w:type="dxa"/>
            <w:vAlign w:val="center"/>
          </w:tcPr>
          <w:p w14:paraId="6CB1FCBE" w14:textId="045CA8EE" w:rsidR="00091614" w:rsidRPr="008156E5" w:rsidRDefault="00A448E1" w:rsidP="00CF0BBD">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rPr>
            </w:pPr>
            <w:r>
              <w:rPr>
                <w:noProof/>
                <w:color w:val="701F4D" w:themeColor="accent2"/>
              </w:rPr>
              <w:drawing>
                <wp:inline distT="0" distB="0" distL="0" distR="0" wp14:anchorId="65C08D4D" wp14:editId="1B947027">
                  <wp:extent cx="116006" cy="116006"/>
                  <wp:effectExtent l="0" t="0" r="0" b="0"/>
                  <wp:docPr id="95149605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96052"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CF0BBD">
              <w:rPr>
                <w:color w:val="701F4D" w:themeColor="accent2"/>
              </w:rPr>
              <w:t xml:space="preserve"> </w:t>
            </w:r>
            <w:r w:rsidR="00CF0BBD" w:rsidRPr="00411C1C">
              <w:rPr>
                <w:color w:val="701F4D" w:themeColor="accent2"/>
                <w:szCs w:val="20"/>
              </w:rPr>
              <w:t>Yes</w:t>
            </w:r>
          </w:p>
        </w:tc>
      </w:tr>
      <w:tr w:rsidR="00091614" w14:paraId="2D792770" w14:textId="77777777" w:rsidTr="00CF0BB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C09A3E1" w14:textId="47091CDF" w:rsidR="00091614" w:rsidRPr="008156E5" w:rsidRDefault="00091614" w:rsidP="00CF0BBD">
            <w:pPr>
              <w:pStyle w:val="TableBodyCellLeft"/>
              <w:rPr>
                <w:color w:val="701F4D" w:themeColor="accent2"/>
              </w:rPr>
            </w:pPr>
            <w:r w:rsidRPr="008156E5">
              <w:rPr>
                <w:color w:val="701F4D" w:themeColor="accent2"/>
              </w:rPr>
              <w:t>2.2</w:t>
            </w:r>
          </w:p>
        </w:tc>
        <w:tc>
          <w:tcPr>
            <w:tcW w:w="6237" w:type="dxa"/>
            <w:vAlign w:val="center"/>
          </w:tcPr>
          <w:p w14:paraId="6CB0CD9C" w14:textId="22D40D29" w:rsidR="00091614" w:rsidRDefault="00091614" w:rsidP="00CF0BBD">
            <w:pPr>
              <w:pStyle w:val="TableBodyCellLeft"/>
              <w:cnfStyle w:val="000000100000" w:firstRow="0" w:lastRow="0" w:firstColumn="0" w:lastColumn="0" w:oddVBand="0" w:evenVBand="0" w:oddHBand="1" w:evenHBand="0" w:firstRowFirstColumn="0" w:firstRowLastColumn="0" w:lastRowFirstColumn="0" w:lastRowLastColumn="0"/>
            </w:pPr>
            <w:hyperlink w:anchor="_Effective_tax_rates_3" w:history="1">
              <w:r w:rsidRPr="00E55F5F">
                <w:rPr>
                  <w:rStyle w:val="Hyperlink"/>
                </w:rPr>
                <w:t>Effective tax rate - Australia</w:t>
              </w:r>
            </w:hyperlink>
          </w:p>
        </w:tc>
        <w:tc>
          <w:tcPr>
            <w:tcW w:w="2690" w:type="dxa"/>
            <w:vAlign w:val="center"/>
          </w:tcPr>
          <w:p w14:paraId="55CCD0F5" w14:textId="78916F68" w:rsidR="00091614" w:rsidRPr="008156E5" w:rsidRDefault="00A448E1" w:rsidP="00CF0BBD">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Pr>
                <w:noProof/>
                <w:color w:val="701F4D" w:themeColor="accent2"/>
              </w:rPr>
              <w:drawing>
                <wp:inline distT="0" distB="0" distL="0" distR="0" wp14:anchorId="535EBB99" wp14:editId="6DD14EBA">
                  <wp:extent cx="116006" cy="116006"/>
                  <wp:effectExtent l="0" t="0" r="0" b="0"/>
                  <wp:docPr id="1257674135"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674135"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CF0BBD">
              <w:rPr>
                <w:color w:val="701F4D" w:themeColor="accent2"/>
              </w:rPr>
              <w:t xml:space="preserve"> </w:t>
            </w:r>
            <w:r w:rsidR="00CF0BBD" w:rsidRPr="00411C1C">
              <w:rPr>
                <w:color w:val="701F4D" w:themeColor="accent2"/>
                <w:szCs w:val="20"/>
              </w:rPr>
              <w:t>Yes</w:t>
            </w:r>
          </w:p>
        </w:tc>
      </w:tr>
      <w:tr w:rsidR="00091614" w14:paraId="685B1BDE" w14:textId="77777777" w:rsidTr="00CF0BBD">
        <w:trPr>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6310266" w14:textId="19FDBE61" w:rsidR="00091614" w:rsidRPr="008156E5" w:rsidRDefault="00091614" w:rsidP="00CF0BBD">
            <w:pPr>
              <w:pStyle w:val="TableBodyCellLeft"/>
              <w:rPr>
                <w:color w:val="701F4D" w:themeColor="accent2"/>
              </w:rPr>
            </w:pPr>
            <w:r w:rsidRPr="008156E5">
              <w:rPr>
                <w:color w:val="701F4D" w:themeColor="accent2"/>
              </w:rPr>
              <w:t>2.3</w:t>
            </w:r>
          </w:p>
        </w:tc>
        <w:tc>
          <w:tcPr>
            <w:tcW w:w="6237" w:type="dxa"/>
            <w:vAlign w:val="center"/>
          </w:tcPr>
          <w:p w14:paraId="7285F1CC" w14:textId="6FDDAC89" w:rsidR="00091614" w:rsidRPr="00567F9D" w:rsidRDefault="00091614" w:rsidP="00CF0BBD">
            <w:pPr>
              <w:pStyle w:val="TableBodyCellLeft"/>
              <w:cnfStyle w:val="000000000000" w:firstRow="0" w:lastRow="0" w:firstColumn="0" w:lastColumn="0" w:oddVBand="0" w:evenVBand="0" w:oddHBand="0" w:evenHBand="0" w:firstRowFirstColumn="0" w:firstRowLastColumn="0" w:lastRowFirstColumn="0" w:lastRowLastColumn="0"/>
              <w:rPr>
                <w:b/>
                <w:bCs/>
              </w:rPr>
            </w:pPr>
            <w:hyperlink w:anchor="_A_reconciliation_of_1" w:history="1">
              <w:r w:rsidRPr="009A44B6">
                <w:rPr>
                  <w:rStyle w:val="Hyperlink"/>
                </w:rPr>
                <w:t>Reconciliation of accounting profit to income tax expense to income tax paid or payable</w:t>
              </w:r>
            </w:hyperlink>
          </w:p>
        </w:tc>
        <w:tc>
          <w:tcPr>
            <w:tcW w:w="2690" w:type="dxa"/>
            <w:vAlign w:val="center"/>
          </w:tcPr>
          <w:p w14:paraId="0E8D935D" w14:textId="581ACEB6" w:rsidR="00091614" w:rsidRPr="008156E5" w:rsidRDefault="00A448E1" w:rsidP="00CF0BBD">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rPr>
            </w:pPr>
            <w:r>
              <w:rPr>
                <w:noProof/>
                <w:color w:val="701F4D" w:themeColor="accent2"/>
              </w:rPr>
              <w:drawing>
                <wp:inline distT="0" distB="0" distL="0" distR="0" wp14:anchorId="65AD2F87" wp14:editId="572A6BB4">
                  <wp:extent cx="116006" cy="116006"/>
                  <wp:effectExtent l="0" t="0" r="0" b="0"/>
                  <wp:docPr id="154968174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681747"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CF0BBD">
              <w:rPr>
                <w:color w:val="701F4D" w:themeColor="accent2"/>
              </w:rPr>
              <w:t xml:space="preserve"> </w:t>
            </w:r>
            <w:r w:rsidR="00CF0BBD" w:rsidRPr="00411C1C">
              <w:rPr>
                <w:color w:val="701F4D" w:themeColor="accent2"/>
                <w:szCs w:val="20"/>
              </w:rPr>
              <w:t>Yes</w:t>
            </w:r>
          </w:p>
        </w:tc>
      </w:tr>
      <w:tr w:rsidR="00091614" w14:paraId="3B4E581D" w14:textId="77777777" w:rsidTr="00CF0BB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5F8B1A3" w14:textId="2DDE8917" w:rsidR="00091614" w:rsidRPr="008156E5" w:rsidRDefault="00091614" w:rsidP="00CF0BBD">
            <w:pPr>
              <w:pStyle w:val="TableBodyCellLeft"/>
              <w:rPr>
                <w:color w:val="701F4D" w:themeColor="accent2"/>
              </w:rPr>
            </w:pPr>
            <w:r w:rsidRPr="008156E5">
              <w:rPr>
                <w:color w:val="701F4D" w:themeColor="accent2"/>
              </w:rPr>
              <w:t>2.4</w:t>
            </w:r>
          </w:p>
        </w:tc>
        <w:tc>
          <w:tcPr>
            <w:tcW w:w="6237" w:type="dxa"/>
            <w:vAlign w:val="center"/>
          </w:tcPr>
          <w:p w14:paraId="0A48FFA0" w14:textId="69C216FC" w:rsidR="00091614" w:rsidRPr="00567F9D" w:rsidRDefault="00091614" w:rsidP="00CF0BBD">
            <w:pPr>
              <w:pStyle w:val="TableBodyCellLeft"/>
              <w:cnfStyle w:val="000000100000" w:firstRow="0" w:lastRow="0" w:firstColumn="0" w:lastColumn="0" w:oddVBand="0" w:evenVBand="0" w:oddHBand="1" w:evenHBand="0" w:firstRowFirstColumn="0" w:firstRowLastColumn="0" w:lastRowFirstColumn="0" w:lastRowLastColumn="0"/>
              <w:rPr>
                <w:b/>
                <w:bCs/>
              </w:rPr>
            </w:pPr>
            <w:hyperlink w:anchor="_A_reconciliation_to_1" w:history="1">
              <w:r w:rsidRPr="009A44B6">
                <w:rPr>
                  <w:rStyle w:val="Hyperlink"/>
                </w:rPr>
                <w:t xml:space="preserve">Reconciliation to ATO </w:t>
              </w:r>
              <w:r>
                <w:rPr>
                  <w:rStyle w:val="Hyperlink"/>
                </w:rPr>
                <w:t>C</w:t>
              </w:r>
              <w:r w:rsidRPr="009A44B6">
                <w:rPr>
                  <w:rStyle w:val="Hyperlink"/>
                </w:rPr>
                <w:t xml:space="preserve">orporate </w:t>
              </w:r>
              <w:r>
                <w:rPr>
                  <w:rStyle w:val="Hyperlink"/>
                </w:rPr>
                <w:t>T</w:t>
              </w:r>
              <w:r w:rsidRPr="009A44B6">
                <w:rPr>
                  <w:rStyle w:val="Hyperlink"/>
                </w:rPr>
                <w:t xml:space="preserve">ax </w:t>
              </w:r>
              <w:r>
                <w:rPr>
                  <w:rStyle w:val="Hyperlink"/>
                </w:rPr>
                <w:t>T</w:t>
              </w:r>
              <w:r w:rsidRPr="009A44B6">
                <w:rPr>
                  <w:rStyle w:val="Hyperlink"/>
                </w:rPr>
                <w:t xml:space="preserve">ransparency </w:t>
              </w:r>
              <w:r>
                <w:rPr>
                  <w:rStyle w:val="Hyperlink"/>
                </w:rPr>
                <w:t>D</w:t>
              </w:r>
              <w:r w:rsidRPr="009A44B6">
                <w:rPr>
                  <w:rStyle w:val="Hyperlink"/>
                </w:rPr>
                <w:t>isclosures</w:t>
              </w:r>
            </w:hyperlink>
          </w:p>
        </w:tc>
        <w:tc>
          <w:tcPr>
            <w:tcW w:w="2690" w:type="dxa"/>
            <w:vAlign w:val="center"/>
          </w:tcPr>
          <w:p w14:paraId="203F6690" w14:textId="0D908C31" w:rsidR="00091614" w:rsidRPr="008156E5" w:rsidRDefault="00091614" w:rsidP="00CF0BBD">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sidRPr="008156E5">
              <w:rPr>
                <w:color w:val="701F4D" w:themeColor="accent2"/>
                <w:szCs w:val="20"/>
              </w:rPr>
              <w:t>Optional element only</w:t>
            </w:r>
          </w:p>
        </w:tc>
      </w:tr>
      <w:tr w:rsidR="00091614" w14:paraId="3F0EE81B" w14:textId="77777777" w:rsidTr="00CF0BBD">
        <w:trPr>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D49DC1C" w14:textId="5DDC345C" w:rsidR="00091614" w:rsidRPr="008156E5" w:rsidRDefault="00091614" w:rsidP="00CF0BBD">
            <w:pPr>
              <w:pStyle w:val="TableBodyCellLeft"/>
              <w:rPr>
                <w:color w:val="701F4D" w:themeColor="accent2"/>
              </w:rPr>
            </w:pPr>
            <w:r w:rsidRPr="008156E5">
              <w:rPr>
                <w:color w:val="701F4D" w:themeColor="accent2"/>
              </w:rPr>
              <w:t>3.1</w:t>
            </w:r>
          </w:p>
        </w:tc>
        <w:tc>
          <w:tcPr>
            <w:tcW w:w="6237" w:type="dxa"/>
            <w:vAlign w:val="center"/>
          </w:tcPr>
          <w:p w14:paraId="26833309" w14:textId="478FA8C1" w:rsidR="00091614" w:rsidRPr="000A6BC4" w:rsidRDefault="00091614" w:rsidP="00CF0BBD">
            <w:pPr>
              <w:pStyle w:val="TableBodyCellLeft"/>
              <w:cnfStyle w:val="000000000000" w:firstRow="0" w:lastRow="0" w:firstColumn="0" w:lastColumn="0" w:oddVBand="0" w:evenVBand="0" w:oddHBand="0" w:evenHBand="0" w:firstRowFirstColumn="0" w:firstRowLastColumn="0" w:lastRowFirstColumn="0" w:lastRowLastColumn="0"/>
              <w:rPr>
                <w:b/>
                <w:highlight w:val="yellow"/>
              </w:rPr>
            </w:pPr>
            <w:hyperlink w:anchor="_Approach_to_tax_2" w:history="1">
              <w:r w:rsidRPr="00036521">
                <w:rPr>
                  <w:rStyle w:val="Hyperlink"/>
                </w:rPr>
                <w:t>Approach to tax</w:t>
              </w:r>
            </w:hyperlink>
            <w:r w:rsidRPr="00D52851">
              <w:t xml:space="preserve"> </w:t>
            </w:r>
          </w:p>
        </w:tc>
        <w:tc>
          <w:tcPr>
            <w:tcW w:w="2690" w:type="dxa"/>
            <w:vAlign w:val="center"/>
          </w:tcPr>
          <w:p w14:paraId="2BFDB4D4" w14:textId="1C8D1E6E" w:rsidR="00091614" w:rsidRPr="008156E5" w:rsidRDefault="00A448E1" w:rsidP="00CF0BBD">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rPr>
            </w:pPr>
            <w:r>
              <w:rPr>
                <w:noProof/>
                <w:color w:val="701F4D" w:themeColor="accent2"/>
              </w:rPr>
              <w:drawing>
                <wp:inline distT="0" distB="0" distL="0" distR="0" wp14:anchorId="257F25F8" wp14:editId="14BF84C8">
                  <wp:extent cx="116006" cy="116006"/>
                  <wp:effectExtent l="0" t="0" r="0" b="0"/>
                  <wp:docPr id="45871235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12357"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CF0BBD">
              <w:rPr>
                <w:color w:val="701F4D" w:themeColor="accent2"/>
              </w:rPr>
              <w:t xml:space="preserve"> </w:t>
            </w:r>
            <w:r w:rsidR="00CF0BBD" w:rsidRPr="00411C1C">
              <w:rPr>
                <w:color w:val="701F4D" w:themeColor="accent2"/>
                <w:szCs w:val="20"/>
              </w:rPr>
              <w:t>Yes</w:t>
            </w:r>
          </w:p>
        </w:tc>
      </w:tr>
      <w:tr w:rsidR="00091614" w14:paraId="60DC0261" w14:textId="77777777" w:rsidTr="00CF0BB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6F809AE" w14:textId="4B3F84E2" w:rsidR="00091614" w:rsidRPr="008156E5" w:rsidRDefault="00091614" w:rsidP="00CF0BBD">
            <w:pPr>
              <w:pStyle w:val="TableBodyCellLeft"/>
              <w:rPr>
                <w:color w:val="701F4D" w:themeColor="accent2"/>
              </w:rPr>
            </w:pPr>
            <w:r w:rsidRPr="008156E5">
              <w:rPr>
                <w:color w:val="701F4D" w:themeColor="accent2"/>
              </w:rPr>
              <w:t>3.2</w:t>
            </w:r>
          </w:p>
        </w:tc>
        <w:tc>
          <w:tcPr>
            <w:tcW w:w="6237" w:type="dxa"/>
            <w:vAlign w:val="center"/>
          </w:tcPr>
          <w:p w14:paraId="5C8EA008" w14:textId="40FAF78F" w:rsidR="00091614" w:rsidRPr="003F4D13" w:rsidRDefault="00091614" w:rsidP="00CF0BBD">
            <w:pPr>
              <w:pStyle w:val="TableBodyCellLeft"/>
              <w:cnfStyle w:val="000000100000" w:firstRow="0" w:lastRow="0" w:firstColumn="0" w:lastColumn="0" w:oddVBand="0" w:evenVBand="0" w:oddHBand="1" w:evenHBand="0" w:firstRowFirstColumn="0" w:firstRowLastColumn="0" w:lastRowFirstColumn="0" w:lastRowLastColumn="0"/>
              <w:rPr>
                <w:highlight w:val="yellow"/>
              </w:rPr>
            </w:pPr>
            <w:hyperlink w:anchor="_Tax_governance,_control" w:history="1">
              <w:r w:rsidRPr="00036521">
                <w:rPr>
                  <w:rStyle w:val="Hyperlink"/>
                </w:rPr>
                <w:t>Tax governance, control and risk management</w:t>
              </w:r>
            </w:hyperlink>
            <w:r>
              <w:t xml:space="preserve"> </w:t>
            </w:r>
          </w:p>
        </w:tc>
        <w:tc>
          <w:tcPr>
            <w:tcW w:w="2690" w:type="dxa"/>
            <w:vAlign w:val="center"/>
          </w:tcPr>
          <w:p w14:paraId="669E4578" w14:textId="7121D4AA" w:rsidR="00091614" w:rsidRPr="008156E5" w:rsidRDefault="00091614" w:rsidP="00CF0BBD">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szCs w:val="20"/>
              </w:rPr>
            </w:pPr>
            <w:r w:rsidRPr="008156E5">
              <w:rPr>
                <w:color w:val="701F4D" w:themeColor="accent2"/>
                <w:szCs w:val="20"/>
              </w:rPr>
              <w:t>Optional elements only</w:t>
            </w:r>
          </w:p>
        </w:tc>
      </w:tr>
      <w:tr w:rsidR="00091614" w14:paraId="0DF3F837" w14:textId="77777777" w:rsidTr="00CF0BBD">
        <w:trPr>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6881557" w14:textId="2D84C50B" w:rsidR="00091614" w:rsidRPr="008156E5" w:rsidRDefault="00091614" w:rsidP="00CF0BBD">
            <w:pPr>
              <w:pStyle w:val="TableBodyCellLeft"/>
              <w:rPr>
                <w:color w:val="701F4D" w:themeColor="accent2"/>
              </w:rPr>
            </w:pPr>
            <w:r w:rsidRPr="008156E5">
              <w:rPr>
                <w:color w:val="701F4D" w:themeColor="accent2"/>
              </w:rPr>
              <w:t>3.3</w:t>
            </w:r>
          </w:p>
        </w:tc>
        <w:tc>
          <w:tcPr>
            <w:tcW w:w="6237" w:type="dxa"/>
            <w:vAlign w:val="center"/>
          </w:tcPr>
          <w:p w14:paraId="7BB0D8D2" w14:textId="5F23ABF1" w:rsidR="00091614" w:rsidRPr="003F4D13" w:rsidRDefault="00091614" w:rsidP="00CF0BBD">
            <w:pPr>
              <w:pStyle w:val="TableBodyCellLeft"/>
              <w:cnfStyle w:val="000000000000" w:firstRow="0" w:lastRow="0" w:firstColumn="0" w:lastColumn="0" w:oddVBand="0" w:evenVBand="0" w:oddHBand="0" w:evenHBand="0" w:firstRowFirstColumn="0" w:firstRowLastColumn="0" w:lastRowFirstColumn="0" w:lastRowLastColumn="0"/>
              <w:rPr>
                <w:b/>
                <w:highlight w:val="yellow"/>
              </w:rPr>
            </w:pPr>
            <w:hyperlink w:anchor="_Stakeholder_engagement_and_1" w:history="1">
              <w:r w:rsidRPr="00036521">
                <w:rPr>
                  <w:rStyle w:val="Hyperlink"/>
                </w:rPr>
                <w:t>Stakeholder engagement and management of concerns related to tax</w:t>
              </w:r>
            </w:hyperlink>
            <w:r>
              <w:t xml:space="preserve"> </w:t>
            </w:r>
          </w:p>
        </w:tc>
        <w:tc>
          <w:tcPr>
            <w:tcW w:w="2690" w:type="dxa"/>
            <w:vAlign w:val="center"/>
          </w:tcPr>
          <w:p w14:paraId="67499C09" w14:textId="551A1B4A" w:rsidR="00091614" w:rsidRPr="008156E5" w:rsidRDefault="00091614" w:rsidP="00CF0BBD">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szCs w:val="20"/>
              </w:rPr>
            </w:pPr>
            <w:r w:rsidRPr="008156E5">
              <w:rPr>
                <w:color w:val="701F4D" w:themeColor="accent2"/>
                <w:szCs w:val="20"/>
              </w:rPr>
              <w:t>Optional elements only</w:t>
            </w:r>
          </w:p>
        </w:tc>
      </w:tr>
      <w:tr w:rsidR="00091614" w14:paraId="2210AD95" w14:textId="77777777" w:rsidTr="00CF0BB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F076418" w14:textId="786A9EC4" w:rsidR="00091614" w:rsidRPr="008156E5" w:rsidRDefault="00091614" w:rsidP="00CF0BBD">
            <w:pPr>
              <w:pStyle w:val="TableBodyCellLeft"/>
              <w:rPr>
                <w:color w:val="701F4D" w:themeColor="accent2"/>
              </w:rPr>
            </w:pPr>
            <w:r w:rsidRPr="008156E5">
              <w:rPr>
                <w:color w:val="701F4D" w:themeColor="accent2"/>
              </w:rPr>
              <w:t>3.4</w:t>
            </w:r>
          </w:p>
        </w:tc>
        <w:tc>
          <w:tcPr>
            <w:tcW w:w="6237" w:type="dxa"/>
            <w:vAlign w:val="center"/>
          </w:tcPr>
          <w:p w14:paraId="002DE88E" w14:textId="56AB91DB" w:rsidR="00091614" w:rsidRPr="00684C07" w:rsidRDefault="00091614" w:rsidP="00CF0BBD">
            <w:pPr>
              <w:pStyle w:val="TableBodyCellLeft"/>
              <w:cnfStyle w:val="000000100000" w:firstRow="0" w:lastRow="0" w:firstColumn="0" w:lastColumn="0" w:oddVBand="0" w:evenVBand="0" w:oddHBand="1" w:evenHBand="0" w:firstRowFirstColumn="0" w:firstRowLastColumn="0" w:lastRowFirstColumn="0" w:lastRowLastColumn="0"/>
              <w:rPr>
                <w:b/>
                <w:bCs/>
              </w:rPr>
            </w:pPr>
            <w:hyperlink w:anchor="_International_related_party" w:history="1">
              <w:r w:rsidRPr="00036521">
                <w:rPr>
                  <w:rStyle w:val="Hyperlink"/>
                </w:rPr>
                <w:t>International related party dealings summary</w:t>
              </w:r>
            </w:hyperlink>
            <w:r w:rsidRPr="00684C07">
              <w:t xml:space="preserve"> </w:t>
            </w:r>
          </w:p>
        </w:tc>
        <w:tc>
          <w:tcPr>
            <w:tcW w:w="2690" w:type="dxa"/>
            <w:vAlign w:val="center"/>
          </w:tcPr>
          <w:p w14:paraId="7C3F4395" w14:textId="2469C735" w:rsidR="00091614" w:rsidRPr="008156E5" w:rsidRDefault="00A448E1" w:rsidP="00CF0BBD">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Pr>
                <w:noProof/>
                <w:color w:val="701F4D" w:themeColor="accent2"/>
              </w:rPr>
              <w:drawing>
                <wp:inline distT="0" distB="0" distL="0" distR="0" wp14:anchorId="151BA91C" wp14:editId="1E9D6757">
                  <wp:extent cx="116006" cy="116006"/>
                  <wp:effectExtent l="0" t="0" r="0" b="0"/>
                  <wp:docPr id="29356424"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56424"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CF0BBD">
              <w:rPr>
                <w:color w:val="701F4D" w:themeColor="accent2"/>
              </w:rPr>
              <w:t xml:space="preserve"> </w:t>
            </w:r>
            <w:r w:rsidR="00CF0BBD" w:rsidRPr="00411C1C">
              <w:rPr>
                <w:color w:val="701F4D" w:themeColor="accent2"/>
                <w:szCs w:val="20"/>
              </w:rPr>
              <w:t>Yes</w:t>
            </w:r>
          </w:p>
        </w:tc>
      </w:tr>
    </w:tbl>
    <w:p w14:paraId="312F0635" w14:textId="1B6BBF76" w:rsidR="0092068A" w:rsidRDefault="002C3D48" w:rsidP="00F52058">
      <w:pPr>
        <w:pStyle w:val="Heading3"/>
        <w:numPr>
          <w:ilvl w:val="0"/>
          <w:numId w:val="85"/>
        </w:numPr>
      </w:pPr>
      <w:bookmarkStart w:id="47" w:name="_Basic_information"/>
      <w:bookmarkStart w:id="48" w:name="_Overview"/>
      <w:bookmarkEnd w:id="47"/>
      <w:bookmarkEnd w:id="48"/>
      <w:r>
        <w:t>Overview</w:t>
      </w:r>
    </w:p>
    <w:tbl>
      <w:tblPr>
        <w:tblStyle w:val="ListTable3-Accent2"/>
        <w:tblW w:w="5000" w:type="pct"/>
        <w:tblLook w:val="04A0" w:firstRow="1" w:lastRow="0" w:firstColumn="1" w:lastColumn="0" w:noHBand="0" w:noVBand="1"/>
      </w:tblPr>
      <w:tblGrid>
        <w:gridCol w:w="9636"/>
      </w:tblGrid>
      <w:tr w:rsidR="00F940AD" w:rsidRPr="00F940AD" w14:paraId="71BCD0D3" w14:textId="77777777" w:rsidTr="005B5D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tcPr>
          <w:p w14:paraId="1CCD4F21" w14:textId="6442C4C2" w:rsidR="008C7050" w:rsidRPr="00F940AD" w:rsidRDefault="00AF7F4D" w:rsidP="00B8209A">
            <w:pPr>
              <w:pStyle w:val="Heading4"/>
              <w:spacing w:before="240" w:after="0"/>
            </w:pPr>
            <w:r>
              <w:t>V</w:t>
            </w:r>
            <w:r w:rsidR="008C7050" w:rsidRPr="00F940AD">
              <w:t>TTC Requirement</w:t>
            </w:r>
          </w:p>
          <w:p w14:paraId="75D4B411" w14:textId="7D5EF97B" w:rsidR="00B66078" w:rsidRPr="00F940AD" w:rsidRDefault="00946EF7" w:rsidP="00D9211C">
            <w:pPr>
              <w:pStyle w:val="Bullet"/>
              <w:numPr>
                <w:ilvl w:val="1"/>
                <w:numId w:val="35"/>
              </w:numPr>
            </w:pPr>
            <w:r>
              <w:t>Entities</w:t>
            </w:r>
            <w:r w:rsidRPr="00F940AD">
              <w:t xml:space="preserve"> </w:t>
            </w:r>
            <w:r w:rsidR="00DC5A2B" w:rsidRPr="00F940AD">
              <w:t xml:space="preserve">should provide the following information: </w:t>
            </w:r>
          </w:p>
          <w:p w14:paraId="58439732" w14:textId="1FBE92F8" w:rsidR="006F70A7" w:rsidRPr="00F940AD" w:rsidRDefault="00973F68" w:rsidP="00D9211C">
            <w:pPr>
              <w:pStyle w:val="Bullet"/>
              <w:numPr>
                <w:ilvl w:val="0"/>
                <w:numId w:val="36"/>
              </w:numPr>
            </w:pPr>
            <w:r>
              <w:t>a</w:t>
            </w:r>
            <w:r w:rsidR="00E82C1C" w:rsidRPr="00F940AD">
              <w:t xml:space="preserve"> list of</w:t>
            </w:r>
            <w:r w:rsidR="00B34C31" w:rsidRPr="00F940AD">
              <w:t xml:space="preserve"> all material subsidiaries in the group</w:t>
            </w:r>
            <w:r w:rsidR="00281EE0">
              <w:t>.</w:t>
            </w:r>
          </w:p>
          <w:p w14:paraId="0B1061FA" w14:textId="4934F538" w:rsidR="00B66078" w:rsidRDefault="00973F68" w:rsidP="00D9211C">
            <w:pPr>
              <w:pStyle w:val="Bullet"/>
              <w:numPr>
                <w:ilvl w:val="0"/>
                <w:numId w:val="36"/>
              </w:numPr>
            </w:pPr>
            <w:r>
              <w:t>a</w:t>
            </w:r>
            <w:r w:rsidR="00E82C1C" w:rsidRPr="00F940AD">
              <w:t xml:space="preserve">n explanation of the </w:t>
            </w:r>
            <w:r w:rsidR="00B265EE" w:rsidRPr="00F940AD">
              <w:t xml:space="preserve">main </w:t>
            </w:r>
            <w:r w:rsidR="00E82C1C" w:rsidRPr="00F940AD">
              <w:t>activities undertaken by the group</w:t>
            </w:r>
            <w:r w:rsidR="00281EE0">
              <w:t>.</w:t>
            </w:r>
          </w:p>
          <w:p w14:paraId="5F80F827" w14:textId="422BFFC6" w:rsidR="00E71CC6" w:rsidRPr="00203B84" w:rsidRDefault="00973F68" w:rsidP="00D9211C">
            <w:pPr>
              <w:pStyle w:val="Bullet"/>
              <w:numPr>
                <w:ilvl w:val="0"/>
                <w:numId w:val="36"/>
              </w:numPr>
              <w:spacing w:after="240"/>
            </w:pPr>
            <w:r>
              <w:t>t</w:t>
            </w:r>
            <w:r w:rsidR="00E71CC6">
              <w:t xml:space="preserve">otal number </w:t>
            </w:r>
            <w:r w:rsidR="0046753D">
              <w:t xml:space="preserve">employees for the global group and for the </w:t>
            </w:r>
            <w:r w:rsidR="006C1BA7">
              <w:t xml:space="preserve">Australian </w:t>
            </w:r>
            <w:r w:rsidR="0046753D">
              <w:t>operations</w:t>
            </w:r>
            <w:r w:rsidR="00F27FA5">
              <w:t>.</w:t>
            </w:r>
          </w:p>
        </w:tc>
      </w:tr>
    </w:tbl>
    <w:p w14:paraId="34073B09" w14:textId="77777777" w:rsidR="001B25CA" w:rsidRDefault="001B25CA" w:rsidP="00103631">
      <w:pPr>
        <w:pStyle w:val="Heading4"/>
      </w:pPr>
      <w:r w:rsidRPr="003401E5">
        <w:t xml:space="preserve">Guidance </w:t>
      </w:r>
    </w:p>
    <w:p w14:paraId="3AC7E87E" w14:textId="05FC37E8" w:rsidR="001B25CA" w:rsidRDefault="001B25CA" w:rsidP="00F91679">
      <w:r>
        <w:t xml:space="preserve">Where a non-public </w:t>
      </w:r>
      <w:proofErr w:type="spellStart"/>
      <w:r>
        <w:t>CbC</w:t>
      </w:r>
      <w:proofErr w:type="spellEnd"/>
      <w:r>
        <w:t xml:space="preserve"> reporter </w:t>
      </w:r>
      <w:r w:rsidR="00013DFC">
        <w:t>prepares</w:t>
      </w:r>
      <w:r w:rsidR="0099236A">
        <w:t xml:space="preserve"> a Consolidated Entity Disclosure Statement (CEDS) under </w:t>
      </w:r>
      <w:r w:rsidR="00807DA7">
        <w:t xml:space="preserve">section </w:t>
      </w:r>
      <w:r w:rsidR="00802FB1">
        <w:t xml:space="preserve">295 of the </w:t>
      </w:r>
      <w:r w:rsidR="00802FB1">
        <w:rPr>
          <w:i/>
          <w:iCs/>
        </w:rPr>
        <w:t xml:space="preserve">Corporations Act 2001 </w:t>
      </w:r>
      <w:r w:rsidR="00802FB1">
        <w:t>(</w:t>
      </w:r>
      <w:proofErr w:type="spellStart"/>
      <w:r w:rsidR="00802FB1">
        <w:t>Cth</w:t>
      </w:r>
      <w:proofErr w:type="spellEnd"/>
      <w:r w:rsidR="00802FB1">
        <w:t xml:space="preserve">) </w:t>
      </w:r>
      <w:r w:rsidR="00D02422">
        <w:t xml:space="preserve">the non-public </w:t>
      </w:r>
      <w:proofErr w:type="spellStart"/>
      <w:r w:rsidR="00D02422">
        <w:t>CbC</w:t>
      </w:r>
      <w:proofErr w:type="spellEnd"/>
      <w:r w:rsidR="00D02422">
        <w:t xml:space="preserve"> reporter</w:t>
      </w:r>
      <w:r w:rsidR="00802FB1">
        <w:t xml:space="preserve"> can provide a link to their CEDS in lieu of meeting </w:t>
      </w:r>
      <w:r w:rsidR="00D02422">
        <w:t xml:space="preserve">VTTC </w:t>
      </w:r>
      <w:r w:rsidR="00802FB1">
        <w:t>requirement 1.</w:t>
      </w:r>
      <w:r w:rsidR="00A832E7">
        <w:t>1.</w:t>
      </w:r>
      <w:r w:rsidR="00802FB1">
        <w:t xml:space="preserve">a. </w:t>
      </w:r>
    </w:p>
    <w:p w14:paraId="7209821B" w14:textId="74D59A8C" w:rsidR="0092068A" w:rsidRDefault="0092068A" w:rsidP="00281EE0">
      <w:pPr>
        <w:pStyle w:val="Heading3"/>
        <w:numPr>
          <w:ilvl w:val="0"/>
          <w:numId w:val="85"/>
        </w:numPr>
      </w:pPr>
      <w:r>
        <w:lastRenderedPageBreak/>
        <w:t xml:space="preserve">Tax Data </w:t>
      </w:r>
    </w:p>
    <w:p w14:paraId="52BD9312" w14:textId="2B548147" w:rsidR="00267713" w:rsidRDefault="00267713" w:rsidP="00044CEF">
      <w:pPr>
        <w:pStyle w:val="Heading4"/>
        <w:numPr>
          <w:ilvl w:val="1"/>
          <w:numId w:val="37"/>
        </w:numPr>
      </w:pPr>
      <w:bookmarkStart w:id="49" w:name="_A_reconciliation_of"/>
      <w:bookmarkStart w:id="50" w:name="_Total_tax_contribution"/>
      <w:bookmarkEnd w:id="49"/>
      <w:bookmarkEnd w:id="50"/>
      <w:r>
        <w:t xml:space="preserve">Total tax contribution </w:t>
      </w:r>
    </w:p>
    <w:tbl>
      <w:tblPr>
        <w:tblStyle w:val="ListTable3-Accent2"/>
        <w:tblW w:w="5000" w:type="pct"/>
        <w:tblLook w:val="04A0" w:firstRow="1" w:lastRow="0" w:firstColumn="1" w:lastColumn="0" w:noHBand="0" w:noVBand="1"/>
      </w:tblPr>
      <w:tblGrid>
        <w:gridCol w:w="9636"/>
      </w:tblGrid>
      <w:tr w:rsidR="00267713" w14:paraId="3056C110" w14:textId="77777777" w:rsidTr="005B5D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tcPr>
          <w:p w14:paraId="677C77CE" w14:textId="23C2F198" w:rsidR="00A93719" w:rsidRPr="00C6590E" w:rsidRDefault="00AF7F4D" w:rsidP="00C13FBE">
            <w:pPr>
              <w:pStyle w:val="Heading5"/>
              <w:spacing w:before="200"/>
              <w:rPr>
                <w:color w:val="FFFFFF" w:themeColor="background1"/>
              </w:rPr>
            </w:pPr>
            <w:r w:rsidRPr="00C6590E">
              <w:rPr>
                <w:color w:val="FFFFFF" w:themeColor="background1"/>
              </w:rPr>
              <w:t>V</w:t>
            </w:r>
            <w:r w:rsidR="00A93719" w:rsidRPr="00C6590E">
              <w:rPr>
                <w:color w:val="FFFFFF" w:themeColor="background1"/>
              </w:rPr>
              <w:t>TTC Requirement</w:t>
            </w:r>
          </w:p>
          <w:p w14:paraId="56AC7023" w14:textId="172F8939" w:rsidR="00A93719" w:rsidRPr="00F91679" w:rsidRDefault="00946EF7" w:rsidP="00D9211C">
            <w:pPr>
              <w:pStyle w:val="ListParagraph"/>
              <w:numPr>
                <w:ilvl w:val="2"/>
                <w:numId w:val="37"/>
              </w:numPr>
              <w:spacing w:after="200"/>
            </w:pPr>
            <w:r w:rsidRPr="00F91679">
              <w:t xml:space="preserve">Entities </w:t>
            </w:r>
            <w:r w:rsidR="00A93719" w:rsidRPr="00F91679">
              <w:t xml:space="preserve">should disclose their total Australian </w:t>
            </w:r>
            <w:r w:rsidR="009C0798" w:rsidRPr="00F91679">
              <w:t xml:space="preserve">corporate </w:t>
            </w:r>
            <w:r w:rsidR="00362303" w:rsidRPr="00F91679">
              <w:t xml:space="preserve">income </w:t>
            </w:r>
            <w:r w:rsidR="00A93719" w:rsidRPr="00F91679">
              <w:t xml:space="preserve">tax </w:t>
            </w:r>
            <w:r w:rsidR="00B1442D" w:rsidRPr="00F91679">
              <w:t>paid.</w:t>
            </w:r>
          </w:p>
        </w:tc>
      </w:tr>
    </w:tbl>
    <w:p w14:paraId="0B394E32" w14:textId="77777777" w:rsidR="00267713" w:rsidRDefault="00267713" w:rsidP="00267713">
      <w:pPr>
        <w:pStyle w:val="Heading5"/>
      </w:pPr>
      <w:r>
        <w:t xml:space="preserve">Optional elements </w:t>
      </w:r>
    </w:p>
    <w:p w14:paraId="14E3B3E1" w14:textId="76228429" w:rsidR="005555E9" w:rsidRPr="009B3FAF" w:rsidRDefault="005555E9" w:rsidP="00D9211C">
      <w:pPr>
        <w:pStyle w:val="NumberedParagraphalpha"/>
        <w:numPr>
          <w:ilvl w:val="3"/>
          <w:numId w:val="57"/>
        </w:numPr>
      </w:pPr>
      <w:r>
        <w:t xml:space="preserve">Report on </w:t>
      </w:r>
      <w:r w:rsidRPr="009B3FAF">
        <w:t xml:space="preserve">global group total </w:t>
      </w:r>
      <w:r>
        <w:t xml:space="preserve">income </w:t>
      </w:r>
      <w:r w:rsidRPr="009B3FAF">
        <w:t xml:space="preserve">tax </w:t>
      </w:r>
      <w:r w:rsidR="00D55E0B">
        <w:t>paid</w:t>
      </w:r>
      <w:r>
        <w:t>.</w:t>
      </w:r>
    </w:p>
    <w:p w14:paraId="7E786BB1" w14:textId="4232D18F" w:rsidR="005555E9" w:rsidRPr="009B3FAF" w:rsidRDefault="005555E9" w:rsidP="00C04417">
      <w:pPr>
        <w:pStyle w:val="NumberedParagraphalpha"/>
      </w:pPr>
      <w:r>
        <w:t xml:space="preserve">Report </w:t>
      </w:r>
      <w:r w:rsidRPr="009B3FAF">
        <w:t xml:space="preserve">other Australian taxes and imposts paid to Government, for example Petroleum Resources Rent Tax, royalties, </w:t>
      </w:r>
      <w:r w:rsidR="002779F6">
        <w:t xml:space="preserve">GST, </w:t>
      </w:r>
      <w:r w:rsidR="00EA3E0A">
        <w:t>excises</w:t>
      </w:r>
      <w:r w:rsidRPr="009B3FAF">
        <w:t>, payroll taxes, stamp duties, fringe benefits tax and state taxes</w:t>
      </w:r>
      <w:r>
        <w:t>.</w:t>
      </w:r>
    </w:p>
    <w:p w14:paraId="6CC864E7" w14:textId="15B00835" w:rsidR="0097324D" w:rsidRDefault="005555E9" w:rsidP="00C04417">
      <w:pPr>
        <w:pStyle w:val="NumberedParagraphalpha"/>
      </w:pPr>
      <w:r>
        <w:t>Report</w:t>
      </w:r>
      <w:r w:rsidRPr="009B3FAF">
        <w:t xml:space="preserve"> Government imposts collected by the </w:t>
      </w:r>
      <w:r w:rsidR="008D32A3">
        <w:t>entity</w:t>
      </w:r>
      <w:r w:rsidR="008D32A3" w:rsidRPr="009B3FAF">
        <w:t xml:space="preserve"> </w:t>
      </w:r>
      <w:r w:rsidRPr="009B3FAF">
        <w:t xml:space="preserve">on behalf of others, for example, GST and Pay </w:t>
      </w:r>
      <w:proofErr w:type="gramStart"/>
      <w:r w:rsidRPr="009B3FAF">
        <w:t>As</w:t>
      </w:r>
      <w:proofErr w:type="gramEnd"/>
      <w:r w:rsidRPr="009B3FAF">
        <w:t xml:space="preserve"> You Go withholding taxes.</w:t>
      </w:r>
    </w:p>
    <w:p w14:paraId="33571B0B" w14:textId="36A57EFB" w:rsidR="0097324D" w:rsidRDefault="0097324D" w:rsidP="00250BAE">
      <w:pPr>
        <w:pStyle w:val="Heading5"/>
      </w:pPr>
      <w:r w:rsidRPr="003401E5">
        <w:t xml:space="preserve">Guidance </w:t>
      </w:r>
    </w:p>
    <w:p w14:paraId="109D2549" w14:textId="77777777" w:rsidR="003307AC" w:rsidRPr="003307AC" w:rsidRDefault="003307AC" w:rsidP="003307AC">
      <w:r w:rsidRPr="003307AC">
        <w:t>The Board acknowledges there can be nuances in how tax is reported and aims to allow flexibility to VTTC participants. Where the optional elements are adopted, entities may wish to specify quantitative amounts where taxes are collected on behalf of others (for example indirect taxes) and where taxes are paid by the relevant entity.</w:t>
      </w:r>
    </w:p>
    <w:p w14:paraId="4CA5B82E" w14:textId="33E9F2E1" w:rsidR="00B319B2" w:rsidRDefault="00B319B2" w:rsidP="00D9211C">
      <w:pPr>
        <w:pStyle w:val="Heading4"/>
        <w:numPr>
          <w:ilvl w:val="1"/>
          <w:numId w:val="37"/>
        </w:numPr>
      </w:pPr>
      <w:bookmarkStart w:id="51" w:name="_Effective_tax_rates_3"/>
      <w:bookmarkStart w:id="52" w:name="_Effective_tax_rate"/>
      <w:bookmarkEnd w:id="51"/>
      <w:bookmarkEnd w:id="52"/>
      <w:r>
        <w:t xml:space="preserve">Effective tax rate – Australia </w:t>
      </w:r>
    </w:p>
    <w:tbl>
      <w:tblPr>
        <w:tblStyle w:val="ListTable3-Accent2"/>
        <w:tblW w:w="5000" w:type="pct"/>
        <w:tblLook w:val="04A0" w:firstRow="1" w:lastRow="0" w:firstColumn="1" w:lastColumn="0" w:noHBand="0" w:noVBand="1"/>
      </w:tblPr>
      <w:tblGrid>
        <w:gridCol w:w="9636"/>
      </w:tblGrid>
      <w:tr w:rsidR="00B319B2" w14:paraId="1EAD9382" w14:textId="77777777" w:rsidTr="00A30A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tcPr>
          <w:p w14:paraId="0C978A6A" w14:textId="1573482E" w:rsidR="00B319B2" w:rsidRPr="00C6590E" w:rsidRDefault="00AC7CC7" w:rsidP="00A452C9">
            <w:pPr>
              <w:pStyle w:val="Heading5"/>
              <w:spacing w:before="200"/>
              <w:rPr>
                <w:color w:val="FFFFFF" w:themeColor="background1"/>
              </w:rPr>
            </w:pPr>
            <w:r w:rsidRPr="00C6590E">
              <w:rPr>
                <w:color w:val="FFFFFF" w:themeColor="background1"/>
              </w:rPr>
              <w:t>V</w:t>
            </w:r>
            <w:r w:rsidR="00B319B2" w:rsidRPr="00C6590E">
              <w:rPr>
                <w:color w:val="FFFFFF" w:themeColor="background1"/>
              </w:rPr>
              <w:t>TTC Requirement</w:t>
            </w:r>
          </w:p>
          <w:p w14:paraId="6EA3D84A" w14:textId="3C4B5D31" w:rsidR="00B319B2" w:rsidRPr="00F91679" w:rsidRDefault="00946EF7" w:rsidP="00D9211C">
            <w:pPr>
              <w:pStyle w:val="ListParagraph"/>
              <w:numPr>
                <w:ilvl w:val="2"/>
                <w:numId w:val="37"/>
              </w:numPr>
              <w:spacing w:after="200"/>
            </w:pPr>
            <w:r w:rsidRPr="00F91679">
              <w:t xml:space="preserve">Entities </w:t>
            </w:r>
            <w:r w:rsidR="00B319B2" w:rsidRPr="00F91679">
              <w:t>should disclose an Australian accounting effective tax rate (ETR)</w:t>
            </w:r>
            <w:r w:rsidR="00C90666" w:rsidRPr="00F91679">
              <w:t xml:space="preserve">. </w:t>
            </w:r>
            <w:r w:rsidRPr="00F91679">
              <w:t>Entities</w:t>
            </w:r>
            <w:r w:rsidR="008A4B0D" w:rsidRPr="00F91679">
              <w:t xml:space="preserve"> should indicate the basis of their ETR calculations and any underlying assumptions.</w:t>
            </w:r>
          </w:p>
        </w:tc>
      </w:tr>
    </w:tbl>
    <w:p w14:paraId="0400A930" w14:textId="77777777" w:rsidR="00B319B2" w:rsidRDefault="00B319B2" w:rsidP="00B319B2">
      <w:pPr>
        <w:pStyle w:val="Heading5"/>
      </w:pPr>
      <w:r>
        <w:t xml:space="preserve">Optional elements </w:t>
      </w:r>
    </w:p>
    <w:p w14:paraId="28674A71" w14:textId="13063332" w:rsidR="00B319B2" w:rsidRDefault="00B319B2" w:rsidP="00D9211C">
      <w:pPr>
        <w:pStyle w:val="NumberedParagraphalpha"/>
        <w:numPr>
          <w:ilvl w:val="3"/>
          <w:numId w:val="58"/>
        </w:numPr>
      </w:pPr>
      <w:r w:rsidRPr="0011166C">
        <w:t>Provide a description of the primary drivers of the gap between ETR and the weighted average statutory rate</w:t>
      </w:r>
      <w:r w:rsidR="00B93508" w:rsidRPr="0011166C">
        <w:t>.</w:t>
      </w:r>
    </w:p>
    <w:p w14:paraId="027B77DE" w14:textId="182FF82E" w:rsidR="00C90666" w:rsidRPr="0011166C" w:rsidRDefault="00C90666" w:rsidP="00F75CD6">
      <w:pPr>
        <w:pStyle w:val="NumberedParagraphalpha"/>
      </w:pPr>
      <w:r>
        <w:t xml:space="preserve">Provide a </w:t>
      </w:r>
      <w:r w:rsidRPr="00C90666">
        <w:t>global ETR for the worldwide accounting consolidated group calculated based on tax expense (income).</w:t>
      </w:r>
    </w:p>
    <w:p w14:paraId="0C023CD7" w14:textId="4303C1BA" w:rsidR="00B319B2" w:rsidRPr="008D4C9A" w:rsidRDefault="00B319B2" w:rsidP="00B319B2">
      <w:pPr>
        <w:pStyle w:val="Heading5"/>
      </w:pPr>
      <w:r>
        <w:lastRenderedPageBreak/>
        <w:t>Guidance</w:t>
      </w:r>
    </w:p>
    <w:p w14:paraId="41B068A2" w14:textId="77777777" w:rsidR="00061FD3" w:rsidRDefault="00061FD3" w:rsidP="00061FD3">
      <w:r w:rsidRPr="00877312">
        <w:t xml:space="preserve">The </w:t>
      </w:r>
      <w:r w:rsidRPr="00566B1D">
        <w:t xml:space="preserve">Australian Accounting Standards Board </w:t>
      </w:r>
      <w:r>
        <w:t xml:space="preserve">(AASB) </w:t>
      </w:r>
      <w:r w:rsidRPr="00877312">
        <w:t>developed</w:t>
      </w:r>
      <w:r>
        <w:t xml:space="preserve"> draft</w:t>
      </w:r>
      <w:r w:rsidRPr="00877312">
        <w:t xml:space="preserve"> guidance material to assist </w:t>
      </w:r>
      <w:r>
        <w:rPr>
          <w:rFonts w:asciiTheme="minorHAnsi" w:hAnsiTheme="minorHAnsi" w:cstheme="minorHAnsi"/>
        </w:rPr>
        <w:t>entities</w:t>
      </w:r>
      <w:r w:rsidRPr="002F5B2C">
        <w:rPr>
          <w:rFonts w:asciiTheme="minorHAnsi" w:hAnsiTheme="minorHAnsi" w:cstheme="minorHAnsi"/>
        </w:rPr>
        <w:t xml:space="preserve"> </w:t>
      </w:r>
      <w:r w:rsidRPr="00877312">
        <w:t xml:space="preserve">in meeting the </w:t>
      </w:r>
      <w:r>
        <w:t>requirements of the</w:t>
      </w:r>
      <w:r w:rsidRPr="00877312">
        <w:t xml:space="preserve"> </w:t>
      </w:r>
      <w:r>
        <w:t>V</w:t>
      </w:r>
      <w:r w:rsidRPr="00877312">
        <w:t>TTC.</w:t>
      </w:r>
      <w:r>
        <w:rPr>
          <w:rStyle w:val="FootnoteReference"/>
        </w:rPr>
        <w:footnoteReference w:id="10"/>
      </w:r>
      <w:r w:rsidRPr="00877312">
        <w:t xml:space="preserve"> In particular, the AASB guidance establishes a common definition of ETR </w:t>
      </w:r>
      <w:r>
        <w:t xml:space="preserve">(the TTC ETR) </w:t>
      </w:r>
      <w:r w:rsidRPr="00877312">
        <w:t>to ensure consistency and comparability</w:t>
      </w:r>
      <w:r>
        <w:t>.</w:t>
      </w:r>
      <w:r>
        <w:rPr>
          <w:rStyle w:val="FootnoteReference"/>
        </w:rPr>
        <w:footnoteReference w:id="11"/>
      </w:r>
      <w:r w:rsidRPr="00877312">
        <w:t xml:space="preserve"> </w:t>
      </w:r>
      <w:r>
        <w:t>Entities</w:t>
      </w:r>
      <w:r w:rsidRPr="00877312">
        <w:t xml:space="preserve"> are </w:t>
      </w:r>
      <w:r>
        <w:t>encouraged</w:t>
      </w:r>
      <w:r w:rsidRPr="00877312">
        <w:t xml:space="preserve"> to follow the AASB guidance in preparing their </w:t>
      </w:r>
      <w:r>
        <w:t>V</w:t>
      </w:r>
      <w:r w:rsidRPr="00877312">
        <w:t xml:space="preserve">TTC </w:t>
      </w:r>
      <w:r>
        <w:t>reports.</w:t>
      </w:r>
      <w:r>
        <w:rPr>
          <w:rStyle w:val="FootnoteReference"/>
        </w:rPr>
        <w:footnoteReference w:id="12"/>
      </w:r>
      <w:r>
        <w:t xml:space="preserve"> </w:t>
      </w:r>
    </w:p>
    <w:p w14:paraId="2AFEE3BF" w14:textId="0849FC18" w:rsidR="005A2EF3" w:rsidRDefault="005A2EF3" w:rsidP="00061FD3">
      <w:r w:rsidRPr="00356588">
        <w:t xml:space="preserve">The Board acknowledges that an ETR can be calculated on different bases (for example total profit vs underlying earnings). The VTTC provides flexibility in the use </w:t>
      </w:r>
      <w:r>
        <w:t xml:space="preserve">of </w:t>
      </w:r>
      <w:r w:rsidRPr="00356588">
        <w:t>ETR method</w:t>
      </w:r>
      <w:r>
        <w:t>. Whilst the Board encourages use of the AASB TTC ETR, entities may use other methods</w:t>
      </w:r>
      <w:r w:rsidRPr="00356588">
        <w:t xml:space="preserve"> such as the AASB accounting ETR or IFRS ratios. However, to provide users </w:t>
      </w:r>
      <w:r w:rsidRPr="009F5F77">
        <w:t>of the tax transparency information</w:t>
      </w:r>
      <w:r w:rsidRPr="00356588">
        <w:t xml:space="preserve"> with clarity and </w:t>
      </w:r>
      <w:r>
        <w:t xml:space="preserve">to </w:t>
      </w:r>
      <w:r w:rsidRPr="00356588">
        <w:t>prevent misleading information, an entity should clearly identify the basis of calculation adopted and any underlying assumptions.</w:t>
      </w:r>
      <w:r>
        <w:t xml:space="preserve"> An entity should apply the same ETR method year on year to promote consistency and comparability.</w:t>
      </w:r>
    </w:p>
    <w:p w14:paraId="354AA05E" w14:textId="57F90926" w:rsidR="004205FD" w:rsidRDefault="005118C0" w:rsidP="00D9211C">
      <w:pPr>
        <w:pStyle w:val="Heading4"/>
        <w:numPr>
          <w:ilvl w:val="1"/>
          <w:numId w:val="37"/>
        </w:numPr>
      </w:pPr>
      <w:bookmarkStart w:id="53" w:name="_A_reconciliation_of_1"/>
      <w:bookmarkEnd w:id="53"/>
      <w:r>
        <w:t>A r</w:t>
      </w:r>
      <w:r w:rsidR="008607C7">
        <w:t xml:space="preserve">econciliation of accounting profit </w:t>
      </w:r>
      <w:r w:rsidR="00DF3FEA">
        <w:t xml:space="preserve">to income tax expense to income tax paid or payable </w:t>
      </w:r>
    </w:p>
    <w:tbl>
      <w:tblPr>
        <w:tblStyle w:val="ListTable3-Accent2"/>
        <w:tblW w:w="5000" w:type="pct"/>
        <w:tblLook w:val="04A0" w:firstRow="1" w:lastRow="0" w:firstColumn="1" w:lastColumn="0" w:noHBand="0" w:noVBand="1"/>
      </w:tblPr>
      <w:tblGrid>
        <w:gridCol w:w="9636"/>
      </w:tblGrid>
      <w:tr w:rsidR="00B66078" w14:paraId="24429848" w14:textId="77777777" w:rsidTr="00A30A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tcPr>
          <w:p w14:paraId="068D7A6B" w14:textId="1CF0996F" w:rsidR="00B66078" w:rsidRPr="00C6590E" w:rsidRDefault="00AC7CC7" w:rsidP="002F3FEF">
            <w:pPr>
              <w:pStyle w:val="Heading5"/>
              <w:spacing w:before="200"/>
              <w:rPr>
                <w:color w:val="FFFFFF" w:themeColor="background1"/>
              </w:rPr>
            </w:pPr>
            <w:r w:rsidRPr="00C6590E">
              <w:rPr>
                <w:color w:val="FFFFFF" w:themeColor="background1"/>
              </w:rPr>
              <w:t>V</w:t>
            </w:r>
            <w:r w:rsidR="008C7050" w:rsidRPr="00C6590E">
              <w:rPr>
                <w:color w:val="FFFFFF" w:themeColor="background1"/>
              </w:rPr>
              <w:t>TTC Requirement</w:t>
            </w:r>
          </w:p>
          <w:p w14:paraId="75A3B423" w14:textId="351C61DF" w:rsidR="00B66078" w:rsidRPr="00A9291E" w:rsidRDefault="00946EF7" w:rsidP="00D9211C">
            <w:pPr>
              <w:pStyle w:val="ListParagraph"/>
              <w:numPr>
                <w:ilvl w:val="2"/>
                <w:numId w:val="37"/>
              </w:numPr>
              <w:spacing w:after="200"/>
            </w:pPr>
            <w:r w:rsidRPr="00A9291E">
              <w:t xml:space="preserve">Entities </w:t>
            </w:r>
            <w:r w:rsidR="002661D0" w:rsidRPr="00A9291E">
              <w:t xml:space="preserve">should </w:t>
            </w:r>
            <w:r w:rsidR="007B36EA" w:rsidRPr="00A9291E">
              <w:t xml:space="preserve">provide </w:t>
            </w:r>
            <w:r w:rsidR="002661D0" w:rsidRPr="00A9291E">
              <w:t>a reconciliation of accounting profit to income tax expense, and from income tax expense to income tax paid or income tax payable. The reconciliation should identify material temporary or non-temporary differences</w:t>
            </w:r>
            <w:r w:rsidR="006E0E6F" w:rsidRPr="00A9291E">
              <w:t xml:space="preserve"> and </w:t>
            </w:r>
            <w:r w:rsidR="0097324D" w:rsidRPr="00A9291E">
              <w:t xml:space="preserve">provide a qualitative disclosure of these differences. </w:t>
            </w:r>
          </w:p>
        </w:tc>
      </w:tr>
    </w:tbl>
    <w:p w14:paraId="293D6A7A" w14:textId="77777777" w:rsidR="003528D9" w:rsidRPr="008607C7" w:rsidRDefault="003528D9" w:rsidP="003528D9">
      <w:pPr>
        <w:pStyle w:val="Heading5"/>
      </w:pPr>
      <w:r>
        <w:t>Guidance</w:t>
      </w:r>
    </w:p>
    <w:p w14:paraId="342A9BEB" w14:textId="1CE37497" w:rsidR="003528D9" w:rsidRDefault="003528D9" w:rsidP="003528D9">
      <w:r w:rsidRPr="00CF427D" w:rsidDel="00AE0B9C">
        <w:t>In the interests of minimising compliance costs</w:t>
      </w:r>
      <w:r>
        <w:t>,</w:t>
      </w:r>
      <w:r w:rsidRPr="00CF427D" w:rsidDel="00AE0B9C">
        <w:t xml:space="preserve"> inclusion of a reconciliation in the</w:t>
      </w:r>
      <w:r>
        <w:t xml:space="preserve"> ‘Australian general purpose financial reports’ or via publication of a</w:t>
      </w:r>
      <w:r w:rsidRPr="00CF427D" w:rsidDel="00AE0B9C">
        <w:t xml:space="preserve"> </w:t>
      </w:r>
      <w:r>
        <w:t>‘</w:t>
      </w:r>
      <w:r w:rsidRPr="00CF427D" w:rsidDel="00AE0B9C">
        <w:t>taxes paid</w:t>
      </w:r>
      <w:r>
        <w:t>’</w:t>
      </w:r>
      <w:r w:rsidRPr="00CF427D" w:rsidDel="00AE0B9C">
        <w:t xml:space="preserve"> report </w:t>
      </w:r>
      <w:r>
        <w:t xml:space="preserve">or another document </w:t>
      </w:r>
      <w:r w:rsidRPr="00CF427D" w:rsidDel="00AE0B9C">
        <w:t>prepared at a global level is acceptable provided that reconciliation identifies material temporary and non</w:t>
      </w:r>
      <w:r w:rsidR="3EA75E26" w:rsidRPr="00CF427D" w:rsidDel="00AE0B9C">
        <w:t>-</w:t>
      </w:r>
      <w:r w:rsidRPr="00CF427D" w:rsidDel="00AE0B9C">
        <w:t>temporary differences.</w:t>
      </w:r>
      <w:r>
        <w:t xml:space="preserve"> </w:t>
      </w:r>
    </w:p>
    <w:p w14:paraId="61AC58CA" w14:textId="346C874C" w:rsidR="003528D9" w:rsidRDefault="003528D9" w:rsidP="00CB38B7">
      <w:pPr>
        <w:spacing w:after="0"/>
      </w:pPr>
      <w:r w:rsidRPr="00ED4FE9">
        <w:t xml:space="preserve">The reconciliation should follow the </w:t>
      </w:r>
      <w:r w:rsidR="00F23CB6" w:rsidRPr="00ED4FE9">
        <w:t>d</w:t>
      </w:r>
      <w:r w:rsidRPr="00ED4FE9">
        <w:t xml:space="preserve">raft </w:t>
      </w:r>
      <w:r w:rsidR="00F23CB6" w:rsidRPr="00ED4FE9">
        <w:t>AASB</w:t>
      </w:r>
      <w:r w:rsidRPr="00ED4FE9">
        <w:t xml:space="preserve"> </w:t>
      </w:r>
      <w:r w:rsidR="00ED4FE9">
        <w:t>guidance</w:t>
      </w:r>
      <w:r w:rsidRPr="00ED4FE9">
        <w:t>.</w:t>
      </w:r>
      <w:r w:rsidR="004E5F86" w:rsidRPr="00ED4FE9">
        <w:rPr>
          <w:rStyle w:val="FootnoteReference"/>
        </w:rPr>
        <w:footnoteReference w:id="13"/>
      </w:r>
      <w:r w:rsidRPr="00566B1D">
        <w:t xml:space="preserve"> </w:t>
      </w:r>
    </w:p>
    <w:p w14:paraId="72E13E48" w14:textId="761D2F9C" w:rsidR="00CC51CB" w:rsidRDefault="00CC51CB" w:rsidP="00D9211C">
      <w:pPr>
        <w:pStyle w:val="Heading4"/>
        <w:numPr>
          <w:ilvl w:val="1"/>
          <w:numId w:val="37"/>
        </w:numPr>
        <w:spacing w:after="120"/>
      </w:pPr>
      <w:bookmarkStart w:id="54" w:name="_A_reconciliation_to_1"/>
      <w:bookmarkEnd w:id="54"/>
      <w:r>
        <w:lastRenderedPageBreak/>
        <w:t xml:space="preserve">A reconciliation to ATO </w:t>
      </w:r>
      <w:r w:rsidR="00621837">
        <w:t>C</w:t>
      </w:r>
      <w:r>
        <w:t xml:space="preserve">orporate </w:t>
      </w:r>
      <w:r w:rsidR="00621837">
        <w:t>T</w:t>
      </w:r>
      <w:r>
        <w:t xml:space="preserve">ax </w:t>
      </w:r>
      <w:r w:rsidR="00621837">
        <w:t>T</w:t>
      </w:r>
      <w:r>
        <w:t xml:space="preserve">ransparency </w:t>
      </w:r>
      <w:r w:rsidR="00621837">
        <w:t>D</w:t>
      </w:r>
      <w:r>
        <w:t>isclosures</w:t>
      </w:r>
    </w:p>
    <w:p w14:paraId="420F8C88" w14:textId="77777777" w:rsidR="00EE544A" w:rsidRDefault="00EE544A" w:rsidP="00EE544A">
      <w:pPr>
        <w:pStyle w:val="Heading5"/>
      </w:pPr>
      <w:r>
        <w:t xml:space="preserve">Optional elements </w:t>
      </w:r>
    </w:p>
    <w:p w14:paraId="23C81A40" w14:textId="338A9998" w:rsidR="00F97F42" w:rsidRPr="00BC60C9" w:rsidRDefault="00F97F42" w:rsidP="00D9211C">
      <w:pPr>
        <w:pStyle w:val="NumberedParagraphalpha"/>
        <w:numPr>
          <w:ilvl w:val="3"/>
          <w:numId w:val="59"/>
        </w:numPr>
      </w:pPr>
      <w:r w:rsidRPr="00356588">
        <w:t>For e</w:t>
      </w:r>
      <w:r w:rsidRPr="00BC60C9">
        <w:t>ntities that are subject to the ATO Corporate Tax Transparency Disclosures</w:t>
      </w:r>
      <w:r w:rsidRPr="00356588">
        <w:t xml:space="preserve">, </w:t>
      </w:r>
      <w:r w:rsidRPr="00BC60C9">
        <w:t>provide a reconciliation</w:t>
      </w:r>
      <w:r w:rsidRPr="00356588">
        <w:t xml:space="preserve"> or a qualitative narrative</w:t>
      </w:r>
      <w:r w:rsidRPr="00BC60C9">
        <w:t xml:space="preserve"> of </w:t>
      </w:r>
      <w:r w:rsidRPr="00356588">
        <w:t xml:space="preserve">any material differences in the </w:t>
      </w:r>
      <w:r w:rsidRPr="00BC60C9">
        <w:t>data published by the ATO against the data in the VTTC</w:t>
      </w:r>
      <w:r w:rsidR="00A971CB">
        <w:t xml:space="preserve"> for the same period</w:t>
      </w:r>
      <w:r w:rsidRPr="00356588">
        <w:t xml:space="preserve">. </w:t>
      </w:r>
    </w:p>
    <w:p w14:paraId="4EA3C56B" w14:textId="77777777" w:rsidR="00F97F42" w:rsidRDefault="00F97F42" w:rsidP="00F97F42">
      <w:pPr>
        <w:pStyle w:val="Heading5"/>
      </w:pPr>
      <w:r>
        <w:t>Guidance</w:t>
      </w:r>
    </w:p>
    <w:p w14:paraId="7BD96E3D" w14:textId="77777777" w:rsidR="00F97F42" w:rsidRPr="00A21B42" w:rsidRDefault="00F97F42" w:rsidP="00F97F42">
      <w:r w:rsidRPr="00A21B42">
        <w:t xml:space="preserve">The </w:t>
      </w:r>
      <w:r>
        <w:t>V</w:t>
      </w:r>
      <w:r w:rsidRPr="00A21B42">
        <w:t xml:space="preserve">TTC provides an opportunity for </w:t>
      </w:r>
      <w:r>
        <w:t>an entity</w:t>
      </w:r>
      <w:r w:rsidRPr="00A21B42">
        <w:t xml:space="preserve"> to provide meaningful context to the information published annually by the ATO under the mandatory corporate tax transparency measures. </w:t>
      </w:r>
    </w:p>
    <w:p w14:paraId="5F67083A" w14:textId="4A90FCE8" w:rsidR="00F97F42" w:rsidRPr="00EB31EB" w:rsidRDefault="00F97F42" w:rsidP="00F97F42">
      <w:pPr>
        <w:spacing w:before="0"/>
      </w:pPr>
      <w:r w:rsidRPr="00356588">
        <w:t xml:space="preserve">The Board acknowledges that there may be a timing misalignment with the production and publication of </w:t>
      </w:r>
      <w:r>
        <w:t xml:space="preserve">an </w:t>
      </w:r>
      <w:r w:rsidR="00394054">
        <w:t>entity’s</w:t>
      </w:r>
      <w:r w:rsidRPr="00356588">
        <w:t xml:space="preserve"> VTTC </w:t>
      </w:r>
      <w:r>
        <w:t xml:space="preserve">report </w:t>
      </w:r>
      <w:r w:rsidRPr="00356588">
        <w:t>and the ATO’s publication of tax transparency data</w:t>
      </w:r>
      <w:r>
        <w:t xml:space="preserve"> for the same period</w:t>
      </w:r>
      <w:r w:rsidRPr="00356588">
        <w:t xml:space="preserve">. To </w:t>
      </w:r>
      <w:r>
        <w:t xml:space="preserve">provide flexibility, </w:t>
      </w:r>
      <w:r w:rsidRPr="00356588">
        <w:t xml:space="preserve">and </w:t>
      </w:r>
      <w:r>
        <w:t xml:space="preserve">in </w:t>
      </w:r>
      <w:r w:rsidRPr="00356588">
        <w:t>recognising its inapplicability to non</w:t>
      </w:r>
      <w:r w:rsidRPr="00356588">
        <w:noBreakHyphen/>
        <w:t xml:space="preserve">corporate entities, as well as the option for entities to present </w:t>
      </w:r>
      <w:r>
        <w:t xml:space="preserve">this information </w:t>
      </w:r>
      <w:r w:rsidRPr="00356588">
        <w:t>through an alternative foru</w:t>
      </w:r>
      <w:r>
        <w:t xml:space="preserve">m, </w:t>
      </w:r>
      <w:r w:rsidRPr="00356588">
        <w:t xml:space="preserve">completion is </w:t>
      </w:r>
      <w:r w:rsidRPr="004E550C">
        <w:t>optional.</w:t>
      </w:r>
    </w:p>
    <w:p w14:paraId="44ECBE18" w14:textId="77777777" w:rsidR="000C6D49" w:rsidRPr="000C6D49" w:rsidRDefault="000C6D49" w:rsidP="000C6D49">
      <w:r w:rsidRPr="000C6D49">
        <w:t>This reconciliation will require entities to indicate which entities in the ATO disclosures are covered by the VTTC.</w:t>
      </w:r>
    </w:p>
    <w:p w14:paraId="7439560E" w14:textId="1A605F11" w:rsidR="000C4972" w:rsidRPr="00AF2FD7" w:rsidRDefault="009C04B4" w:rsidP="00F91679">
      <w:r w:rsidRPr="00D20EE1">
        <w:t>Entities with no material differences between</w:t>
      </w:r>
      <w:r w:rsidR="00CA0924" w:rsidRPr="00D20EE1">
        <w:t xml:space="preserve"> the data sets</w:t>
      </w:r>
      <w:r w:rsidRPr="00D20EE1">
        <w:t xml:space="preserve"> should state this. </w:t>
      </w:r>
    </w:p>
    <w:p w14:paraId="63DAF472" w14:textId="6108C6A2" w:rsidR="00EE544A" w:rsidRDefault="00684C07" w:rsidP="00D9211C">
      <w:pPr>
        <w:pStyle w:val="Heading3"/>
        <w:numPr>
          <w:ilvl w:val="0"/>
          <w:numId w:val="37"/>
        </w:numPr>
      </w:pPr>
      <w:r>
        <w:lastRenderedPageBreak/>
        <w:t>Overall a</w:t>
      </w:r>
      <w:r w:rsidR="00EE544A">
        <w:t xml:space="preserve">pproach to </w:t>
      </w:r>
      <w:r>
        <w:t>t</w:t>
      </w:r>
      <w:r w:rsidR="00EE544A">
        <w:t xml:space="preserve">ax </w:t>
      </w:r>
      <w:bookmarkStart w:id="55" w:name="_Approach_to_risk_2"/>
      <w:bookmarkEnd w:id="55"/>
    </w:p>
    <w:p w14:paraId="65038892" w14:textId="33F72F17" w:rsidR="00684C07" w:rsidRPr="00684C07" w:rsidRDefault="00684C07" w:rsidP="00D9211C">
      <w:pPr>
        <w:pStyle w:val="Heading4"/>
        <w:numPr>
          <w:ilvl w:val="1"/>
          <w:numId w:val="37"/>
        </w:numPr>
      </w:pPr>
      <w:bookmarkStart w:id="56" w:name="_Approach_to_tax_2"/>
      <w:bookmarkEnd w:id="56"/>
      <w:r>
        <w:t>Approach to tax</w:t>
      </w:r>
      <w:r w:rsidR="004C0FE3">
        <w:rPr>
          <w:rStyle w:val="FootnoteReference"/>
        </w:rPr>
        <w:footnoteReference w:id="14"/>
      </w:r>
    </w:p>
    <w:tbl>
      <w:tblPr>
        <w:tblStyle w:val="ListTable3-Accent2"/>
        <w:tblW w:w="5000" w:type="pct"/>
        <w:tblLook w:val="04A0" w:firstRow="1" w:lastRow="0" w:firstColumn="1" w:lastColumn="0" w:noHBand="0" w:noVBand="1"/>
      </w:tblPr>
      <w:tblGrid>
        <w:gridCol w:w="9636"/>
      </w:tblGrid>
      <w:tr w:rsidR="00EE544A" w14:paraId="5916DD23" w14:textId="77777777" w:rsidTr="00A30A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tcPr>
          <w:p w14:paraId="61E09AF8" w14:textId="717E43BC" w:rsidR="00EE544A" w:rsidRPr="001D32BE" w:rsidRDefault="00AB436C" w:rsidP="001D32BE">
            <w:pPr>
              <w:pStyle w:val="Heading5"/>
              <w:rPr>
                <w:color w:val="FFFFFF" w:themeColor="background1"/>
              </w:rPr>
            </w:pPr>
            <w:r w:rsidRPr="001D32BE">
              <w:rPr>
                <w:color w:val="FFFFFF" w:themeColor="background1"/>
              </w:rPr>
              <w:t>V</w:t>
            </w:r>
            <w:r w:rsidR="00EE544A" w:rsidRPr="001D32BE">
              <w:rPr>
                <w:color w:val="FFFFFF" w:themeColor="background1"/>
              </w:rPr>
              <w:t>TTC Requirement</w:t>
            </w:r>
          </w:p>
          <w:p w14:paraId="00A608F8" w14:textId="770FAAAE" w:rsidR="00EE544A" w:rsidRPr="00CC5D1D" w:rsidRDefault="00946EF7" w:rsidP="00D9211C">
            <w:pPr>
              <w:pStyle w:val="RecommendationText"/>
              <w:numPr>
                <w:ilvl w:val="2"/>
                <w:numId w:val="38"/>
              </w:numPr>
              <w:spacing w:before="120" w:after="120"/>
              <w:rPr>
                <w:rFonts w:asciiTheme="minorHAnsi" w:hAnsiTheme="minorHAnsi" w:cstheme="minorHAnsi"/>
                <w:color w:val="FFFFFF" w:themeColor="background1"/>
                <w:szCs w:val="22"/>
              </w:rPr>
            </w:pPr>
            <w:r>
              <w:rPr>
                <w:rFonts w:asciiTheme="minorHAnsi" w:hAnsiTheme="minorHAnsi" w:cstheme="minorHAnsi"/>
                <w:color w:val="FFFFFF" w:themeColor="background1"/>
                <w:szCs w:val="22"/>
              </w:rPr>
              <w:t>Entities</w:t>
            </w:r>
            <w:r w:rsidRPr="00CC5D1D">
              <w:rPr>
                <w:rFonts w:asciiTheme="minorHAnsi" w:hAnsiTheme="minorHAnsi" w:cstheme="minorHAnsi"/>
                <w:color w:val="FFFFFF" w:themeColor="background1"/>
                <w:szCs w:val="22"/>
              </w:rPr>
              <w:t xml:space="preserve"> </w:t>
            </w:r>
            <w:r w:rsidR="00EE544A" w:rsidRPr="00CC5D1D">
              <w:rPr>
                <w:rFonts w:asciiTheme="minorHAnsi" w:hAnsiTheme="minorHAnsi" w:cstheme="minorHAnsi"/>
                <w:color w:val="FFFFFF" w:themeColor="background1"/>
                <w:szCs w:val="22"/>
              </w:rPr>
              <w:t xml:space="preserve">should provide information on </w:t>
            </w:r>
            <w:r w:rsidR="009B6CFC">
              <w:rPr>
                <w:rFonts w:asciiTheme="minorHAnsi" w:hAnsiTheme="minorHAnsi" w:cstheme="minorHAnsi"/>
                <w:color w:val="FFFFFF" w:themeColor="background1"/>
                <w:szCs w:val="22"/>
              </w:rPr>
              <w:t>its</w:t>
            </w:r>
            <w:r w:rsidR="00BA1A26">
              <w:rPr>
                <w:rFonts w:asciiTheme="minorHAnsi" w:hAnsiTheme="minorHAnsi" w:cstheme="minorHAnsi"/>
                <w:color w:val="FFFFFF" w:themeColor="background1"/>
                <w:szCs w:val="22"/>
              </w:rPr>
              <w:t xml:space="preserve"> approach to </w:t>
            </w:r>
            <w:r w:rsidR="00EE544A" w:rsidRPr="00CC5D1D">
              <w:rPr>
                <w:rFonts w:asciiTheme="minorHAnsi" w:hAnsiTheme="minorHAnsi" w:cstheme="minorHAnsi"/>
                <w:color w:val="FFFFFF" w:themeColor="background1"/>
                <w:szCs w:val="22"/>
              </w:rPr>
              <w:t>tax including: </w:t>
            </w:r>
          </w:p>
          <w:p w14:paraId="3790BBA9" w14:textId="17B74866" w:rsidR="00EC034A" w:rsidRPr="00CC5D1D" w:rsidRDefault="00EC034A" w:rsidP="00D9211C">
            <w:pPr>
              <w:pStyle w:val="Bullet"/>
              <w:numPr>
                <w:ilvl w:val="0"/>
                <w:numId w:val="39"/>
              </w:numPr>
            </w:pPr>
            <w:r w:rsidRPr="00CC5D1D">
              <w:t xml:space="preserve">whether they have a formal tax policy </w:t>
            </w:r>
            <w:r>
              <w:t>or strategy</w:t>
            </w:r>
            <w:r w:rsidR="00AB3C48">
              <w:t>.</w:t>
            </w:r>
            <w:r w:rsidRPr="00CC5D1D">
              <w:t xml:space="preserve"> </w:t>
            </w:r>
          </w:p>
          <w:p w14:paraId="2F426063" w14:textId="70FB189F" w:rsidR="00EE544A" w:rsidRPr="00641579" w:rsidRDefault="00BA1A26" w:rsidP="00D9211C">
            <w:pPr>
              <w:pStyle w:val="Bullet"/>
              <w:numPr>
                <w:ilvl w:val="0"/>
                <w:numId w:val="39"/>
              </w:numPr>
            </w:pPr>
            <w:r w:rsidRPr="007A1BCE">
              <w:t>the</w:t>
            </w:r>
            <w:r w:rsidR="00EE544A" w:rsidRPr="00CC5D1D">
              <w:t xml:space="preserve"> governance </w:t>
            </w:r>
            <w:r w:rsidR="00EE544A" w:rsidRPr="007A1BCE">
              <w:t xml:space="preserve">body </w:t>
            </w:r>
            <w:r w:rsidR="00075F0D" w:rsidRPr="007A1BCE">
              <w:t>or executive-level position</w:t>
            </w:r>
            <w:r w:rsidR="00EE544A" w:rsidRPr="00641579">
              <w:t xml:space="preserve"> that formally reviews and approves the tax strategy and is responsible for compliance with the tax strategy, including frequency of review</w:t>
            </w:r>
            <w:r w:rsidR="00AB3C48">
              <w:t>.</w:t>
            </w:r>
          </w:p>
          <w:p w14:paraId="4929866D" w14:textId="50872E96" w:rsidR="00EE544A" w:rsidRPr="00CC5D1D" w:rsidRDefault="007A1BCE" w:rsidP="00D9211C">
            <w:pPr>
              <w:pStyle w:val="Bullet"/>
              <w:numPr>
                <w:ilvl w:val="0"/>
                <w:numId w:val="39"/>
              </w:numPr>
              <w:spacing w:after="240"/>
            </w:pPr>
            <w:r w:rsidRPr="007A1BCE">
              <w:t>the approach to regulatory compliance</w:t>
            </w:r>
            <w:r w:rsidR="0084016B">
              <w:t>.</w:t>
            </w:r>
          </w:p>
        </w:tc>
      </w:tr>
    </w:tbl>
    <w:p w14:paraId="7ADFCB86" w14:textId="1653127B" w:rsidR="000F7616" w:rsidRDefault="002C249C" w:rsidP="00D9211C">
      <w:pPr>
        <w:pStyle w:val="Heading4"/>
        <w:numPr>
          <w:ilvl w:val="1"/>
          <w:numId w:val="37"/>
        </w:numPr>
      </w:pPr>
      <w:bookmarkStart w:id="57" w:name="_Tax_governance,_control"/>
      <w:bookmarkEnd w:id="57"/>
      <w:r w:rsidRPr="002C249C">
        <w:t>Tax</w:t>
      </w:r>
      <w:r>
        <w:t xml:space="preserve"> </w:t>
      </w:r>
      <w:r w:rsidR="000F7616" w:rsidRPr="002C249C">
        <w:t xml:space="preserve">governance, </w:t>
      </w:r>
      <w:r w:rsidR="00AE083E" w:rsidRPr="002C249C">
        <w:t>control,</w:t>
      </w:r>
      <w:r w:rsidR="000F7616" w:rsidRPr="002C249C">
        <w:t xml:space="preserve"> and risk management</w:t>
      </w:r>
      <w:r w:rsidR="004534D1">
        <w:rPr>
          <w:rStyle w:val="FootnoteReference"/>
        </w:rPr>
        <w:footnoteReference w:id="15"/>
      </w:r>
      <w:r w:rsidR="000F7616" w:rsidRPr="002C249C">
        <w:t xml:space="preserve"> </w:t>
      </w:r>
    </w:p>
    <w:p w14:paraId="33294666" w14:textId="77777777" w:rsidR="00EE544A" w:rsidRDefault="00EE544A" w:rsidP="00EE544A">
      <w:pPr>
        <w:pStyle w:val="Heading5"/>
      </w:pPr>
      <w:r>
        <w:t xml:space="preserve">Optional elements </w:t>
      </w:r>
    </w:p>
    <w:p w14:paraId="1C2E9433" w14:textId="77777777" w:rsidR="00C14748" w:rsidRDefault="00D43626" w:rsidP="00D9211C">
      <w:pPr>
        <w:pStyle w:val="NumberedParagraphalpha"/>
        <w:numPr>
          <w:ilvl w:val="3"/>
          <w:numId w:val="60"/>
        </w:numPr>
      </w:pPr>
      <w:r>
        <w:t xml:space="preserve">Provide a </w:t>
      </w:r>
      <w:r w:rsidR="004534D1">
        <w:t xml:space="preserve">description of the tax governance, control and risk management framework including: </w:t>
      </w:r>
    </w:p>
    <w:p w14:paraId="66C7063D" w14:textId="3B5A1643" w:rsidR="004534D1" w:rsidRPr="00F91679" w:rsidRDefault="00D43626" w:rsidP="009F4ADA">
      <w:pPr>
        <w:pStyle w:val="NumberedParagraphroman"/>
        <w:ind w:left="1701"/>
      </w:pPr>
      <w:r w:rsidRPr="00F91679">
        <w:t>the</w:t>
      </w:r>
      <w:r w:rsidR="004534D1" w:rsidRPr="00F91679">
        <w:t xml:space="preserve"> governance body or executive-level position within the organisation accountable for compliance with the tax strategy</w:t>
      </w:r>
      <w:r w:rsidR="007718B6">
        <w:t>.</w:t>
      </w:r>
    </w:p>
    <w:p w14:paraId="7C474446" w14:textId="35B56F5C" w:rsidR="004534D1" w:rsidRPr="00F91679" w:rsidRDefault="004534D1" w:rsidP="009F4ADA">
      <w:pPr>
        <w:pStyle w:val="NumberedParagraphroman"/>
        <w:ind w:left="1701"/>
      </w:pPr>
      <w:r w:rsidRPr="00F91679">
        <w:t xml:space="preserve">how </w:t>
      </w:r>
      <w:r w:rsidR="0074741E" w:rsidRPr="00F91679">
        <w:t xml:space="preserve">the </w:t>
      </w:r>
      <w:r w:rsidR="00C57419" w:rsidRPr="00F91679">
        <w:t>entity’s</w:t>
      </w:r>
      <w:r w:rsidR="0074741E" w:rsidRPr="00F91679">
        <w:t xml:space="preserve"> </w:t>
      </w:r>
      <w:r w:rsidRPr="00F91679">
        <w:t>approach to tax is communicated and embedded in the organisation</w:t>
      </w:r>
      <w:r w:rsidR="007718B6">
        <w:t>.</w:t>
      </w:r>
    </w:p>
    <w:p w14:paraId="551323C5" w14:textId="637DCB50" w:rsidR="004534D1" w:rsidRPr="00F91679" w:rsidRDefault="004534D1" w:rsidP="009F4ADA">
      <w:pPr>
        <w:pStyle w:val="NumberedParagraphroman"/>
        <w:ind w:left="1701"/>
      </w:pPr>
      <w:r w:rsidRPr="00F91679">
        <w:t xml:space="preserve">how tax risks are identified, </w:t>
      </w:r>
      <w:r w:rsidR="00AE083E" w:rsidRPr="00F91679">
        <w:t>managed,</w:t>
      </w:r>
      <w:r w:rsidRPr="00F91679">
        <w:t xml:space="preserve"> and monitored</w:t>
      </w:r>
      <w:r w:rsidR="007718B6">
        <w:t>.</w:t>
      </w:r>
    </w:p>
    <w:p w14:paraId="5324C184" w14:textId="2B64CFA6" w:rsidR="00B755FF" w:rsidRDefault="004534D1" w:rsidP="009F4ADA">
      <w:pPr>
        <w:pStyle w:val="NumberedParagraphroman"/>
        <w:ind w:left="1701"/>
      </w:pPr>
      <w:r w:rsidRPr="00F91679">
        <w:t xml:space="preserve">how compliance with tax governance and control framework is evaluated. </w:t>
      </w:r>
    </w:p>
    <w:p w14:paraId="028FBD1C" w14:textId="16DDC1C1" w:rsidR="00D31922" w:rsidRDefault="00D31922">
      <w:r>
        <w:br w:type="page"/>
      </w:r>
    </w:p>
    <w:p w14:paraId="5B3E9FCC" w14:textId="7731F78A" w:rsidR="00A214ED" w:rsidRPr="00041D87" w:rsidRDefault="000F7616" w:rsidP="00D9211C">
      <w:pPr>
        <w:pStyle w:val="Heading4"/>
        <w:numPr>
          <w:ilvl w:val="1"/>
          <w:numId w:val="37"/>
        </w:numPr>
      </w:pPr>
      <w:bookmarkStart w:id="58" w:name="_Stakeholder_engagement_and_1"/>
      <w:bookmarkEnd w:id="58"/>
      <w:r w:rsidRPr="00041D87">
        <w:lastRenderedPageBreak/>
        <w:t>Stakeholder engagement and management of concerns related to tax</w:t>
      </w:r>
      <w:r w:rsidR="004534D1" w:rsidRPr="00041D87">
        <w:rPr>
          <w:rStyle w:val="FootnoteReference"/>
        </w:rPr>
        <w:footnoteReference w:id="16"/>
      </w:r>
      <w:r w:rsidRPr="00041D87">
        <w:t xml:space="preserve"> </w:t>
      </w:r>
    </w:p>
    <w:p w14:paraId="3CFE994E" w14:textId="77777777" w:rsidR="00EE544A" w:rsidRPr="00041D87" w:rsidRDefault="00EE544A" w:rsidP="00EE544A">
      <w:pPr>
        <w:pStyle w:val="Heading5"/>
      </w:pPr>
      <w:r w:rsidRPr="00041D87">
        <w:t xml:space="preserve">Optional elements </w:t>
      </w:r>
    </w:p>
    <w:p w14:paraId="6EF05015" w14:textId="07CD8872" w:rsidR="001749B7" w:rsidRPr="00041D87" w:rsidRDefault="00D43626" w:rsidP="00D9211C">
      <w:pPr>
        <w:pStyle w:val="NumberedParagraphalpha"/>
        <w:numPr>
          <w:ilvl w:val="3"/>
          <w:numId w:val="61"/>
        </w:numPr>
      </w:pPr>
      <w:r w:rsidRPr="00041D87">
        <w:t>Provide a</w:t>
      </w:r>
      <w:r w:rsidR="001749B7" w:rsidRPr="00041D87">
        <w:t xml:space="preserve"> description of </w:t>
      </w:r>
      <w:r w:rsidR="604EDCD6" w:rsidRPr="00041D87">
        <w:t xml:space="preserve">the </w:t>
      </w:r>
      <w:r w:rsidR="001749B7" w:rsidRPr="00041D87">
        <w:t>approach to engagement with the ATO</w:t>
      </w:r>
      <w:r w:rsidR="009B6CFC" w:rsidRPr="00041D87">
        <w:t>. This may include</w:t>
      </w:r>
      <w:r w:rsidR="001749B7" w:rsidRPr="00041D87">
        <w:t xml:space="preserve">: </w:t>
      </w:r>
    </w:p>
    <w:p w14:paraId="5CC3F617" w14:textId="37360767" w:rsidR="00157681" w:rsidRPr="00F91679" w:rsidRDefault="00157681" w:rsidP="00025BBE">
      <w:pPr>
        <w:pStyle w:val="NumberedParagraphroman"/>
        <w:ind w:left="1701"/>
      </w:pPr>
      <w:r w:rsidRPr="00F91679">
        <w:t>the assurance regimes the entity is subject to,</w:t>
      </w:r>
      <w:r w:rsidR="008311EB" w:rsidRPr="00F91679">
        <w:t xml:space="preserve"> including any outcomes from assurance regimes</w:t>
      </w:r>
      <w:r w:rsidR="00044C2F" w:rsidRPr="00F91679">
        <w:t>,</w:t>
      </w:r>
      <w:r w:rsidRPr="00F91679">
        <w:t xml:space="preserve"> for example, internal audit, external audit, Advance Pricing Arrangements (APAs), </w:t>
      </w:r>
      <w:r w:rsidR="006D60F9" w:rsidRPr="00F91679">
        <w:t xml:space="preserve">Annual Compliance Arrangement (ACA), </w:t>
      </w:r>
      <w:r w:rsidRPr="00F91679">
        <w:t>Justified Trust reviews and ATO pre-</w:t>
      </w:r>
      <w:r w:rsidR="00F84E16" w:rsidRPr="00F91679">
        <w:t>lodgement</w:t>
      </w:r>
      <w:r w:rsidRPr="00F91679">
        <w:t xml:space="preserve"> compliance reviews</w:t>
      </w:r>
      <w:r w:rsidR="007718B6">
        <w:t>.</w:t>
      </w:r>
    </w:p>
    <w:p w14:paraId="06EE901B" w14:textId="5D5D4597" w:rsidR="001749B7" w:rsidRPr="00F91679" w:rsidRDefault="00D43626" w:rsidP="00025BBE">
      <w:pPr>
        <w:pStyle w:val="NumberedParagraphroman"/>
        <w:ind w:left="1701"/>
      </w:pPr>
      <w:r w:rsidRPr="00F91679">
        <w:t>engagement</w:t>
      </w:r>
      <w:r w:rsidR="001749B7" w:rsidRPr="00F91679">
        <w:t xml:space="preserve"> on tax risks including private binding rulings obtained, cooperative compliance agreements, seeking active real-time audit, seeking clearance for significant transactions and </w:t>
      </w:r>
      <w:r w:rsidR="00AE2966">
        <w:t>APAs</w:t>
      </w:r>
      <w:r w:rsidR="001749B7" w:rsidRPr="00F91679">
        <w:t xml:space="preserve"> sought</w:t>
      </w:r>
      <w:r w:rsidR="007718B6">
        <w:t>.</w:t>
      </w:r>
    </w:p>
    <w:p w14:paraId="091AFE6E" w14:textId="005340C6" w:rsidR="001749B7" w:rsidRPr="00F91679" w:rsidRDefault="001749B7" w:rsidP="00025BBE">
      <w:pPr>
        <w:pStyle w:val="NumberedParagraphroman"/>
        <w:ind w:left="1701"/>
      </w:pPr>
      <w:r w:rsidRPr="00F91679">
        <w:t>the outcome of ATO compliance activities, for example, a ‘risk rating’ or the outcome of a streamlined risk review</w:t>
      </w:r>
      <w:r w:rsidR="007718B6">
        <w:t>.</w:t>
      </w:r>
    </w:p>
    <w:p w14:paraId="6B9F724A" w14:textId="207ED92C" w:rsidR="001749B7" w:rsidRPr="00F91679" w:rsidRDefault="001749B7" w:rsidP="00025BBE">
      <w:pPr>
        <w:pStyle w:val="NumberedParagraphroman"/>
        <w:ind w:left="1701"/>
      </w:pPr>
      <w:r w:rsidRPr="00F91679">
        <w:t xml:space="preserve">any significant ongoing or recently settled tax disputes with the ATO and/or other revenue authorities, including settlement outcomes, to the extent not already disclosed in financial statements. </w:t>
      </w:r>
    </w:p>
    <w:p w14:paraId="535D254D" w14:textId="132764E0" w:rsidR="005C2FB4" w:rsidRPr="005C2FB4" w:rsidRDefault="00D43626" w:rsidP="00A676F1">
      <w:pPr>
        <w:pStyle w:val="NumberedParagraphalpha"/>
      </w:pPr>
      <w:r>
        <w:t>Provide a</w:t>
      </w:r>
      <w:r w:rsidR="001749B7">
        <w:t xml:space="preserve"> description of its</w:t>
      </w:r>
      <w:r w:rsidR="001749B7" w:rsidRPr="00E665D9">
        <w:t xml:space="preserve"> approach to engagement with other tax authorities</w:t>
      </w:r>
      <w:r w:rsidR="001749B7">
        <w:t>.</w:t>
      </w:r>
      <w:r w:rsidR="001749B7" w:rsidRPr="00E665D9">
        <w:t> </w:t>
      </w:r>
    </w:p>
    <w:p w14:paraId="39913D37" w14:textId="4C707E36" w:rsidR="00EE544A" w:rsidRDefault="00EE544A" w:rsidP="00D9211C">
      <w:pPr>
        <w:pStyle w:val="Heading4"/>
        <w:numPr>
          <w:ilvl w:val="1"/>
          <w:numId w:val="37"/>
        </w:numPr>
        <w:spacing w:after="120"/>
      </w:pPr>
      <w:bookmarkStart w:id="59" w:name="_International_related_party"/>
      <w:bookmarkEnd w:id="59"/>
      <w:r>
        <w:t>International related party dealings summary</w:t>
      </w:r>
    </w:p>
    <w:tbl>
      <w:tblPr>
        <w:tblStyle w:val="ListTable3-Accent2"/>
        <w:tblW w:w="5000" w:type="pct"/>
        <w:tblLook w:val="04A0" w:firstRow="1" w:lastRow="0" w:firstColumn="1" w:lastColumn="0" w:noHBand="0" w:noVBand="1"/>
      </w:tblPr>
      <w:tblGrid>
        <w:gridCol w:w="9636"/>
      </w:tblGrid>
      <w:tr w:rsidR="00EE544A" w14:paraId="309B8958" w14:textId="77777777" w:rsidTr="00A30A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tcPr>
          <w:p w14:paraId="13E64817" w14:textId="578F3548" w:rsidR="00EE544A" w:rsidRPr="001D32BE" w:rsidRDefault="00AB436C" w:rsidP="001D32BE">
            <w:pPr>
              <w:pStyle w:val="Heading5"/>
              <w:rPr>
                <w:color w:val="FFFFFF" w:themeColor="background1"/>
              </w:rPr>
            </w:pPr>
            <w:r w:rsidRPr="001D32BE">
              <w:rPr>
                <w:color w:val="FFFFFF" w:themeColor="background1"/>
              </w:rPr>
              <w:t>V</w:t>
            </w:r>
            <w:r w:rsidR="00EE544A" w:rsidRPr="001D32BE">
              <w:rPr>
                <w:color w:val="FFFFFF" w:themeColor="background1"/>
              </w:rPr>
              <w:t>TTC Requirement</w:t>
            </w:r>
          </w:p>
          <w:p w14:paraId="04685D6C" w14:textId="33508A02" w:rsidR="00EE544A" w:rsidRPr="00574834" w:rsidRDefault="00946EF7" w:rsidP="00D9211C">
            <w:pPr>
              <w:pStyle w:val="ListParagraph"/>
              <w:numPr>
                <w:ilvl w:val="2"/>
                <w:numId w:val="37"/>
              </w:numPr>
            </w:pPr>
            <w:r w:rsidRPr="00574834">
              <w:t xml:space="preserve">Entities </w:t>
            </w:r>
            <w:r w:rsidR="00EE544A" w:rsidRPr="00574834">
              <w:t xml:space="preserve">should provide a qualitative disclosure of key categories of dealings with offshore related parties which have a material impact on the </w:t>
            </w:r>
            <w:r w:rsidR="00BE608E" w:rsidRPr="00574834">
              <w:t>entity’s</w:t>
            </w:r>
            <w:r w:rsidR="00BF0A8A" w:rsidRPr="00574834">
              <w:t xml:space="preserve"> </w:t>
            </w:r>
            <w:r w:rsidR="00EE544A" w:rsidRPr="00574834">
              <w:t>Australian taxable income, including:</w:t>
            </w:r>
          </w:p>
          <w:p w14:paraId="32D49B27" w14:textId="2E92D6BC" w:rsidR="00EE544A" w:rsidRDefault="00EE544A" w:rsidP="00D9211C">
            <w:pPr>
              <w:pStyle w:val="Bullet"/>
              <w:numPr>
                <w:ilvl w:val="0"/>
                <w:numId w:val="40"/>
              </w:numPr>
            </w:pPr>
            <w:r w:rsidRPr="003D7AFD">
              <w:t xml:space="preserve">the nature of </w:t>
            </w:r>
            <w:r>
              <w:t>the</w:t>
            </w:r>
            <w:r w:rsidRPr="003D7AFD">
              <w:t xml:space="preserve"> dealings</w:t>
            </w:r>
            <w:r w:rsidR="007718B6">
              <w:t>.</w:t>
            </w:r>
          </w:p>
          <w:p w14:paraId="77DF9E65" w14:textId="77777777" w:rsidR="005513F0" w:rsidRDefault="00EE544A" w:rsidP="00D9211C">
            <w:pPr>
              <w:pStyle w:val="Bullet"/>
              <w:numPr>
                <w:ilvl w:val="0"/>
                <w:numId w:val="40"/>
              </w:numPr>
            </w:pPr>
            <w:r w:rsidRPr="003D7AFD">
              <w:t>the country in which the related party is located</w:t>
            </w:r>
            <w:r>
              <w:t>.</w:t>
            </w:r>
          </w:p>
          <w:p w14:paraId="399552F0" w14:textId="251052C1" w:rsidR="005513F0" w:rsidRPr="005513F0" w:rsidRDefault="005513F0" w:rsidP="00070BB9">
            <w:pPr>
              <w:pStyle w:val="Bullet"/>
              <w:spacing w:after="240"/>
            </w:pPr>
            <w:r w:rsidRPr="00F91679">
              <w:rPr>
                <w:b/>
                <w:bCs w:val="0"/>
              </w:rPr>
              <w:t>Note</w:t>
            </w:r>
            <w:r w:rsidR="00577C81">
              <w:rPr>
                <w:b/>
              </w:rPr>
              <w:t>:</w:t>
            </w:r>
            <w:r>
              <w:t xml:space="preserve"> No quantitative disclosures are required.</w:t>
            </w:r>
          </w:p>
        </w:tc>
      </w:tr>
    </w:tbl>
    <w:p w14:paraId="6BE93AC3" w14:textId="77777777" w:rsidR="003D14A6" w:rsidRDefault="003D14A6">
      <w:pPr>
        <w:rPr>
          <w:rFonts w:ascii="Georgia" w:hAnsi="Georgia" w:cs="Arial"/>
          <w:iCs/>
          <w:color w:val="595959"/>
          <w:kern w:val="32"/>
          <w:sz w:val="25"/>
          <w:szCs w:val="36"/>
          <w14:numForm w14:val="lining"/>
          <w14:numSpacing w14:val="proportional"/>
        </w:rPr>
      </w:pPr>
      <w:r>
        <w:br w:type="page"/>
      </w:r>
    </w:p>
    <w:p w14:paraId="5AD72554" w14:textId="0C3BC45F" w:rsidR="00EE544A" w:rsidRDefault="00EE544A" w:rsidP="00D92A31">
      <w:pPr>
        <w:pStyle w:val="Heading5"/>
      </w:pPr>
      <w:r>
        <w:lastRenderedPageBreak/>
        <w:t>Guidance</w:t>
      </w:r>
    </w:p>
    <w:p w14:paraId="1537D92D" w14:textId="57457F9A" w:rsidR="00476D85" w:rsidRPr="00F42443" w:rsidRDefault="00EE544A" w:rsidP="002E0985">
      <w:r w:rsidRPr="00F42443">
        <w:t>A</w:t>
      </w:r>
      <w:r w:rsidR="00BF0A8A">
        <w:t xml:space="preserve">n </w:t>
      </w:r>
      <w:r w:rsidR="00AE0E95">
        <w:t>entity’s</w:t>
      </w:r>
      <w:r w:rsidR="00BF0A8A">
        <w:t xml:space="preserve"> </w:t>
      </w:r>
      <w:r w:rsidRPr="00F42443">
        <w:t xml:space="preserve">dealings with international related parties have particular relevance for the </w:t>
      </w:r>
      <w:r w:rsidR="00954B47">
        <w:t>V</w:t>
      </w:r>
      <w:r w:rsidR="00476D85" w:rsidRPr="00F42443">
        <w:t xml:space="preserve">TTC audience. </w:t>
      </w:r>
      <w:r w:rsidR="00946EF7">
        <w:t xml:space="preserve">Entities </w:t>
      </w:r>
      <w:r w:rsidR="00476D85">
        <w:t xml:space="preserve">may wish to </w:t>
      </w:r>
      <w:r w:rsidR="00476D85" w:rsidRPr="002E0985">
        <w:t>provide</w:t>
      </w:r>
      <w:r w:rsidR="00476D85">
        <w:t xml:space="preserve"> further information, including:</w:t>
      </w:r>
    </w:p>
    <w:p w14:paraId="1A934A6C" w14:textId="13AE3684" w:rsidR="00476D85" w:rsidRPr="00F42443" w:rsidRDefault="00476D85" w:rsidP="00F91679">
      <w:pPr>
        <w:pStyle w:val="Bullet"/>
      </w:pPr>
      <w:r w:rsidRPr="00F42443">
        <w:t>A description</w:t>
      </w:r>
      <w:r w:rsidR="00EE544A" w:rsidRPr="00F42443">
        <w:t xml:space="preserve"> of the </w:t>
      </w:r>
      <w:r w:rsidR="00AE0E95">
        <w:t>entity’s</w:t>
      </w:r>
      <w:r w:rsidR="008D32A3" w:rsidRPr="00F42443">
        <w:t xml:space="preserve"> </w:t>
      </w:r>
      <w:r w:rsidRPr="00F42443">
        <w:t xml:space="preserve">approach to </w:t>
      </w:r>
      <w:r w:rsidR="006B7C5B">
        <w:t>determining the pricing of transactions</w:t>
      </w:r>
      <w:r w:rsidR="008D4EE7">
        <w:t xml:space="preserve"> </w:t>
      </w:r>
      <w:r w:rsidRPr="00F42443">
        <w:t xml:space="preserve">between international related parties. For example, use of the arm’s length principles in line with </w:t>
      </w:r>
      <w:r w:rsidR="006B7C5B">
        <w:t>Australian ta</w:t>
      </w:r>
      <w:r w:rsidR="00E33A05">
        <w:t xml:space="preserve">x law and associated </w:t>
      </w:r>
      <w:r w:rsidRPr="00F42443">
        <w:t xml:space="preserve">OECD guidelines. </w:t>
      </w:r>
    </w:p>
    <w:p w14:paraId="1F9AD81E" w14:textId="0F661C64" w:rsidR="00476D85" w:rsidRPr="00F42443" w:rsidRDefault="00476D85" w:rsidP="00F91679">
      <w:pPr>
        <w:pStyle w:val="Bullet"/>
      </w:pPr>
      <w:r>
        <w:t>Additional</w:t>
      </w:r>
      <w:r w:rsidRPr="00F42443">
        <w:t xml:space="preserve"> context in relation to the size of their international related party dealings relative to their whole business. For example, a</w:t>
      </w:r>
      <w:r w:rsidR="008D32A3">
        <w:t>n entity</w:t>
      </w:r>
      <w:r w:rsidR="003945D4">
        <w:t xml:space="preserve"> </w:t>
      </w:r>
      <w:r w:rsidRPr="00F42443">
        <w:t>could express its international related party dealings as a percentage of its total revenue or expenditure, as relevant</w:t>
      </w:r>
      <w:r w:rsidR="007718B6">
        <w:t>.</w:t>
      </w:r>
    </w:p>
    <w:p w14:paraId="1261CA4C" w14:textId="3FA8E311" w:rsidR="00476D85" w:rsidRPr="00F42443" w:rsidRDefault="00476D85" w:rsidP="00F91679">
      <w:pPr>
        <w:pStyle w:val="Bullet"/>
      </w:pPr>
      <w:r w:rsidRPr="00F42443">
        <w:t xml:space="preserve">An explanation of activities undertaken in no or low tax jurisdictions, types of </w:t>
      </w:r>
      <w:r w:rsidR="0007354A">
        <w:t xml:space="preserve">income </w:t>
      </w:r>
      <w:r w:rsidRPr="00F42443">
        <w:t xml:space="preserve">tax incentives used, approach to transfer pricing and how it ensures its transactions are </w:t>
      </w:r>
      <w:r w:rsidR="006B7C5B">
        <w:t xml:space="preserve">consistent with </w:t>
      </w:r>
      <w:r w:rsidRPr="00F42443">
        <w:t>arm’s length</w:t>
      </w:r>
      <w:r w:rsidR="006B7C5B">
        <w:t xml:space="preserve"> principles</w:t>
      </w:r>
      <w:r w:rsidRPr="00F42443">
        <w:t>.</w:t>
      </w:r>
    </w:p>
    <w:p w14:paraId="4C9A7F74" w14:textId="4913B4B9" w:rsidR="00476D85" w:rsidRPr="002E0985" w:rsidRDefault="00476D85" w:rsidP="002E0985">
      <w:r w:rsidRPr="002E0985">
        <w:t xml:space="preserve">The Board believes it is necessary for the </w:t>
      </w:r>
      <w:r w:rsidR="00954B47" w:rsidRPr="002E0985">
        <w:t>V</w:t>
      </w:r>
      <w:r w:rsidRPr="002E0985">
        <w:t xml:space="preserve">TTC to include this information in light of community concern and media coverage of tax issues. </w:t>
      </w:r>
      <w:r w:rsidR="00946EF7" w:rsidRPr="002E0985">
        <w:t xml:space="preserve">Entities </w:t>
      </w:r>
      <w:r w:rsidRPr="002E0985">
        <w:t xml:space="preserve">may address these </w:t>
      </w:r>
      <w:r w:rsidR="00B82044" w:rsidRPr="002E0985">
        <w:t xml:space="preserve">concerns </w:t>
      </w:r>
      <w:r w:rsidRPr="002E0985">
        <w:t>by carefully explaining the commercial context of these arrangements. </w:t>
      </w:r>
    </w:p>
    <w:p w14:paraId="5E1867AB" w14:textId="7113FF98" w:rsidR="00EE544A" w:rsidRPr="002E0985" w:rsidRDefault="00EE544A" w:rsidP="002E0985">
      <w:r w:rsidRPr="002E0985">
        <w:t>There is public interest in ensuring that international related party dealings are being conducted in a manner consistent with Australian tax law</w:t>
      </w:r>
      <w:r w:rsidR="006B7C5B" w:rsidRPr="002E0985">
        <w:t>.</w:t>
      </w:r>
    </w:p>
    <w:p w14:paraId="2D5CE553" w14:textId="77777777" w:rsidR="00AD15A6" w:rsidRPr="002E0985" w:rsidRDefault="00AD15A6" w:rsidP="002E0985">
      <w:bookmarkStart w:id="60" w:name="_Toc195021315"/>
      <w:r w:rsidRPr="002E0985">
        <w:t xml:space="preserve">The qualitative nature of the disclosure should provide an opportunity for an entity to explain and mitigate any misunderstanding, given that information about its activities in other jurisdictions may in any case require disclosure under other transparency regimes. </w:t>
      </w:r>
    </w:p>
    <w:p w14:paraId="5FD67273" w14:textId="77777777" w:rsidR="00AD15A6" w:rsidRPr="002E0985" w:rsidRDefault="00AD15A6" w:rsidP="002E0985">
      <w:r w:rsidRPr="002E0985">
        <w:t>Entities with no material international related party dealings should state this in their VTTC. </w:t>
      </w:r>
    </w:p>
    <w:p w14:paraId="2F625A03" w14:textId="77777777" w:rsidR="00164C29" w:rsidRPr="00E5144C" w:rsidRDefault="00164C29" w:rsidP="00E5144C">
      <w:r>
        <w:br w:type="page"/>
      </w:r>
    </w:p>
    <w:p w14:paraId="32746190" w14:textId="4A2DDA60" w:rsidR="00BD4078" w:rsidRDefault="00BD4078" w:rsidP="00E5144C">
      <w:pPr>
        <w:pStyle w:val="AppendixHeading"/>
      </w:pPr>
      <w:bookmarkStart w:id="61" w:name="Appendix_A"/>
      <w:bookmarkStart w:id="62" w:name="_Toc212116313"/>
      <w:bookmarkEnd w:id="61"/>
      <w:r>
        <w:lastRenderedPageBreak/>
        <w:t xml:space="preserve">Appendix A – Example template format of </w:t>
      </w:r>
      <w:r w:rsidR="00005920">
        <w:t>V</w:t>
      </w:r>
      <w:r>
        <w:t>TTC report</w:t>
      </w:r>
      <w:bookmarkEnd w:id="60"/>
      <w:bookmarkEnd w:id="62"/>
      <w:r>
        <w:t xml:space="preserve"> </w:t>
      </w:r>
    </w:p>
    <w:tbl>
      <w:tblPr>
        <w:tblStyle w:val="ListTable3-Accent1"/>
        <w:tblW w:w="5000" w:type="pct"/>
        <w:tblLook w:val="04A0" w:firstRow="1" w:lastRow="0" w:firstColumn="1" w:lastColumn="0" w:noHBand="0" w:noVBand="1"/>
      </w:tblPr>
      <w:tblGrid>
        <w:gridCol w:w="9636"/>
      </w:tblGrid>
      <w:tr w:rsidR="00BD4078" w14:paraId="73B8D2B2" w14:textId="77777777" w:rsidTr="00A30A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tcPr>
          <w:p w14:paraId="35CFA203" w14:textId="2ABDCF32" w:rsidR="00BD4078" w:rsidRPr="007330C4" w:rsidRDefault="00BD4078" w:rsidP="007330C4">
            <w:pPr>
              <w:pStyle w:val="BoxText"/>
              <w:rPr>
                <w:b/>
                <w:bCs w:val="0"/>
              </w:rPr>
            </w:pPr>
            <w:r w:rsidRPr="007330C4">
              <w:rPr>
                <w:b/>
                <w:bCs w:val="0"/>
              </w:rPr>
              <w:t>Note</w:t>
            </w:r>
            <w:r w:rsidR="00D326FD" w:rsidRPr="007330C4">
              <w:rPr>
                <w:b/>
                <w:bCs w:val="0"/>
              </w:rPr>
              <w:t>s</w:t>
            </w:r>
            <w:r w:rsidR="00577C81" w:rsidRPr="007330C4">
              <w:rPr>
                <w:b/>
                <w:bCs w:val="0"/>
              </w:rPr>
              <w:t>:</w:t>
            </w:r>
          </w:p>
          <w:p w14:paraId="0B3A31D4" w14:textId="1BBE2DB9" w:rsidR="00E77BBE" w:rsidRDefault="00BD4078" w:rsidP="007330C4">
            <w:pPr>
              <w:pStyle w:val="BoxBullet"/>
            </w:pPr>
            <w:r>
              <w:t xml:space="preserve">The examples contained in Appendix A </w:t>
            </w:r>
            <w:r w:rsidR="008C320B" w:rsidRPr="008C320B">
              <w:rPr>
                <w:u w:val="single"/>
              </w:rPr>
              <w:t>do not prescribe a mandatory format</w:t>
            </w:r>
            <w:r w:rsidR="008C320B">
              <w:t xml:space="preserve"> of presentation but rather have been provided for guidance purposes only. The examples </w:t>
            </w:r>
            <w:r>
              <w:t xml:space="preserve">are entirely based on fictitious </w:t>
            </w:r>
            <w:r w:rsidR="00946EF7">
              <w:rPr>
                <w:rFonts w:asciiTheme="minorHAnsi" w:hAnsiTheme="minorHAnsi" w:cstheme="minorHAnsi"/>
              </w:rPr>
              <w:t>entities</w:t>
            </w:r>
            <w:r w:rsidR="00946EF7" w:rsidRPr="002F5B2C">
              <w:rPr>
                <w:rFonts w:asciiTheme="minorHAnsi" w:hAnsiTheme="minorHAnsi" w:cstheme="minorHAnsi"/>
              </w:rPr>
              <w:t xml:space="preserve"> </w:t>
            </w:r>
            <w:r>
              <w:t>‘JAS Ltd’ (</w:t>
            </w:r>
            <w:r w:rsidR="00DE0E4A">
              <w:t xml:space="preserve">Public </w:t>
            </w:r>
            <w:proofErr w:type="spellStart"/>
            <w:r>
              <w:t>CbC</w:t>
            </w:r>
            <w:proofErr w:type="spellEnd"/>
            <w:r>
              <w:t xml:space="preserve"> reporter) and ‘</w:t>
            </w:r>
            <w:r w:rsidR="00260542">
              <w:t>PAA</w:t>
            </w:r>
            <w:r>
              <w:t xml:space="preserve"> Ltd’ (Non-</w:t>
            </w:r>
            <w:r w:rsidR="00DE0E4A">
              <w:t xml:space="preserve">public </w:t>
            </w:r>
            <w:proofErr w:type="spellStart"/>
            <w:r w:rsidR="00085B3E">
              <w:t>Cb</w:t>
            </w:r>
            <w:r>
              <w:t>C</w:t>
            </w:r>
            <w:proofErr w:type="spellEnd"/>
            <w:r>
              <w:t xml:space="preserve"> reporter)</w:t>
            </w:r>
            <w:r w:rsidR="002976E7">
              <w:t xml:space="preserve">. </w:t>
            </w:r>
          </w:p>
          <w:p w14:paraId="7987189D" w14:textId="2D39135C" w:rsidR="00BD4078" w:rsidRDefault="002976E7" w:rsidP="007330C4">
            <w:pPr>
              <w:pStyle w:val="BoxBullet"/>
            </w:pPr>
            <w:r>
              <w:t>A</w:t>
            </w:r>
            <w:r w:rsidR="00BD4078">
              <w:t xml:space="preserve">ll data and information </w:t>
            </w:r>
            <w:r w:rsidR="00E33299">
              <w:t>have</w:t>
            </w:r>
            <w:r w:rsidR="00BD4078">
              <w:t xml:space="preserve"> been constructed for guidance purposes only. </w:t>
            </w:r>
            <w:r w:rsidR="00EE5DD8">
              <w:t xml:space="preserve">Any similarities </w:t>
            </w:r>
            <w:r w:rsidR="00883528">
              <w:t xml:space="preserve">drawn </w:t>
            </w:r>
            <w:r>
              <w:t xml:space="preserve">between </w:t>
            </w:r>
            <w:r w:rsidR="00883528">
              <w:t xml:space="preserve">the </w:t>
            </w:r>
            <w:r>
              <w:t xml:space="preserve">data contained in Appendix A and </w:t>
            </w:r>
            <w:r w:rsidR="00AD0EEC">
              <w:t>an</w:t>
            </w:r>
            <w:r w:rsidR="006801F2">
              <w:t>y</w:t>
            </w:r>
            <w:r w:rsidR="00EE5DD8">
              <w:t xml:space="preserve"> Australian listed companies </w:t>
            </w:r>
            <w:r w:rsidR="00F0256E">
              <w:t>is</w:t>
            </w:r>
            <w:r w:rsidR="00EE5DD8">
              <w:t xml:space="preserve"> entirely coincidental</w:t>
            </w:r>
            <w:r w:rsidR="00F26C1F">
              <w:t>.</w:t>
            </w:r>
          </w:p>
          <w:p w14:paraId="4EC842D5" w14:textId="69ECE347" w:rsidR="00BD4078" w:rsidRDefault="00BD4078" w:rsidP="007A31AB">
            <w:pPr>
              <w:pStyle w:val="BoxBullet"/>
              <w:spacing w:after="120"/>
            </w:pPr>
            <w:r>
              <w:t xml:space="preserve">The inclusion and presentation of information in </w:t>
            </w:r>
            <w:r w:rsidR="00005920">
              <w:t>V</w:t>
            </w:r>
            <w:r>
              <w:t xml:space="preserve">TTC reports will depend on the particular facts and circumstances of each </w:t>
            </w:r>
            <w:r w:rsidR="002A500D">
              <w:t xml:space="preserve">entity </w:t>
            </w:r>
            <w:r>
              <w:t>and business-specific materiality.</w:t>
            </w:r>
            <w:r>
              <w:rPr>
                <w:rStyle w:val="FootnoteReference"/>
              </w:rPr>
              <w:footnoteReference w:id="17"/>
            </w:r>
            <w:r>
              <w:t xml:space="preserve"> </w:t>
            </w:r>
          </w:p>
        </w:tc>
      </w:tr>
    </w:tbl>
    <w:p w14:paraId="7B0C5B8B" w14:textId="77777777" w:rsidR="00164C29" w:rsidRPr="00831192" w:rsidRDefault="00164C29" w:rsidP="00831192">
      <w:bookmarkStart w:id="63" w:name="_Public_CbC_Reporter:"/>
      <w:bookmarkStart w:id="64" w:name="_Toc195021316"/>
      <w:bookmarkEnd w:id="63"/>
      <w:r>
        <w:rPr>
          <w:sz w:val="40"/>
          <w:szCs w:val="40"/>
        </w:rPr>
        <w:br w:type="page"/>
      </w:r>
    </w:p>
    <w:p w14:paraId="0736ACE5" w14:textId="65175040" w:rsidR="00BD4078" w:rsidRPr="004B33E2" w:rsidRDefault="005F3057" w:rsidP="00F35D13">
      <w:pPr>
        <w:pStyle w:val="Heading1"/>
        <w:spacing w:after="240"/>
        <w:jc w:val="center"/>
        <w:rPr>
          <w:sz w:val="48"/>
          <w:szCs w:val="48"/>
        </w:rPr>
      </w:pPr>
      <w:bookmarkStart w:id="65" w:name="_Public_CbC_Reporter:_1"/>
      <w:bookmarkStart w:id="66" w:name="_Toc212116314"/>
      <w:bookmarkEnd w:id="65"/>
      <w:r w:rsidRPr="004B33E2">
        <w:rPr>
          <w:sz w:val="48"/>
          <w:szCs w:val="48"/>
        </w:rPr>
        <w:lastRenderedPageBreak/>
        <w:t xml:space="preserve">Public </w:t>
      </w:r>
      <w:proofErr w:type="spellStart"/>
      <w:r w:rsidR="00BD4078" w:rsidRPr="004B33E2">
        <w:rPr>
          <w:sz w:val="48"/>
          <w:szCs w:val="48"/>
        </w:rPr>
        <w:t>CbC</w:t>
      </w:r>
      <w:proofErr w:type="spellEnd"/>
      <w:r w:rsidR="00BD4078" w:rsidRPr="004B33E2">
        <w:rPr>
          <w:sz w:val="48"/>
          <w:szCs w:val="48"/>
        </w:rPr>
        <w:t xml:space="preserve"> Reporter: Example </w:t>
      </w:r>
      <w:r w:rsidR="00005920" w:rsidRPr="004B33E2">
        <w:rPr>
          <w:sz w:val="48"/>
          <w:szCs w:val="48"/>
        </w:rPr>
        <w:t>V</w:t>
      </w:r>
      <w:r w:rsidR="00BD4078" w:rsidRPr="004B33E2">
        <w:rPr>
          <w:sz w:val="48"/>
          <w:szCs w:val="48"/>
        </w:rPr>
        <w:t>TTC Report</w:t>
      </w:r>
      <w:bookmarkEnd w:id="64"/>
      <w:bookmarkEnd w:id="66"/>
    </w:p>
    <w:p w14:paraId="57938FBA" w14:textId="77777777" w:rsidR="00BD4078" w:rsidRDefault="00BD4078" w:rsidP="00F54723">
      <w:pPr>
        <w:pStyle w:val="Heading2"/>
        <w:jc w:val="center"/>
      </w:pPr>
      <w:bookmarkStart w:id="67" w:name="_Toc212116315"/>
      <w:r>
        <w:t>Tax Transparency Report for JAS Ltd</w:t>
      </w:r>
      <w:bookmarkEnd w:id="67"/>
    </w:p>
    <w:p w14:paraId="52FDB7CC" w14:textId="5A331CC3" w:rsidR="00BD4078" w:rsidRDefault="00BD4078" w:rsidP="00F54723">
      <w:pPr>
        <w:pStyle w:val="Heading3"/>
        <w:jc w:val="center"/>
      </w:pPr>
      <w:r w:rsidRPr="00E30BBF">
        <w:t xml:space="preserve">For the year ended </w:t>
      </w:r>
      <w:r w:rsidR="00C06EF3">
        <w:t>31 December 2024</w:t>
      </w:r>
    </w:p>
    <w:p w14:paraId="2BA3B349" w14:textId="5799EFA4" w:rsidR="00805DFB" w:rsidRPr="00805DFB" w:rsidRDefault="00805DFB" w:rsidP="00F54723">
      <w:pPr>
        <w:pStyle w:val="Heading4"/>
        <w:jc w:val="center"/>
      </w:pPr>
      <w:r w:rsidRPr="00805DFB">
        <w:t>Published</w:t>
      </w:r>
      <w:r w:rsidRPr="00F91679">
        <w:t xml:space="preserve">: </w:t>
      </w:r>
      <w:r w:rsidR="00C06EF3" w:rsidRPr="00F91679">
        <w:t>31 December 2025</w:t>
      </w:r>
    </w:p>
    <w:p w14:paraId="6A80F628" w14:textId="5DC4F12B" w:rsidR="00BD4078" w:rsidRPr="00E30BBF" w:rsidRDefault="00BD4078" w:rsidP="00BD4078">
      <w:pPr>
        <w:jc w:val="center"/>
        <w:rPr>
          <w:rFonts w:asciiTheme="majorHAnsi" w:hAnsiTheme="majorHAnsi"/>
          <w:b/>
          <w:bCs/>
          <w:color w:val="701F4D" w:themeColor="accent2"/>
          <w:sz w:val="40"/>
          <w:szCs w:val="40"/>
        </w:rPr>
      </w:pPr>
      <w:r w:rsidRPr="00351319">
        <w:rPr>
          <w:rFonts w:asciiTheme="majorHAnsi" w:hAnsiTheme="majorHAnsi"/>
          <w:b/>
          <w:bCs/>
          <w:noProof/>
          <w:color w:val="701F4D" w:themeColor="accent2"/>
          <w:sz w:val="40"/>
          <w:szCs w:val="40"/>
        </w:rPr>
        <w:drawing>
          <wp:inline distT="0" distB="0" distL="0" distR="0" wp14:anchorId="3D4FACCD" wp14:editId="62786971">
            <wp:extent cx="2198789" cy="1567013"/>
            <wp:effectExtent l="0" t="0" r="0" b="0"/>
            <wp:docPr id="604172154" name="Picture 1" descr="Logo of a company: JAS Ltd - Where Health Comes Fi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72154" name="Picture 1" descr="Logo of a company: JAS Ltd - Where Health Comes First"/>
                    <pic:cNvPicPr/>
                  </pic:nvPicPr>
                  <pic:blipFill rotWithShape="1">
                    <a:blip r:embed="rId28" cstate="print">
                      <a:extLst>
                        <a:ext uri="{28A0092B-C50C-407E-A947-70E740481C1C}">
                          <a14:useLocalDpi xmlns:a14="http://schemas.microsoft.com/office/drawing/2010/main" val="0"/>
                        </a:ext>
                      </a:extLst>
                    </a:blip>
                    <a:srcRect/>
                    <a:stretch/>
                  </pic:blipFill>
                  <pic:spPr bwMode="auto">
                    <a:xfrm>
                      <a:off x="0" y="0"/>
                      <a:ext cx="2214719" cy="1578366"/>
                    </a:xfrm>
                    <a:prstGeom prst="rect">
                      <a:avLst/>
                    </a:prstGeom>
                    <a:ln>
                      <a:noFill/>
                    </a:ln>
                    <a:extLst>
                      <a:ext uri="{53640926-AAD7-44D8-BBD7-CCE9431645EC}">
                        <a14:shadowObscured xmlns:a14="http://schemas.microsoft.com/office/drawing/2010/main"/>
                      </a:ext>
                    </a:extLst>
                  </pic:spPr>
                </pic:pic>
              </a:graphicData>
            </a:graphic>
          </wp:inline>
        </w:drawing>
      </w:r>
    </w:p>
    <w:p w14:paraId="70704FB2" w14:textId="77777777" w:rsidR="00BD4078" w:rsidRPr="00473EA2" w:rsidRDefault="00BD4078" w:rsidP="00BD4078">
      <w:pPr>
        <w:pStyle w:val="Heading2"/>
        <w:rPr>
          <w:color w:val="701F4D" w:themeColor="accent2"/>
        </w:rPr>
      </w:pPr>
      <w:bookmarkStart w:id="68" w:name="_Toc195021317"/>
      <w:bookmarkStart w:id="69" w:name="_Toc212116316"/>
      <w:r w:rsidRPr="00473EA2">
        <w:rPr>
          <w:color w:val="701F4D" w:themeColor="accent2"/>
        </w:rPr>
        <w:t>Overview</w:t>
      </w:r>
      <w:bookmarkEnd w:id="68"/>
      <w:bookmarkEnd w:id="69"/>
    </w:p>
    <w:p w14:paraId="1FAE4079" w14:textId="77FBC36A" w:rsidR="00BD4078" w:rsidRDefault="00BD4078" w:rsidP="009A38E6">
      <w:r>
        <w:t>JAS Ltd</w:t>
      </w:r>
      <w:r w:rsidRPr="00636AAE">
        <w:t xml:space="preserve"> reports under Australia’s public country-by-country reporting requirements, </w:t>
      </w:r>
      <w:r w:rsidR="00633E94">
        <w:t>the 2025 report</w:t>
      </w:r>
      <w:r w:rsidR="00633E94" w:rsidRPr="00636AAE">
        <w:t xml:space="preserve"> </w:t>
      </w:r>
      <w:r w:rsidRPr="00636AAE">
        <w:t>can be found here [</w:t>
      </w:r>
      <w:r w:rsidRPr="00F830A9">
        <w:t>insert link</w:t>
      </w:r>
      <w:r w:rsidRPr="00636AAE">
        <w:t>]</w:t>
      </w:r>
      <w:r>
        <w:t>.</w:t>
      </w:r>
    </w:p>
    <w:p w14:paraId="7AEC2F81" w14:textId="12120186" w:rsidR="00BD4078" w:rsidRDefault="00BD4078" w:rsidP="009A38E6">
      <w:r w:rsidRPr="0053280D">
        <w:t xml:space="preserve">This </w:t>
      </w:r>
      <w:r w:rsidR="00005920">
        <w:t>V</w:t>
      </w:r>
      <w:r w:rsidRPr="0053280D">
        <w:t xml:space="preserve">TTC report has been approved by the </w:t>
      </w:r>
      <w:r>
        <w:t xml:space="preserve">JAS Ltd </w:t>
      </w:r>
      <w:r w:rsidRPr="0053280D">
        <w:t>Audit and Risk Committee on behalf of the Board</w:t>
      </w:r>
      <w:r>
        <w:t>.</w:t>
      </w:r>
      <w:r>
        <w:rPr>
          <w:rStyle w:val="FootnoteReference"/>
          <w:color w:val="142147" w:themeColor="accent1"/>
        </w:rPr>
        <w:footnoteReference w:id="18"/>
      </w:r>
      <w:r w:rsidRPr="0053280D">
        <w:t xml:space="preserve"> In preparing this report, JAS Ltd have followed the recommendations in the Board of Taxation’s Tax Transparency Code. </w:t>
      </w:r>
    </w:p>
    <w:p w14:paraId="6AB50000" w14:textId="77777777" w:rsidR="00253110" w:rsidRPr="009A38E6" w:rsidRDefault="00253110" w:rsidP="009A38E6">
      <w:bookmarkStart w:id="70" w:name="_Toc195021318"/>
      <w:r>
        <w:br w:type="page"/>
      </w:r>
    </w:p>
    <w:p w14:paraId="51E767FD" w14:textId="7E53AA30" w:rsidR="00BD4078" w:rsidRPr="005F6197" w:rsidRDefault="00BD4078" w:rsidP="00BD4078">
      <w:pPr>
        <w:pStyle w:val="Heading2"/>
        <w:spacing w:before="360" w:after="0"/>
      </w:pPr>
      <w:bookmarkStart w:id="71" w:name="_Toc212116317"/>
      <w:r w:rsidRPr="005F6197">
        <w:lastRenderedPageBreak/>
        <w:t>Tax Data</w:t>
      </w:r>
      <w:bookmarkEnd w:id="70"/>
      <w:bookmarkEnd w:id="71"/>
      <w:r w:rsidRPr="005F6197">
        <w:t xml:space="preserve"> </w:t>
      </w:r>
    </w:p>
    <w:p w14:paraId="358D4621" w14:textId="77777777" w:rsidR="00BD4078" w:rsidRDefault="00BD4078" w:rsidP="00BD4078">
      <w:pPr>
        <w:pStyle w:val="Heading3"/>
      </w:pPr>
      <w:r>
        <w:t xml:space="preserve">Total Tax Contribution </w:t>
      </w:r>
    </w:p>
    <w:tbl>
      <w:tblPr>
        <w:tblStyle w:val="ListTable3-Accent2"/>
        <w:tblW w:w="5000" w:type="pct"/>
        <w:tblLook w:val="04A0" w:firstRow="1" w:lastRow="0" w:firstColumn="1" w:lastColumn="0" w:noHBand="0" w:noVBand="1"/>
      </w:tblPr>
      <w:tblGrid>
        <w:gridCol w:w="9636"/>
      </w:tblGrid>
      <w:tr w:rsidR="00BD4078" w14:paraId="24430F83" w14:textId="77777777" w:rsidTr="00A30A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tcPr>
          <w:p w14:paraId="07C82513" w14:textId="77777777" w:rsidR="00BD4078" w:rsidRPr="00253110" w:rsidRDefault="00BD4078" w:rsidP="00253110">
            <w:pPr>
              <w:pStyle w:val="BoxText"/>
              <w:jc w:val="center"/>
              <w:rPr>
                <w:b/>
                <w:bCs w:val="0"/>
              </w:rPr>
            </w:pPr>
            <w:r w:rsidRPr="00253110">
              <w:rPr>
                <w:b/>
                <w:bCs w:val="0"/>
              </w:rPr>
              <w:t>$130.7m paid in Australian income tax</w:t>
            </w:r>
          </w:p>
        </w:tc>
      </w:tr>
    </w:tbl>
    <w:p w14:paraId="2EF3365B" w14:textId="5822E4B7" w:rsidR="00304A54" w:rsidRDefault="002D42F0" w:rsidP="00A56233">
      <w:pPr>
        <w:pStyle w:val="ChartGraphic"/>
      </w:pPr>
      <w:r w:rsidRPr="002D42F0">
        <w:rPr>
          <w:noProof/>
        </w:rPr>
        <w:drawing>
          <wp:inline distT="0" distB="0" distL="0" distR="0" wp14:anchorId="4DAD2C01" wp14:editId="2A106FF5">
            <wp:extent cx="1943371" cy="1752845"/>
            <wp:effectExtent l="0" t="0" r="0" b="0"/>
            <wp:docPr id="88544156" name="Picture 1" descr="Australian map visual showing JAS Ltd pays $130.7 million in total corporate income taxes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4156" name="Picture 1" descr="Australian map visual showing JAS Ltd pays $130.7 million in total corporate income taxes in Australia"/>
                    <pic:cNvPicPr/>
                  </pic:nvPicPr>
                  <pic:blipFill>
                    <a:blip r:embed="rId29"/>
                    <a:stretch>
                      <a:fillRect/>
                    </a:stretch>
                  </pic:blipFill>
                  <pic:spPr>
                    <a:xfrm>
                      <a:off x="0" y="0"/>
                      <a:ext cx="1943371" cy="1752845"/>
                    </a:xfrm>
                    <a:prstGeom prst="rect">
                      <a:avLst/>
                    </a:prstGeom>
                  </pic:spPr>
                </pic:pic>
              </a:graphicData>
            </a:graphic>
          </wp:inline>
        </w:drawing>
      </w:r>
    </w:p>
    <w:p w14:paraId="3BB6E49D" w14:textId="41399DB3" w:rsidR="00BD4078" w:rsidRPr="00253110" w:rsidRDefault="00BD4078" w:rsidP="00536124">
      <w:r w:rsidRPr="00253110">
        <w:t xml:space="preserve">In the </w:t>
      </w:r>
      <w:r w:rsidR="00196B2A" w:rsidRPr="00253110">
        <w:t>2025</w:t>
      </w:r>
      <w:r w:rsidR="00267948" w:rsidRPr="00253110">
        <w:t xml:space="preserve"> reporting</w:t>
      </w:r>
      <w:r w:rsidRPr="00253110">
        <w:t xml:space="preserve"> year, JAS Ltd paid </w:t>
      </w:r>
      <w:r w:rsidRPr="00253110">
        <w:rPr>
          <w:b/>
          <w:bCs/>
        </w:rPr>
        <w:t>$130.7</w:t>
      </w:r>
      <w:r w:rsidR="00253110">
        <w:rPr>
          <w:b/>
          <w:bCs/>
        </w:rPr>
        <w:t> </w:t>
      </w:r>
      <w:r w:rsidRPr="00253110">
        <w:rPr>
          <w:b/>
          <w:bCs/>
        </w:rPr>
        <w:t>million</w:t>
      </w:r>
      <w:r w:rsidRPr="00253110">
        <w:t xml:space="preserve"> in corporate income taxes in Australia. Corporate income tax is paid on taxable</w:t>
      </w:r>
      <w:r w:rsidR="00253110" w:rsidRPr="00253110">
        <w:t xml:space="preserve"> </w:t>
      </w:r>
      <w:r w:rsidRPr="00253110">
        <w:t>profits, not on revenue.</w:t>
      </w:r>
    </w:p>
    <w:p w14:paraId="423ED60D" w14:textId="77777777" w:rsidR="003E668F" w:rsidRDefault="003E668F" w:rsidP="004E7644">
      <w:pPr>
        <w:pStyle w:val="Heading4"/>
      </w:pPr>
      <w:r w:rsidRPr="00CD1A1B">
        <w:t xml:space="preserve">Optional elements </w:t>
      </w:r>
    </w:p>
    <w:p w14:paraId="7FA677AD" w14:textId="77777777" w:rsidR="003E668F" w:rsidRPr="00F830A9" w:rsidRDefault="003E668F" w:rsidP="00536124">
      <w:r w:rsidRPr="00F830A9">
        <w:t xml:space="preserve">[Report on </w:t>
      </w:r>
      <w:r w:rsidRPr="00536124">
        <w:t>global</w:t>
      </w:r>
      <w:r w:rsidRPr="00F830A9">
        <w:t xml:space="preserve"> group total income tax contribution]</w:t>
      </w:r>
    </w:p>
    <w:p w14:paraId="304A2893" w14:textId="7EAAF018" w:rsidR="003E668F" w:rsidRDefault="003E668F" w:rsidP="00536124">
      <w:r w:rsidRPr="00CD1A1B">
        <w:rPr>
          <w:rFonts w:asciiTheme="minorHAnsi" w:hAnsiTheme="minorHAnsi" w:cstheme="minorHAnsi"/>
        </w:rPr>
        <w:t xml:space="preserve">In the </w:t>
      </w:r>
      <w:r>
        <w:rPr>
          <w:rFonts w:asciiTheme="minorHAnsi" w:hAnsiTheme="minorHAnsi" w:cstheme="minorHAnsi"/>
        </w:rPr>
        <w:t>2025 reporting</w:t>
      </w:r>
      <w:r w:rsidRPr="00CD1A1B">
        <w:rPr>
          <w:rFonts w:asciiTheme="minorHAnsi" w:hAnsiTheme="minorHAnsi" w:cstheme="minorHAnsi"/>
        </w:rPr>
        <w:t xml:space="preserve"> year, </w:t>
      </w:r>
      <w:r>
        <w:rPr>
          <w:rFonts w:asciiTheme="minorHAnsi" w:hAnsiTheme="minorHAnsi" w:cstheme="minorHAnsi"/>
        </w:rPr>
        <w:t xml:space="preserve">JAS </w:t>
      </w:r>
      <w:r w:rsidR="00F84E16">
        <w:rPr>
          <w:rFonts w:asciiTheme="minorHAnsi" w:hAnsiTheme="minorHAnsi" w:cstheme="minorHAnsi"/>
        </w:rPr>
        <w:t>Ltd.’s</w:t>
      </w:r>
      <w:r>
        <w:rPr>
          <w:rFonts w:asciiTheme="minorHAnsi" w:hAnsiTheme="minorHAnsi" w:cstheme="minorHAnsi"/>
        </w:rPr>
        <w:t xml:space="preserve"> </w:t>
      </w:r>
      <w:r w:rsidRPr="00CD1A1B">
        <w:t xml:space="preserve">total global tax </w:t>
      </w:r>
      <w:r>
        <w:t>contribution</w:t>
      </w:r>
      <w:r w:rsidRPr="00CD1A1B">
        <w:t xml:space="preserve"> w</w:t>
      </w:r>
      <w:r>
        <w:t>as</w:t>
      </w:r>
      <w:r w:rsidRPr="00CD1A1B">
        <w:t xml:space="preserve"> </w:t>
      </w:r>
      <w:r>
        <w:t>AUD$217.8</w:t>
      </w:r>
      <w:r w:rsidR="00253110">
        <w:t> </w:t>
      </w:r>
      <w:r>
        <w:t>million</w:t>
      </w:r>
      <w:r w:rsidRPr="00CD1A1B">
        <w:t xml:space="preserve">. Of this, </w:t>
      </w:r>
      <w:r>
        <w:t xml:space="preserve">JAS </w:t>
      </w:r>
      <w:r w:rsidR="00F84E16">
        <w:t>Ltd.’s</w:t>
      </w:r>
      <w:r w:rsidRPr="00CD1A1B">
        <w:t xml:space="preserve"> Australian contribution represented </w:t>
      </w:r>
      <w:r>
        <w:t xml:space="preserve">60%. </w:t>
      </w:r>
    </w:p>
    <w:p w14:paraId="28036BA4" w14:textId="77777777" w:rsidR="003E668F" w:rsidRPr="00FD2480" w:rsidRDefault="003E668F" w:rsidP="00536124">
      <w:r w:rsidRPr="00FD2480">
        <w:t xml:space="preserve">[Report on other Australian taxes and imposts paid to Government, for example Petroleum Resources Rent Tax, </w:t>
      </w:r>
      <w:r w:rsidRPr="00536124">
        <w:t>royalties</w:t>
      </w:r>
      <w:r w:rsidRPr="00FD2480">
        <w:t xml:space="preserve">, excises, payroll taxes, stamp duties, fringe benefits tax and state taxes] </w:t>
      </w:r>
    </w:p>
    <w:p w14:paraId="26453D0F" w14:textId="49F22939" w:rsidR="003E668F" w:rsidRPr="00FD2480" w:rsidRDefault="003E668F" w:rsidP="00536124">
      <w:r w:rsidRPr="00FD2480">
        <w:t xml:space="preserve">[Report </w:t>
      </w:r>
      <w:r w:rsidRPr="00536124">
        <w:t>Government</w:t>
      </w:r>
      <w:r w:rsidRPr="00FD2480">
        <w:t xml:space="preserve"> imposts collected by the </w:t>
      </w:r>
      <w:r w:rsidR="002A500D" w:rsidRPr="00FD2480">
        <w:t xml:space="preserve">entity </w:t>
      </w:r>
      <w:r w:rsidRPr="00FD2480">
        <w:t xml:space="preserve">on behalf of others, for example, GST and Pay </w:t>
      </w:r>
      <w:proofErr w:type="gramStart"/>
      <w:r w:rsidRPr="00FD2480">
        <w:t>As</w:t>
      </w:r>
      <w:proofErr w:type="gramEnd"/>
      <w:r w:rsidRPr="00FD2480">
        <w:t xml:space="preserve"> You Go withholding taxes]</w:t>
      </w:r>
      <w:r w:rsidRPr="00FD2480">
        <w:rPr>
          <w:noProof/>
        </w:rPr>
        <w:t xml:space="preserve"> </w:t>
      </w:r>
    </w:p>
    <w:p w14:paraId="4944310E" w14:textId="488F99E0" w:rsidR="003E668F" w:rsidRDefault="003E668F" w:rsidP="00536124">
      <w:r>
        <w:t xml:space="preserve">In addition to corporate </w:t>
      </w:r>
      <w:r w:rsidRPr="00536124">
        <w:t>income</w:t>
      </w:r>
      <w:r>
        <w:t xml:space="preserve"> tax, JAS Ltd</w:t>
      </w:r>
      <w:r w:rsidRPr="00636AAE">
        <w:t xml:space="preserve"> </w:t>
      </w:r>
      <w:r w:rsidRPr="0047663D">
        <w:t>collect</w:t>
      </w:r>
      <w:r>
        <w:t>ed</w:t>
      </w:r>
      <w:r w:rsidRPr="0047663D">
        <w:t xml:space="preserve"> and pa</w:t>
      </w:r>
      <w:r>
        <w:t>id</w:t>
      </w:r>
      <w:r w:rsidRPr="0047663D">
        <w:t xml:space="preserve"> </w:t>
      </w:r>
      <w:r w:rsidRPr="00C6217D">
        <w:rPr>
          <w:b/>
          <w:bCs/>
        </w:rPr>
        <w:t>$19.8</w:t>
      </w:r>
      <w:r w:rsidR="00253110">
        <w:rPr>
          <w:b/>
          <w:bCs/>
        </w:rPr>
        <w:t> </w:t>
      </w:r>
      <w:r w:rsidRPr="00C6217D">
        <w:rPr>
          <w:b/>
          <w:bCs/>
        </w:rPr>
        <w:t>million</w:t>
      </w:r>
      <w:r>
        <w:t xml:space="preserve"> in other Australian taxes, and </w:t>
      </w:r>
      <w:r w:rsidRPr="00CF52D1">
        <w:rPr>
          <w:b/>
          <w:bCs/>
        </w:rPr>
        <w:t>$219.8</w:t>
      </w:r>
      <w:r w:rsidR="00253110">
        <w:rPr>
          <w:b/>
          <w:bCs/>
        </w:rPr>
        <w:t> </w:t>
      </w:r>
      <w:r w:rsidRPr="00CF52D1">
        <w:rPr>
          <w:b/>
          <w:bCs/>
        </w:rPr>
        <w:t>million</w:t>
      </w:r>
      <w:r>
        <w:t xml:space="preserve"> in government imposts collected on behalf of others.</w:t>
      </w:r>
    </w:p>
    <w:p w14:paraId="2E6DD958" w14:textId="4B004813" w:rsidR="00DD2123" w:rsidRDefault="00DD2123" w:rsidP="00A56233">
      <w:pPr>
        <w:pStyle w:val="ChartGraphic"/>
      </w:pPr>
      <w:r w:rsidRPr="00806932">
        <w:rPr>
          <w:noProof/>
        </w:rPr>
        <w:lastRenderedPageBreak/>
        <w:drawing>
          <wp:inline distT="0" distB="0" distL="0" distR="0" wp14:anchorId="117A40D7" wp14:editId="09E4D64F">
            <wp:extent cx="2168222" cy="1863912"/>
            <wp:effectExtent l="0" t="0" r="3810" b="3175"/>
            <wp:docPr id="480216020" name="Picture 1" descr="Australian map visual showing JAS Ltd pays $370.4 million in total taxes pai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16020" name="Picture 1" descr="Australian map visual showing JAS Ltd pays $370.4 million in total taxes paid in Australia"/>
                    <pic:cNvPicPr/>
                  </pic:nvPicPr>
                  <pic:blipFill>
                    <a:blip r:embed="rId30"/>
                    <a:stretch>
                      <a:fillRect/>
                    </a:stretch>
                  </pic:blipFill>
                  <pic:spPr>
                    <a:xfrm>
                      <a:off x="0" y="0"/>
                      <a:ext cx="2179213" cy="1873360"/>
                    </a:xfrm>
                    <a:prstGeom prst="rect">
                      <a:avLst/>
                    </a:prstGeom>
                  </pic:spPr>
                </pic:pic>
              </a:graphicData>
            </a:graphic>
          </wp:inline>
        </w:drawing>
      </w:r>
      <w:r w:rsidRPr="00A56233">
        <w:rPr>
          <w:noProof/>
        </w:rPr>
        <w:drawing>
          <wp:inline distT="0" distB="0" distL="0" distR="0" wp14:anchorId="28552B42" wp14:editId="3744B8F5">
            <wp:extent cx="2904106" cy="1833157"/>
            <wp:effectExtent l="0" t="0" r="0" b="0"/>
            <wp:docPr id="309365352" name="Picture 1" descr="Table showing percentage of different Australian taxes paid by JAS Ltd for the 2025 financial year including 34%  in GST, 36% in corporate income tax, 26% in pay as you go withholding and 4% in payroll tax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65352" name="Picture 1" descr="Table showing percentage of different Australian taxes paid by JAS Ltd for the 2025 financial year including 34%  in GST, 36% in corporate income tax, 26% in pay as you go withholding and 4% in payroll taxes "/>
                    <pic:cNvPicPr/>
                  </pic:nvPicPr>
                  <pic:blipFill rotWithShape="1">
                    <a:blip r:embed="rId31" cstate="print">
                      <a:extLst>
                        <a:ext uri="{28A0092B-C50C-407E-A947-70E740481C1C}">
                          <a14:useLocalDpi xmlns:a14="http://schemas.microsoft.com/office/drawing/2010/main" val="0"/>
                        </a:ext>
                      </a:extLst>
                    </a:blip>
                    <a:srcRect/>
                    <a:stretch/>
                  </pic:blipFill>
                  <pic:spPr>
                    <a:xfrm>
                      <a:off x="0" y="0"/>
                      <a:ext cx="2904106" cy="1833157"/>
                    </a:xfrm>
                    <a:prstGeom prst="rect">
                      <a:avLst/>
                    </a:prstGeom>
                  </pic:spPr>
                </pic:pic>
              </a:graphicData>
            </a:graphic>
          </wp:inline>
        </w:drawing>
      </w:r>
    </w:p>
    <w:p w14:paraId="581AC04C" w14:textId="77777777" w:rsidR="003E668F" w:rsidRDefault="003E668F" w:rsidP="00536124">
      <w:pPr>
        <w:rPr>
          <w:b/>
          <w:bCs/>
        </w:rPr>
      </w:pPr>
      <w:r>
        <w:t>These taxes are summarised in the below table.</w:t>
      </w:r>
    </w:p>
    <w:p w14:paraId="445737C8" w14:textId="5A91FB61" w:rsidR="00135306" w:rsidRDefault="00135306" w:rsidP="005738C4">
      <w:pPr>
        <w:pStyle w:val="TableHeading1"/>
      </w:pPr>
      <w:r>
        <w:t xml:space="preserve">Total Australian tax contribution summary </w:t>
      </w:r>
    </w:p>
    <w:tbl>
      <w:tblPr>
        <w:tblStyle w:val="ListTable3-Accent2"/>
        <w:tblW w:w="5000" w:type="pct"/>
        <w:tblLook w:val="04A0" w:firstRow="1" w:lastRow="0" w:firstColumn="1" w:lastColumn="0" w:noHBand="0" w:noVBand="1"/>
      </w:tblPr>
      <w:tblGrid>
        <w:gridCol w:w="5949"/>
        <w:gridCol w:w="3682"/>
      </w:tblGrid>
      <w:tr w:rsidR="005738C4" w14:paraId="7301FBCB" w14:textId="77777777" w:rsidTr="00850A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949" w:type="dxa"/>
            <w:vAlign w:val="center"/>
          </w:tcPr>
          <w:p w14:paraId="413296E6" w14:textId="425B74E8" w:rsidR="005738C4" w:rsidRDefault="00A56233" w:rsidP="00850AB4">
            <w:pPr>
              <w:pStyle w:val="TableHeaderCellLeft"/>
            </w:pPr>
            <w:r w:rsidRPr="001D32BE">
              <w:t>Taxes borne by JAS Ltd</w:t>
            </w:r>
            <w:r w:rsidRPr="001D32BE">
              <w:tab/>
            </w:r>
          </w:p>
        </w:tc>
        <w:tc>
          <w:tcPr>
            <w:tcW w:w="3682" w:type="dxa"/>
            <w:vAlign w:val="center"/>
          </w:tcPr>
          <w:p w14:paraId="4CD3C38E" w14:textId="27F8B164" w:rsidR="005738C4" w:rsidRDefault="00A56233" w:rsidP="00850AB4">
            <w:pPr>
              <w:pStyle w:val="TableHeaderCellRight"/>
              <w:cnfStyle w:val="100000000000" w:firstRow="1" w:lastRow="0" w:firstColumn="0" w:lastColumn="0" w:oddVBand="0" w:evenVBand="0" w:oddHBand="0" w:evenHBand="0" w:firstRowFirstColumn="0" w:firstRowLastColumn="0" w:lastRowFirstColumn="0" w:lastRowLastColumn="0"/>
            </w:pPr>
            <w:r w:rsidRPr="001D32BE">
              <w:t>2025 reporting year ($,000)</w:t>
            </w:r>
          </w:p>
        </w:tc>
      </w:tr>
      <w:tr w:rsidR="00A56233" w14:paraId="119036BA" w14:textId="77777777" w:rsidTr="00A56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2E259974" w14:textId="69828E60" w:rsidR="00A56233" w:rsidRPr="00A56233" w:rsidRDefault="00A56233" w:rsidP="00A56233">
            <w:pPr>
              <w:pStyle w:val="TableBodyCellLeft"/>
              <w:rPr>
                <w:b w:val="0"/>
                <w:bCs w:val="0"/>
              </w:rPr>
            </w:pPr>
            <w:r w:rsidRPr="00A56233">
              <w:rPr>
                <w:b w:val="0"/>
                <w:bCs w:val="0"/>
              </w:rPr>
              <w:t>Corporate income tax</w:t>
            </w:r>
          </w:p>
        </w:tc>
        <w:tc>
          <w:tcPr>
            <w:tcW w:w="3682" w:type="dxa"/>
          </w:tcPr>
          <w:p w14:paraId="737CB09C" w14:textId="6CAA1CBB" w:rsidR="00A56233" w:rsidRDefault="00A56233" w:rsidP="00A56233">
            <w:pPr>
              <w:pStyle w:val="TableBodyCellRight"/>
              <w:cnfStyle w:val="000000100000" w:firstRow="0" w:lastRow="0" w:firstColumn="0" w:lastColumn="0" w:oddVBand="0" w:evenVBand="0" w:oddHBand="1" w:evenHBand="0" w:firstRowFirstColumn="0" w:firstRowLastColumn="0" w:lastRowFirstColumn="0" w:lastRowLastColumn="0"/>
            </w:pPr>
            <w:r w:rsidRPr="003F1062">
              <w:t>130,750</w:t>
            </w:r>
          </w:p>
        </w:tc>
      </w:tr>
      <w:tr w:rsidR="00A56233" w14:paraId="73514CFD" w14:textId="77777777" w:rsidTr="00A56233">
        <w:tc>
          <w:tcPr>
            <w:cnfStyle w:val="001000000000" w:firstRow="0" w:lastRow="0" w:firstColumn="1" w:lastColumn="0" w:oddVBand="0" w:evenVBand="0" w:oddHBand="0" w:evenHBand="0" w:firstRowFirstColumn="0" w:firstRowLastColumn="0" w:lastRowFirstColumn="0" w:lastRowLastColumn="0"/>
            <w:tcW w:w="5949" w:type="dxa"/>
          </w:tcPr>
          <w:p w14:paraId="64904054" w14:textId="509CF1E2" w:rsidR="00A56233" w:rsidRPr="00A56233" w:rsidRDefault="00A56233" w:rsidP="00A56233">
            <w:pPr>
              <w:pStyle w:val="TableBodyCellLeft"/>
              <w:rPr>
                <w:b w:val="0"/>
                <w:bCs w:val="0"/>
              </w:rPr>
            </w:pPr>
            <w:r w:rsidRPr="00A56233">
              <w:rPr>
                <w:b w:val="0"/>
                <w:bCs w:val="0"/>
              </w:rPr>
              <w:t>Fringe benefits tax (FBT)</w:t>
            </w:r>
          </w:p>
        </w:tc>
        <w:tc>
          <w:tcPr>
            <w:tcW w:w="3682" w:type="dxa"/>
          </w:tcPr>
          <w:p w14:paraId="0D00D0A7" w14:textId="3189F988" w:rsidR="00A56233" w:rsidRDefault="00A56233" w:rsidP="00A56233">
            <w:pPr>
              <w:pStyle w:val="TableBodyCellRight"/>
              <w:cnfStyle w:val="000000000000" w:firstRow="0" w:lastRow="0" w:firstColumn="0" w:lastColumn="0" w:oddVBand="0" w:evenVBand="0" w:oddHBand="0" w:evenHBand="0" w:firstRowFirstColumn="0" w:firstRowLastColumn="0" w:lastRowFirstColumn="0" w:lastRowLastColumn="0"/>
            </w:pPr>
            <w:r w:rsidRPr="003F1062">
              <w:t>2,536</w:t>
            </w:r>
          </w:p>
        </w:tc>
      </w:tr>
      <w:tr w:rsidR="00A56233" w14:paraId="6E837E07" w14:textId="77777777" w:rsidTr="00A56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11037A34" w14:textId="2FF8525B" w:rsidR="00A56233" w:rsidRPr="00A56233" w:rsidRDefault="00A56233" w:rsidP="00A56233">
            <w:pPr>
              <w:pStyle w:val="TableBodyCellLeft"/>
              <w:rPr>
                <w:b w:val="0"/>
                <w:bCs w:val="0"/>
              </w:rPr>
            </w:pPr>
            <w:r w:rsidRPr="00A56233">
              <w:rPr>
                <w:b w:val="0"/>
                <w:bCs w:val="0"/>
              </w:rPr>
              <w:t xml:space="preserve">Withholding taxes on dividends, interest, invoices without ABN </w:t>
            </w:r>
          </w:p>
        </w:tc>
        <w:tc>
          <w:tcPr>
            <w:tcW w:w="3682" w:type="dxa"/>
          </w:tcPr>
          <w:p w14:paraId="4D73CCC5" w14:textId="1536A5E8" w:rsidR="00A56233" w:rsidRDefault="00A56233" w:rsidP="00A56233">
            <w:pPr>
              <w:pStyle w:val="TableBodyCellRight"/>
              <w:cnfStyle w:val="000000100000" w:firstRow="0" w:lastRow="0" w:firstColumn="0" w:lastColumn="0" w:oddVBand="0" w:evenVBand="0" w:oddHBand="1" w:evenHBand="0" w:firstRowFirstColumn="0" w:firstRowLastColumn="0" w:lastRowFirstColumn="0" w:lastRowLastColumn="0"/>
            </w:pPr>
            <w:r w:rsidRPr="003F1062">
              <w:t>190</w:t>
            </w:r>
          </w:p>
        </w:tc>
      </w:tr>
      <w:tr w:rsidR="00A56233" w14:paraId="4151BB99" w14:textId="77777777" w:rsidTr="00A56233">
        <w:tc>
          <w:tcPr>
            <w:cnfStyle w:val="001000000000" w:firstRow="0" w:lastRow="0" w:firstColumn="1" w:lastColumn="0" w:oddVBand="0" w:evenVBand="0" w:oddHBand="0" w:evenHBand="0" w:firstRowFirstColumn="0" w:firstRowLastColumn="0" w:lastRowFirstColumn="0" w:lastRowLastColumn="0"/>
            <w:tcW w:w="5949" w:type="dxa"/>
          </w:tcPr>
          <w:p w14:paraId="4586B1ED" w14:textId="647C2C12" w:rsidR="00A56233" w:rsidRPr="00A56233" w:rsidRDefault="00A56233" w:rsidP="00A56233">
            <w:pPr>
              <w:pStyle w:val="TableBodyCellLeft"/>
              <w:rPr>
                <w:b w:val="0"/>
                <w:bCs w:val="0"/>
              </w:rPr>
            </w:pPr>
            <w:r w:rsidRPr="00A56233">
              <w:rPr>
                <w:b w:val="0"/>
                <w:bCs w:val="0"/>
              </w:rPr>
              <w:t xml:space="preserve">Property taxes </w:t>
            </w:r>
          </w:p>
        </w:tc>
        <w:tc>
          <w:tcPr>
            <w:tcW w:w="3682" w:type="dxa"/>
          </w:tcPr>
          <w:p w14:paraId="5B64B3C7" w14:textId="6C878467" w:rsidR="00A56233" w:rsidRDefault="00A56233" w:rsidP="00A56233">
            <w:pPr>
              <w:pStyle w:val="TableBodyCellRight"/>
              <w:cnfStyle w:val="000000000000" w:firstRow="0" w:lastRow="0" w:firstColumn="0" w:lastColumn="0" w:oddVBand="0" w:evenVBand="0" w:oddHBand="0" w:evenHBand="0" w:firstRowFirstColumn="0" w:firstRowLastColumn="0" w:lastRowFirstColumn="0" w:lastRowLastColumn="0"/>
            </w:pPr>
            <w:r w:rsidRPr="4D10D2DC">
              <w:rPr>
                <w:rFonts w:cstheme="minorBidi"/>
              </w:rPr>
              <w:t>824</w:t>
            </w:r>
          </w:p>
        </w:tc>
      </w:tr>
      <w:tr w:rsidR="00A56233" w14:paraId="226DB254" w14:textId="77777777" w:rsidTr="00A56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7796C268" w14:textId="0AB3A587" w:rsidR="00A56233" w:rsidRPr="00A56233" w:rsidRDefault="00A56233" w:rsidP="00A56233">
            <w:pPr>
              <w:pStyle w:val="TableBodyCellLeft"/>
              <w:rPr>
                <w:b w:val="0"/>
                <w:bCs w:val="0"/>
              </w:rPr>
            </w:pPr>
            <w:r w:rsidRPr="00A56233">
              <w:rPr>
                <w:b w:val="0"/>
                <w:bCs w:val="0"/>
              </w:rPr>
              <w:t xml:space="preserve">Payroll taxes </w:t>
            </w:r>
          </w:p>
        </w:tc>
        <w:tc>
          <w:tcPr>
            <w:tcW w:w="3682" w:type="dxa"/>
          </w:tcPr>
          <w:p w14:paraId="6DAD0A36" w14:textId="25EF5C6E" w:rsidR="00A56233" w:rsidRDefault="00A56233" w:rsidP="00A56233">
            <w:pPr>
              <w:pStyle w:val="TableBodyCellRight"/>
              <w:cnfStyle w:val="000000100000" w:firstRow="0" w:lastRow="0" w:firstColumn="0" w:lastColumn="0" w:oddVBand="0" w:evenVBand="0" w:oddHBand="1" w:evenHBand="0" w:firstRowFirstColumn="0" w:firstRowLastColumn="0" w:lastRowFirstColumn="0" w:lastRowLastColumn="0"/>
            </w:pPr>
            <w:r w:rsidRPr="003F1062">
              <w:t>16,270</w:t>
            </w:r>
          </w:p>
        </w:tc>
      </w:tr>
      <w:tr w:rsidR="00A56233" w14:paraId="64F77BCB" w14:textId="77777777" w:rsidTr="00A56233">
        <w:tc>
          <w:tcPr>
            <w:cnfStyle w:val="001000000000" w:firstRow="0" w:lastRow="0" w:firstColumn="1" w:lastColumn="0" w:oddVBand="0" w:evenVBand="0" w:oddHBand="0" w:evenHBand="0" w:firstRowFirstColumn="0" w:firstRowLastColumn="0" w:lastRowFirstColumn="0" w:lastRowLastColumn="0"/>
            <w:tcW w:w="5949" w:type="dxa"/>
          </w:tcPr>
          <w:p w14:paraId="504ADC74" w14:textId="4486E5C9" w:rsidR="00A56233" w:rsidRPr="005738C4" w:rsidRDefault="00A56233" w:rsidP="00A56233">
            <w:pPr>
              <w:pStyle w:val="TableBodyCellLeft"/>
              <w:rPr>
                <w:b w:val="0"/>
                <w:bCs w:val="0"/>
              </w:rPr>
            </w:pPr>
            <w:r w:rsidRPr="00C96D84">
              <w:t>Total taxes borne by JAS Ltd in Australia</w:t>
            </w:r>
          </w:p>
        </w:tc>
        <w:tc>
          <w:tcPr>
            <w:tcW w:w="3682" w:type="dxa"/>
          </w:tcPr>
          <w:p w14:paraId="62F826DB" w14:textId="12A4F5DE" w:rsidR="00A56233" w:rsidRDefault="00A56233" w:rsidP="00A56233">
            <w:pPr>
              <w:pStyle w:val="TableBodyCellRight"/>
              <w:cnfStyle w:val="000000000000" w:firstRow="0" w:lastRow="0" w:firstColumn="0" w:lastColumn="0" w:oddVBand="0" w:evenVBand="0" w:oddHBand="0" w:evenHBand="0" w:firstRowFirstColumn="0" w:firstRowLastColumn="0" w:lastRowFirstColumn="0" w:lastRowLastColumn="0"/>
            </w:pPr>
            <w:r w:rsidRPr="001354E2">
              <w:rPr>
                <w:b/>
                <w:bCs/>
              </w:rPr>
              <w:t>150,570</w:t>
            </w:r>
          </w:p>
        </w:tc>
      </w:tr>
      <w:tr w:rsidR="00A56233" w14:paraId="5774877F" w14:textId="77777777" w:rsidTr="00A56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05F7D68F" w14:textId="29C22B51" w:rsidR="00A56233" w:rsidRPr="00A56233" w:rsidRDefault="00A56233" w:rsidP="00A56233">
            <w:pPr>
              <w:pStyle w:val="TableBodyCellLeft"/>
              <w:rPr>
                <w:b w:val="0"/>
                <w:bCs w:val="0"/>
              </w:rPr>
            </w:pPr>
            <w:r w:rsidRPr="00A56233">
              <w:rPr>
                <w:b w:val="0"/>
                <w:bCs w:val="0"/>
              </w:rPr>
              <w:t xml:space="preserve">Net GST </w:t>
            </w:r>
          </w:p>
        </w:tc>
        <w:tc>
          <w:tcPr>
            <w:tcW w:w="3682" w:type="dxa"/>
          </w:tcPr>
          <w:p w14:paraId="0FEECE7F" w14:textId="5DA19BD6" w:rsidR="00A56233" w:rsidRPr="001354E2" w:rsidRDefault="00A56233" w:rsidP="00A56233">
            <w:pPr>
              <w:pStyle w:val="TableBodyCellRight"/>
              <w:cnfStyle w:val="000000100000" w:firstRow="0" w:lastRow="0" w:firstColumn="0" w:lastColumn="0" w:oddVBand="0" w:evenVBand="0" w:oddHBand="1" w:evenHBand="0" w:firstRowFirstColumn="0" w:firstRowLastColumn="0" w:lastRowFirstColumn="0" w:lastRowLastColumn="0"/>
              <w:rPr>
                <w:b/>
                <w:bCs/>
              </w:rPr>
            </w:pPr>
            <w:r w:rsidRPr="00A02EF9">
              <w:rPr>
                <w:rFonts w:eastAsiaTheme="majorEastAsia"/>
              </w:rPr>
              <w:t>123,560</w:t>
            </w:r>
          </w:p>
        </w:tc>
      </w:tr>
      <w:tr w:rsidR="00A56233" w14:paraId="4FA0537A" w14:textId="77777777" w:rsidTr="00A56233">
        <w:tc>
          <w:tcPr>
            <w:cnfStyle w:val="001000000000" w:firstRow="0" w:lastRow="0" w:firstColumn="1" w:lastColumn="0" w:oddVBand="0" w:evenVBand="0" w:oddHBand="0" w:evenHBand="0" w:firstRowFirstColumn="0" w:firstRowLastColumn="0" w:lastRowFirstColumn="0" w:lastRowLastColumn="0"/>
            <w:tcW w:w="5949" w:type="dxa"/>
          </w:tcPr>
          <w:p w14:paraId="32ED229E" w14:textId="190488B6" w:rsidR="00A56233" w:rsidRPr="00A56233" w:rsidRDefault="00A56233" w:rsidP="00A56233">
            <w:pPr>
              <w:pStyle w:val="TableBodyCellLeft"/>
              <w:rPr>
                <w:b w:val="0"/>
                <w:bCs w:val="0"/>
              </w:rPr>
            </w:pPr>
            <w:r w:rsidRPr="00A56233">
              <w:rPr>
                <w:b w:val="0"/>
                <w:bCs w:val="0"/>
              </w:rPr>
              <w:t xml:space="preserve">Pay As You Go Withholding </w:t>
            </w:r>
          </w:p>
        </w:tc>
        <w:tc>
          <w:tcPr>
            <w:tcW w:w="3682" w:type="dxa"/>
          </w:tcPr>
          <w:p w14:paraId="4E55E0DD" w14:textId="1BE43EEE" w:rsidR="00A56233" w:rsidRPr="001354E2" w:rsidRDefault="00A56233" w:rsidP="00A56233">
            <w:pPr>
              <w:pStyle w:val="TableBodyCellRight"/>
              <w:cnfStyle w:val="000000000000" w:firstRow="0" w:lastRow="0" w:firstColumn="0" w:lastColumn="0" w:oddVBand="0" w:evenVBand="0" w:oddHBand="0" w:evenHBand="0" w:firstRowFirstColumn="0" w:firstRowLastColumn="0" w:lastRowFirstColumn="0" w:lastRowLastColumn="0"/>
              <w:rPr>
                <w:b/>
                <w:bCs/>
              </w:rPr>
            </w:pPr>
            <w:r w:rsidRPr="006062EC">
              <w:rPr>
                <w:rFonts w:cstheme="minorBidi"/>
              </w:rPr>
              <w:t>96,302</w:t>
            </w:r>
          </w:p>
        </w:tc>
      </w:tr>
      <w:tr w:rsidR="00A56233" w14:paraId="2EF2E181" w14:textId="77777777" w:rsidTr="00A56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0F6E2551" w14:textId="6E4DBA08" w:rsidR="00A56233" w:rsidRPr="00C96D84" w:rsidRDefault="00A56233" w:rsidP="00A56233">
            <w:pPr>
              <w:pStyle w:val="TableBodyCellLeft"/>
            </w:pPr>
            <w:r w:rsidRPr="00C96D84">
              <w:t xml:space="preserve">Total taxes collected on behalf of others </w:t>
            </w:r>
          </w:p>
        </w:tc>
        <w:tc>
          <w:tcPr>
            <w:tcW w:w="3682" w:type="dxa"/>
          </w:tcPr>
          <w:p w14:paraId="0F9A5671" w14:textId="51007ADD" w:rsidR="00A56233" w:rsidRPr="001354E2" w:rsidRDefault="00A56233" w:rsidP="00A56233">
            <w:pPr>
              <w:pStyle w:val="TableBodyCellRight"/>
              <w:cnfStyle w:val="000000100000" w:firstRow="0" w:lastRow="0" w:firstColumn="0" w:lastColumn="0" w:oddVBand="0" w:evenVBand="0" w:oddHBand="1" w:evenHBand="0" w:firstRowFirstColumn="0" w:firstRowLastColumn="0" w:lastRowFirstColumn="0" w:lastRowLastColumn="0"/>
              <w:rPr>
                <w:b/>
                <w:bCs/>
              </w:rPr>
            </w:pPr>
            <w:r w:rsidRPr="003F1062">
              <w:rPr>
                <w:rFonts w:cstheme="minorBidi"/>
                <w:b/>
                <w:bCs/>
              </w:rPr>
              <w:t>219,862</w:t>
            </w:r>
          </w:p>
        </w:tc>
      </w:tr>
      <w:tr w:rsidR="00A56233" w14:paraId="6A2B6F24" w14:textId="77777777" w:rsidTr="00E556D8">
        <w:tc>
          <w:tcPr>
            <w:cnfStyle w:val="001000000000" w:firstRow="0" w:lastRow="0" w:firstColumn="1" w:lastColumn="0" w:oddVBand="0" w:evenVBand="0" w:oddHBand="0" w:evenHBand="0" w:firstRowFirstColumn="0" w:firstRowLastColumn="0" w:lastRowFirstColumn="0" w:lastRowLastColumn="0"/>
            <w:tcW w:w="5949" w:type="dxa"/>
            <w:shd w:val="clear" w:color="auto" w:fill="D4C2A8" w:themeFill="accent3"/>
            <w:vAlign w:val="center"/>
          </w:tcPr>
          <w:p w14:paraId="03F1D971" w14:textId="34CE2923" w:rsidR="00A56233" w:rsidRPr="00C96D84" w:rsidRDefault="00A56233" w:rsidP="00E556D8">
            <w:r w:rsidRPr="005738C4">
              <w:rPr>
                <w:color w:val="701F4D" w:themeColor="accent2"/>
              </w:rPr>
              <w:t>Total taxes paid</w:t>
            </w:r>
          </w:p>
        </w:tc>
        <w:tc>
          <w:tcPr>
            <w:tcW w:w="3682" w:type="dxa"/>
            <w:shd w:val="clear" w:color="auto" w:fill="D4C2A8" w:themeFill="accent3"/>
            <w:vAlign w:val="center"/>
          </w:tcPr>
          <w:p w14:paraId="702F85C3" w14:textId="621836B0" w:rsidR="00A56233" w:rsidRPr="001354E2" w:rsidRDefault="00A56233" w:rsidP="00E556D8">
            <w:pPr>
              <w:pStyle w:val="TableBodyCellRight"/>
              <w:spacing w:before="120"/>
              <w:cnfStyle w:val="000000000000" w:firstRow="0" w:lastRow="0" w:firstColumn="0" w:lastColumn="0" w:oddVBand="0" w:evenVBand="0" w:oddHBand="0" w:evenHBand="0" w:firstRowFirstColumn="0" w:firstRowLastColumn="0" w:lastRowFirstColumn="0" w:lastRowLastColumn="0"/>
              <w:rPr>
                <w:b/>
                <w:bCs/>
              </w:rPr>
            </w:pPr>
            <w:r w:rsidRPr="005738C4">
              <w:rPr>
                <w:b/>
                <w:bCs/>
                <w:color w:val="701F4D" w:themeColor="accent2"/>
              </w:rPr>
              <w:t>370,432</w:t>
            </w:r>
          </w:p>
        </w:tc>
      </w:tr>
    </w:tbl>
    <w:p w14:paraId="145F449D" w14:textId="77777777" w:rsidR="005738C4" w:rsidRPr="00A56233" w:rsidRDefault="005738C4" w:rsidP="00A56233">
      <w:r>
        <w:br w:type="page"/>
      </w:r>
    </w:p>
    <w:p w14:paraId="30A2F20B" w14:textId="34935CE3" w:rsidR="00BD4078" w:rsidRDefault="00BD4078" w:rsidP="00BD4078">
      <w:pPr>
        <w:pStyle w:val="Heading3"/>
      </w:pPr>
      <w:r>
        <w:lastRenderedPageBreak/>
        <w:t xml:space="preserve">Effective Tax Rate </w:t>
      </w:r>
    </w:p>
    <w:tbl>
      <w:tblPr>
        <w:tblStyle w:val="ListTable3-Accent2"/>
        <w:tblW w:w="5000" w:type="pct"/>
        <w:tblLook w:val="04A0" w:firstRow="1" w:lastRow="0" w:firstColumn="1" w:lastColumn="0" w:noHBand="0" w:noVBand="1"/>
      </w:tblPr>
      <w:tblGrid>
        <w:gridCol w:w="9636"/>
      </w:tblGrid>
      <w:tr w:rsidR="00BD4078" w14:paraId="21E4DCE8" w14:textId="77777777" w:rsidTr="007C6B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tcPr>
          <w:p w14:paraId="762C7080" w14:textId="77777777" w:rsidR="00BD4078" w:rsidRPr="00A56233" w:rsidRDefault="00BD4078" w:rsidP="00A56233">
            <w:pPr>
              <w:pStyle w:val="BoxText"/>
              <w:jc w:val="center"/>
              <w:rPr>
                <w:b/>
                <w:bCs w:val="0"/>
              </w:rPr>
            </w:pPr>
            <w:r w:rsidRPr="00A56233">
              <w:rPr>
                <w:b/>
                <w:bCs w:val="0"/>
              </w:rPr>
              <w:t>23% Australian ETR | 18.2% Global ETR</w:t>
            </w:r>
          </w:p>
        </w:tc>
      </w:tr>
    </w:tbl>
    <w:p w14:paraId="6B1D1A23" w14:textId="17105CB0" w:rsidR="00BD4078" w:rsidRDefault="00BD4078" w:rsidP="00536124">
      <w:r>
        <w:t xml:space="preserve">JAS </w:t>
      </w:r>
      <w:r w:rsidR="00F84E16">
        <w:t>Ltd.’s</w:t>
      </w:r>
      <w:r w:rsidRPr="00D22DB3">
        <w:t xml:space="preserve"> Australian effective tax rate </w:t>
      </w:r>
      <w:r>
        <w:t xml:space="preserve">(corporate income tax) </w:t>
      </w:r>
      <w:r w:rsidRPr="00D22DB3">
        <w:t xml:space="preserve">for the </w:t>
      </w:r>
      <w:r w:rsidR="00267948">
        <w:t>2025 reporting</w:t>
      </w:r>
      <w:r>
        <w:t xml:space="preserve"> year </w:t>
      </w:r>
      <w:r w:rsidRPr="00D22DB3">
        <w:t xml:space="preserve">was </w:t>
      </w:r>
      <w:r>
        <w:rPr>
          <w:b/>
          <w:bCs/>
        </w:rPr>
        <w:t xml:space="preserve">23%. </w:t>
      </w:r>
      <w:r>
        <w:t>JAS Ltd</w:t>
      </w:r>
      <w:r w:rsidRPr="00D22DB3">
        <w:t xml:space="preserve"> operates in </w:t>
      </w:r>
      <w:r>
        <w:t>19</w:t>
      </w:r>
      <w:r w:rsidRPr="00D22DB3">
        <w:t xml:space="preserve"> countries and its global effective tax rate for the </w:t>
      </w:r>
      <w:r w:rsidR="00267948">
        <w:t>2025</w:t>
      </w:r>
      <w:r>
        <w:t xml:space="preserve"> </w:t>
      </w:r>
      <w:r w:rsidR="00267948">
        <w:t>reporting</w:t>
      </w:r>
      <w:r>
        <w:t xml:space="preserve"> year</w:t>
      </w:r>
      <w:r w:rsidRPr="00D22DB3">
        <w:t xml:space="preserve"> was</w:t>
      </w:r>
      <w:r>
        <w:t xml:space="preserve"> </w:t>
      </w:r>
      <w:r w:rsidRPr="008278D9">
        <w:rPr>
          <w:b/>
          <w:bCs/>
        </w:rPr>
        <w:t>1</w:t>
      </w:r>
      <w:r>
        <w:rPr>
          <w:b/>
          <w:bCs/>
        </w:rPr>
        <w:t>8.2</w:t>
      </w:r>
      <w:r w:rsidRPr="008278D9">
        <w:rPr>
          <w:b/>
          <w:bCs/>
        </w:rPr>
        <w:t>%.</w:t>
      </w:r>
      <w:r w:rsidRPr="00D22DB3">
        <w:t xml:space="preserve"> </w:t>
      </w:r>
    </w:p>
    <w:p w14:paraId="40CEED17" w14:textId="22A909C9" w:rsidR="00F1754E" w:rsidRPr="00F91679" w:rsidRDefault="00F1754E" w:rsidP="00A56233">
      <w:pPr>
        <w:pStyle w:val="ChartGraphic"/>
        <w:rPr>
          <w:i/>
          <w:iCs/>
        </w:rPr>
      </w:pPr>
      <w:r w:rsidRPr="004D5D53">
        <w:rPr>
          <w:noProof/>
        </w:rPr>
        <w:drawing>
          <wp:inline distT="0" distB="0" distL="0" distR="0" wp14:anchorId="49E939D0" wp14:editId="2A437A32">
            <wp:extent cx="4154400" cy="2160000"/>
            <wp:effectExtent l="0" t="0" r="0" b="0"/>
            <wp:docPr id="1996932605" name="Picture 1" descr="World map showing various markers for the 19 countries in which JAS Ltd has global ope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32605" name="Picture 1" descr="World map showing various markers for the 19 countries in which JAS Ltd has global operations "/>
                    <pic:cNvPicPr/>
                  </pic:nvPicPr>
                  <pic:blipFill>
                    <a:blip r:embed="rId32"/>
                    <a:stretch>
                      <a:fillRect/>
                    </a:stretch>
                  </pic:blipFill>
                  <pic:spPr>
                    <a:xfrm>
                      <a:off x="0" y="0"/>
                      <a:ext cx="4154400" cy="2160000"/>
                    </a:xfrm>
                    <a:prstGeom prst="rect">
                      <a:avLst/>
                    </a:prstGeom>
                  </pic:spPr>
                </pic:pic>
              </a:graphicData>
            </a:graphic>
          </wp:inline>
        </w:drawing>
      </w:r>
    </w:p>
    <w:p w14:paraId="44D2E61D" w14:textId="2826FA16" w:rsidR="0005386F" w:rsidRDefault="006C4DCE" w:rsidP="00536124">
      <w:r w:rsidRPr="00F91679">
        <w:t>The ETR was calculated using</w:t>
      </w:r>
      <w:r>
        <w:t xml:space="preserve"> </w:t>
      </w:r>
      <w:r w:rsidRPr="00F91679">
        <w:t xml:space="preserve">the AASB’s TTC ETR </w:t>
      </w:r>
      <w:r w:rsidR="00841C15">
        <w:t xml:space="preserve">(a non-IFRS ratio) </w:t>
      </w:r>
      <w:r w:rsidRPr="00F91679">
        <w:t xml:space="preserve">utilising company tax expenses divided by accounting </w:t>
      </w:r>
      <w:r w:rsidRPr="00443729">
        <w:t>profit</w:t>
      </w:r>
      <w:r w:rsidR="00BE4418">
        <w:t xml:space="preserve"> before tax</w:t>
      </w:r>
      <w:r w:rsidRPr="00F91679">
        <w:t>.</w:t>
      </w:r>
      <w:r w:rsidR="0005386F">
        <w:t xml:space="preserve"> The following underlying assumptions apply: </w:t>
      </w:r>
    </w:p>
    <w:p w14:paraId="33794181" w14:textId="541B221B" w:rsidR="00276944" w:rsidRPr="00536124" w:rsidRDefault="002936CF" w:rsidP="00536124">
      <w:pPr>
        <w:pStyle w:val="Bullet"/>
      </w:pPr>
      <w:r w:rsidRPr="00536124">
        <w:t>Permanent and temporary differences have been identified and treated consistently</w:t>
      </w:r>
      <w:r w:rsidR="006B4EA2" w:rsidRPr="00536124">
        <w:t>.</w:t>
      </w:r>
      <w:r w:rsidRPr="00536124">
        <w:t xml:space="preserve"> </w:t>
      </w:r>
    </w:p>
    <w:p w14:paraId="0AE48F0F" w14:textId="2B4FE7B8" w:rsidR="0005386F" w:rsidRPr="00536124" w:rsidRDefault="00774B2D" w:rsidP="00536124">
      <w:pPr>
        <w:pStyle w:val="Bullet"/>
      </w:pPr>
      <w:r w:rsidRPr="00536124">
        <w:t>Deferred tax assets are only recognised when recovery is probable.</w:t>
      </w:r>
    </w:p>
    <w:p w14:paraId="2736C6B4" w14:textId="26F55764" w:rsidR="00FF2275" w:rsidRPr="00536124" w:rsidRDefault="00FF2275" w:rsidP="00536124">
      <w:pPr>
        <w:pStyle w:val="Bullet"/>
      </w:pPr>
      <w:r w:rsidRPr="00536124">
        <w:t>There are no significant tax risks, disputes, or uncertain positions that would materially affect tax expense or accounting profit.</w:t>
      </w:r>
    </w:p>
    <w:p w14:paraId="62C0DF7C" w14:textId="78297B63" w:rsidR="00790E3A" w:rsidRPr="00536124" w:rsidRDefault="00790E3A" w:rsidP="00536124">
      <w:pPr>
        <w:pStyle w:val="Bullet"/>
      </w:pPr>
      <w:r w:rsidRPr="00536124">
        <w:t xml:space="preserve">No material tax </w:t>
      </w:r>
      <w:r w:rsidR="00E838E0" w:rsidRPr="00536124">
        <w:t>items</w:t>
      </w:r>
      <w:r w:rsidRPr="00536124">
        <w:t xml:space="preserve"> are omitted.</w:t>
      </w:r>
    </w:p>
    <w:p w14:paraId="0DDF8F03" w14:textId="537B9C78" w:rsidR="004E71C8" w:rsidRPr="00536124" w:rsidRDefault="004E71C8" w:rsidP="00536124">
      <w:pPr>
        <w:pStyle w:val="Bullet"/>
      </w:pPr>
      <w:r w:rsidRPr="00536124">
        <w:t xml:space="preserve">Tax expenses and accounting profit before tax </w:t>
      </w:r>
      <w:r w:rsidR="006B5323" w:rsidRPr="00536124">
        <w:t xml:space="preserve">are correctly attributed to Australia. </w:t>
      </w:r>
    </w:p>
    <w:p w14:paraId="628EB155" w14:textId="61233DDA" w:rsidR="00FF2275" w:rsidRPr="00536124" w:rsidRDefault="00FF2275" w:rsidP="00536124">
      <w:pPr>
        <w:pStyle w:val="Bullet"/>
      </w:pPr>
      <w:r w:rsidRPr="00536124">
        <w:t xml:space="preserve">Non-income taxes have been excluded. </w:t>
      </w:r>
    </w:p>
    <w:p w14:paraId="05DDBF48" w14:textId="70D11A02" w:rsidR="004E7644" w:rsidRDefault="004E7644" w:rsidP="004E7644">
      <w:pPr>
        <w:pStyle w:val="Heading4"/>
      </w:pPr>
      <w:r w:rsidRPr="008E734D">
        <w:t xml:space="preserve">Optional elements </w:t>
      </w:r>
    </w:p>
    <w:p w14:paraId="26FFF191" w14:textId="77777777" w:rsidR="004E7644" w:rsidRPr="00FD2480" w:rsidRDefault="004E7644" w:rsidP="00536124">
      <w:r w:rsidRPr="00FD2480">
        <w:t xml:space="preserve">[Provide a </w:t>
      </w:r>
      <w:r w:rsidRPr="00536124">
        <w:t>description</w:t>
      </w:r>
      <w:r w:rsidRPr="00FD2480">
        <w:t xml:space="preserve"> of the primary drivers of the gap between ETR and the weighted average statutory rate]</w:t>
      </w:r>
    </w:p>
    <w:p w14:paraId="43E31B4C" w14:textId="53DBAF46" w:rsidR="004E7644" w:rsidRPr="00C613C2" w:rsidRDefault="004E7644" w:rsidP="00536124">
      <w:r w:rsidRPr="00C613C2">
        <w:t xml:space="preserve">JAS </w:t>
      </w:r>
      <w:r w:rsidR="00F84E16" w:rsidRPr="00C613C2">
        <w:t>Ltd.’s</w:t>
      </w:r>
      <w:r w:rsidRPr="00C613C2">
        <w:t xml:space="preserve"> effective tax rate differs from the</w:t>
      </w:r>
      <w:r>
        <w:t xml:space="preserve"> Australian</w:t>
      </w:r>
      <w:r w:rsidRPr="00C613C2">
        <w:t xml:space="preserve"> statutory corporate tax rate of 30% due to several items: </w:t>
      </w:r>
    </w:p>
    <w:p w14:paraId="7A9B015B" w14:textId="448A75DE" w:rsidR="004E7644" w:rsidRPr="007F562F" w:rsidRDefault="004E7644" w:rsidP="00D9211C">
      <w:pPr>
        <w:pStyle w:val="NumberedParagraphalpha"/>
        <w:numPr>
          <w:ilvl w:val="3"/>
          <w:numId w:val="62"/>
        </w:numPr>
      </w:pPr>
      <w:r w:rsidRPr="000B05D8">
        <w:t xml:space="preserve">Differences in tax rates in </w:t>
      </w:r>
      <w:r>
        <w:t xml:space="preserve">the </w:t>
      </w:r>
      <w:r w:rsidRPr="000B05D8">
        <w:t xml:space="preserve">countries in which </w:t>
      </w:r>
      <w:r>
        <w:t>JAS Ltd</w:t>
      </w:r>
      <w:r w:rsidRPr="000B05D8">
        <w:t xml:space="preserve"> operate</w:t>
      </w:r>
      <w:r>
        <w:t>s</w:t>
      </w:r>
      <w:r w:rsidR="008148E7">
        <w:t>.</w:t>
      </w:r>
    </w:p>
    <w:p w14:paraId="278FFC97" w14:textId="1B26560F" w:rsidR="004E7644" w:rsidRPr="001063E5" w:rsidRDefault="004E7644" w:rsidP="00443729">
      <w:pPr>
        <w:pStyle w:val="NumberedParagraphalpha"/>
      </w:pPr>
      <w:r w:rsidRPr="001063E5">
        <w:t>Material temporary and non-temporary differences (book to tax adjustments)</w:t>
      </w:r>
      <w:r w:rsidR="008148E7">
        <w:t>.</w:t>
      </w:r>
    </w:p>
    <w:p w14:paraId="5DC61CAE" w14:textId="304BA135" w:rsidR="004E7644" w:rsidRPr="004E7644" w:rsidRDefault="004E7644" w:rsidP="00443729">
      <w:pPr>
        <w:pStyle w:val="NumberedParagraphalpha"/>
      </w:pPr>
      <w:r>
        <w:lastRenderedPageBreak/>
        <w:t>I</w:t>
      </w:r>
      <w:r w:rsidRPr="000B05D8">
        <w:t xml:space="preserve">ncentives such as R&amp;D </w:t>
      </w:r>
      <w:r>
        <w:t>tax offset which is applied</w:t>
      </w:r>
      <w:r w:rsidR="008148E7">
        <w:t>.</w:t>
      </w:r>
    </w:p>
    <w:p w14:paraId="4C466608" w14:textId="3EAAD310" w:rsidR="004E7644" w:rsidRPr="004E7644" w:rsidRDefault="004E7644" w:rsidP="00443729">
      <w:pPr>
        <w:pStyle w:val="NumberedParagraphalpha"/>
      </w:pPr>
      <w:r w:rsidRPr="004E7644">
        <w:t xml:space="preserve">Country specific allowances and disallowances or limitations of certain deductions in countries. </w:t>
      </w:r>
    </w:p>
    <w:p w14:paraId="5C486630" w14:textId="77777777" w:rsidR="00BD4078" w:rsidRDefault="00BD4078" w:rsidP="00BD4078">
      <w:pPr>
        <w:pStyle w:val="Heading3"/>
      </w:pPr>
      <w:r>
        <w:t>A reconciliation to ATO Corporate Tax Transparency Disclosures</w:t>
      </w:r>
    </w:p>
    <w:p w14:paraId="199D1C6C" w14:textId="1C3B73E1" w:rsidR="005768C4" w:rsidRPr="005768C4" w:rsidRDefault="005768C4" w:rsidP="005768C4">
      <w:pPr>
        <w:pStyle w:val="Heading4"/>
      </w:pPr>
      <w:r w:rsidRPr="008E734D">
        <w:t xml:space="preserve">Optional elements </w:t>
      </w:r>
    </w:p>
    <w:p w14:paraId="4D4BB9F2" w14:textId="3B0A1978" w:rsidR="005768C4" w:rsidRPr="00FD2480" w:rsidRDefault="001B797E" w:rsidP="00A95319">
      <w:r w:rsidRPr="00FD2480">
        <w:t>[</w:t>
      </w:r>
      <w:r w:rsidR="00E76E18" w:rsidRPr="00FD2480">
        <w:t>For entities that are subject to the ATO Corporate Tax Transparency Disclosures, provide a reconciliation or a qualitative narrative of any material differences in the data published by the ATO against the data in the VTTC</w:t>
      </w:r>
      <w:r w:rsidR="00A971CB" w:rsidRPr="00FD2480">
        <w:t xml:space="preserve"> for the same period</w:t>
      </w:r>
      <w:r w:rsidR="005768C4" w:rsidRPr="00FD2480">
        <w:t>]</w:t>
      </w:r>
    </w:p>
    <w:p w14:paraId="33C37190" w14:textId="18E06B74" w:rsidR="00116F51" w:rsidRDefault="00BD4078" w:rsidP="00A95319">
      <w:r w:rsidRPr="00D22DB3">
        <w:t xml:space="preserve">The ATO publishes </w:t>
      </w:r>
      <w:r>
        <w:t>certain</w:t>
      </w:r>
      <w:r w:rsidRPr="00D22DB3">
        <w:t xml:space="preserve"> Australian</w:t>
      </w:r>
      <w:r>
        <w:t xml:space="preserve"> income</w:t>
      </w:r>
      <w:r w:rsidRPr="00D22DB3">
        <w:t xml:space="preserve"> tax information</w:t>
      </w:r>
      <w:r w:rsidR="004D252D">
        <w:t xml:space="preserve"> annually</w:t>
      </w:r>
      <w:r w:rsidRPr="00D22DB3">
        <w:t xml:space="preserve"> in relation </w:t>
      </w:r>
      <w:r w:rsidRPr="00C2412C">
        <w:t xml:space="preserve">to large </w:t>
      </w:r>
      <w:r w:rsidR="00211533">
        <w:t xml:space="preserve">corporate </w:t>
      </w:r>
      <w:r w:rsidRPr="00C2412C">
        <w:t xml:space="preserve">taxpayers </w:t>
      </w:r>
      <w:r w:rsidR="004D252D">
        <w:t>with total reported (accounting) income of $100 million or more</w:t>
      </w:r>
      <w:r w:rsidRPr="00C2412C">
        <w:t xml:space="preserve">, including JAS Ltd. </w:t>
      </w:r>
    </w:p>
    <w:p w14:paraId="4E1A6CAD" w14:textId="77777777" w:rsidR="0089748C" w:rsidRDefault="00D44293" w:rsidP="00A95319">
      <w:r>
        <w:t>The ATO publishes the amount of tax that is payable by entities, as opposed to what has been paid in the year</w:t>
      </w:r>
      <w:r w:rsidR="00E94015">
        <w:t xml:space="preserve"> (JAS Ltd typically reports on its tax contribution on this tax basis). </w:t>
      </w:r>
      <w:r w:rsidR="00116F51">
        <w:t xml:space="preserve">Australia’s corporate pay as you go instalment system means </w:t>
      </w:r>
      <w:r w:rsidR="00B61BDF" w:rsidRPr="00A95319">
        <w:t>that</w:t>
      </w:r>
      <w:r w:rsidR="00B61BDF">
        <w:t xml:space="preserve"> </w:t>
      </w:r>
      <w:r w:rsidR="00717645">
        <w:t>income</w:t>
      </w:r>
      <w:r w:rsidR="00116F51">
        <w:t xml:space="preserve"> tax is commonly paid in advance of the end of the income year. This means there are typically differences between tax payable and figures ultimately paid. </w:t>
      </w:r>
    </w:p>
    <w:p w14:paraId="6F0A74BC" w14:textId="627369DE" w:rsidR="00BD4078" w:rsidRPr="003D3B57" w:rsidRDefault="00BD4078" w:rsidP="00A95319">
      <w:r w:rsidRPr="003D3B57">
        <w:t xml:space="preserve">The </w:t>
      </w:r>
      <w:r w:rsidR="00113259" w:rsidRPr="003D3B57">
        <w:t xml:space="preserve">2023FY </w:t>
      </w:r>
      <w:r w:rsidRPr="003D3B57">
        <w:t xml:space="preserve">ATO public disclosure amounts will differ from the numbers disclosed in JAS </w:t>
      </w:r>
      <w:r w:rsidR="00F84E16" w:rsidRPr="003D3B57">
        <w:t>Ltd.’s</w:t>
      </w:r>
      <w:r w:rsidRPr="003D3B57">
        <w:t xml:space="preserve"> 202</w:t>
      </w:r>
      <w:r w:rsidR="00904C5D" w:rsidRPr="003D3B57">
        <w:t>3</w:t>
      </w:r>
      <w:r w:rsidRPr="003D3B57">
        <w:t xml:space="preserve"> </w:t>
      </w:r>
      <w:r w:rsidR="00005920" w:rsidRPr="003D3B57">
        <w:t>V</w:t>
      </w:r>
      <w:r w:rsidRPr="003D3B57">
        <w:t>TTC</w:t>
      </w:r>
      <w:r w:rsidR="007057D3" w:rsidRPr="003D3B57">
        <w:t xml:space="preserve"> on account of the following </w:t>
      </w:r>
      <w:r w:rsidR="0062057D" w:rsidRPr="00F91679">
        <w:t xml:space="preserve">material </w:t>
      </w:r>
      <w:r w:rsidR="007057D3" w:rsidRPr="003D3B57">
        <w:t>differences</w:t>
      </w:r>
      <w:r w:rsidRPr="003D3B57">
        <w:t>:</w:t>
      </w:r>
    </w:p>
    <w:p w14:paraId="7F2D4E3F" w14:textId="262EADB6" w:rsidR="00BD4078" w:rsidRPr="004F6043" w:rsidRDefault="00BD4078" w:rsidP="00A95319">
      <w:pPr>
        <w:pStyle w:val="Bullet"/>
      </w:pPr>
      <w:r w:rsidRPr="004F6043">
        <w:t xml:space="preserve">The ATO </w:t>
      </w:r>
      <w:r w:rsidRPr="00A95319">
        <w:t>amounts</w:t>
      </w:r>
      <w:r w:rsidRPr="004F6043">
        <w:t xml:space="preserve"> reflect the Australian tax consolidated group whereas JAS </w:t>
      </w:r>
      <w:r w:rsidR="00F84E16" w:rsidRPr="004F6043">
        <w:t>Ltd.’s</w:t>
      </w:r>
      <w:r w:rsidRPr="004F6043">
        <w:t xml:space="preserve"> annual report includes the JAS Ltd global group. </w:t>
      </w:r>
      <w:r w:rsidR="00077F7D" w:rsidRPr="004F6043">
        <w:t>Foreign subsidiaries and entities that are not wholly owned cannot be members of the Australian tax consolidated group.</w:t>
      </w:r>
    </w:p>
    <w:p w14:paraId="1DC43A66" w14:textId="6210368C" w:rsidR="00D57E89" w:rsidRPr="004F6043" w:rsidRDefault="00D57E89" w:rsidP="00A95319">
      <w:pPr>
        <w:pStyle w:val="Bullet"/>
      </w:pPr>
      <w:r w:rsidRPr="004F6043">
        <w:t xml:space="preserve">The ATO amounts are limited to entities with total income equal to or exceeding AUD $100 million whilst </w:t>
      </w:r>
      <w:r w:rsidR="001E40CE" w:rsidRPr="004F6043">
        <w:t xml:space="preserve">JAS </w:t>
      </w:r>
      <w:r w:rsidR="00F84E16" w:rsidRPr="004F6043">
        <w:t>Ltd.’s</w:t>
      </w:r>
      <w:r w:rsidR="001E40CE" w:rsidRPr="004F6043">
        <w:t xml:space="preserve"> annual report includes all </w:t>
      </w:r>
      <w:r w:rsidR="004D67A2" w:rsidRPr="004F6043">
        <w:t>JAS group companies</w:t>
      </w:r>
      <w:r w:rsidR="001E40CE" w:rsidRPr="004F6043">
        <w:t xml:space="preserve">. </w:t>
      </w:r>
    </w:p>
    <w:p w14:paraId="4819B899" w14:textId="67B43ACD" w:rsidR="00BD4078" w:rsidRPr="004F6043" w:rsidRDefault="00BD4078" w:rsidP="00A95319">
      <w:pPr>
        <w:pStyle w:val="Bullet"/>
      </w:pPr>
      <w:r w:rsidRPr="004F6043">
        <w:t>Tax payable disclosed by the ATO includes credits for taxes paid on offshore income that is also taxable in Australia</w:t>
      </w:r>
      <w:r w:rsidR="00F60373" w:rsidRPr="004F6043">
        <w:t xml:space="preserve"> and offsets to which JAS Ltd is entitled</w:t>
      </w:r>
      <w:r w:rsidR="00B94F95" w:rsidRPr="004F6043">
        <w:t>, which included franking credits associated with dividends received from and reflecting tax paid by JAS group companies</w:t>
      </w:r>
      <w:r w:rsidRPr="004F6043">
        <w:t>.</w:t>
      </w:r>
    </w:p>
    <w:p w14:paraId="3D44DF59" w14:textId="087DC045" w:rsidR="00DF0B79" w:rsidRPr="00D624B5" w:rsidRDefault="00FC35EC" w:rsidP="00D624B5">
      <w:pPr>
        <w:pStyle w:val="Bullet"/>
      </w:pPr>
      <w:r w:rsidRPr="004F6043">
        <w:t xml:space="preserve">The ATO amounts </w:t>
      </w:r>
      <w:r w:rsidR="00B52459" w:rsidRPr="004F6043">
        <w:t>do</w:t>
      </w:r>
      <w:r w:rsidRPr="004F6043">
        <w:t xml:space="preserve"> not include the application of</w:t>
      </w:r>
      <w:r w:rsidR="001D5C9F" w:rsidRPr="004F6043">
        <w:t xml:space="preserve"> carried forward losses that JAS Ltd has applied. </w:t>
      </w:r>
      <w:bookmarkStart w:id="72" w:name="_Toc195021319"/>
    </w:p>
    <w:p w14:paraId="5A745E94" w14:textId="77777777" w:rsidR="00D624B5" w:rsidRPr="00D624B5" w:rsidRDefault="00D624B5" w:rsidP="00D624B5">
      <w:r>
        <w:br w:type="page"/>
      </w:r>
    </w:p>
    <w:p w14:paraId="261F0304" w14:textId="6E4EA748" w:rsidR="00BD4078" w:rsidRDefault="00BD4078" w:rsidP="00BD4078">
      <w:pPr>
        <w:pStyle w:val="Heading2"/>
      </w:pPr>
      <w:bookmarkStart w:id="73" w:name="_Toc212116318"/>
      <w:r>
        <w:lastRenderedPageBreak/>
        <w:t>Overall approach to tax</w:t>
      </w:r>
      <w:bookmarkEnd w:id="72"/>
      <w:bookmarkEnd w:id="73"/>
      <w:r>
        <w:t xml:space="preserve"> </w:t>
      </w:r>
    </w:p>
    <w:p w14:paraId="0EC37DEF" w14:textId="77777777" w:rsidR="00BD4078" w:rsidRDefault="00BD4078" w:rsidP="00BD4078">
      <w:pPr>
        <w:pStyle w:val="Heading3"/>
        <w:spacing w:before="0"/>
      </w:pPr>
      <w:r>
        <w:t xml:space="preserve">Approach to tax </w:t>
      </w:r>
    </w:p>
    <w:p w14:paraId="7CC2E641" w14:textId="77777777" w:rsidR="00BD4078" w:rsidRPr="008D1908" w:rsidRDefault="00BD4078" w:rsidP="00A95319">
      <w:r w:rsidRPr="008D1908">
        <w:t xml:space="preserve">JAS Ltd reports ‘approach to tax’ information for the group, </w:t>
      </w:r>
      <w:r>
        <w:t>consistent</w:t>
      </w:r>
      <w:r w:rsidRPr="008D1908">
        <w:t xml:space="preserve"> with </w:t>
      </w:r>
      <w:r>
        <w:t xml:space="preserve">the </w:t>
      </w:r>
      <w:r w:rsidRPr="008D1908">
        <w:t>GRI 207-1</w:t>
      </w:r>
      <w:r>
        <w:t xml:space="preserve"> global standards</w:t>
      </w:r>
      <w:r w:rsidRPr="008D1908">
        <w:t xml:space="preserve">, as part of our reporting requirements </w:t>
      </w:r>
      <w:r>
        <w:t>under</w:t>
      </w:r>
      <w:r w:rsidRPr="008D1908">
        <w:t xml:space="preserve"> Australia’s public country-by-country reporting </w:t>
      </w:r>
      <w:r>
        <w:t>regime</w:t>
      </w:r>
      <w:r w:rsidRPr="008D1908">
        <w:t xml:space="preserve">. </w:t>
      </w:r>
    </w:p>
    <w:p w14:paraId="5C0840CD" w14:textId="77777777" w:rsidR="00BD4078" w:rsidRDefault="00BD4078" w:rsidP="00BD4078">
      <w:pPr>
        <w:pStyle w:val="Heading3"/>
      </w:pPr>
      <w:r>
        <w:t xml:space="preserve">Tax governance, control, and risk management </w:t>
      </w:r>
    </w:p>
    <w:p w14:paraId="4700076C" w14:textId="2045B0C3" w:rsidR="0023481C" w:rsidRPr="0023481C" w:rsidRDefault="0023481C" w:rsidP="0023481C">
      <w:pPr>
        <w:pStyle w:val="Heading4"/>
      </w:pPr>
      <w:r w:rsidRPr="008E734D">
        <w:t xml:space="preserve">Optional elements </w:t>
      </w:r>
    </w:p>
    <w:p w14:paraId="1FFD7D30" w14:textId="77777777" w:rsidR="001F3F4F" w:rsidRPr="00FD2480" w:rsidRDefault="001F3F4F" w:rsidP="00921882">
      <w:r w:rsidRPr="00FD2480">
        <w:t xml:space="preserve">[Provide a description of the </w:t>
      </w:r>
      <w:r w:rsidRPr="00921882">
        <w:t>tax</w:t>
      </w:r>
      <w:r w:rsidRPr="00FD2480">
        <w:t xml:space="preserve"> governance, control and risk management framework including: </w:t>
      </w:r>
    </w:p>
    <w:p w14:paraId="5AB852EF" w14:textId="527F4871" w:rsidR="001F3F4F" w:rsidRPr="00FD2480" w:rsidRDefault="001F3F4F" w:rsidP="0058788D">
      <w:pPr>
        <w:pStyle w:val="NumberedParagraphroman"/>
        <w:ind w:left="1701"/>
      </w:pPr>
      <w:r w:rsidRPr="00FD2480">
        <w:t>the governance body or executive-level position within the organisation accountable for compliance with the tax strategy</w:t>
      </w:r>
    </w:p>
    <w:p w14:paraId="6C527303" w14:textId="54C8F464" w:rsidR="001F3F4F" w:rsidRPr="00FD2480" w:rsidRDefault="001F3F4F" w:rsidP="0058788D">
      <w:pPr>
        <w:pStyle w:val="NumberedParagraphroman"/>
        <w:ind w:left="1701"/>
      </w:pPr>
      <w:r w:rsidRPr="00FD2480">
        <w:t>how the entity’s approach to tax is communicated and embedded in the organisation</w:t>
      </w:r>
    </w:p>
    <w:p w14:paraId="32133247" w14:textId="47C3370A" w:rsidR="001F3F4F" w:rsidRPr="00FD2480" w:rsidRDefault="001F3F4F" w:rsidP="0058788D">
      <w:pPr>
        <w:pStyle w:val="NumberedParagraphroman"/>
        <w:ind w:left="1701"/>
      </w:pPr>
      <w:r w:rsidRPr="00FD2480">
        <w:t xml:space="preserve">how tax risks are identified, </w:t>
      </w:r>
      <w:r w:rsidR="00AE083E" w:rsidRPr="00FD2480">
        <w:t>managed,</w:t>
      </w:r>
      <w:r w:rsidRPr="00FD2480">
        <w:t xml:space="preserve"> and monitored and</w:t>
      </w:r>
    </w:p>
    <w:p w14:paraId="257C8EC2" w14:textId="41F4D989" w:rsidR="001F3F4F" w:rsidRPr="00FD2480" w:rsidRDefault="001F3F4F" w:rsidP="0058788D">
      <w:pPr>
        <w:pStyle w:val="NumberedParagraphroman"/>
        <w:ind w:left="1701"/>
      </w:pPr>
      <w:r w:rsidRPr="00FD2480">
        <w:t>how compliance with tax governance and control framework is evaluated]</w:t>
      </w:r>
    </w:p>
    <w:p w14:paraId="367D6E76" w14:textId="77777777" w:rsidR="001F3F4F" w:rsidRPr="00FB229C" w:rsidRDefault="001F3F4F" w:rsidP="00921882">
      <w:pPr>
        <w:pStyle w:val="Heading4"/>
      </w:pPr>
      <w:r w:rsidRPr="00FB229C">
        <w:t xml:space="preserve">Governance </w:t>
      </w:r>
    </w:p>
    <w:p w14:paraId="0503715F" w14:textId="2E751F17" w:rsidR="001F3F4F" w:rsidRDefault="001F3F4F" w:rsidP="00921882">
      <w:r>
        <w:t>JAS Ltd</w:t>
      </w:r>
      <w:r w:rsidRPr="00555E1C">
        <w:t xml:space="preserve"> is committed to high standards of corporate governance and tax transparency including compliance with all applicable tax </w:t>
      </w:r>
      <w:r w:rsidRPr="00921882">
        <w:t>laws</w:t>
      </w:r>
      <w:r w:rsidRPr="00555E1C">
        <w:t xml:space="preserve">, </w:t>
      </w:r>
      <w:r w:rsidR="00AE083E" w:rsidRPr="00555E1C">
        <w:t>rules,</w:t>
      </w:r>
      <w:r w:rsidRPr="00555E1C">
        <w:t xml:space="preserve"> and regulations. </w:t>
      </w:r>
      <w:r>
        <w:t>JAS Ltd does</w:t>
      </w:r>
      <w:r w:rsidRPr="00BA6BE1">
        <w:t xml:space="preserve"> not </w:t>
      </w:r>
      <w:r>
        <w:t>participate</w:t>
      </w:r>
      <w:r w:rsidRPr="00BA6BE1">
        <w:t xml:space="preserve"> in tax avoidance schemes or aggressive tax positions</w:t>
      </w:r>
      <w:r>
        <w:t xml:space="preserve"> and only engages in transactions that are aligned with </w:t>
      </w:r>
      <w:r w:rsidRPr="4D10D2DC">
        <w:t>PAA’s</w:t>
      </w:r>
      <w:r>
        <w:t xml:space="preserve"> commercial objectives</w:t>
      </w:r>
      <w:r w:rsidRPr="00BA6BE1">
        <w:t>.</w:t>
      </w:r>
    </w:p>
    <w:p w14:paraId="70210E71" w14:textId="4C36B169" w:rsidR="001F3F4F" w:rsidRDefault="001F3F4F" w:rsidP="00921882">
      <w:r>
        <w:t xml:space="preserve">Our approach to tax is embodied in the </w:t>
      </w:r>
      <w:r w:rsidRPr="00073D92">
        <w:rPr>
          <w:b/>
          <w:bCs/>
          <w:i/>
          <w:iCs/>
          <w:color w:val="701F4D" w:themeColor="accent2"/>
        </w:rPr>
        <w:t>JAS Ltd Code of Responsible Business Practice</w:t>
      </w:r>
      <w:r w:rsidRPr="00073D92">
        <w:rPr>
          <w:color w:val="701F4D" w:themeColor="accent2"/>
        </w:rPr>
        <w:t xml:space="preserve"> </w:t>
      </w:r>
      <w:r>
        <w:t xml:space="preserve">and the </w:t>
      </w:r>
      <w:r w:rsidRPr="00073D92">
        <w:rPr>
          <w:b/>
          <w:bCs/>
          <w:i/>
          <w:iCs/>
          <w:color w:val="701F4D" w:themeColor="accent2"/>
        </w:rPr>
        <w:t>JAS</w:t>
      </w:r>
      <w:r w:rsidR="007D572D">
        <w:rPr>
          <w:b/>
          <w:bCs/>
          <w:i/>
          <w:iCs/>
          <w:color w:val="701F4D" w:themeColor="accent2"/>
        </w:rPr>
        <w:t> </w:t>
      </w:r>
      <w:r w:rsidRPr="00073D92">
        <w:rPr>
          <w:b/>
          <w:bCs/>
          <w:i/>
          <w:iCs/>
          <w:color w:val="701F4D" w:themeColor="accent2"/>
        </w:rPr>
        <w:t>Ltd</w:t>
      </w:r>
      <w:r w:rsidR="007D572D">
        <w:rPr>
          <w:b/>
          <w:bCs/>
          <w:i/>
          <w:iCs/>
          <w:color w:val="701F4D" w:themeColor="accent2"/>
        </w:rPr>
        <w:t> </w:t>
      </w:r>
      <w:r w:rsidRPr="00073D92">
        <w:rPr>
          <w:b/>
          <w:bCs/>
          <w:i/>
          <w:iCs/>
          <w:color w:val="701F4D" w:themeColor="accent2"/>
        </w:rPr>
        <w:t>Tax</w:t>
      </w:r>
      <w:r w:rsidR="007D572D">
        <w:rPr>
          <w:b/>
          <w:bCs/>
          <w:i/>
          <w:iCs/>
          <w:color w:val="701F4D" w:themeColor="accent2"/>
        </w:rPr>
        <w:t> </w:t>
      </w:r>
      <w:r w:rsidRPr="00073D92">
        <w:rPr>
          <w:b/>
          <w:bCs/>
          <w:i/>
          <w:iCs/>
          <w:color w:val="701F4D" w:themeColor="accent2"/>
        </w:rPr>
        <w:t>Strategy</w:t>
      </w:r>
      <w:r>
        <w:t xml:space="preserve">. The code outlines JAS </w:t>
      </w:r>
      <w:r w:rsidR="00F84E16">
        <w:t>Ltd.’s</w:t>
      </w:r>
      <w:r>
        <w:t xml:space="preserve"> values and principles of conduct, with ethics, </w:t>
      </w:r>
      <w:r w:rsidR="00AE083E">
        <w:t>integrity,</w:t>
      </w:r>
      <w:r>
        <w:t xml:space="preserve"> and transparency at the </w:t>
      </w:r>
      <w:r w:rsidRPr="00921882">
        <w:t>forefront</w:t>
      </w:r>
      <w:r>
        <w:t>. The tax strategy applies to all taxes including indirect taxes (such as GST) and outlines our tax principles.</w:t>
      </w:r>
    </w:p>
    <w:p w14:paraId="3D43777E" w14:textId="6B049A62" w:rsidR="00EE5330" w:rsidRDefault="001F3F4F" w:rsidP="00921882">
      <w:r>
        <w:t xml:space="preserve">In the 2025 reporting year, JAS Ltd </w:t>
      </w:r>
      <w:r w:rsidRPr="00921882">
        <w:t>engaged</w:t>
      </w:r>
      <w:r>
        <w:t xml:space="preserve"> an independent specialist to conduct a governance review of its Australian GST and income tax environment who found the key controls were effective.</w:t>
      </w:r>
    </w:p>
    <w:p w14:paraId="08DD5396" w14:textId="6384E856" w:rsidR="00EB6FEB" w:rsidRDefault="00EB6FEB">
      <w:pPr>
        <w:rPr>
          <w:rFonts w:cstheme="minorHAnsi"/>
          <w:color w:val="142147" w:themeColor="accent1"/>
        </w:rPr>
      </w:pPr>
      <w:r>
        <w:rPr>
          <w:rFonts w:cstheme="minorHAnsi"/>
          <w:color w:val="142147" w:themeColor="accent1"/>
        </w:rPr>
        <w:br w:type="page"/>
      </w:r>
    </w:p>
    <w:p w14:paraId="24E1701C" w14:textId="433C280E" w:rsidR="00C51D57" w:rsidRPr="00D40F81" w:rsidRDefault="0023481C" w:rsidP="00EB6FEB">
      <w:pPr>
        <w:pStyle w:val="TableHeading1"/>
      </w:pPr>
      <w:r w:rsidRPr="00D40F81">
        <w:lastRenderedPageBreak/>
        <w:t xml:space="preserve">Six responsible tax principles that govern JAS </w:t>
      </w:r>
      <w:r w:rsidR="00F84E16" w:rsidRPr="00D40F81">
        <w:t>Ltd.’s</w:t>
      </w:r>
      <w:r w:rsidRPr="00D40F81">
        <w:t xml:space="preserve"> global approach to tax</w:t>
      </w:r>
    </w:p>
    <w:tbl>
      <w:tblPr>
        <w:tblStyle w:val="PlainTable2"/>
        <w:tblpPr w:leftFromText="180" w:rightFromText="180" w:vertAnchor="text" w:horzAnchor="margin" w:tblpXSpec="right" w:tblpY="80"/>
        <w:tblW w:w="5000" w:type="pct"/>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275"/>
        <w:gridCol w:w="8356"/>
      </w:tblGrid>
      <w:tr w:rsidR="0023481C" w14:paraId="2096F91D" w14:textId="77777777" w:rsidTr="00880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none" w:sz="0" w:space="0" w:color="auto"/>
            </w:tcBorders>
          </w:tcPr>
          <w:p w14:paraId="3E080DE7" w14:textId="77777777" w:rsidR="0023481C" w:rsidRDefault="0023481C" w:rsidP="006912C9">
            <w:pPr>
              <w:pStyle w:val="Bullet"/>
              <w:numPr>
                <w:ilvl w:val="0"/>
                <w:numId w:val="0"/>
              </w:numPr>
              <w:ind w:left="520" w:hanging="520"/>
              <w:jc w:val="center"/>
              <w:rPr>
                <w:rFonts w:asciiTheme="minorHAnsi" w:hAnsiTheme="minorHAnsi" w:cstheme="minorHAnsi"/>
                <w:color w:val="142147" w:themeColor="accent1"/>
              </w:rPr>
            </w:pPr>
            <w:r>
              <w:rPr>
                <w:rFonts w:asciiTheme="minorHAnsi" w:hAnsiTheme="minorHAnsi" w:cstheme="minorHAnsi"/>
                <w:noProof/>
                <w:color w:val="142147" w:themeColor="accent1"/>
              </w:rPr>
              <w:drawing>
                <wp:inline distT="0" distB="0" distL="0" distR="0" wp14:anchorId="13A20DE3" wp14:editId="4AFB8B77">
                  <wp:extent cx="619125" cy="619125"/>
                  <wp:effectExtent l="0" t="0" r="0" b="9525"/>
                  <wp:docPr id="107727742"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7742" name="Graphic 6">
                            <a:extLst>
                              <a:ext uri="{C183D7F6-B498-43B3-948B-1728B52AA6E4}">
                                <adec:decorative xmlns:adec="http://schemas.microsoft.com/office/drawing/2017/decorative" val="1"/>
                              </a:ext>
                            </a:extLst>
                          </pic:cNvPr>
                          <pic:cNvPicPr/>
                        </pic:nvPicPr>
                        <pic:blipFill>
                          <a:blip r:embed="rId33">
                            <a:extLst>
                              <a:ext uri="{96DAC541-7B7A-43D3-8B79-37D633B846F1}">
                                <asvg:svgBlip xmlns:asvg="http://schemas.microsoft.com/office/drawing/2016/SVG/main" r:embed="rId34"/>
                              </a:ext>
                            </a:extLst>
                          </a:blip>
                          <a:stretch>
                            <a:fillRect/>
                          </a:stretch>
                        </pic:blipFill>
                        <pic:spPr>
                          <a:xfrm>
                            <a:off x="0" y="0"/>
                            <a:ext cx="619125" cy="619125"/>
                          </a:xfrm>
                          <a:prstGeom prst="rect">
                            <a:avLst/>
                          </a:prstGeom>
                        </pic:spPr>
                      </pic:pic>
                    </a:graphicData>
                  </a:graphic>
                </wp:inline>
              </w:drawing>
            </w:r>
          </w:p>
        </w:tc>
        <w:tc>
          <w:tcPr>
            <w:tcW w:w="8496" w:type="dxa"/>
            <w:tcBorders>
              <w:bottom w:val="none" w:sz="0" w:space="0" w:color="auto"/>
            </w:tcBorders>
          </w:tcPr>
          <w:p w14:paraId="560A2897" w14:textId="77777777" w:rsidR="0023481C" w:rsidRPr="00E85F28" w:rsidRDefault="0023481C" w:rsidP="00E85F28">
            <w:pPr>
              <w:pStyle w:val="TableTextLeft"/>
              <w:cnfStyle w:val="100000000000" w:firstRow="1" w:lastRow="0" w:firstColumn="0" w:lastColumn="0" w:oddVBand="0" w:evenVBand="0" w:oddHBand="0" w:evenHBand="0" w:firstRowFirstColumn="0" w:firstRowLastColumn="0" w:lastRowFirstColumn="0" w:lastRowLastColumn="0"/>
              <w:rPr>
                <w:b/>
                <w:bCs w:val="0"/>
              </w:rPr>
            </w:pPr>
            <w:r w:rsidRPr="00E85F28">
              <w:rPr>
                <w:b/>
                <w:bCs w:val="0"/>
              </w:rPr>
              <w:t xml:space="preserve">Compliance </w:t>
            </w:r>
          </w:p>
          <w:p w14:paraId="5EC4023E" w14:textId="77777777" w:rsidR="0023481C" w:rsidRPr="00071630" w:rsidRDefault="0023481C" w:rsidP="00C94D95">
            <w:pPr>
              <w:pStyle w:val="TableTextLeft"/>
              <w:cnfStyle w:val="100000000000" w:firstRow="1" w:lastRow="0" w:firstColumn="0" w:lastColumn="0" w:oddVBand="0" w:evenVBand="0" w:oddHBand="0" w:evenHBand="0" w:firstRowFirstColumn="0" w:firstRowLastColumn="0" w:lastRowFirstColumn="0" w:lastRowLastColumn="0"/>
            </w:pPr>
            <w:r w:rsidRPr="00806628">
              <w:t xml:space="preserve">JAS is committed to complying with the laws of the countries </w:t>
            </w:r>
            <w:r>
              <w:t>we</w:t>
            </w:r>
            <w:r w:rsidRPr="00806628">
              <w:t xml:space="preserve"> operate in</w:t>
            </w:r>
            <w:r>
              <w:t xml:space="preserve"> and meeting all tax obligations on time. </w:t>
            </w:r>
            <w:r w:rsidRPr="001A63AE">
              <w:t xml:space="preserve">Our commitment to compliance means that appropriate arrangements are in place to accurately calculate our tax liabilities, so we </w:t>
            </w:r>
            <w:r>
              <w:t xml:space="preserve">can </w:t>
            </w:r>
            <w:r w:rsidRPr="001A63AE">
              <w:t xml:space="preserve">ensure we pay the right amount of tax in the right place at the right time. We </w:t>
            </w:r>
            <w:r>
              <w:t>report</w:t>
            </w:r>
            <w:r w:rsidRPr="001A63AE">
              <w:t xml:space="preserve"> all relevant facts and circumstances </w:t>
            </w:r>
            <w:r w:rsidRPr="00C94D95">
              <w:t>to</w:t>
            </w:r>
            <w:r w:rsidRPr="001A63AE">
              <w:t xml:space="preserve"> tax authorities on a timely basis while claiming available reliefs and incentives relevant to our business activities.</w:t>
            </w:r>
          </w:p>
        </w:tc>
      </w:tr>
      <w:tr w:rsidR="0023481C" w14:paraId="5F639A5A" w14:textId="77777777" w:rsidTr="00880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bottom w:val="none" w:sz="0" w:space="0" w:color="auto"/>
            </w:tcBorders>
          </w:tcPr>
          <w:p w14:paraId="5ADF9949" w14:textId="77777777" w:rsidR="0023481C" w:rsidRDefault="0023481C" w:rsidP="006912C9">
            <w:pPr>
              <w:pStyle w:val="Bullet"/>
              <w:numPr>
                <w:ilvl w:val="0"/>
                <w:numId w:val="0"/>
              </w:numPr>
              <w:ind w:left="520" w:hanging="520"/>
              <w:jc w:val="center"/>
              <w:rPr>
                <w:rFonts w:asciiTheme="minorHAnsi" w:hAnsiTheme="minorHAnsi" w:cstheme="minorHAnsi"/>
                <w:color w:val="142147" w:themeColor="accent1"/>
              </w:rPr>
            </w:pPr>
            <w:r>
              <w:rPr>
                <w:rFonts w:asciiTheme="minorHAnsi" w:hAnsiTheme="minorHAnsi" w:cstheme="minorHAnsi"/>
                <w:noProof/>
                <w:color w:val="142147" w:themeColor="accent1"/>
              </w:rPr>
              <w:drawing>
                <wp:inline distT="0" distB="0" distL="0" distR="0" wp14:anchorId="2F223171" wp14:editId="4DCF9464">
                  <wp:extent cx="628650" cy="628650"/>
                  <wp:effectExtent l="0" t="0" r="0" b="0"/>
                  <wp:docPr id="109242122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21220" name="Graphic 7">
                            <a:extLst>
                              <a:ext uri="{C183D7F6-B498-43B3-948B-1728B52AA6E4}">
                                <adec:decorative xmlns:adec="http://schemas.microsoft.com/office/drawing/2017/decorative" val="1"/>
                              </a:ext>
                            </a:extLst>
                          </pic:cNvPr>
                          <pic:cNvPicPr/>
                        </pic:nvPicPr>
                        <pic:blipFill>
                          <a:blip r:embed="rId35">
                            <a:extLst>
                              <a:ext uri="{96DAC541-7B7A-43D3-8B79-37D633B846F1}">
                                <asvg:svgBlip xmlns:asvg="http://schemas.microsoft.com/office/drawing/2016/SVG/main" r:embed="rId36"/>
                              </a:ext>
                            </a:extLst>
                          </a:blip>
                          <a:stretch>
                            <a:fillRect/>
                          </a:stretch>
                        </pic:blipFill>
                        <pic:spPr>
                          <a:xfrm>
                            <a:off x="0" y="0"/>
                            <a:ext cx="628650" cy="628650"/>
                          </a:xfrm>
                          <a:prstGeom prst="rect">
                            <a:avLst/>
                          </a:prstGeom>
                        </pic:spPr>
                      </pic:pic>
                    </a:graphicData>
                  </a:graphic>
                </wp:inline>
              </w:drawing>
            </w:r>
          </w:p>
        </w:tc>
        <w:tc>
          <w:tcPr>
            <w:tcW w:w="8496" w:type="dxa"/>
            <w:tcBorders>
              <w:top w:val="none" w:sz="0" w:space="0" w:color="auto"/>
              <w:bottom w:val="none" w:sz="0" w:space="0" w:color="auto"/>
            </w:tcBorders>
          </w:tcPr>
          <w:p w14:paraId="4F0877DC" w14:textId="20C7324D" w:rsidR="0023481C" w:rsidRPr="00E85F28" w:rsidRDefault="0023481C" w:rsidP="00E85F28">
            <w:pPr>
              <w:pStyle w:val="TableTextLeft"/>
              <w:cnfStyle w:val="000000100000" w:firstRow="0" w:lastRow="0" w:firstColumn="0" w:lastColumn="0" w:oddVBand="0" w:evenVBand="0" w:oddHBand="1" w:evenHBand="0" w:firstRowFirstColumn="0" w:firstRowLastColumn="0" w:lastRowFirstColumn="0" w:lastRowLastColumn="0"/>
              <w:rPr>
                <w:b/>
                <w:bCs/>
              </w:rPr>
            </w:pPr>
            <w:r w:rsidRPr="00E85F28">
              <w:rPr>
                <w:b/>
                <w:bCs/>
              </w:rPr>
              <w:t xml:space="preserve">Risk management and governance </w:t>
            </w:r>
          </w:p>
          <w:p w14:paraId="12EB13CF" w14:textId="336226AE" w:rsidR="0023481C" w:rsidRPr="000342D9" w:rsidRDefault="0023481C" w:rsidP="00C94D95">
            <w:pPr>
              <w:pStyle w:val="TableTextLeft"/>
              <w:cnfStyle w:val="000000100000" w:firstRow="0" w:lastRow="0" w:firstColumn="0" w:lastColumn="0" w:oddVBand="0" w:evenVBand="0" w:oddHBand="1" w:evenHBand="0" w:firstRowFirstColumn="0" w:firstRowLastColumn="0" w:lastRowFirstColumn="0" w:lastRowLastColumn="0"/>
            </w:pPr>
            <w:r w:rsidRPr="000342D9">
              <w:t xml:space="preserve">JAS is committed </w:t>
            </w:r>
            <w:r>
              <w:t xml:space="preserve">to strong governance. Our Board approves all tax policy and ensures all tax risks are </w:t>
            </w:r>
            <w:r w:rsidRPr="00C94D95">
              <w:t>identified</w:t>
            </w:r>
            <w:r>
              <w:t xml:space="preserve">, </w:t>
            </w:r>
            <w:r w:rsidR="00AE083E">
              <w:t>assessed,</w:t>
            </w:r>
            <w:r>
              <w:t xml:space="preserve"> and managed under the Tax Risk Management Framework and reported to the Audit and Risk Committee. </w:t>
            </w:r>
          </w:p>
        </w:tc>
      </w:tr>
      <w:tr w:rsidR="0023481C" w14:paraId="436C8ABD" w14:textId="77777777" w:rsidTr="00880C95">
        <w:tc>
          <w:tcPr>
            <w:cnfStyle w:val="001000000000" w:firstRow="0" w:lastRow="0" w:firstColumn="1" w:lastColumn="0" w:oddVBand="0" w:evenVBand="0" w:oddHBand="0" w:evenHBand="0" w:firstRowFirstColumn="0" w:firstRowLastColumn="0" w:lastRowFirstColumn="0" w:lastRowLastColumn="0"/>
            <w:tcW w:w="1276" w:type="dxa"/>
          </w:tcPr>
          <w:p w14:paraId="0B256AB5" w14:textId="77777777" w:rsidR="0023481C" w:rsidRDefault="0023481C" w:rsidP="006912C9">
            <w:pPr>
              <w:pStyle w:val="Bullet"/>
              <w:numPr>
                <w:ilvl w:val="0"/>
                <w:numId w:val="0"/>
              </w:numPr>
              <w:ind w:left="520" w:hanging="520"/>
              <w:jc w:val="center"/>
              <w:rPr>
                <w:rFonts w:asciiTheme="minorHAnsi" w:hAnsiTheme="minorHAnsi" w:cstheme="minorHAnsi"/>
                <w:color w:val="142147" w:themeColor="accent1"/>
              </w:rPr>
            </w:pPr>
            <w:r>
              <w:rPr>
                <w:rFonts w:asciiTheme="minorHAnsi" w:hAnsiTheme="minorHAnsi" w:cstheme="minorHAnsi"/>
                <w:noProof/>
                <w:color w:val="142147" w:themeColor="accent1"/>
              </w:rPr>
              <w:drawing>
                <wp:inline distT="0" distB="0" distL="0" distR="0" wp14:anchorId="2F7CA016" wp14:editId="5B164B13">
                  <wp:extent cx="638175" cy="638175"/>
                  <wp:effectExtent l="0" t="0" r="9525" b="0"/>
                  <wp:docPr id="1178805222"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05222" name="Graphic 5">
                            <a:extLst>
                              <a:ext uri="{C183D7F6-B498-43B3-948B-1728B52AA6E4}">
                                <adec:decorative xmlns:adec="http://schemas.microsoft.com/office/drawing/2017/decorative" val="1"/>
                              </a:ext>
                            </a:extLst>
                          </pic:cNvPr>
                          <pic:cNvPicPr/>
                        </pic:nvPicPr>
                        <pic:blipFill>
                          <a:blip r:embed="rId37">
                            <a:extLst>
                              <a:ext uri="{96DAC541-7B7A-43D3-8B79-37D633B846F1}">
                                <asvg:svgBlip xmlns:asvg="http://schemas.microsoft.com/office/drawing/2016/SVG/main" r:embed="rId38"/>
                              </a:ext>
                            </a:extLst>
                          </a:blip>
                          <a:stretch>
                            <a:fillRect/>
                          </a:stretch>
                        </pic:blipFill>
                        <pic:spPr>
                          <a:xfrm>
                            <a:off x="0" y="0"/>
                            <a:ext cx="638175" cy="638175"/>
                          </a:xfrm>
                          <a:prstGeom prst="rect">
                            <a:avLst/>
                          </a:prstGeom>
                        </pic:spPr>
                      </pic:pic>
                    </a:graphicData>
                  </a:graphic>
                </wp:inline>
              </w:drawing>
            </w:r>
          </w:p>
        </w:tc>
        <w:tc>
          <w:tcPr>
            <w:tcW w:w="8496" w:type="dxa"/>
          </w:tcPr>
          <w:p w14:paraId="357B4678" w14:textId="77777777" w:rsidR="0023481C" w:rsidRPr="00E85F28" w:rsidRDefault="0023481C" w:rsidP="00E85F28">
            <w:pPr>
              <w:pStyle w:val="TableTextLeft"/>
              <w:cnfStyle w:val="000000000000" w:firstRow="0" w:lastRow="0" w:firstColumn="0" w:lastColumn="0" w:oddVBand="0" w:evenVBand="0" w:oddHBand="0" w:evenHBand="0" w:firstRowFirstColumn="0" w:firstRowLastColumn="0" w:lastRowFirstColumn="0" w:lastRowLastColumn="0"/>
              <w:rPr>
                <w:b/>
                <w:bCs/>
              </w:rPr>
            </w:pPr>
            <w:r w:rsidRPr="00E85F28">
              <w:rPr>
                <w:b/>
                <w:bCs/>
              </w:rPr>
              <w:t xml:space="preserve">Transparency </w:t>
            </w:r>
          </w:p>
          <w:p w14:paraId="554B4395" w14:textId="5E6321D3" w:rsidR="0023481C" w:rsidRPr="009A1CFA" w:rsidRDefault="0023481C" w:rsidP="00C94D95">
            <w:pPr>
              <w:pStyle w:val="TableTextLeft"/>
              <w:cnfStyle w:val="000000000000" w:firstRow="0" w:lastRow="0" w:firstColumn="0" w:lastColumn="0" w:oddVBand="0" w:evenVBand="0" w:oddHBand="0" w:evenHBand="0" w:firstRowFirstColumn="0" w:firstRowLastColumn="0" w:lastRowFirstColumn="0" w:lastRowLastColumn="0"/>
            </w:pPr>
            <w:r>
              <w:t>JAS publishes</w:t>
            </w:r>
            <w:r w:rsidRPr="003C560E">
              <w:t xml:space="preserve"> annual tax transparency reports to explain the taxes we pay. </w:t>
            </w:r>
            <w:r>
              <w:t xml:space="preserve">JAS </w:t>
            </w:r>
            <w:r w:rsidRPr="009E5536">
              <w:t xml:space="preserve">has an open-door culture </w:t>
            </w:r>
            <w:r w:rsidRPr="00C94D95">
              <w:t>underpinned</w:t>
            </w:r>
            <w:r w:rsidRPr="009E5536">
              <w:t xml:space="preserve"> by the JAS Whistleblower Protection Policy.</w:t>
            </w:r>
            <w:r>
              <w:rPr>
                <w:b/>
                <w:bCs/>
                <w:i/>
                <w:iCs/>
                <w:color w:val="701F4D" w:themeColor="accent2"/>
              </w:rPr>
              <w:t xml:space="preserve"> </w:t>
            </w:r>
            <w:r w:rsidRPr="003C560E">
              <w:t>We believe openness facilitates understanding on the contribution</w:t>
            </w:r>
            <w:r>
              <w:t>s</w:t>
            </w:r>
            <w:r w:rsidRPr="003C560E">
              <w:t xml:space="preserve"> we make </w:t>
            </w:r>
            <w:r>
              <w:t xml:space="preserve">and provides community stakeholders with confidence over our group compliance in the countries in which we operate. </w:t>
            </w:r>
          </w:p>
        </w:tc>
      </w:tr>
      <w:tr w:rsidR="0023481C" w14:paraId="2ECD6C95" w14:textId="77777777" w:rsidTr="00880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bottom w:val="none" w:sz="0" w:space="0" w:color="auto"/>
            </w:tcBorders>
          </w:tcPr>
          <w:p w14:paraId="361345CF" w14:textId="77777777" w:rsidR="0023481C" w:rsidRDefault="0023481C" w:rsidP="006912C9">
            <w:pPr>
              <w:pStyle w:val="Bullet"/>
              <w:numPr>
                <w:ilvl w:val="0"/>
                <w:numId w:val="0"/>
              </w:numPr>
              <w:ind w:left="520" w:hanging="520"/>
              <w:jc w:val="center"/>
              <w:rPr>
                <w:rFonts w:asciiTheme="minorHAnsi" w:hAnsiTheme="minorHAnsi" w:cstheme="minorHAnsi"/>
                <w:color w:val="142147" w:themeColor="accent1"/>
              </w:rPr>
            </w:pPr>
            <w:r>
              <w:rPr>
                <w:rFonts w:asciiTheme="minorHAnsi" w:hAnsiTheme="minorHAnsi" w:cstheme="minorHAnsi"/>
                <w:noProof/>
                <w:color w:val="142147" w:themeColor="accent1"/>
              </w:rPr>
              <w:drawing>
                <wp:inline distT="0" distB="0" distL="0" distR="0" wp14:anchorId="014B0501" wp14:editId="360B9676">
                  <wp:extent cx="609600" cy="609600"/>
                  <wp:effectExtent l="0" t="0" r="0" b="0"/>
                  <wp:docPr id="14661671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6712" name="Graphic 2">
                            <a:extLst>
                              <a:ext uri="{C183D7F6-B498-43B3-948B-1728B52AA6E4}">
                                <adec:decorative xmlns:adec="http://schemas.microsoft.com/office/drawing/2017/decorative" val="1"/>
                              </a:ext>
                            </a:extLst>
                          </pic:cNvPr>
                          <pic:cNvPicPr/>
                        </pic:nvPicPr>
                        <pic:blipFill>
                          <a:blip r:embed="rId39">
                            <a:extLst>
                              <a:ext uri="{96DAC541-7B7A-43D3-8B79-37D633B846F1}">
                                <asvg:svgBlip xmlns:asvg="http://schemas.microsoft.com/office/drawing/2016/SVG/main" r:embed="rId40"/>
                              </a:ext>
                            </a:extLst>
                          </a:blip>
                          <a:stretch>
                            <a:fillRect/>
                          </a:stretch>
                        </pic:blipFill>
                        <pic:spPr>
                          <a:xfrm>
                            <a:off x="0" y="0"/>
                            <a:ext cx="609600" cy="609600"/>
                          </a:xfrm>
                          <a:prstGeom prst="rect">
                            <a:avLst/>
                          </a:prstGeom>
                        </pic:spPr>
                      </pic:pic>
                    </a:graphicData>
                  </a:graphic>
                </wp:inline>
              </w:drawing>
            </w:r>
          </w:p>
        </w:tc>
        <w:tc>
          <w:tcPr>
            <w:tcW w:w="8496" w:type="dxa"/>
            <w:tcBorders>
              <w:top w:val="none" w:sz="0" w:space="0" w:color="auto"/>
              <w:bottom w:val="none" w:sz="0" w:space="0" w:color="auto"/>
            </w:tcBorders>
          </w:tcPr>
          <w:p w14:paraId="1C69E52D" w14:textId="77777777" w:rsidR="0023481C" w:rsidRPr="00E85F28" w:rsidRDefault="0023481C" w:rsidP="00E85F28">
            <w:pPr>
              <w:pStyle w:val="TableTextLeft"/>
              <w:cnfStyle w:val="000000100000" w:firstRow="0" w:lastRow="0" w:firstColumn="0" w:lastColumn="0" w:oddVBand="0" w:evenVBand="0" w:oddHBand="1" w:evenHBand="0" w:firstRowFirstColumn="0" w:firstRowLastColumn="0" w:lastRowFirstColumn="0" w:lastRowLastColumn="0"/>
              <w:rPr>
                <w:b/>
                <w:bCs/>
              </w:rPr>
            </w:pPr>
            <w:r w:rsidRPr="00E85F28">
              <w:rPr>
                <w:b/>
                <w:bCs/>
              </w:rPr>
              <w:t>Corporate citizenship</w:t>
            </w:r>
          </w:p>
          <w:p w14:paraId="2589B40F" w14:textId="45D0249D" w:rsidR="0023481C" w:rsidRPr="00093DBB" w:rsidRDefault="0023481C" w:rsidP="00C94D95">
            <w:pPr>
              <w:pStyle w:val="TableTextLeft"/>
              <w:cnfStyle w:val="000000100000" w:firstRow="0" w:lastRow="0" w:firstColumn="0" w:lastColumn="0" w:oddVBand="0" w:evenVBand="0" w:oddHBand="1" w:evenHBand="0" w:firstRowFirstColumn="0" w:firstRowLastColumn="0" w:lastRowFirstColumn="0" w:lastRowLastColumn="0"/>
            </w:pPr>
            <w:r w:rsidRPr="00093DBB">
              <w:t xml:space="preserve">JAS </w:t>
            </w:r>
            <w:r>
              <w:t xml:space="preserve">operates with integrity to maintain open, respectful, </w:t>
            </w:r>
            <w:r w:rsidR="00AE083E">
              <w:t>constructive,</w:t>
            </w:r>
            <w:r>
              <w:t xml:space="preserve"> and co-operative </w:t>
            </w:r>
            <w:r w:rsidRPr="00C94D95">
              <w:t>relationships</w:t>
            </w:r>
            <w:r>
              <w:t xml:space="preserve"> with revenue authorities. We engage revenue authorities in real-time to obtain certainty over our tax positions and to identify and resolve disagreements on a timely basis. </w:t>
            </w:r>
          </w:p>
        </w:tc>
      </w:tr>
      <w:tr w:rsidR="0023481C" w14:paraId="7BA4C2D3" w14:textId="77777777" w:rsidTr="00880C95">
        <w:tc>
          <w:tcPr>
            <w:cnfStyle w:val="001000000000" w:firstRow="0" w:lastRow="0" w:firstColumn="1" w:lastColumn="0" w:oddVBand="0" w:evenVBand="0" w:oddHBand="0" w:evenHBand="0" w:firstRowFirstColumn="0" w:firstRowLastColumn="0" w:lastRowFirstColumn="0" w:lastRowLastColumn="0"/>
            <w:tcW w:w="1276" w:type="dxa"/>
          </w:tcPr>
          <w:p w14:paraId="19CB4E66" w14:textId="09A696D7" w:rsidR="0023481C" w:rsidRDefault="0023481C" w:rsidP="006912C9">
            <w:pPr>
              <w:pStyle w:val="Bullet"/>
              <w:numPr>
                <w:ilvl w:val="0"/>
                <w:numId w:val="0"/>
              </w:numPr>
              <w:ind w:left="520" w:hanging="520"/>
              <w:jc w:val="center"/>
              <w:rPr>
                <w:rFonts w:asciiTheme="minorHAnsi" w:hAnsiTheme="minorHAnsi" w:cstheme="minorHAnsi"/>
                <w:color w:val="142147" w:themeColor="accent1"/>
              </w:rPr>
            </w:pPr>
            <w:r>
              <w:rPr>
                <w:rFonts w:asciiTheme="minorHAnsi" w:hAnsiTheme="minorHAnsi" w:cstheme="minorHAnsi"/>
                <w:noProof/>
                <w:color w:val="142147" w:themeColor="accent1"/>
              </w:rPr>
              <w:drawing>
                <wp:inline distT="0" distB="0" distL="0" distR="0" wp14:anchorId="7597EEF4" wp14:editId="60B6F3E2">
                  <wp:extent cx="581025" cy="581025"/>
                  <wp:effectExtent l="0" t="0" r="0" b="0"/>
                  <wp:docPr id="1247922807"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22807" name="Graphic 3">
                            <a:extLst>
                              <a:ext uri="{C183D7F6-B498-43B3-948B-1728B52AA6E4}">
                                <adec:decorative xmlns:adec="http://schemas.microsoft.com/office/drawing/2017/decorative" val="1"/>
                              </a:ext>
                            </a:extLst>
                          </pic:cNvPr>
                          <pic:cNvPicPr/>
                        </pic:nvPicPr>
                        <pic:blipFill>
                          <a:blip r:embed="rId41">
                            <a:extLst>
                              <a:ext uri="{96DAC541-7B7A-43D3-8B79-37D633B846F1}">
                                <asvg:svgBlip xmlns:asvg="http://schemas.microsoft.com/office/drawing/2016/SVG/main" r:embed="rId42"/>
                              </a:ext>
                            </a:extLst>
                          </a:blip>
                          <a:stretch>
                            <a:fillRect/>
                          </a:stretch>
                        </pic:blipFill>
                        <pic:spPr>
                          <a:xfrm>
                            <a:off x="0" y="0"/>
                            <a:ext cx="581025" cy="581025"/>
                          </a:xfrm>
                          <a:prstGeom prst="rect">
                            <a:avLst/>
                          </a:prstGeom>
                        </pic:spPr>
                      </pic:pic>
                    </a:graphicData>
                  </a:graphic>
                </wp:inline>
              </w:drawing>
            </w:r>
          </w:p>
        </w:tc>
        <w:tc>
          <w:tcPr>
            <w:tcW w:w="8496" w:type="dxa"/>
          </w:tcPr>
          <w:p w14:paraId="278B505C" w14:textId="23CCF9EE" w:rsidR="0023481C" w:rsidRPr="00E85F28" w:rsidRDefault="0023481C" w:rsidP="00E85F28">
            <w:pPr>
              <w:pStyle w:val="TableTextLeft"/>
              <w:cnfStyle w:val="000000000000" w:firstRow="0" w:lastRow="0" w:firstColumn="0" w:lastColumn="0" w:oddVBand="0" w:evenVBand="0" w:oddHBand="0" w:evenHBand="0" w:firstRowFirstColumn="0" w:firstRowLastColumn="0" w:lastRowFirstColumn="0" w:lastRowLastColumn="0"/>
              <w:rPr>
                <w:b/>
                <w:bCs/>
              </w:rPr>
            </w:pPr>
            <w:r w:rsidRPr="00E85F28">
              <w:rPr>
                <w:b/>
                <w:bCs/>
              </w:rPr>
              <w:t xml:space="preserve">Business structure </w:t>
            </w:r>
          </w:p>
          <w:p w14:paraId="2696A0D5" w14:textId="77777777" w:rsidR="0023481C" w:rsidRPr="00085B3E" w:rsidRDefault="0023481C" w:rsidP="00C94D95">
            <w:pPr>
              <w:pStyle w:val="TableTextLeft"/>
              <w:cnfStyle w:val="000000000000" w:firstRow="0" w:lastRow="0" w:firstColumn="0" w:lastColumn="0" w:oddVBand="0" w:evenVBand="0" w:oddHBand="0" w:evenHBand="0" w:firstRowFirstColumn="0" w:firstRowLastColumn="0" w:lastRowFirstColumn="0" w:lastRowLastColumn="0"/>
              <w:rPr>
                <w:b/>
              </w:rPr>
            </w:pPr>
            <w:r>
              <w:t xml:space="preserve">JAS engages in transactions which align with our business activity and with clear commercial purpose and economic rationale. We do not engage in aggressive tax planning. </w:t>
            </w:r>
          </w:p>
        </w:tc>
      </w:tr>
      <w:tr w:rsidR="0023481C" w14:paraId="79141CCE" w14:textId="77777777" w:rsidTr="00880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bottom w:val="none" w:sz="0" w:space="0" w:color="auto"/>
            </w:tcBorders>
          </w:tcPr>
          <w:p w14:paraId="7AD3025F" w14:textId="77777777" w:rsidR="0023481C" w:rsidRDefault="0023481C" w:rsidP="006912C9">
            <w:pPr>
              <w:pStyle w:val="Bullet"/>
              <w:numPr>
                <w:ilvl w:val="0"/>
                <w:numId w:val="0"/>
              </w:numPr>
              <w:ind w:left="520" w:hanging="520"/>
              <w:jc w:val="center"/>
              <w:rPr>
                <w:rFonts w:asciiTheme="minorHAnsi" w:hAnsiTheme="minorHAnsi" w:cstheme="minorHAnsi"/>
                <w:color w:val="142147" w:themeColor="accent1"/>
              </w:rPr>
            </w:pPr>
            <w:r>
              <w:rPr>
                <w:rFonts w:asciiTheme="minorHAnsi" w:hAnsiTheme="minorHAnsi" w:cstheme="minorHAnsi"/>
                <w:noProof/>
                <w:color w:val="142147" w:themeColor="accent1"/>
              </w:rPr>
              <w:drawing>
                <wp:inline distT="0" distB="0" distL="0" distR="0" wp14:anchorId="65B71F02" wp14:editId="3D2D7DDF">
                  <wp:extent cx="542925" cy="542925"/>
                  <wp:effectExtent l="0" t="0" r="9525" b="9525"/>
                  <wp:docPr id="131302013"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02013" name="Graphic 4">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542925" cy="542925"/>
                          </a:xfrm>
                          <a:prstGeom prst="rect">
                            <a:avLst/>
                          </a:prstGeom>
                        </pic:spPr>
                      </pic:pic>
                    </a:graphicData>
                  </a:graphic>
                </wp:inline>
              </w:drawing>
            </w:r>
          </w:p>
        </w:tc>
        <w:tc>
          <w:tcPr>
            <w:tcW w:w="8496" w:type="dxa"/>
            <w:tcBorders>
              <w:top w:val="none" w:sz="0" w:space="0" w:color="auto"/>
              <w:bottom w:val="none" w:sz="0" w:space="0" w:color="auto"/>
            </w:tcBorders>
          </w:tcPr>
          <w:p w14:paraId="0C0F021B" w14:textId="61F0F027" w:rsidR="0023481C" w:rsidRPr="00E85F28" w:rsidRDefault="0023481C" w:rsidP="00E85F28">
            <w:pPr>
              <w:pStyle w:val="TableTextLeft"/>
              <w:cnfStyle w:val="000000100000" w:firstRow="0" w:lastRow="0" w:firstColumn="0" w:lastColumn="0" w:oddVBand="0" w:evenVBand="0" w:oddHBand="1" w:evenHBand="0" w:firstRowFirstColumn="0" w:firstRowLastColumn="0" w:lastRowFirstColumn="0" w:lastRowLastColumn="0"/>
              <w:rPr>
                <w:b/>
                <w:bCs/>
              </w:rPr>
            </w:pPr>
            <w:r w:rsidRPr="00E85F28">
              <w:rPr>
                <w:b/>
                <w:bCs/>
              </w:rPr>
              <w:t xml:space="preserve">Advocating reform </w:t>
            </w:r>
          </w:p>
          <w:p w14:paraId="36D08892" w14:textId="09CC70EF" w:rsidR="0023481C" w:rsidRPr="00E70C8D" w:rsidRDefault="0023481C" w:rsidP="00C94D95">
            <w:pPr>
              <w:pStyle w:val="TableTextLeft"/>
              <w:cnfStyle w:val="000000100000" w:firstRow="0" w:lastRow="0" w:firstColumn="0" w:lastColumn="0" w:oddVBand="0" w:evenVBand="0" w:oddHBand="1" w:evenHBand="0" w:firstRowFirstColumn="0" w:firstRowLastColumn="0" w:lastRowFirstColumn="0" w:lastRowLastColumn="0"/>
            </w:pPr>
            <w:r>
              <w:t xml:space="preserve">JAS supports simple, efficient, </w:t>
            </w:r>
            <w:r w:rsidR="00AE083E">
              <w:t>stable,</w:t>
            </w:r>
            <w:r>
              <w:t xml:space="preserve"> and competitive tax rules and the principle that the taxing rights of countries should be commensurate with where the economic activity occurs. We engage in the reform process of international tax rules and local tax rules to support economic growth, job creation and viable long-term tax contributions. </w:t>
            </w:r>
          </w:p>
        </w:tc>
      </w:tr>
    </w:tbl>
    <w:p w14:paraId="1D47B0CF" w14:textId="327C7F19" w:rsidR="00EE5330" w:rsidRPr="00D40A02" w:rsidRDefault="00C3464D" w:rsidP="00C94D95">
      <w:r>
        <w:t xml:space="preserve">The tax strategy is overseen by the JAS Ltd Board, who are responsible for overall compliance, tax risks and reporting. The Board is supported by the Audit and Risk Committee who maintain a high level of oversight and meets on a quarterly basis to assess the effectiveness of the strategy and undertake formal assurance reviews to ensure compliance with the strategy. The Chief Financial Officer is directly accountable for the </w:t>
      </w:r>
      <w:r w:rsidRPr="00846CA5">
        <w:t>management</w:t>
      </w:r>
      <w:r>
        <w:t xml:space="preserve"> of tax risks, with the JAS Tax Manager and Tax Business Unit operationalising the framework, advising the CFO and Committee on the tax implications of business decisions, </w:t>
      </w:r>
      <w:r w:rsidR="00AE083E">
        <w:t>transactions,</w:t>
      </w:r>
      <w:r>
        <w:t xml:space="preserve"> and compliance with tax laws. </w:t>
      </w:r>
    </w:p>
    <w:p w14:paraId="063F369F" w14:textId="77777777" w:rsidR="00E85F28" w:rsidRDefault="00E85F28">
      <w:pPr>
        <w:rPr>
          <w:rFonts w:cs="Arial"/>
          <w:b/>
          <w:color w:val="000000"/>
          <w:kern w:val="32"/>
          <w:sz w:val="25"/>
          <w14:numForm w14:val="lining"/>
          <w14:numSpacing w14:val="proportional"/>
        </w:rPr>
      </w:pPr>
      <w:r>
        <w:br w:type="page"/>
      </w:r>
    </w:p>
    <w:p w14:paraId="4BE43940" w14:textId="18B22B98" w:rsidR="00C3464D" w:rsidRPr="00887288" w:rsidRDefault="00C3464D" w:rsidP="00887288">
      <w:pPr>
        <w:rPr>
          <w:b/>
          <w:bCs/>
        </w:rPr>
      </w:pPr>
      <w:r w:rsidRPr="00887288">
        <w:rPr>
          <w:b/>
          <w:bCs/>
        </w:rPr>
        <w:lastRenderedPageBreak/>
        <w:t xml:space="preserve">Risk management </w:t>
      </w:r>
    </w:p>
    <w:p w14:paraId="0D752DCF" w14:textId="3124340D" w:rsidR="00C3464D" w:rsidRDefault="00C3464D" w:rsidP="00C94D95">
      <w:r>
        <w:t xml:space="preserve">JAS </w:t>
      </w:r>
      <w:r w:rsidR="00F84E16">
        <w:t>Ltd.’s</w:t>
      </w:r>
      <w:r>
        <w:t xml:space="preserve"> tax </w:t>
      </w:r>
      <w:r w:rsidRPr="00846CA5">
        <w:t>risk</w:t>
      </w:r>
      <w:r>
        <w:t xml:space="preserve"> management approach is informed by the </w:t>
      </w:r>
      <w:r w:rsidRPr="00091DD8">
        <w:rPr>
          <w:b/>
          <w:bCs/>
          <w:i/>
          <w:iCs/>
          <w:color w:val="701F4D" w:themeColor="accent2"/>
        </w:rPr>
        <w:t>JAS Ltd Tax Risk Management Framework</w:t>
      </w:r>
      <w:r w:rsidRPr="00091DD8">
        <w:rPr>
          <w:i/>
          <w:iCs/>
          <w:color w:val="701F4D" w:themeColor="accent2"/>
        </w:rPr>
        <w:t xml:space="preserve"> </w:t>
      </w:r>
      <w:r>
        <w:t>which</w:t>
      </w:r>
      <w:r w:rsidRPr="00900FD8">
        <w:t xml:space="preserve"> was prepared in accordance with the </w:t>
      </w:r>
      <w:r w:rsidRPr="00782F36">
        <w:t>ATO’s Tax Risk Management and Governance Review Guide</w:t>
      </w:r>
      <w:r>
        <w:t xml:space="preserve"> and is reviewed annually by the Board</w:t>
      </w:r>
      <w:r w:rsidRPr="00782F36">
        <w:t>.</w:t>
      </w:r>
      <w:r w:rsidRPr="00900FD8">
        <w:t xml:space="preserve"> </w:t>
      </w:r>
      <w:r>
        <w:t xml:space="preserve">The framework sets out the processes, roles, </w:t>
      </w:r>
      <w:r w:rsidR="00AE083E">
        <w:t>responsibilities,</w:t>
      </w:r>
      <w:r>
        <w:t xml:space="preserve"> and accountabilities to ensure a consistent and compliant approach across the group. JAS Ltd ensures its tax processes, systems and controls are robust through regular reviews and revisions where necessary. JAS Ltd has controls to test the integrity of tax data, a strong focus on technology to support tax compliance, and carries out regular tax due diligence and verification processes. </w:t>
      </w:r>
    </w:p>
    <w:p w14:paraId="2BF3868D" w14:textId="5D95AC73" w:rsidR="00973E6D" w:rsidRPr="006912C9" w:rsidRDefault="00F1754E" w:rsidP="006912C9">
      <w:pPr>
        <w:rPr>
          <w:color w:val="142147" w:themeColor="accent1"/>
        </w:rPr>
      </w:pPr>
      <w:r w:rsidRPr="0003634D">
        <w:rPr>
          <w:noProof/>
        </w:rPr>
        <w:drawing>
          <wp:inline distT="0" distB="0" distL="0" distR="0" wp14:anchorId="780922F1" wp14:editId="7AB4203F">
            <wp:extent cx="2729903" cy="2361537"/>
            <wp:effectExtent l="0" t="0" r="0" b="1270"/>
            <wp:docPr id="501227628" name="Picture 1" descr="Risk management process flow chart which starts with understanding the business environment, identifying risks, analysing risks, evaluating risks and treating risks. At each of these stages risks are communicated and consulted on and monitored and review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37817" name="Picture 1" descr="Risk management process flow chart which starts with understanding the business environment, identifying risks, analysing risks, evaluating risks and treating risks. At each of these stages risks are communicated and consulted on and monitored and reviewed. "/>
                    <pic:cNvPicPr/>
                  </pic:nvPicPr>
                  <pic:blipFill>
                    <a:blip r:embed="rId45">
                      <a:extLst>
                        <a:ext uri="{28A0092B-C50C-407E-A947-70E740481C1C}">
                          <a14:useLocalDpi xmlns:a14="http://schemas.microsoft.com/office/drawing/2010/main" val="0"/>
                        </a:ext>
                      </a:extLst>
                    </a:blip>
                    <a:stretch>
                      <a:fillRect/>
                    </a:stretch>
                  </pic:blipFill>
                  <pic:spPr>
                    <a:xfrm>
                      <a:off x="0" y="0"/>
                      <a:ext cx="2733996" cy="2365078"/>
                    </a:xfrm>
                    <a:prstGeom prst="rect">
                      <a:avLst/>
                    </a:prstGeom>
                  </pic:spPr>
                </pic:pic>
              </a:graphicData>
            </a:graphic>
          </wp:inline>
        </w:drawing>
      </w:r>
      <w:r w:rsidRPr="00F1754E">
        <w:rPr>
          <w:color w:val="142147" w:themeColor="accent1"/>
        </w:rPr>
        <w:t xml:space="preserve"> </w:t>
      </w:r>
      <w:r w:rsidRPr="00DF1BBF">
        <w:rPr>
          <w:noProof/>
          <w:color w:val="142147" w:themeColor="accent1"/>
        </w:rPr>
        <w:drawing>
          <wp:inline distT="0" distB="0" distL="0" distR="0" wp14:anchorId="0EEA2819" wp14:editId="41312B20">
            <wp:extent cx="3214768" cy="2282307"/>
            <wp:effectExtent l="0" t="0" r="5080" b="3810"/>
            <wp:docPr id="1248957923" name="Picture 1" descr="Pyramid Diagram showing escalation of tax matters from the base upwards: &#10;- Tax Business Unit&#10;- JAS Ltd Group Tax Manager &#10;- Executive General Manager, Finance Group&#10;- Chief Financial Officer&#10;- Audit and Risk Committee&#10;- JAS Lt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957923" name="Picture 1" descr="Pyramid Diagram showing escalation of tax matters from the base upwards: &#10;- Tax Business Unit&#10;- JAS Ltd Group Tax Manager &#10;- Executive General Manager, Finance Group&#10;- Chief Financial Officer&#10;- Audit and Risk Committee&#10;- JAS Ltd Board"/>
                    <pic:cNvPicPr/>
                  </pic:nvPicPr>
                  <pic:blipFill>
                    <a:blip r:embed="rId46">
                      <a:extLst>
                        <a:ext uri="{28A0092B-C50C-407E-A947-70E740481C1C}">
                          <a14:useLocalDpi xmlns:a14="http://schemas.microsoft.com/office/drawing/2010/main" val="0"/>
                        </a:ext>
                      </a:extLst>
                    </a:blip>
                    <a:stretch>
                      <a:fillRect/>
                    </a:stretch>
                  </pic:blipFill>
                  <pic:spPr>
                    <a:xfrm>
                      <a:off x="0" y="0"/>
                      <a:ext cx="3214768" cy="2282307"/>
                    </a:xfrm>
                    <a:prstGeom prst="rect">
                      <a:avLst/>
                    </a:prstGeom>
                  </pic:spPr>
                </pic:pic>
              </a:graphicData>
            </a:graphic>
          </wp:inline>
        </w:drawing>
      </w:r>
    </w:p>
    <w:p w14:paraId="776EE4EE" w14:textId="67874477" w:rsidR="00C3464D" w:rsidRPr="00C3464D" w:rsidRDefault="00C3464D" w:rsidP="00973E6D">
      <w:pPr>
        <w:pStyle w:val="TableHeading1"/>
      </w:pPr>
      <w:r w:rsidRPr="00C3464D">
        <w:t>Key elements of the JAS Ltd Tax Risk Management Framework</w:t>
      </w:r>
    </w:p>
    <w:tbl>
      <w:tblPr>
        <w:tblStyle w:val="ListTable3-Accent2"/>
        <w:tblW w:w="0" w:type="auto"/>
        <w:tblLook w:val="04A0" w:firstRow="1" w:lastRow="0" w:firstColumn="1" w:lastColumn="0" w:noHBand="0" w:noVBand="1"/>
      </w:tblPr>
      <w:tblGrid>
        <w:gridCol w:w="4815"/>
        <w:gridCol w:w="4816"/>
      </w:tblGrid>
      <w:tr w:rsidR="00C3464D" w14:paraId="13469EEB" w14:textId="77777777" w:rsidTr="002D3319">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4815" w:type="dxa"/>
            <w:tcBorders>
              <w:top w:val="single" w:sz="4" w:space="0" w:color="701F4D" w:themeColor="accent2"/>
              <w:bottom w:val="single" w:sz="4" w:space="0" w:color="701F4D" w:themeColor="accent2"/>
            </w:tcBorders>
            <w:shd w:val="clear" w:color="auto" w:fill="142147" w:themeFill="accent1"/>
            <w:vAlign w:val="center"/>
          </w:tcPr>
          <w:p w14:paraId="613A44E5" w14:textId="77777777" w:rsidR="00C3464D" w:rsidRPr="006912C9" w:rsidRDefault="00C3464D" w:rsidP="002D3319">
            <w:pPr>
              <w:pStyle w:val="TableHeaderCellLeft"/>
              <w:rPr>
                <w:sz w:val="24"/>
                <w:szCs w:val="24"/>
              </w:rPr>
            </w:pPr>
            <w:r w:rsidRPr="006912C9">
              <w:rPr>
                <w:sz w:val="24"/>
                <w:szCs w:val="24"/>
              </w:rPr>
              <w:t>Formal risk management mechanisms</w:t>
            </w:r>
          </w:p>
        </w:tc>
        <w:tc>
          <w:tcPr>
            <w:tcW w:w="4816" w:type="dxa"/>
            <w:tcBorders>
              <w:top w:val="single" w:sz="4" w:space="0" w:color="701F4D" w:themeColor="accent2"/>
              <w:bottom w:val="single" w:sz="4" w:space="0" w:color="701F4D" w:themeColor="accent2"/>
            </w:tcBorders>
            <w:shd w:val="clear" w:color="auto" w:fill="142147" w:themeFill="accent1"/>
            <w:vAlign w:val="center"/>
          </w:tcPr>
          <w:p w14:paraId="1371E40E" w14:textId="77777777" w:rsidR="00C3464D" w:rsidRPr="006912C9" w:rsidRDefault="00C3464D" w:rsidP="002D3319">
            <w:pPr>
              <w:pStyle w:val="TableHeaderCellLeft"/>
              <w:cnfStyle w:val="100000000000" w:firstRow="1" w:lastRow="0" w:firstColumn="0" w:lastColumn="0" w:oddVBand="0" w:evenVBand="0" w:oddHBand="0" w:evenHBand="0" w:firstRowFirstColumn="0" w:firstRowLastColumn="0" w:lastRowFirstColumn="0" w:lastRowLastColumn="0"/>
              <w:rPr>
                <w:sz w:val="24"/>
                <w:szCs w:val="24"/>
              </w:rPr>
            </w:pPr>
            <w:r w:rsidRPr="006912C9">
              <w:rPr>
                <w:sz w:val="24"/>
                <w:szCs w:val="24"/>
              </w:rPr>
              <w:t xml:space="preserve">Day-to-day risk management obligations </w:t>
            </w:r>
          </w:p>
        </w:tc>
      </w:tr>
      <w:tr w:rsidR="00C3464D" w14:paraId="321FF9F4" w14:textId="77777777" w:rsidTr="00E56C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Borders>
              <w:left w:val="single" w:sz="4" w:space="0" w:color="701F4D" w:themeColor="accent2"/>
              <w:right w:val="single" w:sz="4" w:space="0" w:color="701F4D"/>
            </w:tcBorders>
          </w:tcPr>
          <w:p w14:paraId="174B48D5" w14:textId="77777777" w:rsidR="00C3464D" w:rsidRPr="006912C9" w:rsidRDefault="00C3464D" w:rsidP="00973E6D">
            <w:pPr>
              <w:pStyle w:val="TableBodyCellLeft"/>
              <w:rPr>
                <w:rFonts w:cstheme="minorHAnsi"/>
                <w:b w:val="0"/>
                <w:bCs w:val="0"/>
                <w:sz w:val="22"/>
                <w:szCs w:val="22"/>
              </w:rPr>
            </w:pPr>
            <w:r w:rsidRPr="006912C9">
              <w:rPr>
                <w:rFonts w:cstheme="minorHAnsi"/>
                <w:b w:val="0"/>
                <w:bCs w:val="0"/>
                <w:sz w:val="22"/>
                <w:szCs w:val="22"/>
              </w:rPr>
              <w:t xml:space="preserve">Enterprise Risk Management Framework </w:t>
            </w:r>
          </w:p>
        </w:tc>
        <w:tc>
          <w:tcPr>
            <w:tcW w:w="4816" w:type="dxa"/>
            <w:tcBorders>
              <w:left w:val="single" w:sz="4" w:space="0" w:color="701F4D"/>
              <w:right w:val="single" w:sz="4" w:space="0" w:color="701F4D" w:themeColor="accent2"/>
            </w:tcBorders>
          </w:tcPr>
          <w:p w14:paraId="3E35D458" w14:textId="77777777" w:rsidR="00C3464D" w:rsidRPr="006912C9" w:rsidRDefault="00C3464D" w:rsidP="00973E6D">
            <w:pPr>
              <w:pStyle w:val="TableBodyCellLeft"/>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6912C9">
              <w:rPr>
                <w:rFonts w:cstheme="minorHAnsi"/>
                <w:sz w:val="22"/>
                <w:szCs w:val="22"/>
              </w:rPr>
              <w:t xml:space="preserve">Provide appropriately resources tax function with experienced professionals </w:t>
            </w:r>
          </w:p>
        </w:tc>
      </w:tr>
      <w:tr w:rsidR="00C3464D" w14:paraId="073532EA" w14:textId="77777777" w:rsidTr="00E56C5A">
        <w:trPr>
          <w:trHeight w:val="567"/>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701F4D" w:themeColor="accent2"/>
              <w:left w:val="single" w:sz="4" w:space="0" w:color="701F4D" w:themeColor="accent2"/>
              <w:bottom w:val="single" w:sz="4" w:space="0" w:color="701F4D" w:themeColor="accent2"/>
              <w:right w:val="single" w:sz="4" w:space="0" w:color="701F4D"/>
            </w:tcBorders>
          </w:tcPr>
          <w:p w14:paraId="0FC4D225" w14:textId="77777777" w:rsidR="00C3464D" w:rsidRPr="006912C9" w:rsidRDefault="00C3464D" w:rsidP="00973E6D">
            <w:pPr>
              <w:pStyle w:val="TableBodyCellLeft"/>
              <w:rPr>
                <w:rFonts w:cstheme="minorHAnsi"/>
                <w:b w:val="0"/>
                <w:bCs w:val="0"/>
                <w:sz w:val="22"/>
                <w:szCs w:val="22"/>
              </w:rPr>
            </w:pPr>
            <w:r w:rsidRPr="006912C9">
              <w:rPr>
                <w:rFonts w:cstheme="minorHAnsi"/>
                <w:b w:val="0"/>
                <w:bCs w:val="0"/>
                <w:sz w:val="22"/>
                <w:szCs w:val="22"/>
              </w:rPr>
              <w:t xml:space="preserve">Risk Appetite Statement </w:t>
            </w:r>
          </w:p>
        </w:tc>
        <w:tc>
          <w:tcPr>
            <w:tcW w:w="4816" w:type="dxa"/>
            <w:tcBorders>
              <w:top w:val="single" w:sz="4" w:space="0" w:color="701F4D" w:themeColor="accent2"/>
              <w:left w:val="single" w:sz="4" w:space="0" w:color="701F4D"/>
              <w:bottom w:val="single" w:sz="4" w:space="0" w:color="701F4D" w:themeColor="accent2"/>
              <w:right w:val="single" w:sz="4" w:space="0" w:color="701F4D" w:themeColor="accent2"/>
            </w:tcBorders>
          </w:tcPr>
          <w:p w14:paraId="0CBE9A61" w14:textId="2C946BBB" w:rsidR="00C3464D" w:rsidRPr="006912C9" w:rsidRDefault="00C3464D" w:rsidP="00973E6D">
            <w:pPr>
              <w:pStyle w:val="TableBodyCel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912C9">
              <w:rPr>
                <w:rFonts w:cstheme="minorHAnsi"/>
                <w:sz w:val="22"/>
                <w:szCs w:val="22"/>
              </w:rPr>
              <w:t xml:space="preserve">Implement mechanisms to measure significant transactions, </w:t>
            </w:r>
            <w:r w:rsidR="00AE083E" w:rsidRPr="006912C9">
              <w:rPr>
                <w:rFonts w:cstheme="minorHAnsi"/>
                <w:sz w:val="22"/>
                <w:szCs w:val="22"/>
              </w:rPr>
              <w:t>materiality,</w:t>
            </w:r>
            <w:r w:rsidRPr="006912C9">
              <w:rPr>
                <w:rFonts w:cstheme="minorHAnsi"/>
                <w:sz w:val="22"/>
                <w:szCs w:val="22"/>
              </w:rPr>
              <w:t xml:space="preserve"> and risk</w:t>
            </w:r>
          </w:p>
        </w:tc>
      </w:tr>
      <w:tr w:rsidR="00C3464D" w14:paraId="543CA887" w14:textId="77777777" w:rsidTr="00E56C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Borders>
              <w:left w:val="single" w:sz="4" w:space="0" w:color="701F4D" w:themeColor="accent2"/>
              <w:right w:val="single" w:sz="4" w:space="0" w:color="701F4D"/>
            </w:tcBorders>
          </w:tcPr>
          <w:p w14:paraId="1EEEECEA" w14:textId="77777777" w:rsidR="00C3464D" w:rsidRPr="006912C9" w:rsidRDefault="00C3464D" w:rsidP="00973E6D">
            <w:pPr>
              <w:pStyle w:val="TableBodyCellLeft"/>
              <w:rPr>
                <w:rFonts w:cstheme="minorHAnsi"/>
                <w:b w:val="0"/>
                <w:bCs w:val="0"/>
                <w:sz w:val="22"/>
                <w:szCs w:val="22"/>
              </w:rPr>
            </w:pPr>
            <w:r w:rsidRPr="006912C9">
              <w:rPr>
                <w:rFonts w:cstheme="minorHAnsi"/>
                <w:b w:val="0"/>
                <w:bCs w:val="0"/>
                <w:sz w:val="22"/>
                <w:szCs w:val="22"/>
              </w:rPr>
              <w:t xml:space="preserve">Corporate Governance Statement </w:t>
            </w:r>
          </w:p>
        </w:tc>
        <w:tc>
          <w:tcPr>
            <w:tcW w:w="4816" w:type="dxa"/>
            <w:tcBorders>
              <w:left w:val="single" w:sz="4" w:space="0" w:color="701F4D"/>
              <w:right w:val="single" w:sz="4" w:space="0" w:color="701F4D" w:themeColor="accent2"/>
            </w:tcBorders>
          </w:tcPr>
          <w:p w14:paraId="4F037F6F" w14:textId="77777777" w:rsidR="00C3464D" w:rsidRPr="006912C9" w:rsidRDefault="00C3464D" w:rsidP="00973E6D">
            <w:pPr>
              <w:pStyle w:val="TableBodyCellLeft"/>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6912C9">
              <w:rPr>
                <w:rFonts w:cstheme="minorHAnsi"/>
                <w:sz w:val="22"/>
                <w:szCs w:val="22"/>
              </w:rPr>
              <w:t xml:space="preserve">Provide tax engagement protocols </w:t>
            </w:r>
          </w:p>
        </w:tc>
      </w:tr>
      <w:tr w:rsidR="00C3464D" w14:paraId="1B9650C5" w14:textId="77777777" w:rsidTr="00E56C5A">
        <w:trPr>
          <w:trHeight w:val="567"/>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701F4D" w:themeColor="accent2"/>
              <w:left w:val="single" w:sz="4" w:space="0" w:color="701F4D" w:themeColor="accent2"/>
              <w:bottom w:val="single" w:sz="4" w:space="0" w:color="701F4D" w:themeColor="accent2"/>
              <w:right w:val="single" w:sz="4" w:space="0" w:color="701F4D"/>
            </w:tcBorders>
          </w:tcPr>
          <w:p w14:paraId="361A2FC4" w14:textId="77777777" w:rsidR="00C3464D" w:rsidRPr="006912C9" w:rsidRDefault="00C3464D" w:rsidP="00973E6D">
            <w:pPr>
              <w:pStyle w:val="TableBodyCellLeft"/>
              <w:rPr>
                <w:rFonts w:cstheme="minorHAnsi"/>
                <w:b w:val="0"/>
                <w:bCs w:val="0"/>
                <w:sz w:val="22"/>
                <w:szCs w:val="22"/>
              </w:rPr>
            </w:pPr>
            <w:r w:rsidRPr="006912C9">
              <w:rPr>
                <w:rFonts w:cstheme="minorHAnsi"/>
                <w:b w:val="0"/>
                <w:bCs w:val="0"/>
                <w:sz w:val="22"/>
                <w:szCs w:val="22"/>
              </w:rPr>
              <w:t xml:space="preserve">Tax guidelines relating to taxes, tax concessions and relationships with regulators </w:t>
            </w:r>
          </w:p>
        </w:tc>
        <w:tc>
          <w:tcPr>
            <w:tcW w:w="4816" w:type="dxa"/>
            <w:tcBorders>
              <w:top w:val="single" w:sz="4" w:space="0" w:color="701F4D" w:themeColor="accent2"/>
              <w:left w:val="single" w:sz="4" w:space="0" w:color="701F4D"/>
              <w:bottom w:val="single" w:sz="4" w:space="0" w:color="701F4D" w:themeColor="accent2"/>
              <w:right w:val="single" w:sz="4" w:space="0" w:color="701F4D" w:themeColor="accent2"/>
            </w:tcBorders>
          </w:tcPr>
          <w:p w14:paraId="25A73B2F" w14:textId="77777777" w:rsidR="00C3464D" w:rsidRPr="006912C9" w:rsidRDefault="00C3464D" w:rsidP="00973E6D">
            <w:pPr>
              <w:pStyle w:val="TableBodyCel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912C9">
              <w:rPr>
                <w:rFonts w:cstheme="minorHAnsi"/>
                <w:sz w:val="22"/>
                <w:szCs w:val="22"/>
              </w:rPr>
              <w:t>Engage external tax advisors where necessary</w:t>
            </w:r>
          </w:p>
        </w:tc>
      </w:tr>
      <w:tr w:rsidR="00C3464D" w14:paraId="690486BA" w14:textId="77777777" w:rsidTr="00E56C5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Borders>
              <w:left w:val="single" w:sz="4" w:space="0" w:color="701F4D" w:themeColor="accent2"/>
              <w:right w:val="single" w:sz="4" w:space="0" w:color="701F4D"/>
            </w:tcBorders>
          </w:tcPr>
          <w:p w14:paraId="70A54F1C" w14:textId="77777777" w:rsidR="00C3464D" w:rsidRPr="006912C9" w:rsidRDefault="00C3464D" w:rsidP="00973E6D">
            <w:pPr>
              <w:pStyle w:val="TableBodyCellLeft"/>
              <w:rPr>
                <w:rFonts w:cstheme="minorHAnsi"/>
                <w:b w:val="0"/>
                <w:bCs w:val="0"/>
                <w:sz w:val="22"/>
                <w:szCs w:val="22"/>
              </w:rPr>
            </w:pPr>
            <w:r w:rsidRPr="006912C9">
              <w:rPr>
                <w:rFonts w:cstheme="minorHAnsi"/>
                <w:b w:val="0"/>
                <w:bCs w:val="0"/>
                <w:sz w:val="22"/>
                <w:szCs w:val="22"/>
              </w:rPr>
              <w:t>Significant Transaction Identification and Tax Risk Escalation Guideline</w:t>
            </w:r>
          </w:p>
        </w:tc>
        <w:tc>
          <w:tcPr>
            <w:tcW w:w="4816" w:type="dxa"/>
            <w:tcBorders>
              <w:left w:val="single" w:sz="4" w:space="0" w:color="701F4D"/>
              <w:right w:val="single" w:sz="4" w:space="0" w:color="701F4D" w:themeColor="accent2"/>
            </w:tcBorders>
          </w:tcPr>
          <w:p w14:paraId="10D8D232" w14:textId="77777777" w:rsidR="00C3464D" w:rsidRPr="006912C9" w:rsidRDefault="00C3464D" w:rsidP="00973E6D">
            <w:pPr>
              <w:pStyle w:val="TableBodyCellLeft"/>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6912C9">
              <w:rPr>
                <w:rFonts w:cstheme="minorHAnsi"/>
                <w:sz w:val="22"/>
                <w:szCs w:val="22"/>
              </w:rPr>
              <w:t xml:space="preserve">Obtain tax rulings or advice from tax authorities on complex or uncertain areas of the law. </w:t>
            </w:r>
          </w:p>
        </w:tc>
      </w:tr>
      <w:tr w:rsidR="00C3464D" w14:paraId="642623E3" w14:textId="77777777" w:rsidTr="00E56C5A">
        <w:trPr>
          <w:trHeight w:val="567"/>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701F4D" w:themeColor="accent2"/>
              <w:left w:val="single" w:sz="4" w:space="0" w:color="701F4D" w:themeColor="accent2"/>
              <w:bottom w:val="single" w:sz="4" w:space="0" w:color="701F4D" w:themeColor="accent2"/>
              <w:right w:val="single" w:sz="4" w:space="0" w:color="701F4D"/>
            </w:tcBorders>
          </w:tcPr>
          <w:p w14:paraId="6DB1811B" w14:textId="77777777" w:rsidR="00C3464D" w:rsidRPr="006912C9" w:rsidRDefault="00C3464D" w:rsidP="00973E6D">
            <w:pPr>
              <w:pStyle w:val="TableBodyCellLeft"/>
              <w:rPr>
                <w:rFonts w:cstheme="minorHAnsi"/>
                <w:b w:val="0"/>
                <w:bCs w:val="0"/>
                <w:sz w:val="22"/>
                <w:szCs w:val="22"/>
              </w:rPr>
            </w:pPr>
            <w:r w:rsidRPr="006912C9">
              <w:rPr>
                <w:rFonts w:cstheme="minorHAnsi"/>
                <w:b w:val="0"/>
                <w:bCs w:val="0"/>
                <w:sz w:val="22"/>
                <w:szCs w:val="22"/>
              </w:rPr>
              <w:t xml:space="preserve">Quarterly tax compliance papers submitted to the Audit and Risk Committee </w:t>
            </w:r>
          </w:p>
        </w:tc>
        <w:tc>
          <w:tcPr>
            <w:tcW w:w="4816" w:type="dxa"/>
            <w:tcBorders>
              <w:top w:val="single" w:sz="4" w:space="0" w:color="701F4D" w:themeColor="accent2"/>
              <w:left w:val="single" w:sz="4" w:space="0" w:color="701F4D"/>
              <w:bottom w:val="single" w:sz="4" w:space="0" w:color="701F4D" w:themeColor="accent2"/>
              <w:right w:val="single" w:sz="4" w:space="0" w:color="701F4D" w:themeColor="accent2"/>
            </w:tcBorders>
          </w:tcPr>
          <w:p w14:paraId="4DB2EC75" w14:textId="77777777" w:rsidR="00C3464D" w:rsidRPr="006912C9" w:rsidRDefault="00C3464D" w:rsidP="00973E6D">
            <w:pPr>
              <w:pStyle w:val="TableBodyCellLef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bl>
    <w:p w14:paraId="68554998" w14:textId="77777777" w:rsidR="00973E6D" w:rsidRDefault="00973E6D">
      <w:pPr>
        <w:rPr>
          <w:rFonts w:ascii="Georgia" w:hAnsi="Georgia" w:cs="Arial"/>
          <w:color w:val="432B73"/>
          <w:kern w:val="32"/>
          <w:sz w:val="34"/>
          <w:szCs w:val="26"/>
          <w14:numForm w14:val="lining"/>
          <w14:numSpacing w14:val="proportional"/>
        </w:rPr>
      </w:pPr>
      <w:r>
        <w:br w:type="page"/>
      </w:r>
    </w:p>
    <w:p w14:paraId="678486EE" w14:textId="45A1B97A" w:rsidR="00BD4078" w:rsidRDefault="00BD4078" w:rsidP="00BD4078">
      <w:pPr>
        <w:pStyle w:val="Heading3"/>
      </w:pPr>
      <w:r>
        <w:lastRenderedPageBreak/>
        <w:t>Stakeholder engagement and management of concerns related to tax</w:t>
      </w:r>
    </w:p>
    <w:p w14:paraId="73B9653F" w14:textId="2669CB35" w:rsidR="00801EA4" w:rsidRPr="00801EA4" w:rsidRDefault="00801EA4" w:rsidP="00801EA4">
      <w:pPr>
        <w:pStyle w:val="Heading4"/>
      </w:pPr>
      <w:r>
        <w:t>Optional elements</w:t>
      </w:r>
    </w:p>
    <w:p w14:paraId="05743745" w14:textId="77777777" w:rsidR="00801EA4" w:rsidRPr="00FD2480" w:rsidRDefault="00801EA4" w:rsidP="00975857">
      <w:r w:rsidRPr="00FD2480">
        <w:t xml:space="preserve">[Provide a description of its approach to </w:t>
      </w:r>
      <w:r w:rsidRPr="008C38C1">
        <w:t>engagement</w:t>
      </w:r>
      <w:r w:rsidRPr="00FD2480">
        <w:t xml:space="preserve"> with the ATO. This may include: </w:t>
      </w:r>
    </w:p>
    <w:p w14:paraId="5679161A" w14:textId="7AA7B118" w:rsidR="00801EA4" w:rsidRPr="00FD2480" w:rsidRDefault="00801EA4" w:rsidP="00D9211C">
      <w:pPr>
        <w:pStyle w:val="NumberedParagraphroman"/>
        <w:numPr>
          <w:ilvl w:val="5"/>
          <w:numId w:val="63"/>
        </w:numPr>
        <w:ind w:left="1701"/>
      </w:pPr>
      <w:r w:rsidRPr="00FD2480">
        <w:t>the assurance regimes the entity is subject to, including any outcomes from assurance regimes, for example, internal audit, external audit, Advance Pricing Arrangements (APAs), Annual Compliance Arrangement (ACA), Justified Trust reviews and ATO pre-</w:t>
      </w:r>
      <w:r w:rsidR="007F1D2E" w:rsidRPr="00FD2480">
        <w:t>lodgement</w:t>
      </w:r>
      <w:r w:rsidRPr="00FD2480">
        <w:t xml:space="preserve"> compliance reviews</w:t>
      </w:r>
      <w:r w:rsidR="00212D03">
        <w:t>.</w:t>
      </w:r>
    </w:p>
    <w:p w14:paraId="7E51BA95" w14:textId="6535DC01" w:rsidR="00801EA4" w:rsidRPr="00FD2480" w:rsidRDefault="00801EA4" w:rsidP="00276945">
      <w:pPr>
        <w:pStyle w:val="NumberedParagraphroman"/>
        <w:ind w:left="1701"/>
      </w:pPr>
      <w:r w:rsidRPr="00FD2480">
        <w:t xml:space="preserve">engagement on tax risks including private binding rulings obtained, cooperative compliance agreements, seeking active real-time audit, seeking clearance for significant transactions and </w:t>
      </w:r>
      <w:r w:rsidR="00941511" w:rsidRPr="00FD2480">
        <w:t>APAs</w:t>
      </w:r>
      <w:r w:rsidRPr="00FD2480">
        <w:t xml:space="preserve"> sought</w:t>
      </w:r>
      <w:r w:rsidR="00212D03">
        <w:t>.</w:t>
      </w:r>
    </w:p>
    <w:p w14:paraId="206FEFD9" w14:textId="0DBDA896" w:rsidR="00801EA4" w:rsidRPr="00FD2480" w:rsidRDefault="00801EA4" w:rsidP="00276945">
      <w:pPr>
        <w:pStyle w:val="NumberedParagraphroman"/>
        <w:ind w:left="1701"/>
      </w:pPr>
      <w:r w:rsidRPr="00FD2480">
        <w:t>the outcome of ATO compliance activities, for example, a ‘risk rating’ or the outcome of a streamlined risk review</w:t>
      </w:r>
      <w:r w:rsidR="00212D03">
        <w:t>.</w:t>
      </w:r>
    </w:p>
    <w:p w14:paraId="29943DA0" w14:textId="77777777" w:rsidR="00E70B94" w:rsidRPr="00FD2480" w:rsidRDefault="00E70B94" w:rsidP="00276945">
      <w:pPr>
        <w:pStyle w:val="NumberedParagraphroman"/>
        <w:ind w:left="1701"/>
      </w:pPr>
      <w:r w:rsidRPr="00FD2480">
        <w:t xml:space="preserve">any significant ongoing or recently settled tax disputes with the ATO and/or other revenue authorities, including settlement outcomes, to the extent not already disclosed in financial statements. </w:t>
      </w:r>
    </w:p>
    <w:p w14:paraId="221C6E78" w14:textId="585CB7ED" w:rsidR="00801EA4" w:rsidRPr="00FD2480" w:rsidRDefault="00801EA4" w:rsidP="00975857">
      <w:r w:rsidRPr="00FD2480">
        <w:t xml:space="preserve">Provide a description of its </w:t>
      </w:r>
      <w:r w:rsidRPr="008C38C1">
        <w:t>approach</w:t>
      </w:r>
      <w:r w:rsidRPr="00FD2480">
        <w:t xml:space="preserve"> to engagement with other tax authorities]</w:t>
      </w:r>
    </w:p>
    <w:p w14:paraId="37C6C0CC" w14:textId="77777777" w:rsidR="00801EA4" w:rsidRPr="002811FB" w:rsidRDefault="00801EA4" w:rsidP="008C38C1">
      <w:pPr>
        <w:pStyle w:val="Heading4"/>
      </w:pPr>
      <w:r w:rsidRPr="002811FB">
        <w:t xml:space="preserve">Engagement with </w:t>
      </w:r>
      <w:r>
        <w:t>tax authorities</w:t>
      </w:r>
    </w:p>
    <w:p w14:paraId="5EDF10DC" w14:textId="2DC7A2A2" w:rsidR="00801EA4" w:rsidRDefault="00801EA4" w:rsidP="00975857">
      <w:r>
        <w:t xml:space="preserve">JAS Ltd recognises the role of tax authorities in administering tax laws and is committed to maintaining an open, </w:t>
      </w:r>
      <w:r w:rsidR="00AE083E">
        <w:t>constructive,</w:t>
      </w:r>
      <w:r>
        <w:t xml:space="preserve"> and transparent relationship with tax authorities. JAS Ltd is committed to maintaining good compliance and mitigating tax risks. We recognise that on occasion there will be differences in interpretation of the laws where the tax treatment of certain activities and transactions is unclear. For transactions which present as non-routine, or unclear JAS Ltd seeks tax certainty, and utilises Private Binding Rulings where appropriate. </w:t>
      </w:r>
      <w:r w:rsidRPr="32AB3811">
        <w:rPr>
          <w:rFonts w:cstheme="minorBidi"/>
        </w:rPr>
        <w:t xml:space="preserve">In the event of any disputes, we will maintain an open and constructive relationship with tax authorities to achieve a mutually acceptable resolution. </w:t>
      </w:r>
    </w:p>
    <w:p w14:paraId="34F564F8" w14:textId="77777777" w:rsidR="008C38C1" w:rsidRDefault="008C38C1">
      <w:pPr>
        <w:rPr>
          <w:rFonts w:ascii="Georgia" w:hAnsi="Georgia" w:cs="Arial"/>
          <w:kern w:val="32"/>
          <w:sz w:val="28"/>
          <w:szCs w:val="26"/>
          <w14:numForm w14:val="lining"/>
          <w14:numSpacing w14:val="proportional"/>
        </w:rPr>
      </w:pPr>
      <w:r>
        <w:br w:type="page"/>
      </w:r>
    </w:p>
    <w:p w14:paraId="2E96B9AA" w14:textId="69607856" w:rsidR="00801EA4" w:rsidRPr="009B7A7F" w:rsidRDefault="00801EA4" w:rsidP="008C38C1">
      <w:pPr>
        <w:pStyle w:val="Heading4"/>
      </w:pPr>
      <w:r w:rsidRPr="009B7A7F">
        <w:lastRenderedPageBreak/>
        <w:t xml:space="preserve">Engagement with the ATO </w:t>
      </w:r>
    </w:p>
    <w:p w14:paraId="31DF53A3" w14:textId="212DE6F7" w:rsidR="00F1754E" w:rsidRDefault="00801EA4" w:rsidP="00E722FC">
      <w:r>
        <w:t xml:space="preserve">We correspond with the ATO to explain any relevant tax issues and risks that arise. We seek to resolve any differences firstly through professional and transparent discussions, during the ATO’s </w:t>
      </w:r>
      <w:r w:rsidRPr="009B1DC5">
        <w:t>Pre-</w:t>
      </w:r>
      <w:r w:rsidR="007F1D2E" w:rsidRPr="009B1DC5">
        <w:t>lodgement</w:t>
      </w:r>
      <w:r w:rsidRPr="009B1DC5">
        <w:t xml:space="preserve"> Compliance Review Program</w:t>
      </w:r>
      <w:r>
        <w:t xml:space="preserve">, </w:t>
      </w:r>
      <w:r w:rsidRPr="00AF4A0B">
        <w:t xml:space="preserve">targeted at Australia’s top taxpayers. This involves ongoing real-time discussions with the ATO regarding significant transactions and/or tax positions adopted on specific matters. </w:t>
      </w:r>
    </w:p>
    <w:p w14:paraId="08C1791B" w14:textId="77777777" w:rsidR="00801EA4" w:rsidRDefault="00801EA4" w:rsidP="00E722FC">
      <w:r w:rsidRPr="00AF4A0B">
        <w:t>JAS Ltd work</w:t>
      </w:r>
      <w:r>
        <w:t>s</w:t>
      </w:r>
      <w:r w:rsidRPr="00AF4A0B">
        <w:t xml:space="preserve"> closely with the ATO under </w:t>
      </w:r>
      <w:r>
        <w:t>their</w:t>
      </w:r>
      <w:r w:rsidRPr="00AF4A0B">
        <w:t xml:space="preserve"> </w:t>
      </w:r>
      <w:r>
        <w:t xml:space="preserve">Top 100 </w:t>
      </w:r>
      <w:r w:rsidRPr="00AF4A0B">
        <w:t>justified trust program. As part of this program, the ATO seeks to obtain a greater level of assurance that taxpayers are paying the ‘right amount of tax’ in accordance with the tax laws</w:t>
      </w:r>
      <w:r>
        <w:t>. JAS Ltd</w:t>
      </w:r>
      <w:r w:rsidRPr="00AF4A0B">
        <w:t xml:space="preserve"> </w:t>
      </w:r>
      <w:r>
        <w:t>has maintained a</w:t>
      </w:r>
      <w:r w:rsidRPr="00AF4A0B">
        <w:t xml:space="preserve"> ‘High Assurance’ </w:t>
      </w:r>
      <w:r>
        <w:t>rating since the 2018</w:t>
      </w:r>
      <w:r w:rsidRPr="00AF4A0B">
        <w:t xml:space="preserve"> financial year</w:t>
      </w:r>
      <w:r>
        <w:t xml:space="preserve">, meaning </w:t>
      </w:r>
      <w:r w:rsidRPr="00AF4A0B">
        <w:t xml:space="preserve">the ATO </w:t>
      </w:r>
      <w:r>
        <w:t xml:space="preserve">has </w:t>
      </w:r>
      <w:r w:rsidRPr="00AF4A0B">
        <w:t>obtained sufficient objective evidence to conclude that JAS Ltd paid the correct amount of income tax.</w:t>
      </w:r>
    </w:p>
    <w:p w14:paraId="1C46448C" w14:textId="353D2E12" w:rsidR="00F1754E" w:rsidRDefault="00F1754E" w:rsidP="00212D03">
      <w:pPr>
        <w:pStyle w:val="Bullet"/>
        <w:numPr>
          <w:ilvl w:val="0"/>
          <w:numId w:val="0"/>
        </w:numPr>
        <w:spacing w:before="0"/>
        <w:ind w:left="520" w:hanging="520"/>
        <w:rPr>
          <w:rFonts w:asciiTheme="minorHAnsi" w:hAnsiTheme="minorHAnsi" w:cstheme="minorHAnsi"/>
          <w:color w:val="142147" w:themeColor="accent1"/>
        </w:rPr>
      </w:pPr>
      <w:r>
        <w:rPr>
          <w:rFonts w:asciiTheme="minorHAnsi" w:hAnsiTheme="minorHAnsi" w:cstheme="minorHAnsi"/>
          <w:b/>
          <w:bCs/>
          <w:noProof/>
          <w:color w:val="142147" w:themeColor="accent1"/>
        </w:rPr>
        <mc:AlternateContent>
          <mc:Choice Requires="wps">
            <w:drawing>
              <wp:inline distT="0" distB="0" distL="0" distR="0" wp14:anchorId="071D42E8" wp14:editId="07AD54E7">
                <wp:extent cx="6064628" cy="1449827"/>
                <wp:effectExtent l="19050" t="19050" r="12700" b="17145"/>
                <wp:docPr id="1272723829" name="Text Box 13" descr="A box showing the different types of engagement JAS Ltd can make with the ATO, including:&#10;- ATO pre-lodgement compliance program &#10;- High-assurance under the ATO justified trust program&#10;- Actively seeks ATO advice via Private Binding Rulings and makes Voluntary Disclosures"/>
                <wp:cNvGraphicFramePr/>
                <a:graphic xmlns:a="http://schemas.openxmlformats.org/drawingml/2006/main">
                  <a:graphicData uri="http://schemas.microsoft.com/office/word/2010/wordprocessingShape">
                    <wps:wsp>
                      <wps:cNvSpPr txBox="1"/>
                      <wps:spPr>
                        <a:xfrm>
                          <a:off x="0" y="0"/>
                          <a:ext cx="6064628" cy="1449827"/>
                        </a:xfrm>
                        <a:prstGeom prst="rect">
                          <a:avLst/>
                        </a:prstGeom>
                        <a:solidFill>
                          <a:schemeClr val="accent3"/>
                        </a:solidFill>
                        <a:ln w="28575">
                          <a:solidFill>
                            <a:schemeClr val="accent2"/>
                          </a:solidFill>
                        </a:ln>
                      </wps:spPr>
                      <wps:txbx>
                        <w:txbxContent>
                          <w:p w14:paraId="417CFB9F" w14:textId="77777777" w:rsidR="00F1754E" w:rsidRPr="00261565" w:rsidRDefault="00F1754E" w:rsidP="00A27A6E">
                            <w:pPr>
                              <w:ind w:left="255" w:hanging="255"/>
                              <w:rPr>
                                <w:rFonts w:asciiTheme="majorHAnsi" w:hAnsiTheme="majorHAnsi" w:cs="Segoe UI Symbol"/>
                                <w:b/>
                                <w:bCs/>
                                <w:color w:val="142147" w:themeColor="accent1"/>
                                <w:sz w:val="20"/>
                                <w:szCs w:val="20"/>
                              </w:rPr>
                            </w:pPr>
                            <w:r w:rsidRPr="00E961EE">
                              <w:rPr>
                                <w:rFonts w:ascii="Segoe UI Symbol" w:hAnsi="Segoe UI Symbol" w:cs="Segoe UI Symbol"/>
                                <w:b/>
                                <w:bCs/>
                                <w:color w:val="142147" w:themeColor="accent1"/>
                                <w:sz w:val="24"/>
                                <w:szCs w:val="24"/>
                              </w:rPr>
                              <w:t xml:space="preserve">✔ </w:t>
                            </w:r>
                            <w:r w:rsidRPr="00E961EE">
                              <w:rPr>
                                <w:rFonts w:asciiTheme="majorHAnsi" w:hAnsiTheme="majorHAnsi" w:cs="Segoe UI Symbol"/>
                                <w:b/>
                                <w:bCs/>
                                <w:color w:val="142147" w:themeColor="accent1"/>
                                <w:sz w:val="20"/>
                                <w:szCs w:val="20"/>
                              </w:rPr>
                              <w:t>ATO pre-lodgement compliance program</w:t>
                            </w:r>
                          </w:p>
                          <w:p w14:paraId="72CDEB95" w14:textId="77777777" w:rsidR="00F1754E" w:rsidRPr="00261565" w:rsidRDefault="00F1754E" w:rsidP="00A27A6E">
                            <w:pPr>
                              <w:ind w:left="255" w:hanging="255"/>
                              <w:rPr>
                                <w:rFonts w:asciiTheme="majorHAnsi" w:hAnsiTheme="majorHAnsi" w:cs="Segoe UI Symbol"/>
                                <w:b/>
                                <w:bCs/>
                                <w:color w:val="142147" w:themeColor="accent1"/>
                                <w:sz w:val="20"/>
                                <w:szCs w:val="20"/>
                              </w:rPr>
                            </w:pPr>
                            <w:r w:rsidRPr="00E961EE">
                              <w:rPr>
                                <w:rFonts w:ascii="Segoe UI Symbol" w:hAnsi="Segoe UI Symbol" w:cs="Segoe UI Symbol"/>
                                <w:b/>
                                <w:bCs/>
                                <w:color w:val="142147" w:themeColor="accent1"/>
                                <w:sz w:val="24"/>
                                <w:szCs w:val="24"/>
                              </w:rPr>
                              <w:t xml:space="preserve">✔ </w:t>
                            </w:r>
                            <w:r w:rsidRPr="00E961EE">
                              <w:rPr>
                                <w:rFonts w:asciiTheme="majorHAnsi" w:hAnsiTheme="majorHAnsi" w:cs="Segoe UI Symbol"/>
                                <w:b/>
                                <w:bCs/>
                                <w:color w:val="142147" w:themeColor="accent1"/>
                                <w:sz w:val="20"/>
                                <w:szCs w:val="20"/>
                              </w:rPr>
                              <w:t>‘High assurance’ under the ATO</w:t>
                            </w:r>
                            <w:r w:rsidRPr="00A27A6E">
                              <w:rPr>
                                <w:rFonts w:asciiTheme="majorHAnsi" w:hAnsiTheme="majorHAnsi" w:cs="Segoe UI Symbol"/>
                                <w:b/>
                                <w:bCs/>
                                <w:color w:val="142147" w:themeColor="accent1"/>
                                <w:sz w:val="20"/>
                                <w:szCs w:val="20"/>
                              </w:rPr>
                              <w:t xml:space="preserve"> </w:t>
                            </w:r>
                            <w:r w:rsidRPr="00E961EE">
                              <w:rPr>
                                <w:rFonts w:asciiTheme="majorHAnsi" w:hAnsiTheme="majorHAnsi" w:cs="Segoe UI Symbol"/>
                                <w:b/>
                                <w:bCs/>
                                <w:color w:val="142147" w:themeColor="accent1"/>
                                <w:sz w:val="20"/>
                                <w:szCs w:val="20"/>
                              </w:rPr>
                              <w:t>justified trust program</w:t>
                            </w:r>
                          </w:p>
                          <w:p w14:paraId="60D3B7C0" w14:textId="77777777" w:rsidR="00F1754E" w:rsidRPr="00261565" w:rsidRDefault="00F1754E" w:rsidP="00A27A6E">
                            <w:pPr>
                              <w:ind w:left="255" w:hanging="255"/>
                              <w:rPr>
                                <w:rFonts w:asciiTheme="majorHAnsi" w:hAnsiTheme="majorHAnsi" w:cs="Segoe UI Symbol"/>
                                <w:b/>
                                <w:bCs/>
                                <w:color w:val="142147" w:themeColor="accent1"/>
                              </w:rPr>
                            </w:pPr>
                            <w:r w:rsidRPr="00E961EE">
                              <w:rPr>
                                <w:rFonts w:ascii="Segoe UI Symbol" w:hAnsi="Segoe UI Symbol" w:cs="Segoe UI Symbol"/>
                                <w:b/>
                                <w:bCs/>
                                <w:color w:val="142147" w:themeColor="accent1"/>
                                <w:sz w:val="24"/>
                                <w:szCs w:val="24"/>
                              </w:rPr>
                              <w:t xml:space="preserve">✔ </w:t>
                            </w:r>
                            <w:r w:rsidRPr="00217F01">
                              <w:rPr>
                                <w:rFonts w:asciiTheme="majorHAnsi" w:hAnsiTheme="majorHAnsi" w:cs="Segoe UI Symbol"/>
                                <w:b/>
                                <w:bCs/>
                                <w:color w:val="142147" w:themeColor="accent1"/>
                                <w:sz w:val="20"/>
                                <w:szCs w:val="20"/>
                              </w:rPr>
                              <w:t>Actively seek</w:t>
                            </w:r>
                            <w:r>
                              <w:rPr>
                                <w:rFonts w:asciiTheme="majorHAnsi" w:hAnsiTheme="majorHAnsi" w:cs="Segoe UI Symbol"/>
                                <w:b/>
                                <w:bCs/>
                                <w:color w:val="142147" w:themeColor="accent1"/>
                                <w:sz w:val="20"/>
                                <w:szCs w:val="20"/>
                              </w:rPr>
                              <w:t>s</w:t>
                            </w:r>
                            <w:r w:rsidRPr="00217F01">
                              <w:rPr>
                                <w:rFonts w:asciiTheme="majorHAnsi" w:hAnsiTheme="majorHAnsi" w:cs="Segoe UI Symbol"/>
                                <w:b/>
                                <w:bCs/>
                                <w:color w:val="142147" w:themeColor="accent1"/>
                                <w:sz w:val="20"/>
                                <w:szCs w:val="20"/>
                              </w:rPr>
                              <w:t xml:space="preserve"> ATO advice via Private Binding Rulings</w:t>
                            </w:r>
                            <w:r>
                              <w:rPr>
                                <w:rFonts w:ascii="Segoe UI Symbol" w:hAnsi="Segoe UI Symbol" w:cs="Segoe UI Symbol"/>
                                <w:b/>
                                <w:bCs/>
                                <w:color w:val="142147" w:themeColor="accent1"/>
                                <w:sz w:val="24"/>
                                <w:szCs w:val="24"/>
                              </w:rPr>
                              <w:t xml:space="preserve"> </w:t>
                            </w:r>
                            <w:r w:rsidRPr="004536FA">
                              <w:rPr>
                                <w:rFonts w:asciiTheme="majorHAnsi" w:hAnsiTheme="majorHAnsi" w:cs="Segoe UI Symbol"/>
                                <w:b/>
                                <w:bCs/>
                                <w:color w:val="142147" w:themeColor="accent1"/>
                                <w:sz w:val="20"/>
                                <w:szCs w:val="20"/>
                              </w:rPr>
                              <w:t>and makes Voluntary Disclosures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71D42E8" id="_x0000_t202" coordsize="21600,21600" o:spt="202" path="m,l,21600r21600,l21600,xe">
                <v:stroke joinstyle="miter"/>
                <v:path gradientshapeok="t" o:connecttype="rect"/>
              </v:shapetype>
              <v:shape id="Text Box 13" o:spid="_x0000_s1026" type="#_x0000_t202" alt="A box showing the different types of engagement JAS Ltd can make with the ATO, including:&#10;- ATO pre-lodgement compliance program &#10;- High-assurance under the ATO justified trust program&#10;- Actively seeks ATO advice via Private Binding Rulings and makes Voluntary Disclosures" style="width:477.55pt;height:1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" fillcolor="#d4c2a8 [3206]" strokecolor="#701f4d [3205]" strokeweight="2.25pt">
                <v:textbox>
                  <w:txbxContent>
                    <w:p w14:paraId="417CFB9F" w14:textId="77777777" w:rsidR="00F1754E" w:rsidRPr="00261565" w:rsidRDefault="00F1754E" w:rsidP="00A27A6E">
                      <w:pPr>
                        <w:ind w:left="255" w:hanging="255"/>
                        <w:rPr>
                          <w:rFonts w:asciiTheme="majorHAnsi" w:hAnsiTheme="majorHAnsi" w:cs="Segoe UI Symbol"/>
                          <w:b/>
                          <w:bCs/>
                          <w:color w:val="142147" w:themeColor="accent1"/>
                          <w:sz w:val="20"/>
                          <w:szCs w:val="20"/>
                        </w:rPr>
                      </w:pPr>
                      <w:r w:rsidRPr="00E961EE">
                        <w:rPr>
                          <w:rFonts w:ascii="Segoe UI Symbol" w:hAnsi="Segoe UI Symbol" w:cs="Segoe UI Symbol"/>
                          <w:b/>
                          <w:bCs/>
                          <w:color w:val="142147" w:themeColor="accent1"/>
                          <w:sz w:val="24"/>
                          <w:szCs w:val="24"/>
                        </w:rPr>
                        <w:t xml:space="preserve">✔ </w:t>
                      </w:r>
                      <w:r w:rsidRPr="00E961EE">
                        <w:rPr>
                          <w:rFonts w:asciiTheme="majorHAnsi" w:hAnsiTheme="majorHAnsi" w:cs="Segoe UI Symbol"/>
                          <w:b/>
                          <w:bCs/>
                          <w:color w:val="142147" w:themeColor="accent1"/>
                          <w:sz w:val="20"/>
                          <w:szCs w:val="20"/>
                        </w:rPr>
                        <w:t>ATO pre-lodgement compliance program</w:t>
                      </w:r>
                    </w:p>
                    <w:p w14:paraId="72CDEB95" w14:textId="77777777" w:rsidR="00F1754E" w:rsidRPr="00261565" w:rsidRDefault="00F1754E" w:rsidP="00A27A6E">
                      <w:pPr>
                        <w:ind w:left="255" w:hanging="255"/>
                        <w:rPr>
                          <w:rFonts w:asciiTheme="majorHAnsi" w:hAnsiTheme="majorHAnsi" w:cs="Segoe UI Symbol"/>
                          <w:b/>
                          <w:bCs/>
                          <w:color w:val="142147" w:themeColor="accent1"/>
                          <w:sz w:val="20"/>
                          <w:szCs w:val="20"/>
                        </w:rPr>
                      </w:pPr>
                      <w:r w:rsidRPr="00E961EE">
                        <w:rPr>
                          <w:rFonts w:ascii="Segoe UI Symbol" w:hAnsi="Segoe UI Symbol" w:cs="Segoe UI Symbol"/>
                          <w:b/>
                          <w:bCs/>
                          <w:color w:val="142147" w:themeColor="accent1"/>
                          <w:sz w:val="24"/>
                          <w:szCs w:val="24"/>
                        </w:rPr>
                        <w:t xml:space="preserve">✔ </w:t>
                      </w:r>
                      <w:r w:rsidRPr="00E961EE">
                        <w:rPr>
                          <w:rFonts w:asciiTheme="majorHAnsi" w:hAnsiTheme="majorHAnsi" w:cs="Segoe UI Symbol"/>
                          <w:b/>
                          <w:bCs/>
                          <w:color w:val="142147" w:themeColor="accent1"/>
                          <w:sz w:val="20"/>
                          <w:szCs w:val="20"/>
                        </w:rPr>
                        <w:t>‘High assurance’ under the ATO</w:t>
                      </w:r>
                      <w:r w:rsidRPr="00A27A6E">
                        <w:rPr>
                          <w:rFonts w:asciiTheme="majorHAnsi" w:hAnsiTheme="majorHAnsi" w:cs="Segoe UI Symbol"/>
                          <w:b/>
                          <w:bCs/>
                          <w:color w:val="142147" w:themeColor="accent1"/>
                          <w:sz w:val="20"/>
                          <w:szCs w:val="20"/>
                        </w:rPr>
                        <w:t xml:space="preserve"> </w:t>
                      </w:r>
                      <w:r w:rsidRPr="00E961EE">
                        <w:rPr>
                          <w:rFonts w:asciiTheme="majorHAnsi" w:hAnsiTheme="majorHAnsi" w:cs="Segoe UI Symbol"/>
                          <w:b/>
                          <w:bCs/>
                          <w:color w:val="142147" w:themeColor="accent1"/>
                          <w:sz w:val="20"/>
                          <w:szCs w:val="20"/>
                        </w:rPr>
                        <w:t>justified trust program</w:t>
                      </w:r>
                    </w:p>
                    <w:p w14:paraId="60D3B7C0" w14:textId="77777777" w:rsidR="00F1754E" w:rsidRPr="00261565" w:rsidRDefault="00F1754E" w:rsidP="00A27A6E">
                      <w:pPr>
                        <w:ind w:left="255" w:hanging="255"/>
                        <w:rPr>
                          <w:rFonts w:asciiTheme="majorHAnsi" w:hAnsiTheme="majorHAnsi" w:cs="Segoe UI Symbol"/>
                          <w:b/>
                          <w:bCs/>
                          <w:color w:val="142147" w:themeColor="accent1"/>
                        </w:rPr>
                      </w:pPr>
                      <w:r w:rsidRPr="00E961EE">
                        <w:rPr>
                          <w:rFonts w:ascii="Segoe UI Symbol" w:hAnsi="Segoe UI Symbol" w:cs="Segoe UI Symbol"/>
                          <w:b/>
                          <w:bCs/>
                          <w:color w:val="142147" w:themeColor="accent1"/>
                          <w:sz w:val="24"/>
                          <w:szCs w:val="24"/>
                        </w:rPr>
                        <w:t xml:space="preserve">✔ </w:t>
                      </w:r>
                      <w:r w:rsidRPr="00217F01">
                        <w:rPr>
                          <w:rFonts w:asciiTheme="majorHAnsi" w:hAnsiTheme="majorHAnsi" w:cs="Segoe UI Symbol"/>
                          <w:b/>
                          <w:bCs/>
                          <w:color w:val="142147" w:themeColor="accent1"/>
                          <w:sz w:val="20"/>
                          <w:szCs w:val="20"/>
                        </w:rPr>
                        <w:t>Actively seek</w:t>
                      </w:r>
                      <w:r>
                        <w:rPr>
                          <w:rFonts w:asciiTheme="majorHAnsi" w:hAnsiTheme="majorHAnsi" w:cs="Segoe UI Symbol"/>
                          <w:b/>
                          <w:bCs/>
                          <w:color w:val="142147" w:themeColor="accent1"/>
                          <w:sz w:val="20"/>
                          <w:szCs w:val="20"/>
                        </w:rPr>
                        <w:t>s</w:t>
                      </w:r>
                      <w:r w:rsidRPr="00217F01">
                        <w:rPr>
                          <w:rFonts w:asciiTheme="majorHAnsi" w:hAnsiTheme="majorHAnsi" w:cs="Segoe UI Symbol"/>
                          <w:b/>
                          <w:bCs/>
                          <w:color w:val="142147" w:themeColor="accent1"/>
                          <w:sz w:val="20"/>
                          <w:szCs w:val="20"/>
                        </w:rPr>
                        <w:t xml:space="preserve"> ATO advice via Private Binding Rulings</w:t>
                      </w:r>
                      <w:r>
                        <w:rPr>
                          <w:rFonts w:ascii="Segoe UI Symbol" w:hAnsi="Segoe UI Symbol" w:cs="Segoe UI Symbol"/>
                          <w:b/>
                          <w:bCs/>
                          <w:color w:val="142147" w:themeColor="accent1"/>
                          <w:sz w:val="24"/>
                          <w:szCs w:val="24"/>
                        </w:rPr>
                        <w:t xml:space="preserve"> </w:t>
                      </w:r>
                      <w:r w:rsidRPr="004536FA">
                        <w:rPr>
                          <w:rFonts w:asciiTheme="majorHAnsi" w:hAnsiTheme="majorHAnsi" w:cs="Segoe UI Symbol"/>
                          <w:b/>
                          <w:bCs/>
                          <w:color w:val="142147" w:themeColor="accent1"/>
                          <w:sz w:val="20"/>
                          <w:szCs w:val="20"/>
                        </w:rPr>
                        <w:t>and makes Voluntary Disclosures</w:t>
                      </w:r>
                    </w:p>
                  </w:txbxContent>
                </v:textbox>
                <w10:anchorlock/>
              </v:shape>
            </w:pict>
          </mc:Fallback>
        </mc:AlternateContent>
      </w:r>
    </w:p>
    <w:p w14:paraId="1C69CD9A" w14:textId="77777777" w:rsidR="001A444A" w:rsidRDefault="00801EA4" w:rsidP="00E722FC">
      <w:r w:rsidRPr="1DC84712">
        <w:t xml:space="preserve">In the 2025 reporting year, JAS reached an agreement with the ATO to settle a transfer pricing dispute relating to its cross-border transfer and licencing of IP between JAS Ltd and JAS Singapore. The settlement brings an end to all </w:t>
      </w:r>
      <w:r w:rsidRPr="004F6215">
        <w:t>transfer</w:t>
      </w:r>
      <w:r w:rsidRPr="1DC84712">
        <w:t xml:space="preserve"> pricing tax disputes for past years back to 2018 for $81 million. In the 2025 reporting year, JAS Ltd separately provided a voluntary disclosure to the ATO to adjust Research &amp; Development (R&amp;D) tax incentive claims in our 2023 income tax return, after mistakenly claiming non-R&amp;D related expenses as part of R&amp;D expenditure.</w:t>
      </w:r>
    </w:p>
    <w:p w14:paraId="7FE5F048" w14:textId="52BAEE04" w:rsidR="00EC0583" w:rsidRDefault="00801EA4" w:rsidP="00E722FC">
      <w:r w:rsidRPr="00FD2480">
        <w:t xml:space="preserve">[Provide a description of the processes for collecting and considering the views and concerns of stakeholders, including external </w:t>
      </w:r>
      <w:r w:rsidRPr="004F6215">
        <w:t>stakeholders</w:t>
      </w:r>
      <w:r w:rsidRPr="00FD2480">
        <w:t>]</w:t>
      </w:r>
    </w:p>
    <w:p w14:paraId="46F53E33" w14:textId="235D1D73" w:rsidR="008E6BB5" w:rsidRPr="00EC0583" w:rsidRDefault="00801EA4" w:rsidP="00E722FC">
      <w:r w:rsidRPr="00371CFB">
        <w:t xml:space="preserve">JAS Ltd are committed to adhering to the tax laws in each of the countries in which we operate. We continuously monitor changes to tax legislation and seek advice from professional advisors where appropriate, including for material or non-routine tax </w:t>
      </w:r>
      <w:r w:rsidRPr="00EC0583">
        <w:t>transactions</w:t>
      </w:r>
      <w:r w:rsidRPr="00371CFB">
        <w:t>. Any tax planning will have commercial and economic substance, considering impact on our reputation and values as a responsible business. We do not put in place any contrived or artificial tax arrangements.</w:t>
      </w:r>
    </w:p>
    <w:p w14:paraId="5533C422" w14:textId="77777777" w:rsidR="00EC0583" w:rsidRPr="0003634D" w:rsidRDefault="00EC0583" w:rsidP="0003634D">
      <w:r>
        <w:br w:type="page"/>
      </w:r>
    </w:p>
    <w:p w14:paraId="3672EC75" w14:textId="5D6A61B8" w:rsidR="00BD4078" w:rsidRPr="00243793" w:rsidRDefault="00BD4078" w:rsidP="00BD4078">
      <w:pPr>
        <w:pStyle w:val="Heading3"/>
        <w:rPr>
          <w:rFonts w:asciiTheme="minorHAnsi" w:hAnsiTheme="minorHAnsi" w:cstheme="minorHAnsi"/>
          <w:color w:val="142147" w:themeColor="accent1"/>
        </w:rPr>
      </w:pPr>
      <w:r w:rsidRPr="0050378B">
        <w:lastRenderedPageBreak/>
        <w:t xml:space="preserve">International Related Party Dealings summary </w:t>
      </w:r>
    </w:p>
    <w:p w14:paraId="71E60E15" w14:textId="77777777" w:rsidR="00BD4078" w:rsidRPr="00A00A03" w:rsidRDefault="00BD4078" w:rsidP="00E722FC">
      <w:r w:rsidRPr="00A00A03">
        <w:t xml:space="preserve">In the course of conducting our business across </w:t>
      </w:r>
      <w:r>
        <w:t xml:space="preserve">the </w:t>
      </w:r>
      <w:r w:rsidRPr="00A00A03">
        <w:t xml:space="preserve">markets in which we operate, transactions take place which give rise to international related party dealings with offshore branches and subsidiaries. </w:t>
      </w:r>
    </w:p>
    <w:p w14:paraId="21B723B5" w14:textId="77777777" w:rsidR="00BD4078" w:rsidRDefault="00BD4078" w:rsidP="00E722FC">
      <w:r w:rsidRPr="00687C4F">
        <w:t xml:space="preserve">JAS Ltd international related party dealings are disclosed in the International Dealings Schedule </w:t>
      </w:r>
      <w:r>
        <w:t>of</w:t>
      </w:r>
      <w:r w:rsidRPr="00687C4F">
        <w:t xml:space="preserve"> its annual income tax return. These dealings fall into </w:t>
      </w:r>
      <w:r>
        <w:t>five key</w:t>
      </w:r>
      <w:r w:rsidRPr="00687C4F">
        <w:t xml:space="preserve"> categories set out below. </w:t>
      </w:r>
    </w:p>
    <w:tbl>
      <w:tblPr>
        <w:tblStyle w:val="ListTable3-Accent2"/>
        <w:tblW w:w="5000" w:type="pct"/>
        <w:tblLook w:val="04A0" w:firstRow="1" w:lastRow="0" w:firstColumn="1" w:lastColumn="0" w:noHBand="0" w:noVBand="1"/>
      </w:tblPr>
      <w:tblGrid>
        <w:gridCol w:w="1853"/>
        <w:gridCol w:w="4238"/>
        <w:gridCol w:w="3540"/>
      </w:tblGrid>
      <w:tr w:rsidR="00BD4078" w14:paraId="61FCBDA8" w14:textId="77777777" w:rsidTr="006967B1">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1853" w:type="dxa"/>
          </w:tcPr>
          <w:p w14:paraId="01573A32" w14:textId="77777777" w:rsidR="00BD4078" w:rsidRPr="0004227F" w:rsidRDefault="00BD4078" w:rsidP="00EC0583">
            <w:pPr>
              <w:pStyle w:val="TableHeaderCellLeft"/>
              <w:rPr>
                <w:rFonts w:eastAsiaTheme="majorEastAsia"/>
                <w:sz w:val="24"/>
                <w:szCs w:val="24"/>
              </w:rPr>
            </w:pPr>
            <w:r w:rsidRPr="0004227F">
              <w:rPr>
                <w:rFonts w:eastAsiaTheme="majorEastAsia"/>
                <w:sz w:val="24"/>
                <w:szCs w:val="24"/>
              </w:rPr>
              <w:t xml:space="preserve">Transaction type </w:t>
            </w:r>
          </w:p>
        </w:tc>
        <w:tc>
          <w:tcPr>
            <w:tcW w:w="4238" w:type="dxa"/>
          </w:tcPr>
          <w:p w14:paraId="0A6046B7" w14:textId="77777777" w:rsidR="00BD4078" w:rsidRPr="0004227F" w:rsidRDefault="00BD4078" w:rsidP="00EC0583">
            <w:pPr>
              <w:pStyle w:val="TableHeaderCellLeft"/>
              <w:cnfStyle w:val="100000000000" w:firstRow="1" w:lastRow="0" w:firstColumn="0" w:lastColumn="0" w:oddVBand="0" w:evenVBand="0" w:oddHBand="0" w:evenHBand="0" w:firstRowFirstColumn="0" w:firstRowLastColumn="0" w:lastRowFirstColumn="0" w:lastRowLastColumn="0"/>
              <w:rPr>
                <w:rFonts w:eastAsiaTheme="majorEastAsia"/>
                <w:sz w:val="24"/>
                <w:szCs w:val="24"/>
              </w:rPr>
            </w:pPr>
            <w:r w:rsidRPr="0004227F">
              <w:rPr>
                <w:rFonts w:eastAsiaTheme="majorEastAsia"/>
                <w:sz w:val="24"/>
                <w:szCs w:val="24"/>
              </w:rPr>
              <w:t xml:space="preserve">Summary of the nature of dealings </w:t>
            </w:r>
          </w:p>
        </w:tc>
        <w:tc>
          <w:tcPr>
            <w:tcW w:w="3540" w:type="dxa"/>
          </w:tcPr>
          <w:p w14:paraId="2A8596F3" w14:textId="77777777" w:rsidR="00BD4078" w:rsidRPr="0004227F" w:rsidRDefault="00BD4078" w:rsidP="00EC0583">
            <w:pPr>
              <w:pStyle w:val="TableHeaderCellLeft"/>
              <w:cnfStyle w:val="100000000000" w:firstRow="1" w:lastRow="0" w:firstColumn="0" w:lastColumn="0" w:oddVBand="0" w:evenVBand="0" w:oddHBand="0" w:evenHBand="0" w:firstRowFirstColumn="0" w:firstRowLastColumn="0" w:lastRowFirstColumn="0" w:lastRowLastColumn="0"/>
              <w:rPr>
                <w:rFonts w:eastAsiaTheme="majorEastAsia"/>
                <w:sz w:val="24"/>
                <w:szCs w:val="24"/>
              </w:rPr>
            </w:pPr>
            <w:r w:rsidRPr="0004227F">
              <w:rPr>
                <w:rFonts w:eastAsiaTheme="majorEastAsia"/>
                <w:sz w:val="24"/>
                <w:szCs w:val="24"/>
              </w:rPr>
              <w:t xml:space="preserve">Countries related parties are located </w:t>
            </w:r>
          </w:p>
        </w:tc>
      </w:tr>
      <w:tr w:rsidR="00BD4078" w14:paraId="214A01AF" w14:textId="77777777" w:rsidTr="006967B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53" w:type="dxa"/>
          </w:tcPr>
          <w:p w14:paraId="3804C244" w14:textId="77777777" w:rsidR="00BD4078" w:rsidRPr="0004227F" w:rsidRDefault="00BD4078" w:rsidP="00EC0583">
            <w:pPr>
              <w:pStyle w:val="TableBodyCellLeft"/>
              <w:rPr>
                <w:rFonts w:cstheme="minorHAnsi"/>
                <w:sz w:val="22"/>
                <w:szCs w:val="22"/>
              </w:rPr>
            </w:pPr>
            <w:r w:rsidRPr="0004227F">
              <w:rPr>
                <w:rFonts w:cstheme="minorHAnsi"/>
                <w:sz w:val="22"/>
                <w:szCs w:val="22"/>
              </w:rPr>
              <w:t xml:space="preserve">Research and Development (R&amp;D) </w:t>
            </w:r>
          </w:p>
        </w:tc>
        <w:tc>
          <w:tcPr>
            <w:tcW w:w="4238" w:type="dxa"/>
          </w:tcPr>
          <w:p w14:paraId="299D7FF9" w14:textId="4CB00AE0" w:rsidR="00BD4078" w:rsidRPr="0004227F" w:rsidRDefault="00BD4078" w:rsidP="00EC0583">
            <w:pPr>
              <w:pStyle w:val="TableBodyCellLeft"/>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04227F">
              <w:rPr>
                <w:rFonts w:cstheme="minorHAnsi"/>
                <w:sz w:val="22"/>
                <w:szCs w:val="22"/>
              </w:rPr>
              <w:t xml:space="preserve">JAS Ltd has a global innovation network with R&amp;D activities ranging from drug discovery, preclinical studies, clinical </w:t>
            </w:r>
            <w:r w:rsidR="00AE083E" w:rsidRPr="0004227F">
              <w:rPr>
                <w:rFonts w:cstheme="minorHAnsi"/>
                <w:sz w:val="22"/>
                <w:szCs w:val="22"/>
              </w:rPr>
              <w:t>trials,</w:t>
            </w:r>
            <w:r w:rsidRPr="0004227F">
              <w:rPr>
                <w:rFonts w:cstheme="minorHAnsi"/>
                <w:sz w:val="22"/>
                <w:szCs w:val="22"/>
              </w:rPr>
              <w:t xml:space="preserve"> and regulatory affairs. The JAS group entity that owns a product is responsible for R&amp;D and engages other JAS group entities as appropriate to conduct R&amp;D on its behalf. </w:t>
            </w:r>
          </w:p>
        </w:tc>
        <w:tc>
          <w:tcPr>
            <w:tcW w:w="3540" w:type="dxa"/>
          </w:tcPr>
          <w:p w14:paraId="1A43420F" w14:textId="77777777" w:rsidR="00BD4078" w:rsidRPr="0004227F" w:rsidRDefault="00BD4078" w:rsidP="00EC0583">
            <w:pPr>
              <w:pStyle w:val="TableBodyCellLeft"/>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04227F">
              <w:rPr>
                <w:rFonts w:cstheme="minorHAnsi"/>
                <w:sz w:val="22"/>
                <w:szCs w:val="22"/>
              </w:rPr>
              <w:t>Germany, Netherlands, Singapore.</w:t>
            </w:r>
          </w:p>
        </w:tc>
      </w:tr>
      <w:tr w:rsidR="00BD4078" w14:paraId="0586BD81" w14:textId="77777777" w:rsidTr="006967B1">
        <w:trPr>
          <w:trHeight w:val="510"/>
        </w:trPr>
        <w:tc>
          <w:tcPr>
            <w:cnfStyle w:val="001000000000" w:firstRow="0" w:lastRow="0" w:firstColumn="1" w:lastColumn="0" w:oddVBand="0" w:evenVBand="0" w:oddHBand="0" w:evenHBand="0" w:firstRowFirstColumn="0" w:firstRowLastColumn="0" w:lastRowFirstColumn="0" w:lastRowLastColumn="0"/>
            <w:tcW w:w="1853" w:type="dxa"/>
          </w:tcPr>
          <w:p w14:paraId="2F2F4DF3" w14:textId="77777777" w:rsidR="00BD4078" w:rsidRPr="0004227F" w:rsidRDefault="00BD4078" w:rsidP="00EC0583">
            <w:pPr>
              <w:pStyle w:val="TableBodyCellLeft"/>
              <w:rPr>
                <w:rFonts w:cstheme="minorHAnsi"/>
                <w:sz w:val="22"/>
                <w:szCs w:val="22"/>
              </w:rPr>
            </w:pPr>
            <w:r w:rsidRPr="0004227F">
              <w:rPr>
                <w:rFonts w:cstheme="minorHAnsi"/>
                <w:sz w:val="22"/>
                <w:szCs w:val="22"/>
              </w:rPr>
              <w:t xml:space="preserve">Manufacturing </w:t>
            </w:r>
          </w:p>
        </w:tc>
        <w:tc>
          <w:tcPr>
            <w:tcW w:w="4238" w:type="dxa"/>
          </w:tcPr>
          <w:p w14:paraId="44CE1FAB" w14:textId="77777777" w:rsidR="00BD4078" w:rsidRPr="0004227F" w:rsidRDefault="00BD4078" w:rsidP="00EC0583">
            <w:pPr>
              <w:pStyle w:val="TableBodyCel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04227F">
              <w:rPr>
                <w:rFonts w:cstheme="minorHAnsi"/>
                <w:sz w:val="22"/>
                <w:szCs w:val="22"/>
              </w:rPr>
              <w:t xml:space="preserve">JAS Ltd has specialised manufacturing operations including two Australian sites based in Sydney and Brisbane, and global manufacturing operations where we have contract manufacturing arrangements with our subsidiaries. </w:t>
            </w:r>
          </w:p>
        </w:tc>
        <w:tc>
          <w:tcPr>
            <w:tcW w:w="3540" w:type="dxa"/>
          </w:tcPr>
          <w:p w14:paraId="32A1CC65" w14:textId="77777777" w:rsidR="00BD4078" w:rsidRPr="0004227F" w:rsidRDefault="00BD4078" w:rsidP="00EC0583">
            <w:pPr>
              <w:pStyle w:val="TableBodyCel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04227F">
              <w:rPr>
                <w:rFonts w:cstheme="minorHAnsi"/>
                <w:sz w:val="22"/>
                <w:szCs w:val="22"/>
              </w:rPr>
              <w:t xml:space="preserve">Ireland, </w:t>
            </w:r>
          </w:p>
          <w:p w14:paraId="042B2067" w14:textId="77777777" w:rsidR="00BD4078" w:rsidRPr="0004227F" w:rsidRDefault="00BD4078" w:rsidP="00EC0583">
            <w:pPr>
              <w:pStyle w:val="TableBodyCel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04227F">
              <w:rPr>
                <w:rFonts w:cstheme="minorHAnsi"/>
                <w:sz w:val="22"/>
                <w:szCs w:val="22"/>
              </w:rPr>
              <w:t xml:space="preserve">Belgium, Switzerland. </w:t>
            </w:r>
          </w:p>
        </w:tc>
      </w:tr>
      <w:tr w:rsidR="00BD4078" w14:paraId="3221BDBF" w14:textId="77777777" w:rsidTr="006967B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53" w:type="dxa"/>
          </w:tcPr>
          <w:p w14:paraId="1D20A62D" w14:textId="77777777" w:rsidR="00BD4078" w:rsidRPr="0004227F" w:rsidRDefault="00BD4078" w:rsidP="00EC0583">
            <w:pPr>
              <w:pStyle w:val="TableBodyCellLeft"/>
              <w:rPr>
                <w:rFonts w:cstheme="minorHAnsi"/>
                <w:sz w:val="22"/>
                <w:szCs w:val="22"/>
              </w:rPr>
            </w:pPr>
            <w:r w:rsidRPr="0004227F">
              <w:rPr>
                <w:rFonts w:cstheme="minorHAnsi"/>
                <w:sz w:val="22"/>
                <w:szCs w:val="22"/>
              </w:rPr>
              <w:t>Transfer and licencing of Intellectual Property</w:t>
            </w:r>
          </w:p>
        </w:tc>
        <w:tc>
          <w:tcPr>
            <w:tcW w:w="4238" w:type="dxa"/>
          </w:tcPr>
          <w:p w14:paraId="0893DB8D" w14:textId="384093D4" w:rsidR="00BD4078" w:rsidRPr="0004227F" w:rsidRDefault="00BD4078" w:rsidP="00EC0583">
            <w:pPr>
              <w:pStyle w:val="TableBodyCellLeft"/>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04227F">
              <w:rPr>
                <w:rFonts w:cstheme="minorHAnsi"/>
                <w:sz w:val="22"/>
                <w:szCs w:val="22"/>
              </w:rPr>
              <w:t xml:space="preserve">JAS Ltd performs a large part of all functions related to the development, </w:t>
            </w:r>
            <w:r w:rsidR="00AE083E" w:rsidRPr="0004227F">
              <w:rPr>
                <w:rFonts w:cstheme="minorHAnsi"/>
                <w:sz w:val="22"/>
                <w:szCs w:val="22"/>
              </w:rPr>
              <w:t>enhancement,</w:t>
            </w:r>
            <w:r w:rsidRPr="0004227F">
              <w:rPr>
                <w:rFonts w:cstheme="minorHAnsi"/>
                <w:sz w:val="22"/>
                <w:szCs w:val="22"/>
              </w:rPr>
              <w:t xml:space="preserve"> and protection of IP. JAS Ltd transfers and licences IP between related jurisdictions with all royalty or licencing fees based on arm’s length amounts. </w:t>
            </w:r>
          </w:p>
        </w:tc>
        <w:tc>
          <w:tcPr>
            <w:tcW w:w="3540" w:type="dxa"/>
          </w:tcPr>
          <w:p w14:paraId="2B5A637A" w14:textId="77777777" w:rsidR="00BD4078" w:rsidRPr="0004227F" w:rsidRDefault="00BD4078" w:rsidP="00EC0583">
            <w:pPr>
              <w:pStyle w:val="TableBodyCellLeft"/>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04227F">
              <w:rPr>
                <w:rFonts w:cstheme="minorHAnsi"/>
                <w:sz w:val="22"/>
                <w:szCs w:val="22"/>
              </w:rPr>
              <w:t xml:space="preserve">Germany, Ireland, </w:t>
            </w:r>
          </w:p>
          <w:p w14:paraId="45A6FC16" w14:textId="77777777" w:rsidR="00BD4078" w:rsidRPr="0004227F" w:rsidRDefault="00BD4078" w:rsidP="00EC0583">
            <w:pPr>
              <w:pStyle w:val="TableBodyCellLeft"/>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04227F">
              <w:rPr>
                <w:rFonts w:cstheme="minorHAnsi"/>
                <w:sz w:val="22"/>
                <w:szCs w:val="22"/>
              </w:rPr>
              <w:t>Singapore.</w:t>
            </w:r>
          </w:p>
        </w:tc>
      </w:tr>
      <w:tr w:rsidR="00BD4078" w14:paraId="5768F443" w14:textId="77777777" w:rsidTr="006967B1">
        <w:trPr>
          <w:trHeight w:val="510"/>
        </w:trPr>
        <w:tc>
          <w:tcPr>
            <w:cnfStyle w:val="001000000000" w:firstRow="0" w:lastRow="0" w:firstColumn="1" w:lastColumn="0" w:oddVBand="0" w:evenVBand="0" w:oddHBand="0" w:evenHBand="0" w:firstRowFirstColumn="0" w:firstRowLastColumn="0" w:lastRowFirstColumn="0" w:lastRowLastColumn="0"/>
            <w:tcW w:w="1853" w:type="dxa"/>
          </w:tcPr>
          <w:p w14:paraId="5379157D" w14:textId="77777777" w:rsidR="00BD4078" w:rsidRPr="0004227F" w:rsidRDefault="00BD4078" w:rsidP="00EC0583">
            <w:pPr>
              <w:pStyle w:val="TableBodyCellLeft"/>
              <w:rPr>
                <w:rFonts w:cstheme="minorHAnsi"/>
                <w:sz w:val="22"/>
                <w:szCs w:val="22"/>
              </w:rPr>
            </w:pPr>
            <w:r w:rsidRPr="0004227F">
              <w:rPr>
                <w:rFonts w:cstheme="minorHAnsi"/>
                <w:sz w:val="22"/>
                <w:szCs w:val="22"/>
              </w:rPr>
              <w:t xml:space="preserve">Financing arrangements </w:t>
            </w:r>
          </w:p>
        </w:tc>
        <w:tc>
          <w:tcPr>
            <w:tcW w:w="4238" w:type="dxa"/>
          </w:tcPr>
          <w:p w14:paraId="673A32BA" w14:textId="77777777" w:rsidR="00BD4078" w:rsidRPr="0004227F" w:rsidRDefault="00BD4078" w:rsidP="00EC0583">
            <w:pPr>
              <w:pStyle w:val="TableBodyCel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04227F">
              <w:rPr>
                <w:rFonts w:cstheme="minorHAnsi"/>
                <w:sz w:val="22"/>
                <w:szCs w:val="22"/>
              </w:rPr>
              <w:t xml:space="preserve">JAS Ltd has financing-related activities, including guarantees, equity funding and intra-group loans, advanced to fund operations and capital expenditure. JAS Ltd receives interest income on amounts loaned in accordance with arm’s length principles. </w:t>
            </w:r>
          </w:p>
        </w:tc>
        <w:tc>
          <w:tcPr>
            <w:tcW w:w="3540" w:type="dxa"/>
          </w:tcPr>
          <w:p w14:paraId="3EB8ED00" w14:textId="77777777" w:rsidR="00BD4078" w:rsidRPr="0004227F" w:rsidRDefault="00BD4078" w:rsidP="00EC0583">
            <w:pPr>
              <w:pStyle w:val="TableBodyCel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04227F">
              <w:rPr>
                <w:rFonts w:cstheme="minorHAnsi"/>
                <w:sz w:val="22"/>
                <w:szCs w:val="22"/>
              </w:rPr>
              <w:t xml:space="preserve">United Kingdom </w:t>
            </w:r>
          </w:p>
        </w:tc>
      </w:tr>
      <w:tr w:rsidR="00BD4078" w14:paraId="23070D3E" w14:textId="77777777" w:rsidTr="006967B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53" w:type="dxa"/>
          </w:tcPr>
          <w:p w14:paraId="706F9151" w14:textId="77777777" w:rsidR="00BD4078" w:rsidRPr="0004227F" w:rsidRDefault="00BD4078" w:rsidP="00EC0583">
            <w:pPr>
              <w:pStyle w:val="TableBodyCellLeft"/>
              <w:rPr>
                <w:rFonts w:cstheme="minorHAnsi"/>
                <w:sz w:val="22"/>
                <w:szCs w:val="22"/>
              </w:rPr>
            </w:pPr>
            <w:r w:rsidRPr="0004227F">
              <w:rPr>
                <w:rFonts w:cstheme="minorHAnsi"/>
                <w:sz w:val="22"/>
                <w:szCs w:val="22"/>
              </w:rPr>
              <w:t>Exported medicines</w:t>
            </w:r>
          </w:p>
        </w:tc>
        <w:tc>
          <w:tcPr>
            <w:tcW w:w="4238" w:type="dxa"/>
          </w:tcPr>
          <w:p w14:paraId="0326CE9C" w14:textId="77777777" w:rsidR="00BD4078" w:rsidRPr="0004227F" w:rsidRDefault="00BD4078" w:rsidP="00EC0583">
            <w:pPr>
              <w:pStyle w:val="TableBodyCellLeft"/>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04227F">
              <w:rPr>
                <w:rFonts w:cstheme="minorHAnsi"/>
                <w:sz w:val="22"/>
                <w:szCs w:val="22"/>
              </w:rPr>
              <w:t xml:space="preserve">JAS Ltd pharmaceutical products are sold directly into local markets via subsidiary headquarter distributors. </w:t>
            </w:r>
          </w:p>
        </w:tc>
        <w:tc>
          <w:tcPr>
            <w:tcW w:w="3540" w:type="dxa"/>
          </w:tcPr>
          <w:p w14:paraId="02D0E5A8" w14:textId="77777777" w:rsidR="00BD4078" w:rsidRPr="0004227F" w:rsidRDefault="00BD4078" w:rsidP="00EC0583">
            <w:pPr>
              <w:pStyle w:val="TableBodyCellLeft"/>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04227F">
              <w:rPr>
                <w:rFonts w:cstheme="minorHAnsi"/>
                <w:sz w:val="22"/>
                <w:szCs w:val="22"/>
              </w:rPr>
              <w:t xml:space="preserve">United Kingdom, United States, Canada, Panama, Singapore, Switzerland, Germany, Belgium, China, Netherlands, Dubai, New Zealand, Japan, Hong Kong, Malaysia, Sweden, Brazil, South Africa </w:t>
            </w:r>
          </w:p>
        </w:tc>
      </w:tr>
    </w:tbl>
    <w:p w14:paraId="6E1A12AC" w14:textId="302AB553" w:rsidR="00BD4078" w:rsidRPr="00E10F37" w:rsidRDefault="00BD4078" w:rsidP="00164C29">
      <w:pPr>
        <w:pStyle w:val="Heading1"/>
        <w:rPr>
          <w:sz w:val="40"/>
          <w:szCs w:val="40"/>
        </w:rPr>
      </w:pPr>
      <w:bookmarkStart w:id="74" w:name="_Non-public_CbC_Reporter:"/>
      <w:bookmarkStart w:id="75" w:name="_Toc212116319"/>
      <w:bookmarkStart w:id="76" w:name="_Toc195021320"/>
      <w:bookmarkEnd w:id="74"/>
      <w:r w:rsidRPr="00C115C0">
        <w:rPr>
          <w:sz w:val="40"/>
          <w:szCs w:val="40"/>
        </w:rPr>
        <w:lastRenderedPageBreak/>
        <w:t>Non-</w:t>
      </w:r>
      <w:r w:rsidR="00DE0E4A">
        <w:rPr>
          <w:sz w:val="40"/>
          <w:szCs w:val="40"/>
        </w:rPr>
        <w:t xml:space="preserve">public </w:t>
      </w:r>
      <w:proofErr w:type="spellStart"/>
      <w:r w:rsidRPr="00C115C0">
        <w:rPr>
          <w:sz w:val="40"/>
          <w:szCs w:val="40"/>
        </w:rPr>
        <w:t>CbC</w:t>
      </w:r>
      <w:proofErr w:type="spellEnd"/>
      <w:r w:rsidRPr="00C115C0">
        <w:rPr>
          <w:sz w:val="40"/>
          <w:szCs w:val="40"/>
        </w:rPr>
        <w:t xml:space="preserve"> Reporter: </w:t>
      </w:r>
      <w:r>
        <w:rPr>
          <w:sz w:val="40"/>
          <w:szCs w:val="40"/>
        </w:rPr>
        <w:t xml:space="preserve">Example </w:t>
      </w:r>
      <w:r w:rsidR="00005920">
        <w:rPr>
          <w:sz w:val="40"/>
          <w:szCs w:val="40"/>
        </w:rPr>
        <w:t>V</w:t>
      </w:r>
      <w:r w:rsidRPr="00C115C0">
        <w:rPr>
          <w:sz w:val="40"/>
          <w:szCs w:val="40"/>
        </w:rPr>
        <w:t>TTC Report</w:t>
      </w:r>
      <w:bookmarkEnd w:id="75"/>
      <w:r w:rsidRPr="00C115C0">
        <w:rPr>
          <w:sz w:val="40"/>
          <w:szCs w:val="40"/>
        </w:rPr>
        <w:t xml:space="preserve"> </w:t>
      </w:r>
      <w:bookmarkEnd w:id="76"/>
    </w:p>
    <w:p w14:paraId="794B4CA3" w14:textId="370088E8" w:rsidR="00BD4078" w:rsidRDefault="00BD4078" w:rsidP="00261565">
      <w:pPr>
        <w:pStyle w:val="Heading2"/>
        <w:jc w:val="center"/>
      </w:pPr>
      <w:bookmarkStart w:id="77" w:name="_Toc212116320"/>
      <w:r>
        <w:t xml:space="preserve">Tax Transparency Report for </w:t>
      </w:r>
      <w:r w:rsidR="006030A9">
        <w:t>PAA</w:t>
      </w:r>
      <w:r>
        <w:t xml:space="preserve"> Ltd</w:t>
      </w:r>
      <w:bookmarkEnd w:id="77"/>
    </w:p>
    <w:p w14:paraId="58C808AB" w14:textId="141DE5B1" w:rsidR="00BD4078" w:rsidRDefault="00BD4078" w:rsidP="00261565">
      <w:pPr>
        <w:pStyle w:val="Heading3"/>
        <w:jc w:val="center"/>
      </w:pPr>
      <w:r w:rsidRPr="00E30BBF">
        <w:t xml:space="preserve">For the year ended 30 June </w:t>
      </w:r>
      <w:r w:rsidR="00081A4E">
        <w:t>2025</w:t>
      </w:r>
    </w:p>
    <w:p w14:paraId="04F65760" w14:textId="4FCC0D35" w:rsidR="00C06EF3" w:rsidRDefault="00C06EF3" w:rsidP="00261565">
      <w:pPr>
        <w:pStyle w:val="Heading4"/>
        <w:jc w:val="center"/>
      </w:pPr>
      <w:r w:rsidRPr="00805DFB">
        <w:t xml:space="preserve">Published: 30 June </w:t>
      </w:r>
      <w:r w:rsidR="00081A4E">
        <w:t>2026</w:t>
      </w:r>
    </w:p>
    <w:p w14:paraId="79B44898" w14:textId="15C18402" w:rsidR="00E64240" w:rsidRPr="00E64240" w:rsidRDefault="00E64240" w:rsidP="00E64240">
      <w:pPr>
        <w:jc w:val="center"/>
      </w:pPr>
      <w:r w:rsidRPr="00085A54">
        <w:rPr>
          <w:rFonts w:asciiTheme="majorHAnsi" w:hAnsiTheme="majorHAnsi"/>
          <w:b/>
          <w:bCs/>
          <w:noProof/>
          <w:color w:val="701F4D" w:themeColor="accent2"/>
          <w:sz w:val="40"/>
          <w:szCs w:val="40"/>
        </w:rPr>
        <w:drawing>
          <wp:inline distT="0" distB="0" distL="0" distR="0" wp14:anchorId="3BF1FD1F" wp14:editId="229E8AEF">
            <wp:extent cx="1663065" cy="1154130"/>
            <wp:effectExtent l="0" t="0" r="0" b="8255"/>
            <wp:docPr id="1666793516" name="Picture 1" descr="PAA Ltd logo - The right widget, right on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793516" name="Picture 1" descr="PAA Ltd logo - The right widget, right on time "/>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663065" cy="1154130"/>
                    </a:xfrm>
                    <a:prstGeom prst="rect">
                      <a:avLst/>
                    </a:prstGeom>
                  </pic:spPr>
                </pic:pic>
              </a:graphicData>
            </a:graphic>
          </wp:inline>
        </w:drawing>
      </w:r>
    </w:p>
    <w:p w14:paraId="08EFADDA" w14:textId="77777777" w:rsidR="00BD4078" w:rsidRPr="000A3A17" w:rsidRDefault="00BD4078" w:rsidP="00BD4078">
      <w:pPr>
        <w:pStyle w:val="Heading2"/>
        <w:spacing w:before="360"/>
        <w:rPr>
          <w:color w:val="701F4D"/>
        </w:rPr>
      </w:pPr>
      <w:bookmarkStart w:id="78" w:name="_Toc195021321"/>
      <w:bookmarkStart w:id="79" w:name="_Toc212116321"/>
      <w:r w:rsidRPr="000A3A17">
        <w:rPr>
          <w:color w:val="701F4D"/>
        </w:rPr>
        <w:t>Overview</w:t>
      </w:r>
      <w:bookmarkEnd w:id="78"/>
      <w:bookmarkEnd w:id="79"/>
    </w:p>
    <w:p w14:paraId="6DED4A8D" w14:textId="0571D33F" w:rsidR="00BD4078" w:rsidRDefault="006030A9" w:rsidP="00FF3997">
      <w:r>
        <w:t>PAA</w:t>
      </w:r>
      <w:r w:rsidR="00BD4078" w:rsidRPr="00A343B2">
        <w:t xml:space="preserve"> Ltd is a</w:t>
      </w:r>
      <w:r w:rsidR="00BD4078">
        <w:t>n Australian listed</w:t>
      </w:r>
      <w:r w:rsidR="00BD4078" w:rsidRPr="00A343B2">
        <w:t xml:space="preserve"> </w:t>
      </w:r>
      <w:r w:rsidR="00BD4078">
        <w:t xml:space="preserve">leading </w:t>
      </w:r>
      <w:r w:rsidR="00BD4078" w:rsidRPr="00F26FF3">
        <w:t>manufacturer</w:t>
      </w:r>
      <w:r w:rsidR="00BD4078" w:rsidRPr="0014532B">
        <w:t xml:space="preserve"> </w:t>
      </w:r>
      <w:r w:rsidR="00BD4078">
        <w:t>and distributor of high-</w:t>
      </w:r>
      <w:r w:rsidR="00BD4078" w:rsidRPr="004A1ECA">
        <w:t xml:space="preserve">quality </w:t>
      </w:r>
      <w:r w:rsidR="00A87B90">
        <w:t>widgets</w:t>
      </w:r>
      <w:r w:rsidR="00BD4078">
        <w:t xml:space="preserve">, incorporated in 1983, and headquartered in Newcastle, Australia with a growing international presence. </w:t>
      </w:r>
      <w:r w:rsidR="00085B3E">
        <w:t>PAA</w:t>
      </w:r>
      <w:r w:rsidR="00BD4078">
        <w:t xml:space="preserve"> specialises in the manufacture and distribution of a wide range of</w:t>
      </w:r>
      <w:r w:rsidR="00DF4564">
        <w:t xml:space="preserve"> </w:t>
      </w:r>
      <w:r w:rsidR="00D9235E">
        <w:t>high-quality</w:t>
      </w:r>
      <w:r w:rsidR="00BD4078">
        <w:t xml:space="preserve"> </w:t>
      </w:r>
      <w:r w:rsidR="00A87B90">
        <w:t xml:space="preserve">widgets </w:t>
      </w:r>
      <w:r w:rsidR="00DF4564">
        <w:t>which power industries across the globe</w:t>
      </w:r>
      <w:r w:rsidR="00BD4078">
        <w:t>.</w:t>
      </w:r>
      <w:r w:rsidR="00EE6EBA">
        <w:t xml:space="preserve"> We deliver products that meet the diverse needs of our customers. Our widgets </w:t>
      </w:r>
      <w:r w:rsidR="00D9235E">
        <w:t xml:space="preserve">are built to last, ensuring reliability and performance in every application. </w:t>
      </w:r>
    </w:p>
    <w:p w14:paraId="4351F291" w14:textId="0EA2A6B2" w:rsidR="00BD4078" w:rsidRDefault="00835B6D" w:rsidP="00FF3997">
      <w:r>
        <w:t>PAA</w:t>
      </w:r>
      <w:r w:rsidR="00BD4078" w:rsidRPr="00142374">
        <w:t xml:space="preserve"> Ltd has </w:t>
      </w:r>
      <w:r w:rsidR="00BD4078">
        <w:t>regional headquarters with subsidiaries</w:t>
      </w:r>
      <w:r w:rsidR="00BD4078" w:rsidRPr="00142374">
        <w:t xml:space="preserve"> across </w:t>
      </w:r>
      <w:r w:rsidR="00BD4078">
        <w:t>three</w:t>
      </w:r>
      <w:r w:rsidR="00BD4078" w:rsidRPr="00142374">
        <w:t xml:space="preserve"> countries, </w:t>
      </w:r>
      <w:r w:rsidR="00BD4078" w:rsidRPr="00F53627">
        <w:rPr>
          <w:b/>
          <w:bCs/>
          <w:color w:val="701F4D" w:themeColor="accent2"/>
        </w:rPr>
        <w:t xml:space="preserve">the </w:t>
      </w:r>
      <w:r w:rsidR="00BD4078" w:rsidRPr="002919C2">
        <w:rPr>
          <w:b/>
          <w:bCs/>
          <w:color w:val="701F4D" w:themeColor="accent2"/>
        </w:rPr>
        <w:t xml:space="preserve">United States, </w:t>
      </w:r>
      <w:r w:rsidR="00AE083E" w:rsidRPr="002919C2">
        <w:rPr>
          <w:b/>
          <w:bCs/>
          <w:color w:val="701F4D" w:themeColor="accent2"/>
        </w:rPr>
        <w:t>India,</w:t>
      </w:r>
      <w:r w:rsidR="00BD4078" w:rsidRPr="002919C2">
        <w:rPr>
          <w:b/>
          <w:bCs/>
          <w:color w:val="701F4D" w:themeColor="accent2"/>
        </w:rPr>
        <w:t xml:space="preserve"> and</w:t>
      </w:r>
      <w:r w:rsidR="00F26FF3">
        <w:rPr>
          <w:b/>
          <w:bCs/>
          <w:color w:val="701F4D" w:themeColor="accent2"/>
        </w:rPr>
        <w:t> </w:t>
      </w:r>
      <w:r w:rsidR="00BD4078" w:rsidRPr="002919C2">
        <w:rPr>
          <w:b/>
          <w:bCs/>
          <w:color w:val="701F4D" w:themeColor="accent2"/>
        </w:rPr>
        <w:t>China.</w:t>
      </w:r>
      <w:r w:rsidR="00BD4078" w:rsidRPr="002919C2">
        <w:rPr>
          <w:color w:val="701F4D" w:themeColor="accent2"/>
        </w:rPr>
        <w:t xml:space="preserve"> </w:t>
      </w:r>
      <w:r w:rsidR="00085B3E">
        <w:t>PAA’s</w:t>
      </w:r>
      <w:r w:rsidR="00BD4078">
        <w:t xml:space="preserve"> global workforce is comprised of approximately 1,013 employees who engage in manufacturing, distribution, logistics, </w:t>
      </w:r>
      <w:r w:rsidR="00AE083E">
        <w:t>sales,</w:t>
      </w:r>
      <w:r w:rsidR="00BD4078">
        <w:t xml:space="preserve"> and administration.</w:t>
      </w:r>
    </w:p>
    <w:p w14:paraId="05AC7D56" w14:textId="4A4E8075" w:rsidR="00F1754E" w:rsidRDefault="007648D1" w:rsidP="00244DEA">
      <w:pPr>
        <w:pStyle w:val="ChartGraphic"/>
      </w:pPr>
      <w:r w:rsidRPr="00244DEA">
        <w:rPr>
          <w:noProof/>
        </w:rPr>
        <w:drawing>
          <wp:inline distT="0" distB="0" distL="0" distR="0" wp14:anchorId="55A4FE9A" wp14:editId="40A2DDFF">
            <wp:extent cx="2329180" cy="2042160"/>
            <wp:effectExtent l="0" t="0" r="0" b="0"/>
            <wp:docPr id="1117032601" name="Picture 1" descr="Diagram showing PAA Ltd entities:&#10;- PAA Ltd  &#10;- PAA United States&#10;- PAA India&#10;- PAA Chi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32601" name="Picture 1" descr="Diagram showing PAA Ltd entities:&#10;- PAA Ltd  &#10;- PAA United States&#10;- PAA India&#10;- PAA China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29180" cy="2042160"/>
                    </a:xfrm>
                    <a:prstGeom prst="rect">
                      <a:avLst/>
                    </a:prstGeom>
                    <a:noFill/>
                  </pic:spPr>
                </pic:pic>
              </a:graphicData>
            </a:graphic>
          </wp:inline>
        </w:drawing>
      </w:r>
    </w:p>
    <w:p w14:paraId="39D37B85" w14:textId="176E9B90" w:rsidR="00BD4078" w:rsidRPr="004534ED" w:rsidRDefault="00BD4078" w:rsidP="00FF3997">
      <w:r w:rsidRPr="004534ED">
        <w:lastRenderedPageBreak/>
        <w:t xml:space="preserve">This </w:t>
      </w:r>
      <w:r w:rsidR="00005920">
        <w:t>V</w:t>
      </w:r>
      <w:r w:rsidRPr="004534ED">
        <w:t xml:space="preserve">TTC report has been approved by the </w:t>
      </w:r>
      <w:r w:rsidR="00427502">
        <w:t>PAA</w:t>
      </w:r>
      <w:r w:rsidRPr="004534ED">
        <w:t xml:space="preserve"> Ltd Audit and Risk Committee on behalf of the Board.</w:t>
      </w:r>
      <w:r w:rsidRPr="004534ED">
        <w:rPr>
          <w:rStyle w:val="FootnoteReference"/>
          <w:color w:val="142147" w:themeColor="accent1"/>
        </w:rPr>
        <w:footnoteReference w:id="19"/>
      </w:r>
      <w:r w:rsidRPr="004534ED">
        <w:t xml:space="preserve"> In preparing this report, </w:t>
      </w:r>
      <w:r w:rsidR="00260542">
        <w:t>PAA</w:t>
      </w:r>
      <w:r w:rsidRPr="004534ED">
        <w:t xml:space="preserve"> Ltd have </w:t>
      </w:r>
      <w:r w:rsidRPr="006967B1">
        <w:t>followed</w:t>
      </w:r>
      <w:r w:rsidRPr="004534ED">
        <w:t xml:space="preserve"> the recommendations in the Board of Taxation’s Tax Transparency Code. </w:t>
      </w:r>
    </w:p>
    <w:p w14:paraId="1EC5CAE4" w14:textId="77777777" w:rsidR="00BD4078" w:rsidRPr="00D379C1" w:rsidRDefault="00BD4078" w:rsidP="00BD4078">
      <w:pPr>
        <w:pStyle w:val="Heading2"/>
      </w:pPr>
      <w:bookmarkStart w:id="80" w:name="_Toc195021322"/>
      <w:bookmarkStart w:id="81" w:name="_Toc212116322"/>
      <w:r>
        <w:t>Tax Data</w:t>
      </w:r>
      <w:bookmarkEnd w:id="80"/>
      <w:bookmarkEnd w:id="81"/>
      <w:r>
        <w:t xml:space="preserve"> </w:t>
      </w:r>
    </w:p>
    <w:p w14:paraId="25054C12" w14:textId="77777777" w:rsidR="00BD4078" w:rsidRDefault="00BD4078" w:rsidP="00BD4078">
      <w:pPr>
        <w:pStyle w:val="Heading3"/>
      </w:pPr>
      <w:r>
        <w:t xml:space="preserve">Total Tax Contribution </w:t>
      </w:r>
    </w:p>
    <w:tbl>
      <w:tblPr>
        <w:tblStyle w:val="ListTable3-Accent2"/>
        <w:tblW w:w="5000" w:type="pct"/>
        <w:tblLook w:val="04A0" w:firstRow="1" w:lastRow="0" w:firstColumn="1" w:lastColumn="0" w:noHBand="0" w:noVBand="1"/>
      </w:tblPr>
      <w:tblGrid>
        <w:gridCol w:w="9636"/>
      </w:tblGrid>
      <w:tr w:rsidR="00BD4078" w14:paraId="6A87CD19" w14:textId="77777777" w:rsidTr="00032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tcPr>
          <w:p w14:paraId="57441934" w14:textId="77777777" w:rsidR="00BD4078" w:rsidRPr="006967B1" w:rsidRDefault="00BD4078" w:rsidP="006967B1">
            <w:pPr>
              <w:pStyle w:val="BoxText"/>
              <w:jc w:val="center"/>
              <w:rPr>
                <w:b/>
                <w:bCs w:val="0"/>
              </w:rPr>
            </w:pPr>
            <w:r w:rsidRPr="006967B1">
              <w:rPr>
                <w:b/>
                <w:bCs w:val="0"/>
              </w:rPr>
              <w:t>$14.9m paid in Australian income tax</w:t>
            </w:r>
          </w:p>
        </w:tc>
      </w:tr>
    </w:tbl>
    <w:p w14:paraId="76D41B22" w14:textId="30218911" w:rsidR="00BD4078" w:rsidRDefault="00BD4078" w:rsidP="00FF3997">
      <w:r w:rsidRPr="00550E13">
        <w:t>In the</w:t>
      </w:r>
      <w:r>
        <w:t xml:space="preserve"> </w:t>
      </w:r>
      <w:r w:rsidR="00FE688C">
        <w:t>2025</w:t>
      </w:r>
      <w:r>
        <w:t xml:space="preserve"> </w:t>
      </w:r>
      <w:r w:rsidRPr="00550E13">
        <w:t xml:space="preserve">financial year, </w:t>
      </w:r>
      <w:r w:rsidR="00085B3E">
        <w:t>PAA</w:t>
      </w:r>
      <w:r w:rsidRPr="00A343B2">
        <w:t xml:space="preserve"> Ltd </w:t>
      </w:r>
      <w:r w:rsidRPr="00550E13">
        <w:t xml:space="preserve">paid </w:t>
      </w:r>
      <w:r w:rsidRPr="00EB6952">
        <w:rPr>
          <w:b/>
          <w:bCs/>
        </w:rPr>
        <w:t>AUD</w:t>
      </w:r>
      <w:r w:rsidRPr="002A1CAA">
        <w:rPr>
          <w:b/>
          <w:bCs/>
        </w:rPr>
        <w:t>$</w:t>
      </w:r>
      <w:r>
        <w:rPr>
          <w:b/>
          <w:bCs/>
        </w:rPr>
        <w:t>14.9 million</w:t>
      </w:r>
      <w:r w:rsidRPr="00550E13">
        <w:t xml:space="preserve"> in corporate income tax</w:t>
      </w:r>
      <w:r>
        <w:t>es</w:t>
      </w:r>
      <w:r w:rsidRPr="00550E13">
        <w:t xml:space="preserve"> in Australia. Corporate income tax is paid on taxable profits, not on revenue. </w:t>
      </w:r>
    </w:p>
    <w:p w14:paraId="5F01E3D7" w14:textId="52C67EE1" w:rsidR="00E64240" w:rsidRDefault="00E64240" w:rsidP="00E64240">
      <w:pPr>
        <w:jc w:val="center"/>
        <w:rPr>
          <w:color w:val="142147" w:themeColor="accent1"/>
        </w:rPr>
      </w:pPr>
      <w:r w:rsidRPr="00A93E3E">
        <w:rPr>
          <w:noProof/>
          <w:color w:val="142147" w:themeColor="accent1"/>
        </w:rPr>
        <w:drawing>
          <wp:inline distT="0" distB="0" distL="0" distR="0" wp14:anchorId="23FE6DE8" wp14:editId="2838B80B">
            <wp:extent cx="1622983" cy="1440000"/>
            <wp:effectExtent l="0" t="0" r="0" b="8255"/>
            <wp:docPr id="1194839159" name="Picture 1" descr="A map of Australia showing $14.9million total corporate income tax contribution by PAA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839159" name="Picture 1" descr="A map of Australia showing $14.9million total corporate income tax contribution by PAA Ltd"/>
                    <pic:cNvPicPr/>
                  </pic:nvPicPr>
                  <pic:blipFill>
                    <a:blip r:embed="rId49"/>
                    <a:stretch>
                      <a:fillRect/>
                    </a:stretch>
                  </pic:blipFill>
                  <pic:spPr>
                    <a:xfrm>
                      <a:off x="0" y="0"/>
                      <a:ext cx="1622983" cy="1440000"/>
                    </a:xfrm>
                    <a:prstGeom prst="rect">
                      <a:avLst/>
                    </a:prstGeom>
                  </pic:spPr>
                </pic:pic>
              </a:graphicData>
            </a:graphic>
          </wp:inline>
        </w:drawing>
      </w:r>
    </w:p>
    <w:p w14:paraId="07804120" w14:textId="6AA93588" w:rsidR="00256EDD" w:rsidRDefault="00256EDD" w:rsidP="00256EDD">
      <w:pPr>
        <w:pStyle w:val="Heading4"/>
      </w:pPr>
      <w:r>
        <w:t xml:space="preserve">Optional elements </w:t>
      </w:r>
    </w:p>
    <w:p w14:paraId="6379D09E" w14:textId="77777777" w:rsidR="00256EDD" w:rsidRPr="00116433" w:rsidRDefault="00256EDD" w:rsidP="00FF3997">
      <w:r w:rsidRPr="00116433">
        <w:t xml:space="preserve">[Report on global </w:t>
      </w:r>
      <w:r w:rsidRPr="006967B1">
        <w:t>group</w:t>
      </w:r>
      <w:r w:rsidRPr="00116433">
        <w:t xml:space="preserve"> total income tax contribution]</w:t>
      </w:r>
    </w:p>
    <w:p w14:paraId="53452566" w14:textId="77777777" w:rsidR="00256EDD" w:rsidRDefault="00256EDD" w:rsidP="00FF3997">
      <w:r w:rsidRPr="00CD1A1B">
        <w:rPr>
          <w:rFonts w:asciiTheme="minorHAnsi" w:hAnsiTheme="minorHAnsi" w:cstheme="minorHAnsi"/>
        </w:rPr>
        <w:t xml:space="preserve">In the </w:t>
      </w:r>
      <w:r>
        <w:rPr>
          <w:rFonts w:asciiTheme="minorHAnsi" w:hAnsiTheme="minorHAnsi" w:cstheme="minorHAnsi"/>
        </w:rPr>
        <w:t>2025</w:t>
      </w:r>
      <w:r w:rsidRPr="00CD1A1B">
        <w:rPr>
          <w:rFonts w:asciiTheme="minorHAnsi" w:hAnsiTheme="minorHAnsi" w:cstheme="minorHAnsi"/>
          <w:i/>
          <w:iCs/>
        </w:rPr>
        <w:t xml:space="preserve"> </w:t>
      </w:r>
      <w:r w:rsidRPr="00CD1A1B">
        <w:rPr>
          <w:rFonts w:asciiTheme="minorHAnsi" w:hAnsiTheme="minorHAnsi" w:cstheme="minorHAnsi"/>
        </w:rPr>
        <w:t xml:space="preserve">financial </w:t>
      </w:r>
      <w:r w:rsidRPr="006967B1">
        <w:t>year</w:t>
      </w:r>
      <w:r w:rsidRPr="00CD1A1B">
        <w:rPr>
          <w:rFonts w:asciiTheme="minorHAnsi" w:hAnsiTheme="minorHAnsi" w:cstheme="minorHAnsi"/>
        </w:rPr>
        <w:t xml:space="preserve">, </w:t>
      </w:r>
      <w:r>
        <w:rPr>
          <w:rFonts w:asciiTheme="minorHAnsi" w:hAnsiTheme="minorHAnsi" w:cstheme="minorHAnsi"/>
        </w:rPr>
        <w:t xml:space="preserve">PAA’s </w:t>
      </w:r>
      <w:r w:rsidRPr="00EB6952">
        <w:t xml:space="preserve">total global </w:t>
      </w:r>
      <w:r>
        <w:t xml:space="preserve">income </w:t>
      </w:r>
      <w:r w:rsidRPr="00EB6952">
        <w:t xml:space="preserve">tax contribution was </w:t>
      </w:r>
      <w:r w:rsidRPr="00EB6952">
        <w:rPr>
          <w:b/>
          <w:bCs/>
        </w:rPr>
        <w:t>AUD$23 million</w:t>
      </w:r>
      <w:r w:rsidRPr="00EB6952">
        <w:t xml:space="preserve">. Of this, </w:t>
      </w:r>
      <w:r>
        <w:t xml:space="preserve">PAA’s </w:t>
      </w:r>
      <w:r w:rsidRPr="00EB6952">
        <w:t xml:space="preserve">Australian contribution represented </w:t>
      </w:r>
      <w:r>
        <w:t>65</w:t>
      </w:r>
      <w:r w:rsidRPr="00EB6952">
        <w:t>%.</w:t>
      </w:r>
      <w:r>
        <w:t xml:space="preserve"> </w:t>
      </w:r>
    </w:p>
    <w:p w14:paraId="1EB89864" w14:textId="77777777" w:rsidR="00256EDD" w:rsidRPr="00116433" w:rsidRDefault="00256EDD" w:rsidP="00FF3997">
      <w:r w:rsidRPr="00116433">
        <w:t xml:space="preserve">[Report on other </w:t>
      </w:r>
      <w:r w:rsidRPr="006967B1">
        <w:t>Australian</w:t>
      </w:r>
      <w:r w:rsidRPr="00116433">
        <w:t xml:space="preserve"> taxes and imposts paid to Government, for example Petroleum Resources Rent Tax, royalties, excises, payroll taxes, stamp duties, fringe benefits tax and state taxes] </w:t>
      </w:r>
    </w:p>
    <w:p w14:paraId="2ABB021B" w14:textId="7808EC1D" w:rsidR="00256EDD" w:rsidRPr="00116433" w:rsidRDefault="00256EDD" w:rsidP="00FF3997">
      <w:r w:rsidRPr="00116433">
        <w:t xml:space="preserve">[Report </w:t>
      </w:r>
      <w:r w:rsidRPr="006967B1">
        <w:t>Government</w:t>
      </w:r>
      <w:r w:rsidRPr="00116433">
        <w:t xml:space="preserve"> imposts collected by the </w:t>
      </w:r>
      <w:r w:rsidR="002A500D" w:rsidRPr="00116433">
        <w:t xml:space="preserve">entity </w:t>
      </w:r>
      <w:r w:rsidRPr="00116433">
        <w:t xml:space="preserve">on behalf of others, for example, GST and Pay </w:t>
      </w:r>
      <w:proofErr w:type="gramStart"/>
      <w:r w:rsidRPr="00116433">
        <w:t>As</w:t>
      </w:r>
      <w:proofErr w:type="gramEnd"/>
      <w:r w:rsidRPr="00116433">
        <w:t xml:space="preserve"> You Go withholding taxes]</w:t>
      </w:r>
    </w:p>
    <w:p w14:paraId="3E54C43B" w14:textId="6993FE68" w:rsidR="006B2488" w:rsidRDefault="007F4FD9" w:rsidP="00D3505A">
      <w:pPr>
        <w:pStyle w:val="ChartGraphic"/>
      </w:pPr>
      <w:r w:rsidRPr="006B2488">
        <w:rPr>
          <w:noProof/>
        </w:rPr>
        <w:lastRenderedPageBreak/>
        <w:drawing>
          <wp:inline distT="0" distB="0" distL="0" distR="0" wp14:anchorId="5A88D7E2" wp14:editId="16D8B64E">
            <wp:extent cx="1799238" cy="1613110"/>
            <wp:effectExtent l="0" t="0" r="0" b="6350"/>
            <wp:docPr id="1603330031" name="Picture 1" descr="Australian map visual showing $85.6 million in total Australian taxes p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330031" name="Picture 1" descr="Australian map visual showing $85.6 million in total Australian taxes paid"/>
                    <pic:cNvPicPr/>
                  </pic:nvPicPr>
                  <pic:blipFill>
                    <a:blip r:embed="rId50"/>
                    <a:stretch>
                      <a:fillRect/>
                    </a:stretch>
                  </pic:blipFill>
                  <pic:spPr>
                    <a:xfrm>
                      <a:off x="0" y="0"/>
                      <a:ext cx="1819390" cy="1631177"/>
                    </a:xfrm>
                    <a:prstGeom prst="rect">
                      <a:avLst/>
                    </a:prstGeom>
                  </pic:spPr>
                </pic:pic>
              </a:graphicData>
            </a:graphic>
          </wp:inline>
        </w:drawing>
      </w:r>
      <w:r w:rsidR="00E64240">
        <w:rPr>
          <w:noProof/>
        </w:rPr>
        <w:t xml:space="preserve">    </w:t>
      </w:r>
      <w:r w:rsidR="00E64240" w:rsidRPr="00D3505A">
        <w:rPr>
          <w:noProof/>
        </w:rPr>
        <w:drawing>
          <wp:inline distT="0" distB="0" distL="0" distR="0" wp14:anchorId="6F5F78CF" wp14:editId="00F3C7D4">
            <wp:extent cx="3216051" cy="1832400"/>
            <wp:effectExtent l="0" t="0" r="3810" b="0"/>
            <wp:docPr id="1646784112" name="Picture 1" descr="Table showing percentage of different Australian taxes paid by PAA Ltd for the 2025 financial year including 27% in GST, 20% in corporate income tax, 43% in pay as you go withholding and 10% in payroll tax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784112" name="Picture 1" descr="Table showing percentage of different Australian taxes paid by PAA Ltd for the 2025 financial year including 27% in GST, 20% in corporate income tax, 43% in pay as you go withholding and 10% in payroll taxes "/>
                    <pic:cNvPicPr/>
                  </pic:nvPicPr>
                  <pic:blipFill>
                    <a:blip r:embed="rId51">
                      <a:extLst>
                        <a:ext uri="{28A0092B-C50C-407E-A947-70E740481C1C}">
                          <a14:useLocalDpi xmlns:a14="http://schemas.microsoft.com/office/drawing/2010/main" val="0"/>
                        </a:ext>
                      </a:extLst>
                    </a:blip>
                    <a:stretch>
                      <a:fillRect/>
                    </a:stretch>
                  </pic:blipFill>
                  <pic:spPr>
                    <a:xfrm>
                      <a:off x="0" y="0"/>
                      <a:ext cx="3216051" cy="1832400"/>
                    </a:xfrm>
                    <a:prstGeom prst="rect">
                      <a:avLst/>
                    </a:prstGeom>
                  </pic:spPr>
                </pic:pic>
              </a:graphicData>
            </a:graphic>
          </wp:inline>
        </w:drawing>
      </w:r>
    </w:p>
    <w:p w14:paraId="634C8E1D" w14:textId="05EE6BCE" w:rsidR="00256EDD" w:rsidRDefault="00256EDD" w:rsidP="00FF3997">
      <w:r>
        <w:t xml:space="preserve">In addition to </w:t>
      </w:r>
      <w:r w:rsidRPr="008A13FA">
        <w:t xml:space="preserve">corporate income tax, </w:t>
      </w:r>
      <w:r>
        <w:t>PAA</w:t>
      </w:r>
      <w:r w:rsidRPr="008A13FA">
        <w:t xml:space="preserve"> Ltd collected and </w:t>
      </w:r>
      <w:r w:rsidRPr="00652422">
        <w:t xml:space="preserve">paid </w:t>
      </w:r>
      <w:r w:rsidRPr="00652422">
        <w:rPr>
          <w:b/>
          <w:bCs/>
        </w:rPr>
        <w:t>$17.4 million</w:t>
      </w:r>
      <w:r w:rsidRPr="00652422">
        <w:t xml:space="preserve"> in other Australian taxes, and </w:t>
      </w:r>
      <w:r w:rsidRPr="00652422">
        <w:rPr>
          <w:b/>
          <w:bCs/>
        </w:rPr>
        <w:t>$53.4 million</w:t>
      </w:r>
      <w:r w:rsidRPr="00652422">
        <w:t xml:space="preserve"> in</w:t>
      </w:r>
      <w:r>
        <w:t xml:space="preserve"> government imposts collected on behalf of others. </w:t>
      </w:r>
    </w:p>
    <w:p w14:paraId="0AF4D33E" w14:textId="60F3B33B" w:rsidR="00256EDD" w:rsidRDefault="00256EDD" w:rsidP="00FF3997">
      <w:pPr>
        <w:rPr>
          <w:b/>
          <w:bCs/>
        </w:rPr>
      </w:pPr>
      <w:r>
        <w:t xml:space="preserve">These taxes are </w:t>
      </w:r>
      <w:r w:rsidRPr="00D3505A">
        <w:t>summarised</w:t>
      </w:r>
      <w:r>
        <w:t xml:space="preserve"> in the below table.</w:t>
      </w:r>
      <w:r>
        <w:rPr>
          <w:noProof/>
        </w:rPr>
        <w:t xml:space="preserve"> </w:t>
      </w:r>
    </w:p>
    <w:tbl>
      <w:tblPr>
        <w:tblStyle w:val="ListTable3-Accent1"/>
        <w:tblW w:w="5000" w:type="pct"/>
        <w:tblLook w:val="04A0" w:firstRow="1" w:lastRow="0" w:firstColumn="1" w:lastColumn="0" w:noHBand="0" w:noVBand="1"/>
      </w:tblPr>
      <w:tblGrid>
        <w:gridCol w:w="7494"/>
        <w:gridCol w:w="2137"/>
      </w:tblGrid>
      <w:tr w:rsidR="00256EDD" w:rsidRPr="00E31980" w14:paraId="6E492E12" w14:textId="77777777" w:rsidTr="002709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494" w:type="dxa"/>
            <w:vAlign w:val="center"/>
          </w:tcPr>
          <w:p w14:paraId="34DB8EF7" w14:textId="77777777" w:rsidR="00256EDD" w:rsidRPr="00C7303C" w:rsidRDefault="00256EDD" w:rsidP="0027095F">
            <w:pPr>
              <w:pStyle w:val="TableHeaderCellLeft"/>
              <w:rPr>
                <w:sz w:val="24"/>
                <w:szCs w:val="24"/>
              </w:rPr>
            </w:pPr>
            <w:bookmarkStart w:id="82" w:name="_Hlk211000257"/>
            <w:r w:rsidRPr="00C7303C">
              <w:rPr>
                <w:sz w:val="24"/>
                <w:szCs w:val="24"/>
              </w:rPr>
              <w:t>Total Australian tax contribution summary</w:t>
            </w:r>
          </w:p>
        </w:tc>
        <w:tc>
          <w:tcPr>
            <w:tcW w:w="2137" w:type="dxa"/>
            <w:vAlign w:val="center"/>
          </w:tcPr>
          <w:p w14:paraId="66087A50" w14:textId="77777777" w:rsidR="00256EDD" w:rsidRPr="00C7303C" w:rsidRDefault="00256EDD" w:rsidP="0027095F">
            <w:pPr>
              <w:pStyle w:val="TableHeaderCellRight"/>
              <w:cnfStyle w:val="100000000000" w:firstRow="1" w:lastRow="0" w:firstColumn="0" w:lastColumn="0" w:oddVBand="0" w:evenVBand="0" w:oddHBand="0" w:evenHBand="0" w:firstRowFirstColumn="0" w:firstRowLastColumn="0" w:lastRowFirstColumn="0" w:lastRowLastColumn="0"/>
              <w:rPr>
                <w:sz w:val="24"/>
                <w:szCs w:val="24"/>
              </w:rPr>
            </w:pPr>
            <w:r w:rsidRPr="00C7303C">
              <w:rPr>
                <w:sz w:val="24"/>
                <w:szCs w:val="24"/>
              </w:rPr>
              <w:t>2024-25 FY ($,000)</w:t>
            </w:r>
          </w:p>
        </w:tc>
      </w:tr>
      <w:tr w:rsidR="00EB7D70" w:rsidRPr="001738BD" w14:paraId="7D886869" w14:textId="77777777" w:rsidTr="00270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4" w:type="dxa"/>
            <w:shd w:val="clear" w:color="auto" w:fill="701F4D" w:themeFill="accent2"/>
            <w:vAlign w:val="center"/>
          </w:tcPr>
          <w:p w14:paraId="57B027A2" w14:textId="6D96A854" w:rsidR="00EB7D70" w:rsidRPr="00C7303C" w:rsidRDefault="00EB7D70" w:rsidP="00971F99">
            <w:pPr>
              <w:pStyle w:val="TableBodyCellLeft"/>
              <w:spacing w:before="120" w:after="120"/>
              <w:rPr>
                <w:rFonts w:cstheme="minorHAnsi"/>
                <w:color w:val="142147" w:themeColor="accent1"/>
                <w:sz w:val="22"/>
                <w:szCs w:val="22"/>
              </w:rPr>
            </w:pPr>
            <w:r w:rsidRPr="00C7303C">
              <w:rPr>
                <w:rFonts w:cstheme="minorHAnsi"/>
                <w:color w:val="FFFFFF" w:themeColor="background1"/>
                <w:sz w:val="22"/>
                <w:szCs w:val="22"/>
              </w:rPr>
              <w:t>Taxes borne by PAA Ltd</w:t>
            </w:r>
          </w:p>
        </w:tc>
        <w:tc>
          <w:tcPr>
            <w:tcW w:w="2137" w:type="dxa"/>
            <w:shd w:val="clear" w:color="auto" w:fill="701F4D" w:themeFill="accent2"/>
          </w:tcPr>
          <w:p w14:paraId="1BED66AB" w14:textId="77777777" w:rsidR="00EB7D70" w:rsidRPr="00C7303C" w:rsidRDefault="00EB7D70" w:rsidP="00D3505A">
            <w:pPr>
              <w:pStyle w:val="TableBodyCellRight"/>
              <w:cnfStyle w:val="000000100000" w:firstRow="0" w:lastRow="0" w:firstColumn="0" w:lastColumn="0" w:oddVBand="0" w:evenVBand="0" w:oddHBand="1" w:evenHBand="0" w:firstRowFirstColumn="0" w:firstRowLastColumn="0" w:lastRowFirstColumn="0" w:lastRowLastColumn="0"/>
              <w:rPr>
                <w:rFonts w:cstheme="minorHAnsi"/>
                <w:szCs w:val="22"/>
              </w:rPr>
            </w:pPr>
          </w:p>
        </w:tc>
      </w:tr>
      <w:tr w:rsidR="00256EDD" w:rsidRPr="001738BD" w14:paraId="2BFECF9C" w14:textId="77777777" w:rsidTr="00EB7D70">
        <w:tc>
          <w:tcPr>
            <w:cnfStyle w:val="001000000000" w:firstRow="0" w:lastRow="0" w:firstColumn="1" w:lastColumn="0" w:oddVBand="0" w:evenVBand="0" w:oddHBand="0" w:evenHBand="0" w:firstRowFirstColumn="0" w:firstRowLastColumn="0" w:lastRowFirstColumn="0" w:lastRowLastColumn="0"/>
            <w:tcW w:w="7494" w:type="dxa"/>
          </w:tcPr>
          <w:p w14:paraId="1388FDFA" w14:textId="77777777" w:rsidR="00256EDD" w:rsidRPr="00C7303C" w:rsidRDefault="00256EDD" w:rsidP="00D3505A">
            <w:pPr>
              <w:pStyle w:val="TableBodyCellLeft"/>
              <w:rPr>
                <w:rFonts w:cstheme="minorHAnsi"/>
                <w:b w:val="0"/>
                <w:color w:val="142147" w:themeColor="accent1"/>
                <w:sz w:val="22"/>
                <w:szCs w:val="22"/>
              </w:rPr>
            </w:pPr>
            <w:r w:rsidRPr="00C7303C">
              <w:rPr>
                <w:rFonts w:cstheme="minorHAnsi"/>
                <w:b w:val="0"/>
                <w:color w:val="142147" w:themeColor="accent1"/>
                <w:sz w:val="22"/>
                <w:szCs w:val="22"/>
              </w:rPr>
              <w:t>Corporate income tax</w:t>
            </w:r>
          </w:p>
        </w:tc>
        <w:tc>
          <w:tcPr>
            <w:tcW w:w="2137" w:type="dxa"/>
            <w:shd w:val="clear" w:color="auto" w:fill="F6F2ED" w:themeFill="accent3" w:themeFillTint="33"/>
          </w:tcPr>
          <w:p w14:paraId="09841AA5" w14:textId="77777777" w:rsidR="00256EDD" w:rsidRPr="00C7303C" w:rsidRDefault="00256EDD" w:rsidP="00D3505A">
            <w:pPr>
              <w:pStyle w:val="TableBodyCellRight"/>
              <w:cnfStyle w:val="000000000000" w:firstRow="0" w:lastRow="0" w:firstColumn="0" w:lastColumn="0" w:oddVBand="0" w:evenVBand="0" w:oddHBand="0" w:evenHBand="0" w:firstRowFirstColumn="0" w:firstRowLastColumn="0" w:lastRowFirstColumn="0" w:lastRowLastColumn="0"/>
              <w:rPr>
                <w:rFonts w:cstheme="minorHAnsi"/>
                <w:szCs w:val="22"/>
              </w:rPr>
            </w:pPr>
            <w:r w:rsidRPr="00C7303C">
              <w:rPr>
                <w:rFonts w:cstheme="minorHAnsi"/>
                <w:szCs w:val="22"/>
              </w:rPr>
              <w:t>14,898</w:t>
            </w:r>
          </w:p>
        </w:tc>
      </w:tr>
      <w:tr w:rsidR="00256EDD" w:rsidRPr="001738BD" w14:paraId="41FE15E8" w14:textId="77777777" w:rsidTr="00EB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4" w:type="dxa"/>
          </w:tcPr>
          <w:p w14:paraId="696F58D4" w14:textId="77777777" w:rsidR="00256EDD" w:rsidRPr="00C7303C" w:rsidRDefault="00256EDD" w:rsidP="00D3505A">
            <w:pPr>
              <w:pStyle w:val="TableBodyCellLeft"/>
              <w:rPr>
                <w:rFonts w:cstheme="minorHAnsi"/>
                <w:b w:val="0"/>
                <w:color w:val="142147" w:themeColor="accent1"/>
                <w:sz w:val="22"/>
                <w:szCs w:val="22"/>
              </w:rPr>
            </w:pPr>
            <w:r w:rsidRPr="00C7303C">
              <w:rPr>
                <w:rFonts w:cstheme="minorHAnsi"/>
                <w:b w:val="0"/>
                <w:color w:val="142147" w:themeColor="accent1"/>
                <w:sz w:val="22"/>
                <w:szCs w:val="22"/>
              </w:rPr>
              <w:t>Fringe benefits tax (FBT)</w:t>
            </w:r>
          </w:p>
        </w:tc>
        <w:tc>
          <w:tcPr>
            <w:tcW w:w="2137" w:type="dxa"/>
            <w:shd w:val="clear" w:color="auto" w:fill="F6F2ED" w:themeFill="accent3" w:themeFillTint="33"/>
          </w:tcPr>
          <w:p w14:paraId="6FAFAFF4" w14:textId="77777777" w:rsidR="00256EDD" w:rsidRPr="00C7303C" w:rsidRDefault="00256EDD" w:rsidP="00D3505A">
            <w:pPr>
              <w:pStyle w:val="TableBodyCellRight"/>
              <w:cnfStyle w:val="000000100000" w:firstRow="0" w:lastRow="0" w:firstColumn="0" w:lastColumn="0" w:oddVBand="0" w:evenVBand="0" w:oddHBand="1" w:evenHBand="0" w:firstRowFirstColumn="0" w:firstRowLastColumn="0" w:lastRowFirstColumn="0" w:lastRowLastColumn="0"/>
              <w:rPr>
                <w:rFonts w:cstheme="minorHAnsi"/>
                <w:szCs w:val="22"/>
              </w:rPr>
            </w:pPr>
            <w:r w:rsidRPr="00C7303C">
              <w:rPr>
                <w:rFonts w:cstheme="minorHAnsi"/>
                <w:szCs w:val="22"/>
              </w:rPr>
              <w:t>600</w:t>
            </w:r>
          </w:p>
        </w:tc>
      </w:tr>
      <w:tr w:rsidR="00256EDD" w:rsidRPr="001738BD" w14:paraId="6000D2FE" w14:textId="77777777" w:rsidTr="00EB7D70">
        <w:tc>
          <w:tcPr>
            <w:cnfStyle w:val="001000000000" w:firstRow="0" w:lastRow="0" w:firstColumn="1" w:lastColumn="0" w:oddVBand="0" w:evenVBand="0" w:oddHBand="0" w:evenHBand="0" w:firstRowFirstColumn="0" w:firstRowLastColumn="0" w:lastRowFirstColumn="0" w:lastRowLastColumn="0"/>
            <w:tcW w:w="7494" w:type="dxa"/>
          </w:tcPr>
          <w:p w14:paraId="4B9B3F45" w14:textId="77777777" w:rsidR="00256EDD" w:rsidRPr="00C7303C" w:rsidRDefault="00256EDD" w:rsidP="00D3505A">
            <w:pPr>
              <w:pStyle w:val="TableBodyCellLeft"/>
              <w:rPr>
                <w:rFonts w:cstheme="minorHAnsi"/>
                <w:b w:val="0"/>
                <w:color w:val="142147" w:themeColor="accent1"/>
                <w:sz w:val="22"/>
                <w:szCs w:val="22"/>
              </w:rPr>
            </w:pPr>
            <w:r w:rsidRPr="00C7303C">
              <w:rPr>
                <w:rFonts w:cstheme="minorHAnsi"/>
                <w:b w:val="0"/>
                <w:color w:val="142147" w:themeColor="accent1"/>
                <w:sz w:val="22"/>
                <w:szCs w:val="22"/>
              </w:rPr>
              <w:t>Payroll taxes</w:t>
            </w:r>
          </w:p>
        </w:tc>
        <w:tc>
          <w:tcPr>
            <w:tcW w:w="2137" w:type="dxa"/>
            <w:shd w:val="clear" w:color="auto" w:fill="F6F2ED" w:themeFill="accent3" w:themeFillTint="33"/>
          </w:tcPr>
          <w:p w14:paraId="1DD719AD" w14:textId="77777777" w:rsidR="00256EDD" w:rsidRPr="00C7303C" w:rsidRDefault="00256EDD" w:rsidP="00D3505A">
            <w:pPr>
              <w:pStyle w:val="TableBodyCellRight"/>
              <w:cnfStyle w:val="000000000000" w:firstRow="0" w:lastRow="0" w:firstColumn="0" w:lastColumn="0" w:oddVBand="0" w:evenVBand="0" w:oddHBand="0" w:evenHBand="0" w:firstRowFirstColumn="0" w:firstRowLastColumn="0" w:lastRowFirstColumn="0" w:lastRowLastColumn="0"/>
              <w:rPr>
                <w:rFonts w:cstheme="minorHAnsi"/>
                <w:szCs w:val="22"/>
              </w:rPr>
            </w:pPr>
            <w:r w:rsidRPr="00C7303C">
              <w:rPr>
                <w:rFonts w:cstheme="minorHAnsi"/>
                <w:szCs w:val="22"/>
              </w:rPr>
              <w:t>7,233</w:t>
            </w:r>
          </w:p>
        </w:tc>
      </w:tr>
      <w:tr w:rsidR="00256EDD" w:rsidRPr="001738BD" w14:paraId="354EAE85" w14:textId="77777777" w:rsidTr="00EB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4" w:type="dxa"/>
          </w:tcPr>
          <w:p w14:paraId="1AAB4F9D" w14:textId="77777777" w:rsidR="00256EDD" w:rsidRPr="00C7303C" w:rsidRDefault="00256EDD" w:rsidP="00D3505A">
            <w:pPr>
              <w:pStyle w:val="TableBodyCellLeft"/>
              <w:rPr>
                <w:rFonts w:cstheme="minorHAnsi"/>
                <w:b w:val="0"/>
                <w:color w:val="142147" w:themeColor="accent1"/>
                <w:sz w:val="22"/>
                <w:szCs w:val="22"/>
              </w:rPr>
            </w:pPr>
            <w:r w:rsidRPr="00C7303C">
              <w:rPr>
                <w:rFonts w:cstheme="minorHAnsi"/>
                <w:b w:val="0"/>
                <w:color w:val="142147" w:themeColor="accent1"/>
                <w:sz w:val="22"/>
                <w:szCs w:val="22"/>
              </w:rPr>
              <w:t xml:space="preserve">Property taxes </w:t>
            </w:r>
          </w:p>
        </w:tc>
        <w:tc>
          <w:tcPr>
            <w:tcW w:w="2137" w:type="dxa"/>
            <w:shd w:val="clear" w:color="auto" w:fill="F6F2ED" w:themeFill="accent3" w:themeFillTint="33"/>
          </w:tcPr>
          <w:p w14:paraId="3919FEBF" w14:textId="77777777" w:rsidR="00256EDD" w:rsidRPr="00C7303C" w:rsidRDefault="00256EDD" w:rsidP="00D3505A">
            <w:pPr>
              <w:pStyle w:val="TableBodyCellRight"/>
              <w:cnfStyle w:val="000000100000" w:firstRow="0" w:lastRow="0" w:firstColumn="0" w:lastColumn="0" w:oddVBand="0" w:evenVBand="0" w:oddHBand="1" w:evenHBand="0" w:firstRowFirstColumn="0" w:firstRowLastColumn="0" w:lastRowFirstColumn="0" w:lastRowLastColumn="0"/>
              <w:rPr>
                <w:rFonts w:cstheme="minorHAnsi"/>
                <w:szCs w:val="22"/>
              </w:rPr>
            </w:pPr>
            <w:r w:rsidRPr="00C7303C">
              <w:rPr>
                <w:rFonts w:cstheme="minorHAnsi"/>
                <w:szCs w:val="22"/>
              </w:rPr>
              <w:t>5,800</w:t>
            </w:r>
          </w:p>
        </w:tc>
      </w:tr>
      <w:tr w:rsidR="00256EDD" w:rsidRPr="001738BD" w14:paraId="5B706A84" w14:textId="77777777" w:rsidTr="00EB7D70">
        <w:tc>
          <w:tcPr>
            <w:cnfStyle w:val="001000000000" w:firstRow="0" w:lastRow="0" w:firstColumn="1" w:lastColumn="0" w:oddVBand="0" w:evenVBand="0" w:oddHBand="0" w:evenHBand="0" w:firstRowFirstColumn="0" w:firstRowLastColumn="0" w:lastRowFirstColumn="0" w:lastRowLastColumn="0"/>
            <w:tcW w:w="7494" w:type="dxa"/>
          </w:tcPr>
          <w:p w14:paraId="2689E295" w14:textId="77777777" w:rsidR="00256EDD" w:rsidRPr="00C7303C" w:rsidRDefault="00256EDD" w:rsidP="00D3505A">
            <w:pPr>
              <w:pStyle w:val="TableBodyCellLeft"/>
              <w:rPr>
                <w:rFonts w:cstheme="minorHAnsi"/>
                <w:b w:val="0"/>
                <w:color w:val="142147" w:themeColor="accent1"/>
                <w:sz w:val="22"/>
                <w:szCs w:val="22"/>
              </w:rPr>
            </w:pPr>
            <w:r w:rsidRPr="00C7303C">
              <w:rPr>
                <w:rFonts w:cstheme="minorHAnsi"/>
                <w:b w:val="0"/>
                <w:color w:val="142147" w:themeColor="accent1"/>
                <w:sz w:val="22"/>
                <w:szCs w:val="22"/>
              </w:rPr>
              <w:t xml:space="preserve">Stamp duty </w:t>
            </w:r>
          </w:p>
        </w:tc>
        <w:tc>
          <w:tcPr>
            <w:tcW w:w="2137" w:type="dxa"/>
            <w:shd w:val="clear" w:color="auto" w:fill="F6F2ED" w:themeFill="accent3" w:themeFillTint="33"/>
          </w:tcPr>
          <w:p w14:paraId="12C645CC" w14:textId="77777777" w:rsidR="00256EDD" w:rsidRPr="00C7303C" w:rsidRDefault="00256EDD" w:rsidP="00D3505A">
            <w:pPr>
              <w:pStyle w:val="TableBodyCellRight"/>
              <w:cnfStyle w:val="000000000000" w:firstRow="0" w:lastRow="0" w:firstColumn="0" w:lastColumn="0" w:oddVBand="0" w:evenVBand="0" w:oddHBand="0" w:evenHBand="0" w:firstRowFirstColumn="0" w:firstRowLastColumn="0" w:lastRowFirstColumn="0" w:lastRowLastColumn="0"/>
              <w:rPr>
                <w:rFonts w:cstheme="minorHAnsi"/>
                <w:szCs w:val="22"/>
              </w:rPr>
            </w:pPr>
            <w:r w:rsidRPr="00C7303C">
              <w:rPr>
                <w:rFonts w:cstheme="minorHAnsi"/>
                <w:szCs w:val="22"/>
              </w:rPr>
              <w:t>1,200</w:t>
            </w:r>
          </w:p>
        </w:tc>
      </w:tr>
      <w:tr w:rsidR="00256EDD" w:rsidRPr="001738BD" w14:paraId="35F17278" w14:textId="77777777" w:rsidTr="00EB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4" w:type="dxa"/>
          </w:tcPr>
          <w:p w14:paraId="02B327C4" w14:textId="77777777" w:rsidR="00256EDD" w:rsidRPr="00C7303C" w:rsidRDefault="00256EDD" w:rsidP="00D3505A">
            <w:pPr>
              <w:pStyle w:val="TableBodyCellLeft"/>
              <w:rPr>
                <w:rFonts w:cstheme="minorHAnsi"/>
                <w:b w:val="0"/>
                <w:color w:val="142147" w:themeColor="accent1"/>
                <w:sz w:val="22"/>
                <w:szCs w:val="22"/>
              </w:rPr>
            </w:pPr>
            <w:r w:rsidRPr="00C7303C">
              <w:rPr>
                <w:rFonts w:cstheme="minorHAnsi"/>
                <w:b w:val="0"/>
                <w:color w:val="142147" w:themeColor="accent1"/>
                <w:sz w:val="22"/>
                <w:szCs w:val="22"/>
              </w:rPr>
              <w:t xml:space="preserve">Other local taxes and levies </w:t>
            </w:r>
          </w:p>
        </w:tc>
        <w:tc>
          <w:tcPr>
            <w:tcW w:w="2137" w:type="dxa"/>
            <w:shd w:val="clear" w:color="auto" w:fill="F6F2ED" w:themeFill="accent3" w:themeFillTint="33"/>
          </w:tcPr>
          <w:p w14:paraId="2E094D91" w14:textId="77777777" w:rsidR="00256EDD" w:rsidRPr="00C7303C" w:rsidRDefault="00256EDD" w:rsidP="00D3505A">
            <w:pPr>
              <w:pStyle w:val="TableBodyCellRight"/>
              <w:cnfStyle w:val="000000100000" w:firstRow="0" w:lastRow="0" w:firstColumn="0" w:lastColumn="0" w:oddVBand="0" w:evenVBand="0" w:oddHBand="1" w:evenHBand="0" w:firstRowFirstColumn="0" w:firstRowLastColumn="0" w:lastRowFirstColumn="0" w:lastRowLastColumn="0"/>
              <w:rPr>
                <w:rFonts w:cstheme="minorHAnsi"/>
                <w:szCs w:val="22"/>
              </w:rPr>
            </w:pPr>
            <w:r w:rsidRPr="00C7303C">
              <w:rPr>
                <w:rFonts w:cstheme="minorHAnsi"/>
                <w:szCs w:val="22"/>
              </w:rPr>
              <w:t>2,581</w:t>
            </w:r>
          </w:p>
        </w:tc>
      </w:tr>
      <w:tr w:rsidR="00256EDD" w:rsidRPr="001738BD" w14:paraId="0614026B" w14:textId="77777777" w:rsidTr="00EB7D70">
        <w:tc>
          <w:tcPr>
            <w:cnfStyle w:val="001000000000" w:firstRow="0" w:lastRow="0" w:firstColumn="1" w:lastColumn="0" w:oddVBand="0" w:evenVBand="0" w:oddHBand="0" w:evenHBand="0" w:firstRowFirstColumn="0" w:firstRowLastColumn="0" w:lastRowFirstColumn="0" w:lastRowLastColumn="0"/>
            <w:tcW w:w="7494" w:type="dxa"/>
          </w:tcPr>
          <w:p w14:paraId="0AC13851" w14:textId="77777777" w:rsidR="00256EDD" w:rsidRPr="00C7303C" w:rsidRDefault="00256EDD" w:rsidP="00D3505A">
            <w:pPr>
              <w:pStyle w:val="TableBodyCellLeft"/>
              <w:rPr>
                <w:rFonts w:cstheme="minorHAnsi"/>
                <w:sz w:val="22"/>
                <w:szCs w:val="22"/>
              </w:rPr>
            </w:pPr>
            <w:r w:rsidRPr="00C7303C">
              <w:rPr>
                <w:rFonts w:cstheme="minorHAnsi"/>
                <w:sz w:val="22"/>
                <w:szCs w:val="22"/>
              </w:rPr>
              <w:t xml:space="preserve">Total taxes borne by PAA Ltd in Australia </w:t>
            </w:r>
          </w:p>
        </w:tc>
        <w:tc>
          <w:tcPr>
            <w:tcW w:w="2137" w:type="dxa"/>
            <w:shd w:val="clear" w:color="auto" w:fill="F6F2ED" w:themeFill="accent3" w:themeFillTint="33"/>
          </w:tcPr>
          <w:p w14:paraId="319A4349" w14:textId="77777777" w:rsidR="00256EDD" w:rsidRPr="00C7303C" w:rsidRDefault="00256EDD" w:rsidP="00D3505A">
            <w:pPr>
              <w:pStyle w:val="TableBodyCellRight"/>
              <w:cnfStyle w:val="000000000000" w:firstRow="0" w:lastRow="0" w:firstColumn="0" w:lastColumn="0" w:oddVBand="0" w:evenVBand="0" w:oddHBand="0" w:evenHBand="0" w:firstRowFirstColumn="0" w:firstRowLastColumn="0" w:lastRowFirstColumn="0" w:lastRowLastColumn="0"/>
              <w:rPr>
                <w:rFonts w:cstheme="minorHAnsi"/>
                <w:b/>
                <w:bCs/>
                <w:szCs w:val="22"/>
              </w:rPr>
            </w:pPr>
            <w:r w:rsidRPr="00C7303C">
              <w:rPr>
                <w:rFonts w:cstheme="minorHAnsi"/>
                <w:b/>
                <w:bCs/>
                <w:szCs w:val="22"/>
              </w:rPr>
              <w:t>32,312</w:t>
            </w:r>
          </w:p>
        </w:tc>
      </w:tr>
      <w:tr w:rsidR="00EB7D70" w:rsidRPr="001738BD" w14:paraId="04CB3000" w14:textId="77777777" w:rsidTr="00270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4" w:type="dxa"/>
            <w:shd w:val="clear" w:color="auto" w:fill="701F4D" w:themeFill="accent2"/>
            <w:vAlign w:val="center"/>
          </w:tcPr>
          <w:p w14:paraId="470B8C55" w14:textId="36E01547" w:rsidR="00EB7D70" w:rsidRPr="00C7303C" w:rsidRDefault="00EB7D70" w:rsidP="0027095F">
            <w:pPr>
              <w:rPr>
                <w:rFonts w:asciiTheme="minorHAnsi" w:hAnsiTheme="minorHAnsi" w:cstheme="minorHAnsi"/>
                <w:color w:val="142147" w:themeColor="accent1"/>
              </w:rPr>
            </w:pPr>
            <w:r w:rsidRPr="00C7303C">
              <w:rPr>
                <w:rFonts w:asciiTheme="minorHAnsi" w:hAnsiTheme="minorHAnsi" w:cstheme="minorHAnsi"/>
                <w:bCs w:val="0"/>
                <w:color w:val="FFFFFF" w:themeColor="background1"/>
              </w:rPr>
              <w:t>Taxes collected by PAA Ltd on behalf of others</w:t>
            </w:r>
          </w:p>
        </w:tc>
        <w:tc>
          <w:tcPr>
            <w:tcW w:w="2137" w:type="dxa"/>
            <w:shd w:val="clear" w:color="auto" w:fill="701F4D" w:themeFill="accent2"/>
          </w:tcPr>
          <w:p w14:paraId="21138467" w14:textId="77777777" w:rsidR="00EB7D70" w:rsidRPr="00C7303C" w:rsidRDefault="00EB7D7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42147" w:themeColor="accent1"/>
              </w:rPr>
            </w:pPr>
          </w:p>
        </w:tc>
      </w:tr>
      <w:tr w:rsidR="00256EDD" w:rsidRPr="001738BD" w14:paraId="020C76D2" w14:textId="77777777" w:rsidTr="00EB7D70">
        <w:tc>
          <w:tcPr>
            <w:cnfStyle w:val="001000000000" w:firstRow="0" w:lastRow="0" w:firstColumn="1" w:lastColumn="0" w:oddVBand="0" w:evenVBand="0" w:oddHBand="0" w:evenHBand="0" w:firstRowFirstColumn="0" w:firstRowLastColumn="0" w:lastRowFirstColumn="0" w:lastRowLastColumn="0"/>
            <w:tcW w:w="7494" w:type="dxa"/>
          </w:tcPr>
          <w:p w14:paraId="2B585EA8" w14:textId="77777777" w:rsidR="00256EDD" w:rsidRPr="00C7303C" w:rsidRDefault="00256EDD" w:rsidP="00D3505A">
            <w:pPr>
              <w:pStyle w:val="TableBodyCellLeft"/>
              <w:rPr>
                <w:rFonts w:cstheme="minorHAnsi"/>
                <w:b w:val="0"/>
                <w:bCs w:val="0"/>
                <w:sz w:val="22"/>
                <w:szCs w:val="22"/>
              </w:rPr>
            </w:pPr>
            <w:r w:rsidRPr="00C7303C">
              <w:rPr>
                <w:rFonts w:cstheme="minorHAnsi"/>
                <w:b w:val="0"/>
                <w:bCs w:val="0"/>
                <w:sz w:val="22"/>
                <w:szCs w:val="22"/>
              </w:rPr>
              <w:t xml:space="preserve">Net GST </w:t>
            </w:r>
          </w:p>
        </w:tc>
        <w:tc>
          <w:tcPr>
            <w:tcW w:w="2137" w:type="dxa"/>
            <w:shd w:val="clear" w:color="auto" w:fill="F6F2ED" w:themeFill="accent3" w:themeFillTint="33"/>
          </w:tcPr>
          <w:p w14:paraId="78341B69" w14:textId="77777777" w:rsidR="00256EDD" w:rsidRPr="00C7303C" w:rsidRDefault="00256EDD" w:rsidP="00D3505A">
            <w:pPr>
              <w:pStyle w:val="TableBodyCellRight"/>
              <w:cnfStyle w:val="000000000000" w:firstRow="0" w:lastRow="0" w:firstColumn="0" w:lastColumn="0" w:oddVBand="0" w:evenVBand="0" w:oddHBand="0" w:evenHBand="0" w:firstRowFirstColumn="0" w:firstRowLastColumn="0" w:lastRowFirstColumn="0" w:lastRowLastColumn="0"/>
              <w:rPr>
                <w:rFonts w:cstheme="minorHAnsi"/>
                <w:szCs w:val="22"/>
              </w:rPr>
            </w:pPr>
            <w:r w:rsidRPr="00C7303C">
              <w:rPr>
                <w:rFonts w:cstheme="minorHAnsi"/>
                <w:szCs w:val="22"/>
              </w:rPr>
              <w:t>20,467</w:t>
            </w:r>
          </w:p>
        </w:tc>
      </w:tr>
      <w:tr w:rsidR="00256EDD" w:rsidRPr="001738BD" w14:paraId="1A3D25AD" w14:textId="77777777" w:rsidTr="00EB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4" w:type="dxa"/>
          </w:tcPr>
          <w:p w14:paraId="33370A84" w14:textId="77777777" w:rsidR="00256EDD" w:rsidRPr="00C7303C" w:rsidRDefault="00256EDD" w:rsidP="00D3505A">
            <w:pPr>
              <w:pStyle w:val="TableBodyCellLeft"/>
              <w:rPr>
                <w:rFonts w:cstheme="minorHAnsi"/>
                <w:b w:val="0"/>
                <w:bCs w:val="0"/>
                <w:sz w:val="22"/>
                <w:szCs w:val="22"/>
              </w:rPr>
            </w:pPr>
            <w:r w:rsidRPr="00C7303C">
              <w:rPr>
                <w:rFonts w:cstheme="minorHAnsi"/>
                <w:b w:val="0"/>
                <w:bCs w:val="0"/>
                <w:sz w:val="22"/>
                <w:szCs w:val="22"/>
              </w:rPr>
              <w:t xml:space="preserve">Pay As You Go Withholding </w:t>
            </w:r>
          </w:p>
        </w:tc>
        <w:tc>
          <w:tcPr>
            <w:tcW w:w="2137" w:type="dxa"/>
            <w:shd w:val="clear" w:color="auto" w:fill="F6F2ED" w:themeFill="accent3" w:themeFillTint="33"/>
          </w:tcPr>
          <w:p w14:paraId="619B3495" w14:textId="77777777" w:rsidR="00256EDD" w:rsidRPr="00C7303C" w:rsidRDefault="00256EDD" w:rsidP="00D3505A">
            <w:pPr>
              <w:pStyle w:val="TableBodyCellRight"/>
              <w:cnfStyle w:val="000000100000" w:firstRow="0" w:lastRow="0" w:firstColumn="0" w:lastColumn="0" w:oddVBand="0" w:evenVBand="0" w:oddHBand="1" w:evenHBand="0" w:firstRowFirstColumn="0" w:firstRowLastColumn="0" w:lastRowFirstColumn="0" w:lastRowLastColumn="0"/>
              <w:rPr>
                <w:rFonts w:cstheme="minorHAnsi"/>
                <w:szCs w:val="22"/>
              </w:rPr>
            </w:pPr>
            <w:r w:rsidRPr="00C7303C">
              <w:rPr>
                <w:rFonts w:cstheme="minorHAnsi"/>
                <w:szCs w:val="22"/>
              </w:rPr>
              <w:t>32,900</w:t>
            </w:r>
          </w:p>
        </w:tc>
      </w:tr>
      <w:tr w:rsidR="00256EDD" w:rsidRPr="001738BD" w14:paraId="6236BAC5" w14:textId="77777777" w:rsidTr="00EB7D70">
        <w:tc>
          <w:tcPr>
            <w:cnfStyle w:val="001000000000" w:firstRow="0" w:lastRow="0" w:firstColumn="1" w:lastColumn="0" w:oddVBand="0" w:evenVBand="0" w:oddHBand="0" w:evenHBand="0" w:firstRowFirstColumn="0" w:firstRowLastColumn="0" w:lastRowFirstColumn="0" w:lastRowLastColumn="0"/>
            <w:tcW w:w="7494" w:type="dxa"/>
          </w:tcPr>
          <w:p w14:paraId="36DB26C1" w14:textId="77777777" w:rsidR="00256EDD" w:rsidRPr="00C7303C" w:rsidRDefault="00256EDD" w:rsidP="00D3505A">
            <w:pPr>
              <w:pStyle w:val="TableBodyCellLeft"/>
              <w:rPr>
                <w:rFonts w:cstheme="minorHAnsi"/>
                <w:sz w:val="22"/>
                <w:szCs w:val="22"/>
              </w:rPr>
            </w:pPr>
            <w:r w:rsidRPr="00C7303C">
              <w:rPr>
                <w:rFonts w:cstheme="minorHAnsi"/>
                <w:sz w:val="22"/>
                <w:szCs w:val="22"/>
              </w:rPr>
              <w:t xml:space="preserve">Total taxes collected on behalf of others </w:t>
            </w:r>
          </w:p>
        </w:tc>
        <w:tc>
          <w:tcPr>
            <w:tcW w:w="2137" w:type="dxa"/>
            <w:shd w:val="clear" w:color="auto" w:fill="F6F2ED" w:themeFill="accent3" w:themeFillTint="33"/>
          </w:tcPr>
          <w:p w14:paraId="106A89D7" w14:textId="77777777" w:rsidR="00256EDD" w:rsidRPr="00C7303C" w:rsidRDefault="00256EDD" w:rsidP="00D3505A">
            <w:pPr>
              <w:pStyle w:val="TableBodyCellRight"/>
              <w:cnfStyle w:val="000000000000" w:firstRow="0" w:lastRow="0" w:firstColumn="0" w:lastColumn="0" w:oddVBand="0" w:evenVBand="0" w:oddHBand="0" w:evenHBand="0" w:firstRowFirstColumn="0" w:firstRowLastColumn="0" w:lastRowFirstColumn="0" w:lastRowLastColumn="0"/>
              <w:rPr>
                <w:rFonts w:cstheme="minorHAnsi"/>
                <w:b/>
                <w:bCs/>
                <w:szCs w:val="22"/>
              </w:rPr>
            </w:pPr>
            <w:r w:rsidRPr="00C7303C">
              <w:rPr>
                <w:rFonts w:cstheme="minorHAnsi"/>
                <w:b/>
                <w:bCs/>
                <w:szCs w:val="22"/>
              </w:rPr>
              <w:t>53,367</w:t>
            </w:r>
          </w:p>
        </w:tc>
      </w:tr>
      <w:tr w:rsidR="00256EDD" w:rsidRPr="001738BD" w14:paraId="428CB216" w14:textId="77777777" w:rsidTr="00270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4" w:type="dxa"/>
            <w:shd w:val="clear" w:color="auto" w:fill="D4C2A8" w:themeFill="accent3"/>
            <w:vAlign w:val="center"/>
          </w:tcPr>
          <w:p w14:paraId="68A80436" w14:textId="77777777" w:rsidR="00256EDD" w:rsidRPr="00C7303C" w:rsidRDefault="00256EDD" w:rsidP="0027095F">
            <w:pPr>
              <w:pStyle w:val="TableBodyCellLeft"/>
              <w:rPr>
                <w:rFonts w:cstheme="minorHAnsi"/>
                <w:sz w:val="22"/>
                <w:szCs w:val="22"/>
              </w:rPr>
            </w:pPr>
            <w:r w:rsidRPr="00C7303C">
              <w:rPr>
                <w:rFonts w:cstheme="minorHAnsi"/>
                <w:color w:val="701F4D" w:themeColor="accent2"/>
                <w:sz w:val="22"/>
                <w:szCs w:val="22"/>
              </w:rPr>
              <w:t xml:space="preserve">Total taxes paid </w:t>
            </w:r>
          </w:p>
        </w:tc>
        <w:tc>
          <w:tcPr>
            <w:tcW w:w="2137" w:type="dxa"/>
            <w:shd w:val="clear" w:color="auto" w:fill="D4C2A8" w:themeFill="accent3"/>
            <w:vAlign w:val="center"/>
          </w:tcPr>
          <w:p w14:paraId="10B673FF" w14:textId="77777777" w:rsidR="00256EDD" w:rsidRPr="00C7303C" w:rsidRDefault="00256EDD" w:rsidP="0027095F">
            <w:pPr>
              <w:pStyle w:val="TableBodyCellRight"/>
              <w:spacing w:before="20" w:after="20"/>
              <w:cnfStyle w:val="000000100000" w:firstRow="0" w:lastRow="0" w:firstColumn="0" w:lastColumn="0" w:oddVBand="0" w:evenVBand="0" w:oddHBand="1" w:evenHBand="0" w:firstRowFirstColumn="0" w:firstRowLastColumn="0" w:lastRowFirstColumn="0" w:lastRowLastColumn="0"/>
              <w:rPr>
                <w:rFonts w:cstheme="minorHAnsi"/>
                <w:b/>
                <w:bCs/>
                <w:color w:val="701F4D" w:themeColor="accent2"/>
                <w:szCs w:val="22"/>
              </w:rPr>
            </w:pPr>
            <w:r w:rsidRPr="00C7303C">
              <w:rPr>
                <w:rFonts w:cstheme="minorHAnsi"/>
                <w:b/>
                <w:bCs/>
                <w:color w:val="701F4D" w:themeColor="accent2"/>
                <w:szCs w:val="22"/>
              </w:rPr>
              <w:t>85,679</w:t>
            </w:r>
          </w:p>
        </w:tc>
      </w:tr>
      <w:bookmarkEnd w:id="82"/>
    </w:tbl>
    <w:p w14:paraId="6998890F" w14:textId="77777777" w:rsidR="00D3505A" w:rsidRPr="00D3505A" w:rsidRDefault="00D3505A" w:rsidP="00D3505A">
      <w:r>
        <w:br w:type="page"/>
      </w:r>
    </w:p>
    <w:p w14:paraId="267C1A86" w14:textId="6DDD9B37" w:rsidR="00BD4078" w:rsidRPr="005812D0" w:rsidRDefault="00BD4078" w:rsidP="00BD4078">
      <w:pPr>
        <w:pStyle w:val="Heading3"/>
      </w:pPr>
      <w:r>
        <w:lastRenderedPageBreak/>
        <w:t xml:space="preserve">Effective Tax Rate </w:t>
      </w:r>
    </w:p>
    <w:tbl>
      <w:tblPr>
        <w:tblStyle w:val="ListTable3-Accent2"/>
        <w:tblW w:w="5000" w:type="pct"/>
        <w:tblLook w:val="04A0" w:firstRow="1" w:lastRow="0" w:firstColumn="1" w:lastColumn="0" w:noHBand="0" w:noVBand="1"/>
      </w:tblPr>
      <w:tblGrid>
        <w:gridCol w:w="9636"/>
      </w:tblGrid>
      <w:tr w:rsidR="00BD4078" w14:paraId="14643322" w14:textId="77777777" w:rsidTr="00E319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tcPr>
          <w:p w14:paraId="0212556F" w14:textId="32C0EED7" w:rsidR="00BD4078" w:rsidRPr="003D062B" w:rsidRDefault="00BD4078" w:rsidP="003D062B">
            <w:pPr>
              <w:pStyle w:val="BoxText"/>
              <w:jc w:val="center"/>
              <w:rPr>
                <w:b/>
                <w:bCs w:val="0"/>
              </w:rPr>
            </w:pPr>
            <w:r w:rsidRPr="003D062B">
              <w:rPr>
                <w:b/>
                <w:bCs w:val="0"/>
              </w:rPr>
              <w:t>25% Australian ETR</w:t>
            </w:r>
          </w:p>
        </w:tc>
      </w:tr>
    </w:tbl>
    <w:p w14:paraId="630A4E7B" w14:textId="13DD8ABF" w:rsidR="00BD4078" w:rsidRDefault="004C5F9F" w:rsidP="00FF3997">
      <w:pPr>
        <w:rPr>
          <w:rFonts w:asciiTheme="minorHAnsi" w:hAnsiTheme="minorHAnsi" w:cstheme="minorHAnsi"/>
          <w:b/>
          <w:bCs/>
        </w:rPr>
      </w:pPr>
      <w:r w:rsidRPr="00B52B2A">
        <w:t>PAA</w:t>
      </w:r>
      <w:r w:rsidR="00BD4078" w:rsidRPr="00B52B2A">
        <w:t xml:space="preserve"> </w:t>
      </w:r>
      <w:r w:rsidR="007F1D2E" w:rsidRPr="00B52B2A">
        <w:t>Ltd.’s</w:t>
      </w:r>
      <w:r w:rsidR="00BD4078" w:rsidRPr="00B52B2A">
        <w:t xml:space="preserve"> Australian effective tax rate (corporate income tax) for the </w:t>
      </w:r>
      <w:r w:rsidR="00FE688C" w:rsidRPr="00B52B2A">
        <w:t>2025</w:t>
      </w:r>
      <w:r w:rsidR="00BD4078" w:rsidRPr="00B52B2A">
        <w:t xml:space="preserve"> financial year was </w:t>
      </w:r>
      <w:r w:rsidR="00BD4078" w:rsidRPr="00B52B2A">
        <w:rPr>
          <w:rFonts w:asciiTheme="minorHAnsi" w:hAnsiTheme="minorHAnsi" w:cstheme="minorHAnsi"/>
          <w:b/>
          <w:bCs/>
        </w:rPr>
        <w:t>25%.</w:t>
      </w:r>
    </w:p>
    <w:p w14:paraId="1C60CAA1" w14:textId="77777777" w:rsidR="00323589" w:rsidRDefault="00323589" w:rsidP="00FF3997">
      <w:r w:rsidRPr="00356588">
        <w:t xml:space="preserve">The ETR was calculated using the AASB’s TTC ETR </w:t>
      </w:r>
      <w:r>
        <w:t xml:space="preserve">(a non-IFRS ratio) </w:t>
      </w:r>
      <w:r w:rsidRPr="00356588">
        <w:t>utilising company tax expenses divided by accounting profit</w:t>
      </w:r>
      <w:r>
        <w:t xml:space="preserve"> before tax</w:t>
      </w:r>
      <w:r w:rsidRPr="00356588">
        <w:t>.</w:t>
      </w:r>
      <w:r>
        <w:t xml:space="preserve"> The following underlying assumptions apply: </w:t>
      </w:r>
    </w:p>
    <w:p w14:paraId="484A354A" w14:textId="77777777" w:rsidR="00323589" w:rsidRPr="00FF3997" w:rsidRDefault="00323589" w:rsidP="00FF3997">
      <w:pPr>
        <w:pStyle w:val="Bullet"/>
      </w:pPr>
      <w:r w:rsidRPr="00FF3997">
        <w:t xml:space="preserve">Permanent and temporary differences have been identified and treated consistently. </w:t>
      </w:r>
    </w:p>
    <w:p w14:paraId="61EB3791" w14:textId="77777777" w:rsidR="00323589" w:rsidRPr="00FF3997" w:rsidRDefault="00323589" w:rsidP="00FF3997">
      <w:pPr>
        <w:pStyle w:val="Bullet"/>
      </w:pPr>
      <w:r w:rsidRPr="00FF3997">
        <w:t>Deferred tax assets are only recognised when recovery is probable.</w:t>
      </w:r>
    </w:p>
    <w:p w14:paraId="17BF8DCB" w14:textId="77777777" w:rsidR="00323589" w:rsidRPr="00FF3997" w:rsidRDefault="00323589" w:rsidP="00FF3997">
      <w:pPr>
        <w:pStyle w:val="Bullet"/>
      </w:pPr>
      <w:r w:rsidRPr="00FF3997">
        <w:t>There are no significant tax risks, disputes, or uncertain positions that would materially affect tax expense or accounting profit.</w:t>
      </w:r>
    </w:p>
    <w:p w14:paraId="2AAF6F9A" w14:textId="77777777" w:rsidR="00323589" w:rsidRPr="00FF3997" w:rsidRDefault="00323589" w:rsidP="00FF3997">
      <w:pPr>
        <w:pStyle w:val="Bullet"/>
      </w:pPr>
      <w:r w:rsidRPr="00FF3997">
        <w:t>No material tax items are omitted.</w:t>
      </w:r>
    </w:p>
    <w:p w14:paraId="27592C08" w14:textId="77777777" w:rsidR="00323589" w:rsidRPr="00FF3997" w:rsidRDefault="00323589" w:rsidP="00FF3997">
      <w:pPr>
        <w:pStyle w:val="Bullet"/>
      </w:pPr>
      <w:r w:rsidRPr="00FF3997">
        <w:t xml:space="preserve">Tax expenses and accounting profit before tax are correctly attributed to Australia. </w:t>
      </w:r>
    </w:p>
    <w:p w14:paraId="2C2D1543" w14:textId="5D82A969" w:rsidR="00323589" w:rsidRPr="00FF3997" w:rsidRDefault="00323589" w:rsidP="00FF3997">
      <w:pPr>
        <w:pStyle w:val="Bullet"/>
      </w:pPr>
      <w:r w:rsidRPr="00FF3997">
        <w:t>Non-income taxes have been excluded.</w:t>
      </w:r>
    </w:p>
    <w:p w14:paraId="1DB1A5AF" w14:textId="30D9116B" w:rsidR="00137558" w:rsidRDefault="00137558" w:rsidP="00137558">
      <w:pPr>
        <w:pStyle w:val="Heading4"/>
      </w:pPr>
      <w:r>
        <w:t xml:space="preserve">Optional elements </w:t>
      </w:r>
    </w:p>
    <w:p w14:paraId="2B9B24ED" w14:textId="77777777" w:rsidR="00137558" w:rsidRPr="00116433" w:rsidRDefault="00137558" w:rsidP="00FF3997">
      <w:r w:rsidRPr="00116433">
        <w:t>[Provide a description of the primary drivers of the gap between ETR and the weighted average statutory rate]</w:t>
      </w:r>
    </w:p>
    <w:p w14:paraId="79E463B2" w14:textId="285A273D" w:rsidR="00137558" w:rsidRPr="00C613C2" w:rsidRDefault="00137558" w:rsidP="00FF3997">
      <w:r>
        <w:t>PAA</w:t>
      </w:r>
      <w:r w:rsidRPr="00C613C2">
        <w:t xml:space="preserve"> </w:t>
      </w:r>
      <w:r w:rsidR="007F1D2E" w:rsidRPr="00C613C2">
        <w:t>Ltd.’s</w:t>
      </w:r>
      <w:r w:rsidRPr="00C613C2">
        <w:t xml:space="preserve"> effective tax rate differs from the</w:t>
      </w:r>
      <w:r>
        <w:t xml:space="preserve"> Australian</w:t>
      </w:r>
      <w:r w:rsidRPr="00C613C2">
        <w:t xml:space="preserve"> statutory corporate tax rate of 30% due to several items: </w:t>
      </w:r>
    </w:p>
    <w:p w14:paraId="49D1AE6E" w14:textId="5A1C7B1A" w:rsidR="00137558" w:rsidRPr="00E85F37" w:rsidRDefault="00137558" w:rsidP="00D9211C">
      <w:pPr>
        <w:pStyle w:val="NumberedParagraphalpha"/>
        <w:numPr>
          <w:ilvl w:val="3"/>
          <w:numId w:val="64"/>
        </w:numPr>
      </w:pPr>
      <w:r w:rsidRPr="000B05D8">
        <w:t xml:space="preserve">Differences in tax rates in </w:t>
      </w:r>
      <w:r>
        <w:t xml:space="preserve">the </w:t>
      </w:r>
      <w:r w:rsidRPr="000B05D8">
        <w:t xml:space="preserve">countries in which </w:t>
      </w:r>
      <w:r>
        <w:t>PAA Ltd</w:t>
      </w:r>
      <w:r w:rsidRPr="000B05D8">
        <w:t xml:space="preserve"> operate</w:t>
      </w:r>
      <w:r>
        <w:t>s</w:t>
      </w:r>
      <w:r w:rsidR="00C7303C">
        <w:t>.</w:t>
      </w:r>
      <w:r>
        <w:t xml:space="preserve"> </w:t>
      </w:r>
    </w:p>
    <w:p w14:paraId="0C1D9B17" w14:textId="7143FCAF" w:rsidR="00137558" w:rsidRPr="00613DDE" w:rsidRDefault="00137558" w:rsidP="002A4606">
      <w:pPr>
        <w:pStyle w:val="NumberedParagraphalpha"/>
        <w:rPr>
          <w:b/>
          <w:bCs/>
        </w:rPr>
      </w:pPr>
      <w:r>
        <w:t>Country specific allowances and disallowances or limitations of certain deductions in countries</w:t>
      </w:r>
      <w:r w:rsidR="00C7303C">
        <w:t>.</w:t>
      </w:r>
    </w:p>
    <w:p w14:paraId="66D36EC3" w14:textId="48A2A3B9" w:rsidR="00137558" w:rsidRPr="00815C1E" w:rsidRDefault="00137558" w:rsidP="002A4606">
      <w:pPr>
        <w:pStyle w:val="NumberedParagraphalpha"/>
      </w:pPr>
      <w:r w:rsidRPr="00815C1E">
        <w:t>Application of carried forward losses from prior financial years</w:t>
      </w:r>
      <w:r w:rsidR="00C7303C">
        <w:t>.</w:t>
      </w:r>
    </w:p>
    <w:p w14:paraId="584D0B86" w14:textId="02B7B495" w:rsidR="00137558" w:rsidRPr="00815C1E" w:rsidRDefault="00137558" w:rsidP="002A4606">
      <w:pPr>
        <w:pStyle w:val="NumberedParagraphalpha"/>
      </w:pPr>
      <w:r w:rsidRPr="00815C1E">
        <w:t>Timing differences and losses recognised in deferred tax liabilities</w:t>
      </w:r>
      <w:r w:rsidR="00C7303C">
        <w:t>.</w:t>
      </w:r>
    </w:p>
    <w:p w14:paraId="1EC007F9" w14:textId="77777777" w:rsidR="00137558" w:rsidRDefault="00137558" w:rsidP="002A4606">
      <w:pPr>
        <w:pStyle w:val="NumberedParagraphalpha"/>
      </w:pPr>
      <w:r w:rsidRPr="00815C1E">
        <w:t xml:space="preserve">Current year tax payable in next financial year. </w:t>
      </w:r>
    </w:p>
    <w:p w14:paraId="47FE8B56" w14:textId="77777777" w:rsidR="00137558" w:rsidRPr="00116433" w:rsidRDefault="00137558" w:rsidP="00FF3997">
      <w:r w:rsidRPr="00116433">
        <w:t>[Provide a global ETR for the worldwide accounting consolidated group calculated based on tax expense (income)]</w:t>
      </w:r>
    </w:p>
    <w:p w14:paraId="3637AA98" w14:textId="0B343EB5" w:rsidR="00137558" w:rsidRPr="00137558" w:rsidRDefault="00137558" w:rsidP="00FF3997">
      <w:r w:rsidRPr="0005386F">
        <w:t xml:space="preserve">The PAA global </w:t>
      </w:r>
      <w:r w:rsidRPr="002F7C9F">
        <w:t>group</w:t>
      </w:r>
      <w:r w:rsidRPr="0005386F">
        <w:t xml:space="preserve"> ETR for the 2025 financial year was</w:t>
      </w:r>
      <w:r w:rsidRPr="0005386F">
        <w:rPr>
          <w:b/>
          <w:bCs/>
        </w:rPr>
        <w:t xml:space="preserve"> 21.3%.</w:t>
      </w:r>
    </w:p>
    <w:p w14:paraId="5C49CD0C" w14:textId="77777777" w:rsidR="00BD4078" w:rsidRDefault="00BD4078" w:rsidP="00BD4078">
      <w:pPr>
        <w:pStyle w:val="Heading3"/>
      </w:pPr>
      <w:r w:rsidRPr="00AB5894">
        <w:lastRenderedPageBreak/>
        <w:t>A reconciliation to ATO Corporate Tax Transparency Disclosures</w:t>
      </w:r>
    </w:p>
    <w:p w14:paraId="40D773CD" w14:textId="77777777" w:rsidR="005768C4" w:rsidRPr="005768C4" w:rsidRDefault="005768C4" w:rsidP="005768C4">
      <w:pPr>
        <w:pStyle w:val="Heading4"/>
      </w:pPr>
      <w:r w:rsidRPr="008E734D">
        <w:t xml:space="preserve">Optional elements </w:t>
      </w:r>
    </w:p>
    <w:p w14:paraId="373E8463" w14:textId="71FAEBEF" w:rsidR="00E76E18" w:rsidRPr="002F7C9F" w:rsidRDefault="00E76E18" w:rsidP="002F7C9F">
      <w:r w:rsidRPr="002F7C9F">
        <w:t>[For entities that are subject to the ATO Corporate Tax Transparency Disclosures, provide a reconciliation or a qualitative narrative of any material differences in the data published by the ATO against the data in the VTTC</w:t>
      </w:r>
      <w:r w:rsidR="00A971CB" w:rsidRPr="002F7C9F">
        <w:t xml:space="preserve"> for the same period</w:t>
      </w:r>
      <w:r w:rsidRPr="002F7C9F">
        <w:t>]</w:t>
      </w:r>
    </w:p>
    <w:p w14:paraId="3784F072" w14:textId="06C25A52" w:rsidR="00CC53FB" w:rsidRPr="002F7C9F" w:rsidRDefault="00CC53FB" w:rsidP="002F7C9F">
      <w:r w:rsidRPr="002F7C9F">
        <w:t xml:space="preserve">The ATO publishes certain Australian income tax information annually in relation to large corporate taxpayers with total reported (accounting) income of $100 million or more, including PAA Ltd. </w:t>
      </w:r>
    </w:p>
    <w:p w14:paraId="0209113F" w14:textId="7221E7BC" w:rsidR="00CC53FB" w:rsidRPr="002F7C9F" w:rsidRDefault="00CC53FB" w:rsidP="002F7C9F">
      <w:r w:rsidRPr="002F7C9F">
        <w:t xml:space="preserve">The ATO publishes the amount of tax that is payable by entities, as opposed to what has been paid in the year (PAA Ltd typically reports on its tax contribution on this tax basis). Australia’s corporate pay as you go instalment system means that income tax is commonly paid in advance of the end of the income year. This means there are typically differences between tax payable and figures ultimately paid. </w:t>
      </w:r>
    </w:p>
    <w:p w14:paraId="55C93C93" w14:textId="7CBE40A4" w:rsidR="00CC53FB" w:rsidRPr="002F7C9F" w:rsidRDefault="00CC53FB" w:rsidP="002F7C9F">
      <w:pPr>
        <w:rPr>
          <w:highlight w:val="yellow"/>
        </w:rPr>
      </w:pPr>
      <w:r w:rsidRPr="002F7C9F">
        <w:t xml:space="preserve">The 2023FY ATO public disclosure amounts will differ from the numbers disclosed in PAA </w:t>
      </w:r>
      <w:r w:rsidR="007F1D2E" w:rsidRPr="002F7C9F">
        <w:t>Ltd.’s</w:t>
      </w:r>
      <w:r w:rsidRPr="002F7C9F">
        <w:t xml:space="preserve"> 2023 VTTC on account of the following material differences:</w:t>
      </w:r>
    </w:p>
    <w:p w14:paraId="4241B8B6" w14:textId="5F3BBC65" w:rsidR="009B4CB7" w:rsidRPr="002F7C9F" w:rsidRDefault="009B4CB7" w:rsidP="002F7C9F">
      <w:pPr>
        <w:pStyle w:val="Bullet"/>
      </w:pPr>
      <w:r w:rsidRPr="002F7C9F">
        <w:t xml:space="preserve">Tax payable disclosed by the ATO includes credits for taxes paid on offshore income that is also taxable in Australia and utilisation of franking credits on dividends. </w:t>
      </w:r>
    </w:p>
    <w:p w14:paraId="04D5F425" w14:textId="64167ED3" w:rsidR="0036252D" w:rsidRPr="002F7C9F" w:rsidRDefault="0036252D" w:rsidP="002F7C9F">
      <w:pPr>
        <w:pStyle w:val="Bullet"/>
      </w:pPr>
      <w:r w:rsidRPr="002F7C9F">
        <w:t xml:space="preserve">The ATO amounts are limited to entities with total income equal to or exceeding AUD $100 million whilst PAA </w:t>
      </w:r>
      <w:r w:rsidR="007F1D2E" w:rsidRPr="002F7C9F">
        <w:t>Ltd.’s</w:t>
      </w:r>
      <w:r w:rsidRPr="002F7C9F">
        <w:t xml:space="preserve"> annual report includes all PAA group companies. </w:t>
      </w:r>
    </w:p>
    <w:p w14:paraId="4FA7F7CF" w14:textId="16D1B1CB" w:rsidR="003D3B57" w:rsidRPr="002F7C9F" w:rsidRDefault="003D3B57" w:rsidP="002F7C9F">
      <w:pPr>
        <w:pStyle w:val="Bullet"/>
      </w:pPr>
      <w:r w:rsidRPr="002F7C9F">
        <w:t xml:space="preserve">The ATO amounts reflect the Australian tax consolidated group whereas </w:t>
      </w:r>
      <w:r w:rsidR="008441CF" w:rsidRPr="002F7C9F">
        <w:t>PAA</w:t>
      </w:r>
      <w:r w:rsidRPr="002F7C9F">
        <w:t xml:space="preserve"> </w:t>
      </w:r>
      <w:r w:rsidR="007F1D2E" w:rsidRPr="002F7C9F">
        <w:t>Ltd.’s</w:t>
      </w:r>
      <w:r w:rsidRPr="002F7C9F">
        <w:t xml:space="preserve"> annual report includes the </w:t>
      </w:r>
      <w:r w:rsidR="008441CF" w:rsidRPr="002F7C9F">
        <w:t>PAA</w:t>
      </w:r>
      <w:r w:rsidRPr="002F7C9F">
        <w:t xml:space="preserve"> Ltd global group. Foreign subsidiaries and entities that are not wholly owned cannot be members of the Australian tax consolidated group.</w:t>
      </w:r>
    </w:p>
    <w:p w14:paraId="3E9A4407" w14:textId="77777777" w:rsidR="00BD4078" w:rsidRPr="00AB5894" w:rsidRDefault="00BD4078" w:rsidP="00BD4078">
      <w:pPr>
        <w:pStyle w:val="Heading3"/>
      </w:pPr>
      <w:r w:rsidRPr="00AB5894">
        <w:t xml:space="preserve">A reconciliation of accounting profit to income tax expense to income tax paid or payable </w:t>
      </w:r>
    </w:p>
    <w:p w14:paraId="3F309669" w14:textId="40DF8AFF" w:rsidR="00BD4078" w:rsidRPr="002F7C9F" w:rsidRDefault="00BD4078" w:rsidP="002F7C9F">
      <w:r w:rsidRPr="002F7C9F">
        <w:t xml:space="preserve">A reconciliation of </w:t>
      </w:r>
      <w:r w:rsidR="004C5F9F" w:rsidRPr="002F7C9F">
        <w:t>PAA</w:t>
      </w:r>
      <w:r w:rsidRPr="002F7C9F">
        <w:t xml:space="preserve"> </w:t>
      </w:r>
      <w:r w:rsidR="007F1D2E" w:rsidRPr="002F7C9F">
        <w:t>Ltd.’s</w:t>
      </w:r>
      <w:r w:rsidRPr="002F7C9F">
        <w:t xml:space="preserve"> accounting profit to income tax payable is set out in the below table. The following gave rise to differences between tax and accounting treatment during the period: </w:t>
      </w:r>
    </w:p>
    <w:p w14:paraId="1474AF90" w14:textId="365FB2C6" w:rsidR="00BD4078" w:rsidRPr="002F7C9F" w:rsidRDefault="00BD4078" w:rsidP="002F7C9F">
      <w:pPr>
        <w:pStyle w:val="Bullet"/>
      </w:pPr>
      <w:r w:rsidRPr="002F7C9F">
        <w:t>Differences in tax rates in the countries in which we operate</w:t>
      </w:r>
      <w:r w:rsidR="00546B0A">
        <w:t>.</w:t>
      </w:r>
      <w:r w:rsidRPr="002F7C9F">
        <w:t xml:space="preserve"> </w:t>
      </w:r>
    </w:p>
    <w:p w14:paraId="1982319E" w14:textId="3A967F2C" w:rsidR="00BD4078" w:rsidRPr="002F7C9F" w:rsidRDefault="00BD4078" w:rsidP="002F7C9F">
      <w:pPr>
        <w:pStyle w:val="Bullet"/>
      </w:pPr>
      <w:r w:rsidRPr="002F7C9F">
        <w:t>Country specific allowances and disallowances or limitations of certain deductions in countries</w:t>
      </w:r>
      <w:r w:rsidR="00546B0A">
        <w:t>.</w:t>
      </w:r>
      <w:r w:rsidRPr="002F7C9F">
        <w:t xml:space="preserve"> </w:t>
      </w:r>
    </w:p>
    <w:p w14:paraId="32B634C5" w14:textId="7377062B" w:rsidR="00BD4078" w:rsidRPr="002F7C9F" w:rsidRDefault="00BD4078" w:rsidP="002F7C9F">
      <w:pPr>
        <w:pStyle w:val="Bullet"/>
      </w:pPr>
      <w:r w:rsidRPr="002F7C9F">
        <w:t>Application of carried forward losses from prior financial years</w:t>
      </w:r>
      <w:r w:rsidR="00546B0A">
        <w:t>.</w:t>
      </w:r>
    </w:p>
    <w:p w14:paraId="13133027" w14:textId="3A52532D" w:rsidR="00BD4078" w:rsidRPr="002F7C9F" w:rsidRDefault="00BD4078" w:rsidP="002F7C9F">
      <w:pPr>
        <w:pStyle w:val="Bullet"/>
      </w:pPr>
      <w:r w:rsidRPr="002F7C9F">
        <w:t>Timing differences and losses recognised in deferred tax liabilities</w:t>
      </w:r>
      <w:r w:rsidR="00546B0A">
        <w:t>.</w:t>
      </w:r>
    </w:p>
    <w:p w14:paraId="622AFFB0" w14:textId="77777777" w:rsidR="00BD4078" w:rsidRPr="002F7C9F" w:rsidRDefault="00BD4078" w:rsidP="002F7C9F">
      <w:pPr>
        <w:pStyle w:val="Bullet"/>
      </w:pPr>
      <w:r w:rsidRPr="002F7C9F">
        <w:t xml:space="preserve">Current year tax payable in the next financial year. </w:t>
      </w:r>
    </w:p>
    <w:tbl>
      <w:tblPr>
        <w:tblStyle w:val="ListTable3-Accent1"/>
        <w:tblW w:w="5000" w:type="pct"/>
        <w:tblBorders>
          <w:top w:val="single" w:sz="8" w:space="0" w:color="701F4D" w:themeColor="accent2"/>
          <w:left w:val="single" w:sz="8" w:space="0" w:color="701F4D" w:themeColor="accent2"/>
          <w:bottom w:val="single" w:sz="8" w:space="0" w:color="701F4D" w:themeColor="accent2"/>
          <w:right w:val="single" w:sz="8" w:space="0" w:color="701F4D" w:themeColor="accent2"/>
          <w:insideH w:val="single" w:sz="8" w:space="0" w:color="701F4D" w:themeColor="accent2"/>
          <w:insideV w:val="single" w:sz="8" w:space="0" w:color="701F4D" w:themeColor="accent2"/>
        </w:tblBorders>
        <w:tblLook w:val="04A0" w:firstRow="1" w:lastRow="0" w:firstColumn="1" w:lastColumn="0" w:noHBand="0" w:noVBand="1"/>
      </w:tblPr>
      <w:tblGrid>
        <w:gridCol w:w="5524"/>
        <w:gridCol w:w="2035"/>
        <w:gridCol w:w="2062"/>
      </w:tblGrid>
      <w:tr w:rsidR="002C0007" w:rsidRPr="00E31980" w14:paraId="35B89155" w14:textId="77777777" w:rsidTr="00623A43">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5536" w:type="dxa"/>
            <w:tcBorders>
              <w:bottom w:val="none" w:sz="0" w:space="0" w:color="auto"/>
              <w:right w:val="none" w:sz="0" w:space="0" w:color="auto"/>
            </w:tcBorders>
            <w:vAlign w:val="center"/>
          </w:tcPr>
          <w:p w14:paraId="269FF3A2" w14:textId="57C131E9" w:rsidR="00BD4078" w:rsidRPr="00546B0A" w:rsidRDefault="00BD4078" w:rsidP="00623A43">
            <w:pPr>
              <w:pStyle w:val="TableHeaderCellLeft"/>
              <w:rPr>
                <w:sz w:val="24"/>
                <w:szCs w:val="24"/>
              </w:rPr>
            </w:pPr>
            <w:bookmarkStart w:id="83" w:name="_Hlk193718112"/>
            <w:r w:rsidRPr="00546B0A">
              <w:rPr>
                <w:sz w:val="24"/>
                <w:szCs w:val="24"/>
              </w:rPr>
              <w:lastRenderedPageBreak/>
              <w:t xml:space="preserve">Reconciliation for </w:t>
            </w:r>
            <w:r w:rsidR="004C5F9F" w:rsidRPr="00546B0A">
              <w:rPr>
                <w:sz w:val="24"/>
                <w:szCs w:val="24"/>
              </w:rPr>
              <w:t>PAA</w:t>
            </w:r>
            <w:r w:rsidRPr="00546B0A">
              <w:rPr>
                <w:sz w:val="24"/>
                <w:szCs w:val="24"/>
              </w:rPr>
              <w:t xml:space="preserve"> Ltd for the </w:t>
            </w:r>
            <w:r w:rsidR="00FE688C" w:rsidRPr="00546B0A">
              <w:rPr>
                <w:sz w:val="24"/>
                <w:szCs w:val="24"/>
              </w:rPr>
              <w:t>2025</w:t>
            </w:r>
            <w:r w:rsidRPr="00546B0A">
              <w:rPr>
                <w:sz w:val="24"/>
                <w:szCs w:val="24"/>
              </w:rPr>
              <w:t xml:space="preserve"> FY</w:t>
            </w:r>
          </w:p>
        </w:tc>
        <w:tc>
          <w:tcPr>
            <w:tcW w:w="2039" w:type="dxa"/>
            <w:vAlign w:val="center"/>
          </w:tcPr>
          <w:p w14:paraId="61524885" w14:textId="454B8631" w:rsidR="00BD4078" w:rsidRPr="00546B0A" w:rsidRDefault="00FE688C" w:rsidP="00623A43">
            <w:pPr>
              <w:pStyle w:val="TableHeaderCellRight"/>
              <w:cnfStyle w:val="100000000000" w:firstRow="1" w:lastRow="0" w:firstColumn="0" w:lastColumn="0" w:oddVBand="0" w:evenVBand="0" w:oddHBand="0" w:evenHBand="0" w:firstRowFirstColumn="0" w:firstRowLastColumn="0" w:lastRowFirstColumn="0" w:lastRowLastColumn="0"/>
              <w:rPr>
                <w:sz w:val="24"/>
                <w:szCs w:val="24"/>
              </w:rPr>
            </w:pPr>
            <w:r w:rsidRPr="00546B0A">
              <w:rPr>
                <w:sz w:val="24"/>
                <w:szCs w:val="24"/>
              </w:rPr>
              <w:t>2025</w:t>
            </w:r>
            <w:r w:rsidR="00BD4078" w:rsidRPr="00546B0A">
              <w:rPr>
                <w:sz w:val="24"/>
                <w:szCs w:val="24"/>
              </w:rPr>
              <w:t xml:space="preserve"> FY ($,000)</w:t>
            </w:r>
          </w:p>
        </w:tc>
        <w:tc>
          <w:tcPr>
            <w:tcW w:w="2066" w:type="dxa"/>
            <w:vAlign w:val="center"/>
          </w:tcPr>
          <w:p w14:paraId="2CB4F8C6" w14:textId="7470F5B2" w:rsidR="00BD4078" w:rsidRPr="00546B0A" w:rsidRDefault="00FE688C" w:rsidP="00623A43">
            <w:pPr>
              <w:pStyle w:val="TableHeaderCellRight"/>
              <w:cnfStyle w:val="100000000000" w:firstRow="1" w:lastRow="0" w:firstColumn="0" w:lastColumn="0" w:oddVBand="0" w:evenVBand="0" w:oddHBand="0" w:evenHBand="0" w:firstRowFirstColumn="0" w:firstRowLastColumn="0" w:lastRowFirstColumn="0" w:lastRowLastColumn="0"/>
              <w:rPr>
                <w:sz w:val="24"/>
                <w:szCs w:val="24"/>
              </w:rPr>
            </w:pPr>
            <w:r w:rsidRPr="00546B0A">
              <w:rPr>
                <w:sz w:val="24"/>
                <w:szCs w:val="24"/>
              </w:rPr>
              <w:t>2024</w:t>
            </w:r>
            <w:r w:rsidR="00BD4078" w:rsidRPr="00546B0A">
              <w:rPr>
                <w:sz w:val="24"/>
                <w:szCs w:val="24"/>
              </w:rPr>
              <w:t xml:space="preserve"> FY ($,000)</w:t>
            </w:r>
          </w:p>
        </w:tc>
      </w:tr>
      <w:tr w:rsidR="00EB7D70" w:rsidRPr="001738BD" w14:paraId="20D62DDC" w14:textId="77777777" w:rsidTr="00623A4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36" w:type="dxa"/>
            <w:tcBorders>
              <w:top w:val="none" w:sz="0" w:space="0" w:color="auto"/>
              <w:bottom w:val="none" w:sz="0" w:space="0" w:color="auto"/>
              <w:right w:val="none" w:sz="0" w:space="0" w:color="auto"/>
            </w:tcBorders>
            <w:shd w:val="clear" w:color="auto" w:fill="701F4D" w:themeFill="accent2"/>
            <w:vAlign w:val="center"/>
          </w:tcPr>
          <w:p w14:paraId="6F852C95" w14:textId="5D8A49B6" w:rsidR="00EB7D70" w:rsidRPr="00546B0A" w:rsidRDefault="00EB7D70" w:rsidP="00623A43">
            <w:pPr>
              <w:pStyle w:val="TableBodyCellLeft"/>
              <w:rPr>
                <w:rFonts w:cstheme="minorHAnsi"/>
                <w:color w:val="FFFFFF" w:themeColor="background1"/>
                <w:sz w:val="22"/>
                <w:szCs w:val="22"/>
              </w:rPr>
            </w:pPr>
            <w:r w:rsidRPr="00546B0A">
              <w:rPr>
                <w:rFonts w:cstheme="minorHAnsi"/>
                <w:color w:val="FFFFFF" w:themeColor="background1"/>
                <w:sz w:val="22"/>
                <w:szCs w:val="22"/>
              </w:rPr>
              <w:t>Total Australian income and accounting profit</w:t>
            </w:r>
          </w:p>
        </w:tc>
        <w:tc>
          <w:tcPr>
            <w:tcW w:w="2039" w:type="dxa"/>
            <w:tcBorders>
              <w:top w:val="none" w:sz="0" w:space="0" w:color="auto"/>
              <w:bottom w:val="none" w:sz="0" w:space="0" w:color="auto"/>
            </w:tcBorders>
            <w:shd w:val="clear" w:color="auto" w:fill="701F4D" w:themeFill="accent2"/>
          </w:tcPr>
          <w:p w14:paraId="630C5221" w14:textId="77777777" w:rsidR="00EB7D70" w:rsidRPr="00546B0A" w:rsidRDefault="00EB7D70" w:rsidP="00F01383">
            <w:pPr>
              <w:pStyle w:val="TableBodyCellRight"/>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2066" w:type="dxa"/>
            <w:tcBorders>
              <w:top w:val="none" w:sz="0" w:space="0" w:color="auto"/>
              <w:bottom w:val="none" w:sz="0" w:space="0" w:color="auto"/>
            </w:tcBorders>
            <w:shd w:val="clear" w:color="auto" w:fill="701F4D" w:themeFill="accent2"/>
          </w:tcPr>
          <w:p w14:paraId="6AB79B85" w14:textId="77777777" w:rsidR="00EB7D70" w:rsidRPr="00546B0A" w:rsidRDefault="00EB7D70" w:rsidP="00F01383">
            <w:pPr>
              <w:pStyle w:val="TableBodyCellRight"/>
              <w:cnfStyle w:val="000000100000" w:firstRow="0" w:lastRow="0" w:firstColumn="0" w:lastColumn="0" w:oddVBand="0" w:evenVBand="0" w:oddHBand="1" w:evenHBand="0" w:firstRowFirstColumn="0" w:firstRowLastColumn="0" w:lastRowFirstColumn="0" w:lastRowLastColumn="0"/>
              <w:rPr>
                <w:rFonts w:cstheme="minorHAnsi"/>
                <w:szCs w:val="22"/>
              </w:rPr>
            </w:pPr>
          </w:p>
        </w:tc>
      </w:tr>
      <w:tr w:rsidR="002C0007" w:rsidRPr="001738BD" w14:paraId="0EEEE6D9" w14:textId="77777777" w:rsidTr="00EE052F">
        <w:trPr>
          <w:trHeight w:val="510"/>
        </w:trPr>
        <w:tc>
          <w:tcPr>
            <w:cnfStyle w:val="001000000000" w:firstRow="0" w:lastRow="0" w:firstColumn="1" w:lastColumn="0" w:oddVBand="0" w:evenVBand="0" w:oddHBand="0" w:evenHBand="0" w:firstRowFirstColumn="0" w:firstRowLastColumn="0" w:lastRowFirstColumn="0" w:lastRowLastColumn="0"/>
            <w:tcW w:w="5536" w:type="dxa"/>
            <w:tcBorders>
              <w:right w:val="none" w:sz="0" w:space="0" w:color="auto"/>
            </w:tcBorders>
          </w:tcPr>
          <w:p w14:paraId="3FED36CA" w14:textId="338D18FA" w:rsidR="00BD4078" w:rsidRPr="00546B0A" w:rsidRDefault="00BD4078" w:rsidP="00CC5945">
            <w:pPr>
              <w:pStyle w:val="TableBodyCellLeft"/>
              <w:rPr>
                <w:rFonts w:cstheme="minorHAnsi"/>
                <w:color w:val="142147" w:themeColor="accent1"/>
                <w:sz w:val="22"/>
                <w:szCs w:val="22"/>
              </w:rPr>
            </w:pPr>
            <w:r w:rsidRPr="00546B0A">
              <w:rPr>
                <w:rFonts w:cstheme="minorHAnsi"/>
                <w:color w:val="142147" w:themeColor="accent1"/>
                <w:sz w:val="22"/>
                <w:szCs w:val="22"/>
              </w:rPr>
              <w:t xml:space="preserve">Profit before income tax </w:t>
            </w:r>
          </w:p>
        </w:tc>
        <w:tc>
          <w:tcPr>
            <w:tcW w:w="2039" w:type="dxa"/>
            <w:shd w:val="clear" w:color="auto" w:fill="F6F2ED" w:themeFill="accent3" w:themeFillTint="33"/>
          </w:tcPr>
          <w:p w14:paraId="0A5BB848" w14:textId="77777777" w:rsidR="00BD4078" w:rsidRPr="00546B0A" w:rsidRDefault="00BD4078" w:rsidP="00CC5945">
            <w:pPr>
              <w:pStyle w:val="TableBodyCellRight"/>
              <w:cnfStyle w:val="000000000000" w:firstRow="0" w:lastRow="0" w:firstColumn="0" w:lastColumn="0" w:oddVBand="0" w:evenVBand="0" w:oddHBand="0" w:evenHBand="0" w:firstRowFirstColumn="0" w:firstRowLastColumn="0" w:lastRowFirstColumn="0" w:lastRowLastColumn="0"/>
              <w:rPr>
                <w:rFonts w:cstheme="minorHAnsi"/>
                <w:szCs w:val="22"/>
              </w:rPr>
            </w:pPr>
            <w:r w:rsidRPr="00546B0A">
              <w:rPr>
                <w:rFonts w:cstheme="minorHAnsi"/>
                <w:szCs w:val="22"/>
              </w:rPr>
              <w:t>100,300</w:t>
            </w:r>
          </w:p>
        </w:tc>
        <w:tc>
          <w:tcPr>
            <w:tcW w:w="2066" w:type="dxa"/>
            <w:shd w:val="clear" w:color="auto" w:fill="F6F2ED" w:themeFill="accent3" w:themeFillTint="33"/>
          </w:tcPr>
          <w:p w14:paraId="7BB94DE9" w14:textId="77777777" w:rsidR="00BD4078" w:rsidRPr="00546B0A" w:rsidRDefault="00BD4078" w:rsidP="00CC5945">
            <w:pPr>
              <w:pStyle w:val="TableBodyCellRight"/>
              <w:cnfStyle w:val="000000000000" w:firstRow="0" w:lastRow="0" w:firstColumn="0" w:lastColumn="0" w:oddVBand="0" w:evenVBand="0" w:oddHBand="0" w:evenHBand="0" w:firstRowFirstColumn="0" w:firstRowLastColumn="0" w:lastRowFirstColumn="0" w:lastRowLastColumn="0"/>
              <w:rPr>
                <w:rFonts w:cstheme="minorHAnsi"/>
                <w:szCs w:val="22"/>
              </w:rPr>
            </w:pPr>
            <w:r w:rsidRPr="00546B0A">
              <w:rPr>
                <w:rFonts w:cstheme="minorHAnsi"/>
                <w:szCs w:val="22"/>
              </w:rPr>
              <w:t>98,200</w:t>
            </w:r>
          </w:p>
        </w:tc>
      </w:tr>
      <w:tr w:rsidR="002C0007" w:rsidRPr="009171B2" w14:paraId="3B1C5890" w14:textId="77777777" w:rsidTr="00EE052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36" w:type="dxa"/>
            <w:tcBorders>
              <w:top w:val="none" w:sz="0" w:space="0" w:color="auto"/>
              <w:bottom w:val="none" w:sz="0" w:space="0" w:color="auto"/>
              <w:right w:val="none" w:sz="0" w:space="0" w:color="auto"/>
            </w:tcBorders>
          </w:tcPr>
          <w:p w14:paraId="7E1AC867" w14:textId="77777777" w:rsidR="00BD4078" w:rsidRPr="00546B0A" w:rsidRDefault="00BD4078" w:rsidP="00CC5945">
            <w:pPr>
              <w:pStyle w:val="TableBodyCellLeft"/>
              <w:rPr>
                <w:rFonts w:cstheme="minorHAnsi"/>
                <w:color w:val="142147" w:themeColor="accent1"/>
                <w:sz w:val="22"/>
                <w:szCs w:val="22"/>
              </w:rPr>
            </w:pPr>
            <w:r w:rsidRPr="00546B0A">
              <w:rPr>
                <w:rFonts w:cstheme="minorHAnsi"/>
                <w:color w:val="142147" w:themeColor="accent1"/>
                <w:sz w:val="22"/>
                <w:szCs w:val="22"/>
              </w:rPr>
              <w:t>Income tax at 30% statutory rate</w:t>
            </w:r>
          </w:p>
        </w:tc>
        <w:tc>
          <w:tcPr>
            <w:tcW w:w="2039" w:type="dxa"/>
            <w:tcBorders>
              <w:top w:val="none" w:sz="0" w:space="0" w:color="auto"/>
              <w:bottom w:val="none" w:sz="0" w:space="0" w:color="auto"/>
            </w:tcBorders>
            <w:shd w:val="clear" w:color="auto" w:fill="F6F2ED" w:themeFill="accent3" w:themeFillTint="33"/>
          </w:tcPr>
          <w:p w14:paraId="648712BF" w14:textId="77777777" w:rsidR="00BD4078" w:rsidRPr="00546B0A" w:rsidRDefault="00BD4078" w:rsidP="00CC5945">
            <w:pPr>
              <w:pStyle w:val="TableBodyCellRight"/>
              <w:cnfStyle w:val="000000100000" w:firstRow="0" w:lastRow="0" w:firstColumn="0" w:lastColumn="0" w:oddVBand="0" w:evenVBand="0" w:oddHBand="1" w:evenHBand="0" w:firstRowFirstColumn="0" w:firstRowLastColumn="0" w:lastRowFirstColumn="0" w:lastRowLastColumn="0"/>
              <w:rPr>
                <w:rFonts w:cstheme="minorHAnsi"/>
                <w:b/>
                <w:szCs w:val="22"/>
              </w:rPr>
            </w:pPr>
            <w:r w:rsidRPr="00546B0A">
              <w:rPr>
                <w:rFonts w:cstheme="minorHAnsi"/>
                <w:b/>
                <w:szCs w:val="22"/>
              </w:rPr>
              <w:t>(30,090)</w:t>
            </w:r>
          </w:p>
        </w:tc>
        <w:tc>
          <w:tcPr>
            <w:tcW w:w="2066" w:type="dxa"/>
            <w:tcBorders>
              <w:top w:val="none" w:sz="0" w:space="0" w:color="auto"/>
              <w:bottom w:val="none" w:sz="0" w:space="0" w:color="auto"/>
            </w:tcBorders>
            <w:shd w:val="clear" w:color="auto" w:fill="F6F2ED" w:themeFill="accent3" w:themeFillTint="33"/>
          </w:tcPr>
          <w:p w14:paraId="2CE728FE" w14:textId="77777777" w:rsidR="00BD4078" w:rsidRPr="00546B0A" w:rsidRDefault="00BD4078" w:rsidP="00CC5945">
            <w:pPr>
              <w:pStyle w:val="TableBodyCellRight"/>
              <w:cnfStyle w:val="000000100000" w:firstRow="0" w:lastRow="0" w:firstColumn="0" w:lastColumn="0" w:oddVBand="0" w:evenVBand="0" w:oddHBand="1" w:evenHBand="0" w:firstRowFirstColumn="0" w:firstRowLastColumn="0" w:lastRowFirstColumn="0" w:lastRowLastColumn="0"/>
              <w:rPr>
                <w:rFonts w:cstheme="minorHAnsi"/>
                <w:b/>
                <w:szCs w:val="22"/>
              </w:rPr>
            </w:pPr>
            <w:r w:rsidRPr="00546B0A">
              <w:rPr>
                <w:rFonts w:cstheme="minorHAnsi"/>
                <w:b/>
                <w:szCs w:val="22"/>
              </w:rPr>
              <w:t>(29,460)</w:t>
            </w:r>
          </w:p>
        </w:tc>
      </w:tr>
      <w:tr w:rsidR="002C0007" w:rsidRPr="009171B2" w14:paraId="0A58428D" w14:textId="77777777" w:rsidTr="00EE052F">
        <w:trPr>
          <w:trHeight w:val="510"/>
        </w:trPr>
        <w:tc>
          <w:tcPr>
            <w:cnfStyle w:val="001000000000" w:firstRow="0" w:lastRow="0" w:firstColumn="1" w:lastColumn="0" w:oddVBand="0" w:evenVBand="0" w:oddHBand="0" w:evenHBand="0" w:firstRowFirstColumn="0" w:firstRowLastColumn="0" w:lastRowFirstColumn="0" w:lastRowLastColumn="0"/>
            <w:tcW w:w="5536" w:type="dxa"/>
            <w:tcBorders>
              <w:right w:val="none" w:sz="0" w:space="0" w:color="auto"/>
            </w:tcBorders>
          </w:tcPr>
          <w:p w14:paraId="497E604F" w14:textId="77777777" w:rsidR="00BD4078" w:rsidRPr="00546B0A" w:rsidRDefault="00BD4078" w:rsidP="00CC5945">
            <w:pPr>
              <w:pStyle w:val="TableBodyCellLeft"/>
              <w:rPr>
                <w:rFonts w:cstheme="minorHAnsi"/>
                <w:b w:val="0"/>
                <w:bCs w:val="0"/>
                <w:color w:val="142147" w:themeColor="accent1"/>
                <w:sz w:val="22"/>
                <w:szCs w:val="22"/>
              </w:rPr>
            </w:pPr>
            <w:r w:rsidRPr="00546B0A">
              <w:rPr>
                <w:rFonts w:cstheme="minorHAnsi"/>
                <w:b w:val="0"/>
                <w:bCs w:val="0"/>
                <w:color w:val="142147" w:themeColor="accent1"/>
                <w:sz w:val="22"/>
                <w:szCs w:val="22"/>
              </w:rPr>
              <w:t xml:space="preserve">Share of net profit of associates </w:t>
            </w:r>
          </w:p>
        </w:tc>
        <w:tc>
          <w:tcPr>
            <w:tcW w:w="2039" w:type="dxa"/>
            <w:shd w:val="clear" w:color="auto" w:fill="F6F2ED" w:themeFill="accent3" w:themeFillTint="33"/>
          </w:tcPr>
          <w:p w14:paraId="104181EE" w14:textId="77777777" w:rsidR="00BD4078" w:rsidRPr="00546B0A" w:rsidRDefault="00BD4078" w:rsidP="00CC5945">
            <w:pPr>
              <w:pStyle w:val="TableBodyCellRight"/>
              <w:cnfStyle w:val="000000000000" w:firstRow="0" w:lastRow="0" w:firstColumn="0" w:lastColumn="0" w:oddVBand="0" w:evenVBand="0" w:oddHBand="0" w:evenHBand="0" w:firstRowFirstColumn="0" w:firstRowLastColumn="0" w:lastRowFirstColumn="0" w:lastRowLastColumn="0"/>
              <w:rPr>
                <w:rFonts w:cstheme="minorHAnsi"/>
                <w:szCs w:val="22"/>
              </w:rPr>
            </w:pPr>
            <w:r w:rsidRPr="00546B0A">
              <w:rPr>
                <w:rFonts w:cstheme="minorHAnsi"/>
                <w:szCs w:val="22"/>
              </w:rPr>
              <w:t>1,920</w:t>
            </w:r>
          </w:p>
        </w:tc>
        <w:tc>
          <w:tcPr>
            <w:tcW w:w="2066" w:type="dxa"/>
            <w:shd w:val="clear" w:color="auto" w:fill="F6F2ED" w:themeFill="accent3" w:themeFillTint="33"/>
          </w:tcPr>
          <w:p w14:paraId="3C224906" w14:textId="77777777" w:rsidR="00BD4078" w:rsidRPr="00546B0A" w:rsidRDefault="00BD4078" w:rsidP="00CC5945">
            <w:pPr>
              <w:pStyle w:val="TableBodyCellRight"/>
              <w:cnfStyle w:val="000000000000" w:firstRow="0" w:lastRow="0" w:firstColumn="0" w:lastColumn="0" w:oddVBand="0" w:evenVBand="0" w:oddHBand="0" w:evenHBand="0" w:firstRowFirstColumn="0" w:firstRowLastColumn="0" w:lastRowFirstColumn="0" w:lastRowLastColumn="0"/>
              <w:rPr>
                <w:rFonts w:cstheme="minorHAnsi"/>
                <w:szCs w:val="22"/>
              </w:rPr>
            </w:pPr>
            <w:r w:rsidRPr="00546B0A">
              <w:rPr>
                <w:rFonts w:cstheme="minorHAnsi"/>
                <w:szCs w:val="22"/>
              </w:rPr>
              <w:t>1,833</w:t>
            </w:r>
          </w:p>
        </w:tc>
      </w:tr>
      <w:tr w:rsidR="002C0007" w:rsidRPr="009171B2" w14:paraId="568DE79A" w14:textId="77777777" w:rsidTr="00EE052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36" w:type="dxa"/>
            <w:tcBorders>
              <w:top w:val="none" w:sz="0" w:space="0" w:color="auto"/>
              <w:bottom w:val="none" w:sz="0" w:space="0" w:color="auto"/>
              <w:right w:val="none" w:sz="0" w:space="0" w:color="auto"/>
            </w:tcBorders>
          </w:tcPr>
          <w:p w14:paraId="76FDC6C1" w14:textId="77777777" w:rsidR="00BD4078" w:rsidRPr="00546B0A" w:rsidRDefault="00BD4078" w:rsidP="00CC5945">
            <w:pPr>
              <w:pStyle w:val="TableBodyCellLeft"/>
              <w:rPr>
                <w:rFonts w:cstheme="minorHAnsi"/>
                <w:b w:val="0"/>
                <w:bCs w:val="0"/>
                <w:color w:val="142147" w:themeColor="accent1"/>
                <w:sz w:val="22"/>
                <w:szCs w:val="22"/>
              </w:rPr>
            </w:pPr>
            <w:r w:rsidRPr="00546B0A">
              <w:rPr>
                <w:rFonts w:cstheme="minorHAnsi"/>
                <w:b w:val="0"/>
                <w:bCs w:val="0"/>
                <w:color w:val="142147" w:themeColor="accent1"/>
                <w:sz w:val="22"/>
                <w:szCs w:val="22"/>
              </w:rPr>
              <w:t xml:space="preserve">Taxable profit on property sales </w:t>
            </w:r>
          </w:p>
        </w:tc>
        <w:tc>
          <w:tcPr>
            <w:tcW w:w="2039" w:type="dxa"/>
            <w:tcBorders>
              <w:top w:val="none" w:sz="0" w:space="0" w:color="auto"/>
              <w:bottom w:val="none" w:sz="0" w:space="0" w:color="auto"/>
            </w:tcBorders>
            <w:shd w:val="clear" w:color="auto" w:fill="F6F2ED" w:themeFill="accent3" w:themeFillTint="33"/>
          </w:tcPr>
          <w:p w14:paraId="00BEC869" w14:textId="77777777" w:rsidR="00BD4078" w:rsidRPr="00546B0A" w:rsidRDefault="00BD4078" w:rsidP="00CC5945">
            <w:pPr>
              <w:pStyle w:val="TableBodyCellRight"/>
              <w:cnfStyle w:val="000000100000" w:firstRow="0" w:lastRow="0" w:firstColumn="0" w:lastColumn="0" w:oddVBand="0" w:evenVBand="0" w:oddHBand="1" w:evenHBand="0" w:firstRowFirstColumn="0" w:firstRowLastColumn="0" w:lastRowFirstColumn="0" w:lastRowLastColumn="0"/>
              <w:rPr>
                <w:rFonts w:cstheme="minorHAnsi"/>
                <w:szCs w:val="22"/>
              </w:rPr>
            </w:pPr>
            <w:r w:rsidRPr="00546B0A">
              <w:rPr>
                <w:rFonts w:cstheme="minorHAnsi"/>
                <w:szCs w:val="22"/>
              </w:rPr>
              <w:t>(233)</w:t>
            </w:r>
          </w:p>
        </w:tc>
        <w:tc>
          <w:tcPr>
            <w:tcW w:w="2066" w:type="dxa"/>
            <w:tcBorders>
              <w:top w:val="none" w:sz="0" w:space="0" w:color="auto"/>
              <w:bottom w:val="none" w:sz="0" w:space="0" w:color="auto"/>
            </w:tcBorders>
            <w:shd w:val="clear" w:color="auto" w:fill="F6F2ED" w:themeFill="accent3" w:themeFillTint="33"/>
          </w:tcPr>
          <w:p w14:paraId="321B2602" w14:textId="77777777" w:rsidR="00BD4078" w:rsidRPr="00546B0A" w:rsidRDefault="00BD4078" w:rsidP="00CC5945">
            <w:pPr>
              <w:pStyle w:val="TableBodyCellRight"/>
              <w:cnfStyle w:val="000000100000" w:firstRow="0" w:lastRow="0" w:firstColumn="0" w:lastColumn="0" w:oddVBand="0" w:evenVBand="0" w:oddHBand="1" w:evenHBand="0" w:firstRowFirstColumn="0" w:firstRowLastColumn="0" w:lastRowFirstColumn="0" w:lastRowLastColumn="0"/>
              <w:rPr>
                <w:rFonts w:cstheme="minorHAnsi"/>
                <w:szCs w:val="22"/>
              </w:rPr>
            </w:pPr>
            <w:r w:rsidRPr="00546B0A">
              <w:rPr>
                <w:rFonts w:cstheme="minorHAnsi"/>
                <w:szCs w:val="22"/>
              </w:rPr>
              <w:t>(133)</w:t>
            </w:r>
          </w:p>
        </w:tc>
      </w:tr>
      <w:tr w:rsidR="002C0007" w:rsidRPr="009171B2" w14:paraId="50F3114F" w14:textId="77777777" w:rsidTr="00EE052F">
        <w:trPr>
          <w:trHeight w:val="510"/>
        </w:trPr>
        <w:tc>
          <w:tcPr>
            <w:cnfStyle w:val="001000000000" w:firstRow="0" w:lastRow="0" w:firstColumn="1" w:lastColumn="0" w:oddVBand="0" w:evenVBand="0" w:oddHBand="0" w:evenHBand="0" w:firstRowFirstColumn="0" w:firstRowLastColumn="0" w:lastRowFirstColumn="0" w:lastRowLastColumn="0"/>
            <w:tcW w:w="5536" w:type="dxa"/>
            <w:tcBorders>
              <w:right w:val="none" w:sz="0" w:space="0" w:color="auto"/>
            </w:tcBorders>
          </w:tcPr>
          <w:p w14:paraId="1CFAF23A" w14:textId="77777777" w:rsidR="00BD4078" w:rsidRPr="00546B0A" w:rsidRDefault="00BD4078" w:rsidP="00CC5945">
            <w:pPr>
              <w:pStyle w:val="TableBodyCellLeft"/>
              <w:rPr>
                <w:rFonts w:cstheme="minorHAnsi"/>
                <w:b w:val="0"/>
                <w:bCs w:val="0"/>
                <w:color w:val="142147" w:themeColor="accent1"/>
                <w:sz w:val="22"/>
                <w:szCs w:val="22"/>
              </w:rPr>
            </w:pPr>
            <w:r w:rsidRPr="00546B0A">
              <w:rPr>
                <w:rFonts w:cstheme="minorHAnsi"/>
                <w:b w:val="0"/>
                <w:bCs w:val="0"/>
                <w:color w:val="142147" w:themeColor="accent1"/>
                <w:sz w:val="22"/>
                <w:szCs w:val="22"/>
              </w:rPr>
              <w:t xml:space="preserve">Subsidiary provisions/impairments </w:t>
            </w:r>
          </w:p>
        </w:tc>
        <w:tc>
          <w:tcPr>
            <w:tcW w:w="2039" w:type="dxa"/>
            <w:shd w:val="clear" w:color="auto" w:fill="F6F2ED" w:themeFill="accent3" w:themeFillTint="33"/>
          </w:tcPr>
          <w:p w14:paraId="622B4CD2" w14:textId="77777777" w:rsidR="00BD4078" w:rsidRPr="00546B0A" w:rsidRDefault="00BD4078" w:rsidP="00CC5945">
            <w:pPr>
              <w:pStyle w:val="TableBodyCellRight"/>
              <w:cnfStyle w:val="000000000000" w:firstRow="0" w:lastRow="0" w:firstColumn="0" w:lastColumn="0" w:oddVBand="0" w:evenVBand="0" w:oddHBand="0" w:evenHBand="0" w:firstRowFirstColumn="0" w:firstRowLastColumn="0" w:lastRowFirstColumn="0" w:lastRowLastColumn="0"/>
              <w:rPr>
                <w:rFonts w:cstheme="minorHAnsi"/>
                <w:szCs w:val="22"/>
              </w:rPr>
            </w:pPr>
            <w:r w:rsidRPr="00546B0A">
              <w:rPr>
                <w:rFonts w:cstheme="minorHAnsi"/>
                <w:szCs w:val="22"/>
              </w:rPr>
              <w:t>612</w:t>
            </w:r>
          </w:p>
        </w:tc>
        <w:tc>
          <w:tcPr>
            <w:tcW w:w="2066" w:type="dxa"/>
            <w:shd w:val="clear" w:color="auto" w:fill="F6F2ED" w:themeFill="accent3" w:themeFillTint="33"/>
          </w:tcPr>
          <w:p w14:paraId="322F0582" w14:textId="77777777" w:rsidR="00BD4078" w:rsidRPr="00546B0A" w:rsidRDefault="00BD4078" w:rsidP="00CC5945">
            <w:pPr>
              <w:pStyle w:val="TableBodyCellRight"/>
              <w:cnfStyle w:val="000000000000" w:firstRow="0" w:lastRow="0" w:firstColumn="0" w:lastColumn="0" w:oddVBand="0" w:evenVBand="0" w:oddHBand="0" w:evenHBand="0" w:firstRowFirstColumn="0" w:firstRowLastColumn="0" w:lastRowFirstColumn="0" w:lastRowLastColumn="0"/>
              <w:rPr>
                <w:rFonts w:cstheme="minorHAnsi"/>
                <w:szCs w:val="22"/>
              </w:rPr>
            </w:pPr>
            <w:r w:rsidRPr="00546B0A">
              <w:rPr>
                <w:rFonts w:cstheme="minorHAnsi"/>
                <w:szCs w:val="22"/>
              </w:rPr>
              <w:t>(2,643)</w:t>
            </w:r>
          </w:p>
        </w:tc>
      </w:tr>
      <w:tr w:rsidR="002C0007" w:rsidRPr="009171B2" w14:paraId="41BE305D" w14:textId="77777777" w:rsidTr="00EE052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36" w:type="dxa"/>
            <w:tcBorders>
              <w:top w:val="none" w:sz="0" w:space="0" w:color="auto"/>
              <w:bottom w:val="none" w:sz="0" w:space="0" w:color="auto"/>
              <w:right w:val="none" w:sz="0" w:space="0" w:color="auto"/>
            </w:tcBorders>
          </w:tcPr>
          <w:p w14:paraId="17EBEFAC" w14:textId="77777777" w:rsidR="00BD4078" w:rsidRPr="00546B0A" w:rsidRDefault="00BD4078" w:rsidP="00CC5945">
            <w:pPr>
              <w:pStyle w:val="TableBodyCellLeft"/>
              <w:rPr>
                <w:rFonts w:cstheme="minorHAnsi"/>
                <w:color w:val="142147" w:themeColor="accent1"/>
                <w:sz w:val="22"/>
                <w:szCs w:val="22"/>
              </w:rPr>
            </w:pPr>
            <w:r w:rsidRPr="00546B0A">
              <w:rPr>
                <w:rFonts w:cstheme="minorHAnsi"/>
                <w:color w:val="142147" w:themeColor="accent1"/>
                <w:sz w:val="22"/>
                <w:szCs w:val="22"/>
              </w:rPr>
              <w:t xml:space="preserve">Total income tax expense on current year profit </w:t>
            </w:r>
          </w:p>
        </w:tc>
        <w:tc>
          <w:tcPr>
            <w:tcW w:w="2039" w:type="dxa"/>
            <w:tcBorders>
              <w:top w:val="none" w:sz="0" w:space="0" w:color="auto"/>
              <w:bottom w:val="none" w:sz="0" w:space="0" w:color="auto"/>
            </w:tcBorders>
            <w:shd w:val="clear" w:color="auto" w:fill="F6F2ED" w:themeFill="accent3" w:themeFillTint="33"/>
          </w:tcPr>
          <w:p w14:paraId="51566982" w14:textId="77777777" w:rsidR="00BD4078" w:rsidRPr="00546B0A" w:rsidRDefault="00BD4078" w:rsidP="00CC5945">
            <w:pPr>
              <w:pStyle w:val="TableBodyCellRight"/>
              <w:cnfStyle w:val="000000100000" w:firstRow="0" w:lastRow="0" w:firstColumn="0" w:lastColumn="0" w:oddVBand="0" w:evenVBand="0" w:oddHBand="1" w:evenHBand="0" w:firstRowFirstColumn="0" w:firstRowLastColumn="0" w:lastRowFirstColumn="0" w:lastRowLastColumn="0"/>
              <w:rPr>
                <w:rFonts w:cstheme="minorHAnsi"/>
                <w:b/>
                <w:szCs w:val="22"/>
              </w:rPr>
            </w:pPr>
            <w:r w:rsidRPr="00546B0A">
              <w:rPr>
                <w:rFonts w:cstheme="minorHAnsi"/>
                <w:b/>
                <w:szCs w:val="22"/>
              </w:rPr>
              <w:t>(27,791)</w:t>
            </w:r>
          </w:p>
        </w:tc>
        <w:tc>
          <w:tcPr>
            <w:tcW w:w="2066" w:type="dxa"/>
            <w:tcBorders>
              <w:top w:val="none" w:sz="0" w:space="0" w:color="auto"/>
              <w:bottom w:val="none" w:sz="0" w:space="0" w:color="auto"/>
            </w:tcBorders>
            <w:shd w:val="clear" w:color="auto" w:fill="F6F2ED" w:themeFill="accent3" w:themeFillTint="33"/>
          </w:tcPr>
          <w:p w14:paraId="7B1A79C3" w14:textId="77777777" w:rsidR="00BD4078" w:rsidRPr="00546B0A" w:rsidRDefault="00BD4078" w:rsidP="00CC5945">
            <w:pPr>
              <w:pStyle w:val="TableBodyCellRight"/>
              <w:cnfStyle w:val="000000100000" w:firstRow="0" w:lastRow="0" w:firstColumn="0" w:lastColumn="0" w:oddVBand="0" w:evenVBand="0" w:oddHBand="1" w:evenHBand="0" w:firstRowFirstColumn="0" w:firstRowLastColumn="0" w:lastRowFirstColumn="0" w:lastRowLastColumn="0"/>
              <w:rPr>
                <w:rFonts w:cstheme="minorHAnsi"/>
                <w:b/>
                <w:szCs w:val="22"/>
              </w:rPr>
            </w:pPr>
            <w:r w:rsidRPr="00546B0A">
              <w:rPr>
                <w:rFonts w:cstheme="minorHAnsi"/>
                <w:b/>
                <w:szCs w:val="22"/>
              </w:rPr>
              <w:t>(30,403)</w:t>
            </w:r>
          </w:p>
        </w:tc>
      </w:tr>
      <w:tr w:rsidR="002C0007" w:rsidRPr="009171B2" w14:paraId="74110785" w14:textId="77777777" w:rsidTr="00EE052F">
        <w:trPr>
          <w:trHeight w:val="510"/>
        </w:trPr>
        <w:tc>
          <w:tcPr>
            <w:cnfStyle w:val="001000000000" w:firstRow="0" w:lastRow="0" w:firstColumn="1" w:lastColumn="0" w:oddVBand="0" w:evenVBand="0" w:oddHBand="0" w:evenHBand="0" w:firstRowFirstColumn="0" w:firstRowLastColumn="0" w:lastRowFirstColumn="0" w:lastRowLastColumn="0"/>
            <w:tcW w:w="5536" w:type="dxa"/>
            <w:tcBorders>
              <w:right w:val="none" w:sz="0" w:space="0" w:color="auto"/>
            </w:tcBorders>
          </w:tcPr>
          <w:p w14:paraId="385249CF" w14:textId="05A601A7" w:rsidR="00BD4078" w:rsidRPr="00546B0A" w:rsidRDefault="0081242C" w:rsidP="00CC5945">
            <w:pPr>
              <w:pStyle w:val="TableBodyCellLeft"/>
              <w:rPr>
                <w:rFonts w:cstheme="minorHAnsi"/>
                <w:color w:val="142147" w:themeColor="accent1"/>
                <w:sz w:val="22"/>
                <w:szCs w:val="22"/>
              </w:rPr>
            </w:pPr>
            <w:r w:rsidRPr="00546B0A">
              <w:rPr>
                <w:rFonts w:cstheme="minorHAnsi"/>
                <w:color w:val="142147" w:themeColor="accent1"/>
                <w:sz w:val="22"/>
                <w:szCs w:val="22"/>
              </w:rPr>
              <w:t>Australian E</w:t>
            </w:r>
            <w:r w:rsidR="00BD4078" w:rsidRPr="00546B0A">
              <w:rPr>
                <w:rFonts w:cstheme="minorHAnsi"/>
                <w:color w:val="142147" w:themeColor="accent1"/>
                <w:sz w:val="22"/>
                <w:szCs w:val="22"/>
              </w:rPr>
              <w:t xml:space="preserve">ffective </w:t>
            </w:r>
            <w:r w:rsidRPr="00546B0A">
              <w:rPr>
                <w:rFonts w:cstheme="minorHAnsi"/>
                <w:color w:val="142147" w:themeColor="accent1"/>
                <w:sz w:val="22"/>
                <w:szCs w:val="22"/>
              </w:rPr>
              <w:t>T</w:t>
            </w:r>
            <w:r w:rsidR="00BD4078" w:rsidRPr="00546B0A">
              <w:rPr>
                <w:rFonts w:cstheme="minorHAnsi"/>
                <w:color w:val="142147" w:themeColor="accent1"/>
                <w:sz w:val="22"/>
                <w:szCs w:val="22"/>
              </w:rPr>
              <w:t xml:space="preserve">ax </w:t>
            </w:r>
            <w:r w:rsidRPr="00546B0A">
              <w:rPr>
                <w:rFonts w:cstheme="minorHAnsi"/>
                <w:color w:val="142147" w:themeColor="accent1"/>
                <w:sz w:val="22"/>
                <w:szCs w:val="22"/>
              </w:rPr>
              <w:t>R</w:t>
            </w:r>
            <w:r w:rsidR="00BD4078" w:rsidRPr="00546B0A">
              <w:rPr>
                <w:rFonts w:cstheme="minorHAnsi"/>
                <w:color w:val="142147" w:themeColor="accent1"/>
                <w:sz w:val="22"/>
                <w:szCs w:val="22"/>
              </w:rPr>
              <w:t xml:space="preserve">ate </w:t>
            </w:r>
          </w:p>
        </w:tc>
        <w:tc>
          <w:tcPr>
            <w:tcW w:w="2039" w:type="dxa"/>
            <w:shd w:val="clear" w:color="auto" w:fill="F6F2ED" w:themeFill="accent3" w:themeFillTint="33"/>
          </w:tcPr>
          <w:p w14:paraId="47E664DD" w14:textId="77777777" w:rsidR="00BD4078" w:rsidRPr="00546B0A" w:rsidRDefault="00BD4078" w:rsidP="00CC5945">
            <w:pPr>
              <w:pStyle w:val="TableBodyCellRight"/>
              <w:cnfStyle w:val="000000000000" w:firstRow="0" w:lastRow="0" w:firstColumn="0" w:lastColumn="0" w:oddVBand="0" w:evenVBand="0" w:oddHBand="0" w:evenHBand="0" w:firstRowFirstColumn="0" w:firstRowLastColumn="0" w:lastRowFirstColumn="0" w:lastRowLastColumn="0"/>
              <w:rPr>
                <w:rFonts w:cstheme="minorHAnsi"/>
                <w:b/>
                <w:szCs w:val="22"/>
              </w:rPr>
            </w:pPr>
            <w:r w:rsidRPr="00546B0A">
              <w:rPr>
                <w:rFonts w:cstheme="minorHAnsi"/>
                <w:b/>
                <w:szCs w:val="22"/>
              </w:rPr>
              <w:t>27.7%</w:t>
            </w:r>
          </w:p>
        </w:tc>
        <w:tc>
          <w:tcPr>
            <w:tcW w:w="2066" w:type="dxa"/>
            <w:shd w:val="clear" w:color="auto" w:fill="F6F2ED" w:themeFill="accent3" w:themeFillTint="33"/>
          </w:tcPr>
          <w:p w14:paraId="6CB843E1" w14:textId="77777777" w:rsidR="00BD4078" w:rsidRPr="00546B0A" w:rsidRDefault="00BD4078" w:rsidP="00CC5945">
            <w:pPr>
              <w:pStyle w:val="TableBodyCellRight"/>
              <w:cnfStyle w:val="000000000000" w:firstRow="0" w:lastRow="0" w:firstColumn="0" w:lastColumn="0" w:oddVBand="0" w:evenVBand="0" w:oddHBand="0" w:evenHBand="0" w:firstRowFirstColumn="0" w:firstRowLastColumn="0" w:lastRowFirstColumn="0" w:lastRowLastColumn="0"/>
              <w:rPr>
                <w:rFonts w:cstheme="minorHAnsi"/>
                <w:b/>
                <w:szCs w:val="22"/>
              </w:rPr>
            </w:pPr>
            <w:r w:rsidRPr="00546B0A">
              <w:rPr>
                <w:rFonts w:cstheme="minorHAnsi"/>
                <w:b/>
                <w:szCs w:val="22"/>
              </w:rPr>
              <w:t>30.9%</w:t>
            </w:r>
          </w:p>
        </w:tc>
      </w:tr>
      <w:tr w:rsidR="000C46C1" w:rsidRPr="009171B2" w14:paraId="0546556F" w14:textId="77777777" w:rsidTr="00623A4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36" w:type="dxa"/>
            <w:tcBorders>
              <w:top w:val="none" w:sz="0" w:space="0" w:color="auto"/>
              <w:bottom w:val="none" w:sz="0" w:space="0" w:color="auto"/>
              <w:right w:val="none" w:sz="0" w:space="0" w:color="auto"/>
            </w:tcBorders>
            <w:shd w:val="clear" w:color="auto" w:fill="701F4D" w:themeFill="accent2"/>
            <w:vAlign w:val="center"/>
          </w:tcPr>
          <w:p w14:paraId="490A048A" w14:textId="09AF47AA" w:rsidR="000C46C1" w:rsidRPr="00546B0A" w:rsidRDefault="000C46C1" w:rsidP="00623A43">
            <w:pPr>
              <w:pStyle w:val="TableBodyCellLeft"/>
              <w:rPr>
                <w:rFonts w:cstheme="minorHAnsi"/>
                <w:color w:val="FFFFFF" w:themeColor="background1"/>
                <w:sz w:val="22"/>
                <w:szCs w:val="22"/>
              </w:rPr>
            </w:pPr>
            <w:r w:rsidRPr="00546B0A">
              <w:rPr>
                <w:rFonts w:cstheme="minorHAnsi"/>
                <w:color w:val="FFFFFF" w:themeColor="background1"/>
                <w:sz w:val="22"/>
                <w:szCs w:val="22"/>
              </w:rPr>
              <w:t>Book to tax adjustments: Temporary Differences</w:t>
            </w:r>
          </w:p>
        </w:tc>
        <w:tc>
          <w:tcPr>
            <w:tcW w:w="2039" w:type="dxa"/>
            <w:tcBorders>
              <w:top w:val="none" w:sz="0" w:space="0" w:color="auto"/>
              <w:bottom w:val="none" w:sz="0" w:space="0" w:color="auto"/>
            </w:tcBorders>
            <w:shd w:val="clear" w:color="auto" w:fill="701F4D" w:themeFill="accent2"/>
          </w:tcPr>
          <w:p w14:paraId="205D0797" w14:textId="77777777" w:rsidR="000C46C1" w:rsidRPr="00546B0A" w:rsidRDefault="000C46C1" w:rsidP="00F01383">
            <w:pPr>
              <w:pStyle w:val="TableBodyCellRight"/>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2066" w:type="dxa"/>
            <w:tcBorders>
              <w:top w:val="none" w:sz="0" w:space="0" w:color="auto"/>
              <w:bottom w:val="none" w:sz="0" w:space="0" w:color="auto"/>
            </w:tcBorders>
            <w:shd w:val="clear" w:color="auto" w:fill="701F4D" w:themeFill="accent2"/>
          </w:tcPr>
          <w:p w14:paraId="2BF8DD16" w14:textId="77777777" w:rsidR="000C46C1" w:rsidRPr="00546B0A" w:rsidRDefault="000C46C1" w:rsidP="00F01383">
            <w:pPr>
              <w:pStyle w:val="TableBodyCellRight"/>
              <w:cnfStyle w:val="000000100000" w:firstRow="0" w:lastRow="0" w:firstColumn="0" w:lastColumn="0" w:oddVBand="0" w:evenVBand="0" w:oddHBand="1" w:evenHBand="0" w:firstRowFirstColumn="0" w:firstRowLastColumn="0" w:lastRowFirstColumn="0" w:lastRowLastColumn="0"/>
              <w:rPr>
                <w:rFonts w:cstheme="minorHAnsi"/>
                <w:szCs w:val="22"/>
              </w:rPr>
            </w:pPr>
          </w:p>
        </w:tc>
      </w:tr>
      <w:tr w:rsidR="002C0007" w:rsidRPr="009171B2" w14:paraId="1A70D5DC" w14:textId="77777777" w:rsidTr="00EE052F">
        <w:trPr>
          <w:trHeight w:val="510"/>
        </w:trPr>
        <w:tc>
          <w:tcPr>
            <w:cnfStyle w:val="001000000000" w:firstRow="0" w:lastRow="0" w:firstColumn="1" w:lastColumn="0" w:oddVBand="0" w:evenVBand="0" w:oddHBand="0" w:evenHBand="0" w:firstRowFirstColumn="0" w:firstRowLastColumn="0" w:lastRowFirstColumn="0" w:lastRowLastColumn="0"/>
            <w:tcW w:w="5536" w:type="dxa"/>
            <w:tcBorders>
              <w:right w:val="none" w:sz="0" w:space="0" w:color="auto"/>
            </w:tcBorders>
          </w:tcPr>
          <w:p w14:paraId="4451AA1B" w14:textId="77777777" w:rsidR="00BD4078" w:rsidRPr="00546B0A" w:rsidRDefault="00BD4078" w:rsidP="00CA06FD">
            <w:pPr>
              <w:pStyle w:val="TableBodyCellLeft"/>
              <w:rPr>
                <w:rFonts w:cstheme="minorHAnsi"/>
                <w:b w:val="0"/>
                <w:bCs w:val="0"/>
                <w:sz w:val="22"/>
                <w:szCs w:val="22"/>
              </w:rPr>
            </w:pPr>
            <w:r w:rsidRPr="00546B0A">
              <w:rPr>
                <w:rFonts w:cstheme="minorHAnsi"/>
                <w:b w:val="0"/>
                <w:bCs w:val="0"/>
                <w:sz w:val="22"/>
                <w:szCs w:val="22"/>
              </w:rPr>
              <w:t xml:space="preserve">Recognition of carried forward capital tax losses </w:t>
            </w:r>
          </w:p>
        </w:tc>
        <w:tc>
          <w:tcPr>
            <w:tcW w:w="2039" w:type="dxa"/>
            <w:shd w:val="clear" w:color="auto" w:fill="F6F2ED" w:themeFill="accent3" w:themeFillTint="33"/>
          </w:tcPr>
          <w:p w14:paraId="0BF798D1" w14:textId="0C75CDF2" w:rsidR="00BD4078" w:rsidRPr="00546B0A" w:rsidRDefault="00EA2531" w:rsidP="00CA06FD">
            <w:pPr>
              <w:pStyle w:val="TableBodyCellRight"/>
              <w:cnfStyle w:val="000000000000" w:firstRow="0" w:lastRow="0" w:firstColumn="0" w:lastColumn="0" w:oddVBand="0" w:evenVBand="0" w:oddHBand="0" w:evenHBand="0" w:firstRowFirstColumn="0" w:firstRowLastColumn="0" w:lastRowFirstColumn="0" w:lastRowLastColumn="0"/>
              <w:rPr>
                <w:rFonts w:cstheme="minorHAnsi"/>
                <w:szCs w:val="22"/>
              </w:rPr>
            </w:pPr>
            <w:r w:rsidRPr="00546B0A">
              <w:rPr>
                <w:rFonts w:cstheme="minorHAnsi"/>
                <w:szCs w:val="22"/>
              </w:rPr>
              <w:t>n/a</w:t>
            </w:r>
          </w:p>
        </w:tc>
        <w:tc>
          <w:tcPr>
            <w:tcW w:w="2066" w:type="dxa"/>
            <w:shd w:val="clear" w:color="auto" w:fill="F6F2ED" w:themeFill="accent3" w:themeFillTint="33"/>
          </w:tcPr>
          <w:p w14:paraId="34AE3696" w14:textId="77777777" w:rsidR="00BD4078" w:rsidRPr="00546B0A" w:rsidRDefault="00BD4078" w:rsidP="00CA06FD">
            <w:pPr>
              <w:pStyle w:val="TableBodyCellRight"/>
              <w:cnfStyle w:val="000000000000" w:firstRow="0" w:lastRow="0" w:firstColumn="0" w:lastColumn="0" w:oddVBand="0" w:evenVBand="0" w:oddHBand="0" w:evenHBand="0" w:firstRowFirstColumn="0" w:firstRowLastColumn="0" w:lastRowFirstColumn="0" w:lastRowLastColumn="0"/>
              <w:rPr>
                <w:rFonts w:cstheme="minorHAnsi"/>
                <w:szCs w:val="22"/>
              </w:rPr>
            </w:pPr>
            <w:r w:rsidRPr="00546B0A">
              <w:rPr>
                <w:rFonts w:cstheme="minorHAnsi"/>
                <w:szCs w:val="22"/>
              </w:rPr>
              <w:t>1,667</w:t>
            </w:r>
          </w:p>
        </w:tc>
      </w:tr>
      <w:tr w:rsidR="002C0007" w:rsidRPr="009171B2" w14:paraId="3E6D88BF" w14:textId="77777777" w:rsidTr="00EE052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36" w:type="dxa"/>
            <w:tcBorders>
              <w:top w:val="none" w:sz="0" w:space="0" w:color="auto"/>
              <w:bottom w:val="none" w:sz="0" w:space="0" w:color="auto"/>
              <w:right w:val="none" w:sz="0" w:space="0" w:color="auto"/>
            </w:tcBorders>
          </w:tcPr>
          <w:p w14:paraId="75C929B1" w14:textId="77777777" w:rsidR="00BD4078" w:rsidRPr="00546B0A" w:rsidRDefault="00BD4078" w:rsidP="00CA06FD">
            <w:pPr>
              <w:pStyle w:val="TableBodyCellLeft"/>
              <w:rPr>
                <w:rFonts w:cstheme="minorHAnsi"/>
                <w:b w:val="0"/>
                <w:bCs w:val="0"/>
                <w:sz w:val="22"/>
                <w:szCs w:val="22"/>
              </w:rPr>
            </w:pPr>
            <w:r w:rsidRPr="00546B0A">
              <w:rPr>
                <w:rFonts w:cstheme="minorHAnsi"/>
                <w:b w:val="0"/>
                <w:bCs w:val="0"/>
                <w:sz w:val="22"/>
                <w:szCs w:val="22"/>
              </w:rPr>
              <w:t xml:space="preserve">Recognition of carried forward tax losses </w:t>
            </w:r>
          </w:p>
        </w:tc>
        <w:tc>
          <w:tcPr>
            <w:tcW w:w="2039" w:type="dxa"/>
            <w:tcBorders>
              <w:top w:val="none" w:sz="0" w:space="0" w:color="auto"/>
              <w:bottom w:val="none" w:sz="0" w:space="0" w:color="auto"/>
            </w:tcBorders>
            <w:shd w:val="clear" w:color="auto" w:fill="F6F2ED" w:themeFill="accent3" w:themeFillTint="33"/>
          </w:tcPr>
          <w:p w14:paraId="41516429" w14:textId="77777777" w:rsidR="00BD4078" w:rsidRPr="00546B0A" w:rsidRDefault="00BD4078" w:rsidP="00CA06FD">
            <w:pPr>
              <w:pStyle w:val="TableBodyCellRight"/>
              <w:cnfStyle w:val="000000100000" w:firstRow="0" w:lastRow="0" w:firstColumn="0" w:lastColumn="0" w:oddVBand="0" w:evenVBand="0" w:oddHBand="1" w:evenHBand="0" w:firstRowFirstColumn="0" w:firstRowLastColumn="0" w:lastRowFirstColumn="0" w:lastRowLastColumn="0"/>
              <w:rPr>
                <w:rFonts w:cstheme="minorHAnsi"/>
                <w:szCs w:val="22"/>
              </w:rPr>
            </w:pPr>
            <w:r w:rsidRPr="00546B0A">
              <w:rPr>
                <w:rFonts w:cstheme="minorHAnsi"/>
                <w:szCs w:val="22"/>
              </w:rPr>
              <w:t>1,300</w:t>
            </w:r>
          </w:p>
        </w:tc>
        <w:tc>
          <w:tcPr>
            <w:tcW w:w="2066" w:type="dxa"/>
            <w:tcBorders>
              <w:top w:val="none" w:sz="0" w:space="0" w:color="auto"/>
              <w:bottom w:val="none" w:sz="0" w:space="0" w:color="auto"/>
            </w:tcBorders>
            <w:shd w:val="clear" w:color="auto" w:fill="F6F2ED" w:themeFill="accent3" w:themeFillTint="33"/>
          </w:tcPr>
          <w:p w14:paraId="6A7C5248" w14:textId="77777777" w:rsidR="00BD4078" w:rsidRPr="00546B0A" w:rsidRDefault="00BD4078" w:rsidP="00CA06FD">
            <w:pPr>
              <w:pStyle w:val="TableBodyCellRight"/>
              <w:cnfStyle w:val="000000100000" w:firstRow="0" w:lastRow="0" w:firstColumn="0" w:lastColumn="0" w:oddVBand="0" w:evenVBand="0" w:oddHBand="1" w:evenHBand="0" w:firstRowFirstColumn="0" w:firstRowLastColumn="0" w:lastRowFirstColumn="0" w:lastRowLastColumn="0"/>
              <w:rPr>
                <w:rFonts w:cstheme="minorHAnsi"/>
                <w:szCs w:val="22"/>
              </w:rPr>
            </w:pPr>
            <w:r w:rsidRPr="00546B0A">
              <w:rPr>
                <w:rFonts w:cstheme="minorHAnsi"/>
                <w:szCs w:val="22"/>
              </w:rPr>
              <w:t>933</w:t>
            </w:r>
          </w:p>
        </w:tc>
      </w:tr>
      <w:tr w:rsidR="002C0007" w:rsidRPr="009171B2" w14:paraId="04990BB1" w14:textId="77777777" w:rsidTr="00EE052F">
        <w:trPr>
          <w:trHeight w:val="510"/>
        </w:trPr>
        <w:tc>
          <w:tcPr>
            <w:cnfStyle w:val="001000000000" w:firstRow="0" w:lastRow="0" w:firstColumn="1" w:lastColumn="0" w:oddVBand="0" w:evenVBand="0" w:oddHBand="0" w:evenHBand="0" w:firstRowFirstColumn="0" w:firstRowLastColumn="0" w:lastRowFirstColumn="0" w:lastRowLastColumn="0"/>
            <w:tcW w:w="5536" w:type="dxa"/>
            <w:tcBorders>
              <w:right w:val="none" w:sz="0" w:space="0" w:color="auto"/>
            </w:tcBorders>
          </w:tcPr>
          <w:p w14:paraId="0B23D325" w14:textId="77777777" w:rsidR="00BD4078" w:rsidRPr="00546B0A" w:rsidRDefault="00BD4078" w:rsidP="00CA06FD">
            <w:pPr>
              <w:pStyle w:val="TableBodyCellLeft"/>
              <w:rPr>
                <w:rFonts w:cstheme="minorHAnsi"/>
                <w:b w:val="0"/>
                <w:bCs w:val="0"/>
                <w:sz w:val="22"/>
                <w:szCs w:val="22"/>
              </w:rPr>
            </w:pPr>
            <w:r w:rsidRPr="00546B0A">
              <w:rPr>
                <w:rFonts w:cstheme="minorHAnsi"/>
                <w:b w:val="0"/>
                <w:bCs w:val="0"/>
                <w:sz w:val="22"/>
                <w:szCs w:val="22"/>
              </w:rPr>
              <w:t>Income tax over (under) provided in prior years</w:t>
            </w:r>
          </w:p>
        </w:tc>
        <w:tc>
          <w:tcPr>
            <w:tcW w:w="2039" w:type="dxa"/>
            <w:shd w:val="clear" w:color="auto" w:fill="F6F2ED" w:themeFill="accent3" w:themeFillTint="33"/>
          </w:tcPr>
          <w:p w14:paraId="7867D80D" w14:textId="77777777" w:rsidR="00BD4078" w:rsidRPr="00546B0A" w:rsidRDefault="00BD4078" w:rsidP="00CA06FD">
            <w:pPr>
              <w:pStyle w:val="TableBodyCellRight"/>
              <w:cnfStyle w:val="000000000000" w:firstRow="0" w:lastRow="0" w:firstColumn="0" w:lastColumn="0" w:oddVBand="0" w:evenVBand="0" w:oddHBand="0" w:evenHBand="0" w:firstRowFirstColumn="0" w:firstRowLastColumn="0" w:lastRowFirstColumn="0" w:lastRowLastColumn="0"/>
              <w:rPr>
                <w:rFonts w:cstheme="minorHAnsi"/>
                <w:szCs w:val="22"/>
              </w:rPr>
            </w:pPr>
            <w:r w:rsidRPr="00546B0A">
              <w:rPr>
                <w:rFonts w:cstheme="minorHAnsi"/>
                <w:szCs w:val="22"/>
              </w:rPr>
              <w:t>167</w:t>
            </w:r>
          </w:p>
        </w:tc>
        <w:tc>
          <w:tcPr>
            <w:tcW w:w="2066" w:type="dxa"/>
            <w:shd w:val="clear" w:color="auto" w:fill="F6F2ED" w:themeFill="accent3" w:themeFillTint="33"/>
          </w:tcPr>
          <w:p w14:paraId="42D871F8" w14:textId="77777777" w:rsidR="00BD4078" w:rsidRPr="00546B0A" w:rsidRDefault="00BD4078" w:rsidP="00CA06FD">
            <w:pPr>
              <w:pStyle w:val="TableBodyCellRight"/>
              <w:cnfStyle w:val="000000000000" w:firstRow="0" w:lastRow="0" w:firstColumn="0" w:lastColumn="0" w:oddVBand="0" w:evenVBand="0" w:oddHBand="0" w:evenHBand="0" w:firstRowFirstColumn="0" w:firstRowLastColumn="0" w:lastRowFirstColumn="0" w:lastRowLastColumn="0"/>
              <w:rPr>
                <w:rFonts w:cstheme="minorHAnsi"/>
                <w:szCs w:val="22"/>
              </w:rPr>
            </w:pPr>
            <w:r w:rsidRPr="00546B0A">
              <w:rPr>
                <w:rFonts w:cstheme="minorHAnsi"/>
                <w:szCs w:val="22"/>
              </w:rPr>
              <w:t>(233)</w:t>
            </w:r>
          </w:p>
        </w:tc>
      </w:tr>
      <w:tr w:rsidR="002C0007" w:rsidRPr="009171B2" w14:paraId="248346DD" w14:textId="77777777" w:rsidTr="00EE052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36" w:type="dxa"/>
            <w:tcBorders>
              <w:top w:val="none" w:sz="0" w:space="0" w:color="auto"/>
              <w:bottom w:val="none" w:sz="0" w:space="0" w:color="auto"/>
              <w:right w:val="none" w:sz="0" w:space="0" w:color="auto"/>
            </w:tcBorders>
          </w:tcPr>
          <w:p w14:paraId="7E623B8C" w14:textId="77777777" w:rsidR="00BD4078" w:rsidRPr="00546B0A" w:rsidRDefault="00BD4078" w:rsidP="00CA06FD">
            <w:pPr>
              <w:pStyle w:val="TableBodyCellLeft"/>
              <w:rPr>
                <w:rFonts w:cstheme="minorHAnsi"/>
                <w:sz w:val="22"/>
                <w:szCs w:val="22"/>
              </w:rPr>
            </w:pPr>
            <w:r w:rsidRPr="00546B0A">
              <w:rPr>
                <w:rFonts w:cstheme="minorHAnsi"/>
                <w:sz w:val="22"/>
                <w:szCs w:val="22"/>
              </w:rPr>
              <w:t xml:space="preserve">Total income tax expense on current year profit </w:t>
            </w:r>
          </w:p>
        </w:tc>
        <w:tc>
          <w:tcPr>
            <w:tcW w:w="2039" w:type="dxa"/>
            <w:tcBorders>
              <w:top w:val="none" w:sz="0" w:space="0" w:color="auto"/>
              <w:bottom w:val="none" w:sz="0" w:space="0" w:color="auto"/>
            </w:tcBorders>
            <w:shd w:val="clear" w:color="auto" w:fill="F6F2ED" w:themeFill="accent3" w:themeFillTint="33"/>
          </w:tcPr>
          <w:p w14:paraId="1993572F" w14:textId="77777777" w:rsidR="00BD4078" w:rsidRPr="00546B0A" w:rsidRDefault="00BD4078" w:rsidP="00CA06FD">
            <w:pPr>
              <w:pStyle w:val="TableBodyCellRight"/>
              <w:cnfStyle w:val="000000100000" w:firstRow="0" w:lastRow="0" w:firstColumn="0" w:lastColumn="0" w:oddVBand="0" w:evenVBand="0" w:oddHBand="1" w:evenHBand="0" w:firstRowFirstColumn="0" w:firstRowLastColumn="0" w:lastRowFirstColumn="0" w:lastRowLastColumn="0"/>
              <w:rPr>
                <w:rFonts w:cstheme="minorHAnsi"/>
                <w:b/>
                <w:bCs/>
                <w:szCs w:val="22"/>
              </w:rPr>
            </w:pPr>
            <w:r w:rsidRPr="00546B0A">
              <w:rPr>
                <w:rFonts w:cstheme="minorHAnsi"/>
                <w:b/>
                <w:bCs/>
                <w:szCs w:val="22"/>
              </w:rPr>
              <w:t>(26,324)</w:t>
            </w:r>
          </w:p>
        </w:tc>
        <w:tc>
          <w:tcPr>
            <w:tcW w:w="2066" w:type="dxa"/>
            <w:tcBorders>
              <w:top w:val="none" w:sz="0" w:space="0" w:color="auto"/>
              <w:bottom w:val="none" w:sz="0" w:space="0" w:color="auto"/>
            </w:tcBorders>
            <w:shd w:val="clear" w:color="auto" w:fill="F6F2ED" w:themeFill="accent3" w:themeFillTint="33"/>
          </w:tcPr>
          <w:p w14:paraId="44845A26" w14:textId="77777777" w:rsidR="00BD4078" w:rsidRPr="00546B0A" w:rsidRDefault="00BD4078" w:rsidP="00CA06FD">
            <w:pPr>
              <w:pStyle w:val="TableBodyCellRight"/>
              <w:cnfStyle w:val="000000100000" w:firstRow="0" w:lastRow="0" w:firstColumn="0" w:lastColumn="0" w:oddVBand="0" w:evenVBand="0" w:oddHBand="1" w:evenHBand="0" w:firstRowFirstColumn="0" w:firstRowLastColumn="0" w:lastRowFirstColumn="0" w:lastRowLastColumn="0"/>
              <w:rPr>
                <w:rFonts w:cstheme="minorHAnsi"/>
                <w:b/>
                <w:bCs/>
                <w:szCs w:val="22"/>
              </w:rPr>
            </w:pPr>
            <w:r w:rsidRPr="00546B0A">
              <w:rPr>
                <w:rFonts w:cstheme="minorHAnsi"/>
                <w:b/>
                <w:bCs/>
                <w:szCs w:val="22"/>
              </w:rPr>
              <w:t>(28,036)</w:t>
            </w:r>
          </w:p>
        </w:tc>
      </w:tr>
      <w:tr w:rsidR="000C46C1" w:rsidRPr="009171B2" w14:paraId="7B6C3471" w14:textId="77777777" w:rsidTr="00623A43">
        <w:trPr>
          <w:trHeight w:val="510"/>
        </w:trPr>
        <w:tc>
          <w:tcPr>
            <w:cnfStyle w:val="001000000000" w:firstRow="0" w:lastRow="0" w:firstColumn="1" w:lastColumn="0" w:oddVBand="0" w:evenVBand="0" w:oddHBand="0" w:evenHBand="0" w:firstRowFirstColumn="0" w:firstRowLastColumn="0" w:lastRowFirstColumn="0" w:lastRowLastColumn="0"/>
            <w:tcW w:w="5536" w:type="dxa"/>
            <w:tcBorders>
              <w:right w:val="none" w:sz="0" w:space="0" w:color="auto"/>
            </w:tcBorders>
            <w:shd w:val="clear" w:color="auto" w:fill="701F4D" w:themeFill="accent2"/>
            <w:vAlign w:val="center"/>
          </w:tcPr>
          <w:p w14:paraId="7104C814" w14:textId="2075E9A5" w:rsidR="000C46C1" w:rsidRPr="00546B0A" w:rsidRDefault="000C46C1" w:rsidP="00623A43">
            <w:pPr>
              <w:pStyle w:val="TableBodyCellLeft"/>
              <w:rPr>
                <w:rFonts w:cstheme="minorHAnsi"/>
                <w:color w:val="FFFFFF" w:themeColor="background1"/>
                <w:sz w:val="22"/>
                <w:szCs w:val="22"/>
              </w:rPr>
            </w:pPr>
            <w:r w:rsidRPr="00546B0A">
              <w:rPr>
                <w:rFonts w:cstheme="minorHAnsi"/>
                <w:color w:val="FFFFFF" w:themeColor="background1"/>
                <w:sz w:val="22"/>
                <w:szCs w:val="22"/>
              </w:rPr>
              <w:t>Reconciliation of income tax expense to cash tax paid</w:t>
            </w:r>
          </w:p>
        </w:tc>
        <w:tc>
          <w:tcPr>
            <w:tcW w:w="2039" w:type="dxa"/>
            <w:shd w:val="clear" w:color="auto" w:fill="701F4D" w:themeFill="accent2"/>
          </w:tcPr>
          <w:p w14:paraId="5F7CA9CA" w14:textId="77777777" w:rsidR="000C46C1" w:rsidRPr="00546B0A" w:rsidRDefault="000C46C1" w:rsidP="00F01383">
            <w:pPr>
              <w:pStyle w:val="TableBodyCellRight"/>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2066" w:type="dxa"/>
            <w:shd w:val="clear" w:color="auto" w:fill="701F4D" w:themeFill="accent2"/>
          </w:tcPr>
          <w:p w14:paraId="4C8A9468" w14:textId="77777777" w:rsidR="000C46C1" w:rsidRPr="00546B0A" w:rsidRDefault="000C46C1" w:rsidP="00F01383">
            <w:pPr>
              <w:pStyle w:val="TableBodyCellRight"/>
              <w:cnfStyle w:val="000000000000" w:firstRow="0" w:lastRow="0" w:firstColumn="0" w:lastColumn="0" w:oddVBand="0" w:evenVBand="0" w:oddHBand="0" w:evenHBand="0" w:firstRowFirstColumn="0" w:firstRowLastColumn="0" w:lastRowFirstColumn="0" w:lastRowLastColumn="0"/>
              <w:rPr>
                <w:rFonts w:cstheme="minorHAnsi"/>
                <w:szCs w:val="22"/>
              </w:rPr>
            </w:pPr>
          </w:p>
        </w:tc>
      </w:tr>
      <w:tr w:rsidR="002C0007" w:rsidRPr="009171B2" w14:paraId="046B7070" w14:textId="77777777" w:rsidTr="00EE052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36" w:type="dxa"/>
            <w:tcBorders>
              <w:top w:val="none" w:sz="0" w:space="0" w:color="auto"/>
              <w:bottom w:val="none" w:sz="0" w:space="0" w:color="auto"/>
              <w:right w:val="none" w:sz="0" w:space="0" w:color="auto"/>
            </w:tcBorders>
          </w:tcPr>
          <w:p w14:paraId="358FE0C4" w14:textId="77777777" w:rsidR="00BD4078" w:rsidRPr="00546B0A" w:rsidRDefault="00BD4078" w:rsidP="00CA06FD">
            <w:pPr>
              <w:pStyle w:val="TableBodyCellLeft"/>
              <w:rPr>
                <w:rFonts w:cstheme="minorHAnsi"/>
                <w:b w:val="0"/>
                <w:bCs w:val="0"/>
                <w:sz w:val="22"/>
                <w:szCs w:val="22"/>
              </w:rPr>
            </w:pPr>
            <w:r w:rsidRPr="00546B0A">
              <w:rPr>
                <w:rFonts w:cstheme="minorHAnsi"/>
                <w:b w:val="0"/>
                <w:bCs w:val="0"/>
                <w:sz w:val="22"/>
                <w:szCs w:val="22"/>
              </w:rPr>
              <w:t>Timing differences and losses recognised in deferred tax</w:t>
            </w:r>
          </w:p>
        </w:tc>
        <w:tc>
          <w:tcPr>
            <w:tcW w:w="2039" w:type="dxa"/>
            <w:tcBorders>
              <w:top w:val="none" w:sz="0" w:space="0" w:color="auto"/>
              <w:bottom w:val="none" w:sz="0" w:space="0" w:color="auto"/>
            </w:tcBorders>
            <w:shd w:val="clear" w:color="auto" w:fill="F6F2ED" w:themeFill="accent3" w:themeFillTint="33"/>
          </w:tcPr>
          <w:p w14:paraId="6BAE7FCA" w14:textId="77777777" w:rsidR="00BD4078" w:rsidRPr="00546B0A" w:rsidRDefault="00BD4078" w:rsidP="00CA06FD">
            <w:pPr>
              <w:pStyle w:val="TableBodyCellRight"/>
              <w:cnfStyle w:val="000000100000" w:firstRow="0" w:lastRow="0" w:firstColumn="0" w:lastColumn="0" w:oddVBand="0" w:evenVBand="0" w:oddHBand="1" w:evenHBand="0" w:firstRowFirstColumn="0" w:firstRowLastColumn="0" w:lastRowFirstColumn="0" w:lastRowLastColumn="0"/>
              <w:rPr>
                <w:rFonts w:cstheme="minorHAnsi"/>
                <w:szCs w:val="22"/>
              </w:rPr>
            </w:pPr>
            <w:r w:rsidRPr="00546B0A">
              <w:rPr>
                <w:rFonts w:cstheme="minorHAnsi"/>
                <w:szCs w:val="22"/>
              </w:rPr>
              <w:t>850</w:t>
            </w:r>
          </w:p>
        </w:tc>
        <w:tc>
          <w:tcPr>
            <w:tcW w:w="2066" w:type="dxa"/>
            <w:tcBorders>
              <w:top w:val="none" w:sz="0" w:space="0" w:color="auto"/>
              <w:bottom w:val="none" w:sz="0" w:space="0" w:color="auto"/>
            </w:tcBorders>
            <w:shd w:val="clear" w:color="auto" w:fill="F6F2ED" w:themeFill="accent3" w:themeFillTint="33"/>
          </w:tcPr>
          <w:p w14:paraId="20695841" w14:textId="77777777" w:rsidR="00BD4078" w:rsidRPr="00546B0A" w:rsidRDefault="00BD4078" w:rsidP="00CA06FD">
            <w:pPr>
              <w:pStyle w:val="TableBodyCellRight"/>
              <w:cnfStyle w:val="000000100000" w:firstRow="0" w:lastRow="0" w:firstColumn="0" w:lastColumn="0" w:oddVBand="0" w:evenVBand="0" w:oddHBand="1" w:evenHBand="0" w:firstRowFirstColumn="0" w:firstRowLastColumn="0" w:lastRowFirstColumn="0" w:lastRowLastColumn="0"/>
              <w:rPr>
                <w:rFonts w:cstheme="minorHAnsi"/>
                <w:szCs w:val="22"/>
              </w:rPr>
            </w:pPr>
            <w:r w:rsidRPr="00546B0A">
              <w:rPr>
                <w:rFonts w:cstheme="minorHAnsi"/>
                <w:szCs w:val="22"/>
              </w:rPr>
              <w:t>3,360</w:t>
            </w:r>
          </w:p>
        </w:tc>
      </w:tr>
      <w:tr w:rsidR="002C0007" w:rsidRPr="009171B2" w14:paraId="533FCDA3" w14:textId="77777777" w:rsidTr="00EE052F">
        <w:trPr>
          <w:trHeight w:val="510"/>
        </w:trPr>
        <w:tc>
          <w:tcPr>
            <w:cnfStyle w:val="001000000000" w:firstRow="0" w:lastRow="0" w:firstColumn="1" w:lastColumn="0" w:oddVBand="0" w:evenVBand="0" w:oddHBand="0" w:evenHBand="0" w:firstRowFirstColumn="0" w:firstRowLastColumn="0" w:lastRowFirstColumn="0" w:lastRowLastColumn="0"/>
            <w:tcW w:w="5536" w:type="dxa"/>
            <w:tcBorders>
              <w:right w:val="none" w:sz="0" w:space="0" w:color="auto"/>
            </w:tcBorders>
          </w:tcPr>
          <w:p w14:paraId="28C51C5B" w14:textId="77777777" w:rsidR="00BD4078" w:rsidRPr="00546B0A" w:rsidRDefault="00BD4078" w:rsidP="00CA06FD">
            <w:pPr>
              <w:pStyle w:val="TableBodyCellLeft"/>
              <w:rPr>
                <w:rFonts w:cstheme="minorHAnsi"/>
                <w:b w:val="0"/>
                <w:bCs w:val="0"/>
                <w:sz w:val="22"/>
                <w:szCs w:val="22"/>
              </w:rPr>
            </w:pPr>
            <w:r w:rsidRPr="00546B0A">
              <w:rPr>
                <w:rFonts w:cstheme="minorHAnsi"/>
                <w:b w:val="0"/>
                <w:bCs w:val="0"/>
                <w:sz w:val="22"/>
                <w:szCs w:val="22"/>
              </w:rPr>
              <w:t xml:space="preserve">Current year tax payable in next financial year </w:t>
            </w:r>
          </w:p>
        </w:tc>
        <w:tc>
          <w:tcPr>
            <w:tcW w:w="2039" w:type="dxa"/>
            <w:shd w:val="clear" w:color="auto" w:fill="F6F2ED" w:themeFill="accent3" w:themeFillTint="33"/>
          </w:tcPr>
          <w:p w14:paraId="2CDD9438" w14:textId="77777777" w:rsidR="00BD4078" w:rsidRPr="00546B0A" w:rsidRDefault="00BD4078" w:rsidP="00CA06FD">
            <w:pPr>
              <w:pStyle w:val="TableBodyCellRight"/>
              <w:cnfStyle w:val="000000000000" w:firstRow="0" w:lastRow="0" w:firstColumn="0" w:lastColumn="0" w:oddVBand="0" w:evenVBand="0" w:oddHBand="0" w:evenHBand="0" w:firstRowFirstColumn="0" w:firstRowLastColumn="0" w:lastRowFirstColumn="0" w:lastRowLastColumn="0"/>
              <w:rPr>
                <w:rFonts w:cstheme="minorHAnsi"/>
                <w:szCs w:val="22"/>
              </w:rPr>
            </w:pPr>
            <w:r w:rsidRPr="00546B0A">
              <w:rPr>
                <w:rFonts w:cstheme="minorHAnsi"/>
                <w:szCs w:val="22"/>
              </w:rPr>
              <w:t>1,680</w:t>
            </w:r>
          </w:p>
        </w:tc>
        <w:tc>
          <w:tcPr>
            <w:tcW w:w="2066" w:type="dxa"/>
            <w:shd w:val="clear" w:color="auto" w:fill="F6F2ED" w:themeFill="accent3" w:themeFillTint="33"/>
          </w:tcPr>
          <w:p w14:paraId="4B8BF4EC" w14:textId="77777777" w:rsidR="00BD4078" w:rsidRPr="00546B0A" w:rsidRDefault="00BD4078" w:rsidP="00CA06FD">
            <w:pPr>
              <w:pStyle w:val="TableBodyCellRight"/>
              <w:cnfStyle w:val="000000000000" w:firstRow="0" w:lastRow="0" w:firstColumn="0" w:lastColumn="0" w:oddVBand="0" w:evenVBand="0" w:oddHBand="0" w:evenHBand="0" w:firstRowFirstColumn="0" w:firstRowLastColumn="0" w:lastRowFirstColumn="0" w:lastRowLastColumn="0"/>
              <w:rPr>
                <w:rFonts w:cstheme="minorHAnsi"/>
                <w:szCs w:val="22"/>
              </w:rPr>
            </w:pPr>
            <w:r w:rsidRPr="00546B0A">
              <w:rPr>
                <w:rFonts w:cstheme="minorHAnsi"/>
                <w:szCs w:val="22"/>
              </w:rPr>
              <w:t>950</w:t>
            </w:r>
          </w:p>
        </w:tc>
      </w:tr>
      <w:tr w:rsidR="002C0007" w:rsidRPr="009171B2" w14:paraId="7BD23C13" w14:textId="77777777" w:rsidTr="00EE052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36" w:type="dxa"/>
            <w:tcBorders>
              <w:top w:val="none" w:sz="0" w:space="0" w:color="auto"/>
              <w:bottom w:val="none" w:sz="0" w:space="0" w:color="auto"/>
              <w:right w:val="none" w:sz="0" w:space="0" w:color="auto"/>
            </w:tcBorders>
          </w:tcPr>
          <w:p w14:paraId="51C0C021" w14:textId="77777777" w:rsidR="00BD4078" w:rsidRPr="00546B0A" w:rsidRDefault="00BD4078" w:rsidP="00CA06FD">
            <w:pPr>
              <w:pStyle w:val="TableBodyCellLeft"/>
              <w:rPr>
                <w:rFonts w:cstheme="minorHAnsi"/>
                <w:b w:val="0"/>
                <w:bCs w:val="0"/>
                <w:sz w:val="22"/>
                <w:szCs w:val="22"/>
              </w:rPr>
            </w:pPr>
            <w:r w:rsidRPr="00546B0A">
              <w:rPr>
                <w:rFonts w:cstheme="minorHAnsi"/>
                <w:b w:val="0"/>
                <w:bCs w:val="0"/>
                <w:sz w:val="22"/>
                <w:szCs w:val="22"/>
              </w:rPr>
              <w:t xml:space="preserve">Prior period adjustments </w:t>
            </w:r>
          </w:p>
        </w:tc>
        <w:tc>
          <w:tcPr>
            <w:tcW w:w="2039" w:type="dxa"/>
            <w:tcBorders>
              <w:top w:val="none" w:sz="0" w:space="0" w:color="auto"/>
              <w:bottom w:val="none" w:sz="0" w:space="0" w:color="auto"/>
            </w:tcBorders>
            <w:shd w:val="clear" w:color="auto" w:fill="F6F2ED" w:themeFill="accent3" w:themeFillTint="33"/>
          </w:tcPr>
          <w:p w14:paraId="6A978AA0" w14:textId="77777777" w:rsidR="00BD4078" w:rsidRPr="00546B0A" w:rsidRDefault="00BD4078" w:rsidP="00CA06FD">
            <w:pPr>
              <w:pStyle w:val="TableBodyCellRight"/>
              <w:cnfStyle w:val="000000100000" w:firstRow="0" w:lastRow="0" w:firstColumn="0" w:lastColumn="0" w:oddVBand="0" w:evenVBand="0" w:oddHBand="1" w:evenHBand="0" w:firstRowFirstColumn="0" w:firstRowLastColumn="0" w:lastRowFirstColumn="0" w:lastRowLastColumn="0"/>
              <w:rPr>
                <w:rFonts w:cstheme="minorHAnsi"/>
                <w:szCs w:val="22"/>
              </w:rPr>
            </w:pPr>
            <w:r w:rsidRPr="00546B0A">
              <w:rPr>
                <w:rFonts w:cstheme="minorHAnsi"/>
                <w:szCs w:val="22"/>
              </w:rPr>
              <w:t>(167)</w:t>
            </w:r>
          </w:p>
        </w:tc>
        <w:tc>
          <w:tcPr>
            <w:tcW w:w="2066" w:type="dxa"/>
            <w:tcBorders>
              <w:top w:val="none" w:sz="0" w:space="0" w:color="auto"/>
              <w:bottom w:val="none" w:sz="0" w:space="0" w:color="auto"/>
            </w:tcBorders>
            <w:shd w:val="clear" w:color="auto" w:fill="F6F2ED" w:themeFill="accent3" w:themeFillTint="33"/>
          </w:tcPr>
          <w:p w14:paraId="52AE17C2" w14:textId="77777777" w:rsidR="00BD4078" w:rsidRPr="00546B0A" w:rsidRDefault="00BD4078" w:rsidP="00CA06FD">
            <w:pPr>
              <w:pStyle w:val="TableBodyCellRight"/>
              <w:cnfStyle w:val="000000100000" w:firstRow="0" w:lastRow="0" w:firstColumn="0" w:lastColumn="0" w:oddVBand="0" w:evenVBand="0" w:oddHBand="1" w:evenHBand="0" w:firstRowFirstColumn="0" w:firstRowLastColumn="0" w:lastRowFirstColumn="0" w:lastRowLastColumn="0"/>
              <w:rPr>
                <w:rFonts w:cstheme="minorHAnsi"/>
                <w:szCs w:val="22"/>
              </w:rPr>
            </w:pPr>
            <w:r w:rsidRPr="00546B0A">
              <w:rPr>
                <w:rFonts w:cstheme="minorHAnsi"/>
                <w:szCs w:val="22"/>
              </w:rPr>
              <w:t>(233)</w:t>
            </w:r>
          </w:p>
        </w:tc>
      </w:tr>
      <w:tr w:rsidR="002C0007" w:rsidRPr="009171B2" w14:paraId="1A13EDA1" w14:textId="77777777" w:rsidTr="00EE052F">
        <w:trPr>
          <w:trHeight w:val="510"/>
        </w:trPr>
        <w:tc>
          <w:tcPr>
            <w:cnfStyle w:val="001000000000" w:firstRow="0" w:lastRow="0" w:firstColumn="1" w:lastColumn="0" w:oddVBand="0" w:evenVBand="0" w:oddHBand="0" w:evenHBand="0" w:firstRowFirstColumn="0" w:firstRowLastColumn="0" w:lastRowFirstColumn="0" w:lastRowLastColumn="0"/>
            <w:tcW w:w="5536" w:type="dxa"/>
            <w:tcBorders>
              <w:right w:val="none" w:sz="0" w:space="0" w:color="auto"/>
            </w:tcBorders>
          </w:tcPr>
          <w:p w14:paraId="4B57937F" w14:textId="77777777" w:rsidR="00BD4078" w:rsidRPr="00546B0A" w:rsidRDefault="00BD4078" w:rsidP="00CA06FD">
            <w:pPr>
              <w:pStyle w:val="TableBodyCellLeft"/>
              <w:rPr>
                <w:rFonts w:cstheme="minorHAnsi"/>
                <w:b w:val="0"/>
                <w:bCs w:val="0"/>
                <w:sz w:val="22"/>
                <w:szCs w:val="22"/>
              </w:rPr>
            </w:pPr>
            <w:r w:rsidRPr="00546B0A">
              <w:rPr>
                <w:rFonts w:cstheme="minorHAnsi"/>
                <w:b w:val="0"/>
                <w:bCs w:val="0"/>
                <w:sz w:val="22"/>
                <w:szCs w:val="22"/>
              </w:rPr>
              <w:t xml:space="preserve">Tax payments relating to prior periods </w:t>
            </w:r>
          </w:p>
        </w:tc>
        <w:tc>
          <w:tcPr>
            <w:tcW w:w="2039" w:type="dxa"/>
            <w:shd w:val="clear" w:color="auto" w:fill="F6F2ED" w:themeFill="accent3" w:themeFillTint="33"/>
          </w:tcPr>
          <w:p w14:paraId="79C24CDE" w14:textId="77777777" w:rsidR="00BD4078" w:rsidRPr="00546B0A" w:rsidRDefault="00BD4078" w:rsidP="00CA06FD">
            <w:pPr>
              <w:pStyle w:val="TableBodyCellRight"/>
              <w:cnfStyle w:val="000000000000" w:firstRow="0" w:lastRow="0" w:firstColumn="0" w:lastColumn="0" w:oddVBand="0" w:evenVBand="0" w:oddHBand="0" w:evenHBand="0" w:firstRowFirstColumn="0" w:firstRowLastColumn="0" w:lastRowFirstColumn="0" w:lastRowLastColumn="0"/>
              <w:rPr>
                <w:rFonts w:cstheme="minorHAnsi"/>
                <w:szCs w:val="22"/>
              </w:rPr>
            </w:pPr>
            <w:r w:rsidRPr="00546B0A">
              <w:rPr>
                <w:rFonts w:cstheme="minorHAnsi"/>
                <w:szCs w:val="22"/>
              </w:rPr>
              <w:t>(1,133)</w:t>
            </w:r>
          </w:p>
        </w:tc>
        <w:tc>
          <w:tcPr>
            <w:tcW w:w="2066" w:type="dxa"/>
            <w:shd w:val="clear" w:color="auto" w:fill="F6F2ED" w:themeFill="accent3" w:themeFillTint="33"/>
          </w:tcPr>
          <w:p w14:paraId="2E0BE9C5" w14:textId="77777777" w:rsidR="00BD4078" w:rsidRPr="00546B0A" w:rsidRDefault="00BD4078" w:rsidP="00CA06FD">
            <w:pPr>
              <w:pStyle w:val="TableBodyCellRight"/>
              <w:cnfStyle w:val="000000000000" w:firstRow="0" w:lastRow="0" w:firstColumn="0" w:lastColumn="0" w:oddVBand="0" w:evenVBand="0" w:oddHBand="0" w:evenHBand="0" w:firstRowFirstColumn="0" w:firstRowLastColumn="0" w:lastRowFirstColumn="0" w:lastRowLastColumn="0"/>
              <w:rPr>
                <w:rFonts w:cstheme="minorHAnsi"/>
                <w:szCs w:val="22"/>
              </w:rPr>
            </w:pPr>
            <w:r w:rsidRPr="00546B0A">
              <w:rPr>
                <w:rFonts w:cstheme="minorHAnsi"/>
                <w:szCs w:val="22"/>
              </w:rPr>
              <w:t>(1,600)</w:t>
            </w:r>
          </w:p>
        </w:tc>
      </w:tr>
      <w:tr w:rsidR="002C0007" w:rsidRPr="009171B2" w14:paraId="1A71FF6F" w14:textId="77777777" w:rsidTr="00EE052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36" w:type="dxa"/>
            <w:tcBorders>
              <w:top w:val="none" w:sz="0" w:space="0" w:color="auto"/>
              <w:bottom w:val="none" w:sz="0" w:space="0" w:color="auto"/>
              <w:right w:val="none" w:sz="0" w:space="0" w:color="auto"/>
            </w:tcBorders>
          </w:tcPr>
          <w:p w14:paraId="099002C6" w14:textId="77777777" w:rsidR="00BD4078" w:rsidRPr="00546B0A" w:rsidRDefault="00BD4078" w:rsidP="00CA06FD">
            <w:pPr>
              <w:pStyle w:val="TableBodyCellLeft"/>
              <w:rPr>
                <w:rFonts w:cstheme="minorHAnsi"/>
                <w:b w:val="0"/>
                <w:bCs w:val="0"/>
                <w:sz w:val="22"/>
                <w:szCs w:val="22"/>
              </w:rPr>
            </w:pPr>
            <w:r w:rsidRPr="00546B0A">
              <w:rPr>
                <w:rFonts w:cstheme="minorHAnsi"/>
                <w:b w:val="0"/>
                <w:bCs w:val="0"/>
                <w:sz w:val="22"/>
                <w:szCs w:val="22"/>
              </w:rPr>
              <w:t xml:space="preserve">Foreign exchange on overseas movements </w:t>
            </w:r>
          </w:p>
        </w:tc>
        <w:tc>
          <w:tcPr>
            <w:tcW w:w="2039" w:type="dxa"/>
            <w:tcBorders>
              <w:top w:val="none" w:sz="0" w:space="0" w:color="auto"/>
              <w:bottom w:val="none" w:sz="0" w:space="0" w:color="auto"/>
            </w:tcBorders>
            <w:shd w:val="clear" w:color="auto" w:fill="F6F2ED" w:themeFill="accent3" w:themeFillTint="33"/>
          </w:tcPr>
          <w:p w14:paraId="74C70BC4" w14:textId="51989485" w:rsidR="00BD4078" w:rsidRPr="00546B0A" w:rsidRDefault="00EA2531" w:rsidP="00CA06FD">
            <w:pPr>
              <w:pStyle w:val="TableBodyCellRight"/>
              <w:cnfStyle w:val="000000100000" w:firstRow="0" w:lastRow="0" w:firstColumn="0" w:lastColumn="0" w:oddVBand="0" w:evenVBand="0" w:oddHBand="1" w:evenHBand="0" w:firstRowFirstColumn="0" w:firstRowLastColumn="0" w:lastRowFirstColumn="0" w:lastRowLastColumn="0"/>
              <w:rPr>
                <w:rFonts w:cstheme="minorHAnsi"/>
                <w:szCs w:val="22"/>
              </w:rPr>
            </w:pPr>
            <w:r w:rsidRPr="00546B0A">
              <w:rPr>
                <w:rFonts w:cstheme="minorHAnsi"/>
                <w:szCs w:val="22"/>
              </w:rPr>
              <w:t>n/a</w:t>
            </w:r>
          </w:p>
        </w:tc>
        <w:tc>
          <w:tcPr>
            <w:tcW w:w="2066" w:type="dxa"/>
            <w:tcBorders>
              <w:top w:val="none" w:sz="0" w:space="0" w:color="auto"/>
              <w:bottom w:val="none" w:sz="0" w:space="0" w:color="auto"/>
            </w:tcBorders>
            <w:shd w:val="clear" w:color="auto" w:fill="F6F2ED" w:themeFill="accent3" w:themeFillTint="33"/>
          </w:tcPr>
          <w:p w14:paraId="131B53FE" w14:textId="77777777" w:rsidR="00BD4078" w:rsidRPr="00546B0A" w:rsidRDefault="00BD4078" w:rsidP="00CA06FD">
            <w:pPr>
              <w:pStyle w:val="TableBodyCellRight"/>
              <w:cnfStyle w:val="000000100000" w:firstRow="0" w:lastRow="0" w:firstColumn="0" w:lastColumn="0" w:oddVBand="0" w:evenVBand="0" w:oddHBand="1" w:evenHBand="0" w:firstRowFirstColumn="0" w:firstRowLastColumn="0" w:lastRowFirstColumn="0" w:lastRowLastColumn="0"/>
              <w:rPr>
                <w:rFonts w:cstheme="minorHAnsi"/>
                <w:szCs w:val="22"/>
              </w:rPr>
            </w:pPr>
            <w:r w:rsidRPr="00546B0A">
              <w:rPr>
                <w:rFonts w:cstheme="minorHAnsi"/>
                <w:szCs w:val="22"/>
              </w:rPr>
              <w:t>63</w:t>
            </w:r>
          </w:p>
        </w:tc>
      </w:tr>
      <w:tr w:rsidR="002C0007" w:rsidRPr="009171B2" w14:paraId="6A30674A" w14:textId="77777777" w:rsidTr="00623A43">
        <w:trPr>
          <w:trHeight w:val="510"/>
        </w:trPr>
        <w:tc>
          <w:tcPr>
            <w:cnfStyle w:val="001000000000" w:firstRow="0" w:lastRow="0" w:firstColumn="1" w:lastColumn="0" w:oddVBand="0" w:evenVBand="0" w:oddHBand="0" w:evenHBand="0" w:firstRowFirstColumn="0" w:firstRowLastColumn="0" w:lastRowFirstColumn="0" w:lastRowLastColumn="0"/>
            <w:tcW w:w="5536" w:type="dxa"/>
            <w:tcBorders>
              <w:right w:val="none" w:sz="0" w:space="0" w:color="auto"/>
            </w:tcBorders>
            <w:shd w:val="clear" w:color="auto" w:fill="D4C2A8" w:themeFill="accent3"/>
            <w:vAlign w:val="center"/>
          </w:tcPr>
          <w:p w14:paraId="2260F5BB" w14:textId="77777777" w:rsidR="00BD4078" w:rsidRPr="00546B0A" w:rsidRDefault="00BD4078" w:rsidP="00623A43">
            <w:pPr>
              <w:pStyle w:val="TableBodyCellLeft"/>
              <w:rPr>
                <w:rFonts w:cstheme="minorHAnsi"/>
                <w:sz w:val="22"/>
                <w:szCs w:val="22"/>
              </w:rPr>
            </w:pPr>
            <w:r w:rsidRPr="00546B0A">
              <w:rPr>
                <w:rFonts w:cstheme="minorHAnsi"/>
                <w:sz w:val="22"/>
                <w:szCs w:val="22"/>
              </w:rPr>
              <w:t xml:space="preserve">Income tax expense paid </w:t>
            </w:r>
          </w:p>
        </w:tc>
        <w:tc>
          <w:tcPr>
            <w:tcW w:w="2039" w:type="dxa"/>
            <w:shd w:val="clear" w:color="auto" w:fill="D4C2A8" w:themeFill="accent3"/>
            <w:vAlign w:val="center"/>
          </w:tcPr>
          <w:p w14:paraId="7CBFC772" w14:textId="77777777" w:rsidR="00BD4078" w:rsidRPr="00546B0A" w:rsidRDefault="00BD4078" w:rsidP="00623A43">
            <w:pPr>
              <w:pStyle w:val="TableBodyCellRight"/>
              <w:cnfStyle w:val="000000000000" w:firstRow="0" w:lastRow="0" w:firstColumn="0" w:lastColumn="0" w:oddVBand="0" w:evenVBand="0" w:oddHBand="0" w:evenHBand="0" w:firstRowFirstColumn="0" w:firstRowLastColumn="0" w:lastRowFirstColumn="0" w:lastRowLastColumn="0"/>
              <w:rPr>
                <w:rFonts w:cstheme="minorHAnsi"/>
                <w:b/>
                <w:bCs/>
                <w:szCs w:val="22"/>
                <w:highlight w:val="yellow"/>
              </w:rPr>
            </w:pPr>
            <w:r w:rsidRPr="00546B0A">
              <w:rPr>
                <w:rFonts w:cstheme="minorHAnsi"/>
                <w:b/>
                <w:bCs/>
                <w:szCs w:val="22"/>
              </w:rPr>
              <w:t>(25,094)</w:t>
            </w:r>
          </w:p>
        </w:tc>
        <w:tc>
          <w:tcPr>
            <w:tcW w:w="2066" w:type="dxa"/>
            <w:shd w:val="clear" w:color="auto" w:fill="D4C2A8" w:themeFill="accent3"/>
            <w:vAlign w:val="center"/>
          </w:tcPr>
          <w:p w14:paraId="64534950" w14:textId="77777777" w:rsidR="00BD4078" w:rsidRPr="00546B0A" w:rsidRDefault="00BD4078" w:rsidP="00623A43">
            <w:pPr>
              <w:pStyle w:val="TableBodyCellRight"/>
              <w:cnfStyle w:val="000000000000" w:firstRow="0" w:lastRow="0" w:firstColumn="0" w:lastColumn="0" w:oddVBand="0" w:evenVBand="0" w:oddHBand="0" w:evenHBand="0" w:firstRowFirstColumn="0" w:firstRowLastColumn="0" w:lastRowFirstColumn="0" w:lastRowLastColumn="0"/>
              <w:rPr>
                <w:rFonts w:cstheme="minorHAnsi"/>
                <w:b/>
                <w:bCs/>
                <w:szCs w:val="22"/>
              </w:rPr>
            </w:pPr>
            <w:r w:rsidRPr="00546B0A">
              <w:rPr>
                <w:rFonts w:cstheme="minorHAnsi"/>
                <w:b/>
                <w:bCs/>
                <w:szCs w:val="22"/>
              </w:rPr>
              <w:t>(25,496)</w:t>
            </w:r>
          </w:p>
        </w:tc>
      </w:tr>
      <w:tr w:rsidR="002C0007" w:rsidRPr="009171B2" w14:paraId="4EA92760" w14:textId="77777777" w:rsidTr="00623A4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36" w:type="dxa"/>
            <w:tcBorders>
              <w:top w:val="none" w:sz="0" w:space="0" w:color="auto"/>
              <w:bottom w:val="none" w:sz="0" w:space="0" w:color="auto"/>
              <w:right w:val="none" w:sz="0" w:space="0" w:color="auto"/>
            </w:tcBorders>
            <w:shd w:val="clear" w:color="auto" w:fill="D4C2A8" w:themeFill="accent3"/>
            <w:vAlign w:val="center"/>
          </w:tcPr>
          <w:p w14:paraId="5DF76AEE" w14:textId="77777777" w:rsidR="00BD4078" w:rsidRPr="00546B0A" w:rsidRDefault="00BD4078" w:rsidP="00623A43">
            <w:pPr>
              <w:pStyle w:val="TableBodyCellLeft"/>
              <w:rPr>
                <w:rFonts w:cstheme="minorHAnsi"/>
                <w:sz w:val="22"/>
                <w:szCs w:val="22"/>
              </w:rPr>
            </w:pPr>
            <w:r w:rsidRPr="00546B0A">
              <w:rPr>
                <w:rFonts w:cstheme="minorHAnsi"/>
                <w:sz w:val="22"/>
                <w:szCs w:val="22"/>
              </w:rPr>
              <w:t xml:space="preserve">Australian Effective Tax Rate </w:t>
            </w:r>
          </w:p>
        </w:tc>
        <w:tc>
          <w:tcPr>
            <w:tcW w:w="2039" w:type="dxa"/>
            <w:tcBorders>
              <w:top w:val="none" w:sz="0" w:space="0" w:color="auto"/>
              <w:bottom w:val="none" w:sz="0" w:space="0" w:color="auto"/>
            </w:tcBorders>
            <w:shd w:val="clear" w:color="auto" w:fill="D4C2A8" w:themeFill="accent3"/>
            <w:vAlign w:val="center"/>
          </w:tcPr>
          <w:p w14:paraId="77CE1F9F" w14:textId="77777777" w:rsidR="00BD4078" w:rsidRPr="00546B0A" w:rsidRDefault="00BD4078" w:rsidP="00623A43">
            <w:pPr>
              <w:pStyle w:val="TableBodyCellRight"/>
              <w:cnfStyle w:val="000000100000" w:firstRow="0" w:lastRow="0" w:firstColumn="0" w:lastColumn="0" w:oddVBand="0" w:evenVBand="0" w:oddHBand="1" w:evenHBand="0" w:firstRowFirstColumn="0" w:firstRowLastColumn="0" w:lastRowFirstColumn="0" w:lastRowLastColumn="0"/>
              <w:rPr>
                <w:rFonts w:cstheme="minorHAnsi"/>
                <w:b/>
                <w:bCs/>
                <w:szCs w:val="22"/>
              </w:rPr>
            </w:pPr>
            <w:r w:rsidRPr="00546B0A">
              <w:rPr>
                <w:rFonts w:cstheme="minorHAnsi"/>
                <w:b/>
                <w:bCs/>
                <w:szCs w:val="22"/>
              </w:rPr>
              <w:t>25%</w:t>
            </w:r>
          </w:p>
        </w:tc>
        <w:tc>
          <w:tcPr>
            <w:tcW w:w="2066" w:type="dxa"/>
            <w:tcBorders>
              <w:top w:val="none" w:sz="0" w:space="0" w:color="auto"/>
              <w:bottom w:val="none" w:sz="0" w:space="0" w:color="auto"/>
            </w:tcBorders>
            <w:shd w:val="clear" w:color="auto" w:fill="D4C2A8" w:themeFill="accent3"/>
            <w:vAlign w:val="center"/>
          </w:tcPr>
          <w:p w14:paraId="39A01DEF" w14:textId="77777777" w:rsidR="00BD4078" w:rsidRPr="00546B0A" w:rsidRDefault="00BD4078" w:rsidP="00623A43">
            <w:pPr>
              <w:pStyle w:val="TableBodyCellRight"/>
              <w:cnfStyle w:val="000000100000" w:firstRow="0" w:lastRow="0" w:firstColumn="0" w:lastColumn="0" w:oddVBand="0" w:evenVBand="0" w:oddHBand="1" w:evenHBand="0" w:firstRowFirstColumn="0" w:firstRowLastColumn="0" w:lastRowFirstColumn="0" w:lastRowLastColumn="0"/>
              <w:rPr>
                <w:rFonts w:cstheme="minorHAnsi"/>
                <w:b/>
                <w:bCs/>
                <w:szCs w:val="22"/>
              </w:rPr>
            </w:pPr>
            <w:r w:rsidRPr="00546B0A">
              <w:rPr>
                <w:rFonts w:cstheme="minorHAnsi"/>
                <w:b/>
                <w:bCs/>
                <w:szCs w:val="22"/>
              </w:rPr>
              <w:t>25.9%</w:t>
            </w:r>
          </w:p>
        </w:tc>
      </w:tr>
    </w:tbl>
    <w:p w14:paraId="20915E53" w14:textId="77777777" w:rsidR="004E6962" w:rsidRPr="00B35DF9" w:rsidRDefault="004E6962" w:rsidP="00B35DF9">
      <w:bookmarkStart w:id="84" w:name="_Approach_to_Tax"/>
      <w:bookmarkStart w:id="85" w:name="_Toc195021323"/>
      <w:bookmarkEnd w:id="83"/>
      <w:bookmarkEnd w:id="84"/>
      <w:r>
        <w:br w:type="page"/>
      </w:r>
    </w:p>
    <w:p w14:paraId="4A5867A4" w14:textId="68B27076" w:rsidR="00BD4078" w:rsidRDefault="00BD4078" w:rsidP="00BD4078">
      <w:pPr>
        <w:pStyle w:val="Heading2"/>
      </w:pPr>
      <w:bookmarkStart w:id="86" w:name="_Toc212116323"/>
      <w:r>
        <w:lastRenderedPageBreak/>
        <w:t>Overall approach to tax</w:t>
      </w:r>
      <w:bookmarkEnd w:id="85"/>
      <w:bookmarkEnd w:id="86"/>
      <w:r>
        <w:t xml:space="preserve"> </w:t>
      </w:r>
    </w:p>
    <w:p w14:paraId="3C8CC948" w14:textId="77777777" w:rsidR="00BD4078" w:rsidRDefault="00BD4078" w:rsidP="00BD4078">
      <w:pPr>
        <w:pStyle w:val="Heading3"/>
        <w:spacing w:before="0"/>
      </w:pPr>
      <w:r>
        <w:t xml:space="preserve">Approach to tax </w:t>
      </w:r>
    </w:p>
    <w:p w14:paraId="6776E9F8" w14:textId="772FC329" w:rsidR="00BD4078" w:rsidRDefault="003630FF" w:rsidP="0088762A">
      <w:r>
        <w:t>PAA</w:t>
      </w:r>
      <w:r w:rsidR="00BD4078" w:rsidRPr="00555E1C">
        <w:t xml:space="preserve"> is committed to high standards of corporate governance and tax transparency including compliance with all </w:t>
      </w:r>
      <w:r w:rsidR="00BD4078" w:rsidRPr="00B35DF9">
        <w:t>applicable</w:t>
      </w:r>
      <w:r w:rsidR="00BD4078" w:rsidRPr="00555E1C">
        <w:t xml:space="preserve"> tax laws, </w:t>
      </w:r>
      <w:r w:rsidR="00AE083E" w:rsidRPr="00555E1C">
        <w:t>rules,</w:t>
      </w:r>
      <w:r w:rsidR="00BD4078" w:rsidRPr="00555E1C">
        <w:t xml:space="preserve"> and regulations</w:t>
      </w:r>
      <w:r w:rsidR="00BD4078">
        <w:t xml:space="preserve"> to ensure we pay our fair share of tax in the jurisdictions in which we operate. </w:t>
      </w:r>
    </w:p>
    <w:p w14:paraId="4A5A2827" w14:textId="08AC6809" w:rsidR="00BD4078" w:rsidRDefault="003630FF" w:rsidP="00EE052F">
      <w:r>
        <w:t>PAA</w:t>
      </w:r>
      <w:r w:rsidR="00BD4078">
        <w:t xml:space="preserve"> </w:t>
      </w:r>
      <w:r w:rsidR="00BD4078" w:rsidRPr="00B35DF9">
        <w:t>has</w:t>
      </w:r>
      <w:r w:rsidR="00BD4078">
        <w:t xml:space="preserve"> developed a </w:t>
      </w:r>
      <w:r w:rsidR="00BD4078" w:rsidRPr="00E1106C">
        <w:rPr>
          <w:b/>
          <w:bCs/>
          <w:i/>
          <w:iCs/>
          <w:color w:val="701F4D" w:themeColor="accent2"/>
        </w:rPr>
        <w:t>Tax Risk Management and Governance Framework</w:t>
      </w:r>
      <w:r w:rsidR="00BD4078" w:rsidRPr="00E1106C">
        <w:rPr>
          <w:color w:val="701F4D" w:themeColor="accent2"/>
        </w:rPr>
        <w:t xml:space="preserve"> </w:t>
      </w:r>
      <w:r w:rsidR="00BD4078">
        <w:t xml:space="preserve">to govern its tax strategy and guide effective management of tax risks. The </w:t>
      </w:r>
      <w:r>
        <w:t>PAA</w:t>
      </w:r>
      <w:r w:rsidR="00BD4078">
        <w:t xml:space="preserve"> Board requires the Audit and Risk Committee to review the framework every two years for the Board’s approval to ensure it remains fit for purpose. </w:t>
      </w:r>
      <w:r w:rsidR="00BD4078" w:rsidRPr="3AF1FE60">
        <w:rPr>
          <w:rFonts w:asciiTheme="minorHAnsi" w:hAnsiTheme="minorHAnsi" w:cstheme="minorBidi"/>
        </w:rPr>
        <w:t xml:space="preserve">The Chief Financial Officer is accountable </w:t>
      </w:r>
      <w:r w:rsidR="00BD4078">
        <w:rPr>
          <w:rFonts w:asciiTheme="minorHAnsi" w:hAnsiTheme="minorHAnsi" w:cstheme="minorBidi"/>
        </w:rPr>
        <w:t xml:space="preserve">for </w:t>
      </w:r>
      <w:r w:rsidR="00BD4078" w:rsidRPr="3AF1FE60">
        <w:rPr>
          <w:rFonts w:asciiTheme="minorHAnsi" w:hAnsiTheme="minorHAnsi" w:cstheme="minorBidi"/>
        </w:rPr>
        <w:t>compliance with this framework</w:t>
      </w:r>
      <w:r w:rsidR="00BD4078">
        <w:rPr>
          <w:rFonts w:asciiTheme="minorHAnsi" w:hAnsiTheme="minorHAnsi" w:cstheme="minorBidi"/>
        </w:rPr>
        <w:t>, supported by</w:t>
      </w:r>
      <w:r w:rsidR="00BD4078" w:rsidRPr="3AF1FE60">
        <w:rPr>
          <w:rFonts w:asciiTheme="minorHAnsi" w:hAnsiTheme="minorHAnsi" w:cstheme="minorBidi"/>
        </w:rPr>
        <w:t xml:space="preserve"> </w:t>
      </w:r>
      <w:r w:rsidR="00BD4078">
        <w:rPr>
          <w:rFonts w:asciiTheme="minorHAnsi" w:hAnsiTheme="minorHAnsi" w:cstheme="minorBidi"/>
        </w:rPr>
        <w:t>t</w:t>
      </w:r>
      <w:r w:rsidR="00BD4078" w:rsidRPr="3AF1FE60">
        <w:rPr>
          <w:rFonts w:asciiTheme="minorHAnsi" w:hAnsiTheme="minorHAnsi" w:cstheme="minorBidi"/>
        </w:rPr>
        <w:t xml:space="preserve">he Tax Manager and Tax Business Group </w:t>
      </w:r>
      <w:r w:rsidR="00BD4078">
        <w:rPr>
          <w:rFonts w:asciiTheme="minorHAnsi" w:hAnsiTheme="minorHAnsi" w:cstheme="minorBidi"/>
        </w:rPr>
        <w:t>who operationalise</w:t>
      </w:r>
      <w:r w:rsidR="00BD4078" w:rsidRPr="3AF1FE60">
        <w:rPr>
          <w:rFonts w:asciiTheme="minorHAnsi" w:hAnsiTheme="minorHAnsi" w:cstheme="minorBidi"/>
        </w:rPr>
        <w:t xml:space="preserve"> the framework, advising the Committee on the taxing implications of business decisions, </w:t>
      </w:r>
      <w:r w:rsidR="00795179" w:rsidRPr="3AF1FE60">
        <w:rPr>
          <w:rFonts w:asciiTheme="minorHAnsi" w:hAnsiTheme="minorHAnsi" w:cstheme="minorBidi"/>
        </w:rPr>
        <w:t>transactions,</w:t>
      </w:r>
      <w:r w:rsidR="00BD4078" w:rsidRPr="3AF1FE60">
        <w:rPr>
          <w:rFonts w:asciiTheme="minorHAnsi" w:hAnsiTheme="minorHAnsi" w:cstheme="minorBidi"/>
        </w:rPr>
        <w:t xml:space="preserve"> and compliance with tax laws</w:t>
      </w:r>
      <w:r w:rsidR="00BD4078">
        <w:rPr>
          <w:rFonts w:asciiTheme="minorHAnsi" w:hAnsiTheme="minorHAnsi" w:cstheme="minorBidi"/>
        </w:rPr>
        <w:t xml:space="preserve">. </w:t>
      </w:r>
    </w:p>
    <w:p w14:paraId="00B1C399" w14:textId="5D39E0F8" w:rsidR="00BD4078" w:rsidRPr="00B35DF9" w:rsidRDefault="003630FF" w:rsidP="00EE052F">
      <w:pPr>
        <w:rPr>
          <w:iCs/>
        </w:rPr>
      </w:pPr>
      <w:r>
        <w:t>PAA</w:t>
      </w:r>
      <w:r w:rsidR="00BD4078">
        <w:t xml:space="preserve"> seeks to comply with the spirit of the law at all times and takes a conservative approach to managing tax risks, seeking </w:t>
      </w:r>
      <w:r w:rsidR="00BD4078" w:rsidRPr="00B35DF9">
        <w:t>independent</w:t>
      </w:r>
      <w:r w:rsidR="00BD4078">
        <w:t xml:space="preserve"> advice when significant tax positions are uncertain. </w:t>
      </w:r>
      <w:r w:rsidR="00AB4118">
        <w:t>PAA</w:t>
      </w:r>
      <w:r w:rsidR="00BD4078" w:rsidRPr="00BA6BE1">
        <w:t xml:space="preserve"> do</w:t>
      </w:r>
      <w:r w:rsidR="00BD4078">
        <w:t>es</w:t>
      </w:r>
      <w:r w:rsidR="00BD4078" w:rsidRPr="00BA6BE1">
        <w:t xml:space="preserve"> not </w:t>
      </w:r>
      <w:r w:rsidR="00BD4078">
        <w:t>participate</w:t>
      </w:r>
      <w:r w:rsidR="00BD4078" w:rsidRPr="00BA6BE1">
        <w:t xml:space="preserve"> in tax avoidance schemes or aggressive tax </w:t>
      </w:r>
      <w:r w:rsidR="00E33299" w:rsidRPr="00BA6BE1">
        <w:t>positions</w:t>
      </w:r>
      <w:r w:rsidR="00E33299">
        <w:t xml:space="preserve"> and</w:t>
      </w:r>
      <w:r w:rsidR="00BD4078">
        <w:t xml:space="preserve"> only engages in transactions that are aligned with </w:t>
      </w:r>
      <w:r>
        <w:t>PAA’s</w:t>
      </w:r>
      <w:r w:rsidR="00BD4078">
        <w:t xml:space="preserve"> commercial objectives</w:t>
      </w:r>
      <w:r w:rsidR="00BD4078" w:rsidRPr="00BA6BE1">
        <w:t>.</w:t>
      </w:r>
      <w:r w:rsidR="00BD4078">
        <w:t xml:space="preserve"> As part of the </w:t>
      </w:r>
      <w:r w:rsidR="00BD4078" w:rsidRPr="00E1106C">
        <w:rPr>
          <w:b/>
          <w:bCs/>
          <w:i/>
          <w:iCs/>
          <w:color w:val="701F4D" w:themeColor="accent2"/>
        </w:rPr>
        <w:t>Tax Risk Management and Governance Framework</w:t>
      </w:r>
      <w:r w:rsidR="00BD4078">
        <w:rPr>
          <w:b/>
          <w:bCs/>
          <w:i/>
          <w:iCs/>
          <w:color w:val="701F4D" w:themeColor="accent2"/>
        </w:rPr>
        <w:t xml:space="preserve">, </w:t>
      </w:r>
      <w:r w:rsidR="00BD4078" w:rsidRPr="006C6022">
        <w:rPr>
          <w:iCs/>
        </w:rPr>
        <w:t xml:space="preserve">the </w:t>
      </w:r>
      <w:r w:rsidR="009F7476">
        <w:t>PAA</w:t>
      </w:r>
      <w:r w:rsidR="00BD4078">
        <w:rPr>
          <w:iCs/>
        </w:rPr>
        <w:t xml:space="preserve"> Board endorsed the below tax principles.</w:t>
      </w:r>
    </w:p>
    <w:tbl>
      <w:tblPr>
        <w:tblStyle w:val="ListTable3-Accent2"/>
        <w:tblpPr w:leftFromText="180" w:rightFromText="180" w:vertAnchor="text" w:horzAnchor="margin" w:tblpXSpec="right" w:tblpY="80"/>
        <w:tblW w:w="5000" w:type="pct"/>
        <w:tblBorders>
          <w:insideH w:val="single" w:sz="8" w:space="0" w:color="701F4D" w:themeColor="accent2"/>
        </w:tblBorders>
        <w:tblLook w:val="04A0" w:firstRow="1" w:lastRow="0" w:firstColumn="1" w:lastColumn="0" w:noHBand="0" w:noVBand="1"/>
      </w:tblPr>
      <w:tblGrid>
        <w:gridCol w:w="442"/>
        <w:gridCol w:w="9189"/>
      </w:tblGrid>
      <w:tr w:rsidR="000C46C1" w14:paraId="4CEABA08" w14:textId="77777777" w:rsidTr="00EE25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2" w:type="dxa"/>
            <w:tcBorders>
              <w:bottom w:val="none" w:sz="0" w:space="0" w:color="auto"/>
              <w:right w:val="none" w:sz="0" w:space="0" w:color="auto"/>
            </w:tcBorders>
          </w:tcPr>
          <w:p w14:paraId="77C90216" w14:textId="77777777" w:rsidR="000C46C1" w:rsidRPr="00D85FC6" w:rsidRDefault="000C46C1" w:rsidP="00BB3B42">
            <w:pPr>
              <w:pStyle w:val="Heading4"/>
            </w:pPr>
          </w:p>
        </w:tc>
        <w:tc>
          <w:tcPr>
            <w:tcW w:w="9199" w:type="dxa"/>
            <w:vAlign w:val="center"/>
          </w:tcPr>
          <w:p w14:paraId="75620870" w14:textId="228264DE" w:rsidR="000C46C1" w:rsidRPr="00546B0A" w:rsidRDefault="000C46C1" w:rsidP="00EE2545">
            <w:pPr>
              <w:pStyle w:val="TableHeading1"/>
              <w:spacing w:before="60"/>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546B0A">
              <w:rPr>
                <w:color w:val="FFFFFF" w:themeColor="background1"/>
                <w:sz w:val="24"/>
                <w:szCs w:val="24"/>
              </w:rPr>
              <w:t>PAA’s approach to tax principles</w:t>
            </w:r>
          </w:p>
        </w:tc>
      </w:tr>
      <w:tr w:rsidR="00BD4078" w14:paraId="07CBC274" w14:textId="77777777" w:rsidTr="00EE2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 w:type="dxa"/>
            <w:tcBorders>
              <w:top w:val="none" w:sz="0" w:space="0" w:color="auto"/>
              <w:bottom w:val="none" w:sz="0" w:space="0" w:color="auto"/>
              <w:right w:val="none" w:sz="0" w:space="0" w:color="auto"/>
            </w:tcBorders>
          </w:tcPr>
          <w:p w14:paraId="6AC73737" w14:textId="77777777" w:rsidR="00BD4078" w:rsidRPr="00EE2545" w:rsidRDefault="00BD4078" w:rsidP="00EE2545">
            <w:r w:rsidRPr="00EE2545">
              <w:rPr>
                <w:rFonts w:ascii="Segoe UI Symbol" w:hAnsi="Segoe UI Symbol" w:cs="Segoe UI Symbol"/>
              </w:rPr>
              <w:t>✔</w:t>
            </w:r>
          </w:p>
        </w:tc>
        <w:tc>
          <w:tcPr>
            <w:tcW w:w="9199" w:type="dxa"/>
            <w:tcBorders>
              <w:top w:val="none" w:sz="0" w:space="0" w:color="auto"/>
              <w:bottom w:val="none" w:sz="0" w:space="0" w:color="auto"/>
            </w:tcBorders>
            <w:vAlign w:val="center"/>
          </w:tcPr>
          <w:p w14:paraId="779E1D02" w14:textId="77777777" w:rsidR="00BD4078" w:rsidRPr="000A73BA" w:rsidRDefault="00BD4078" w:rsidP="00EE2545">
            <w:pPr>
              <w:pStyle w:val="TableTextLeft"/>
              <w:cnfStyle w:val="000000100000" w:firstRow="0" w:lastRow="0" w:firstColumn="0" w:lastColumn="0" w:oddVBand="0" w:evenVBand="0" w:oddHBand="1" w:evenHBand="0" w:firstRowFirstColumn="0" w:firstRowLastColumn="0" w:lastRowFirstColumn="0" w:lastRowLastColumn="0"/>
            </w:pPr>
            <w:r>
              <w:t>Compliance</w:t>
            </w:r>
            <w:r w:rsidRPr="000A73BA">
              <w:t xml:space="preserve"> with all tax obligations in a timely manner </w:t>
            </w:r>
          </w:p>
        </w:tc>
      </w:tr>
      <w:tr w:rsidR="00BD4078" w14:paraId="4C394E6B" w14:textId="77777777" w:rsidTr="00EE2545">
        <w:tc>
          <w:tcPr>
            <w:cnfStyle w:val="001000000000" w:firstRow="0" w:lastRow="0" w:firstColumn="1" w:lastColumn="0" w:oddVBand="0" w:evenVBand="0" w:oddHBand="0" w:evenHBand="0" w:firstRowFirstColumn="0" w:firstRowLastColumn="0" w:lastRowFirstColumn="0" w:lastRowLastColumn="0"/>
            <w:tcW w:w="442" w:type="dxa"/>
            <w:tcBorders>
              <w:right w:val="none" w:sz="0" w:space="0" w:color="auto"/>
            </w:tcBorders>
          </w:tcPr>
          <w:p w14:paraId="2EEF7ED5" w14:textId="77777777" w:rsidR="00BD4078" w:rsidRPr="00EE2545" w:rsidRDefault="00BD4078" w:rsidP="00EE2545">
            <w:r w:rsidRPr="00EE2545">
              <w:rPr>
                <w:rFonts w:ascii="Segoe UI Symbol" w:hAnsi="Segoe UI Symbol" w:cs="Segoe UI Symbol"/>
              </w:rPr>
              <w:t>✔</w:t>
            </w:r>
          </w:p>
        </w:tc>
        <w:tc>
          <w:tcPr>
            <w:tcW w:w="9199" w:type="dxa"/>
            <w:vAlign w:val="center"/>
          </w:tcPr>
          <w:p w14:paraId="34E18F0A" w14:textId="3E696E2C" w:rsidR="00BD4078" w:rsidRPr="00797C6E" w:rsidRDefault="00BD4078" w:rsidP="00EE2545">
            <w:pPr>
              <w:pStyle w:val="TableTextLeft"/>
              <w:cnfStyle w:val="000000000000" w:firstRow="0" w:lastRow="0" w:firstColumn="0" w:lastColumn="0" w:oddVBand="0" w:evenVBand="0" w:oddHBand="0" w:evenHBand="0" w:firstRowFirstColumn="0" w:firstRowLastColumn="0" w:lastRowFirstColumn="0" w:lastRowLastColumn="0"/>
            </w:pPr>
            <w:r w:rsidRPr="00797C6E">
              <w:t xml:space="preserve">Consideration of tax risks as part of the commercial assessment of any transaction </w:t>
            </w:r>
          </w:p>
        </w:tc>
      </w:tr>
      <w:tr w:rsidR="00BD4078" w14:paraId="2085673D" w14:textId="77777777" w:rsidTr="00EE2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 w:type="dxa"/>
            <w:tcBorders>
              <w:top w:val="none" w:sz="0" w:space="0" w:color="auto"/>
              <w:bottom w:val="none" w:sz="0" w:space="0" w:color="auto"/>
              <w:right w:val="none" w:sz="0" w:space="0" w:color="auto"/>
            </w:tcBorders>
          </w:tcPr>
          <w:p w14:paraId="4D824C44" w14:textId="77777777" w:rsidR="00BD4078" w:rsidRPr="00EE2545" w:rsidRDefault="00BD4078" w:rsidP="00EE2545">
            <w:r w:rsidRPr="00EE2545">
              <w:rPr>
                <w:rFonts w:ascii="Segoe UI Symbol" w:hAnsi="Segoe UI Symbol" w:cs="Segoe UI Symbol"/>
              </w:rPr>
              <w:t>✔</w:t>
            </w:r>
          </w:p>
        </w:tc>
        <w:tc>
          <w:tcPr>
            <w:tcW w:w="9199" w:type="dxa"/>
            <w:tcBorders>
              <w:top w:val="none" w:sz="0" w:space="0" w:color="auto"/>
              <w:bottom w:val="none" w:sz="0" w:space="0" w:color="auto"/>
            </w:tcBorders>
            <w:vAlign w:val="center"/>
          </w:tcPr>
          <w:p w14:paraId="1AB4AE0A" w14:textId="77777777" w:rsidR="00BD4078" w:rsidRPr="00797C6E" w:rsidRDefault="00BD4078" w:rsidP="00EE2545">
            <w:pPr>
              <w:pStyle w:val="TableTextLeft"/>
              <w:cnfStyle w:val="000000100000" w:firstRow="0" w:lastRow="0" w:firstColumn="0" w:lastColumn="0" w:oddVBand="0" w:evenVBand="0" w:oddHBand="1" w:evenHBand="0" w:firstRowFirstColumn="0" w:firstRowLastColumn="0" w:lastRowFirstColumn="0" w:lastRowLastColumn="0"/>
            </w:pPr>
            <w:r>
              <w:t xml:space="preserve">Conservative assessment and management of tax risks, </w:t>
            </w:r>
            <w:r w:rsidRPr="00797C6E">
              <w:t>with a view to always being considered by revenue authorities as ‘low risk’</w:t>
            </w:r>
          </w:p>
        </w:tc>
      </w:tr>
      <w:tr w:rsidR="00BD4078" w14:paraId="52865414" w14:textId="77777777" w:rsidTr="00EE2545">
        <w:tc>
          <w:tcPr>
            <w:cnfStyle w:val="001000000000" w:firstRow="0" w:lastRow="0" w:firstColumn="1" w:lastColumn="0" w:oddVBand="0" w:evenVBand="0" w:oddHBand="0" w:evenHBand="0" w:firstRowFirstColumn="0" w:firstRowLastColumn="0" w:lastRowFirstColumn="0" w:lastRowLastColumn="0"/>
            <w:tcW w:w="442" w:type="dxa"/>
            <w:tcBorders>
              <w:right w:val="none" w:sz="0" w:space="0" w:color="auto"/>
            </w:tcBorders>
          </w:tcPr>
          <w:p w14:paraId="38D64C14" w14:textId="77777777" w:rsidR="00BD4078" w:rsidRPr="00EE2545" w:rsidRDefault="00BD4078" w:rsidP="00EE2545">
            <w:r w:rsidRPr="00EE2545">
              <w:rPr>
                <w:rFonts w:ascii="Segoe UI Symbol" w:hAnsi="Segoe UI Symbol" w:cs="Segoe UI Symbol"/>
              </w:rPr>
              <w:t>✔</w:t>
            </w:r>
          </w:p>
        </w:tc>
        <w:tc>
          <w:tcPr>
            <w:tcW w:w="9199" w:type="dxa"/>
            <w:vAlign w:val="center"/>
          </w:tcPr>
          <w:p w14:paraId="10316898" w14:textId="77777777" w:rsidR="00BD4078" w:rsidRPr="00797C6E" w:rsidRDefault="00BD4078" w:rsidP="00EE2545">
            <w:pPr>
              <w:pStyle w:val="TableTextLeft"/>
              <w:cnfStyle w:val="000000000000" w:firstRow="0" w:lastRow="0" w:firstColumn="0" w:lastColumn="0" w:oddVBand="0" w:evenVBand="0" w:oddHBand="0" w:evenHBand="0" w:firstRowFirstColumn="0" w:firstRowLastColumn="0" w:lastRowFirstColumn="0" w:lastRowLastColumn="0"/>
            </w:pPr>
            <w:r>
              <w:t>Maintenance of</w:t>
            </w:r>
            <w:r w:rsidRPr="00797C6E">
              <w:t xml:space="preserve"> </w:t>
            </w:r>
            <w:r>
              <w:t xml:space="preserve">an </w:t>
            </w:r>
            <w:r w:rsidRPr="00797C6E">
              <w:t xml:space="preserve">open and transparent relationships with all revenue authorities </w:t>
            </w:r>
          </w:p>
        </w:tc>
      </w:tr>
      <w:tr w:rsidR="00BD4078" w14:paraId="24C6481F" w14:textId="77777777" w:rsidTr="00EE2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 w:type="dxa"/>
            <w:tcBorders>
              <w:top w:val="none" w:sz="0" w:space="0" w:color="auto"/>
              <w:bottom w:val="none" w:sz="0" w:space="0" w:color="auto"/>
              <w:right w:val="none" w:sz="0" w:space="0" w:color="auto"/>
            </w:tcBorders>
          </w:tcPr>
          <w:p w14:paraId="06545A56" w14:textId="77777777" w:rsidR="00BD4078" w:rsidRPr="00EE2545" w:rsidRDefault="00BD4078" w:rsidP="00EE2545">
            <w:r w:rsidRPr="00EE2545">
              <w:rPr>
                <w:rFonts w:ascii="Segoe UI Symbol" w:hAnsi="Segoe UI Symbol" w:cs="Segoe UI Symbol"/>
              </w:rPr>
              <w:t>✔</w:t>
            </w:r>
          </w:p>
        </w:tc>
        <w:tc>
          <w:tcPr>
            <w:tcW w:w="9199" w:type="dxa"/>
            <w:tcBorders>
              <w:top w:val="none" w:sz="0" w:space="0" w:color="auto"/>
              <w:bottom w:val="none" w:sz="0" w:space="0" w:color="auto"/>
            </w:tcBorders>
            <w:vAlign w:val="center"/>
          </w:tcPr>
          <w:p w14:paraId="6D1A4B43" w14:textId="77777777" w:rsidR="00BD4078" w:rsidRPr="00797C6E" w:rsidRDefault="00BD4078" w:rsidP="00EE2545">
            <w:pPr>
              <w:pStyle w:val="TableTextLeft"/>
              <w:cnfStyle w:val="000000100000" w:firstRow="0" w:lastRow="0" w:firstColumn="0" w:lastColumn="0" w:oddVBand="0" w:evenVBand="0" w:oddHBand="1" w:evenHBand="0" w:firstRowFirstColumn="0" w:firstRowLastColumn="0" w:lastRowFirstColumn="0" w:lastRowLastColumn="0"/>
            </w:pPr>
            <w:r>
              <w:t>No participation in</w:t>
            </w:r>
            <w:r w:rsidRPr="00797C6E">
              <w:t xml:space="preserve"> tax evasion or </w:t>
            </w:r>
            <w:r>
              <w:t>avoidance schemes</w:t>
            </w:r>
            <w:r w:rsidRPr="00797C6E">
              <w:t xml:space="preserve"> </w:t>
            </w:r>
          </w:p>
        </w:tc>
      </w:tr>
      <w:tr w:rsidR="00BD4078" w14:paraId="5A684F76" w14:textId="77777777" w:rsidTr="00EE2545">
        <w:tc>
          <w:tcPr>
            <w:cnfStyle w:val="001000000000" w:firstRow="0" w:lastRow="0" w:firstColumn="1" w:lastColumn="0" w:oddVBand="0" w:evenVBand="0" w:oddHBand="0" w:evenHBand="0" w:firstRowFirstColumn="0" w:firstRowLastColumn="0" w:lastRowFirstColumn="0" w:lastRowLastColumn="0"/>
            <w:tcW w:w="442" w:type="dxa"/>
            <w:tcBorders>
              <w:right w:val="none" w:sz="0" w:space="0" w:color="auto"/>
            </w:tcBorders>
          </w:tcPr>
          <w:p w14:paraId="65C98DA0" w14:textId="6CD08FB7" w:rsidR="00BD4078" w:rsidRPr="00EE2545" w:rsidRDefault="00BD4078" w:rsidP="00EE2545">
            <w:r w:rsidRPr="00EE2545">
              <w:rPr>
                <w:rFonts w:ascii="Segoe UI Symbol" w:hAnsi="Segoe UI Symbol" w:cs="Segoe UI Symbol"/>
              </w:rPr>
              <w:t>✔</w:t>
            </w:r>
          </w:p>
        </w:tc>
        <w:tc>
          <w:tcPr>
            <w:tcW w:w="9199" w:type="dxa"/>
            <w:vAlign w:val="center"/>
          </w:tcPr>
          <w:p w14:paraId="004B0E18" w14:textId="5DB4E134" w:rsidR="00BD4078" w:rsidRPr="00797C6E" w:rsidRDefault="00BD4078" w:rsidP="00EE2545">
            <w:pPr>
              <w:pStyle w:val="TableTextLeft"/>
              <w:cnfStyle w:val="000000000000" w:firstRow="0" w:lastRow="0" w:firstColumn="0" w:lastColumn="0" w:oddVBand="0" w:evenVBand="0" w:oddHBand="0" w:evenHBand="0" w:firstRowFirstColumn="0" w:firstRowLastColumn="0" w:lastRowFirstColumn="0" w:lastRowLastColumn="0"/>
            </w:pPr>
            <w:r>
              <w:t>A</w:t>
            </w:r>
            <w:r w:rsidRPr="00797C6E">
              <w:t xml:space="preserve"> ‘no surprises’ approach to the management of tax risks </w:t>
            </w:r>
          </w:p>
        </w:tc>
      </w:tr>
    </w:tbl>
    <w:p w14:paraId="148A9104" w14:textId="77777777" w:rsidR="00CF0380" w:rsidRPr="007A0FD5" w:rsidRDefault="00CF0380" w:rsidP="007A0FD5">
      <w:r>
        <w:br w:type="page"/>
      </w:r>
    </w:p>
    <w:p w14:paraId="6EBD4A2B" w14:textId="4FD409D8" w:rsidR="00BD4078" w:rsidRDefault="00BD4078" w:rsidP="00BD4078">
      <w:pPr>
        <w:pStyle w:val="Heading3"/>
      </w:pPr>
      <w:r>
        <w:lastRenderedPageBreak/>
        <w:t xml:space="preserve">Tax governance, control, and risk management </w:t>
      </w:r>
    </w:p>
    <w:p w14:paraId="05B5F876" w14:textId="48EA049A" w:rsidR="00EA2531" w:rsidRDefault="00EA2531" w:rsidP="00EA2531">
      <w:pPr>
        <w:pStyle w:val="Heading4"/>
      </w:pPr>
      <w:r>
        <w:t xml:space="preserve">Optional elements </w:t>
      </w:r>
    </w:p>
    <w:p w14:paraId="1AA45E28" w14:textId="77777777" w:rsidR="00EA2531" w:rsidRPr="00116433" w:rsidRDefault="00EA2531" w:rsidP="007956E1">
      <w:r w:rsidRPr="00116433">
        <w:t xml:space="preserve">[Provide a description of the tax governance, control and risk management framework including: </w:t>
      </w:r>
    </w:p>
    <w:p w14:paraId="2EBCDEFA" w14:textId="1FE53BFC" w:rsidR="00EA2531" w:rsidRPr="00116433" w:rsidRDefault="00EA2531" w:rsidP="00AA16AB">
      <w:pPr>
        <w:pStyle w:val="NumberedParagraphroman"/>
        <w:ind w:left="1701"/>
      </w:pPr>
      <w:r w:rsidRPr="00116433">
        <w:t>the governance body or executive-level position within the organisation accountable for compliance with the tax strategy</w:t>
      </w:r>
      <w:r w:rsidR="00B716C1">
        <w:t>.</w:t>
      </w:r>
    </w:p>
    <w:p w14:paraId="1EC2EA60" w14:textId="4C825EBF" w:rsidR="00EA2531" w:rsidRPr="00116433" w:rsidRDefault="00EA2531" w:rsidP="00AA16AB">
      <w:pPr>
        <w:pStyle w:val="NumberedParagraphroman"/>
        <w:ind w:left="1701"/>
      </w:pPr>
      <w:r w:rsidRPr="00116433">
        <w:t>how the entity’s approach to tax is communicated and embedded in the organisation</w:t>
      </w:r>
      <w:r w:rsidR="00B716C1">
        <w:t>.</w:t>
      </w:r>
    </w:p>
    <w:p w14:paraId="36A61847" w14:textId="2738CDCA" w:rsidR="00EA2531" w:rsidRPr="00116433" w:rsidRDefault="00EA2531" w:rsidP="00AA16AB">
      <w:pPr>
        <w:pStyle w:val="NumberedParagraphroman"/>
        <w:ind w:left="1701"/>
      </w:pPr>
      <w:r w:rsidRPr="00116433">
        <w:t xml:space="preserve">how tax risks are identified, </w:t>
      </w:r>
      <w:r w:rsidR="00795179" w:rsidRPr="00116433">
        <w:t>managed,</w:t>
      </w:r>
      <w:r w:rsidRPr="00116433">
        <w:t xml:space="preserve"> and monitored</w:t>
      </w:r>
      <w:r w:rsidR="00546B0A">
        <w:t>.</w:t>
      </w:r>
    </w:p>
    <w:p w14:paraId="1CFE2680" w14:textId="2ECF1898" w:rsidR="00EA2531" w:rsidRPr="00116433" w:rsidRDefault="00EA2531" w:rsidP="00AA16AB">
      <w:pPr>
        <w:pStyle w:val="NumberedParagraphroman"/>
        <w:ind w:left="1701"/>
      </w:pPr>
      <w:r w:rsidRPr="00116433">
        <w:t>how compliance with tax governance and control framework is evaluated</w:t>
      </w:r>
      <w:r w:rsidR="00B716C1">
        <w:t>.</w:t>
      </w:r>
      <w:r w:rsidRPr="00116433">
        <w:t>]</w:t>
      </w:r>
    </w:p>
    <w:p w14:paraId="5E5C2FED" w14:textId="05C4737C" w:rsidR="009B19FB" w:rsidRPr="00E64240" w:rsidRDefault="00EA2531" w:rsidP="007956E1">
      <w:pPr>
        <w:pStyle w:val="Heading4"/>
      </w:pPr>
      <w:r w:rsidRPr="00FB229C">
        <w:t xml:space="preserve">Governance </w:t>
      </w:r>
      <w:r>
        <w:t xml:space="preserve">and risk management </w:t>
      </w:r>
    </w:p>
    <w:p w14:paraId="7153B527" w14:textId="7CD75BF0" w:rsidR="00EA2531" w:rsidRPr="00950E21" w:rsidRDefault="00EA2531" w:rsidP="007956E1">
      <w:pPr>
        <w:rPr>
          <w:rFonts w:asciiTheme="minorHAnsi" w:hAnsiTheme="minorHAnsi" w:cstheme="minorHAnsi"/>
        </w:rPr>
      </w:pPr>
      <w:r w:rsidRPr="007956E1">
        <w:t>The</w:t>
      </w:r>
      <w:r>
        <w:rPr>
          <w:rFonts w:asciiTheme="minorHAnsi" w:hAnsiTheme="minorHAnsi" w:cstheme="minorHAnsi"/>
        </w:rPr>
        <w:t xml:space="preserve"> PAA Ltd </w:t>
      </w:r>
      <w:r w:rsidRPr="00E1106C">
        <w:rPr>
          <w:b/>
          <w:bCs/>
          <w:i/>
          <w:iCs/>
          <w:color w:val="701F4D" w:themeColor="accent2"/>
        </w:rPr>
        <w:t>Tax Risk Management and Governance Framework</w:t>
      </w:r>
      <w:r w:rsidRPr="00E1106C">
        <w:rPr>
          <w:color w:val="701F4D" w:themeColor="accent2"/>
        </w:rPr>
        <w:t xml:space="preserve"> </w:t>
      </w:r>
      <w:r w:rsidRPr="00F8309C">
        <w:t xml:space="preserve">outlines </w:t>
      </w:r>
      <w:r>
        <w:t>PAA’s</w:t>
      </w:r>
      <w:r w:rsidRPr="00F8309C">
        <w:t xml:space="preserve"> tax governance structure</w:t>
      </w:r>
      <w:r>
        <w:t xml:space="preserve">, risk management processes, </w:t>
      </w:r>
      <w:r w:rsidR="00795179">
        <w:t>roles,</w:t>
      </w:r>
      <w:r>
        <w:t xml:space="preserve"> and responsibilities. The Board is accountable for PAA’s overall tax </w:t>
      </w:r>
      <w:r w:rsidR="00E33299">
        <w:t>compliance and</w:t>
      </w:r>
      <w:r>
        <w:t xml:space="preserve"> ensuring there is an effective process to manage tax risk. </w:t>
      </w:r>
    </w:p>
    <w:p w14:paraId="33598ECE" w14:textId="593F1CAA" w:rsidR="00EA2531" w:rsidRDefault="00EA2531" w:rsidP="007956E1">
      <w:r>
        <w:t xml:space="preserve">The Chief </w:t>
      </w:r>
      <w:r w:rsidRPr="007956E1">
        <w:t>Financial</w:t>
      </w:r>
      <w:r>
        <w:t xml:space="preserve"> Officer is responsible for the management of tax risks. The Audit and Risk Committee meet on a quarterly basis to discuss and evaluate tax governance and compliance, with all material tax risks reported to the Board. The Tax Manager and Tax Business Unit operationalise the framework, advising the Committee on the tax implications of business decisions, </w:t>
      </w:r>
      <w:r w:rsidR="00795179">
        <w:t>transactions,</w:t>
      </w:r>
      <w:r>
        <w:t xml:space="preserve"> and compliance with tax laws.</w:t>
      </w:r>
    </w:p>
    <w:p w14:paraId="79B841E2" w14:textId="58E8D53A" w:rsidR="00E64240" w:rsidRDefault="00E64240" w:rsidP="00EB239D">
      <w:pPr>
        <w:pStyle w:val="ChartGraphic"/>
      </w:pPr>
      <w:r w:rsidRPr="009B19FB">
        <w:rPr>
          <w:noProof/>
        </w:rPr>
        <w:drawing>
          <wp:inline distT="0" distB="0" distL="0" distR="0" wp14:anchorId="7748F68C" wp14:editId="4B2D4435">
            <wp:extent cx="3294614" cy="2353296"/>
            <wp:effectExtent l="0" t="0" r="1270" b="9525"/>
            <wp:docPr id="116987046" name="Picture 1" descr="Pyramid Diagram showing escalation of tax matters from the base upwards: &#10;- Tax Business Group&#10;- PAA Ltd Group Tax Manager &#10;- Chief Financial Officer&#10;- Audit and Risk Committee&#10;- PAA Lt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7046" name="Picture 1" descr="Pyramid Diagram showing escalation of tax matters from the base upwards: &#10;- Tax Business Group&#10;- PAA Ltd Group Tax Manager &#10;- Chief Financial Officer&#10;- Audit and Risk Committee&#10;- PAA Ltd Board"/>
                    <pic:cNvPicPr/>
                  </pic:nvPicPr>
                  <pic:blipFill rotWithShape="1">
                    <a:blip r:embed="rId52" cstate="print">
                      <a:extLst>
                        <a:ext uri="{28A0092B-C50C-407E-A947-70E740481C1C}">
                          <a14:useLocalDpi xmlns:a14="http://schemas.microsoft.com/office/drawing/2010/main" val="0"/>
                        </a:ext>
                      </a:extLst>
                    </a:blip>
                    <a:srcRect/>
                    <a:stretch/>
                  </pic:blipFill>
                  <pic:spPr>
                    <a:xfrm>
                      <a:off x="0" y="0"/>
                      <a:ext cx="3294614" cy="2353296"/>
                    </a:xfrm>
                    <a:prstGeom prst="rect">
                      <a:avLst/>
                    </a:prstGeom>
                  </pic:spPr>
                </pic:pic>
              </a:graphicData>
            </a:graphic>
          </wp:inline>
        </w:drawing>
      </w:r>
    </w:p>
    <w:p w14:paraId="20C4AE27" w14:textId="35BD1A94" w:rsidR="00EA2531" w:rsidRPr="00EA2531" w:rsidRDefault="00EA2531" w:rsidP="00575C24">
      <w:r>
        <w:t xml:space="preserve">The framework outlines a consistent approach to tax risk identification, </w:t>
      </w:r>
      <w:r w:rsidR="00795179">
        <w:t>management,</w:t>
      </w:r>
      <w:r>
        <w:t xml:space="preserve"> and monitoring across PAA. PAA has controls to test the integrity of tax data including early engagement with tax advisors, and authorities where necessary to ensure compliance and test positions.</w:t>
      </w:r>
    </w:p>
    <w:p w14:paraId="4AF8D66E" w14:textId="77777777" w:rsidR="00CE3362" w:rsidRPr="00575C24" w:rsidRDefault="00CE3362" w:rsidP="00575C24">
      <w:r>
        <w:br w:type="page"/>
      </w:r>
    </w:p>
    <w:p w14:paraId="00279533" w14:textId="343406E2" w:rsidR="00BD4078" w:rsidRDefault="00BD4078" w:rsidP="00BD4078">
      <w:pPr>
        <w:pStyle w:val="Heading3"/>
      </w:pPr>
      <w:r>
        <w:lastRenderedPageBreak/>
        <w:t>Stakeholder engagement and management of concerns related to tax</w:t>
      </w:r>
    </w:p>
    <w:p w14:paraId="750A1A6A" w14:textId="336313F6" w:rsidR="00EA2531" w:rsidRDefault="00EA2531" w:rsidP="00EA2531">
      <w:pPr>
        <w:pStyle w:val="Heading4"/>
      </w:pPr>
      <w:r>
        <w:t xml:space="preserve">Optional elements </w:t>
      </w:r>
    </w:p>
    <w:p w14:paraId="7100486A" w14:textId="77777777" w:rsidR="00EA2531" w:rsidRPr="00116433" w:rsidRDefault="00EA2531" w:rsidP="00575C24">
      <w:r w:rsidRPr="00116433">
        <w:t xml:space="preserve">[Provide a description of its approach to engagement with the ATO. This may include: </w:t>
      </w:r>
    </w:p>
    <w:p w14:paraId="32E6F8E1" w14:textId="34497C85" w:rsidR="00EA2531" w:rsidRPr="00116433" w:rsidRDefault="00EA2531" w:rsidP="00D9211C">
      <w:pPr>
        <w:pStyle w:val="NumberedParagraphroman"/>
        <w:numPr>
          <w:ilvl w:val="5"/>
          <w:numId w:val="65"/>
        </w:numPr>
        <w:ind w:left="1701"/>
      </w:pPr>
      <w:r w:rsidRPr="00116433">
        <w:t>the assurance regimes the entity is subject to, including any outcomes from assurance regimes, for example, internal audit, external audit, Advance Pricing Arrangements (APAs), Annual Compliance Arrangement (ACA), Justified Trust reviews and ATO pre-</w:t>
      </w:r>
      <w:r w:rsidR="00927D6C" w:rsidRPr="00116433">
        <w:t>lodgement</w:t>
      </w:r>
      <w:r w:rsidRPr="00116433">
        <w:t xml:space="preserve"> compliance reviews</w:t>
      </w:r>
      <w:r w:rsidR="00B716C1">
        <w:t>.</w:t>
      </w:r>
    </w:p>
    <w:p w14:paraId="61E698A4" w14:textId="75117D3B" w:rsidR="00EA2531" w:rsidRPr="00116433" w:rsidRDefault="00EA2531" w:rsidP="00AA16AB">
      <w:pPr>
        <w:pStyle w:val="NumberedParagraphroman"/>
        <w:ind w:left="1701"/>
      </w:pPr>
      <w:r w:rsidRPr="00116433">
        <w:t xml:space="preserve">engagement on tax risks including private binding rulings obtained, cooperative compliance agreements, seeking active real-time audit, seeking clearance for significant transactions and </w:t>
      </w:r>
      <w:r w:rsidR="00941511" w:rsidRPr="00116433">
        <w:t>APAs</w:t>
      </w:r>
      <w:r w:rsidRPr="00116433">
        <w:t xml:space="preserve"> sought</w:t>
      </w:r>
      <w:r w:rsidR="00B716C1">
        <w:t>.</w:t>
      </w:r>
    </w:p>
    <w:p w14:paraId="667AC1AA" w14:textId="6251357F" w:rsidR="00EA2531" w:rsidRPr="00116433" w:rsidRDefault="00EA2531" w:rsidP="00AA16AB">
      <w:pPr>
        <w:pStyle w:val="NumberedParagraphroman"/>
        <w:ind w:left="1701"/>
      </w:pPr>
      <w:r w:rsidRPr="00116433">
        <w:t>the outcome of ATO compliance activities, for example, a ‘risk rating’ or the outcome of a streamlined risk review</w:t>
      </w:r>
      <w:r w:rsidR="00B716C1">
        <w:t>.</w:t>
      </w:r>
    </w:p>
    <w:p w14:paraId="730E5C4D" w14:textId="5087AE57" w:rsidR="00E70B94" w:rsidRPr="00116433" w:rsidRDefault="00E70B94" w:rsidP="00AA16AB">
      <w:pPr>
        <w:pStyle w:val="NumberedParagraphroman"/>
        <w:ind w:left="1701"/>
      </w:pPr>
      <w:r w:rsidRPr="00116433">
        <w:t>any significant ongoing or recently settled tax disputes with the ATO and/or other revenue authorities, including settlement outcomes, to the extent not already disclosed in financial statements.</w:t>
      </w:r>
      <w:r w:rsidR="00B716C1">
        <w:t>]</w:t>
      </w:r>
    </w:p>
    <w:p w14:paraId="3FC75DAA" w14:textId="50347DBB" w:rsidR="00EA2531" w:rsidRPr="00B716C1" w:rsidRDefault="00B716C1" w:rsidP="00B716C1">
      <w:pPr>
        <w:pStyle w:val="Bullet"/>
        <w:numPr>
          <w:ilvl w:val="0"/>
          <w:numId w:val="0"/>
        </w:numPr>
        <w:tabs>
          <w:tab w:val="clear" w:pos="567"/>
        </w:tabs>
        <w:ind w:left="520" w:hanging="520"/>
      </w:pPr>
      <w:r>
        <w:t>[</w:t>
      </w:r>
      <w:r w:rsidR="00EA2531" w:rsidRPr="00B716C1">
        <w:t>Provide a description of its approach to engagement with other tax authorities]</w:t>
      </w:r>
    </w:p>
    <w:p w14:paraId="5E612B22" w14:textId="77777777" w:rsidR="00EA2531" w:rsidRPr="00887018" w:rsidRDefault="00EA2531" w:rsidP="0000730A">
      <w:pPr>
        <w:pStyle w:val="Heading4"/>
      </w:pPr>
      <w:r w:rsidRPr="00887018">
        <w:t>Engagement with tax authorities</w:t>
      </w:r>
    </w:p>
    <w:p w14:paraId="50C0922A" w14:textId="4CD8CE00" w:rsidR="00EA2531" w:rsidRPr="00887018" w:rsidRDefault="00EA2531" w:rsidP="0000730A">
      <w:r>
        <w:t>PAA</w:t>
      </w:r>
      <w:r w:rsidRPr="00887018">
        <w:t xml:space="preserve"> recognises the role of tax authorities in administering tax laws. </w:t>
      </w:r>
      <w:r>
        <w:t>PAA</w:t>
      </w:r>
      <w:r w:rsidRPr="00887018">
        <w:t xml:space="preserve"> </w:t>
      </w:r>
      <w:r>
        <w:t xml:space="preserve">seeks to foster </w:t>
      </w:r>
      <w:r w:rsidRPr="00887018">
        <w:t xml:space="preserve">an open, </w:t>
      </w:r>
      <w:r w:rsidR="00795179" w:rsidRPr="00887018">
        <w:t>constructive,</w:t>
      </w:r>
      <w:r w:rsidRPr="00887018">
        <w:t xml:space="preserve"> and transparent relationship with the tax authorities from each jurisdiction in which we operate. </w:t>
      </w:r>
      <w:r>
        <w:t>PAA</w:t>
      </w:r>
      <w:r w:rsidRPr="00887018">
        <w:t xml:space="preserve"> does not tolerate any practices that rely on secrecy or concealment of any information from any tax authority.</w:t>
      </w:r>
      <w:r>
        <w:t xml:space="preserve"> </w:t>
      </w:r>
    </w:p>
    <w:p w14:paraId="06B434CC" w14:textId="77777777" w:rsidR="00EA2531" w:rsidRPr="009F7476" w:rsidRDefault="00EA2531" w:rsidP="0000730A">
      <w:r w:rsidRPr="00887018">
        <w:t xml:space="preserve">We recognise that on occasion there will be differences in interpretation of the laws where the tax treatment of certain activities and transactions is unclear. For transactions which present as non-routine, or unclear </w:t>
      </w:r>
      <w:r w:rsidRPr="0000730A">
        <w:t>PAA</w:t>
      </w:r>
      <w:r w:rsidRPr="00887018">
        <w:t xml:space="preserve"> seeks tax certainty, and utilises Private Binding Rulings where appropriate. </w:t>
      </w:r>
      <w:r w:rsidRPr="00887018">
        <w:rPr>
          <w:rFonts w:cstheme="minorBidi"/>
        </w:rPr>
        <w:t xml:space="preserve">In the event of any disputes, we will maintain an open and constructive relationship with tax authorities to achieve a mutually acceptable resolution. </w:t>
      </w:r>
    </w:p>
    <w:p w14:paraId="4A5A19ED" w14:textId="5C3ED3E5" w:rsidR="00EA2531" w:rsidRDefault="00EA2531" w:rsidP="0000730A">
      <w:r w:rsidRPr="4D10D2DC">
        <w:t xml:space="preserve">PAA </w:t>
      </w:r>
      <w:r w:rsidRPr="32AB3811">
        <w:t xml:space="preserve">maintain thorough and timely disclosures of necessary information required by law, providing the ATO with required information through </w:t>
      </w:r>
      <w:r w:rsidR="00927D6C" w:rsidRPr="32AB3811">
        <w:t>lodgements</w:t>
      </w:r>
      <w:r w:rsidRPr="32AB3811">
        <w:t xml:space="preserve">, or during reviews or audits. </w:t>
      </w:r>
      <w:r>
        <w:t xml:space="preserve">In the 2025 financial year, the ATO </w:t>
      </w:r>
      <w:r w:rsidRPr="0000730A">
        <w:t>performed</w:t>
      </w:r>
      <w:r>
        <w:t xml:space="preserve"> an assurance review of the APP group as part of their Top 1,000 Tax Assurance Program covering the 2019</w:t>
      </w:r>
      <w:r w:rsidR="002561DE">
        <w:t>–</w:t>
      </w:r>
      <w:r>
        <w:t>20, 2020</w:t>
      </w:r>
      <w:r w:rsidR="002561DE">
        <w:t>–</w:t>
      </w:r>
      <w:r>
        <w:t>21 and the 2021</w:t>
      </w:r>
      <w:r w:rsidR="002561DE">
        <w:t>–</w:t>
      </w:r>
      <w:r>
        <w:t xml:space="preserve">22 financial years. During this process, </w:t>
      </w:r>
      <w:r w:rsidRPr="4D10D2DC">
        <w:t xml:space="preserve">PAA </w:t>
      </w:r>
      <w:r>
        <w:t>submitted a voluntary disclosure for the 2020</w:t>
      </w:r>
      <w:r w:rsidR="002561DE">
        <w:t>–</w:t>
      </w:r>
      <w:r>
        <w:t xml:space="preserve">21 financial year to explain and rectify an error made concerning misapplication of the payroll tax rate. No further adjustments were made to tax payable, and </w:t>
      </w:r>
      <w:r w:rsidRPr="4D10D2DC">
        <w:t xml:space="preserve">PAA </w:t>
      </w:r>
      <w:r>
        <w:t xml:space="preserve">demonstrated that it has an effective tax control framework. </w:t>
      </w:r>
    </w:p>
    <w:p w14:paraId="4D005DB1" w14:textId="3F168EE6" w:rsidR="00EA2531" w:rsidRPr="00EA2531" w:rsidRDefault="00EA2531" w:rsidP="005B244D">
      <w:r>
        <w:lastRenderedPageBreak/>
        <w:t>PAA</w:t>
      </w:r>
      <w:r w:rsidRPr="00887018">
        <w:t xml:space="preserve"> </w:t>
      </w:r>
      <w:r>
        <w:t>have been engaging with the ATO through their commercial deals program to obtain certainty and reach an agreement over the capital gains tax treatment of the sale of a commercial warehouse in PAA’s</w:t>
      </w:r>
      <w:r w:rsidRPr="00887018">
        <w:t xml:space="preserve"> </w:t>
      </w:r>
      <w:r>
        <w:t xml:space="preserve">2025 income tax return. </w:t>
      </w:r>
    </w:p>
    <w:p w14:paraId="11DA62FD" w14:textId="3491E206" w:rsidR="00BD4078" w:rsidRPr="00243793" w:rsidRDefault="00BD4078" w:rsidP="00BD4078">
      <w:pPr>
        <w:pStyle w:val="Heading3"/>
        <w:rPr>
          <w:rFonts w:asciiTheme="minorHAnsi" w:hAnsiTheme="minorHAnsi" w:cstheme="minorHAnsi"/>
          <w:color w:val="142147" w:themeColor="accent1"/>
        </w:rPr>
      </w:pPr>
      <w:r w:rsidRPr="0050378B">
        <w:t xml:space="preserve">International Related Party Dealings summary </w:t>
      </w:r>
    </w:p>
    <w:p w14:paraId="02143E49" w14:textId="2917591B" w:rsidR="00BD4078" w:rsidRPr="00687C4F" w:rsidRDefault="00BD4078" w:rsidP="005B244D">
      <w:r w:rsidRPr="00A00A03">
        <w:t xml:space="preserve">In the course of conducting our business, transactions take place which give rise to international related party dealings with offshore branches and subsidiaries. </w:t>
      </w:r>
      <w:r w:rsidR="009F7476">
        <w:t>PAA</w:t>
      </w:r>
      <w:r w:rsidRPr="00687C4F">
        <w:t xml:space="preserve"> </w:t>
      </w:r>
      <w:r w:rsidR="00927D6C" w:rsidRPr="00687C4F">
        <w:t>Ltd</w:t>
      </w:r>
      <w:r w:rsidR="00927D6C">
        <w:t>.’s</w:t>
      </w:r>
      <w:r w:rsidRPr="00687C4F">
        <w:t xml:space="preserve"> international related party dealings are disclosed in the International Dealings Schedule </w:t>
      </w:r>
      <w:r>
        <w:t>of</w:t>
      </w:r>
      <w:r w:rsidRPr="00687C4F">
        <w:t xml:space="preserve"> its annual income tax return</w:t>
      </w:r>
      <w:r>
        <w:t xml:space="preserve"> and are summarised below.</w:t>
      </w:r>
      <w:r w:rsidRPr="00687C4F">
        <w:t xml:space="preserve"> </w:t>
      </w:r>
    </w:p>
    <w:tbl>
      <w:tblPr>
        <w:tblStyle w:val="ListTable3-Accent2"/>
        <w:tblW w:w="5000" w:type="pct"/>
        <w:tblLook w:val="04A0" w:firstRow="1" w:lastRow="0" w:firstColumn="1" w:lastColumn="0" w:noHBand="0" w:noVBand="1"/>
      </w:tblPr>
      <w:tblGrid>
        <w:gridCol w:w="1854"/>
        <w:gridCol w:w="4338"/>
        <w:gridCol w:w="3439"/>
      </w:tblGrid>
      <w:tr w:rsidR="00BD4078" w:rsidRPr="000D26F2" w14:paraId="403E39C4" w14:textId="77777777" w:rsidTr="00C141DB">
        <w:trPr>
          <w:cnfStyle w:val="100000000000" w:firstRow="1" w:lastRow="0" w:firstColumn="0" w:lastColumn="0" w:oddVBand="0" w:evenVBand="0" w:oddHBand="0" w:evenHBand="0" w:firstRowFirstColumn="0" w:firstRowLastColumn="0" w:lastRowFirstColumn="0" w:lastRowLastColumn="0"/>
          <w:trHeight w:val="680"/>
        </w:trPr>
        <w:tc>
          <w:tcPr>
            <w:cnfStyle w:val="001000000100" w:firstRow="0" w:lastRow="0" w:firstColumn="1" w:lastColumn="0" w:oddVBand="0" w:evenVBand="0" w:oddHBand="0" w:evenHBand="0" w:firstRowFirstColumn="1" w:firstRowLastColumn="0" w:lastRowFirstColumn="0" w:lastRowLastColumn="0"/>
            <w:tcW w:w="1857" w:type="dxa"/>
            <w:vAlign w:val="center"/>
          </w:tcPr>
          <w:p w14:paraId="5DA616BD" w14:textId="77777777" w:rsidR="00BD4078" w:rsidRPr="000D26F2" w:rsidRDefault="00BD4078" w:rsidP="00C141DB">
            <w:pPr>
              <w:pStyle w:val="TableHeaderCellLeft"/>
              <w:rPr>
                <w:rFonts w:eastAsiaTheme="majorEastAsia"/>
                <w:sz w:val="24"/>
                <w:szCs w:val="24"/>
              </w:rPr>
            </w:pPr>
            <w:r w:rsidRPr="000D26F2">
              <w:rPr>
                <w:rFonts w:eastAsiaTheme="majorEastAsia"/>
                <w:sz w:val="24"/>
                <w:szCs w:val="24"/>
              </w:rPr>
              <w:t xml:space="preserve">Transaction type </w:t>
            </w:r>
          </w:p>
        </w:tc>
        <w:tc>
          <w:tcPr>
            <w:tcW w:w="4364" w:type="dxa"/>
            <w:vAlign w:val="center"/>
          </w:tcPr>
          <w:p w14:paraId="47C32E8C" w14:textId="77777777" w:rsidR="00BD4078" w:rsidRPr="000D26F2" w:rsidRDefault="00BD4078" w:rsidP="00C141DB">
            <w:pPr>
              <w:pStyle w:val="TableHeaderCellLeft"/>
              <w:cnfStyle w:val="100000000000" w:firstRow="1" w:lastRow="0" w:firstColumn="0" w:lastColumn="0" w:oddVBand="0" w:evenVBand="0" w:oddHBand="0" w:evenHBand="0" w:firstRowFirstColumn="0" w:firstRowLastColumn="0" w:lastRowFirstColumn="0" w:lastRowLastColumn="0"/>
              <w:rPr>
                <w:rFonts w:eastAsiaTheme="majorEastAsia"/>
                <w:sz w:val="24"/>
                <w:szCs w:val="24"/>
              </w:rPr>
            </w:pPr>
            <w:r w:rsidRPr="000D26F2">
              <w:rPr>
                <w:rFonts w:eastAsiaTheme="majorEastAsia"/>
                <w:sz w:val="24"/>
                <w:szCs w:val="24"/>
              </w:rPr>
              <w:t xml:space="preserve">Summary of the nature of dealings </w:t>
            </w:r>
          </w:p>
        </w:tc>
        <w:tc>
          <w:tcPr>
            <w:tcW w:w="3458" w:type="dxa"/>
            <w:vAlign w:val="center"/>
          </w:tcPr>
          <w:p w14:paraId="25DD9231" w14:textId="77777777" w:rsidR="00BD4078" w:rsidRPr="000D26F2" w:rsidRDefault="00BD4078" w:rsidP="00C141DB">
            <w:pPr>
              <w:pStyle w:val="TableHeaderCellLeft"/>
              <w:cnfStyle w:val="100000000000" w:firstRow="1" w:lastRow="0" w:firstColumn="0" w:lastColumn="0" w:oddVBand="0" w:evenVBand="0" w:oddHBand="0" w:evenHBand="0" w:firstRowFirstColumn="0" w:firstRowLastColumn="0" w:lastRowFirstColumn="0" w:lastRowLastColumn="0"/>
              <w:rPr>
                <w:rFonts w:eastAsiaTheme="majorEastAsia"/>
                <w:sz w:val="24"/>
                <w:szCs w:val="24"/>
              </w:rPr>
            </w:pPr>
            <w:r w:rsidRPr="000D26F2">
              <w:rPr>
                <w:rFonts w:eastAsiaTheme="majorEastAsia"/>
                <w:sz w:val="24"/>
                <w:szCs w:val="24"/>
              </w:rPr>
              <w:t xml:space="preserve">Countries related parties are located </w:t>
            </w:r>
          </w:p>
        </w:tc>
      </w:tr>
      <w:tr w:rsidR="00BD4078" w14:paraId="2641132C" w14:textId="77777777" w:rsidTr="00C141D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857" w:type="dxa"/>
          </w:tcPr>
          <w:p w14:paraId="2E3AF77C" w14:textId="4020D5DD" w:rsidR="00BD4078" w:rsidRPr="000D26F2" w:rsidRDefault="00BD4078" w:rsidP="005B244D">
            <w:pPr>
              <w:pStyle w:val="TableBodyCellLeft"/>
              <w:rPr>
                <w:rFonts w:cstheme="minorHAnsi"/>
                <w:b w:val="0"/>
                <w:bCs w:val="0"/>
                <w:sz w:val="22"/>
                <w:szCs w:val="22"/>
              </w:rPr>
            </w:pPr>
            <w:r w:rsidRPr="000D26F2">
              <w:rPr>
                <w:rFonts w:cstheme="minorHAnsi"/>
                <w:b w:val="0"/>
                <w:bCs w:val="0"/>
                <w:sz w:val="22"/>
                <w:szCs w:val="22"/>
              </w:rPr>
              <w:t xml:space="preserve">Transfer of raw materials and finished </w:t>
            </w:r>
            <w:r w:rsidR="00C421E4" w:rsidRPr="000D26F2">
              <w:rPr>
                <w:rFonts w:cstheme="minorHAnsi"/>
                <w:b w:val="0"/>
                <w:bCs w:val="0"/>
                <w:sz w:val="22"/>
                <w:szCs w:val="22"/>
              </w:rPr>
              <w:t>widgets</w:t>
            </w:r>
            <w:r w:rsidRPr="000D26F2">
              <w:rPr>
                <w:rFonts w:cstheme="minorHAnsi"/>
                <w:b w:val="0"/>
                <w:bCs w:val="0"/>
                <w:sz w:val="22"/>
                <w:szCs w:val="22"/>
              </w:rPr>
              <w:t xml:space="preserve"> </w:t>
            </w:r>
          </w:p>
        </w:tc>
        <w:tc>
          <w:tcPr>
            <w:tcW w:w="4364" w:type="dxa"/>
          </w:tcPr>
          <w:p w14:paraId="27351D60" w14:textId="188F4B50" w:rsidR="00BD4078" w:rsidRPr="000D26F2" w:rsidRDefault="00BD4078" w:rsidP="005B244D">
            <w:pPr>
              <w:pStyle w:val="TableBodyCellLeft"/>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0D26F2">
              <w:rPr>
                <w:rFonts w:cstheme="minorHAnsi"/>
                <w:sz w:val="22"/>
                <w:szCs w:val="22"/>
              </w:rPr>
              <w:t xml:space="preserve">Raw materials and unfinished </w:t>
            </w:r>
            <w:r w:rsidR="00C421E4" w:rsidRPr="000D26F2">
              <w:rPr>
                <w:rFonts w:cstheme="minorHAnsi"/>
                <w:sz w:val="22"/>
                <w:szCs w:val="22"/>
              </w:rPr>
              <w:t>widgets</w:t>
            </w:r>
            <w:r w:rsidRPr="000D26F2">
              <w:rPr>
                <w:rFonts w:cstheme="minorHAnsi"/>
                <w:sz w:val="22"/>
                <w:szCs w:val="22"/>
              </w:rPr>
              <w:t xml:space="preserve"> are transferred between subsidiaries at market value for </w:t>
            </w:r>
            <w:r w:rsidR="00C421E4" w:rsidRPr="000D26F2">
              <w:rPr>
                <w:rFonts w:cstheme="minorHAnsi"/>
                <w:sz w:val="22"/>
                <w:szCs w:val="22"/>
              </w:rPr>
              <w:t>widget</w:t>
            </w:r>
            <w:r w:rsidRPr="000D26F2">
              <w:rPr>
                <w:rFonts w:cstheme="minorHAnsi"/>
                <w:sz w:val="22"/>
                <w:szCs w:val="22"/>
              </w:rPr>
              <w:t xml:space="preserve"> production.</w:t>
            </w:r>
          </w:p>
          <w:p w14:paraId="3BB4B0BC" w14:textId="3536AA73" w:rsidR="00BD4078" w:rsidRPr="000D26F2" w:rsidRDefault="009F7476" w:rsidP="005B244D">
            <w:pPr>
              <w:pStyle w:val="TableBodyCellLeft"/>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0D26F2">
              <w:rPr>
                <w:rFonts w:cstheme="minorHAnsi"/>
                <w:sz w:val="22"/>
                <w:szCs w:val="22"/>
              </w:rPr>
              <w:t>PAA</w:t>
            </w:r>
            <w:r w:rsidR="00BD4078" w:rsidRPr="000D26F2">
              <w:rPr>
                <w:rFonts w:cstheme="minorHAnsi"/>
                <w:sz w:val="22"/>
                <w:szCs w:val="22"/>
              </w:rPr>
              <w:t xml:space="preserve"> Ltd finished </w:t>
            </w:r>
            <w:r w:rsidR="00C421E4" w:rsidRPr="000D26F2">
              <w:rPr>
                <w:rFonts w:cstheme="minorHAnsi"/>
                <w:sz w:val="22"/>
                <w:szCs w:val="22"/>
              </w:rPr>
              <w:t>widgets</w:t>
            </w:r>
            <w:r w:rsidR="00BD4078" w:rsidRPr="000D26F2">
              <w:rPr>
                <w:rFonts w:cstheme="minorHAnsi"/>
                <w:sz w:val="22"/>
                <w:szCs w:val="22"/>
              </w:rPr>
              <w:t xml:space="preserve"> are sold directly into local markets via subsidiary distributors.</w:t>
            </w:r>
          </w:p>
        </w:tc>
        <w:tc>
          <w:tcPr>
            <w:tcW w:w="3458" w:type="dxa"/>
          </w:tcPr>
          <w:p w14:paraId="1DECF35E" w14:textId="77777777" w:rsidR="00BD4078" w:rsidRPr="000D26F2" w:rsidRDefault="00BD4078" w:rsidP="005B244D">
            <w:pPr>
              <w:pStyle w:val="TableBodyCellLeft"/>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0D26F2">
              <w:rPr>
                <w:rFonts w:cstheme="minorHAnsi"/>
                <w:sz w:val="22"/>
                <w:szCs w:val="22"/>
              </w:rPr>
              <w:t xml:space="preserve">China, India, United States </w:t>
            </w:r>
          </w:p>
        </w:tc>
      </w:tr>
    </w:tbl>
    <w:p w14:paraId="3D46B193" w14:textId="2D2E69E8" w:rsidR="00AA2FF2" w:rsidRPr="00AA2FF2" w:rsidRDefault="005768C4" w:rsidP="005768C4">
      <w:pPr>
        <w:rPr>
          <w:color w:val="142147" w:themeColor="accent1"/>
        </w:rPr>
      </w:pPr>
      <w:r>
        <w:rPr>
          <w:color w:val="142147" w:themeColor="accent1"/>
        </w:rPr>
        <w:br w:type="page"/>
      </w:r>
    </w:p>
    <w:p w14:paraId="5FA0E2BD" w14:textId="111ABB23" w:rsidR="00BD4078" w:rsidRDefault="00BD4078" w:rsidP="00DA424D">
      <w:pPr>
        <w:pStyle w:val="AppendixHeading"/>
      </w:pPr>
      <w:bookmarkStart w:id="87" w:name="_Appendix_B_–_1"/>
      <w:bookmarkStart w:id="88" w:name="_Appendix_B_–"/>
      <w:bookmarkStart w:id="89" w:name="_Toc195021324"/>
      <w:bookmarkStart w:id="90" w:name="_Toc212116324"/>
      <w:bookmarkEnd w:id="87"/>
      <w:bookmarkEnd w:id="88"/>
      <w:r>
        <w:lastRenderedPageBreak/>
        <w:t xml:space="preserve">Appendix B – </w:t>
      </w:r>
      <w:r w:rsidR="00DB0051">
        <w:t>V</w:t>
      </w:r>
      <w:r>
        <w:t>TTC Checklist</w:t>
      </w:r>
      <w:bookmarkEnd w:id="89"/>
      <w:bookmarkEnd w:id="90"/>
    </w:p>
    <w:tbl>
      <w:tblPr>
        <w:tblStyle w:val="ListTable3-Accent1"/>
        <w:tblW w:w="5000" w:type="pct"/>
        <w:tblLook w:val="04A0" w:firstRow="1" w:lastRow="0" w:firstColumn="1" w:lastColumn="0" w:noHBand="0" w:noVBand="1"/>
      </w:tblPr>
      <w:tblGrid>
        <w:gridCol w:w="9636"/>
      </w:tblGrid>
      <w:tr w:rsidR="00BD4078" w14:paraId="72C73617" w14:textId="77777777" w:rsidTr="00716A4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tcPr>
          <w:p w14:paraId="3A275BEE" w14:textId="0701D1AC" w:rsidR="00BD4078" w:rsidRPr="00352052" w:rsidRDefault="00BD4078" w:rsidP="00DA424D">
            <w:pPr>
              <w:pStyle w:val="BoxText"/>
            </w:pPr>
            <w:r w:rsidRPr="00DA424D">
              <w:rPr>
                <w:b/>
                <w:bCs w:val="0"/>
              </w:rPr>
              <w:t>Note</w:t>
            </w:r>
            <w:r w:rsidR="004F3245">
              <w:rPr>
                <w:b/>
                <w:bCs w:val="0"/>
              </w:rPr>
              <w:t>s</w:t>
            </w:r>
            <w:r w:rsidR="009C4D8E">
              <w:t>:</w:t>
            </w:r>
          </w:p>
          <w:p w14:paraId="12FE8930" w14:textId="1C125F91" w:rsidR="00BD4078" w:rsidRDefault="00BD4078" w:rsidP="00DA424D">
            <w:pPr>
              <w:pStyle w:val="BoxBullet"/>
            </w:pPr>
            <w:r>
              <w:t>Appendix B has been designed as a voluntary</w:t>
            </w:r>
            <w:r w:rsidRPr="00D1768B">
              <w:t xml:space="preserve"> self-assessment disclosure checklist</w:t>
            </w:r>
            <w:r>
              <w:t xml:space="preserve"> designed</w:t>
            </w:r>
            <w:r w:rsidRPr="00D1768B">
              <w:t xml:space="preserve"> </w:t>
            </w:r>
            <w:r>
              <w:t xml:space="preserve">to support </w:t>
            </w:r>
            <w:r w:rsidR="00946EF7">
              <w:rPr>
                <w:rFonts w:asciiTheme="minorHAnsi" w:hAnsiTheme="minorHAnsi" w:cstheme="minorHAnsi"/>
              </w:rPr>
              <w:t>entities</w:t>
            </w:r>
            <w:r w:rsidR="00946EF7" w:rsidRPr="002F5B2C">
              <w:rPr>
                <w:rFonts w:asciiTheme="minorHAnsi" w:hAnsiTheme="minorHAnsi" w:cstheme="minorHAnsi"/>
              </w:rPr>
              <w:t xml:space="preserve"> </w:t>
            </w:r>
            <w:r>
              <w:t xml:space="preserve">with the completion of their </w:t>
            </w:r>
            <w:r w:rsidR="00DB0051">
              <w:t>V</w:t>
            </w:r>
            <w:r>
              <w:t xml:space="preserve">TTC report. </w:t>
            </w:r>
          </w:p>
          <w:p w14:paraId="49E1B41A" w14:textId="77777777" w:rsidR="00BD4078" w:rsidRPr="00D1768B" w:rsidRDefault="00BD4078" w:rsidP="00FC2DC8">
            <w:pPr>
              <w:pStyle w:val="BoxBullet"/>
              <w:spacing w:after="120"/>
            </w:pPr>
            <w:r w:rsidRPr="00D1768B">
              <w:t xml:space="preserve">Whilst completion of all </w:t>
            </w:r>
            <w:r>
              <w:t>‘</w:t>
            </w:r>
            <w:r w:rsidRPr="00D1768B">
              <w:t>optional elements</w:t>
            </w:r>
            <w:r>
              <w:t>’</w:t>
            </w:r>
            <w:r w:rsidRPr="00D1768B">
              <w:t xml:space="preserve"> is encouraged</w:t>
            </w:r>
            <w:r>
              <w:t xml:space="preserve">; it is not a requirement. </w:t>
            </w:r>
          </w:p>
        </w:tc>
      </w:tr>
    </w:tbl>
    <w:p w14:paraId="58BCF8D2" w14:textId="1BB60726" w:rsidR="00BD4078" w:rsidRPr="00A3011E" w:rsidRDefault="00DE0E4A" w:rsidP="00A3011E">
      <w:pPr>
        <w:pStyle w:val="Heading2"/>
      </w:pPr>
      <w:bookmarkStart w:id="91" w:name="_CbC_reporter_1"/>
      <w:bookmarkStart w:id="92" w:name="_Toc195021325"/>
      <w:bookmarkStart w:id="93" w:name="_Toc212116325"/>
      <w:bookmarkEnd w:id="91"/>
      <w:r w:rsidRPr="00A3011E">
        <w:t xml:space="preserve">Public </w:t>
      </w:r>
      <w:proofErr w:type="spellStart"/>
      <w:r w:rsidR="00BD4078" w:rsidRPr="00A3011E">
        <w:t>CbC</w:t>
      </w:r>
      <w:proofErr w:type="spellEnd"/>
      <w:r w:rsidR="00BD4078" w:rsidRPr="00A3011E">
        <w:t xml:space="preserve"> reporter</w:t>
      </w:r>
      <w:bookmarkEnd w:id="92"/>
      <w:bookmarkEnd w:id="93"/>
      <w:r w:rsidR="00BD4078" w:rsidRPr="00A3011E">
        <w:t xml:space="preserve"> </w:t>
      </w:r>
    </w:p>
    <w:p w14:paraId="26EBF2BA" w14:textId="77777777" w:rsidR="00357D29" w:rsidRPr="00A3011E" w:rsidRDefault="00357D29" w:rsidP="00A3011E">
      <w:pPr>
        <w:pStyle w:val="Heading3"/>
      </w:pPr>
      <w:r w:rsidRPr="00A3011E">
        <w:t>Overview</w:t>
      </w:r>
    </w:p>
    <w:tbl>
      <w:tblPr>
        <w:tblStyle w:val="TableGrid"/>
        <w:tblW w:w="5000" w:type="pct"/>
        <w:tblLook w:val="0420" w:firstRow="1" w:lastRow="0" w:firstColumn="0" w:lastColumn="0" w:noHBand="0" w:noVBand="1"/>
      </w:tblPr>
      <w:tblGrid>
        <w:gridCol w:w="1751"/>
        <w:gridCol w:w="7880"/>
      </w:tblGrid>
      <w:tr w:rsidR="00357D29" w14:paraId="2050081B" w14:textId="77777777" w:rsidTr="00357D29">
        <w:tc>
          <w:tcPr>
            <w:tcW w:w="909" w:type="pct"/>
            <w:shd w:val="clear" w:color="auto" w:fill="701F4D" w:themeFill="accent2"/>
          </w:tcPr>
          <w:p w14:paraId="44CB910D" w14:textId="77777777" w:rsidR="00357D29" w:rsidRPr="00F07985" w:rsidRDefault="00357D29" w:rsidP="00F07985">
            <w:pPr>
              <w:pStyle w:val="TableHeaderCellLeft"/>
              <w:rPr>
                <w:color w:val="FFFFFF" w:themeColor="background1"/>
              </w:rPr>
            </w:pPr>
            <w:r w:rsidRPr="00F07985">
              <w:rPr>
                <w:color w:val="FFFFFF" w:themeColor="background1"/>
              </w:rPr>
              <w:t>Checkboxes</w:t>
            </w:r>
          </w:p>
        </w:tc>
        <w:tc>
          <w:tcPr>
            <w:tcW w:w="4091" w:type="pct"/>
            <w:shd w:val="clear" w:color="auto" w:fill="701F4D" w:themeFill="accent2"/>
          </w:tcPr>
          <w:p w14:paraId="50888480" w14:textId="77777777" w:rsidR="00357D29" w:rsidRPr="00F07985" w:rsidRDefault="00357D29" w:rsidP="00F07985">
            <w:pPr>
              <w:pStyle w:val="TableHeaderCellLeft"/>
              <w:rPr>
                <w:color w:val="FFFFFF" w:themeColor="background1"/>
              </w:rPr>
            </w:pPr>
            <w:r w:rsidRPr="00F07985">
              <w:rPr>
                <w:color w:val="FFFFFF" w:themeColor="background1"/>
              </w:rPr>
              <w:t>Requirements and optional elements</w:t>
            </w:r>
          </w:p>
        </w:tc>
      </w:tr>
      <w:tr w:rsidR="00357D29" w14:paraId="1F2C67A9" w14:textId="77777777" w:rsidTr="00964A52">
        <w:tc>
          <w:tcPr>
            <w:tcW w:w="909" w:type="pct"/>
          </w:tcPr>
          <w:p w14:paraId="3953B2F9" w14:textId="77777777" w:rsidR="00357D29" w:rsidRPr="009C5AA0" w:rsidRDefault="00357D29" w:rsidP="00964A52">
            <w:pPr>
              <w:jc w:val="center"/>
              <w:rPr>
                <w:color w:val="142147" w:themeColor="accent1"/>
                <w:sz w:val="20"/>
                <w:szCs w:val="20"/>
              </w:rPr>
            </w:pPr>
            <w:r w:rsidRPr="009C5AA0">
              <w:rPr>
                <w:color w:val="142147" w:themeColor="accent1"/>
                <w:sz w:val="20"/>
                <w:szCs w:val="20"/>
              </w:rPr>
              <w:t>Required</w:t>
            </w:r>
          </w:p>
          <w:p w14:paraId="5B05D904" w14:textId="0C397580" w:rsidR="00357D29" w:rsidRPr="0035332F" w:rsidRDefault="000D5C07" w:rsidP="00964A52">
            <w:pPr>
              <w:jc w:val="center"/>
              <w:rPr>
                <w:b/>
                <w:bCs/>
              </w:rPr>
            </w:pPr>
            <w:sdt>
              <w:sdtPr>
                <w:rPr>
                  <w:b/>
                  <w:bCs/>
                  <w:sz w:val="32"/>
                  <w:szCs w:val="32"/>
                </w:rPr>
                <w:id w:val="2115635523"/>
                <w14:checkbox>
                  <w14:checked w14:val="0"/>
                  <w14:checkedState w14:val="2612" w14:font="MS Gothic"/>
                  <w14:uncheckedState w14:val="2610" w14:font="MS Gothic"/>
                </w14:checkbox>
              </w:sdtPr>
              <w:sdtEndPr/>
              <w:sdtContent>
                <w:r w:rsidR="009C5AA0">
                  <w:rPr>
                    <w:rFonts w:ascii="MS Gothic" w:eastAsia="MS Gothic" w:hAnsi="MS Gothic" w:hint="eastAsia"/>
                    <w:b/>
                    <w:bCs/>
                    <w:sz w:val="32"/>
                    <w:szCs w:val="32"/>
                  </w:rPr>
                  <w:t>☐</w:t>
                </w:r>
              </w:sdtContent>
            </w:sdt>
          </w:p>
        </w:tc>
        <w:tc>
          <w:tcPr>
            <w:tcW w:w="4091" w:type="pct"/>
          </w:tcPr>
          <w:p w14:paraId="0A635123" w14:textId="77777777" w:rsidR="00357D29" w:rsidRPr="009C5AA0" w:rsidRDefault="00357D29" w:rsidP="00D9211C">
            <w:pPr>
              <w:pStyle w:val="ListParagraph"/>
              <w:numPr>
                <w:ilvl w:val="1"/>
                <w:numId w:val="41"/>
              </w:numPr>
              <w:ind w:left="357" w:hanging="357"/>
              <w:rPr>
                <w:b/>
                <w:bCs/>
                <w:color w:val="142147" w:themeColor="accent1"/>
                <w:sz w:val="20"/>
                <w:szCs w:val="20"/>
              </w:rPr>
            </w:pPr>
            <w:r w:rsidRPr="009C5AA0">
              <w:rPr>
                <w:b/>
                <w:bCs/>
                <w:color w:val="142147" w:themeColor="accent1"/>
                <w:sz w:val="20"/>
                <w:szCs w:val="20"/>
              </w:rPr>
              <w:t xml:space="preserve">Entities should confirm that they are a public country-by-country reporting parent and that they have complied with their reporting requirements under the TAA. </w:t>
            </w:r>
          </w:p>
        </w:tc>
      </w:tr>
      <w:tr w:rsidR="00357D29" w14:paraId="527BC678" w14:textId="77777777" w:rsidTr="00964A52">
        <w:tc>
          <w:tcPr>
            <w:tcW w:w="909" w:type="pct"/>
          </w:tcPr>
          <w:p w14:paraId="05917DDD" w14:textId="77777777" w:rsidR="00357D29" w:rsidRDefault="000D5C07" w:rsidP="00964A52">
            <w:pPr>
              <w:jc w:val="center"/>
              <w:rPr>
                <w:rFonts w:ascii="MS Gothic" w:eastAsia="MS Gothic" w:hAnsi="MS Gothic"/>
                <w:b/>
                <w:bCs/>
              </w:rPr>
            </w:pPr>
            <w:sdt>
              <w:sdtPr>
                <w:rPr>
                  <w:b/>
                  <w:bCs/>
                  <w:sz w:val="32"/>
                  <w:szCs w:val="32"/>
                </w:rPr>
                <w:id w:val="261887270"/>
                <w14:checkbox>
                  <w14:checked w14:val="0"/>
                  <w14:checkedState w14:val="2612" w14:font="MS Gothic"/>
                  <w14:uncheckedState w14:val="2610" w14:font="MS Gothic"/>
                </w14:checkbox>
              </w:sdtPr>
              <w:sdtEndPr/>
              <w:sdtContent>
                <w:r w:rsidR="00357D29" w:rsidRPr="00285288">
                  <w:rPr>
                    <w:rFonts w:ascii="MS Gothic" w:eastAsia="MS Gothic" w:hAnsi="MS Gothic" w:hint="eastAsia"/>
                    <w:b/>
                    <w:bCs/>
                    <w:sz w:val="32"/>
                    <w:szCs w:val="32"/>
                  </w:rPr>
                  <w:t>☐</w:t>
                </w:r>
              </w:sdtContent>
            </w:sdt>
          </w:p>
        </w:tc>
        <w:tc>
          <w:tcPr>
            <w:tcW w:w="4091" w:type="pct"/>
          </w:tcPr>
          <w:p w14:paraId="399634FE" w14:textId="77777777" w:rsidR="00357D29" w:rsidRPr="009C5AA0" w:rsidRDefault="00357D29" w:rsidP="00D9211C">
            <w:pPr>
              <w:pStyle w:val="ListParagraph"/>
              <w:numPr>
                <w:ilvl w:val="0"/>
                <w:numId w:val="68"/>
              </w:numPr>
              <w:ind w:left="426" w:hanging="284"/>
              <w:rPr>
                <w:b/>
                <w:bCs/>
                <w:color w:val="142147" w:themeColor="accent1"/>
                <w:sz w:val="20"/>
                <w:szCs w:val="20"/>
              </w:rPr>
            </w:pPr>
            <w:r w:rsidRPr="009C5AA0">
              <w:rPr>
                <w:color w:val="142147" w:themeColor="accent1"/>
                <w:sz w:val="20"/>
                <w:szCs w:val="20"/>
              </w:rPr>
              <w:t xml:space="preserve">Where available, provide a link to your completed public </w:t>
            </w:r>
            <w:proofErr w:type="spellStart"/>
            <w:r w:rsidRPr="009C5AA0">
              <w:rPr>
                <w:color w:val="142147" w:themeColor="accent1"/>
                <w:sz w:val="20"/>
                <w:szCs w:val="20"/>
              </w:rPr>
              <w:t>CbC</w:t>
            </w:r>
            <w:proofErr w:type="spellEnd"/>
            <w:r w:rsidRPr="009C5AA0">
              <w:rPr>
                <w:color w:val="142147" w:themeColor="accent1"/>
                <w:sz w:val="20"/>
                <w:szCs w:val="20"/>
              </w:rPr>
              <w:t xml:space="preserve"> report.</w:t>
            </w:r>
          </w:p>
        </w:tc>
      </w:tr>
    </w:tbl>
    <w:p w14:paraId="59CDB0C0" w14:textId="77777777" w:rsidR="008A7E07" w:rsidRDefault="008A7E07" w:rsidP="008A7E07">
      <w:pPr>
        <w:pStyle w:val="SingleParagraph"/>
      </w:pPr>
    </w:p>
    <w:p w14:paraId="25AC7CF6" w14:textId="1B6055F1" w:rsidR="005D57C7" w:rsidRPr="00492370" w:rsidRDefault="005D57C7" w:rsidP="00492370">
      <w:pPr>
        <w:pStyle w:val="Heading3"/>
      </w:pPr>
      <w:r w:rsidRPr="00492370">
        <w:t>Tax data</w:t>
      </w:r>
    </w:p>
    <w:p w14:paraId="6542ABFA" w14:textId="77777777" w:rsidR="005D57C7" w:rsidRPr="00492370" w:rsidRDefault="005D57C7" w:rsidP="00F07985">
      <w:pPr>
        <w:pStyle w:val="Heading4"/>
        <w:spacing w:before="0"/>
      </w:pPr>
      <w:r w:rsidRPr="00492370">
        <w:t>Total tax contribution</w:t>
      </w:r>
    </w:p>
    <w:tbl>
      <w:tblPr>
        <w:tblStyle w:val="TableGrid"/>
        <w:tblW w:w="5000" w:type="pct"/>
        <w:tblLook w:val="0420" w:firstRow="1" w:lastRow="0" w:firstColumn="0" w:lastColumn="0" w:noHBand="0" w:noVBand="1"/>
      </w:tblPr>
      <w:tblGrid>
        <w:gridCol w:w="1813"/>
        <w:gridCol w:w="7818"/>
      </w:tblGrid>
      <w:tr w:rsidR="005D57C7" w14:paraId="5B4254C7" w14:textId="77777777" w:rsidTr="005C3DE7">
        <w:tc>
          <w:tcPr>
            <w:tcW w:w="941" w:type="pct"/>
            <w:shd w:val="clear" w:color="auto" w:fill="701F4D" w:themeFill="accent2"/>
          </w:tcPr>
          <w:p w14:paraId="49CC8204" w14:textId="77777777" w:rsidR="005D57C7" w:rsidRPr="00F07985" w:rsidRDefault="005D57C7" w:rsidP="00F07985">
            <w:pPr>
              <w:pStyle w:val="TableHeaderCellLeft"/>
              <w:rPr>
                <w:color w:val="FFFFFF" w:themeColor="background1"/>
              </w:rPr>
            </w:pPr>
            <w:r w:rsidRPr="00F07985">
              <w:rPr>
                <w:color w:val="FFFFFF" w:themeColor="background1"/>
              </w:rPr>
              <w:t>Checkboxes</w:t>
            </w:r>
          </w:p>
        </w:tc>
        <w:tc>
          <w:tcPr>
            <w:tcW w:w="4059" w:type="pct"/>
            <w:shd w:val="clear" w:color="auto" w:fill="701F4D" w:themeFill="accent2"/>
          </w:tcPr>
          <w:p w14:paraId="45A4B862" w14:textId="77777777" w:rsidR="005D57C7" w:rsidRPr="00F07985" w:rsidRDefault="005D57C7" w:rsidP="00F07985">
            <w:pPr>
              <w:pStyle w:val="TableHeaderCellLeft"/>
              <w:rPr>
                <w:color w:val="FFFFFF" w:themeColor="background1"/>
              </w:rPr>
            </w:pPr>
            <w:r w:rsidRPr="00F07985">
              <w:rPr>
                <w:color w:val="FFFFFF" w:themeColor="background1"/>
              </w:rPr>
              <w:t>Requirements and optional elements</w:t>
            </w:r>
          </w:p>
        </w:tc>
      </w:tr>
      <w:tr w:rsidR="005D57C7" w14:paraId="752C2597" w14:textId="77777777" w:rsidTr="005C3DE7">
        <w:trPr>
          <w:trHeight w:val="854"/>
        </w:trPr>
        <w:tc>
          <w:tcPr>
            <w:tcW w:w="941" w:type="pct"/>
          </w:tcPr>
          <w:p w14:paraId="1ABB3395" w14:textId="77777777" w:rsidR="005D57C7" w:rsidRPr="009C5AA0" w:rsidRDefault="005D57C7" w:rsidP="00274BB0">
            <w:pPr>
              <w:spacing w:after="0"/>
              <w:jc w:val="center"/>
              <w:rPr>
                <w:color w:val="142147" w:themeColor="accent1"/>
                <w:sz w:val="20"/>
                <w:szCs w:val="20"/>
              </w:rPr>
            </w:pPr>
            <w:r w:rsidRPr="009C5AA0">
              <w:rPr>
                <w:color w:val="142147" w:themeColor="accent1"/>
                <w:sz w:val="20"/>
                <w:szCs w:val="20"/>
              </w:rPr>
              <w:t>Required</w:t>
            </w:r>
          </w:p>
          <w:p w14:paraId="1AB69414" w14:textId="68CF37ED" w:rsidR="005D57C7" w:rsidRPr="0035332F" w:rsidRDefault="000D5C07" w:rsidP="00964A52">
            <w:pPr>
              <w:jc w:val="center"/>
              <w:rPr>
                <w:b/>
                <w:bCs/>
              </w:rPr>
            </w:pPr>
            <w:sdt>
              <w:sdtPr>
                <w:rPr>
                  <w:b/>
                  <w:bCs/>
                  <w:sz w:val="32"/>
                  <w:szCs w:val="32"/>
                </w:rPr>
                <w:id w:val="-1012608866"/>
                <w14:checkbox>
                  <w14:checked w14:val="0"/>
                  <w14:checkedState w14:val="2612" w14:font="MS Gothic"/>
                  <w14:uncheckedState w14:val="2610" w14:font="MS Gothic"/>
                </w14:checkbox>
              </w:sdtPr>
              <w:sdtEndPr/>
              <w:sdtContent>
                <w:r w:rsidR="00274BB0">
                  <w:rPr>
                    <w:rFonts w:ascii="MS Gothic" w:eastAsia="MS Gothic" w:hAnsi="MS Gothic" w:hint="eastAsia"/>
                    <w:b/>
                    <w:bCs/>
                    <w:sz w:val="32"/>
                    <w:szCs w:val="32"/>
                  </w:rPr>
                  <w:t>☐</w:t>
                </w:r>
              </w:sdtContent>
            </w:sdt>
          </w:p>
        </w:tc>
        <w:tc>
          <w:tcPr>
            <w:tcW w:w="4059" w:type="pct"/>
          </w:tcPr>
          <w:p w14:paraId="695B788A" w14:textId="6D3BC7E6" w:rsidR="005D57C7" w:rsidRPr="00B44F05" w:rsidRDefault="00C3747C" w:rsidP="00D9211C">
            <w:pPr>
              <w:pStyle w:val="ListParagraph"/>
              <w:numPr>
                <w:ilvl w:val="2"/>
                <w:numId w:val="43"/>
              </w:numPr>
              <w:rPr>
                <w:b/>
                <w:bCs/>
                <w:color w:val="142147" w:themeColor="accent1"/>
                <w:sz w:val="20"/>
                <w:szCs w:val="20"/>
              </w:rPr>
            </w:pPr>
            <w:r w:rsidRPr="0088762A">
              <w:rPr>
                <w:b/>
                <w:bCs/>
                <w:color w:val="142147" w:themeColor="accent1"/>
                <w:sz w:val="20"/>
                <w:szCs w:val="20"/>
              </w:rPr>
              <w:t>Entities should report their total Australian corporate income tax contribution.</w:t>
            </w:r>
          </w:p>
        </w:tc>
      </w:tr>
      <w:tr w:rsidR="005D57C7" w14:paraId="169DC28B" w14:textId="77777777" w:rsidTr="005C3DE7">
        <w:tc>
          <w:tcPr>
            <w:tcW w:w="941" w:type="pct"/>
          </w:tcPr>
          <w:p w14:paraId="39AAFB6E" w14:textId="77777777" w:rsidR="005D57C7" w:rsidRPr="00285288" w:rsidRDefault="000D5C07" w:rsidP="00964A52">
            <w:pPr>
              <w:jc w:val="center"/>
              <w:rPr>
                <w:rFonts w:ascii="MS Gothic" w:eastAsia="MS Gothic" w:hAnsi="MS Gothic"/>
                <w:b/>
                <w:bCs/>
                <w:sz w:val="32"/>
                <w:szCs w:val="32"/>
              </w:rPr>
            </w:pPr>
            <w:sdt>
              <w:sdtPr>
                <w:rPr>
                  <w:b/>
                  <w:bCs/>
                  <w:sz w:val="32"/>
                  <w:szCs w:val="32"/>
                </w:rPr>
                <w:id w:val="-804153743"/>
                <w14:checkbox>
                  <w14:checked w14:val="0"/>
                  <w14:checkedState w14:val="2612" w14:font="MS Gothic"/>
                  <w14:uncheckedState w14:val="2610" w14:font="MS Gothic"/>
                </w14:checkbox>
              </w:sdtPr>
              <w:sdtEndPr/>
              <w:sdtContent>
                <w:r w:rsidR="005D57C7" w:rsidRPr="00285288">
                  <w:rPr>
                    <w:rFonts w:ascii="MS Gothic" w:eastAsia="MS Gothic" w:hAnsi="MS Gothic" w:hint="eastAsia"/>
                    <w:b/>
                    <w:bCs/>
                    <w:sz w:val="32"/>
                    <w:szCs w:val="32"/>
                  </w:rPr>
                  <w:t>☐</w:t>
                </w:r>
              </w:sdtContent>
            </w:sdt>
          </w:p>
        </w:tc>
        <w:tc>
          <w:tcPr>
            <w:tcW w:w="4059" w:type="pct"/>
          </w:tcPr>
          <w:p w14:paraId="6F7C8240" w14:textId="77777777" w:rsidR="005D57C7" w:rsidRPr="00F878E2" w:rsidRDefault="005D57C7" w:rsidP="00F878E2">
            <w:pPr>
              <w:pStyle w:val="ListParagraph"/>
              <w:numPr>
                <w:ilvl w:val="0"/>
                <w:numId w:val="76"/>
              </w:numPr>
              <w:ind w:left="426" w:hanging="284"/>
              <w:rPr>
                <w:color w:val="142147" w:themeColor="accent1"/>
                <w:sz w:val="20"/>
                <w:szCs w:val="20"/>
              </w:rPr>
            </w:pPr>
            <w:r w:rsidRPr="00F878E2">
              <w:rPr>
                <w:color w:val="142147" w:themeColor="accent1"/>
                <w:sz w:val="20"/>
                <w:szCs w:val="20"/>
              </w:rPr>
              <w:t>Report on global group total income tax contribution.</w:t>
            </w:r>
          </w:p>
        </w:tc>
      </w:tr>
      <w:tr w:rsidR="005D57C7" w14:paraId="152E9A85" w14:textId="77777777" w:rsidTr="005C3DE7">
        <w:tc>
          <w:tcPr>
            <w:tcW w:w="941" w:type="pct"/>
          </w:tcPr>
          <w:p w14:paraId="3D3D1A8C" w14:textId="77777777" w:rsidR="005D57C7" w:rsidRPr="00285288" w:rsidRDefault="000D5C07" w:rsidP="00964A52">
            <w:pPr>
              <w:jc w:val="center"/>
              <w:rPr>
                <w:rFonts w:ascii="MS Gothic" w:eastAsia="MS Gothic" w:hAnsi="MS Gothic"/>
                <w:b/>
                <w:bCs/>
                <w:sz w:val="32"/>
                <w:szCs w:val="32"/>
              </w:rPr>
            </w:pPr>
            <w:sdt>
              <w:sdtPr>
                <w:rPr>
                  <w:b/>
                  <w:bCs/>
                  <w:sz w:val="32"/>
                  <w:szCs w:val="32"/>
                </w:rPr>
                <w:id w:val="739377604"/>
                <w14:checkbox>
                  <w14:checked w14:val="0"/>
                  <w14:checkedState w14:val="2612" w14:font="MS Gothic"/>
                  <w14:uncheckedState w14:val="2610" w14:font="MS Gothic"/>
                </w14:checkbox>
              </w:sdtPr>
              <w:sdtEndPr/>
              <w:sdtContent>
                <w:r w:rsidR="005D57C7" w:rsidRPr="00285288">
                  <w:rPr>
                    <w:rFonts w:ascii="MS Gothic" w:eastAsia="MS Gothic" w:hAnsi="MS Gothic" w:hint="eastAsia"/>
                    <w:b/>
                    <w:bCs/>
                    <w:sz w:val="32"/>
                    <w:szCs w:val="32"/>
                  </w:rPr>
                  <w:t>☐</w:t>
                </w:r>
              </w:sdtContent>
            </w:sdt>
          </w:p>
        </w:tc>
        <w:tc>
          <w:tcPr>
            <w:tcW w:w="4059" w:type="pct"/>
          </w:tcPr>
          <w:p w14:paraId="6C3054B5" w14:textId="77777777" w:rsidR="005D57C7" w:rsidRPr="00F878E2" w:rsidRDefault="005D57C7" w:rsidP="00F878E2">
            <w:pPr>
              <w:pStyle w:val="ListParagraph"/>
              <w:numPr>
                <w:ilvl w:val="0"/>
                <w:numId w:val="76"/>
              </w:numPr>
              <w:ind w:left="426" w:hanging="284"/>
              <w:rPr>
                <w:color w:val="142147" w:themeColor="accent1"/>
                <w:sz w:val="20"/>
                <w:szCs w:val="20"/>
              </w:rPr>
            </w:pPr>
            <w:r w:rsidRPr="00F878E2">
              <w:rPr>
                <w:color w:val="142147" w:themeColor="accent1"/>
                <w:sz w:val="20"/>
                <w:szCs w:val="20"/>
              </w:rPr>
              <w:t xml:space="preserve">Report other Australian taxes and imposts paid to Government, for example Petroleum Resources Rent Tax, royalties, excises, payroll taxes, stamp duties, fringe benefits tax and state taxes. </w:t>
            </w:r>
          </w:p>
        </w:tc>
      </w:tr>
      <w:tr w:rsidR="005D57C7" w14:paraId="1DD3C7BB" w14:textId="77777777" w:rsidTr="005C3DE7">
        <w:tc>
          <w:tcPr>
            <w:tcW w:w="941" w:type="pct"/>
          </w:tcPr>
          <w:p w14:paraId="37EA900C" w14:textId="77777777" w:rsidR="005D57C7" w:rsidRPr="00285288" w:rsidRDefault="000D5C07" w:rsidP="00964A52">
            <w:pPr>
              <w:jc w:val="center"/>
              <w:rPr>
                <w:rFonts w:ascii="MS Gothic" w:eastAsia="MS Gothic" w:hAnsi="MS Gothic"/>
                <w:b/>
                <w:bCs/>
                <w:sz w:val="32"/>
                <w:szCs w:val="32"/>
              </w:rPr>
            </w:pPr>
            <w:sdt>
              <w:sdtPr>
                <w:rPr>
                  <w:b/>
                  <w:bCs/>
                  <w:sz w:val="32"/>
                  <w:szCs w:val="32"/>
                </w:rPr>
                <w:id w:val="-100811089"/>
                <w14:checkbox>
                  <w14:checked w14:val="0"/>
                  <w14:checkedState w14:val="2612" w14:font="MS Gothic"/>
                  <w14:uncheckedState w14:val="2610" w14:font="MS Gothic"/>
                </w14:checkbox>
              </w:sdtPr>
              <w:sdtEndPr/>
              <w:sdtContent>
                <w:r w:rsidR="005D57C7" w:rsidRPr="00285288">
                  <w:rPr>
                    <w:rFonts w:ascii="MS Gothic" w:eastAsia="MS Gothic" w:hAnsi="MS Gothic" w:hint="eastAsia"/>
                    <w:b/>
                    <w:bCs/>
                    <w:sz w:val="32"/>
                    <w:szCs w:val="32"/>
                  </w:rPr>
                  <w:t>☐</w:t>
                </w:r>
              </w:sdtContent>
            </w:sdt>
          </w:p>
        </w:tc>
        <w:tc>
          <w:tcPr>
            <w:tcW w:w="4059" w:type="pct"/>
          </w:tcPr>
          <w:p w14:paraId="3CA4EAE2" w14:textId="1CA6B62F" w:rsidR="005D57C7" w:rsidRPr="00F878E2" w:rsidRDefault="005D57C7" w:rsidP="00F878E2">
            <w:pPr>
              <w:pStyle w:val="ListParagraph"/>
              <w:numPr>
                <w:ilvl w:val="0"/>
                <w:numId w:val="76"/>
              </w:numPr>
              <w:ind w:left="426" w:hanging="284"/>
              <w:rPr>
                <w:color w:val="142147" w:themeColor="accent1"/>
                <w:sz w:val="20"/>
                <w:szCs w:val="20"/>
              </w:rPr>
            </w:pPr>
            <w:r w:rsidRPr="00F878E2">
              <w:rPr>
                <w:color w:val="142147" w:themeColor="accent1"/>
                <w:sz w:val="20"/>
                <w:szCs w:val="20"/>
              </w:rPr>
              <w:t xml:space="preserve">Report </w:t>
            </w:r>
            <w:r w:rsidR="0080766C" w:rsidRPr="00F878E2">
              <w:rPr>
                <w:color w:val="142147" w:themeColor="accent1"/>
                <w:sz w:val="20"/>
                <w:szCs w:val="20"/>
              </w:rPr>
              <w:t>g</w:t>
            </w:r>
            <w:r w:rsidRPr="00F878E2">
              <w:rPr>
                <w:color w:val="142147" w:themeColor="accent1"/>
                <w:sz w:val="20"/>
                <w:szCs w:val="20"/>
              </w:rPr>
              <w:t xml:space="preserve">overnment imposts collected by the entity on behalf of others, for example, GST and Pay </w:t>
            </w:r>
            <w:proofErr w:type="gramStart"/>
            <w:r w:rsidRPr="00F878E2">
              <w:rPr>
                <w:color w:val="142147" w:themeColor="accent1"/>
                <w:sz w:val="20"/>
                <w:szCs w:val="20"/>
              </w:rPr>
              <w:t>As</w:t>
            </w:r>
            <w:proofErr w:type="gramEnd"/>
            <w:r w:rsidRPr="00F878E2">
              <w:rPr>
                <w:color w:val="142147" w:themeColor="accent1"/>
                <w:sz w:val="20"/>
                <w:szCs w:val="20"/>
              </w:rPr>
              <w:t xml:space="preserve"> You Go withholding taxes.</w:t>
            </w:r>
          </w:p>
        </w:tc>
      </w:tr>
    </w:tbl>
    <w:p w14:paraId="43C393FB" w14:textId="77777777" w:rsidR="005D57C7" w:rsidRPr="000F52A4" w:rsidRDefault="005D57C7" w:rsidP="000F52A4">
      <w:pPr>
        <w:pStyle w:val="Heading4"/>
      </w:pPr>
      <w:r w:rsidRPr="000F52A4">
        <w:lastRenderedPageBreak/>
        <w:t>Effective tax rate for Australian and global operations</w:t>
      </w:r>
    </w:p>
    <w:tbl>
      <w:tblPr>
        <w:tblStyle w:val="TableGrid"/>
        <w:tblW w:w="5000" w:type="pct"/>
        <w:tblLook w:val="0420" w:firstRow="1" w:lastRow="0" w:firstColumn="0" w:lastColumn="0" w:noHBand="0" w:noVBand="1"/>
      </w:tblPr>
      <w:tblGrid>
        <w:gridCol w:w="1813"/>
        <w:gridCol w:w="7818"/>
      </w:tblGrid>
      <w:tr w:rsidR="005D57C7" w14:paraId="133A2BE8" w14:textId="77777777" w:rsidTr="00492370">
        <w:trPr>
          <w:tblHeader/>
        </w:trPr>
        <w:tc>
          <w:tcPr>
            <w:tcW w:w="941" w:type="pct"/>
            <w:shd w:val="clear" w:color="auto" w:fill="701F4D" w:themeFill="accent2"/>
          </w:tcPr>
          <w:p w14:paraId="4110CA9E" w14:textId="77777777" w:rsidR="005D57C7" w:rsidRPr="002F48E7" w:rsidRDefault="005D57C7"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3C39DF59" w14:textId="77777777" w:rsidR="005D57C7" w:rsidRPr="002F48E7" w:rsidRDefault="005D57C7"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5D57C7" w14:paraId="55FD2ED3" w14:textId="77777777" w:rsidTr="00964A52">
        <w:tc>
          <w:tcPr>
            <w:tcW w:w="941" w:type="pct"/>
          </w:tcPr>
          <w:p w14:paraId="39B31D34" w14:textId="77777777" w:rsidR="005D57C7" w:rsidRPr="009C5AA0" w:rsidRDefault="005D57C7" w:rsidP="00964A52">
            <w:pPr>
              <w:jc w:val="center"/>
              <w:rPr>
                <w:color w:val="142147" w:themeColor="accent1"/>
                <w:sz w:val="20"/>
                <w:szCs w:val="20"/>
              </w:rPr>
            </w:pPr>
            <w:r w:rsidRPr="009C5AA0">
              <w:rPr>
                <w:color w:val="142147" w:themeColor="accent1"/>
                <w:sz w:val="20"/>
                <w:szCs w:val="20"/>
              </w:rPr>
              <w:t>Required</w:t>
            </w:r>
          </w:p>
          <w:p w14:paraId="27741707" w14:textId="77777777" w:rsidR="005D57C7" w:rsidRPr="0035332F" w:rsidRDefault="000D5C07" w:rsidP="00964A52">
            <w:pPr>
              <w:jc w:val="center"/>
              <w:rPr>
                <w:b/>
                <w:bCs/>
              </w:rPr>
            </w:pPr>
            <w:sdt>
              <w:sdtPr>
                <w:rPr>
                  <w:b/>
                  <w:bCs/>
                  <w:sz w:val="32"/>
                  <w:szCs w:val="32"/>
                </w:rPr>
                <w:id w:val="-1161462281"/>
                <w14:checkbox>
                  <w14:checked w14:val="0"/>
                  <w14:checkedState w14:val="2612" w14:font="MS Gothic"/>
                  <w14:uncheckedState w14:val="2610" w14:font="MS Gothic"/>
                </w14:checkbox>
              </w:sdtPr>
              <w:sdtEndPr/>
              <w:sdtContent>
                <w:r w:rsidR="005D57C7">
                  <w:rPr>
                    <w:rFonts w:ascii="MS Gothic" w:eastAsia="MS Gothic" w:hAnsi="MS Gothic" w:hint="eastAsia"/>
                    <w:b/>
                    <w:bCs/>
                    <w:sz w:val="32"/>
                    <w:szCs w:val="32"/>
                  </w:rPr>
                  <w:t>☐</w:t>
                </w:r>
              </w:sdtContent>
            </w:sdt>
          </w:p>
        </w:tc>
        <w:tc>
          <w:tcPr>
            <w:tcW w:w="4059" w:type="pct"/>
          </w:tcPr>
          <w:p w14:paraId="1635449B" w14:textId="77777777" w:rsidR="00812D13" w:rsidRDefault="005D57C7" w:rsidP="00D9211C">
            <w:pPr>
              <w:pStyle w:val="ListParagraph"/>
              <w:numPr>
                <w:ilvl w:val="2"/>
                <w:numId w:val="44"/>
              </w:numPr>
              <w:rPr>
                <w:b/>
                <w:bCs/>
                <w:color w:val="142147" w:themeColor="accent1"/>
                <w:sz w:val="20"/>
                <w:szCs w:val="20"/>
              </w:rPr>
            </w:pPr>
            <w:r w:rsidRPr="00D44086">
              <w:rPr>
                <w:b/>
                <w:bCs/>
                <w:color w:val="142147" w:themeColor="accent1"/>
                <w:sz w:val="20"/>
                <w:szCs w:val="20"/>
              </w:rPr>
              <w:t>Entities should report an Australian accounting effective tax rate (ETR) and a global ETR for the worldwide accounting consolidated group calculated based on tax expense (income).</w:t>
            </w:r>
          </w:p>
          <w:p w14:paraId="2BA437CB" w14:textId="7B117F8F" w:rsidR="00CB0E54" w:rsidRPr="00812D13" w:rsidRDefault="00941886" w:rsidP="00812D13">
            <w:pPr>
              <w:pStyle w:val="ListParagraph"/>
              <w:contextualSpacing w:val="0"/>
              <w:rPr>
                <w:b/>
                <w:bCs/>
                <w:color w:val="142147" w:themeColor="accent1"/>
                <w:sz w:val="20"/>
                <w:szCs w:val="20"/>
              </w:rPr>
            </w:pPr>
            <w:r w:rsidRPr="00812D13">
              <w:rPr>
                <w:b/>
                <w:bCs/>
                <w:color w:val="142147" w:themeColor="accent1"/>
                <w:sz w:val="20"/>
                <w:szCs w:val="20"/>
              </w:rPr>
              <w:t>Entities should indicate the basis of their ETR calculations and any underlying assumptions.</w:t>
            </w:r>
          </w:p>
        </w:tc>
      </w:tr>
      <w:tr w:rsidR="005D57C7" w14:paraId="14906E7A" w14:textId="77777777" w:rsidTr="00964A52">
        <w:tc>
          <w:tcPr>
            <w:tcW w:w="941" w:type="pct"/>
          </w:tcPr>
          <w:p w14:paraId="6CFA4AD0" w14:textId="77777777" w:rsidR="005D57C7" w:rsidRDefault="000D5C07" w:rsidP="00964A52">
            <w:pPr>
              <w:jc w:val="center"/>
              <w:rPr>
                <w:rFonts w:ascii="MS Gothic" w:eastAsia="MS Gothic" w:hAnsi="MS Gothic"/>
                <w:b/>
                <w:bCs/>
              </w:rPr>
            </w:pPr>
            <w:sdt>
              <w:sdtPr>
                <w:rPr>
                  <w:b/>
                  <w:bCs/>
                  <w:sz w:val="32"/>
                  <w:szCs w:val="32"/>
                </w:rPr>
                <w:id w:val="1872651774"/>
                <w14:checkbox>
                  <w14:checked w14:val="0"/>
                  <w14:checkedState w14:val="2612" w14:font="MS Gothic"/>
                  <w14:uncheckedState w14:val="2610" w14:font="MS Gothic"/>
                </w14:checkbox>
              </w:sdtPr>
              <w:sdtEndPr/>
              <w:sdtContent>
                <w:r w:rsidR="005D57C7" w:rsidRPr="00EE2D9E">
                  <w:rPr>
                    <w:rFonts w:ascii="MS Gothic" w:eastAsia="MS Gothic" w:hAnsi="MS Gothic" w:hint="eastAsia"/>
                    <w:b/>
                    <w:bCs/>
                    <w:sz w:val="32"/>
                    <w:szCs w:val="32"/>
                  </w:rPr>
                  <w:t>☐</w:t>
                </w:r>
              </w:sdtContent>
            </w:sdt>
          </w:p>
        </w:tc>
        <w:tc>
          <w:tcPr>
            <w:tcW w:w="4059" w:type="pct"/>
          </w:tcPr>
          <w:p w14:paraId="5914F88F" w14:textId="77777777" w:rsidR="005D57C7" w:rsidRPr="002F48E7" w:rsidRDefault="005D57C7" w:rsidP="001B7482">
            <w:pPr>
              <w:pStyle w:val="ListParagraph"/>
              <w:numPr>
                <w:ilvl w:val="0"/>
                <w:numId w:val="82"/>
              </w:numPr>
              <w:ind w:left="502"/>
              <w:rPr>
                <w:b/>
                <w:bCs/>
                <w:color w:val="5F5F5F" w:themeColor="text2"/>
              </w:rPr>
            </w:pPr>
            <w:r w:rsidRPr="00996099">
              <w:rPr>
                <w:color w:val="142147" w:themeColor="accent1"/>
                <w:sz w:val="20"/>
                <w:szCs w:val="20"/>
              </w:rPr>
              <w:t>Provide a description of the primary drivers of the gap between ETR and the weighted average statutory rate.</w:t>
            </w:r>
          </w:p>
        </w:tc>
      </w:tr>
    </w:tbl>
    <w:p w14:paraId="03EB00B6" w14:textId="77777777" w:rsidR="005D57C7" w:rsidRPr="000F52A4" w:rsidRDefault="005D57C7" w:rsidP="000F52A4">
      <w:pPr>
        <w:pStyle w:val="Heading4"/>
      </w:pPr>
      <w:r w:rsidRPr="000F52A4">
        <w:t>A reconciliation to ATO Corporate Tax Transparency Disclosures</w:t>
      </w:r>
    </w:p>
    <w:tbl>
      <w:tblPr>
        <w:tblStyle w:val="TableGrid"/>
        <w:tblW w:w="5000" w:type="pct"/>
        <w:tblLook w:val="0420" w:firstRow="1" w:lastRow="0" w:firstColumn="0" w:lastColumn="0" w:noHBand="0" w:noVBand="1"/>
      </w:tblPr>
      <w:tblGrid>
        <w:gridCol w:w="1813"/>
        <w:gridCol w:w="7818"/>
      </w:tblGrid>
      <w:tr w:rsidR="005D57C7" w14:paraId="6221ACEF" w14:textId="77777777" w:rsidTr="000F52A4">
        <w:trPr>
          <w:tblHeader/>
        </w:trPr>
        <w:tc>
          <w:tcPr>
            <w:tcW w:w="941" w:type="pct"/>
            <w:shd w:val="clear" w:color="auto" w:fill="701F4D" w:themeFill="accent2"/>
          </w:tcPr>
          <w:p w14:paraId="6986F70B" w14:textId="77777777" w:rsidR="005D57C7" w:rsidRPr="002F48E7" w:rsidRDefault="005D57C7"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79C05249" w14:textId="77777777" w:rsidR="005D57C7" w:rsidRPr="002F48E7" w:rsidRDefault="005D57C7"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5D57C7" w14:paraId="3C9E2DCC" w14:textId="77777777" w:rsidTr="00964A52">
        <w:tc>
          <w:tcPr>
            <w:tcW w:w="941" w:type="pct"/>
          </w:tcPr>
          <w:p w14:paraId="40F434C0" w14:textId="77777777" w:rsidR="005D57C7" w:rsidRDefault="000D5C07" w:rsidP="00964A52">
            <w:pPr>
              <w:jc w:val="center"/>
              <w:rPr>
                <w:rFonts w:ascii="MS Gothic" w:eastAsia="MS Gothic" w:hAnsi="MS Gothic"/>
                <w:b/>
                <w:bCs/>
              </w:rPr>
            </w:pPr>
            <w:sdt>
              <w:sdtPr>
                <w:rPr>
                  <w:b/>
                  <w:bCs/>
                  <w:sz w:val="32"/>
                  <w:szCs w:val="32"/>
                </w:rPr>
                <w:id w:val="1033387887"/>
                <w14:checkbox>
                  <w14:checked w14:val="0"/>
                  <w14:checkedState w14:val="2612" w14:font="MS Gothic"/>
                  <w14:uncheckedState w14:val="2610" w14:font="MS Gothic"/>
                </w14:checkbox>
              </w:sdtPr>
              <w:sdtEndPr/>
              <w:sdtContent>
                <w:r w:rsidR="005D57C7" w:rsidRPr="00EE2D9E">
                  <w:rPr>
                    <w:rFonts w:ascii="MS Gothic" w:eastAsia="MS Gothic" w:hAnsi="MS Gothic" w:hint="eastAsia"/>
                    <w:b/>
                    <w:bCs/>
                    <w:sz w:val="32"/>
                    <w:szCs w:val="32"/>
                  </w:rPr>
                  <w:t>☐</w:t>
                </w:r>
              </w:sdtContent>
            </w:sdt>
          </w:p>
        </w:tc>
        <w:tc>
          <w:tcPr>
            <w:tcW w:w="4059" w:type="pct"/>
          </w:tcPr>
          <w:p w14:paraId="7398811D" w14:textId="77777777" w:rsidR="005D57C7" w:rsidRPr="002F48E7" w:rsidRDefault="005D57C7" w:rsidP="00D9211C">
            <w:pPr>
              <w:pStyle w:val="ListParagraph"/>
              <w:numPr>
                <w:ilvl w:val="0"/>
                <w:numId w:val="77"/>
              </w:numPr>
              <w:ind w:left="426" w:hanging="284"/>
              <w:rPr>
                <w:b/>
                <w:bCs/>
                <w:color w:val="5F5F5F" w:themeColor="text2"/>
              </w:rPr>
            </w:pPr>
            <w:r w:rsidRPr="00996099">
              <w:rPr>
                <w:color w:val="142147" w:themeColor="accent1"/>
                <w:sz w:val="20"/>
                <w:szCs w:val="20"/>
              </w:rPr>
              <w:t>For entities that are subject to the ATO Corporate Tax Transparency Disclosures, provide a reconciliation or a qualitative narrative of any material differences in the data published by the ATO against the data in the VTTC for the same period.</w:t>
            </w:r>
          </w:p>
        </w:tc>
      </w:tr>
    </w:tbl>
    <w:p w14:paraId="5B974EBA" w14:textId="427126C3" w:rsidR="005D57C7" w:rsidRPr="006C10B5" w:rsidRDefault="005D57C7" w:rsidP="006C10B5">
      <w:pPr>
        <w:pStyle w:val="Heading3"/>
      </w:pPr>
      <w:r w:rsidRPr="006C10B5">
        <w:t>Overall approach to tax</w:t>
      </w:r>
    </w:p>
    <w:p w14:paraId="56B424B0" w14:textId="77777777" w:rsidR="005D57C7" w:rsidRPr="006C10B5" w:rsidRDefault="005D57C7" w:rsidP="006C10B5">
      <w:pPr>
        <w:pStyle w:val="Heading4"/>
      </w:pPr>
      <w:r w:rsidRPr="006C10B5">
        <w:t>Approach to tax</w:t>
      </w:r>
    </w:p>
    <w:tbl>
      <w:tblPr>
        <w:tblStyle w:val="TableGrid"/>
        <w:tblW w:w="5000" w:type="pct"/>
        <w:tblLook w:val="0420" w:firstRow="1" w:lastRow="0" w:firstColumn="0" w:lastColumn="0" w:noHBand="0" w:noVBand="1"/>
      </w:tblPr>
      <w:tblGrid>
        <w:gridCol w:w="1813"/>
        <w:gridCol w:w="7818"/>
      </w:tblGrid>
      <w:tr w:rsidR="005D57C7" w14:paraId="7BEF8A3C" w14:textId="77777777" w:rsidTr="006C10B5">
        <w:tc>
          <w:tcPr>
            <w:tcW w:w="941" w:type="pct"/>
            <w:shd w:val="clear" w:color="auto" w:fill="701F4D" w:themeFill="accent2"/>
          </w:tcPr>
          <w:p w14:paraId="57F05C16" w14:textId="77777777" w:rsidR="005D57C7" w:rsidRPr="002F48E7" w:rsidRDefault="005D57C7"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3B09A444" w14:textId="77777777" w:rsidR="005D57C7" w:rsidRPr="002F48E7" w:rsidRDefault="005D57C7"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5D57C7" w14:paraId="40A11812" w14:textId="77777777" w:rsidTr="00964A52">
        <w:tc>
          <w:tcPr>
            <w:tcW w:w="941" w:type="pct"/>
          </w:tcPr>
          <w:p w14:paraId="2F970F37" w14:textId="77777777" w:rsidR="005D57C7" w:rsidRPr="00996099" w:rsidRDefault="005D57C7" w:rsidP="00964A52">
            <w:pPr>
              <w:jc w:val="center"/>
              <w:rPr>
                <w:color w:val="142147" w:themeColor="accent1"/>
                <w:sz w:val="20"/>
                <w:szCs w:val="20"/>
              </w:rPr>
            </w:pPr>
            <w:r w:rsidRPr="00996099">
              <w:rPr>
                <w:color w:val="142147" w:themeColor="accent1"/>
                <w:sz w:val="20"/>
                <w:szCs w:val="20"/>
              </w:rPr>
              <w:t>Required</w:t>
            </w:r>
          </w:p>
          <w:p w14:paraId="512F8EB7" w14:textId="77777777" w:rsidR="005D57C7" w:rsidRPr="0035332F" w:rsidRDefault="000D5C07" w:rsidP="00964A52">
            <w:pPr>
              <w:jc w:val="center"/>
              <w:rPr>
                <w:b/>
                <w:bCs/>
              </w:rPr>
            </w:pPr>
            <w:sdt>
              <w:sdtPr>
                <w:rPr>
                  <w:b/>
                  <w:bCs/>
                  <w:sz w:val="32"/>
                  <w:szCs w:val="32"/>
                </w:rPr>
                <w:alias w:val="Checkbox"/>
                <w:tag w:val="Checkbox"/>
                <w:id w:val="1038244126"/>
                <w14:checkbox>
                  <w14:checked w14:val="0"/>
                  <w14:checkedState w14:val="2612" w14:font="MS Gothic"/>
                  <w14:uncheckedState w14:val="2610" w14:font="MS Gothic"/>
                </w14:checkbox>
              </w:sdtPr>
              <w:sdtEndPr/>
              <w:sdtContent>
                <w:r w:rsidR="005D57C7">
                  <w:rPr>
                    <w:rFonts w:ascii="MS Gothic" w:eastAsia="MS Gothic" w:hAnsi="MS Gothic" w:hint="eastAsia"/>
                    <w:b/>
                    <w:bCs/>
                    <w:sz w:val="32"/>
                    <w:szCs w:val="32"/>
                  </w:rPr>
                  <w:t>☐</w:t>
                </w:r>
              </w:sdtContent>
            </w:sdt>
          </w:p>
        </w:tc>
        <w:tc>
          <w:tcPr>
            <w:tcW w:w="4059" w:type="pct"/>
          </w:tcPr>
          <w:p w14:paraId="2882E53D" w14:textId="41690A31" w:rsidR="005D57C7" w:rsidRPr="002F48E7" w:rsidRDefault="005D57C7" w:rsidP="00D9211C">
            <w:pPr>
              <w:pStyle w:val="Bullet"/>
              <w:numPr>
                <w:ilvl w:val="2"/>
                <w:numId w:val="45"/>
              </w:numPr>
              <w:tabs>
                <w:tab w:val="clear" w:pos="567"/>
              </w:tabs>
              <w:contextualSpacing/>
              <w:rPr>
                <w:color w:val="5F5F5F" w:themeColor="text2"/>
              </w:rPr>
            </w:pPr>
            <w:r w:rsidRPr="00996099">
              <w:rPr>
                <w:b/>
                <w:bCs/>
                <w:color w:val="142147" w:themeColor="accent1"/>
                <w:sz w:val="20"/>
                <w:szCs w:val="20"/>
              </w:rPr>
              <w:t>Entities should provide a statement confirming that they report on ‘approach t</w:t>
            </w:r>
            <w:r w:rsidR="00011644">
              <w:rPr>
                <w:b/>
                <w:bCs/>
                <w:color w:val="142147" w:themeColor="accent1"/>
                <w:sz w:val="20"/>
                <w:szCs w:val="20"/>
              </w:rPr>
              <w:t xml:space="preserve">o </w:t>
            </w:r>
            <w:r w:rsidRPr="00996099">
              <w:rPr>
                <w:b/>
                <w:bCs/>
                <w:color w:val="142147" w:themeColor="accent1"/>
                <w:sz w:val="20"/>
                <w:szCs w:val="20"/>
              </w:rPr>
              <w:t xml:space="preserve">tax’, consistent with the GRI 207-1 requirements, in their public </w:t>
            </w:r>
            <w:proofErr w:type="spellStart"/>
            <w:r w:rsidRPr="00996099">
              <w:rPr>
                <w:b/>
                <w:bCs/>
                <w:color w:val="142147" w:themeColor="accent1"/>
                <w:sz w:val="20"/>
                <w:szCs w:val="20"/>
              </w:rPr>
              <w:t>CbC</w:t>
            </w:r>
            <w:proofErr w:type="spellEnd"/>
            <w:r w:rsidRPr="00996099">
              <w:rPr>
                <w:b/>
                <w:bCs/>
                <w:color w:val="142147" w:themeColor="accent1"/>
                <w:sz w:val="20"/>
                <w:szCs w:val="20"/>
              </w:rPr>
              <w:t xml:space="preserve"> report.</w:t>
            </w:r>
          </w:p>
        </w:tc>
      </w:tr>
    </w:tbl>
    <w:p w14:paraId="54EAE154" w14:textId="77777777" w:rsidR="005D57C7" w:rsidRPr="006C10B5" w:rsidRDefault="005D57C7" w:rsidP="006C10B5">
      <w:pPr>
        <w:pStyle w:val="Heading4"/>
      </w:pPr>
      <w:r w:rsidRPr="006C10B5">
        <w:lastRenderedPageBreak/>
        <w:t>Tax governance, control, and risk management</w:t>
      </w:r>
    </w:p>
    <w:tbl>
      <w:tblPr>
        <w:tblStyle w:val="TableGrid"/>
        <w:tblW w:w="5000" w:type="pct"/>
        <w:tblLook w:val="0420" w:firstRow="1" w:lastRow="0" w:firstColumn="0" w:lastColumn="0" w:noHBand="0" w:noVBand="1"/>
      </w:tblPr>
      <w:tblGrid>
        <w:gridCol w:w="1813"/>
        <w:gridCol w:w="7818"/>
      </w:tblGrid>
      <w:tr w:rsidR="005D57C7" w14:paraId="6722E886" w14:textId="77777777" w:rsidTr="006C10B5">
        <w:trPr>
          <w:tblHeader/>
        </w:trPr>
        <w:tc>
          <w:tcPr>
            <w:tcW w:w="941" w:type="pct"/>
            <w:shd w:val="clear" w:color="auto" w:fill="701F4D" w:themeFill="accent2"/>
          </w:tcPr>
          <w:p w14:paraId="51D348A1" w14:textId="77777777" w:rsidR="005D57C7" w:rsidRPr="002F48E7" w:rsidRDefault="005D57C7" w:rsidP="00F878E2">
            <w:pPr>
              <w:keepNext/>
              <w:keepLines/>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31961EA8" w14:textId="77777777" w:rsidR="005D57C7" w:rsidRPr="002F48E7" w:rsidRDefault="005D57C7" w:rsidP="00F878E2">
            <w:pPr>
              <w:keepNext/>
              <w:keepLines/>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5D57C7" w14:paraId="3BD93F29" w14:textId="77777777" w:rsidTr="00964A52">
        <w:tc>
          <w:tcPr>
            <w:tcW w:w="941" w:type="pct"/>
          </w:tcPr>
          <w:p w14:paraId="413F402F" w14:textId="77777777" w:rsidR="005D57C7" w:rsidRPr="00EE2D9E" w:rsidRDefault="000D5C07" w:rsidP="00F878E2">
            <w:pPr>
              <w:keepNext/>
              <w:keepLines/>
              <w:jc w:val="center"/>
              <w:rPr>
                <w:rFonts w:ascii="MS Gothic" w:eastAsia="MS Gothic" w:hAnsi="MS Gothic"/>
                <w:b/>
                <w:bCs/>
                <w:sz w:val="32"/>
                <w:szCs w:val="32"/>
              </w:rPr>
            </w:pPr>
            <w:sdt>
              <w:sdtPr>
                <w:rPr>
                  <w:b/>
                  <w:bCs/>
                  <w:sz w:val="32"/>
                  <w:szCs w:val="32"/>
                </w:rPr>
                <w:id w:val="871735045"/>
                <w14:checkbox>
                  <w14:checked w14:val="0"/>
                  <w14:checkedState w14:val="2612" w14:font="MS Gothic"/>
                  <w14:uncheckedState w14:val="2610" w14:font="MS Gothic"/>
                </w14:checkbox>
              </w:sdtPr>
              <w:sdtEndPr/>
              <w:sdtContent>
                <w:r w:rsidR="005D57C7" w:rsidRPr="00EE2D9E">
                  <w:rPr>
                    <w:rFonts w:ascii="MS Gothic" w:eastAsia="MS Gothic" w:hAnsi="MS Gothic" w:hint="eastAsia"/>
                    <w:b/>
                    <w:bCs/>
                    <w:sz w:val="32"/>
                    <w:szCs w:val="32"/>
                  </w:rPr>
                  <w:t>☐</w:t>
                </w:r>
              </w:sdtContent>
            </w:sdt>
          </w:p>
        </w:tc>
        <w:tc>
          <w:tcPr>
            <w:tcW w:w="4059" w:type="pct"/>
          </w:tcPr>
          <w:p w14:paraId="328E2D4E" w14:textId="77777777" w:rsidR="005D57C7" w:rsidRPr="00996099" w:rsidRDefault="005D57C7" w:rsidP="00F878E2">
            <w:pPr>
              <w:keepNext/>
              <w:keepLines/>
              <w:numPr>
                <w:ilvl w:val="7"/>
                <w:numId w:val="28"/>
              </w:numPr>
              <w:rPr>
                <w:color w:val="142147" w:themeColor="accent1"/>
                <w:sz w:val="20"/>
                <w:szCs w:val="20"/>
              </w:rPr>
            </w:pPr>
            <w:r w:rsidRPr="00996099">
              <w:rPr>
                <w:color w:val="142147" w:themeColor="accent1"/>
                <w:sz w:val="20"/>
                <w:szCs w:val="20"/>
              </w:rPr>
              <w:t xml:space="preserve">Provide a description of the tax governance, control and risk management framework including: </w:t>
            </w:r>
          </w:p>
          <w:p w14:paraId="136CE833" w14:textId="7E038E51" w:rsidR="005D57C7" w:rsidRPr="00996099" w:rsidRDefault="005D57C7" w:rsidP="00F878E2">
            <w:pPr>
              <w:keepNext/>
              <w:keepLines/>
              <w:numPr>
                <w:ilvl w:val="0"/>
                <w:numId w:val="26"/>
              </w:numPr>
              <w:rPr>
                <w:color w:val="142147" w:themeColor="accent1"/>
                <w:sz w:val="20"/>
                <w:szCs w:val="20"/>
              </w:rPr>
            </w:pPr>
            <w:r w:rsidRPr="00996099">
              <w:rPr>
                <w:color w:val="142147" w:themeColor="accent1"/>
                <w:sz w:val="20"/>
                <w:szCs w:val="20"/>
              </w:rPr>
              <w:t>the governance body or executive-level position within the organisation accountable for compliance with the tax strategy</w:t>
            </w:r>
            <w:r w:rsidR="007E6445">
              <w:rPr>
                <w:color w:val="142147" w:themeColor="accent1"/>
                <w:sz w:val="20"/>
                <w:szCs w:val="20"/>
              </w:rPr>
              <w:t>.</w:t>
            </w:r>
          </w:p>
          <w:p w14:paraId="54149E5B" w14:textId="77A28D15" w:rsidR="005D57C7" w:rsidRPr="00996099" w:rsidRDefault="005D57C7" w:rsidP="00F878E2">
            <w:pPr>
              <w:keepNext/>
              <w:keepLines/>
              <w:numPr>
                <w:ilvl w:val="0"/>
                <w:numId w:val="26"/>
              </w:numPr>
              <w:rPr>
                <w:color w:val="142147" w:themeColor="accent1"/>
                <w:sz w:val="20"/>
                <w:szCs w:val="20"/>
              </w:rPr>
            </w:pPr>
            <w:r w:rsidRPr="00996099">
              <w:rPr>
                <w:color w:val="142147" w:themeColor="accent1"/>
                <w:sz w:val="20"/>
                <w:szCs w:val="20"/>
              </w:rPr>
              <w:t>how the entity’s approach to tax is communicated and embedded in the organisation</w:t>
            </w:r>
            <w:r w:rsidR="007E6445">
              <w:rPr>
                <w:color w:val="142147" w:themeColor="accent1"/>
                <w:sz w:val="20"/>
                <w:szCs w:val="20"/>
              </w:rPr>
              <w:t>.</w:t>
            </w:r>
          </w:p>
          <w:p w14:paraId="360BDAE2" w14:textId="38E97EF5" w:rsidR="005D57C7" w:rsidRPr="00996099" w:rsidRDefault="005D57C7" w:rsidP="00F878E2">
            <w:pPr>
              <w:keepNext/>
              <w:keepLines/>
              <w:numPr>
                <w:ilvl w:val="0"/>
                <w:numId w:val="26"/>
              </w:numPr>
              <w:rPr>
                <w:b/>
                <w:bCs/>
                <w:color w:val="142147" w:themeColor="accent1"/>
                <w:sz w:val="20"/>
                <w:szCs w:val="20"/>
              </w:rPr>
            </w:pPr>
            <w:r w:rsidRPr="00996099">
              <w:rPr>
                <w:color w:val="142147" w:themeColor="accent1"/>
                <w:sz w:val="20"/>
                <w:szCs w:val="20"/>
              </w:rPr>
              <w:t>how tax risks are identified, managed, and monitored</w:t>
            </w:r>
            <w:r w:rsidR="007E6445">
              <w:rPr>
                <w:color w:val="142147" w:themeColor="accent1"/>
                <w:sz w:val="20"/>
                <w:szCs w:val="20"/>
              </w:rPr>
              <w:t>.</w:t>
            </w:r>
          </w:p>
          <w:p w14:paraId="7FD8D110" w14:textId="77777777" w:rsidR="005D57C7" w:rsidRPr="00996099" w:rsidRDefault="005D57C7" w:rsidP="00F878E2">
            <w:pPr>
              <w:keepNext/>
              <w:keepLines/>
              <w:numPr>
                <w:ilvl w:val="0"/>
                <w:numId w:val="26"/>
              </w:numPr>
              <w:rPr>
                <w:b/>
                <w:bCs/>
                <w:color w:val="142147" w:themeColor="accent1"/>
                <w:sz w:val="20"/>
                <w:szCs w:val="20"/>
              </w:rPr>
            </w:pPr>
            <w:r w:rsidRPr="00996099">
              <w:rPr>
                <w:color w:val="142147" w:themeColor="accent1"/>
                <w:sz w:val="20"/>
                <w:szCs w:val="20"/>
              </w:rPr>
              <w:t>how compliance with tax governance and control framework is evaluated.</w:t>
            </w:r>
          </w:p>
        </w:tc>
      </w:tr>
      <w:tr w:rsidR="005D57C7" w14:paraId="5920C8BA" w14:textId="77777777" w:rsidTr="00964A52">
        <w:tc>
          <w:tcPr>
            <w:tcW w:w="941" w:type="pct"/>
          </w:tcPr>
          <w:p w14:paraId="1858D48D" w14:textId="77777777" w:rsidR="005D57C7" w:rsidRPr="00EE2D9E" w:rsidRDefault="000D5C07" w:rsidP="00964A52">
            <w:pPr>
              <w:jc w:val="center"/>
              <w:rPr>
                <w:rFonts w:ascii="MS Gothic" w:eastAsia="MS Gothic" w:hAnsi="MS Gothic"/>
                <w:b/>
                <w:bCs/>
                <w:sz w:val="32"/>
                <w:szCs w:val="32"/>
              </w:rPr>
            </w:pPr>
            <w:sdt>
              <w:sdtPr>
                <w:rPr>
                  <w:b/>
                  <w:bCs/>
                  <w:sz w:val="32"/>
                  <w:szCs w:val="32"/>
                </w:rPr>
                <w:id w:val="1222867511"/>
                <w14:checkbox>
                  <w14:checked w14:val="0"/>
                  <w14:checkedState w14:val="2612" w14:font="MS Gothic"/>
                  <w14:uncheckedState w14:val="2610" w14:font="MS Gothic"/>
                </w14:checkbox>
              </w:sdtPr>
              <w:sdtEndPr/>
              <w:sdtContent>
                <w:r w:rsidR="005D57C7" w:rsidRPr="00EE2D9E">
                  <w:rPr>
                    <w:rFonts w:ascii="MS Gothic" w:eastAsia="MS Gothic" w:hAnsi="MS Gothic" w:hint="eastAsia"/>
                    <w:b/>
                    <w:bCs/>
                    <w:sz w:val="32"/>
                    <w:szCs w:val="32"/>
                  </w:rPr>
                  <w:t>☐</w:t>
                </w:r>
              </w:sdtContent>
            </w:sdt>
          </w:p>
        </w:tc>
        <w:tc>
          <w:tcPr>
            <w:tcW w:w="4059" w:type="pct"/>
          </w:tcPr>
          <w:p w14:paraId="22DED1BB" w14:textId="77777777" w:rsidR="005D57C7" w:rsidRPr="00996099" w:rsidRDefault="005D57C7" w:rsidP="00D9211C">
            <w:pPr>
              <w:numPr>
                <w:ilvl w:val="7"/>
                <w:numId w:val="28"/>
              </w:numPr>
              <w:rPr>
                <w:color w:val="142147" w:themeColor="accent1"/>
                <w:sz w:val="20"/>
                <w:szCs w:val="20"/>
              </w:rPr>
            </w:pPr>
            <w:r w:rsidRPr="00996099">
              <w:rPr>
                <w:color w:val="142147" w:themeColor="accent1"/>
                <w:sz w:val="20"/>
                <w:szCs w:val="20"/>
              </w:rPr>
              <w:t>Provide a description of the mechanisms to raise concerns about the entity’s conduct and integrity in relation to tax.</w:t>
            </w:r>
          </w:p>
        </w:tc>
      </w:tr>
      <w:tr w:rsidR="005D57C7" w14:paraId="10E50085" w14:textId="77777777" w:rsidTr="00964A52">
        <w:tc>
          <w:tcPr>
            <w:tcW w:w="941" w:type="pct"/>
          </w:tcPr>
          <w:p w14:paraId="59C16095" w14:textId="77777777" w:rsidR="005D57C7" w:rsidRPr="00EE2D9E" w:rsidRDefault="000D5C07" w:rsidP="00964A52">
            <w:pPr>
              <w:jc w:val="center"/>
              <w:rPr>
                <w:rFonts w:ascii="MS Gothic" w:eastAsia="MS Gothic" w:hAnsi="MS Gothic"/>
                <w:b/>
                <w:bCs/>
                <w:sz w:val="32"/>
                <w:szCs w:val="32"/>
              </w:rPr>
            </w:pPr>
            <w:sdt>
              <w:sdtPr>
                <w:rPr>
                  <w:b/>
                  <w:bCs/>
                  <w:sz w:val="32"/>
                  <w:szCs w:val="32"/>
                </w:rPr>
                <w:id w:val="1488743934"/>
                <w14:checkbox>
                  <w14:checked w14:val="0"/>
                  <w14:checkedState w14:val="2612" w14:font="MS Gothic"/>
                  <w14:uncheckedState w14:val="2610" w14:font="MS Gothic"/>
                </w14:checkbox>
              </w:sdtPr>
              <w:sdtEndPr/>
              <w:sdtContent>
                <w:r w:rsidR="005D57C7" w:rsidRPr="00EE2D9E">
                  <w:rPr>
                    <w:rFonts w:ascii="MS Gothic" w:eastAsia="MS Gothic" w:hAnsi="MS Gothic" w:hint="eastAsia"/>
                    <w:b/>
                    <w:bCs/>
                    <w:sz w:val="32"/>
                    <w:szCs w:val="32"/>
                  </w:rPr>
                  <w:t>☐</w:t>
                </w:r>
              </w:sdtContent>
            </w:sdt>
          </w:p>
        </w:tc>
        <w:tc>
          <w:tcPr>
            <w:tcW w:w="4059" w:type="pct"/>
          </w:tcPr>
          <w:p w14:paraId="6AA32C3D" w14:textId="77777777" w:rsidR="005D57C7" w:rsidRPr="00996099" w:rsidRDefault="005D57C7" w:rsidP="00D9211C">
            <w:pPr>
              <w:numPr>
                <w:ilvl w:val="7"/>
                <w:numId w:val="28"/>
              </w:numPr>
              <w:rPr>
                <w:color w:val="142147" w:themeColor="accent1"/>
                <w:sz w:val="20"/>
                <w:szCs w:val="20"/>
              </w:rPr>
            </w:pPr>
            <w:r w:rsidRPr="00996099">
              <w:rPr>
                <w:color w:val="142147" w:themeColor="accent1"/>
                <w:sz w:val="20"/>
                <w:szCs w:val="20"/>
              </w:rPr>
              <w:t>Provide a description of the assurance process for disclosures on tax.</w:t>
            </w:r>
          </w:p>
        </w:tc>
      </w:tr>
    </w:tbl>
    <w:p w14:paraId="496FA467" w14:textId="43645CE6" w:rsidR="00193839" w:rsidRPr="006C10B5" w:rsidRDefault="00193839" w:rsidP="00193839">
      <w:pPr>
        <w:pStyle w:val="Heading4"/>
      </w:pPr>
      <w:r>
        <w:t>Stakeholder engagement and management of concerns related to tax</w:t>
      </w:r>
    </w:p>
    <w:tbl>
      <w:tblPr>
        <w:tblStyle w:val="TableGrid"/>
        <w:tblW w:w="5000" w:type="pct"/>
        <w:tblLook w:val="0420" w:firstRow="1" w:lastRow="0" w:firstColumn="0" w:lastColumn="0" w:noHBand="0" w:noVBand="1"/>
      </w:tblPr>
      <w:tblGrid>
        <w:gridCol w:w="1813"/>
        <w:gridCol w:w="7818"/>
      </w:tblGrid>
      <w:tr w:rsidR="00193839" w14:paraId="07DDABF2" w14:textId="77777777" w:rsidTr="00964A52">
        <w:trPr>
          <w:tblHeader/>
        </w:trPr>
        <w:tc>
          <w:tcPr>
            <w:tcW w:w="941" w:type="pct"/>
            <w:shd w:val="clear" w:color="auto" w:fill="701F4D" w:themeFill="accent2"/>
          </w:tcPr>
          <w:p w14:paraId="5B02D4DD" w14:textId="77777777" w:rsidR="00193839" w:rsidRPr="002F48E7" w:rsidRDefault="00193839"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16AD0D23" w14:textId="77777777" w:rsidR="00193839" w:rsidRPr="002F48E7" w:rsidRDefault="00193839"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193839" w14:paraId="471018A8" w14:textId="77777777" w:rsidTr="00964A52">
        <w:tc>
          <w:tcPr>
            <w:tcW w:w="941" w:type="pct"/>
          </w:tcPr>
          <w:p w14:paraId="5E1A072E" w14:textId="77777777" w:rsidR="00193839" w:rsidRPr="00EE2D9E" w:rsidRDefault="000D5C07" w:rsidP="00964A52">
            <w:pPr>
              <w:jc w:val="center"/>
              <w:rPr>
                <w:rFonts w:ascii="MS Gothic" w:eastAsia="MS Gothic" w:hAnsi="MS Gothic"/>
                <w:b/>
                <w:bCs/>
                <w:sz w:val="32"/>
                <w:szCs w:val="32"/>
              </w:rPr>
            </w:pPr>
            <w:sdt>
              <w:sdtPr>
                <w:rPr>
                  <w:b/>
                  <w:bCs/>
                  <w:sz w:val="32"/>
                  <w:szCs w:val="32"/>
                </w:rPr>
                <w:id w:val="-1217575273"/>
                <w14:checkbox>
                  <w14:checked w14:val="0"/>
                  <w14:checkedState w14:val="2612" w14:font="MS Gothic"/>
                  <w14:uncheckedState w14:val="2610" w14:font="MS Gothic"/>
                </w14:checkbox>
              </w:sdtPr>
              <w:sdtEndPr/>
              <w:sdtContent>
                <w:r w:rsidR="00193839" w:rsidRPr="00EE2D9E">
                  <w:rPr>
                    <w:rFonts w:ascii="MS Gothic" w:eastAsia="MS Gothic" w:hAnsi="MS Gothic" w:hint="eastAsia"/>
                    <w:b/>
                    <w:bCs/>
                    <w:sz w:val="32"/>
                    <w:szCs w:val="32"/>
                  </w:rPr>
                  <w:t>☐</w:t>
                </w:r>
              </w:sdtContent>
            </w:sdt>
          </w:p>
        </w:tc>
        <w:tc>
          <w:tcPr>
            <w:tcW w:w="4059" w:type="pct"/>
          </w:tcPr>
          <w:p w14:paraId="27924641" w14:textId="3D174351" w:rsidR="00193839" w:rsidRPr="00996099" w:rsidRDefault="00193839" w:rsidP="00D9211C">
            <w:pPr>
              <w:numPr>
                <w:ilvl w:val="7"/>
                <w:numId w:val="69"/>
              </w:numPr>
              <w:rPr>
                <w:color w:val="142147" w:themeColor="accent1"/>
                <w:sz w:val="20"/>
                <w:szCs w:val="20"/>
              </w:rPr>
            </w:pPr>
            <w:r w:rsidRPr="00996099">
              <w:rPr>
                <w:color w:val="142147" w:themeColor="accent1"/>
                <w:sz w:val="20"/>
                <w:szCs w:val="20"/>
              </w:rPr>
              <w:t xml:space="preserve">Provide a description of </w:t>
            </w:r>
            <w:r w:rsidR="001627D0" w:rsidRPr="00996099">
              <w:rPr>
                <w:color w:val="142147" w:themeColor="accent1"/>
                <w:sz w:val="20"/>
                <w:szCs w:val="20"/>
              </w:rPr>
              <w:t>its approach to engagement with the ATO. This may include</w:t>
            </w:r>
            <w:r w:rsidRPr="00996099">
              <w:rPr>
                <w:color w:val="142147" w:themeColor="accent1"/>
                <w:sz w:val="20"/>
                <w:szCs w:val="20"/>
              </w:rPr>
              <w:t xml:space="preserve">: </w:t>
            </w:r>
          </w:p>
          <w:p w14:paraId="319DFD96" w14:textId="3C0195A2" w:rsidR="00193839" w:rsidRPr="00996099" w:rsidRDefault="00193839" w:rsidP="00D9211C">
            <w:pPr>
              <w:numPr>
                <w:ilvl w:val="0"/>
                <w:numId w:val="70"/>
              </w:numPr>
              <w:rPr>
                <w:color w:val="142147" w:themeColor="accent1"/>
                <w:sz w:val="20"/>
                <w:szCs w:val="20"/>
              </w:rPr>
            </w:pPr>
            <w:r w:rsidRPr="00996099">
              <w:rPr>
                <w:color w:val="142147" w:themeColor="accent1"/>
                <w:sz w:val="20"/>
                <w:szCs w:val="20"/>
              </w:rPr>
              <w:t xml:space="preserve">the </w:t>
            </w:r>
            <w:r w:rsidR="00270188" w:rsidRPr="00996099">
              <w:rPr>
                <w:color w:val="142147" w:themeColor="accent1"/>
                <w:sz w:val="20"/>
                <w:szCs w:val="20"/>
              </w:rPr>
              <w:t>assurance regimes the entity is subject to, including any outcomes from assurance regimes, for example, internal audit, external audit, Advance Pricing Arrangements (APAs), Annual Compliance Arrangement (ACA), Justified Trust reviews and ATO pre-lodgement compliance reviews</w:t>
            </w:r>
            <w:r w:rsidR="007E6445">
              <w:rPr>
                <w:color w:val="142147" w:themeColor="accent1"/>
                <w:sz w:val="20"/>
                <w:szCs w:val="20"/>
              </w:rPr>
              <w:t>.</w:t>
            </w:r>
          </w:p>
          <w:p w14:paraId="15163265" w14:textId="1784C92B" w:rsidR="00193839" w:rsidRPr="00996099" w:rsidRDefault="001627D0" w:rsidP="00D9211C">
            <w:pPr>
              <w:numPr>
                <w:ilvl w:val="0"/>
                <w:numId w:val="70"/>
              </w:numPr>
              <w:rPr>
                <w:color w:val="142147" w:themeColor="accent1"/>
                <w:sz w:val="20"/>
                <w:szCs w:val="20"/>
              </w:rPr>
            </w:pPr>
            <w:r w:rsidRPr="00996099">
              <w:rPr>
                <w:color w:val="142147" w:themeColor="accent1"/>
                <w:sz w:val="20"/>
                <w:szCs w:val="20"/>
              </w:rPr>
              <w:t xml:space="preserve">engagement </w:t>
            </w:r>
            <w:r w:rsidR="00F17C29" w:rsidRPr="00996099">
              <w:rPr>
                <w:color w:val="142147" w:themeColor="accent1"/>
                <w:sz w:val="20"/>
                <w:szCs w:val="20"/>
              </w:rPr>
              <w:t>on tax risks including private binding rulings obtained, cooperative compliance agreements, seeking active real-time audit, seeking clearance for significant transactions and APAs sought</w:t>
            </w:r>
            <w:r w:rsidR="007E6445">
              <w:rPr>
                <w:color w:val="142147" w:themeColor="accent1"/>
                <w:sz w:val="20"/>
                <w:szCs w:val="20"/>
              </w:rPr>
              <w:t>.</w:t>
            </w:r>
          </w:p>
          <w:p w14:paraId="0F980A70" w14:textId="27D6E069" w:rsidR="00193839" w:rsidRPr="00996099" w:rsidRDefault="00BC344B" w:rsidP="00D9211C">
            <w:pPr>
              <w:numPr>
                <w:ilvl w:val="0"/>
                <w:numId w:val="70"/>
              </w:numPr>
              <w:rPr>
                <w:b/>
                <w:bCs/>
                <w:color w:val="142147" w:themeColor="accent1"/>
                <w:sz w:val="20"/>
                <w:szCs w:val="20"/>
              </w:rPr>
            </w:pPr>
            <w:r w:rsidRPr="00996099">
              <w:rPr>
                <w:color w:val="142147" w:themeColor="accent1"/>
                <w:sz w:val="20"/>
                <w:szCs w:val="20"/>
              </w:rPr>
              <w:t xml:space="preserve">the </w:t>
            </w:r>
            <w:r w:rsidR="00205175" w:rsidRPr="00996099">
              <w:rPr>
                <w:color w:val="142147" w:themeColor="accent1"/>
                <w:sz w:val="20"/>
                <w:szCs w:val="20"/>
              </w:rPr>
              <w:t>outcome of ATO compliance activities, for example, a ‘risk rating’ or the outcome of a streamlined risk review</w:t>
            </w:r>
            <w:r w:rsidR="007E6445">
              <w:rPr>
                <w:color w:val="142147" w:themeColor="accent1"/>
                <w:sz w:val="20"/>
                <w:szCs w:val="20"/>
              </w:rPr>
              <w:t>.</w:t>
            </w:r>
          </w:p>
          <w:p w14:paraId="56D51193" w14:textId="5E82E4E5" w:rsidR="00193839" w:rsidRPr="00285288" w:rsidRDefault="00BC344B" w:rsidP="00D9211C">
            <w:pPr>
              <w:numPr>
                <w:ilvl w:val="0"/>
                <w:numId w:val="70"/>
              </w:numPr>
              <w:rPr>
                <w:b/>
                <w:bCs/>
                <w:color w:val="5F5F5F" w:themeColor="text2"/>
              </w:rPr>
            </w:pPr>
            <w:r w:rsidRPr="00996099">
              <w:rPr>
                <w:color w:val="142147" w:themeColor="accent1"/>
                <w:sz w:val="20"/>
                <w:szCs w:val="20"/>
              </w:rPr>
              <w:t>any</w:t>
            </w:r>
            <w:r w:rsidR="00193839" w:rsidRPr="00996099">
              <w:rPr>
                <w:color w:val="142147" w:themeColor="accent1"/>
                <w:sz w:val="20"/>
                <w:szCs w:val="20"/>
              </w:rPr>
              <w:t xml:space="preserve"> </w:t>
            </w:r>
            <w:r w:rsidR="009E114D" w:rsidRPr="00996099">
              <w:rPr>
                <w:color w:val="142147" w:themeColor="accent1"/>
                <w:sz w:val="20"/>
                <w:szCs w:val="20"/>
              </w:rPr>
              <w:t>significant ongoing or recently settled tax disputes with the ATO and/or other revenue authorities, including settlement outcomes, to the extent not already disclosed in financial statements</w:t>
            </w:r>
            <w:r w:rsidR="00193839" w:rsidRPr="00996099">
              <w:rPr>
                <w:color w:val="142147" w:themeColor="accent1"/>
                <w:sz w:val="20"/>
                <w:szCs w:val="20"/>
              </w:rPr>
              <w:t>.</w:t>
            </w:r>
          </w:p>
        </w:tc>
      </w:tr>
      <w:tr w:rsidR="00193839" w14:paraId="34277EFF" w14:textId="77777777" w:rsidTr="00964A52">
        <w:tc>
          <w:tcPr>
            <w:tcW w:w="941" w:type="pct"/>
          </w:tcPr>
          <w:p w14:paraId="4F8EC038" w14:textId="77777777" w:rsidR="00193839" w:rsidRPr="00EE2D9E" w:rsidRDefault="000D5C07" w:rsidP="00964A52">
            <w:pPr>
              <w:jc w:val="center"/>
              <w:rPr>
                <w:rFonts w:ascii="MS Gothic" w:eastAsia="MS Gothic" w:hAnsi="MS Gothic"/>
                <w:b/>
                <w:bCs/>
                <w:sz w:val="32"/>
                <w:szCs w:val="32"/>
              </w:rPr>
            </w:pPr>
            <w:sdt>
              <w:sdtPr>
                <w:rPr>
                  <w:b/>
                  <w:bCs/>
                  <w:sz w:val="32"/>
                  <w:szCs w:val="32"/>
                </w:rPr>
                <w:id w:val="1412734546"/>
                <w14:checkbox>
                  <w14:checked w14:val="0"/>
                  <w14:checkedState w14:val="2612" w14:font="MS Gothic"/>
                  <w14:uncheckedState w14:val="2610" w14:font="MS Gothic"/>
                </w14:checkbox>
              </w:sdtPr>
              <w:sdtEndPr/>
              <w:sdtContent>
                <w:r w:rsidR="00193839" w:rsidRPr="00EE2D9E">
                  <w:rPr>
                    <w:rFonts w:ascii="MS Gothic" w:eastAsia="MS Gothic" w:hAnsi="MS Gothic" w:hint="eastAsia"/>
                    <w:b/>
                    <w:bCs/>
                    <w:sz w:val="32"/>
                    <w:szCs w:val="32"/>
                  </w:rPr>
                  <w:t>☐</w:t>
                </w:r>
              </w:sdtContent>
            </w:sdt>
          </w:p>
        </w:tc>
        <w:tc>
          <w:tcPr>
            <w:tcW w:w="4059" w:type="pct"/>
          </w:tcPr>
          <w:p w14:paraId="3271005B" w14:textId="01D8A418" w:rsidR="00193839" w:rsidRPr="00996099" w:rsidRDefault="00193839" w:rsidP="00D9211C">
            <w:pPr>
              <w:numPr>
                <w:ilvl w:val="7"/>
                <w:numId w:val="69"/>
              </w:numPr>
              <w:rPr>
                <w:color w:val="142147" w:themeColor="accent1"/>
                <w:sz w:val="20"/>
                <w:szCs w:val="20"/>
              </w:rPr>
            </w:pPr>
            <w:r w:rsidRPr="00996099">
              <w:rPr>
                <w:color w:val="142147" w:themeColor="accent1"/>
                <w:sz w:val="20"/>
                <w:szCs w:val="20"/>
              </w:rPr>
              <w:t xml:space="preserve">Provide a description of </w:t>
            </w:r>
            <w:r w:rsidR="003D4DAA" w:rsidRPr="00996099">
              <w:rPr>
                <w:color w:val="142147" w:themeColor="accent1"/>
                <w:sz w:val="20"/>
                <w:szCs w:val="20"/>
              </w:rPr>
              <w:t>its approach to engagement with other tax authorities. </w:t>
            </w:r>
          </w:p>
        </w:tc>
      </w:tr>
      <w:tr w:rsidR="00193839" w14:paraId="4A7121C5" w14:textId="77777777" w:rsidTr="00964A52">
        <w:tc>
          <w:tcPr>
            <w:tcW w:w="941" w:type="pct"/>
          </w:tcPr>
          <w:p w14:paraId="6A3FD19A" w14:textId="77777777" w:rsidR="00193839" w:rsidRPr="00EE2D9E" w:rsidRDefault="000D5C07" w:rsidP="00964A52">
            <w:pPr>
              <w:jc w:val="center"/>
              <w:rPr>
                <w:rFonts w:ascii="MS Gothic" w:eastAsia="MS Gothic" w:hAnsi="MS Gothic"/>
                <w:b/>
                <w:bCs/>
                <w:sz w:val="32"/>
                <w:szCs w:val="32"/>
              </w:rPr>
            </w:pPr>
            <w:sdt>
              <w:sdtPr>
                <w:rPr>
                  <w:b/>
                  <w:bCs/>
                  <w:sz w:val="32"/>
                  <w:szCs w:val="32"/>
                </w:rPr>
                <w:id w:val="383449335"/>
                <w14:checkbox>
                  <w14:checked w14:val="0"/>
                  <w14:checkedState w14:val="2612" w14:font="MS Gothic"/>
                  <w14:uncheckedState w14:val="2610" w14:font="MS Gothic"/>
                </w14:checkbox>
              </w:sdtPr>
              <w:sdtEndPr/>
              <w:sdtContent>
                <w:r w:rsidR="00193839" w:rsidRPr="00EE2D9E">
                  <w:rPr>
                    <w:rFonts w:ascii="MS Gothic" w:eastAsia="MS Gothic" w:hAnsi="MS Gothic" w:hint="eastAsia"/>
                    <w:b/>
                    <w:bCs/>
                    <w:sz w:val="32"/>
                    <w:szCs w:val="32"/>
                  </w:rPr>
                  <w:t>☐</w:t>
                </w:r>
              </w:sdtContent>
            </w:sdt>
          </w:p>
        </w:tc>
        <w:tc>
          <w:tcPr>
            <w:tcW w:w="4059" w:type="pct"/>
          </w:tcPr>
          <w:p w14:paraId="2D590066" w14:textId="0F844ED2" w:rsidR="00193839" w:rsidRPr="00996099" w:rsidRDefault="00193839" w:rsidP="00D9211C">
            <w:pPr>
              <w:numPr>
                <w:ilvl w:val="7"/>
                <w:numId w:val="69"/>
              </w:numPr>
              <w:rPr>
                <w:color w:val="142147" w:themeColor="accent1"/>
                <w:sz w:val="20"/>
                <w:szCs w:val="20"/>
              </w:rPr>
            </w:pPr>
            <w:r w:rsidRPr="00996099">
              <w:rPr>
                <w:color w:val="142147" w:themeColor="accent1"/>
                <w:sz w:val="20"/>
                <w:szCs w:val="20"/>
              </w:rPr>
              <w:t xml:space="preserve">Provide a description of the </w:t>
            </w:r>
            <w:r w:rsidR="00346A43" w:rsidRPr="00996099">
              <w:rPr>
                <w:color w:val="142147" w:themeColor="accent1"/>
                <w:sz w:val="20"/>
                <w:szCs w:val="20"/>
              </w:rPr>
              <w:t>processes for collecting and considering the views and concerns of stakeholders, including external stakeholders.</w:t>
            </w:r>
          </w:p>
        </w:tc>
      </w:tr>
    </w:tbl>
    <w:p w14:paraId="3C5796F5" w14:textId="19F4961F" w:rsidR="00977DF6" w:rsidRPr="006C10B5" w:rsidRDefault="00977DF6" w:rsidP="00977DF6">
      <w:pPr>
        <w:pStyle w:val="Heading4"/>
      </w:pPr>
      <w:r>
        <w:lastRenderedPageBreak/>
        <w:t>International related party dealings summary</w:t>
      </w:r>
    </w:p>
    <w:tbl>
      <w:tblPr>
        <w:tblStyle w:val="TableGrid"/>
        <w:tblW w:w="5000" w:type="pct"/>
        <w:tblLook w:val="0420" w:firstRow="1" w:lastRow="0" w:firstColumn="0" w:lastColumn="0" w:noHBand="0" w:noVBand="1"/>
      </w:tblPr>
      <w:tblGrid>
        <w:gridCol w:w="1813"/>
        <w:gridCol w:w="7818"/>
      </w:tblGrid>
      <w:tr w:rsidR="00977DF6" w14:paraId="1E63B371" w14:textId="77777777" w:rsidTr="00964A52">
        <w:tc>
          <w:tcPr>
            <w:tcW w:w="941" w:type="pct"/>
            <w:shd w:val="clear" w:color="auto" w:fill="701F4D" w:themeFill="accent2"/>
          </w:tcPr>
          <w:p w14:paraId="0747124B" w14:textId="77777777" w:rsidR="00977DF6" w:rsidRPr="002F48E7" w:rsidRDefault="00977DF6"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4C958031" w14:textId="77777777" w:rsidR="00977DF6" w:rsidRPr="002F48E7" w:rsidRDefault="00977DF6"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977DF6" w14:paraId="11C86251" w14:textId="77777777" w:rsidTr="00964A52">
        <w:tc>
          <w:tcPr>
            <w:tcW w:w="941" w:type="pct"/>
          </w:tcPr>
          <w:p w14:paraId="71E7AF25" w14:textId="77777777" w:rsidR="00977DF6" w:rsidRPr="00996099" w:rsidRDefault="00977DF6" w:rsidP="00964A52">
            <w:pPr>
              <w:jc w:val="center"/>
              <w:rPr>
                <w:color w:val="142147" w:themeColor="accent1"/>
                <w:sz w:val="20"/>
                <w:szCs w:val="20"/>
              </w:rPr>
            </w:pPr>
            <w:r w:rsidRPr="00996099">
              <w:rPr>
                <w:color w:val="142147" w:themeColor="accent1"/>
                <w:sz w:val="20"/>
                <w:szCs w:val="20"/>
              </w:rPr>
              <w:t>Required</w:t>
            </w:r>
          </w:p>
          <w:p w14:paraId="60370804" w14:textId="77777777" w:rsidR="00977DF6" w:rsidRPr="0035332F" w:rsidRDefault="000D5C07" w:rsidP="00964A52">
            <w:pPr>
              <w:jc w:val="center"/>
              <w:rPr>
                <w:b/>
                <w:bCs/>
              </w:rPr>
            </w:pPr>
            <w:sdt>
              <w:sdtPr>
                <w:rPr>
                  <w:b/>
                  <w:bCs/>
                  <w:sz w:val="32"/>
                  <w:szCs w:val="32"/>
                </w:rPr>
                <w:alias w:val="Checkbox"/>
                <w:tag w:val="Checkbox"/>
                <w:id w:val="-2129839335"/>
                <w14:checkbox>
                  <w14:checked w14:val="0"/>
                  <w14:checkedState w14:val="2612" w14:font="MS Gothic"/>
                  <w14:uncheckedState w14:val="2610" w14:font="MS Gothic"/>
                </w14:checkbox>
              </w:sdtPr>
              <w:sdtEndPr/>
              <w:sdtContent>
                <w:r w:rsidR="00977DF6">
                  <w:rPr>
                    <w:rFonts w:ascii="MS Gothic" w:eastAsia="MS Gothic" w:hAnsi="MS Gothic" w:hint="eastAsia"/>
                    <w:b/>
                    <w:bCs/>
                    <w:sz w:val="32"/>
                    <w:szCs w:val="32"/>
                  </w:rPr>
                  <w:t>☐</w:t>
                </w:r>
              </w:sdtContent>
            </w:sdt>
          </w:p>
        </w:tc>
        <w:tc>
          <w:tcPr>
            <w:tcW w:w="4059" w:type="pct"/>
          </w:tcPr>
          <w:p w14:paraId="213D8BFB" w14:textId="77777777" w:rsidR="0051657F" w:rsidRPr="009A6605" w:rsidRDefault="0051657F" w:rsidP="00804FDD">
            <w:pPr>
              <w:pStyle w:val="Bullet"/>
              <w:numPr>
                <w:ilvl w:val="2"/>
                <w:numId w:val="45"/>
              </w:numPr>
              <w:tabs>
                <w:tab w:val="clear" w:pos="567"/>
              </w:tabs>
              <w:contextualSpacing/>
              <w:rPr>
                <w:b/>
                <w:bCs/>
                <w:color w:val="142147" w:themeColor="accent1"/>
                <w:sz w:val="20"/>
                <w:szCs w:val="20"/>
              </w:rPr>
            </w:pPr>
            <w:r w:rsidRPr="009A6605">
              <w:rPr>
                <w:b/>
                <w:bCs/>
                <w:color w:val="142147" w:themeColor="accent1"/>
                <w:sz w:val="20"/>
                <w:szCs w:val="20"/>
              </w:rPr>
              <w:t>Entities should provide a qualitative disclosure of key categories of dealings with offshore related parties which have a material impact on the entities Australian taxable income, including:</w:t>
            </w:r>
          </w:p>
          <w:p w14:paraId="2793C82D" w14:textId="3A066B51" w:rsidR="0051657F" w:rsidRDefault="0051657F" w:rsidP="0051657F">
            <w:pPr>
              <w:numPr>
                <w:ilvl w:val="0"/>
                <w:numId w:val="47"/>
              </w:numPr>
              <w:tabs>
                <w:tab w:val="left" w:pos="567"/>
              </w:tabs>
              <w:spacing w:before="0"/>
              <w:rPr>
                <w:b/>
                <w:bCs/>
                <w:color w:val="142147" w:themeColor="accent1"/>
                <w:sz w:val="20"/>
                <w:szCs w:val="20"/>
              </w:rPr>
            </w:pPr>
            <w:r w:rsidRPr="0051657F">
              <w:rPr>
                <w:b/>
                <w:bCs/>
                <w:color w:val="142147" w:themeColor="accent1"/>
                <w:sz w:val="20"/>
                <w:szCs w:val="20"/>
              </w:rPr>
              <w:t>the nature of the dealings</w:t>
            </w:r>
            <w:r w:rsidR="007E6445">
              <w:rPr>
                <w:b/>
                <w:bCs/>
                <w:color w:val="142147" w:themeColor="accent1"/>
                <w:sz w:val="20"/>
                <w:szCs w:val="20"/>
              </w:rPr>
              <w:t>.</w:t>
            </w:r>
          </w:p>
          <w:p w14:paraId="3A3B58BF" w14:textId="43A838B1" w:rsidR="0051657F" w:rsidRPr="0051657F" w:rsidRDefault="0051657F" w:rsidP="0051657F">
            <w:pPr>
              <w:numPr>
                <w:ilvl w:val="0"/>
                <w:numId w:val="47"/>
              </w:numPr>
              <w:tabs>
                <w:tab w:val="left" w:pos="567"/>
              </w:tabs>
              <w:spacing w:before="0"/>
              <w:rPr>
                <w:b/>
                <w:bCs/>
                <w:color w:val="142147" w:themeColor="accent1"/>
                <w:sz w:val="20"/>
                <w:szCs w:val="20"/>
              </w:rPr>
            </w:pPr>
            <w:r w:rsidRPr="0051657F">
              <w:rPr>
                <w:b/>
                <w:bCs/>
                <w:color w:val="142147" w:themeColor="accent1"/>
                <w:sz w:val="20"/>
                <w:szCs w:val="20"/>
              </w:rPr>
              <w:t>the country in which the related party is located.</w:t>
            </w:r>
          </w:p>
        </w:tc>
      </w:tr>
    </w:tbl>
    <w:p w14:paraId="63E6A72A" w14:textId="77777777" w:rsidR="00CD4C20" w:rsidRPr="00CD4C20" w:rsidRDefault="00CD4C20" w:rsidP="00CD4C20">
      <w:bookmarkStart w:id="94" w:name="_Non-public_CbC_reporter_2"/>
      <w:bookmarkEnd w:id="94"/>
      <w:r>
        <w:br w:type="page"/>
      </w:r>
    </w:p>
    <w:p w14:paraId="52B210E6" w14:textId="56C52343" w:rsidR="003D1F9C" w:rsidRPr="003D1F9C" w:rsidRDefault="003D1F9C" w:rsidP="003D1F9C">
      <w:pPr>
        <w:pStyle w:val="Heading2"/>
      </w:pPr>
      <w:bookmarkStart w:id="95" w:name="_Toc212116326"/>
      <w:r w:rsidRPr="003D1F9C">
        <w:lastRenderedPageBreak/>
        <w:t xml:space="preserve">Non-public </w:t>
      </w:r>
      <w:proofErr w:type="spellStart"/>
      <w:r w:rsidRPr="003D1F9C">
        <w:t>CbC</w:t>
      </w:r>
      <w:proofErr w:type="spellEnd"/>
      <w:r w:rsidRPr="003D1F9C">
        <w:t xml:space="preserve"> reporter</w:t>
      </w:r>
      <w:bookmarkEnd w:id="95"/>
      <w:r w:rsidRPr="003D1F9C">
        <w:t xml:space="preserve"> </w:t>
      </w:r>
    </w:p>
    <w:p w14:paraId="1558EA2A" w14:textId="77777777" w:rsidR="007A53E1" w:rsidRPr="00A3011E" w:rsidRDefault="007A53E1" w:rsidP="007A53E1">
      <w:pPr>
        <w:pStyle w:val="Heading3"/>
      </w:pPr>
      <w:r w:rsidRPr="00A3011E">
        <w:t>Overview</w:t>
      </w:r>
    </w:p>
    <w:tbl>
      <w:tblPr>
        <w:tblStyle w:val="TableGrid"/>
        <w:tblW w:w="5000" w:type="pct"/>
        <w:tblLook w:val="0420" w:firstRow="1" w:lastRow="0" w:firstColumn="0" w:lastColumn="0" w:noHBand="0" w:noVBand="1"/>
      </w:tblPr>
      <w:tblGrid>
        <w:gridCol w:w="1751"/>
        <w:gridCol w:w="7880"/>
      </w:tblGrid>
      <w:tr w:rsidR="007A53E1" w14:paraId="4C8E7499" w14:textId="77777777" w:rsidTr="00964A52">
        <w:tc>
          <w:tcPr>
            <w:tcW w:w="909" w:type="pct"/>
            <w:shd w:val="clear" w:color="auto" w:fill="701F4D" w:themeFill="accent2"/>
          </w:tcPr>
          <w:p w14:paraId="0F1C0A41" w14:textId="77777777" w:rsidR="007A53E1" w:rsidRPr="00E43E1C" w:rsidRDefault="007A53E1"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91" w:type="pct"/>
            <w:shd w:val="clear" w:color="auto" w:fill="701F4D" w:themeFill="accent2"/>
          </w:tcPr>
          <w:p w14:paraId="41C20D8B" w14:textId="77777777" w:rsidR="007A53E1" w:rsidRPr="00E43E1C" w:rsidRDefault="007A53E1"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7A53E1" w14:paraId="271F2E39" w14:textId="77777777" w:rsidTr="00964A52">
        <w:tc>
          <w:tcPr>
            <w:tcW w:w="909" w:type="pct"/>
          </w:tcPr>
          <w:p w14:paraId="101BE907" w14:textId="77777777" w:rsidR="007A53E1" w:rsidRPr="00B0019A" w:rsidRDefault="007A53E1" w:rsidP="00964A52">
            <w:pPr>
              <w:jc w:val="center"/>
              <w:rPr>
                <w:sz w:val="20"/>
                <w:szCs w:val="20"/>
              </w:rPr>
            </w:pPr>
            <w:r w:rsidRPr="00B0019A">
              <w:rPr>
                <w:sz w:val="20"/>
                <w:szCs w:val="20"/>
              </w:rPr>
              <w:t>Required</w:t>
            </w:r>
          </w:p>
          <w:p w14:paraId="19C7640C" w14:textId="00DC2C91" w:rsidR="007A53E1" w:rsidRPr="0035332F" w:rsidRDefault="000D5C07" w:rsidP="00964A52">
            <w:pPr>
              <w:jc w:val="center"/>
              <w:rPr>
                <w:b/>
                <w:bCs/>
              </w:rPr>
            </w:pPr>
            <w:sdt>
              <w:sdtPr>
                <w:rPr>
                  <w:b/>
                  <w:bCs/>
                  <w:color w:val="142147" w:themeColor="accent1"/>
                  <w:sz w:val="32"/>
                  <w:szCs w:val="32"/>
                </w:rPr>
                <w:id w:val="2001621216"/>
                <w14:checkbox>
                  <w14:checked w14:val="0"/>
                  <w14:checkedState w14:val="2612" w14:font="MS Gothic"/>
                  <w14:uncheckedState w14:val="2610" w14:font="MS Gothic"/>
                </w14:checkbox>
              </w:sdtPr>
              <w:sdtEndPr/>
              <w:sdtContent>
                <w:r w:rsidR="00B0019A" w:rsidRPr="00B0019A">
                  <w:rPr>
                    <w:rFonts w:ascii="MS Gothic" w:eastAsia="MS Gothic" w:hAnsi="MS Gothic" w:hint="eastAsia"/>
                    <w:b/>
                    <w:bCs/>
                    <w:color w:val="142147" w:themeColor="accent1"/>
                    <w:sz w:val="32"/>
                    <w:szCs w:val="32"/>
                  </w:rPr>
                  <w:t>☐</w:t>
                </w:r>
              </w:sdtContent>
            </w:sdt>
          </w:p>
        </w:tc>
        <w:tc>
          <w:tcPr>
            <w:tcW w:w="4091" w:type="pct"/>
          </w:tcPr>
          <w:p w14:paraId="71CFE2C4" w14:textId="77777777" w:rsidR="00FC5F8F" w:rsidRPr="00AF25CC" w:rsidRDefault="007A53E1" w:rsidP="00D9211C">
            <w:pPr>
              <w:numPr>
                <w:ilvl w:val="1"/>
                <w:numId w:val="48"/>
              </w:numPr>
              <w:tabs>
                <w:tab w:val="left" w:pos="567"/>
              </w:tabs>
              <w:ind w:left="357" w:hanging="357"/>
              <w:rPr>
                <w:b/>
                <w:bCs/>
                <w:color w:val="142147" w:themeColor="accent1"/>
                <w:sz w:val="18"/>
                <w:szCs w:val="18"/>
              </w:rPr>
            </w:pPr>
            <w:r w:rsidRPr="00AF25CC">
              <w:rPr>
                <w:b/>
                <w:bCs/>
                <w:color w:val="142147" w:themeColor="accent1"/>
                <w:sz w:val="20"/>
                <w:szCs w:val="20"/>
              </w:rPr>
              <w:t xml:space="preserve">Entities should </w:t>
            </w:r>
            <w:r w:rsidR="00FC5F8F" w:rsidRPr="00AF25CC">
              <w:rPr>
                <w:b/>
                <w:bCs/>
                <w:color w:val="142147" w:themeColor="accent1"/>
                <w:sz w:val="20"/>
                <w:szCs w:val="20"/>
              </w:rPr>
              <w:t xml:space="preserve">provide the following information: </w:t>
            </w:r>
          </w:p>
          <w:p w14:paraId="4F3B6D57" w14:textId="688308C7" w:rsidR="00FC5F8F" w:rsidRPr="00FC5F8F" w:rsidRDefault="00FC5F8F" w:rsidP="004D5740">
            <w:pPr>
              <w:numPr>
                <w:ilvl w:val="0"/>
                <w:numId w:val="49"/>
              </w:numPr>
              <w:tabs>
                <w:tab w:val="left" w:pos="567"/>
              </w:tabs>
              <w:spacing w:before="0"/>
              <w:rPr>
                <w:b/>
                <w:bCs/>
                <w:color w:val="142147" w:themeColor="accent1"/>
                <w:sz w:val="20"/>
                <w:szCs w:val="20"/>
              </w:rPr>
            </w:pPr>
            <w:r w:rsidRPr="00FC5F8F">
              <w:rPr>
                <w:b/>
                <w:bCs/>
                <w:color w:val="142147" w:themeColor="accent1"/>
                <w:sz w:val="20"/>
                <w:szCs w:val="20"/>
              </w:rPr>
              <w:t>a list of all material subsidiaries in the group</w:t>
            </w:r>
            <w:r w:rsidR="000B3512">
              <w:rPr>
                <w:b/>
                <w:bCs/>
                <w:color w:val="142147" w:themeColor="accent1"/>
                <w:sz w:val="20"/>
                <w:szCs w:val="20"/>
              </w:rPr>
              <w:t>.</w:t>
            </w:r>
          </w:p>
          <w:p w14:paraId="4B72A71F" w14:textId="0CB981D1" w:rsidR="00410C2D" w:rsidRPr="00AF25CC" w:rsidRDefault="00FC5F8F" w:rsidP="004D5740">
            <w:pPr>
              <w:numPr>
                <w:ilvl w:val="0"/>
                <w:numId w:val="49"/>
              </w:numPr>
              <w:tabs>
                <w:tab w:val="left" w:pos="567"/>
              </w:tabs>
              <w:spacing w:before="0"/>
              <w:rPr>
                <w:b/>
                <w:bCs/>
                <w:color w:val="142147" w:themeColor="accent1"/>
                <w:sz w:val="20"/>
                <w:szCs w:val="20"/>
              </w:rPr>
            </w:pPr>
            <w:r w:rsidRPr="00FC5F8F">
              <w:rPr>
                <w:b/>
                <w:bCs/>
                <w:color w:val="142147" w:themeColor="accent1"/>
                <w:sz w:val="20"/>
                <w:szCs w:val="20"/>
              </w:rPr>
              <w:t>an explanation of the main activities undertaken by the group</w:t>
            </w:r>
            <w:r w:rsidR="000B3512">
              <w:rPr>
                <w:b/>
                <w:bCs/>
                <w:color w:val="142147" w:themeColor="accent1"/>
                <w:sz w:val="20"/>
                <w:szCs w:val="20"/>
              </w:rPr>
              <w:t>.</w:t>
            </w:r>
          </w:p>
          <w:p w14:paraId="1155E42C" w14:textId="55EEF67B" w:rsidR="007A53E1" w:rsidRPr="00410C2D" w:rsidRDefault="00FC5F8F" w:rsidP="004D5740">
            <w:pPr>
              <w:numPr>
                <w:ilvl w:val="0"/>
                <w:numId w:val="49"/>
              </w:numPr>
              <w:tabs>
                <w:tab w:val="left" w:pos="567"/>
              </w:tabs>
              <w:spacing w:before="0"/>
              <w:rPr>
                <w:b/>
                <w:bCs/>
                <w:color w:val="142147"/>
                <w:sz w:val="20"/>
                <w:szCs w:val="20"/>
              </w:rPr>
            </w:pPr>
            <w:r w:rsidRPr="00AF25CC">
              <w:rPr>
                <w:b/>
                <w:bCs/>
                <w:color w:val="142147" w:themeColor="accent1"/>
                <w:sz w:val="20"/>
                <w:szCs w:val="20"/>
              </w:rPr>
              <w:t>total number of employees.</w:t>
            </w:r>
          </w:p>
        </w:tc>
      </w:tr>
    </w:tbl>
    <w:p w14:paraId="69F0F377" w14:textId="04363E01" w:rsidR="007A53E1" w:rsidRPr="00492370" w:rsidRDefault="007A53E1" w:rsidP="007A53E1">
      <w:pPr>
        <w:pStyle w:val="Heading3"/>
      </w:pPr>
      <w:r w:rsidRPr="00492370">
        <w:t>Tax data</w:t>
      </w:r>
    </w:p>
    <w:p w14:paraId="5BB90D98" w14:textId="77777777" w:rsidR="007A53E1" w:rsidRPr="00492370" w:rsidRDefault="007A53E1" w:rsidP="007A53E1">
      <w:pPr>
        <w:pStyle w:val="Heading4"/>
      </w:pPr>
      <w:r w:rsidRPr="00492370">
        <w:t>Total tax contribution</w:t>
      </w:r>
    </w:p>
    <w:tbl>
      <w:tblPr>
        <w:tblStyle w:val="TableGrid"/>
        <w:tblW w:w="5000" w:type="pct"/>
        <w:tblLook w:val="0420" w:firstRow="1" w:lastRow="0" w:firstColumn="0" w:lastColumn="0" w:noHBand="0" w:noVBand="1"/>
      </w:tblPr>
      <w:tblGrid>
        <w:gridCol w:w="1813"/>
        <w:gridCol w:w="7818"/>
      </w:tblGrid>
      <w:tr w:rsidR="007A53E1" w14:paraId="5578799F" w14:textId="77777777" w:rsidTr="00964A52">
        <w:tc>
          <w:tcPr>
            <w:tcW w:w="941" w:type="pct"/>
            <w:shd w:val="clear" w:color="auto" w:fill="701F4D" w:themeFill="accent2"/>
          </w:tcPr>
          <w:p w14:paraId="654B799A" w14:textId="77777777" w:rsidR="007A53E1" w:rsidRPr="002F48E7" w:rsidRDefault="007A53E1"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1B84ECAD" w14:textId="77777777" w:rsidR="007A53E1" w:rsidRPr="002F48E7" w:rsidRDefault="007A53E1"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7A53E1" w14:paraId="704604BC" w14:textId="77777777" w:rsidTr="00964A52">
        <w:tc>
          <w:tcPr>
            <w:tcW w:w="941" w:type="pct"/>
          </w:tcPr>
          <w:p w14:paraId="09DE9B43" w14:textId="77777777" w:rsidR="007A53E1" w:rsidRPr="00B0019A" w:rsidRDefault="007A53E1" w:rsidP="00C93474">
            <w:pPr>
              <w:spacing w:after="0"/>
              <w:jc w:val="center"/>
              <w:rPr>
                <w:color w:val="142147" w:themeColor="accent1"/>
                <w:sz w:val="20"/>
                <w:szCs w:val="20"/>
              </w:rPr>
            </w:pPr>
            <w:r w:rsidRPr="00CD762E">
              <w:rPr>
                <w:color w:val="142147" w:themeColor="accent1"/>
                <w:sz w:val="20"/>
                <w:szCs w:val="20"/>
              </w:rPr>
              <w:t>Required</w:t>
            </w:r>
          </w:p>
          <w:p w14:paraId="3BF70C4B" w14:textId="77777777" w:rsidR="007A53E1" w:rsidRPr="0035332F" w:rsidRDefault="000D5C07" w:rsidP="00964A52">
            <w:pPr>
              <w:jc w:val="center"/>
              <w:rPr>
                <w:b/>
                <w:bCs/>
              </w:rPr>
            </w:pPr>
            <w:sdt>
              <w:sdtPr>
                <w:rPr>
                  <w:b/>
                  <w:bCs/>
                  <w:sz w:val="32"/>
                  <w:szCs w:val="32"/>
                </w:rPr>
                <w:id w:val="-714582435"/>
                <w14:checkbox>
                  <w14:checked w14:val="0"/>
                  <w14:checkedState w14:val="2612" w14:font="MS Gothic"/>
                  <w14:uncheckedState w14:val="2610" w14:font="MS Gothic"/>
                </w14:checkbox>
              </w:sdtPr>
              <w:sdtEndPr/>
              <w:sdtContent>
                <w:r w:rsidR="007A53E1">
                  <w:rPr>
                    <w:rFonts w:ascii="MS Gothic" w:eastAsia="MS Gothic" w:hAnsi="MS Gothic" w:hint="eastAsia"/>
                    <w:b/>
                    <w:bCs/>
                    <w:sz w:val="32"/>
                    <w:szCs w:val="32"/>
                  </w:rPr>
                  <w:t>☐</w:t>
                </w:r>
              </w:sdtContent>
            </w:sdt>
          </w:p>
        </w:tc>
        <w:tc>
          <w:tcPr>
            <w:tcW w:w="4059" w:type="pct"/>
          </w:tcPr>
          <w:p w14:paraId="0F9F6082" w14:textId="2039022A" w:rsidR="007A53E1" w:rsidRPr="00B0019A" w:rsidRDefault="007A53E1" w:rsidP="00D9211C">
            <w:pPr>
              <w:pStyle w:val="ListParagraph"/>
              <w:numPr>
                <w:ilvl w:val="2"/>
                <w:numId w:val="43"/>
              </w:numPr>
              <w:rPr>
                <w:color w:val="142147" w:themeColor="accent1"/>
                <w:sz w:val="20"/>
                <w:szCs w:val="20"/>
              </w:rPr>
            </w:pPr>
            <w:r w:rsidRPr="00B0019A">
              <w:rPr>
                <w:b/>
                <w:bCs/>
                <w:color w:val="142147" w:themeColor="accent1"/>
                <w:sz w:val="20"/>
                <w:szCs w:val="20"/>
              </w:rPr>
              <w:t>Entities should report their total Australian corporate income tax contribution.</w:t>
            </w:r>
          </w:p>
        </w:tc>
      </w:tr>
      <w:tr w:rsidR="007A53E1" w14:paraId="1AC15A05" w14:textId="77777777" w:rsidTr="00964A52">
        <w:tc>
          <w:tcPr>
            <w:tcW w:w="941" w:type="pct"/>
          </w:tcPr>
          <w:p w14:paraId="49309243" w14:textId="77777777" w:rsidR="007A53E1" w:rsidRPr="00285288" w:rsidRDefault="000D5C07" w:rsidP="00964A52">
            <w:pPr>
              <w:jc w:val="center"/>
              <w:rPr>
                <w:rFonts w:ascii="MS Gothic" w:eastAsia="MS Gothic" w:hAnsi="MS Gothic"/>
                <w:b/>
                <w:bCs/>
                <w:sz w:val="32"/>
                <w:szCs w:val="32"/>
              </w:rPr>
            </w:pPr>
            <w:sdt>
              <w:sdtPr>
                <w:rPr>
                  <w:b/>
                  <w:bCs/>
                  <w:sz w:val="32"/>
                  <w:szCs w:val="32"/>
                </w:rPr>
                <w:id w:val="2104603598"/>
                <w14:checkbox>
                  <w14:checked w14:val="0"/>
                  <w14:checkedState w14:val="2612" w14:font="MS Gothic"/>
                  <w14:uncheckedState w14:val="2610" w14:font="MS Gothic"/>
                </w14:checkbox>
              </w:sdtPr>
              <w:sdtEndPr/>
              <w:sdtContent>
                <w:r w:rsidR="007A53E1" w:rsidRPr="00285288">
                  <w:rPr>
                    <w:rFonts w:ascii="MS Gothic" w:eastAsia="MS Gothic" w:hAnsi="MS Gothic" w:hint="eastAsia"/>
                    <w:b/>
                    <w:bCs/>
                    <w:sz w:val="32"/>
                    <w:szCs w:val="32"/>
                  </w:rPr>
                  <w:t>☐</w:t>
                </w:r>
              </w:sdtContent>
            </w:sdt>
          </w:p>
        </w:tc>
        <w:tc>
          <w:tcPr>
            <w:tcW w:w="4059" w:type="pct"/>
          </w:tcPr>
          <w:p w14:paraId="6767F8D1" w14:textId="77777777" w:rsidR="007A53E1" w:rsidRPr="00B0019A" w:rsidRDefault="007A53E1" w:rsidP="00D9211C">
            <w:pPr>
              <w:pStyle w:val="ListParagraph"/>
              <w:numPr>
                <w:ilvl w:val="0"/>
                <w:numId w:val="71"/>
              </w:numPr>
              <w:ind w:left="426" w:hanging="284"/>
              <w:rPr>
                <w:b/>
                <w:bCs/>
                <w:color w:val="142147" w:themeColor="accent1"/>
                <w:sz w:val="20"/>
                <w:szCs w:val="20"/>
              </w:rPr>
            </w:pPr>
            <w:r w:rsidRPr="00B0019A">
              <w:rPr>
                <w:color w:val="142147" w:themeColor="accent1"/>
                <w:sz w:val="20"/>
                <w:szCs w:val="20"/>
              </w:rPr>
              <w:t>Report on global group total income tax contribution.</w:t>
            </w:r>
          </w:p>
        </w:tc>
      </w:tr>
      <w:tr w:rsidR="007A53E1" w14:paraId="36F9BAA7" w14:textId="77777777" w:rsidTr="00964A52">
        <w:tc>
          <w:tcPr>
            <w:tcW w:w="941" w:type="pct"/>
          </w:tcPr>
          <w:p w14:paraId="06A74178" w14:textId="77777777" w:rsidR="007A53E1" w:rsidRPr="00285288" w:rsidRDefault="000D5C07" w:rsidP="00964A52">
            <w:pPr>
              <w:jc w:val="center"/>
              <w:rPr>
                <w:rFonts w:ascii="MS Gothic" w:eastAsia="MS Gothic" w:hAnsi="MS Gothic"/>
                <w:b/>
                <w:bCs/>
                <w:sz w:val="32"/>
                <w:szCs w:val="32"/>
              </w:rPr>
            </w:pPr>
            <w:sdt>
              <w:sdtPr>
                <w:rPr>
                  <w:b/>
                  <w:bCs/>
                  <w:sz w:val="32"/>
                  <w:szCs w:val="32"/>
                </w:rPr>
                <w:id w:val="1479333198"/>
                <w14:checkbox>
                  <w14:checked w14:val="0"/>
                  <w14:checkedState w14:val="2612" w14:font="MS Gothic"/>
                  <w14:uncheckedState w14:val="2610" w14:font="MS Gothic"/>
                </w14:checkbox>
              </w:sdtPr>
              <w:sdtEndPr/>
              <w:sdtContent>
                <w:r w:rsidR="007A53E1" w:rsidRPr="00285288">
                  <w:rPr>
                    <w:rFonts w:ascii="MS Gothic" w:eastAsia="MS Gothic" w:hAnsi="MS Gothic" w:hint="eastAsia"/>
                    <w:b/>
                    <w:bCs/>
                    <w:sz w:val="32"/>
                    <w:szCs w:val="32"/>
                  </w:rPr>
                  <w:t>☐</w:t>
                </w:r>
              </w:sdtContent>
            </w:sdt>
          </w:p>
        </w:tc>
        <w:tc>
          <w:tcPr>
            <w:tcW w:w="4059" w:type="pct"/>
          </w:tcPr>
          <w:p w14:paraId="59874F4A" w14:textId="77777777" w:rsidR="007A53E1" w:rsidRPr="00B0019A" w:rsidRDefault="007A53E1" w:rsidP="00D9211C">
            <w:pPr>
              <w:pStyle w:val="ListParagraph"/>
              <w:numPr>
                <w:ilvl w:val="0"/>
                <w:numId w:val="71"/>
              </w:numPr>
              <w:ind w:left="426" w:hanging="284"/>
              <w:rPr>
                <w:color w:val="142147" w:themeColor="accent1"/>
                <w:sz w:val="20"/>
                <w:szCs w:val="20"/>
              </w:rPr>
            </w:pPr>
            <w:r w:rsidRPr="00B0019A">
              <w:rPr>
                <w:color w:val="142147" w:themeColor="accent1"/>
                <w:sz w:val="20"/>
                <w:szCs w:val="20"/>
              </w:rPr>
              <w:t xml:space="preserve">Report other Australian taxes and imposts paid to Government, for example Petroleum Resources Rent Tax, royalties, excises, payroll taxes, stamp duties, fringe benefits tax and state taxes. </w:t>
            </w:r>
          </w:p>
        </w:tc>
      </w:tr>
      <w:tr w:rsidR="007A53E1" w14:paraId="7FA8D442" w14:textId="77777777" w:rsidTr="00964A52">
        <w:tc>
          <w:tcPr>
            <w:tcW w:w="941" w:type="pct"/>
          </w:tcPr>
          <w:p w14:paraId="257A5A4F" w14:textId="77777777" w:rsidR="007A53E1" w:rsidRPr="00285288" w:rsidRDefault="000D5C07" w:rsidP="00964A52">
            <w:pPr>
              <w:jc w:val="center"/>
              <w:rPr>
                <w:rFonts w:ascii="MS Gothic" w:eastAsia="MS Gothic" w:hAnsi="MS Gothic"/>
                <w:b/>
                <w:bCs/>
                <w:sz w:val="32"/>
                <w:szCs w:val="32"/>
              </w:rPr>
            </w:pPr>
            <w:sdt>
              <w:sdtPr>
                <w:rPr>
                  <w:b/>
                  <w:bCs/>
                  <w:sz w:val="32"/>
                  <w:szCs w:val="32"/>
                </w:rPr>
                <w:id w:val="-2006812934"/>
                <w14:checkbox>
                  <w14:checked w14:val="0"/>
                  <w14:checkedState w14:val="2612" w14:font="MS Gothic"/>
                  <w14:uncheckedState w14:val="2610" w14:font="MS Gothic"/>
                </w14:checkbox>
              </w:sdtPr>
              <w:sdtEndPr/>
              <w:sdtContent>
                <w:r w:rsidR="007A53E1" w:rsidRPr="00285288">
                  <w:rPr>
                    <w:rFonts w:ascii="MS Gothic" w:eastAsia="MS Gothic" w:hAnsi="MS Gothic" w:hint="eastAsia"/>
                    <w:b/>
                    <w:bCs/>
                    <w:sz w:val="32"/>
                    <w:szCs w:val="32"/>
                  </w:rPr>
                  <w:t>☐</w:t>
                </w:r>
              </w:sdtContent>
            </w:sdt>
          </w:p>
        </w:tc>
        <w:tc>
          <w:tcPr>
            <w:tcW w:w="4059" w:type="pct"/>
          </w:tcPr>
          <w:p w14:paraId="61E740AB" w14:textId="7D7DFD48" w:rsidR="007A53E1" w:rsidRPr="00B0019A" w:rsidRDefault="007A53E1" w:rsidP="00D9211C">
            <w:pPr>
              <w:pStyle w:val="ListParagraph"/>
              <w:numPr>
                <w:ilvl w:val="0"/>
                <w:numId w:val="71"/>
              </w:numPr>
              <w:ind w:left="426" w:hanging="284"/>
              <w:rPr>
                <w:color w:val="142147" w:themeColor="accent1"/>
                <w:sz w:val="20"/>
                <w:szCs w:val="20"/>
              </w:rPr>
            </w:pPr>
            <w:r w:rsidRPr="00B0019A">
              <w:rPr>
                <w:color w:val="142147" w:themeColor="accent1"/>
                <w:sz w:val="20"/>
                <w:szCs w:val="20"/>
              </w:rPr>
              <w:t xml:space="preserve">Report </w:t>
            </w:r>
            <w:r w:rsidR="00B0019A">
              <w:rPr>
                <w:color w:val="142147" w:themeColor="accent1"/>
                <w:sz w:val="20"/>
                <w:szCs w:val="20"/>
              </w:rPr>
              <w:t>g</w:t>
            </w:r>
            <w:r w:rsidRPr="00B0019A">
              <w:rPr>
                <w:color w:val="142147" w:themeColor="accent1"/>
                <w:sz w:val="20"/>
                <w:szCs w:val="20"/>
              </w:rPr>
              <w:t xml:space="preserve">overnment imposts collected by the entity on behalf of others, for example, GST and Pay </w:t>
            </w:r>
            <w:proofErr w:type="gramStart"/>
            <w:r w:rsidRPr="00B0019A">
              <w:rPr>
                <w:color w:val="142147" w:themeColor="accent1"/>
                <w:sz w:val="20"/>
                <w:szCs w:val="20"/>
              </w:rPr>
              <w:t>As</w:t>
            </w:r>
            <w:proofErr w:type="gramEnd"/>
            <w:r w:rsidRPr="00B0019A">
              <w:rPr>
                <w:color w:val="142147" w:themeColor="accent1"/>
                <w:sz w:val="20"/>
                <w:szCs w:val="20"/>
              </w:rPr>
              <w:t xml:space="preserve"> You Go withholding taxes.</w:t>
            </w:r>
          </w:p>
        </w:tc>
      </w:tr>
    </w:tbl>
    <w:p w14:paraId="61AE5CB8" w14:textId="5C3799AD" w:rsidR="007A53E1" w:rsidRPr="000F52A4" w:rsidRDefault="007A53E1" w:rsidP="007A53E1">
      <w:pPr>
        <w:pStyle w:val="Heading4"/>
      </w:pPr>
      <w:r w:rsidRPr="000F52A4">
        <w:t>Effective tax rate for Australia</w:t>
      </w:r>
    </w:p>
    <w:tbl>
      <w:tblPr>
        <w:tblStyle w:val="TableGrid"/>
        <w:tblW w:w="5000" w:type="pct"/>
        <w:tblLook w:val="0420" w:firstRow="1" w:lastRow="0" w:firstColumn="0" w:lastColumn="0" w:noHBand="0" w:noVBand="1"/>
      </w:tblPr>
      <w:tblGrid>
        <w:gridCol w:w="1813"/>
        <w:gridCol w:w="7818"/>
      </w:tblGrid>
      <w:tr w:rsidR="007A53E1" w14:paraId="17D6D230" w14:textId="77777777" w:rsidTr="00964A52">
        <w:trPr>
          <w:tblHeader/>
        </w:trPr>
        <w:tc>
          <w:tcPr>
            <w:tcW w:w="941" w:type="pct"/>
            <w:shd w:val="clear" w:color="auto" w:fill="701F4D" w:themeFill="accent2"/>
          </w:tcPr>
          <w:p w14:paraId="7927E471" w14:textId="77777777" w:rsidR="007A53E1" w:rsidRPr="002F48E7" w:rsidRDefault="007A53E1"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0A73CEF2" w14:textId="77777777" w:rsidR="007A53E1" w:rsidRPr="002F48E7" w:rsidRDefault="007A53E1"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7A53E1" w14:paraId="45964498" w14:textId="77777777" w:rsidTr="00964A52">
        <w:tc>
          <w:tcPr>
            <w:tcW w:w="941" w:type="pct"/>
          </w:tcPr>
          <w:p w14:paraId="274A3EBA" w14:textId="77777777" w:rsidR="007A53E1" w:rsidRPr="0080766C" w:rsidRDefault="007A53E1" w:rsidP="00964A52">
            <w:pPr>
              <w:jc w:val="center"/>
              <w:rPr>
                <w:color w:val="142147" w:themeColor="accent1"/>
                <w:sz w:val="20"/>
                <w:szCs w:val="20"/>
              </w:rPr>
            </w:pPr>
            <w:r w:rsidRPr="0080766C">
              <w:rPr>
                <w:color w:val="142147" w:themeColor="accent1"/>
                <w:sz w:val="20"/>
                <w:szCs w:val="20"/>
              </w:rPr>
              <w:t>Required</w:t>
            </w:r>
          </w:p>
          <w:p w14:paraId="66551D64" w14:textId="77777777" w:rsidR="007A53E1" w:rsidRPr="0035332F" w:rsidRDefault="000D5C07" w:rsidP="00964A52">
            <w:pPr>
              <w:jc w:val="center"/>
              <w:rPr>
                <w:b/>
                <w:bCs/>
              </w:rPr>
            </w:pPr>
            <w:sdt>
              <w:sdtPr>
                <w:rPr>
                  <w:b/>
                  <w:bCs/>
                  <w:sz w:val="32"/>
                  <w:szCs w:val="32"/>
                </w:rPr>
                <w:id w:val="-1661377457"/>
                <w14:checkbox>
                  <w14:checked w14:val="0"/>
                  <w14:checkedState w14:val="2612" w14:font="MS Gothic"/>
                  <w14:uncheckedState w14:val="2610" w14:font="MS Gothic"/>
                </w14:checkbox>
              </w:sdtPr>
              <w:sdtEndPr/>
              <w:sdtContent>
                <w:r w:rsidR="007A53E1">
                  <w:rPr>
                    <w:rFonts w:ascii="MS Gothic" w:eastAsia="MS Gothic" w:hAnsi="MS Gothic" w:hint="eastAsia"/>
                    <w:b/>
                    <w:bCs/>
                    <w:sz w:val="32"/>
                    <w:szCs w:val="32"/>
                  </w:rPr>
                  <w:t>☐</w:t>
                </w:r>
              </w:sdtContent>
            </w:sdt>
          </w:p>
        </w:tc>
        <w:tc>
          <w:tcPr>
            <w:tcW w:w="4059" w:type="pct"/>
          </w:tcPr>
          <w:p w14:paraId="6A0B10F4" w14:textId="2CF128D1" w:rsidR="007A53E1" w:rsidRPr="000F52A4" w:rsidRDefault="00057828" w:rsidP="00D9211C">
            <w:pPr>
              <w:pStyle w:val="ListParagraph"/>
              <w:numPr>
                <w:ilvl w:val="2"/>
                <w:numId w:val="44"/>
              </w:numPr>
              <w:rPr>
                <w:b/>
                <w:bCs/>
                <w:color w:val="5F5F5F" w:themeColor="text2"/>
              </w:rPr>
            </w:pPr>
            <w:r w:rsidRPr="0056562C">
              <w:rPr>
                <w:b/>
                <w:bCs/>
                <w:color w:val="142147" w:themeColor="accent1"/>
                <w:sz w:val="20"/>
                <w:szCs w:val="20"/>
              </w:rPr>
              <w:t>Entities should disclose an Australian accounting effective tax rate (ETR). Entities should indicate the basis of their ETR calculations and any underlying assumptions.</w:t>
            </w:r>
          </w:p>
        </w:tc>
      </w:tr>
      <w:tr w:rsidR="007A53E1" w14:paraId="446BC360" w14:textId="77777777" w:rsidTr="00964A52">
        <w:tc>
          <w:tcPr>
            <w:tcW w:w="941" w:type="pct"/>
          </w:tcPr>
          <w:p w14:paraId="30D260E6" w14:textId="77777777" w:rsidR="007A53E1" w:rsidRDefault="000D5C07" w:rsidP="00964A52">
            <w:pPr>
              <w:jc w:val="center"/>
              <w:rPr>
                <w:rFonts w:ascii="MS Gothic" w:eastAsia="MS Gothic" w:hAnsi="MS Gothic"/>
                <w:b/>
                <w:bCs/>
              </w:rPr>
            </w:pPr>
            <w:sdt>
              <w:sdtPr>
                <w:rPr>
                  <w:b/>
                  <w:bCs/>
                  <w:sz w:val="32"/>
                  <w:szCs w:val="32"/>
                </w:rPr>
                <w:id w:val="-1922475781"/>
                <w14:checkbox>
                  <w14:checked w14:val="0"/>
                  <w14:checkedState w14:val="2612" w14:font="MS Gothic"/>
                  <w14:uncheckedState w14:val="2610" w14:font="MS Gothic"/>
                </w14:checkbox>
              </w:sdtPr>
              <w:sdtEndPr/>
              <w:sdtContent>
                <w:r w:rsidR="007A53E1" w:rsidRPr="00EE2D9E">
                  <w:rPr>
                    <w:rFonts w:ascii="MS Gothic" w:eastAsia="MS Gothic" w:hAnsi="MS Gothic" w:hint="eastAsia"/>
                    <w:b/>
                    <w:bCs/>
                    <w:sz w:val="32"/>
                    <w:szCs w:val="32"/>
                  </w:rPr>
                  <w:t>☐</w:t>
                </w:r>
              </w:sdtContent>
            </w:sdt>
          </w:p>
        </w:tc>
        <w:tc>
          <w:tcPr>
            <w:tcW w:w="4059" w:type="pct"/>
          </w:tcPr>
          <w:p w14:paraId="11DC1DB1" w14:textId="14FFC103" w:rsidR="007A53E1" w:rsidRPr="002F48E7" w:rsidRDefault="00E0699D" w:rsidP="00D9211C">
            <w:pPr>
              <w:pStyle w:val="ListParagraph"/>
              <w:numPr>
                <w:ilvl w:val="7"/>
                <w:numId w:val="49"/>
              </w:numPr>
              <w:rPr>
                <w:b/>
                <w:bCs/>
                <w:color w:val="5F5F5F" w:themeColor="text2"/>
              </w:rPr>
            </w:pPr>
            <w:r w:rsidRPr="0056562C">
              <w:rPr>
                <w:color w:val="142147" w:themeColor="accent1"/>
                <w:sz w:val="20"/>
                <w:szCs w:val="20"/>
              </w:rPr>
              <w:t>Provide a description of the primary drivers of the gap between ETR and the weighted average statutory rate.</w:t>
            </w:r>
          </w:p>
        </w:tc>
      </w:tr>
      <w:tr w:rsidR="00373AF1" w14:paraId="664C0F3E" w14:textId="77777777" w:rsidTr="00964A52">
        <w:tc>
          <w:tcPr>
            <w:tcW w:w="941" w:type="pct"/>
          </w:tcPr>
          <w:p w14:paraId="0C273866" w14:textId="59F8A3DF" w:rsidR="00373AF1" w:rsidRPr="00EE2D9E" w:rsidRDefault="000D5C07" w:rsidP="00373AF1">
            <w:pPr>
              <w:jc w:val="center"/>
              <w:rPr>
                <w:rFonts w:ascii="MS Gothic" w:eastAsia="MS Gothic" w:hAnsi="MS Gothic"/>
                <w:b/>
                <w:bCs/>
                <w:sz w:val="32"/>
                <w:szCs w:val="32"/>
              </w:rPr>
            </w:pPr>
            <w:sdt>
              <w:sdtPr>
                <w:rPr>
                  <w:b/>
                  <w:bCs/>
                  <w:sz w:val="32"/>
                  <w:szCs w:val="32"/>
                </w:rPr>
                <w:id w:val="-12006033"/>
                <w14:checkbox>
                  <w14:checked w14:val="0"/>
                  <w14:checkedState w14:val="2612" w14:font="MS Gothic"/>
                  <w14:uncheckedState w14:val="2610" w14:font="MS Gothic"/>
                </w14:checkbox>
              </w:sdtPr>
              <w:sdtEndPr/>
              <w:sdtContent>
                <w:r w:rsidR="00373AF1" w:rsidRPr="00EE2D9E">
                  <w:rPr>
                    <w:rFonts w:ascii="MS Gothic" w:eastAsia="MS Gothic" w:hAnsi="MS Gothic" w:hint="eastAsia"/>
                    <w:b/>
                    <w:bCs/>
                    <w:sz w:val="32"/>
                    <w:szCs w:val="32"/>
                  </w:rPr>
                  <w:t>☐</w:t>
                </w:r>
              </w:sdtContent>
            </w:sdt>
          </w:p>
        </w:tc>
        <w:tc>
          <w:tcPr>
            <w:tcW w:w="4059" w:type="pct"/>
          </w:tcPr>
          <w:p w14:paraId="57AB6B9B" w14:textId="507D1CF5" w:rsidR="00373AF1" w:rsidRPr="0056562C" w:rsidRDefault="00373AF1" w:rsidP="00D9211C">
            <w:pPr>
              <w:pStyle w:val="ListParagraph"/>
              <w:numPr>
                <w:ilvl w:val="7"/>
                <w:numId w:val="49"/>
              </w:numPr>
              <w:rPr>
                <w:color w:val="142147" w:themeColor="accent1"/>
                <w:sz w:val="20"/>
                <w:szCs w:val="20"/>
              </w:rPr>
            </w:pPr>
            <w:r w:rsidRPr="0056562C">
              <w:rPr>
                <w:color w:val="142147" w:themeColor="accent1"/>
                <w:sz w:val="20"/>
                <w:szCs w:val="20"/>
              </w:rPr>
              <w:t>Provide a global ETR for the worldwide accounting consolidated group calculated based on tax expense (income).</w:t>
            </w:r>
          </w:p>
        </w:tc>
      </w:tr>
    </w:tbl>
    <w:p w14:paraId="75331CED" w14:textId="32FB82A8" w:rsidR="007A53E1" w:rsidRPr="00043CE8" w:rsidRDefault="001A37AA" w:rsidP="00043CE8">
      <w:pPr>
        <w:pStyle w:val="Heading4"/>
      </w:pPr>
      <w:r>
        <w:lastRenderedPageBreak/>
        <w:t>A r</w:t>
      </w:r>
      <w:r w:rsidR="00043CE8" w:rsidRPr="00043CE8">
        <w:t>econciliation of accounting profit to income tax expense to income tax paid or payable</w:t>
      </w:r>
    </w:p>
    <w:tbl>
      <w:tblPr>
        <w:tblStyle w:val="TableGrid"/>
        <w:tblW w:w="5000" w:type="pct"/>
        <w:tblLook w:val="0420" w:firstRow="1" w:lastRow="0" w:firstColumn="0" w:lastColumn="0" w:noHBand="0" w:noVBand="1"/>
      </w:tblPr>
      <w:tblGrid>
        <w:gridCol w:w="1813"/>
        <w:gridCol w:w="7818"/>
      </w:tblGrid>
      <w:tr w:rsidR="007A53E1" w14:paraId="7115FEFC" w14:textId="77777777" w:rsidTr="00964A52">
        <w:trPr>
          <w:tblHeader/>
        </w:trPr>
        <w:tc>
          <w:tcPr>
            <w:tcW w:w="941" w:type="pct"/>
            <w:shd w:val="clear" w:color="auto" w:fill="701F4D" w:themeFill="accent2"/>
          </w:tcPr>
          <w:p w14:paraId="44E9B53F" w14:textId="77777777" w:rsidR="007A53E1" w:rsidRPr="002F48E7" w:rsidRDefault="007A53E1"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54DB032F" w14:textId="77777777" w:rsidR="007A53E1" w:rsidRPr="002F48E7" w:rsidRDefault="007A53E1"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7A53E1" w14:paraId="5983AF6E" w14:textId="77777777" w:rsidTr="00964A52">
        <w:tc>
          <w:tcPr>
            <w:tcW w:w="941" w:type="pct"/>
          </w:tcPr>
          <w:p w14:paraId="600D47B1" w14:textId="77777777" w:rsidR="00753144" w:rsidRPr="0080766C" w:rsidRDefault="00753144" w:rsidP="00753144">
            <w:pPr>
              <w:jc w:val="center"/>
              <w:rPr>
                <w:color w:val="142147" w:themeColor="accent1"/>
                <w:sz w:val="20"/>
                <w:szCs w:val="20"/>
              </w:rPr>
            </w:pPr>
            <w:r w:rsidRPr="0080766C">
              <w:rPr>
                <w:color w:val="142147" w:themeColor="accent1"/>
                <w:sz w:val="20"/>
                <w:szCs w:val="20"/>
              </w:rPr>
              <w:t>Required</w:t>
            </w:r>
          </w:p>
          <w:p w14:paraId="73E3EC60" w14:textId="7884431D" w:rsidR="007A53E1" w:rsidRDefault="000D5C07" w:rsidP="00753144">
            <w:pPr>
              <w:jc w:val="center"/>
              <w:rPr>
                <w:rFonts w:ascii="MS Gothic" w:eastAsia="MS Gothic" w:hAnsi="MS Gothic"/>
                <w:b/>
                <w:bCs/>
              </w:rPr>
            </w:pPr>
            <w:sdt>
              <w:sdtPr>
                <w:rPr>
                  <w:b/>
                  <w:bCs/>
                  <w:sz w:val="32"/>
                  <w:szCs w:val="32"/>
                </w:rPr>
                <w:id w:val="-1544282046"/>
                <w14:checkbox>
                  <w14:checked w14:val="0"/>
                  <w14:checkedState w14:val="2612" w14:font="MS Gothic"/>
                  <w14:uncheckedState w14:val="2610" w14:font="MS Gothic"/>
                </w14:checkbox>
              </w:sdtPr>
              <w:sdtEndPr/>
              <w:sdtContent>
                <w:r w:rsidR="00753144">
                  <w:rPr>
                    <w:rFonts w:ascii="MS Gothic" w:eastAsia="MS Gothic" w:hAnsi="MS Gothic" w:hint="eastAsia"/>
                    <w:b/>
                    <w:bCs/>
                    <w:sz w:val="32"/>
                    <w:szCs w:val="32"/>
                  </w:rPr>
                  <w:t>☐</w:t>
                </w:r>
              </w:sdtContent>
            </w:sdt>
          </w:p>
        </w:tc>
        <w:tc>
          <w:tcPr>
            <w:tcW w:w="4059" w:type="pct"/>
          </w:tcPr>
          <w:p w14:paraId="09F00F32" w14:textId="13B56786" w:rsidR="007A53E1" w:rsidRPr="00564B22" w:rsidRDefault="001A37AA" w:rsidP="00D9211C">
            <w:pPr>
              <w:pStyle w:val="ListParagraph"/>
              <w:numPr>
                <w:ilvl w:val="2"/>
                <w:numId w:val="78"/>
              </w:numPr>
              <w:rPr>
                <w:b/>
                <w:bCs/>
                <w:color w:val="5F5F5F" w:themeColor="text2"/>
              </w:rPr>
            </w:pPr>
            <w:r w:rsidRPr="00564B22">
              <w:rPr>
                <w:b/>
                <w:bCs/>
                <w:color w:val="142147" w:themeColor="accent1"/>
                <w:sz w:val="20"/>
                <w:szCs w:val="20"/>
              </w:rPr>
              <w:t>Entities should provide a reconciliation of accounting profit to income tax expense, and from income tax expense to income tax paid or income tax payable. The reconciliation should identify material temporary or non-temporary differences.</w:t>
            </w:r>
          </w:p>
        </w:tc>
      </w:tr>
    </w:tbl>
    <w:p w14:paraId="49E42301" w14:textId="3CA5F436" w:rsidR="00000A7A" w:rsidRPr="00800196" w:rsidRDefault="00000A7A" w:rsidP="00800196">
      <w:pPr>
        <w:pStyle w:val="Heading4"/>
      </w:pPr>
      <w:r w:rsidRPr="00800196">
        <w:t xml:space="preserve">A reconciliation </w:t>
      </w:r>
      <w:r w:rsidR="00800196" w:rsidRPr="00800196">
        <w:t>to ATO Corporate Tax Transparency Disclosures</w:t>
      </w:r>
    </w:p>
    <w:tbl>
      <w:tblPr>
        <w:tblStyle w:val="TableGrid"/>
        <w:tblW w:w="5000" w:type="pct"/>
        <w:tblLook w:val="0420" w:firstRow="1" w:lastRow="0" w:firstColumn="0" w:lastColumn="0" w:noHBand="0" w:noVBand="1"/>
      </w:tblPr>
      <w:tblGrid>
        <w:gridCol w:w="1813"/>
        <w:gridCol w:w="7818"/>
      </w:tblGrid>
      <w:tr w:rsidR="00000A7A" w14:paraId="5C6B7161" w14:textId="77777777" w:rsidTr="00964A52">
        <w:trPr>
          <w:tblHeader/>
        </w:trPr>
        <w:tc>
          <w:tcPr>
            <w:tcW w:w="941" w:type="pct"/>
            <w:shd w:val="clear" w:color="auto" w:fill="701F4D" w:themeFill="accent2"/>
          </w:tcPr>
          <w:p w14:paraId="501FC5D0" w14:textId="77777777" w:rsidR="00000A7A" w:rsidRPr="002F48E7" w:rsidRDefault="00000A7A"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6DF49E57" w14:textId="77777777" w:rsidR="00000A7A" w:rsidRPr="002F48E7" w:rsidRDefault="00000A7A"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000A7A" w14:paraId="22988A72" w14:textId="77777777" w:rsidTr="00964A52">
        <w:tc>
          <w:tcPr>
            <w:tcW w:w="941" w:type="pct"/>
          </w:tcPr>
          <w:p w14:paraId="39F2D91B" w14:textId="77777777" w:rsidR="00000A7A" w:rsidRDefault="000D5C07" w:rsidP="00964A52">
            <w:pPr>
              <w:jc w:val="center"/>
              <w:rPr>
                <w:rFonts w:ascii="MS Gothic" w:eastAsia="MS Gothic" w:hAnsi="MS Gothic"/>
                <w:b/>
                <w:bCs/>
              </w:rPr>
            </w:pPr>
            <w:sdt>
              <w:sdtPr>
                <w:rPr>
                  <w:b/>
                  <w:bCs/>
                  <w:sz w:val="32"/>
                  <w:szCs w:val="32"/>
                </w:rPr>
                <w:id w:val="-260917292"/>
                <w14:checkbox>
                  <w14:checked w14:val="0"/>
                  <w14:checkedState w14:val="2612" w14:font="MS Gothic"/>
                  <w14:uncheckedState w14:val="2610" w14:font="MS Gothic"/>
                </w14:checkbox>
              </w:sdtPr>
              <w:sdtEndPr/>
              <w:sdtContent>
                <w:r w:rsidR="00000A7A">
                  <w:rPr>
                    <w:rFonts w:ascii="MS Gothic" w:eastAsia="MS Gothic" w:hAnsi="MS Gothic" w:hint="eastAsia"/>
                    <w:b/>
                    <w:bCs/>
                    <w:sz w:val="32"/>
                    <w:szCs w:val="32"/>
                  </w:rPr>
                  <w:t>☐</w:t>
                </w:r>
              </w:sdtContent>
            </w:sdt>
          </w:p>
        </w:tc>
        <w:tc>
          <w:tcPr>
            <w:tcW w:w="4059" w:type="pct"/>
          </w:tcPr>
          <w:p w14:paraId="347FB6E7" w14:textId="56E541D5" w:rsidR="00000A7A" w:rsidRPr="00B81146" w:rsidRDefault="00B81146" w:rsidP="00D9211C">
            <w:pPr>
              <w:pStyle w:val="ListParagraph"/>
              <w:numPr>
                <w:ilvl w:val="7"/>
                <w:numId w:val="79"/>
              </w:numPr>
              <w:rPr>
                <w:b/>
                <w:bCs/>
                <w:color w:val="5F5F5F" w:themeColor="text2"/>
              </w:rPr>
            </w:pPr>
            <w:r w:rsidRPr="00B81146">
              <w:rPr>
                <w:color w:val="142147" w:themeColor="accent1"/>
                <w:sz w:val="20"/>
                <w:szCs w:val="20"/>
              </w:rPr>
              <w:t>For entities that are subject to the ATO Corporate Tax Transparency Disclosures, provide a reconciliation or a qualitative narrative of any material differences in the data published by the ATO against the data in the VTTC for the same period.</w:t>
            </w:r>
          </w:p>
        </w:tc>
      </w:tr>
    </w:tbl>
    <w:p w14:paraId="60B575E5" w14:textId="31197239" w:rsidR="007A53E1" w:rsidRPr="006C10B5" w:rsidRDefault="007A53E1" w:rsidP="007A53E1">
      <w:pPr>
        <w:pStyle w:val="Heading3"/>
      </w:pPr>
      <w:r w:rsidRPr="006C10B5">
        <w:t>Overall approach to tax</w:t>
      </w:r>
    </w:p>
    <w:p w14:paraId="2C78B001" w14:textId="77777777" w:rsidR="007A53E1" w:rsidRPr="006C10B5" w:rsidRDefault="007A53E1" w:rsidP="007A53E1">
      <w:pPr>
        <w:pStyle w:val="Heading4"/>
      </w:pPr>
      <w:r w:rsidRPr="006C10B5">
        <w:t>Approach to tax</w:t>
      </w:r>
    </w:p>
    <w:tbl>
      <w:tblPr>
        <w:tblStyle w:val="TableGrid"/>
        <w:tblW w:w="5000" w:type="pct"/>
        <w:tblLook w:val="0420" w:firstRow="1" w:lastRow="0" w:firstColumn="0" w:lastColumn="0" w:noHBand="0" w:noVBand="1"/>
      </w:tblPr>
      <w:tblGrid>
        <w:gridCol w:w="1813"/>
        <w:gridCol w:w="7818"/>
      </w:tblGrid>
      <w:tr w:rsidR="007A53E1" w14:paraId="54537281" w14:textId="77777777" w:rsidTr="00964A52">
        <w:tc>
          <w:tcPr>
            <w:tcW w:w="941" w:type="pct"/>
            <w:shd w:val="clear" w:color="auto" w:fill="701F4D" w:themeFill="accent2"/>
          </w:tcPr>
          <w:p w14:paraId="2D04D9BA" w14:textId="77777777" w:rsidR="007A53E1" w:rsidRPr="002F48E7" w:rsidRDefault="007A53E1"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2E21735D" w14:textId="77777777" w:rsidR="007A53E1" w:rsidRPr="002F48E7" w:rsidRDefault="007A53E1"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7A53E1" w14:paraId="132B8EFD" w14:textId="77777777" w:rsidTr="00964A52">
        <w:tc>
          <w:tcPr>
            <w:tcW w:w="941" w:type="pct"/>
          </w:tcPr>
          <w:p w14:paraId="205C8FCA" w14:textId="77777777" w:rsidR="007A53E1" w:rsidRDefault="007A53E1" w:rsidP="00964A52">
            <w:pPr>
              <w:jc w:val="center"/>
            </w:pPr>
            <w:r>
              <w:t>Required</w:t>
            </w:r>
          </w:p>
          <w:p w14:paraId="1A04F274" w14:textId="77777777" w:rsidR="007A53E1" w:rsidRPr="0035332F" w:rsidRDefault="000D5C07" w:rsidP="00964A52">
            <w:pPr>
              <w:jc w:val="center"/>
              <w:rPr>
                <w:b/>
                <w:bCs/>
              </w:rPr>
            </w:pPr>
            <w:sdt>
              <w:sdtPr>
                <w:rPr>
                  <w:b/>
                  <w:bCs/>
                  <w:sz w:val="32"/>
                  <w:szCs w:val="32"/>
                </w:rPr>
                <w:alias w:val="Checkbox"/>
                <w:tag w:val="Checkbox"/>
                <w:id w:val="660125555"/>
                <w14:checkbox>
                  <w14:checked w14:val="0"/>
                  <w14:checkedState w14:val="2612" w14:font="MS Gothic"/>
                  <w14:uncheckedState w14:val="2610" w14:font="MS Gothic"/>
                </w14:checkbox>
              </w:sdtPr>
              <w:sdtEndPr/>
              <w:sdtContent>
                <w:r w:rsidR="007A53E1">
                  <w:rPr>
                    <w:rFonts w:ascii="MS Gothic" w:eastAsia="MS Gothic" w:hAnsi="MS Gothic" w:hint="eastAsia"/>
                    <w:b/>
                    <w:bCs/>
                    <w:sz w:val="32"/>
                    <w:szCs w:val="32"/>
                  </w:rPr>
                  <w:t>☐</w:t>
                </w:r>
              </w:sdtContent>
            </w:sdt>
          </w:p>
        </w:tc>
        <w:tc>
          <w:tcPr>
            <w:tcW w:w="4059" w:type="pct"/>
          </w:tcPr>
          <w:p w14:paraId="29988B52" w14:textId="50C749C2" w:rsidR="006619AE" w:rsidRPr="00653117" w:rsidRDefault="007A53E1" w:rsidP="00070452">
            <w:pPr>
              <w:numPr>
                <w:ilvl w:val="2"/>
                <w:numId w:val="50"/>
              </w:numPr>
              <w:rPr>
                <w:b/>
                <w:bCs/>
                <w:color w:val="142147" w:themeColor="accent1"/>
                <w:sz w:val="20"/>
                <w:szCs w:val="20"/>
              </w:rPr>
            </w:pPr>
            <w:r w:rsidRPr="00653117">
              <w:rPr>
                <w:b/>
                <w:bCs/>
                <w:color w:val="142147" w:themeColor="accent1"/>
                <w:sz w:val="20"/>
                <w:szCs w:val="20"/>
              </w:rPr>
              <w:t xml:space="preserve">Entities should provide </w:t>
            </w:r>
            <w:r w:rsidR="006619AE" w:rsidRPr="00653117">
              <w:rPr>
                <w:b/>
                <w:bCs/>
                <w:color w:val="142147" w:themeColor="accent1"/>
                <w:sz w:val="20"/>
                <w:szCs w:val="20"/>
              </w:rPr>
              <w:t>information on its approach to tax including: </w:t>
            </w:r>
          </w:p>
          <w:p w14:paraId="35404042" w14:textId="762A4E2C" w:rsidR="00653117" w:rsidRDefault="00653117" w:rsidP="004D5740">
            <w:pPr>
              <w:pStyle w:val="Bullet"/>
              <w:numPr>
                <w:ilvl w:val="7"/>
                <w:numId w:val="47"/>
              </w:numPr>
              <w:spacing w:before="0"/>
              <w:ind w:left="1418"/>
              <w:rPr>
                <w:b/>
                <w:bCs/>
                <w:color w:val="142147" w:themeColor="accent1"/>
                <w:sz w:val="20"/>
                <w:szCs w:val="20"/>
              </w:rPr>
            </w:pPr>
            <w:r w:rsidRPr="0056562C">
              <w:rPr>
                <w:b/>
                <w:bCs/>
                <w:color w:val="142147" w:themeColor="accent1"/>
                <w:sz w:val="20"/>
                <w:szCs w:val="20"/>
              </w:rPr>
              <w:t>whether they have a formal tax policy or strategy</w:t>
            </w:r>
            <w:r w:rsidR="006A06EF">
              <w:rPr>
                <w:b/>
                <w:bCs/>
                <w:color w:val="142147" w:themeColor="accent1"/>
                <w:sz w:val="20"/>
                <w:szCs w:val="20"/>
              </w:rPr>
              <w:t>.</w:t>
            </w:r>
          </w:p>
          <w:p w14:paraId="31C7724B" w14:textId="7BD773EA" w:rsidR="00653117" w:rsidRDefault="00653117" w:rsidP="004D5740">
            <w:pPr>
              <w:pStyle w:val="Bullet"/>
              <w:numPr>
                <w:ilvl w:val="7"/>
                <w:numId w:val="47"/>
              </w:numPr>
              <w:spacing w:before="0"/>
              <w:ind w:left="1418"/>
              <w:rPr>
                <w:b/>
                <w:bCs/>
                <w:color w:val="142147" w:themeColor="accent1"/>
                <w:sz w:val="20"/>
                <w:szCs w:val="20"/>
              </w:rPr>
            </w:pPr>
            <w:r w:rsidRPr="00653117">
              <w:rPr>
                <w:b/>
                <w:bCs/>
                <w:color w:val="142147" w:themeColor="accent1"/>
                <w:sz w:val="20"/>
                <w:szCs w:val="20"/>
              </w:rPr>
              <w:t>the governance body or executive-level position that formally reviews and approves the tax strategy and is responsible for compliance with the tax strategy, including frequency of review</w:t>
            </w:r>
            <w:r w:rsidR="006A06EF">
              <w:rPr>
                <w:b/>
                <w:bCs/>
                <w:color w:val="142147" w:themeColor="accent1"/>
                <w:sz w:val="20"/>
                <w:szCs w:val="20"/>
              </w:rPr>
              <w:t>.</w:t>
            </w:r>
          </w:p>
          <w:p w14:paraId="4AD61D36" w14:textId="03C182E6" w:rsidR="007A53E1" w:rsidRPr="00653117" w:rsidRDefault="00653117" w:rsidP="004D5740">
            <w:pPr>
              <w:pStyle w:val="Bullet"/>
              <w:numPr>
                <w:ilvl w:val="7"/>
                <w:numId w:val="47"/>
              </w:numPr>
              <w:spacing w:before="0"/>
              <w:ind w:left="1418"/>
              <w:rPr>
                <w:b/>
                <w:bCs/>
                <w:color w:val="142147" w:themeColor="accent1"/>
                <w:sz w:val="20"/>
                <w:szCs w:val="20"/>
              </w:rPr>
            </w:pPr>
            <w:r w:rsidRPr="00653117">
              <w:rPr>
                <w:b/>
                <w:bCs/>
                <w:color w:val="142147" w:themeColor="accent1"/>
                <w:sz w:val="20"/>
                <w:szCs w:val="20"/>
              </w:rPr>
              <w:t>the approach to regulatory compliance.</w:t>
            </w:r>
          </w:p>
        </w:tc>
      </w:tr>
    </w:tbl>
    <w:p w14:paraId="2A0869C8" w14:textId="77777777" w:rsidR="007A53E1" w:rsidRPr="006C10B5" w:rsidRDefault="007A53E1" w:rsidP="00AB4CAC">
      <w:pPr>
        <w:pStyle w:val="Heading4"/>
        <w:keepLines/>
      </w:pPr>
      <w:r w:rsidRPr="006C10B5">
        <w:lastRenderedPageBreak/>
        <w:t>Tax governance, control, and risk management</w:t>
      </w:r>
    </w:p>
    <w:tbl>
      <w:tblPr>
        <w:tblStyle w:val="TableGrid"/>
        <w:tblW w:w="5000" w:type="pct"/>
        <w:tblLook w:val="0420" w:firstRow="1" w:lastRow="0" w:firstColumn="0" w:lastColumn="0" w:noHBand="0" w:noVBand="1"/>
      </w:tblPr>
      <w:tblGrid>
        <w:gridCol w:w="1813"/>
        <w:gridCol w:w="7818"/>
      </w:tblGrid>
      <w:tr w:rsidR="007A53E1" w14:paraId="7883DBAF" w14:textId="77777777" w:rsidTr="00964A52">
        <w:trPr>
          <w:tblHeader/>
        </w:trPr>
        <w:tc>
          <w:tcPr>
            <w:tcW w:w="941" w:type="pct"/>
            <w:shd w:val="clear" w:color="auto" w:fill="701F4D" w:themeFill="accent2"/>
          </w:tcPr>
          <w:p w14:paraId="1FCEDF72" w14:textId="77777777" w:rsidR="007A53E1" w:rsidRPr="002F48E7" w:rsidRDefault="007A53E1" w:rsidP="00AB4CAC">
            <w:pPr>
              <w:keepNext/>
              <w:keepLines/>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5E5EDE52" w14:textId="77777777" w:rsidR="007A53E1" w:rsidRPr="002F48E7" w:rsidRDefault="007A53E1" w:rsidP="00AB4CAC">
            <w:pPr>
              <w:keepNext/>
              <w:keepLines/>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7A53E1" w14:paraId="56CE1F23" w14:textId="77777777" w:rsidTr="00964A52">
        <w:tc>
          <w:tcPr>
            <w:tcW w:w="941" w:type="pct"/>
          </w:tcPr>
          <w:p w14:paraId="758FB7FD" w14:textId="77777777" w:rsidR="007A53E1" w:rsidRPr="00EE2D9E" w:rsidRDefault="000D5C07" w:rsidP="00AB4CAC">
            <w:pPr>
              <w:keepNext/>
              <w:keepLines/>
              <w:jc w:val="center"/>
              <w:rPr>
                <w:rFonts w:ascii="MS Gothic" w:eastAsia="MS Gothic" w:hAnsi="MS Gothic"/>
                <w:b/>
                <w:bCs/>
                <w:sz w:val="32"/>
                <w:szCs w:val="32"/>
              </w:rPr>
            </w:pPr>
            <w:sdt>
              <w:sdtPr>
                <w:rPr>
                  <w:b/>
                  <w:bCs/>
                  <w:sz w:val="32"/>
                  <w:szCs w:val="32"/>
                </w:rPr>
                <w:id w:val="306290652"/>
                <w14:checkbox>
                  <w14:checked w14:val="0"/>
                  <w14:checkedState w14:val="2612" w14:font="MS Gothic"/>
                  <w14:uncheckedState w14:val="2610" w14:font="MS Gothic"/>
                </w14:checkbox>
              </w:sdtPr>
              <w:sdtEndPr/>
              <w:sdtContent>
                <w:r w:rsidR="007A53E1" w:rsidRPr="00EE2D9E">
                  <w:rPr>
                    <w:rFonts w:ascii="MS Gothic" w:eastAsia="MS Gothic" w:hAnsi="MS Gothic" w:hint="eastAsia"/>
                    <w:b/>
                    <w:bCs/>
                    <w:sz w:val="32"/>
                    <w:szCs w:val="32"/>
                  </w:rPr>
                  <w:t>☐</w:t>
                </w:r>
              </w:sdtContent>
            </w:sdt>
          </w:p>
        </w:tc>
        <w:tc>
          <w:tcPr>
            <w:tcW w:w="4059" w:type="pct"/>
          </w:tcPr>
          <w:p w14:paraId="25926903" w14:textId="77777777" w:rsidR="007A53E1" w:rsidRPr="00313C14" w:rsidRDefault="007A53E1" w:rsidP="00AB4CAC">
            <w:pPr>
              <w:keepNext/>
              <w:keepLines/>
              <w:numPr>
                <w:ilvl w:val="7"/>
                <w:numId w:val="72"/>
              </w:numPr>
              <w:rPr>
                <w:color w:val="142147" w:themeColor="accent1"/>
                <w:sz w:val="20"/>
                <w:szCs w:val="20"/>
              </w:rPr>
            </w:pPr>
            <w:r w:rsidRPr="00313C14">
              <w:rPr>
                <w:color w:val="142147" w:themeColor="accent1"/>
                <w:sz w:val="20"/>
                <w:szCs w:val="20"/>
              </w:rPr>
              <w:t xml:space="preserve">Provide a description of the tax governance, control and risk management framework including: </w:t>
            </w:r>
          </w:p>
          <w:p w14:paraId="7CD3548E" w14:textId="4781E44B" w:rsidR="007A53E1" w:rsidRPr="00313C14" w:rsidRDefault="007A53E1" w:rsidP="00AB4CAC">
            <w:pPr>
              <w:keepNext/>
              <w:keepLines/>
              <w:numPr>
                <w:ilvl w:val="0"/>
                <w:numId w:val="73"/>
              </w:numPr>
              <w:spacing w:before="0"/>
              <w:rPr>
                <w:color w:val="142147" w:themeColor="accent1"/>
                <w:sz w:val="20"/>
                <w:szCs w:val="20"/>
              </w:rPr>
            </w:pPr>
            <w:r w:rsidRPr="00313C14">
              <w:rPr>
                <w:color w:val="142147" w:themeColor="accent1"/>
                <w:sz w:val="20"/>
                <w:szCs w:val="20"/>
              </w:rPr>
              <w:t>the governance body or executive-level position within the organisation accountable for compliance with the tax strategy</w:t>
            </w:r>
            <w:r w:rsidR="006A06EF">
              <w:rPr>
                <w:color w:val="142147" w:themeColor="accent1"/>
                <w:sz w:val="20"/>
                <w:szCs w:val="20"/>
              </w:rPr>
              <w:t>.</w:t>
            </w:r>
          </w:p>
          <w:p w14:paraId="525FBBD4" w14:textId="71688C33" w:rsidR="007A53E1" w:rsidRPr="00313C14" w:rsidRDefault="007A53E1" w:rsidP="00AB4CAC">
            <w:pPr>
              <w:keepNext/>
              <w:keepLines/>
              <w:numPr>
                <w:ilvl w:val="0"/>
                <w:numId w:val="73"/>
              </w:numPr>
              <w:spacing w:before="0"/>
              <w:rPr>
                <w:color w:val="142147" w:themeColor="accent1"/>
                <w:sz w:val="20"/>
                <w:szCs w:val="20"/>
              </w:rPr>
            </w:pPr>
            <w:r w:rsidRPr="00313C14">
              <w:rPr>
                <w:color w:val="142147" w:themeColor="accent1"/>
                <w:sz w:val="20"/>
                <w:szCs w:val="20"/>
              </w:rPr>
              <w:t>how the entity’s approach to tax is communicated and embedded in the organisation</w:t>
            </w:r>
            <w:r w:rsidR="006A06EF">
              <w:rPr>
                <w:color w:val="142147" w:themeColor="accent1"/>
                <w:sz w:val="20"/>
                <w:szCs w:val="20"/>
              </w:rPr>
              <w:t>.</w:t>
            </w:r>
          </w:p>
          <w:p w14:paraId="3DB591C0" w14:textId="07C238CD" w:rsidR="007A53E1" w:rsidRPr="00313C14" w:rsidRDefault="007A53E1" w:rsidP="00AB4CAC">
            <w:pPr>
              <w:keepNext/>
              <w:keepLines/>
              <w:numPr>
                <w:ilvl w:val="0"/>
                <w:numId w:val="73"/>
              </w:numPr>
              <w:spacing w:before="0"/>
              <w:rPr>
                <w:color w:val="142147" w:themeColor="accent1"/>
                <w:sz w:val="20"/>
                <w:szCs w:val="20"/>
              </w:rPr>
            </w:pPr>
            <w:r w:rsidRPr="00313C14">
              <w:rPr>
                <w:color w:val="142147" w:themeColor="accent1"/>
                <w:sz w:val="20"/>
                <w:szCs w:val="20"/>
              </w:rPr>
              <w:t>how tax risks are identified, managed, and monitored</w:t>
            </w:r>
            <w:r w:rsidR="006A06EF">
              <w:rPr>
                <w:color w:val="142147" w:themeColor="accent1"/>
                <w:sz w:val="20"/>
                <w:szCs w:val="20"/>
              </w:rPr>
              <w:t>.</w:t>
            </w:r>
          </w:p>
          <w:p w14:paraId="79A55581" w14:textId="77777777" w:rsidR="007A53E1" w:rsidRPr="00285288" w:rsidRDefault="007A53E1" w:rsidP="00AB4CAC">
            <w:pPr>
              <w:keepNext/>
              <w:keepLines/>
              <w:numPr>
                <w:ilvl w:val="0"/>
                <w:numId w:val="73"/>
              </w:numPr>
              <w:spacing w:before="0"/>
              <w:rPr>
                <w:b/>
                <w:bCs/>
                <w:color w:val="5F5F5F" w:themeColor="text2"/>
              </w:rPr>
            </w:pPr>
            <w:r w:rsidRPr="00313C14">
              <w:rPr>
                <w:color w:val="142147" w:themeColor="accent1"/>
                <w:sz w:val="20"/>
                <w:szCs w:val="20"/>
              </w:rPr>
              <w:t>how compliance with tax governance and control framework is evaluated.</w:t>
            </w:r>
          </w:p>
        </w:tc>
      </w:tr>
    </w:tbl>
    <w:p w14:paraId="7F262659" w14:textId="77777777" w:rsidR="007A53E1" w:rsidRPr="006C10B5" w:rsidRDefault="007A53E1" w:rsidP="007A53E1">
      <w:pPr>
        <w:pStyle w:val="Heading4"/>
      </w:pPr>
      <w:r>
        <w:t>Stakeholder engagement and management of concerns related to tax</w:t>
      </w:r>
    </w:p>
    <w:tbl>
      <w:tblPr>
        <w:tblStyle w:val="TableGrid"/>
        <w:tblW w:w="5000" w:type="pct"/>
        <w:tblLook w:val="0420" w:firstRow="1" w:lastRow="0" w:firstColumn="0" w:lastColumn="0" w:noHBand="0" w:noVBand="1"/>
      </w:tblPr>
      <w:tblGrid>
        <w:gridCol w:w="1813"/>
        <w:gridCol w:w="7818"/>
      </w:tblGrid>
      <w:tr w:rsidR="007A53E1" w14:paraId="2D8A2A30" w14:textId="77777777" w:rsidTr="00964A52">
        <w:trPr>
          <w:tblHeader/>
        </w:trPr>
        <w:tc>
          <w:tcPr>
            <w:tcW w:w="941" w:type="pct"/>
            <w:shd w:val="clear" w:color="auto" w:fill="701F4D" w:themeFill="accent2"/>
          </w:tcPr>
          <w:p w14:paraId="759A0E0E" w14:textId="77777777" w:rsidR="007A53E1" w:rsidRPr="002F48E7" w:rsidRDefault="007A53E1"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321A1451" w14:textId="77777777" w:rsidR="007A53E1" w:rsidRPr="002F48E7" w:rsidRDefault="007A53E1"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7A53E1" w14:paraId="3600741A" w14:textId="77777777" w:rsidTr="00964A52">
        <w:tc>
          <w:tcPr>
            <w:tcW w:w="941" w:type="pct"/>
          </w:tcPr>
          <w:p w14:paraId="28814736" w14:textId="77777777" w:rsidR="007A53E1" w:rsidRPr="00EE2D9E" w:rsidRDefault="000D5C07" w:rsidP="00964A52">
            <w:pPr>
              <w:jc w:val="center"/>
              <w:rPr>
                <w:rFonts w:ascii="MS Gothic" w:eastAsia="MS Gothic" w:hAnsi="MS Gothic"/>
                <w:b/>
                <w:bCs/>
                <w:sz w:val="32"/>
                <w:szCs w:val="32"/>
              </w:rPr>
            </w:pPr>
            <w:sdt>
              <w:sdtPr>
                <w:rPr>
                  <w:b/>
                  <w:bCs/>
                  <w:sz w:val="32"/>
                  <w:szCs w:val="32"/>
                </w:rPr>
                <w:id w:val="2003927743"/>
                <w14:checkbox>
                  <w14:checked w14:val="0"/>
                  <w14:checkedState w14:val="2612" w14:font="MS Gothic"/>
                  <w14:uncheckedState w14:val="2610" w14:font="MS Gothic"/>
                </w14:checkbox>
              </w:sdtPr>
              <w:sdtEndPr/>
              <w:sdtContent>
                <w:r w:rsidR="007A53E1" w:rsidRPr="00EE2D9E">
                  <w:rPr>
                    <w:rFonts w:ascii="MS Gothic" w:eastAsia="MS Gothic" w:hAnsi="MS Gothic" w:hint="eastAsia"/>
                    <w:b/>
                    <w:bCs/>
                    <w:sz w:val="32"/>
                    <w:szCs w:val="32"/>
                  </w:rPr>
                  <w:t>☐</w:t>
                </w:r>
              </w:sdtContent>
            </w:sdt>
          </w:p>
        </w:tc>
        <w:tc>
          <w:tcPr>
            <w:tcW w:w="4059" w:type="pct"/>
          </w:tcPr>
          <w:p w14:paraId="029598F2" w14:textId="77777777" w:rsidR="007A53E1" w:rsidRPr="00FE3DB7" w:rsidRDefault="007A53E1" w:rsidP="00D9211C">
            <w:pPr>
              <w:numPr>
                <w:ilvl w:val="7"/>
                <w:numId w:val="74"/>
              </w:numPr>
              <w:rPr>
                <w:color w:val="142147" w:themeColor="accent1"/>
                <w:sz w:val="20"/>
                <w:szCs w:val="20"/>
              </w:rPr>
            </w:pPr>
            <w:r w:rsidRPr="00FE3DB7">
              <w:rPr>
                <w:color w:val="142147" w:themeColor="accent1"/>
                <w:sz w:val="20"/>
                <w:szCs w:val="20"/>
              </w:rPr>
              <w:t xml:space="preserve">Provide a description of its approach to engagement with the ATO. This may include: </w:t>
            </w:r>
          </w:p>
          <w:p w14:paraId="11D6B3B4" w14:textId="0684A56B" w:rsidR="003708E3" w:rsidRPr="00FE3DB7" w:rsidRDefault="003708E3" w:rsidP="004D5740">
            <w:pPr>
              <w:numPr>
                <w:ilvl w:val="0"/>
                <w:numId w:val="75"/>
              </w:numPr>
              <w:spacing w:before="0"/>
              <w:rPr>
                <w:color w:val="142147" w:themeColor="accent1"/>
                <w:sz w:val="20"/>
                <w:szCs w:val="20"/>
              </w:rPr>
            </w:pPr>
            <w:r w:rsidRPr="00FE3DB7">
              <w:rPr>
                <w:color w:val="142147" w:themeColor="accent1"/>
                <w:sz w:val="20"/>
                <w:szCs w:val="20"/>
              </w:rPr>
              <w:t>the assurance regimes the entity is subject to, including any outcomes from assurance regimes, for example, internal audit, external audit, Advance Pricing Arrangements (APAs), Annual Compliance Arrangement (ACA), Justified Trust reviews and ATO pre-lodgement compliance reviews</w:t>
            </w:r>
            <w:r w:rsidR="006A06EF">
              <w:rPr>
                <w:color w:val="142147" w:themeColor="accent1"/>
                <w:sz w:val="20"/>
                <w:szCs w:val="20"/>
              </w:rPr>
              <w:t>.</w:t>
            </w:r>
          </w:p>
          <w:p w14:paraId="74B8ADF2" w14:textId="2DBE56AA" w:rsidR="003708E3" w:rsidRPr="00FE3DB7" w:rsidRDefault="003708E3" w:rsidP="004D5740">
            <w:pPr>
              <w:numPr>
                <w:ilvl w:val="0"/>
                <w:numId w:val="75"/>
              </w:numPr>
              <w:spacing w:before="0"/>
              <w:rPr>
                <w:color w:val="142147" w:themeColor="accent1"/>
                <w:sz w:val="20"/>
                <w:szCs w:val="20"/>
              </w:rPr>
            </w:pPr>
            <w:r w:rsidRPr="00FE3DB7">
              <w:rPr>
                <w:color w:val="142147" w:themeColor="accent1"/>
                <w:sz w:val="20"/>
                <w:szCs w:val="20"/>
              </w:rPr>
              <w:t>engagement on tax risks including private binding rulings obtained, cooperative compliance agreements, seeking active real-time audit, seeking clearance for significant transactions and APAs sought</w:t>
            </w:r>
            <w:r w:rsidR="006A06EF">
              <w:rPr>
                <w:color w:val="142147" w:themeColor="accent1"/>
                <w:sz w:val="20"/>
                <w:szCs w:val="20"/>
              </w:rPr>
              <w:t>.</w:t>
            </w:r>
          </w:p>
          <w:p w14:paraId="6BF60789" w14:textId="671BE84B" w:rsidR="003708E3" w:rsidRPr="00FE3DB7" w:rsidRDefault="003708E3" w:rsidP="004D5740">
            <w:pPr>
              <w:numPr>
                <w:ilvl w:val="0"/>
                <w:numId w:val="75"/>
              </w:numPr>
              <w:spacing w:before="0"/>
              <w:rPr>
                <w:color w:val="142147" w:themeColor="accent1"/>
                <w:sz w:val="20"/>
                <w:szCs w:val="20"/>
              </w:rPr>
            </w:pPr>
            <w:r w:rsidRPr="00FE3DB7">
              <w:rPr>
                <w:color w:val="142147" w:themeColor="accent1"/>
                <w:sz w:val="20"/>
                <w:szCs w:val="20"/>
              </w:rPr>
              <w:t>the outcome of ATO compliance activities, for example, a ‘risk rating’ or the outcome of a streamlined risk review</w:t>
            </w:r>
            <w:r w:rsidR="006A06EF">
              <w:rPr>
                <w:color w:val="142147" w:themeColor="accent1"/>
                <w:sz w:val="20"/>
                <w:szCs w:val="20"/>
              </w:rPr>
              <w:t>.</w:t>
            </w:r>
          </w:p>
          <w:p w14:paraId="7A29F09B" w14:textId="588BFEE4" w:rsidR="007A53E1" w:rsidRPr="00285288" w:rsidRDefault="003708E3" w:rsidP="004D5740">
            <w:pPr>
              <w:numPr>
                <w:ilvl w:val="0"/>
                <w:numId w:val="75"/>
              </w:numPr>
              <w:spacing w:before="0"/>
              <w:rPr>
                <w:b/>
                <w:bCs/>
                <w:color w:val="5F5F5F" w:themeColor="text2"/>
              </w:rPr>
            </w:pPr>
            <w:r w:rsidRPr="00FE3DB7">
              <w:rPr>
                <w:color w:val="142147" w:themeColor="accent1"/>
                <w:sz w:val="20"/>
                <w:szCs w:val="20"/>
              </w:rPr>
              <w:t>any significant ongoing or recently settled tax disputes with the ATO and/or other revenue authorities, including settlement outcomes, to the extent not already disclosed in financial statements.</w:t>
            </w:r>
          </w:p>
        </w:tc>
      </w:tr>
      <w:tr w:rsidR="007A53E1" w14:paraId="39CD2C01" w14:textId="77777777" w:rsidTr="00964A52">
        <w:tc>
          <w:tcPr>
            <w:tcW w:w="941" w:type="pct"/>
          </w:tcPr>
          <w:p w14:paraId="4A72E4C8" w14:textId="77777777" w:rsidR="007A53E1" w:rsidRPr="00EE2D9E" w:rsidRDefault="000D5C07" w:rsidP="00964A52">
            <w:pPr>
              <w:jc w:val="center"/>
              <w:rPr>
                <w:rFonts w:ascii="MS Gothic" w:eastAsia="MS Gothic" w:hAnsi="MS Gothic"/>
                <w:b/>
                <w:bCs/>
                <w:sz w:val="32"/>
                <w:szCs w:val="32"/>
              </w:rPr>
            </w:pPr>
            <w:sdt>
              <w:sdtPr>
                <w:rPr>
                  <w:b/>
                  <w:bCs/>
                  <w:sz w:val="32"/>
                  <w:szCs w:val="32"/>
                </w:rPr>
                <w:id w:val="630295229"/>
                <w14:checkbox>
                  <w14:checked w14:val="0"/>
                  <w14:checkedState w14:val="2612" w14:font="MS Gothic"/>
                  <w14:uncheckedState w14:val="2610" w14:font="MS Gothic"/>
                </w14:checkbox>
              </w:sdtPr>
              <w:sdtEndPr/>
              <w:sdtContent>
                <w:r w:rsidR="007A53E1" w:rsidRPr="00EE2D9E">
                  <w:rPr>
                    <w:rFonts w:ascii="MS Gothic" w:eastAsia="MS Gothic" w:hAnsi="MS Gothic" w:hint="eastAsia"/>
                    <w:b/>
                    <w:bCs/>
                    <w:sz w:val="32"/>
                    <w:szCs w:val="32"/>
                  </w:rPr>
                  <w:t>☐</w:t>
                </w:r>
              </w:sdtContent>
            </w:sdt>
          </w:p>
        </w:tc>
        <w:tc>
          <w:tcPr>
            <w:tcW w:w="4059" w:type="pct"/>
          </w:tcPr>
          <w:p w14:paraId="34BFB69B" w14:textId="10C056E0" w:rsidR="007A53E1" w:rsidRPr="00285288" w:rsidRDefault="00FE3DB7" w:rsidP="00D9211C">
            <w:pPr>
              <w:numPr>
                <w:ilvl w:val="7"/>
                <w:numId w:val="74"/>
              </w:numPr>
              <w:rPr>
                <w:color w:val="5F5F5F" w:themeColor="text2"/>
              </w:rPr>
            </w:pPr>
            <w:r w:rsidRPr="0056562C">
              <w:rPr>
                <w:color w:val="142147" w:themeColor="accent1"/>
                <w:sz w:val="20"/>
                <w:szCs w:val="20"/>
              </w:rPr>
              <w:t>Provide a description of its approach to engagement with other tax authorities.</w:t>
            </w:r>
          </w:p>
        </w:tc>
      </w:tr>
    </w:tbl>
    <w:p w14:paraId="28428D77" w14:textId="0AB51ABC" w:rsidR="007A53E1" w:rsidRPr="006C10B5" w:rsidRDefault="007A53E1" w:rsidP="007A53E1">
      <w:pPr>
        <w:pStyle w:val="Heading4"/>
      </w:pPr>
      <w:r>
        <w:t>International related party dealings summary</w:t>
      </w:r>
    </w:p>
    <w:tbl>
      <w:tblPr>
        <w:tblStyle w:val="TableGrid"/>
        <w:tblW w:w="5000" w:type="pct"/>
        <w:tblLook w:val="0420" w:firstRow="1" w:lastRow="0" w:firstColumn="0" w:lastColumn="0" w:noHBand="0" w:noVBand="1"/>
      </w:tblPr>
      <w:tblGrid>
        <w:gridCol w:w="1813"/>
        <w:gridCol w:w="7818"/>
      </w:tblGrid>
      <w:tr w:rsidR="007A53E1" w14:paraId="0839A0D5" w14:textId="77777777" w:rsidTr="00964A52">
        <w:tc>
          <w:tcPr>
            <w:tcW w:w="941" w:type="pct"/>
            <w:shd w:val="clear" w:color="auto" w:fill="701F4D" w:themeFill="accent2"/>
          </w:tcPr>
          <w:p w14:paraId="1C39DBDC" w14:textId="77777777" w:rsidR="007A53E1" w:rsidRPr="002F48E7" w:rsidRDefault="007A53E1"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72B4414A" w14:textId="77777777" w:rsidR="007A53E1" w:rsidRPr="002F48E7" w:rsidRDefault="007A53E1"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7A53E1" w14:paraId="62738666" w14:textId="77777777" w:rsidTr="00964A52">
        <w:tc>
          <w:tcPr>
            <w:tcW w:w="941" w:type="pct"/>
          </w:tcPr>
          <w:p w14:paraId="25DBC30D" w14:textId="77777777" w:rsidR="007A53E1" w:rsidRPr="00972DDB" w:rsidRDefault="007A53E1" w:rsidP="00964A52">
            <w:pPr>
              <w:jc w:val="center"/>
              <w:rPr>
                <w:color w:val="142147" w:themeColor="accent1"/>
                <w:sz w:val="20"/>
                <w:szCs w:val="20"/>
              </w:rPr>
            </w:pPr>
            <w:r w:rsidRPr="00972DDB">
              <w:rPr>
                <w:color w:val="142147" w:themeColor="accent1"/>
                <w:sz w:val="20"/>
                <w:szCs w:val="20"/>
              </w:rPr>
              <w:t>Required</w:t>
            </w:r>
          </w:p>
          <w:p w14:paraId="7AD6A1FC" w14:textId="77777777" w:rsidR="007A53E1" w:rsidRPr="0035332F" w:rsidRDefault="000D5C07" w:rsidP="00964A52">
            <w:pPr>
              <w:jc w:val="center"/>
              <w:rPr>
                <w:b/>
                <w:bCs/>
              </w:rPr>
            </w:pPr>
            <w:sdt>
              <w:sdtPr>
                <w:rPr>
                  <w:b/>
                  <w:bCs/>
                  <w:sz w:val="32"/>
                  <w:szCs w:val="32"/>
                </w:rPr>
                <w:alias w:val="Checkbox"/>
                <w:tag w:val="Checkbox"/>
                <w:id w:val="1128667964"/>
                <w14:checkbox>
                  <w14:checked w14:val="0"/>
                  <w14:checkedState w14:val="2612" w14:font="MS Gothic"/>
                  <w14:uncheckedState w14:val="2610" w14:font="MS Gothic"/>
                </w14:checkbox>
              </w:sdtPr>
              <w:sdtEndPr/>
              <w:sdtContent>
                <w:r w:rsidR="007A53E1" w:rsidRPr="00972DDB">
                  <w:rPr>
                    <w:rFonts w:ascii="MS Gothic" w:eastAsia="MS Gothic" w:hAnsi="MS Gothic" w:hint="eastAsia"/>
                    <w:b/>
                    <w:bCs/>
                    <w:sz w:val="32"/>
                    <w:szCs w:val="32"/>
                  </w:rPr>
                  <w:t>☐</w:t>
                </w:r>
              </w:sdtContent>
            </w:sdt>
          </w:p>
        </w:tc>
        <w:tc>
          <w:tcPr>
            <w:tcW w:w="4059" w:type="pct"/>
          </w:tcPr>
          <w:p w14:paraId="25D62EE3" w14:textId="2FC0247E" w:rsidR="003C1336" w:rsidRPr="0056562C" w:rsidRDefault="003C1336" w:rsidP="00FF6C8C">
            <w:pPr>
              <w:pStyle w:val="ListParagraph"/>
              <w:numPr>
                <w:ilvl w:val="2"/>
                <w:numId w:val="83"/>
              </w:numPr>
              <w:rPr>
                <w:b/>
                <w:bCs/>
                <w:color w:val="142147" w:themeColor="accent1"/>
                <w:sz w:val="20"/>
                <w:szCs w:val="20"/>
              </w:rPr>
            </w:pPr>
            <w:r w:rsidRPr="0056562C">
              <w:rPr>
                <w:b/>
                <w:bCs/>
                <w:color w:val="142147" w:themeColor="accent1"/>
                <w:sz w:val="20"/>
                <w:szCs w:val="20"/>
              </w:rPr>
              <w:t>Entities should provide a qualitative disclosure of key categories of dealings with offshore related parties which have a material impact on the entities Australian taxable income, including:</w:t>
            </w:r>
          </w:p>
          <w:p w14:paraId="11BD6634" w14:textId="72730767" w:rsidR="00D9211C" w:rsidRDefault="003C1336" w:rsidP="004D5740">
            <w:pPr>
              <w:pStyle w:val="Bullet"/>
              <w:numPr>
                <w:ilvl w:val="0"/>
                <w:numId w:val="51"/>
              </w:numPr>
              <w:spacing w:before="0"/>
              <w:rPr>
                <w:b/>
                <w:bCs/>
                <w:color w:val="142147" w:themeColor="accent1"/>
                <w:sz w:val="20"/>
                <w:szCs w:val="20"/>
              </w:rPr>
            </w:pPr>
            <w:r w:rsidRPr="0056562C">
              <w:rPr>
                <w:b/>
                <w:bCs/>
                <w:color w:val="142147" w:themeColor="accent1"/>
                <w:sz w:val="20"/>
                <w:szCs w:val="20"/>
              </w:rPr>
              <w:t>the nature of the dealings</w:t>
            </w:r>
            <w:r w:rsidR="006A06EF">
              <w:rPr>
                <w:b/>
                <w:bCs/>
                <w:color w:val="142147" w:themeColor="accent1"/>
                <w:sz w:val="20"/>
                <w:szCs w:val="20"/>
              </w:rPr>
              <w:t>.</w:t>
            </w:r>
          </w:p>
          <w:p w14:paraId="36973907" w14:textId="27235695" w:rsidR="007A53E1" w:rsidRPr="00D9211C" w:rsidRDefault="003C1336" w:rsidP="004D5740">
            <w:pPr>
              <w:pStyle w:val="Bullet"/>
              <w:numPr>
                <w:ilvl w:val="0"/>
                <w:numId w:val="51"/>
              </w:numPr>
              <w:spacing w:before="0"/>
              <w:rPr>
                <w:b/>
                <w:bCs/>
                <w:color w:val="142147" w:themeColor="accent1"/>
                <w:sz w:val="20"/>
                <w:szCs w:val="20"/>
              </w:rPr>
            </w:pPr>
            <w:r w:rsidRPr="00D9211C">
              <w:rPr>
                <w:b/>
                <w:bCs/>
                <w:color w:val="142147" w:themeColor="accent1"/>
                <w:sz w:val="20"/>
                <w:szCs w:val="20"/>
              </w:rPr>
              <w:t>the country in which the related party is located.</w:t>
            </w:r>
          </w:p>
        </w:tc>
      </w:tr>
    </w:tbl>
    <w:p w14:paraId="575E0FEC" w14:textId="77777777" w:rsidR="001F46FA" w:rsidRDefault="001F46FA" w:rsidP="008407A1">
      <w:r>
        <w:br w:type="page"/>
      </w:r>
    </w:p>
    <w:p w14:paraId="513FB81A" w14:textId="3F8962E9" w:rsidR="00BD4078" w:rsidRDefault="00701624" w:rsidP="005F43BB">
      <w:pPr>
        <w:pStyle w:val="AppendixHeading"/>
      </w:pPr>
      <w:bookmarkStart w:id="96" w:name="_Non-public_CbC_reporter"/>
      <w:bookmarkStart w:id="97" w:name="Appendix_C_Glossary"/>
      <w:bookmarkStart w:id="98" w:name="_Toc195021327"/>
      <w:bookmarkStart w:id="99" w:name="_Toc212116327"/>
      <w:bookmarkEnd w:id="96"/>
      <w:bookmarkEnd w:id="97"/>
      <w:r>
        <w:lastRenderedPageBreak/>
        <w:t>A</w:t>
      </w:r>
      <w:r w:rsidR="00BD4078" w:rsidRPr="00C45508">
        <w:t>ppendix C – Glossary</w:t>
      </w:r>
      <w:bookmarkEnd w:id="98"/>
      <w:bookmarkEnd w:id="99"/>
      <w:r w:rsidR="00BD4078" w:rsidRPr="00C45508">
        <w:t xml:space="preserve"> </w:t>
      </w:r>
    </w:p>
    <w:p w14:paraId="3B4D7D67" w14:textId="136C1B8F" w:rsidR="00B37803" w:rsidRPr="00B37803" w:rsidRDefault="00DF3413" w:rsidP="000F316C">
      <w:r w:rsidRPr="00DF3413">
        <w:t>For the purposes of the VTTC, the following definitions apply.</w:t>
      </w:r>
    </w:p>
    <w:tbl>
      <w:tblPr>
        <w:tblStyle w:val="ListTable3-Accent2"/>
        <w:tblW w:w="5000" w:type="pct"/>
        <w:tblBorders>
          <w:insideH w:val="single" w:sz="4" w:space="0" w:color="701F4D" w:themeColor="accent2"/>
          <w:insideV w:val="single" w:sz="4" w:space="0" w:color="701F4D" w:themeColor="accent2"/>
        </w:tblBorders>
        <w:tblLook w:val="04A0" w:firstRow="1" w:lastRow="0" w:firstColumn="1" w:lastColumn="0" w:noHBand="0" w:noVBand="1"/>
      </w:tblPr>
      <w:tblGrid>
        <w:gridCol w:w="3397"/>
        <w:gridCol w:w="6234"/>
      </w:tblGrid>
      <w:tr w:rsidR="00BD4078" w14:paraId="21770252" w14:textId="77777777" w:rsidTr="00B733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97" w:type="dxa"/>
            <w:tcBorders>
              <w:bottom w:val="none" w:sz="0" w:space="0" w:color="auto"/>
              <w:right w:val="none" w:sz="0" w:space="0" w:color="auto"/>
            </w:tcBorders>
          </w:tcPr>
          <w:p w14:paraId="14869CAF" w14:textId="77777777" w:rsidR="00BD4078" w:rsidRPr="006C2E6F" w:rsidRDefault="00BD4078" w:rsidP="005F43BB">
            <w:pPr>
              <w:pStyle w:val="TableHeaderCellLeft"/>
              <w:rPr>
                <w:sz w:val="24"/>
                <w:szCs w:val="24"/>
              </w:rPr>
            </w:pPr>
            <w:r w:rsidRPr="006C2E6F">
              <w:rPr>
                <w:sz w:val="24"/>
                <w:szCs w:val="24"/>
              </w:rPr>
              <w:t xml:space="preserve">Term </w:t>
            </w:r>
          </w:p>
        </w:tc>
        <w:tc>
          <w:tcPr>
            <w:tcW w:w="6234" w:type="dxa"/>
          </w:tcPr>
          <w:p w14:paraId="0B3593E2" w14:textId="77777777" w:rsidR="00BD4078" w:rsidRPr="006C2E6F" w:rsidRDefault="00BD4078" w:rsidP="005F43BB">
            <w:pPr>
              <w:pStyle w:val="TableHeaderCellLeft"/>
              <w:cnfStyle w:val="100000000000" w:firstRow="1" w:lastRow="0" w:firstColumn="0" w:lastColumn="0" w:oddVBand="0" w:evenVBand="0" w:oddHBand="0" w:evenHBand="0" w:firstRowFirstColumn="0" w:firstRowLastColumn="0" w:lastRowFirstColumn="0" w:lastRowLastColumn="0"/>
              <w:rPr>
                <w:sz w:val="24"/>
                <w:szCs w:val="24"/>
              </w:rPr>
            </w:pPr>
            <w:r w:rsidRPr="006C2E6F">
              <w:rPr>
                <w:sz w:val="24"/>
                <w:szCs w:val="24"/>
              </w:rPr>
              <w:t>Definition</w:t>
            </w:r>
          </w:p>
        </w:tc>
      </w:tr>
      <w:tr w:rsidR="00BD4078" w:rsidRPr="006C2E6F" w14:paraId="6E7070EC" w14:textId="77777777" w:rsidTr="00B733FC">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none" w:sz="0" w:space="0" w:color="auto"/>
            </w:tcBorders>
            <w:shd w:val="clear" w:color="auto" w:fill="142147" w:themeFill="accent1"/>
          </w:tcPr>
          <w:p w14:paraId="6DA0C69F" w14:textId="77777777" w:rsidR="00BD4078" w:rsidRPr="006C2E6F" w:rsidRDefault="00BD4078" w:rsidP="005F43BB">
            <w:pPr>
              <w:pStyle w:val="TableBodyCellLeft"/>
              <w:rPr>
                <w:rFonts w:cstheme="minorHAnsi"/>
                <w:sz w:val="22"/>
                <w:szCs w:val="22"/>
              </w:rPr>
            </w:pPr>
            <w:r w:rsidRPr="006C2E6F">
              <w:rPr>
                <w:rFonts w:cstheme="minorHAnsi"/>
                <w:sz w:val="22"/>
                <w:szCs w:val="22"/>
              </w:rPr>
              <w:t xml:space="preserve">Accounting profit </w:t>
            </w:r>
          </w:p>
        </w:tc>
        <w:tc>
          <w:tcPr>
            <w:tcW w:w="6234" w:type="dxa"/>
            <w:tcBorders>
              <w:top w:val="none" w:sz="0" w:space="0" w:color="auto"/>
              <w:bottom w:val="none" w:sz="0" w:space="0" w:color="auto"/>
            </w:tcBorders>
          </w:tcPr>
          <w:p w14:paraId="4BF0C2DD" w14:textId="128E6C50" w:rsidR="00BD4078" w:rsidRPr="006C2E6F" w:rsidRDefault="00BD4078" w:rsidP="005F43BB">
            <w:pPr>
              <w:pStyle w:val="TableBodyCellLeft"/>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6C2E6F">
              <w:rPr>
                <w:rFonts w:cstheme="minorHAnsi"/>
                <w:sz w:val="22"/>
                <w:szCs w:val="22"/>
              </w:rPr>
              <w:t>Adopts the same definition in</w:t>
            </w:r>
            <w:r w:rsidR="008D03C9" w:rsidRPr="006C2E6F">
              <w:rPr>
                <w:rFonts w:cstheme="minorHAnsi"/>
                <w:sz w:val="22"/>
                <w:szCs w:val="22"/>
              </w:rPr>
              <w:t xml:space="preserve"> Accounting Standard</w:t>
            </w:r>
            <w:r w:rsidRPr="006C2E6F">
              <w:rPr>
                <w:rFonts w:cstheme="minorHAnsi"/>
                <w:sz w:val="22"/>
                <w:szCs w:val="22"/>
              </w:rPr>
              <w:t xml:space="preserve"> AASB 112. Profit or loss for a period before deducting tax expense. </w:t>
            </w:r>
          </w:p>
        </w:tc>
      </w:tr>
      <w:tr w:rsidR="00BD4078" w:rsidRPr="006C2E6F" w14:paraId="332932B9" w14:textId="77777777" w:rsidTr="00B733FC">
        <w:trPr>
          <w:trHeight w:val="794"/>
        </w:trPr>
        <w:tc>
          <w:tcPr>
            <w:cnfStyle w:val="001000000000" w:firstRow="0" w:lastRow="0" w:firstColumn="1" w:lastColumn="0" w:oddVBand="0" w:evenVBand="0" w:oddHBand="0" w:evenHBand="0" w:firstRowFirstColumn="0" w:firstRowLastColumn="0" w:lastRowFirstColumn="0" w:lastRowLastColumn="0"/>
            <w:tcW w:w="3397" w:type="dxa"/>
            <w:tcBorders>
              <w:right w:val="none" w:sz="0" w:space="0" w:color="auto"/>
            </w:tcBorders>
            <w:shd w:val="clear" w:color="auto" w:fill="142147" w:themeFill="accent1"/>
          </w:tcPr>
          <w:p w14:paraId="6AA9095D" w14:textId="77777777" w:rsidR="00BD4078" w:rsidRPr="006C2E6F" w:rsidRDefault="00BD4078" w:rsidP="005F43BB">
            <w:pPr>
              <w:pStyle w:val="TableBodyCellLeft"/>
              <w:rPr>
                <w:rFonts w:cstheme="minorHAnsi"/>
                <w:sz w:val="22"/>
                <w:szCs w:val="22"/>
              </w:rPr>
            </w:pPr>
            <w:r w:rsidRPr="006C2E6F">
              <w:rPr>
                <w:rFonts w:cstheme="minorHAnsi"/>
                <w:sz w:val="22"/>
                <w:szCs w:val="22"/>
              </w:rPr>
              <w:t>ATO</w:t>
            </w:r>
          </w:p>
        </w:tc>
        <w:tc>
          <w:tcPr>
            <w:tcW w:w="6234" w:type="dxa"/>
          </w:tcPr>
          <w:p w14:paraId="71D929E5" w14:textId="77777777" w:rsidR="00BD4078" w:rsidRPr="006C2E6F" w:rsidRDefault="00BD4078" w:rsidP="005F43BB">
            <w:pPr>
              <w:pStyle w:val="TableBodyCel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C2E6F">
              <w:rPr>
                <w:rFonts w:cstheme="minorHAnsi"/>
                <w:sz w:val="22"/>
                <w:szCs w:val="22"/>
              </w:rPr>
              <w:t xml:space="preserve">Australian Taxation Office </w:t>
            </w:r>
          </w:p>
        </w:tc>
      </w:tr>
      <w:tr w:rsidR="00BD4078" w:rsidRPr="006C2E6F" w14:paraId="54AAAD6B" w14:textId="77777777" w:rsidTr="00B733FC">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none" w:sz="0" w:space="0" w:color="auto"/>
            </w:tcBorders>
            <w:shd w:val="clear" w:color="auto" w:fill="142147" w:themeFill="accent1"/>
          </w:tcPr>
          <w:p w14:paraId="4E8BB8D9" w14:textId="77777777" w:rsidR="00BD4078" w:rsidRPr="006C2E6F" w:rsidRDefault="00BD4078" w:rsidP="005F43BB">
            <w:pPr>
              <w:pStyle w:val="TableBodyCellLeft"/>
              <w:rPr>
                <w:rFonts w:cstheme="minorHAnsi"/>
                <w:sz w:val="22"/>
                <w:szCs w:val="22"/>
              </w:rPr>
            </w:pPr>
            <w:r w:rsidRPr="006C2E6F">
              <w:rPr>
                <w:rFonts w:cstheme="minorHAnsi"/>
                <w:sz w:val="22"/>
                <w:szCs w:val="22"/>
              </w:rPr>
              <w:t>Australian headquartered business</w:t>
            </w:r>
          </w:p>
        </w:tc>
        <w:tc>
          <w:tcPr>
            <w:tcW w:w="6234" w:type="dxa"/>
            <w:tcBorders>
              <w:top w:val="none" w:sz="0" w:space="0" w:color="auto"/>
              <w:bottom w:val="none" w:sz="0" w:space="0" w:color="auto"/>
            </w:tcBorders>
          </w:tcPr>
          <w:p w14:paraId="613F4E46" w14:textId="77777777" w:rsidR="00BD4078" w:rsidRPr="006C2E6F" w:rsidRDefault="00BD4078" w:rsidP="005F43BB">
            <w:pPr>
              <w:pStyle w:val="TableBodyCellLeft"/>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6C2E6F">
              <w:rPr>
                <w:rFonts w:cstheme="minorHAnsi"/>
                <w:sz w:val="22"/>
                <w:szCs w:val="22"/>
              </w:rPr>
              <w:t>Generally taken to mean an Australian company (or business that is treated as a company for Australian tax purposes), or an accounting consolidated group headed by an Australian parent.</w:t>
            </w:r>
          </w:p>
        </w:tc>
      </w:tr>
      <w:tr w:rsidR="00BD4078" w:rsidRPr="006C2E6F" w14:paraId="6758265A" w14:textId="77777777" w:rsidTr="00B733FC">
        <w:trPr>
          <w:trHeight w:val="794"/>
        </w:trPr>
        <w:tc>
          <w:tcPr>
            <w:cnfStyle w:val="001000000000" w:firstRow="0" w:lastRow="0" w:firstColumn="1" w:lastColumn="0" w:oddVBand="0" w:evenVBand="0" w:oddHBand="0" w:evenHBand="0" w:firstRowFirstColumn="0" w:firstRowLastColumn="0" w:lastRowFirstColumn="0" w:lastRowLastColumn="0"/>
            <w:tcW w:w="3397" w:type="dxa"/>
            <w:tcBorders>
              <w:right w:val="none" w:sz="0" w:space="0" w:color="auto"/>
            </w:tcBorders>
            <w:shd w:val="clear" w:color="auto" w:fill="142147" w:themeFill="accent1"/>
          </w:tcPr>
          <w:p w14:paraId="32CBC17B" w14:textId="57AA28BE" w:rsidR="00BD4078" w:rsidRPr="006C2E6F" w:rsidRDefault="00DE0E4A" w:rsidP="005F43BB">
            <w:pPr>
              <w:pStyle w:val="TableBodyCellLeft"/>
              <w:rPr>
                <w:rFonts w:cstheme="minorHAnsi"/>
                <w:sz w:val="22"/>
                <w:szCs w:val="22"/>
              </w:rPr>
            </w:pPr>
            <w:r w:rsidRPr="006C2E6F">
              <w:rPr>
                <w:rFonts w:cstheme="minorHAnsi"/>
                <w:sz w:val="22"/>
                <w:szCs w:val="22"/>
              </w:rPr>
              <w:t xml:space="preserve">Public </w:t>
            </w:r>
            <w:proofErr w:type="spellStart"/>
            <w:r w:rsidR="00BD4078" w:rsidRPr="006C2E6F">
              <w:rPr>
                <w:rFonts w:cstheme="minorHAnsi"/>
                <w:sz w:val="22"/>
                <w:szCs w:val="22"/>
              </w:rPr>
              <w:t>CbC</w:t>
            </w:r>
            <w:proofErr w:type="spellEnd"/>
            <w:r w:rsidR="00BD4078" w:rsidRPr="006C2E6F">
              <w:rPr>
                <w:rFonts w:cstheme="minorHAnsi"/>
                <w:sz w:val="22"/>
                <w:szCs w:val="22"/>
              </w:rPr>
              <w:t xml:space="preserve"> reporter</w:t>
            </w:r>
          </w:p>
        </w:tc>
        <w:tc>
          <w:tcPr>
            <w:tcW w:w="6234" w:type="dxa"/>
          </w:tcPr>
          <w:p w14:paraId="4DCA5CD5" w14:textId="5E567CF5" w:rsidR="00BD4078" w:rsidRPr="006C2E6F" w:rsidRDefault="00BD4078" w:rsidP="005F43BB">
            <w:pPr>
              <w:pStyle w:val="TableBodyCel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C2E6F">
              <w:rPr>
                <w:rFonts w:cstheme="minorHAnsi"/>
                <w:sz w:val="22"/>
                <w:szCs w:val="22"/>
              </w:rPr>
              <w:t xml:space="preserve">Any entity that is required to publish information under the requirements in sections 3D and 3DA of the </w:t>
            </w:r>
            <w:r w:rsidRPr="006C2E6F">
              <w:rPr>
                <w:rFonts w:cstheme="minorHAnsi"/>
                <w:i/>
                <w:iCs/>
                <w:sz w:val="22"/>
                <w:szCs w:val="22"/>
              </w:rPr>
              <w:t>Taxation Administration Act 1953</w:t>
            </w:r>
            <w:r w:rsidRPr="006C2E6F">
              <w:rPr>
                <w:rFonts w:cstheme="minorHAnsi"/>
                <w:sz w:val="22"/>
                <w:szCs w:val="22"/>
              </w:rPr>
              <w:t xml:space="preserve"> (</w:t>
            </w:r>
            <w:proofErr w:type="spellStart"/>
            <w:r w:rsidRPr="006C2E6F">
              <w:rPr>
                <w:rFonts w:cstheme="minorHAnsi"/>
                <w:sz w:val="22"/>
                <w:szCs w:val="22"/>
              </w:rPr>
              <w:t>Cth</w:t>
            </w:r>
            <w:proofErr w:type="spellEnd"/>
            <w:r w:rsidRPr="006C2E6F">
              <w:rPr>
                <w:rFonts w:cstheme="minorHAnsi"/>
                <w:sz w:val="22"/>
                <w:szCs w:val="22"/>
              </w:rPr>
              <w:t xml:space="preserve">) and is a country-by-country reporting </w:t>
            </w:r>
            <w:r w:rsidR="009B62D2" w:rsidRPr="006C2E6F">
              <w:rPr>
                <w:rFonts w:cstheme="minorHAnsi"/>
                <w:sz w:val="22"/>
                <w:szCs w:val="22"/>
              </w:rPr>
              <w:t>parent</w:t>
            </w:r>
            <w:r w:rsidRPr="006C2E6F">
              <w:rPr>
                <w:rFonts w:cstheme="minorHAnsi"/>
                <w:sz w:val="22"/>
                <w:szCs w:val="22"/>
              </w:rPr>
              <w:t xml:space="preserve"> under section 815-37</w:t>
            </w:r>
            <w:r w:rsidR="00954B47" w:rsidRPr="006C2E6F">
              <w:rPr>
                <w:rFonts w:cstheme="minorHAnsi"/>
                <w:sz w:val="22"/>
                <w:szCs w:val="22"/>
              </w:rPr>
              <w:t>5</w:t>
            </w:r>
            <w:r w:rsidRPr="006C2E6F">
              <w:rPr>
                <w:rFonts w:cstheme="minorHAnsi"/>
                <w:sz w:val="22"/>
                <w:szCs w:val="22"/>
              </w:rPr>
              <w:t xml:space="preserve"> of the </w:t>
            </w:r>
            <w:r w:rsidRPr="006C2E6F">
              <w:rPr>
                <w:rFonts w:cstheme="minorHAnsi"/>
                <w:i/>
                <w:iCs/>
                <w:sz w:val="22"/>
                <w:szCs w:val="22"/>
              </w:rPr>
              <w:t xml:space="preserve">Income Tax Assessment Act 1997 </w:t>
            </w:r>
            <w:r w:rsidRPr="006C2E6F">
              <w:rPr>
                <w:rFonts w:cstheme="minorHAnsi"/>
                <w:sz w:val="22"/>
                <w:szCs w:val="22"/>
              </w:rPr>
              <w:t>(</w:t>
            </w:r>
            <w:proofErr w:type="spellStart"/>
            <w:r w:rsidRPr="006C2E6F">
              <w:rPr>
                <w:rFonts w:cstheme="minorHAnsi"/>
                <w:sz w:val="22"/>
                <w:szCs w:val="22"/>
              </w:rPr>
              <w:t>Cth</w:t>
            </w:r>
            <w:proofErr w:type="spellEnd"/>
            <w:r w:rsidRPr="006C2E6F">
              <w:rPr>
                <w:rFonts w:cstheme="minorHAnsi"/>
                <w:sz w:val="22"/>
                <w:szCs w:val="22"/>
              </w:rPr>
              <w:t xml:space="preserve">). </w:t>
            </w:r>
          </w:p>
        </w:tc>
      </w:tr>
      <w:tr w:rsidR="00BD4078" w:rsidRPr="006C2E6F" w14:paraId="1448844C" w14:textId="77777777" w:rsidTr="00B733FC">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none" w:sz="0" w:space="0" w:color="auto"/>
            </w:tcBorders>
            <w:shd w:val="clear" w:color="auto" w:fill="142147" w:themeFill="accent1"/>
          </w:tcPr>
          <w:p w14:paraId="3BC435C5" w14:textId="515FDF6D" w:rsidR="00BD4078" w:rsidRPr="006C2E6F" w:rsidRDefault="00913B93" w:rsidP="005F43BB">
            <w:pPr>
              <w:pStyle w:val="TableBodyCellLeft"/>
              <w:rPr>
                <w:rFonts w:cstheme="minorHAnsi"/>
                <w:sz w:val="22"/>
                <w:szCs w:val="22"/>
              </w:rPr>
            </w:pPr>
            <w:r w:rsidRPr="006C2E6F">
              <w:rPr>
                <w:rFonts w:cstheme="minorHAnsi"/>
                <w:sz w:val="22"/>
                <w:szCs w:val="22"/>
              </w:rPr>
              <w:t xml:space="preserve">Public </w:t>
            </w:r>
            <w:proofErr w:type="spellStart"/>
            <w:r w:rsidR="00BD4078" w:rsidRPr="006C2E6F">
              <w:rPr>
                <w:rFonts w:cstheme="minorHAnsi"/>
                <w:sz w:val="22"/>
                <w:szCs w:val="22"/>
              </w:rPr>
              <w:t>CbCr</w:t>
            </w:r>
            <w:proofErr w:type="spellEnd"/>
          </w:p>
        </w:tc>
        <w:tc>
          <w:tcPr>
            <w:tcW w:w="6234" w:type="dxa"/>
            <w:tcBorders>
              <w:top w:val="none" w:sz="0" w:space="0" w:color="auto"/>
              <w:bottom w:val="none" w:sz="0" w:space="0" w:color="auto"/>
            </w:tcBorders>
          </w:tcPr>
          <w:p w14:paraId="714F8FB2" w14:textId="29E8AC7B" w:rsidR="00BD4078" w:rsidRPr="006C2E6F" w:rsidRDefault="00BD4078" w:rsidP="005F43BB">
            <w:pPr>
              <w:pStyle w:val="TableBodyCellLeft"/>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6C2E6F">
              <w:rPr>
                <w:rFonts w:cstheme="minorHAnsi"/>
                <w:sz w:val="22"/>
                <w:szCs w:val="22"/>
              </w:rPr>
              <w:t xml:space="preserve">Public country-by-country reporting introduced under the </w:t>
            </w:r>
            <w:r w:rsidRPr="006C2E6F">
              <w:rPr>
                <w:rFonts w:cstheme="minorHAnsi"/>
                <w:i/>
                <w:iCs/>
                <w:sz w:val="22"/>
                <w:szCs w:val="22"/>
              </w:rPr>
              <w:t xml:space="preserve">Treasury Laws Amendment (Responsible Buy Noy Pay Later and Other Measures) Act 2024 </w:t>
            </w:r>
            <w:r w:rsidRPr="006C2E6F">
              <w:rPr>
                <w:rFonts w:cstheme="minorHAnsi"/>
                <w:sz w:val="22"/>
                <w:szCs w:val="22"/>
              </w:rPr>
              <w:t xml:space="preserve">which applies from 1 July 2024. </w:t>
            </w:r>
          </w:p>
        </w:tc>
      </w:tr>
      <w:tr w:rsidR="00BD4078" w:rsidRPr="006C2E6F" w14:paraId="550AEA35" w14:textId="77777777" w:rsidTr="00B733FC">
        <w:trPr>
          <w:trHeight w:val="794"/>
        </w:trPr>
        <w:tc>
          <w:tcPr>
            <w:cnfStyle w:val="001000000000" w:firstRow="0" w:lastRow="0" w:firstColumn="1" w:lastColumn="0" w:oddVBand="0" w:evenVBand="0" w:oddHBand="0" w:evenHBand="0" w:firstRowFirstColumn="0" w:firstRowLastColumn="0" w:lastRowFirstColumn="0" w:lastRowLastColumn="0"/>
            <w:tcW w:w="3397" w:type="dxa"/>
            <w:tcBorders>
              <w:right w:val="none" w:sz="0" w:space="0" w:color="auto"/>
            </w:tcBorders>
            <w:shd w:val="clear" w:color="auto" w:fill="142147" w:themeFill="accent1"/>
          </w:tcPr>
          <w:p w14:paraId="3D0808FD" w14:textId="77777777" w:rsidR="00BD4078" w:rsidRPr="006C2E6F" w:rsidRDefault="00BD4078" w:rsidP="005F43BB">
            <w:pPr>
              <w:pStyle w:val="TableBodyCellLeft"/>
              <w:rPr>
                <w:rFonts w:cstheme="minorHAnsi"/>
                <w:sz w:val="22"/>
                <w:szCs w:val="22"/>
              </w:rPr>
            </w:pPr>
            <w:r w:rsidRPr="006C2E6F">
              <w:rPr>
                <w:rFonts w:cstheme="minorHAnsi"/>
                <w:sz w:val="22"/>
                <w:szCs w:val="22"/>
              </w:rPr>
              <w:t xml:space="preserve">Foreign multinational business </w:t>
            </w:r>
          </w:p>
        </w:tc>
        <w:tc>
          <w:tcPr>
            <w:tcW w:w="6234" w:type="dxa"/>
          </w:tcPr>
          <w:p w14:paraId="784DA048" w14:textId="77777777" w:rsidR="00BD4078" w:rsidRPr="006C2E6F" w:rsidRDefault="00BD4078" w:rsidP="005F43BB">
            <w:pPr>
              <w:pStyle w:val="TableBodyCel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C2E6F">
              <w:rPr>
                <w:rFonts w:cstheme="minorHAnsi"/>
                <w:sz w:val="22"/>
                <w:szCs w:val="22"/>
              </w:rPr>
              <w:t>Generally taken to mean an accounting consolidated group headed by a non-Australian parent.</w:t>
            </w:r>
          </w:p>
        </w:tc>
      </w:tr>
      <w:tr w:rsidR="00BD4078" w:rsidRPr="006C2E6F" w14:paraId="67FD78E1" w14:textId="77777777" w:rsidTr="00B733FC">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none" w:sz="0" w:space="0" w:color="auto"/>
            </w:tcBorders>
            <w:shd w:val="clear" w:color="auto" w:fill="142147" w:themeFill="accent1"/>
          </w:tcPr>
          <w:p w14:paraId="1EC7DD6E" w14:textId="77777777" w:rsidR="00BD4078" w:rsidRPr="006C2E6F" w:rsidRDefault="00BD4078" w:rsidP="005F43BB">
            <w:pPr>
              <w:pStyle w:val="TableBodyCellLeft"/>
              <w:rPr>
                <w:rFonts w:cstheme="minorHAnsi"/>
                <w:sz w:val="22"/>
                <w:szCs w:val="22"/>
              </w:rPr>
            </w:pPr>
            <w:r w:rsidRPr="006C2E6F">
              <w:rPr>
                <w:rFonts w:cstheme="minorHAnsi"/>
                <w:sz w:val="22"/>
                <w:szCs w:val="22"/>
              </w:rPr>
              <w:t>GRI 207</w:t>
            </w:r>
          </w:p>
        </w:tc>
        <w:tc>
          <w:tcPr>
            <w:tcW w:w="6234" w:type="dxa"/>
            <w:tcBorders>
              <w:top w:val="none" w:sz="0" w:space="0" w:color="auto"/>
              <w:bottom w:val="none" w:sz="0" w:space="0" w:color="auto"/>
            </w:tcBorders>
          </w:tcPr>
          <w:p w14:paraId="74868732" w14:textId="4F08FC06" w:rsidR="00BD4078" w:rsidRPr="006C2E6F" w:rsidRDefault="00BD4078" w:rsidP="005F43BB">
            <w:pPr>
              <w:pStyle w:val="TableBodyCellLeft"/>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6C2E6F">
              <w:rPr>
                <w:rFonts w:cstheme="minorHAnsi"/>
                <w:sz w:val="22"/>
                <w:szCs w:val="22"/>
              </w:rPr>
              <w:t>Global Reporting Initiative Standards for Ta</w:t>
            </w:r>
            <w:r w:rsidR="00E30330" w:rsidRPr="006C2E6F">
              <w:rPr>
                <w:rFonts w:cstheme="minorHAnsi"/>
                <w:sz w:val="22"/>
                <w:szCs w:val="22"/>
              </w:rPr>
              <w:t xml:space="preserve">x: 2019. </w:t>
            </w:r>
          </w:p>
        </w:tc>
      </w:tr>
      <w:tr w:rsidR="00BD4078" w:rsidRPr="006C2E6F" w14:paraId="2A9DD7B9" w14:textId="77777777" w:rsidTr="00B733FC">
        <w:trPr>
          <w:trHeight w:val="794"/>
        </w:trPr>
        <w:tc>
          <w:tcPr>
            <w:cnfStyle w:val="001000000000" w:firstRow="0" w:lastRow="0" w:firstColumn="1" w:lastColumn="0" w:oddVBand="0" w:evenVBand="0" w:oddHBand="0" w:evenHBand="0" w:firstRowFirstColumn="0" w:firstRowLastColumn="0" w:lastRowFirstColumn="0" w:lastRowLastColumn="0"/>
            <w:tcW w:w="3397" w:type="dxa"/>
            <w:tcBorders>
              <w:right w:val="none" w:sz="0" w:space="0" w:color="auto"/>
            </w:tcBorders>
            <w:shd w:val="clear" w:color="auto" w:fill="142147" w:themeFill="accent1"/>
          </w:tcPr>
          <w:p w14:paraId="0213495A" w14:textId="77777777" w:rsidR="00BD4078" w:rsidRPr="006C2E6F" w:rsidRDefault="00BD4078" w:rsidP="005F43BB">
            <w:pPr>
              <w:pStyle w:val="TableBodyCellLeft"/>
              <w:rPr>
                <w:rFonts w:cstheme="minorHAnsi"/>
                <w:sz w:val="22"/>
                <w:szCs w:val="22"/>
              </w:rPr>
            </w:pPr>
            <w:r w:rsidRPr="006C2E6F">
              <w:rPr>
                <w:rFonts w:cstheme="minorHAnsi"/>
                <w:sz w:val="22"/>
                <w:szCs w:val="22"/>
              </w:rPr>
              <w:t>ITAA</w:t>
            </w:r>
          </w:p>
        </w:tc>
        <w:tc>
          <w:tcPr>
            <w:tcW w:w="6234" w:type="dxa"/>
          </w:tcPr>
          <w:p w14:paraId="38F1AD9B" w14:textId="77777777" w:rsidR="00BD4078" w:rsidRPr="006C2E6F" w:rsidRDefault="00BD4078" w:rsidP="005F43BB">
            <w:pPr>
              <w:pStyle w:val="TableBodyCel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C2E6F">
              <w:rPr>
                <w:rFonts w:cstheme="minorHAnsi"/>
                <w:i/>
                <w:iCs/>
                <w:sz w:val="22"/>
                <w:szCs w:val="22"/>
              </w:rPr>
              <w:t xml:space="preserve">Income Tax Assessment Act 1997 </w:t>
            </w:r>
            <w:r w:rsidRPr="006C2E6F">
              <w:rPr>
                <w:rFonts w:cstheme="minorHAnsi"/>
                <w:sz w:val="22"/>
                <w:szCs w:val="22"/>
              </w:rPr>
              <w:t>(</w:t>
            </w:r>
            <w:proofErr w:type="spellStart"/>
            <w:r w:rsidRPr="006C2E6F">
              <w:rPr>
                <w:rFonts w:cstheme="minorHAnsi"/>
                <w:sz w:val="22"/>
                <w:szCs w:val="22"/>
              </w:rPr>
              <w:t>Cth</w:t>
            </w:r>
            <w:proofErr w:type="spellEnd"/>
            <w:r w:rsidRPr="006C2E6F">
              <w:rPr>
                <w:rFonts w:cstheme="minorHAnsi"/>
                <w:sz w:val="22"/>
                <w:szCs w:val="22"/>
              </w:rPr>
              <w:t xml:space="preserve">) </w:t>
            </w:r>
          </w:p>
        </w:tc>
      </w:tr>
      <w:tr w:rsidR="00BD4078" w:rsidRPr="006C2E6F" w14:paraId="5A09EFC9" w14:textId="77777777" w:rsidTr="00B733FC">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none" w:sz="0" w:space="0" w:color="auto"/>
            </w:tcBorders>
            <w:shd w:val="clear" w:color="auto" w:fill="142147" w:themeFill="accent1"/>
          </w:tcPr>
          <w:p w14:paraId="04699878" w14:textId="7240E113" w:rsidR="00BD4078" w:rsidRPr="006C2E6F" w:rsidRDefault="00BD4078" w:rsidP="005F43BB">
            <w:pPr>
              <w:pStyle w:val="TableBodyCellLeft"/>
              <w:rPr>
                <w:rFonts w:cstheme="minorHAnsi"/>
                <w:sz w:val="22"/>
                <w:szCs w:val="22"/>
              </w:rPr>
            </w:pPr>
            <w:r w:rsidRPr="006C2E6F">
              <w:rPr>
                <w:rFonts w:cstheme="minorHAnsi"/>
                <w:sz w:val="22"/>
                <w:szCs w:val="22"/>
              </w:rPr>
              <w:t>Non-</w:t>
            </w:r>
            <w:r w:rsidR="00DE0E4A" w:rsidRPr="006C2E6F">
              <w:rPr>
                <w:rFonts w:cstheme="minorHAnsi"/>
                <w:sz w:val="22"/>
                <w:szCs w:val="22"/>
              </w:rPr>
              <w:t xml:space="preserve">public </w:t>
            </w:r>
            <w:proofErr w:type="spellStart"/>
            <w:r w:rsidRPr="006C2E6F">
              <w:rPr>
                <w:rFonts w:cstheme="minorHAnsi"/>
                <w:sz w:val="22"/>
                <w:szCs w:val="22"/>
              </w:rPr>
              <w:t>CbC</w:t>
            </w:r>
            <w:proofErr w:type="spellEnd"/>
            <w:r w:rsidRPr="006C2E6F">
              <w:rPr>
                <w:rFonts w:cstheme="minorHAnsi"/>
                <w:sz w:val="22"/>
                <w:szCs w:val="22"/>
              </w:rPr>
              <w:t xml:space="preserve"> reporter </w:t>
            </w:r>
          </w:p>
        </w:tc>
        <w:tc>
          <w:tcPr>
            <w:tcW w:w="6234" w:type="dxa"/>
            <w:tcBorders>
              <w:top w:val="none" w:sz="0" w:space="0" w:color="auto"/>
              <w:bottom w:val="none" w:sz="0" w:space="0" w:color="auto"/>
            </w:tcBorders>
          </w:tcPr>
          <w:p w14:paraId="620AF946" w14:textId="13769660" w:rsidR="00BD4078" w:rsidRPr="006C2E6F" w:rsidRDefault="00BD4078" w:rsidP="005F43BB">
            <w:pPr>
              <w:pStyle w:val="TableBodyCellLeft"/>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6C2E6F">
              <w:rPr>
                <w:rFonts w:cstheme="minorHAnsi"/>
                <w:sz w:val="22"/>
                <w:szCs w:val="22"/>
              </w:rPr>
              <w:t xml:space="preserve">Any </w:t>
            </w:r>
            <w:r w:rsidR="005542F0" w:rsidRPr="006C2E6F">
              <w:rPr>
                <w:rFonts w:cstheme="minorHAnsi"/>
                <w:sz w:val="22"/>
                <w:szCs w:val="22"/>
              </w:rPr>
              <w:t xml:space="preserve">entity </w:t>
            </w:r>
            <w:r w:rsidRPr="006C2E6F">
              <w:rPr>
                <w:rFonts w:cstheme="minorHAnsi"/>
                <w:sz w:val="22"/>
                <w:szCs w:val="22"/>
              </w:rPr>
              <w:t>that is not a ‘</w:t>
            </w:r>
            <w:r w:rsidR="0070526E" w:rsidRPr="006C2E6F">
              <w:rPr>
                <w:rFonts w:cstheme="minorHAnsi"/>
                <w:sz w:val="22"/>
                <w:szCs w:val="22"/>
              </w:rPr>
              <w:t xml:space="preserve">Public </w:t>
            </w:r>
            <w:proofErr w:type="spellStart"/>
            <w:r w:rsidRPr="006C2E6F">
              <w:rPr>
                <w:rFonts w:cstheme="minorHAnsi"/>
                <w:sz w:val="22"/>
                <w:szCs w:val="22"/>
              </w:rPr>
              <w:t>CbC</w:t>
            </w:r>
            <w:proofErr w:type="spellEnd"/>
            <w:r w:rsidRPr="006C2E6F">
              <w:rPr>
                <w:rFonts w:cstheme="minorHAnsi"/>
                <w:sz w:val="22"/>
                <w:szCs w:val="22"/>
              </w:rPr>
              <w:t xml:space="preserve"> reporter’ for </w:t>
            </w:r>
            <w:r w:rsidR="00954B47" w:rsidRPr="006C2E6F">
              <w:rPr>
                <w:rFonts w:cstheme="minorHAnsi"/>
                <w:sz w:val="22"/>
                <w:szCs w:val="22"/>
              </w:rPr>
              <w:t>V</w:t>
            </w:r>
            <w:r w:rsidRPr="006C2E6F">
              <w:rPr>
                <w:rFonts w:cstheme="minorHAnsi"/>
                <w:sz w:val="22"/>
                <w:szCs w:val="22"/>
              </w:rPr>
              <w:t>TTC purposes.</w:t>
            </w:r>
          </w:p>
        </w:tc>
      </w:tr>
      <w:tr w:rsidR="00BD4078" w:rsidRPr="006C2E6F" w14:paraId="741FA10E" w14:textId="77777777" w:rsidTr="00B733FC">
        <w:trPr>
          <w:trHeight w:val="794"/>
        </w:trPr>
        <w:tc>
          <w:tcPr>
            <w:cnfStyle w:val="001000000000" w:firstRow="0" w:lastRow="0" w:firstColumn="1" w:lastColumn="0" w:oddVBand="0" w:evenVBand="0" w:oddHBand="0" w:evenHBand="0" w:firstRowFirstColumn="0" w:firstRowLastColumn="0" w:lastRowFirstColumn="0" w:lastRowLastColumn="0"/>
            <w:tcW w:w="3397" w:type="dxa"/>
            <w:tcBorders>
              <w:right w:val="none" w:sz="0" w:space="0" w:color="auto"/>
            </w:tcBorders>
            <w:shd w:val="clear" w:color="auto" w:fill="142147" w:themeFill="accent1"/>
          </w:tcPr>
          <w:p w14:paraId="4A40C770" w14:textId="77777777" w:rsidR="00BD4078" w:rsidRPr="006C2E6F" w:rsidRDefault="00BD4078" w:rsidP="005F43BB">
            <w:pPr>
              <w:pStyle w:val="TableBodyCellLeft"/>
              <w:rPr>
                <w:rFonts w:cstheme="minorHAnsi"/>
                <w:sz w:val="22"/>
                <w:szCs w:val="22"/>
              </w:rPr>
            </w:pPr>
            <w:r w:rsidRPr="006C2E6F">
              <w:rPr>
                <w:rFonts w:cstheme="minorHAnsi"/>
                <w:sz w:val="22"/>
                <w:szCs w:val="22"/>
              </w:rPr>
              <w:t>OECD</w:t>
            </w:r>
          </w:p>
        </w:tc>
        <w:tc>
          <w:tcPr>
            <w:tcW w:w="6234" w:type="dxa"/>
          </w:tcPr>
          <w:p w14:paraId="322FF03A" w14:textId="77777777" w:rsidR="00BD4078" w:rsidRPr="006C2E6F" w:rsidRDefault="00BD4078" w:rsidP="005F43BB">
            <w:pPr>
              <w:pStyle w:val="TableBodyCel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C2E6F">
              <w:rPr>
                <w:rFonts w:cstheme="minorHAnsi"/>
                <w:sz w:val="22"/>
                <w:szCs w:val="22"/>
              </w:rPr>
              <w:t xml:space="preserve">Organisation for Economic Cooperation and Development </w:t>
            </w:r>
          </w:p>
        </w:tc>
      </w:tr>
      <w:tr w:rsidR="00BD4078" w:rsidRPr="006C2E6F" w14:paraId="6D07B424" w14:textId="77777777" w:rsidTr="00B733FC">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none" w:sz="0" w:space="0" w:color="auto"/>
            </w:tcBorders>
            <w:shd w:val="clear" w:color="auto" w:fill="142147" w:themeFill="accent1"/>
          </w:tcPr>
          <w:p w14:paraId="7C729AEE" w14:textId="77777777" w:rsidR="00BD4078" w:rsidRPr="006C2E6F" w:rsidRDefault="00BD4078" w:rsidP="005F43BB">
            <w:pPr>
              <w:pStyle w:val="TableBodyCellLeft"/>
              <w:rPr>
                <w:rFonts w:cstheme="minorHAnsi"/>
                <w:sz w:val="22"/>
                <w:szCs w:val="22"/>
              </w:rPr>
            </w:pPr>
            <w:r w:rsidRPr="006C2E6F">
              <w:rPr>
                <w:rFonts w:cstheme="minorHAnsi"/>
                <w:sz w:val="22"/>
                <w:szCs w:val="22"/>
              </w:rPr>
              <w:t>TAA</w:t>
            </w:r>
          </w:p>
        </w:tc>
        <w:tc>
          <w:tcPr>
            <w:tcW w:w="6234" w:type="dxa"/>
            <w:tcBorders>
              <w:top w:val="none" w:sz="0" w:space="0" w:color="auto"/>
              <w:bottom w:val="none" w:sz="0" w:space="0" w:color="auto"/>
            </w:tcBorders>
          </w:tcPr>
          <w:p w14:paraId="53AE9E9C" w14:textId="77777777" w:rsidR="00BD4078" w:rsidRPr="006C2E6F" w:rsidRDefault="00BD4078" w:rsidP="005F43BB">
            <w:pPr>
              <w:pStyle w:val="TableBodyCellLeft"/>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6C2E6F">
              <w:rPr>
                <w:rFonts w:cstheme="minorHAnsi"/>
                <w:i/>
                <w:iCs/>
                <w:sz w:val="22"/>
                <w:szCs w:val="22"/>
              </w:rPr>
              <w:t xml:space="preserve">Taxation Administration Act 1953 </w:t>
            </w:r>
            <w:r w:rsidRPr="006C2E6F">
              <w:rPr>
                <w:rFonts w:cstheme="minorHAnsi"/>
                <w:sz w:val="22"/>
                <w:szCs w:val="22"/>
              </w:rPr>
              <w:t>(</w:t>
            </w:r>
            <w:proofErr w:type="spellStart"/>
            <w:r w:rsidRPr="006C2E6F">
              <w:rPr>
                <w:rFonts w:cstheme="minorHAnsi"/>
                <w:sz w:val="22"/>
                <w:szCs w:val="22"/>
              </w:rPr>
              <w:t>Cth</w:t>
            </w:r>
            <w:proofErr w:type="spellEnd"/>
            <w:r w:rsidRPr="006C2E6F">
              <w:rPr>
                <w:rFonts w:cstheme="minorHAnsi"/>
                <w:sz w:val="22"/>
                <w:szCs w:val="22"/>
              </w:rPr>
              <w:t xml:space="preserve">) </w:t>
            </w:r>
          </w:p>
        </w:tc>
      </w:tr>
      <w:tr w:rsidR="00BD4078" w:rsidRPr="006C2E6F" w14:paraId="3CCCCB49" w14:textId="77777777" w:rsidTr="00B733FC">
        <w:trPr>
          <w:trHeight w:val="794"/>
        </w:trPr>
        <w:tc>
          <w:tcPr>
            <w:cnfStyle w:val="001000000000" w:firstRow="0" w:lastRow="0" w:firstColumn="1" w:lastColumn="0" w:oddVBand="0" w:evenVBand="0" w:oddHBand="0" w:evenHBand="0" w:firstRowFirstColumn="0" w:firstRowLastColumn="0" w:lastRowFirstColumn="0" w:lastRowLastColumn="0"/>
            <w:tcW w:w="3397" w:type="dxa"/>
            <w:tcBorders>
              <w:right w:val="none" w:sz="0" w:space="0" w:color="auto"/>
            </w:tcBorders>
            <w:shd w:val="clear" w:color="auto" w:fill="142147" w:themeFill="accent1"/>
          </w:tcPr>
          <w:p w14:paraId="5B96B160" w14:textId="77777777" w:rsidR="00BD4078" w:rsidRPr="006C2E6F" w:rsidRDefault="00BD4078" w:rsidP="005F43BB">
            <w:pPr>
              <w:pStyle w:val="TableBodyCellLeft"/>
              <w:rPr>
                <w:rFonts w:cstheme="minorHAnsi"/>
                <w:sz w:val="22"/>
                <w:szCs w:val="22"/>
              </w:rPr>
            </w:pPr>
            <w:r w:rsidRPr="006C2E6F">
              <w:rPr>
                <w:rFonts w:cstheme="minorHAnsi"/>
                <w:sz w:val="22"/>
                <w:szCs w:val="22"/>
              </w:rPr>
              <w:t xml:space="preserve">Tax expense (income) </w:t>
            </w:r>
          </w:p>
        </w:tc>
        <w:tc>
          <w:tcPr>
            <w:tcW w:w="6234" w:type="dxa"/>
          </w:tcPr>
          <w:p w14:paraId="3F1FAA15" w14:textId="7DCC3DA2" w:rsidR="00BD4078" w:rsidRPr="006C2E6F" w:rsidRDefault="00BD4078" w:rsidP="005F43BB">
            <w:pPr>
              <w:pStyle w:val="TableBodyCel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C2E6F">
              <w:rPr>
                <w:rFonts w:cstheme="minorHAnsi"/>
                <w:sz w:val="22"/>
                <w:szCs w:val="22"/>
              </w:rPr>
              <w:t xml:space="preserve">Adopts the same definition in </w:t>
            </w:r>
            <w:r w:rsidR="00997E81" w:rsidRPr="006C2E6F">
              <w:rPr>
                <w:rFonts w:cstheme="minorHAnsi"/>
                <w:sz w:val="22"/>
                <w:szCs w:val="22"/>
              </w:rPr>
              <w:t xml:space="preserve">Accounting Standard </w:t>
            </w:r>
            <w:r w:rsidRPr="006C2E6F">
              <w:rPr>
                <w:rFonts w:cstheme="minorHAnsi"/>
                <w:sz w:val="22"/>
                <w:szCs w:val="22"/>
              </w:rPr>
              <w:t xml:space="preserve">AASB 112. The aggregate amount included in the determination of profit or loss for the period in respect of current tax and deferred tax. </w:t>
            </w:r>
          </w:p>
        </w:tc>
      </w:tr>
    </w:tbl>
    <w:p w14:paraId="7F542BE5" w14:textId="0B253768" w:rsidR="00BD4078" w:rsidRPr="006C2E6F" w:rsidRDefault="00BD4078" w:rsidP="00610EDF">
      <w:pPr>
        <w:rPr>
          <w:rFonts w:asciiTheme="minorHAnsi" w:hAnsiTheme="minorHAnsi" w:cstheme="minorHAnsi"/>
        </w:rPr>
      </w:pPr>
    </w:p>
    <w:sectPr w:rsidR="00BD4078" w:rsidRPr="006C2E6F" w:rsidSect="00F779BD">
      <w:headerReference w:type="even" r:id="rId53"/>
      <w:headerReference w:type="default" r:id="rId54"/>
      <w:footerReference w:type="even" r:id="rId55"/>
      <w:footerReference w:type="default" r:id="rId56"/>
      <w:headerReference w:type="first" r:id="rId57"/>
      <w:footerReference w:type="first" r:id="rId58"/>
      <w:pgSz w:w="11909" w:h="16834" w:code="9"/>
      <w:pgMar w:top="2268" w:right="1134" w:bottom="1985" w:left="1134" w:header="113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44B2B" w14:textId="77777777" w:rsidR="006533A9" w:rsidRDefault="006533A9">
      <w:r>
        <w:separator/>
      </w:r>
    </w:p>
  </w:endnote>
  <w:endnote w:type="continuationSeparator" w:id="0">
    <w:p w14:paraId="6216B326" w14:textId="77777777" w:rsidR="006533A9" w:rsidRDefault="006533A9">
      <w:r>
        <w:continuationSeparator/>
      </w:r>
    </w:p>
  </w:endnote>
  <w:endnote w:type="continuationNotice" w:id="1">
    <w:p w14:paraId="05AE47E9" w14:textId="77777777" w:rsidR="006533A9" w:rsidRDefault="006533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9800" w14:textId="45A2E256" w:rsidR="00D3340C" w:rsidRDefault="00BB4866">
    <w:pPr>
      <w:pStyle w:val="FooterEven"/>
    </w:pPr>
    <w:r>
      <w:rPr>
        <w:noProof/>
        <w14:numForm w14:val="default"/>
        <w14:numSpacing w14:val="default"/>
      </w:rPr>
      <mc:AlternateContent>
        <mc:Choice Requires="wps">
          <w:drawing>
            <wp:anchor distT="0" distB="0" distL="0" distR="0" simplePos="0" relativeHeight="251658255" behindDoc="0" locked="0" layoutInCell="1" allowOverlap="1" wp14:anchorId="14D1C76D" wp14:editId="47816731">
              <wp:simplePos x="635" y="635"/>
              <wp:positionH relativeFrom="page">
                <wp:align>center</wp:align>
              </wp:positionH>
              <wp:positionV relativeFrom="page">
                <wp:align>bottom</wp:align>
              </wp:positionV>
              <wp:extent cx="551815" cy="452755"/>
              <wp:effectExtent l="0" t="0" r="635" b="0"/>
              <wp:wrapNone/>
              <wp:docPr id="79489429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8AA787F"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D1C76D" id="_x0000_t202" coordsize="21600,21600" o:spt="202" path="m,l,21600r21600,l21600,xe">
              <v:stroke joinstyle="miter"/>
              <v:path gradientshapeok="t" o:connecttype="rect"/>
            </v:shapetype>
            <v:shape id="Text Box 11" o:spid="_x0000_s1029" type="#_x0000_t202" alt="OFFICIAL" style="position:absolute;left:0;text-align:left;margin-left:0;margin-top:0;width:43.45pt;height:35.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78AA787F"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r w:rsidR="00D3340C">
      <w:t xml:space="preserve">Page </w:t>
    </w:r>
    <w:r w:rsidR="00841199">
      <w:rPr>
        <w:rStyle w:val="PageNumber"/>
      </w:rPr>
      <w:fldChar w:fldCharType="begin"/>
    </w:r>
    <w:r w:rsidR="00D3340C">
      <w:rPr>
        <w:rStyle w:val="PageNumber"/>
      </w:rPr>
      <w:instrText xml:space="preserve"> PAGE </w:instrText>
    </w:r>
    <w:r w:rsidR="00841199">
      <w:rPr>
        <w:rStyle w:val="PageNumber"/>
      </w:rPr>
      <w:fldChar w:fldCharType="separate"/>
    </w:r>
    <w:r w:rsidR="00A43962">
      <w:rPr>
        <w:rStyle w:val="PageNumber"/>
        <w:noProof/>
      </w:rPr>
      <w:t>2</w:t>
    </w:r>
    <w:r w:rsidR="0084119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E5DA" w14:textId="7749528A" w:rsidR="00D3340C" w:rsidRDefault="00BB4866">
    <w:pPr>
      <w:pStyle w:val="FooterOdd"/>
    </w:pPr>
    <w:r>
      <w:rPr>
        <w:noProof/>
        <w14:numForm w14:val="default"/>
        <w14:numSpacing w14:val="default"/>
      </w:rPr>
      <mc:AlternateContent>
        <mc:Choice Requires="wps">
          <w:drawing>
            <wp:anchor distT="0" distB="0" distL="0" distR="0" simplePos="0" relativeHeight="251658256" behindDoc="0" locked="0" layoutInCell="1" allowOverlap="1" wp14:anchorId="52F07ABB" wp14:editId="30F48EA1">
              <wp:simplePos x="635" y="635"/>
              <wp:positionH relativeFrom="page">
                <wp:align>center</wp:align>
              </wp:positionH>
              <wp:positionV relativeFrom="page">
                <wp:align>bottom</wp:align>
              </wp:positionV>
              <wp:extent cx="551815" cy="452755"/>
              <wp:effectExtent l="0" t="0" r="635" b="0"/>
              <wp:wrapNone/>
              <wp:docPr id="6358747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8908D70"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F07ABB" id="_x0000_t202" coordsize="21600,21600" o:spt="202" path="m,l,21600r21600,l21600,xe">
              <v:stroke joinstyle="miter"/>
              <v:path gradientshapeok="t" o:connecttype="rect"/>
            </v:shapetype>
            <v:shape id="Text Box 12" o:spid="_x0000_s1030" type="#_x0000_t202" alt="OFFICIAL" style="position:absolute;left:0;text-align:left;margin-left:0;margin-top:0;width:43.45pt;height:35.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58908D70"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r w:rsidR="00D3340C">
      <w:t xml:space="preserve">Page </w:t>
    </w:r>
    <w:r w:rsidR="00841199">
      <w:rPr>
        <w:rStyle w:val="PageNumber"/>
      </w:rPr>
      <w:fldChar w:fldCharType="begin"/>
    </w:r>
    <w:r w:rsidR="00D3340C">
      <w:rPr>
        <w:rStyle w:val="PageNumber"/>
      </w:rPr>
      <w:instrText xml:space="preserve"> PAGE </w:instrText>
    </w:r>
    <w:r w:rsidR="00841199">
      <w:rPr>
        <w:rStyle w:val="PageNumber"/>
      </w:rPr>
      <w:fldChar w:fldCharType="separate"/>
    </w:r>
    <w:r w:rsidR="006256BA">
      <w:rPr>
        <w:rStyle w:val="PageNumber"/>
        <w:noProof/>
      </w:rPr>
      <w:t>3</w:t>
    </w:r>
    <w:r w:rsidR="00841199">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DB83" w14:textId="44189BB3" w:rsidR="009779D0" w:rsidRDefault="00BB4866" w:rsidP="009779D0">
    <w:pPr>
      <w:pStyle w:val="Footer"/>
    </w:pPr>
    <w:r>
      <w:rPr>
        <w:noProof/>
        <w14:numForm w14:val="default"/>
        <w14:numSpacing w14:val="default"/>
      </w:rPr>
      <mc:AlternateContent>
        <mc:Choice Requires="wps">
          <w:drawing>
            <wp:anchor distT="0" distB="0" distL="0" distR="0" simplePos="0" relativeHeight="251658254" behindDoc="0" locked="0" layoutInCell="1" allowOverlap="1" wp14:anchorId="7F19F9D7" wp14:editId="524B55D5">
              <wp:simplePos x="635" y="635"/>
              <wp:positionH relativeFrom="page">
                <wp:align>center</wp:align>
              </wp:positionH>
              <wp:positionV relativeFrom="page">
                <wp:align>bottom</wp:align>
              </wp:positionV>
              <wp:extent cx="551815" cy="452755"/>
              <wp:effectExtent l="0" t="0" r="635" b="0"/>
              <wp:wrapNone/>
              <wp:docPr id="151910303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729408A"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19F9D7" id="_x0000_t202" coordsize="21600,21600" o:spt="202" path="m,l,21600r21600,l21600,xe">
              <v:stroke joinstyle="miter"/>
              <v:path gradientshapeok="t" o:connecttype="rect"/>
            </v:shapetype>
            <v:shape id="Text Box 10" o:spid="_x0000_s1032" type="#_x0000_t202" alt="OFFICIAL" style="position:absolute;left:0;text-align:left;margin-left:0;margin-top:0;width:43.45pt;height:35.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2729408A"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p>
  <w:sdt>
    <w:sdtPr>
      <w:id w:val="-1622374103"/>
      <w:docPartObj>
        <w:docPartGallery w:val="Page Numbers (Bottom of Page)"/>
        <w:docPartUnique/>
      </w:docPartObj>
    </w:sdtPr>
    <w:sdtEndPr>
      <w:rPr>
        <w:noProof/>
      </w:rPr>
    </w:sdtEndPr>
    <w:sdtContent>
      <w:p w14:paraId="23D8D796" w14:textId="77777777" w:rsidR="009779D0" w:rsidRDefault="000D5C07" w:rsidP="009779D0">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2FD2" w14:textId="2AE5BA56" w:rsidR="006256BA" w:rsidRPr="009F50E3" w:rsidRDefault="00BB4866">
    <w:pPr>
      <w:pStyle w:val="FooterEven"/>
    </w:pPr>
    <w:r>
      <w:rPr>
        <w:noProof/>
        <w14:numForm w14:val="default"/>
        <w14:numSpacing w14:val="default"/>
      </w:rPr>
      <mc:AlternateContent>
        <mc:Choice Requires="wps">
          <w:drawing>
            <wp:anchor distT="0" distB="0" distL="0" distR="0" simplePos="0" relativeHeight="251658258" behindDoc="0" locked="0" layoutInCell="1" allowOverlap="1" wp14:anchorId="724EF95D" wp14:editId="70DFDEDD">
              <wp:simplePos x="635" y="635"/>
              <wp:positionH relativeFrom="page">
                <wp:align>center</wp:align>
              </wp:positionH>
              <wp:positionV relativeFrom="page">
                <wp:align>bottom</wp:align>
              </wp:positionV>
              <wp:extent cx="551815" cy="452755"/>
              <wp:effectExtent l="0" t="0" r="635" b="0"/>
              <wp:wrapNone/>
              <wp:docPr id="178954632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CA1227"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4EF95D" id="_x0000_t202" coordsize="21600,21600" o:spt="202" path="m,l,21600r21600,l21600,xe">
              <v:stroke joinstyle="miter"/>
              <v:path gradientshapeok="t" o:connecttype="rect"/>
            </v:shapetype>
            <v:shape id="Text Box 14" o:spid="_x0000_s1035" type="#_x0000_t202" alt="OFFICIAL" style="position:absolute;left:0;text-align:left;margin-left:0;margin-top:0;width:43.45pt;height:35.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zU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m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Ntfs1A4CAAAc&#10;BAAADgAAAAAAAAAAAAAAAAAuAgAAZHJzL2Uyb0RvYy54bWxQSwECLQAUAAYACAAAACEA763esdsA&#10;AAADAQAADwAAAAAAAAAAAAAAAABoBAAAZHJzL2Rvd25yZXYueG1sUEsFBgAAAAAEAAQA8wAAAHAF&#10;AAAAAA==&#10;" filled="f" stroked="f">
              <v:textbox style="mso-fit-shape-to-text:t" inset="0,0,0,15pt">
                <w:txbxContent>
                  <w:p w14:paraId="28CA1227"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r w:rsidR="00111646">
      <w:t xml:space="preserve">Page </w:t>
    </w:r>
    <w:r w:rsidR="00111646">
      <w:fldChar w:fldCharType="begin"/>
    </w:r>
    <w:r w:rsidR="00111646">
      <w:instrText xml:space="preserve"> PAGE  \* Arabic  \* MERGEFORMAT </w:instrText>
    </w:r>
    <w:r w:rsidR="00111646">
      <w:fldChar w:fldCharType="separate"/>
    </w:r>
    <w:r w:rsidR="00111646">
      <w:rPr>
        <w:noProof/>
      </w:rPr>
      <w:t>2</w:t>
    </w:r>
    <w:r w:rsidR="00111646">
      <w:rPr>
        <w:noProof/>
      </w:rPr>
      <w:fldChar w:fldCharType="end"/>
    </w:r>
    <w:r w:rsidR="00111646">
      <w:rPr>
        <w:noProof/>
      </w:rPr>
      <w:tab/>
    </w:r>
    <w:fldSimple w:instr="STYLEREF  &quot;Heading 1&quot;  \* MERGEFORMAT">
      <w:r w:rsidR="001D3A16">
        <w:rPr>
          <w:noProof/>
        </w:rPr>
        <w:t>VTTC reporting requirements</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ABAA" w14:textId="52B8BADB" w:rsidR="006256BA" w:rsidRPr="00111646" w:rsidRDefault="00BB4866" w:rsidP="00111646">
    <w:pPr>
      <w:pStyle w:val="FooterOdd"/>
    </w:pPr>
    <w:r>
      <w:rPr>
        <w:noProof/>
        <w14:numForm w14:val="default"/>
        <w14:numSpacing w14:val="default"/>
      </w:rPr>
      <mc:AlternateContent>
        <mc:Choice Requires="wps">
          <w:drawing>
            <wp:anchor distT="0" distB="0" distL="0" distR="0" simplePos="0" relativeHeight="251658259" behindDoc="0" locked="0" layoutInCell="1" allowOverlap="1" wp14:anchorId="154B9889" wp14:editId="4D8B4D7D">
              <wp:simplePos x="635" y="635"/>
              <wp:positionH relativeFrom="page">
                <wp:align>center</wp:align>
              </wp:positionH>
              <wp:positionV relativeFrom="page">
                <wp:align>bottom</wp:align>
              </wp:positionV>
              <wp:extent cx="551815" cy="452755"/>
              <wp:effectExtent l="0" t="0" r="635" b="0"/>
              <wp:wrapNone/>
              <wp:docPr id="55227273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8366CED"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4B9889" id="_x0000_t202" coordsize="21600,21600" o:spt="202" path="m,l,21600r21600,l21600,xe">
              <v:stroke joinstyle="miter"/>
              <v:path gradientshapeok="t" o:connecttype="rect"/>
            </v:shapetype>
            <v:shape id="Text Box 15" o:spid="_x0000_s1036" type="#_x0000_t202" alt="OFFICIAL" style="position:absolute;left:0;text-align:left;margin-left:0;margin-top:0;width:43.45pt;height:35.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7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2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W2he6Q4CAAAc&#10;BAAADgAAAAAAAAAAAAAAAAAuAgAAZHJzL2Uyb0RvYy54bWxQSwECLQAUAAYACAAAACEA763esdsA&#10;AAADAQAADwAAAAAAAAAAAAAAAABoBAAAZHJzL2Rvd25yZXYueG1sUEsFBgAAAAAEAAQA8wAAAHAF&#10;AAAAAA==&#10;" filled="f" stroked="f">
              <v:textbox style="mso-fit-shape-to-text:t" inset="0,0,0,15pt">
                <w:txbxContent>
                  <w:p w14:paraId="58366CED"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fldSimple w:instr="STYLEREF  &quot;Heading 1&quot;  \* MERGEFORMAT">
      <w:r w:rsidR="001D3A16">
        <w:rPr>
          <w:noProof/>
        </w:rPr>
        <w:t>VTTC reporting requirements</w:t>
      </w:r>
    </w:fldSimple>
    <w:r w:rsidR="00677AAC" w:rsidRPr="00111646">
      <w:tab/>
    </w:r>
    <w:r w:rsidR="006256BA" w:rsidRPr="00111646">
      <w:rPr>
        <w:i/>
      </w:rPr>
      <w:t>Page</w:t>
    </w:r>
    <w:r w:rsidR="006256BA" w:rsidRPr="00111646">
      <w:t xml:space="preserve"> </w:t>
    </w:r>
    <w:r w:rsidR="006256BA" w:rsidRPr="00111646">
      <w:fldChar w:fldCharType="begin"/>
    </w:r>
    <w:r w:rsidR="006256BA" w:rsidRPr="00111646">
      <w:instrText xml:space="preserve"> PAGE   \* MERGEFORMAT </w:instrText>
    </w:r>
    <w:r w:rsidR="006256BA" w:rsidRPr="00111646">
      <w:fldChar w:fldCharType="separate"/>
    </w:r>
    <w:r w:rsidR="00522E34" w:rsidRPr="00111646">
      <w:t>14</w:t>
    </w:r>
    <w:r w:rsidR="006256BA" w:rsidRPr="00111646">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A9E6" w14:textId="65F15C00" w:rsidR="006256BA" w:rsidRPr="009779D0" w:rsidRDefault="005E0DC1" w:rsidP="005E0DC1">
    <w:pPr>
      <w:pStyle w:val="FooterOdd"/>
    </w:pPr>
    <w:r w:rsidRPr="00912467">
      <w:t>Page</w:t>
    </w:r>
    <w:r>
      <w:t xml:space="preserve"> </w:t>
    </w:r>
    <w:r w:rsidR="00FE7652">
      <w:fldChar w:fldCharType="begin"/>
    </w:r>
    <w:r w:rsidR="00FE7652">
      <w:instrText xml:space="preserve"> PAGE  \* roman </w:instrText>
    </w:r>
    <w:r w:rsidR="00FE7652">
      <w:fldChar w:fldCharType="separate"/>
    </w:r>
    <w:r w:rsidR="00FE7652">
      <w:rPr>
        <w:noProof/>
      </w:rPr>
      <w:t>iii</w:t>
    </w:r>
    <w:r w:rsidR="00FE7652">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7748" w14:textId="5D79AF0B" w:rsidR="001D6A8A" w:rsidRPr="009F50E3" w:rsidRDefault="00BB4866" w:rsidP="00AA5FC4">
    <w:pPr>
      <w:pStyle w:val="FooterEven"/>
    </w:pPr>
    <w:r>
      <w:rPr>
        <w:noProof/>
        <w14:numForm w14:val="default"/>
        <w14:numSpacing w14:val="default"/>
      </w:rPr>
      <mc:AlternateContent>
        <mc:Choice Requires="wps">
          <w:drawing>
            <wp:anchor distT="0" distB="0" distL="0" distR="0" simplePos="0" relativeHeight="251658252" behindDoc="0" locked="0" layoutInCell="1" allowOverlap="1" wp14:anchorId="7204A5DF" wp14:editId="1D3CAE83">
              <wp:simplePos x="635" y="635"/>
              <wp:positionH relativeFrom="page">
                <wp:align>center</wp:align>
              </wp:positionH>
              <wp:positionV relativeFrom="page">
                <wp:align>bottom</wp:align>
              </wp:positionV>
              <wp:extent cx="551815" cy="452755"/>
              <wp:effectExtent l="0" t="0" r="635" b="0"/>
              <wp:wrapNone/>
              <wp:docPr id="133662206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4F3BA4"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04A5DF" id="_x0000_t202" coordsize="21600,21600" o:spt="202" path="m,l,21600r21600,l21600,xe">
              <v:stroke joinstyle="miter"/>
              <v:path gradientshapeok="t" o:connecttype="rect"/>
            </v:shapetype>
            <v:shape id="Text Box 17" o:spid="_x0000_s1038" type="#_x0000_t202" alt="OFFICIAL" style="position:absolute;left:0;text-align:left;margin-left:0;margin-top:0;width:43.45pt;height:35.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YcDgIAAB0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aX9HTQnnMrBuHBv+brD2hvmwzNzuGEcBFUb&#10;nvCQCvqawtmipAX342/+mI/EY5SSHhVTU4OSpkR9M7iQKK7JcJOxS0Zxm5c5xs1B3wPqsMAnYXky&#10;0euCmkzpQL+inlexEIaY4ViuprvJvA+jdPE9cLFapSTUkWVhY7aWR+jIVyTzZXhlzp4ZD7iqR5jk&#10;xKo3xI+58aa3q0NA+tNWIrcjkWfKUYNpr+f3EkX+63/Kur7q5U8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23H2HA4CAAAd&#10;BAAADgAAAAAAAAAAAAAAAAAuAgAAZHJzL2Uyb0RvYy54bWxQSwECLQAUAAYACAAAACEA763esdsA&#10;AAADAQAADwAAAAAAAAAAAAAAAABoBAAAZHJzL2Rvd25yZXYueG1sUEsFBgAAAAAEAAQA8wAAAHAF&#10;AAAAAA==&#10;" filled="f" stroked="f">
              <v:textbox style="mso-fit-shape-to-text:t" inset="0,0,0,15pt">
                <w:txbxContent>
                  <w:p w14:paraId="384F3BA4"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r w:rsidR="001D6A8A" w:rsidRPr="001D6A8A">
      <w:t>Page</w:t>
    </w:r>
    <w:r w:rsidR="001D6A8A">
      <w:t xml:space="preserve"> </w:t>
    </w:r>
    <w:r w:rsidR="001D6A8A">
      <w:fldChar w:fldCharType="begin"/>
    </w:r>
    <w:r w:rsidR="001D6A8A">
      <w:instrText xml:space="preserve"> PAGE  \* Arabic  \* MERGEFORMAT </w:instrText>
    </w:r>
    <w:r w:rsidR="001D6A8A">
      <w:fldChar w:fldCharType="separate"/>
    </w:r>
    <w:r w:rsidR="001D6A8A">
      <w:rPr>
        <w:noProof/>
      </w:rPr>
      <w:t>2</w:t>
    </w:r>
    <w:r w:rsidR="001D6A8A">
      <w:rPr>
        <w:noProof/>
      </w:rPr>
      <w:fldChar w:fldCharType="end"/>
    </w:r>
    <w:r w:rsidR="001D6A8A">
      <w:rPr>
        <w:noProof/>
      </w:rPr>
      <w:tab/>
    </w:r>
    <w:fldSimple w:instr="STYLEREF  &quot;Heading 1&quot;  \* MERGEFORMAT">
      <w:r w:rsidR="001D3A16">
        <w:rPr>
          <w:noProof/>
        </w:rPr>
        <w:t>VTTC reporting requirements</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3E49" w14:textId="0CDE4C28" w:rsidR="001D6A8A" w:rsidRPr="00111646" w:rsidRDefault="001D6A8A" w:rsidP="005A4AC5">
    <w:pPr>
      <w:pStyle w:val="FooterOdd"/>
      <w:jc w:val="center"/>
    </w:pPr>
    <w:r w:rsidRPr="00111646">
      <w:tab/>
    </w:r>
    <w:r w:rsidRPr="001D6A8A">
      <w:t>Page</w:t>
    </w:r>
    <w:r w:rsidRPr="00111646">
      <w:t xml:space="preserve"> </w:t>
    </w:r>
    <w:r w:rsidRPr="00111646">
      <w:fldChar w:fldCharType="begin"/>
    </w:r>
    <w:r w:rsidRPr="00111646">
      <w:instrText xml:space="preserve"> PAGE   \* MERGEFORMAT </w:instrText>
    </w:r>
    <w:r w:rsidRPr="00111646">
      <w:fldChar w:fldCharType="separate"/>
    </w:r>
    <w:r w:rsidRPr="00111646">
      <w:t>14</w:t>
    </w:r>
    <w:r w:rsidRPr="00111646">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8892" w14:textId="24608B89" w:rsidR="001D6A8A" w:rsidRPr="009F50E3" w:rsidRDefault="001D6A8A" w:rsidP="005E0DC1">
    <w:pPr>
      <w:pStyle w:val="FooterOdd"/>
    </w:pPr>
    <w:r w:rsidRPr="00912467">
      <w:t>Page</w:t>
    </w:r>
    <w:r>
      <w:t xml:space="preserve"> </w:t>
    </w:r>
    <w:r>
      <w:fldChar w:fldCharType="begin"/>
    </w:r>
    <w:r>
      <w:instrText xml:space="preserve"> PAGE  \* Arabic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E9FE" w14:textId="77777777" w:rsidR="006533A9" w:rsidRDefault="006533A9">
      <w:r>
        <w:separator/>
      </w:r>
    </w:p>
  </w:footnote>
  <w:footnote w:type="continuationSeparator" w:id="0">
    <w:p w14:paraId="539E075E" w14:textId="77777777" w:rsidR="006533A9" w:rsidRDefault="006533A9">
      <w:r>
        <w:continuationSeparator/>
      </w:r>
    </w:p>
  </w:footnote>
  <w:footnote w:type="continuationNotice" w:id="1">
    <w:p w14:paraId="7EBF8D10" w14:textId="77777777" w:rsidR="006533A9" w:rsidRDefault="006533A9">
      <w:pPr>
        <w:spacing w:before="0" w:after="0"/>
      </w:pPr>
    </w:p>
  </w:footnote>
  <w:footnote w:id="2">
    <w:p w14:paraId="4842113D" w14:textId="6D4CF8A7" w:rsidR="00975D2D" w:rsidRDefault="008D3266" w:rsidP="00851667">
      <w:pPr>
        <w:pStyle w:val="FootnoteText"/>
      </w:pPr>
      <w:r w:rsidRPr="008D3266">
        <w:rPr>
          <w:rStyle w:val="FootnoteReference"/>
          <w:vertAlign w:val="baseline"/>
        </w:rPr>
        <w:footnoteRef/>
      </w:r>
      <w:r w:rsidR="00C40471">
        <w:t xml:space="preserve"> </w:t>
      </w:r>
      <w:r w:rsidR="00CB0232">
        <w:tab/>
      </w:r>
      <w:r w:rsidR="00C40471" w:rsidRPr="003B2E1D">
        <w:rPr>
          <w:b/>
          <w:bCs/>
        </w:rPr>
        <w:t>Note</w:t>
      </w:r>
      <w:r w:rsidR="00CB0232">
        <w:t xml:space="preserve">: </w:t>
      </w:r>
      <w:r w:rsidR="00FF5B0C">
        <w:t xml:space="preserve">There is no requirement </w:t>
      </w:r>
      <w:r w:rsidR="008A08A0">
        <w:t xml:space="preserve">for the VTTC to be assured by an external auditor, </w:t>
      </w:r>
      <w:r w:rsidR="00784AE3">
        <w:t xml:space="preserve">to the extent </w:t>
      </w:r>
      <w:r w:rsidR="00E00E09">
        <w:t xml:space="preserve">information is </w:t>
      </w:r>
      <w:r w:rsidR="00E33299">
        <w:t>assured,</w:t>
      </w:r>
      <w:r w:rsidR="00C40471" w:rsidRPr="003B2E1D">
        <w:t xml:space="preserve"> </w:t>
      </w:r>
      <w:r w:rsidR="009F1E3B">
        <w:t xml:space="preserve">information </w:t>
      </w:r>
      <w:r w:rsidR="00752B16">
        <w:t>may be</w:t>
      </w:r>
      <w:r w:rsidR="009F1E3B">
        <w:t xml:space="preserve"> disclosed as such.</w:t>
      </w:r>
    </w:p>
  </w:footnote>
  <w:footnote w:id="3">
    <w:p w14:paraId="24F5BB3C" w14:textId="3D24161C" w:rsidR="00DF3413" w:rsidRDefault="008D3266" w:rsidP="00851667">
      <w:pPr>
        <w:pStyle w:val="FootnoteText"/>
      </w:pPr>
      <w:r w:rsidRPr="008D3266">
        <w:rPr>
          <w:rStyle w:val="FootnoteReference"/>
          <w:vertAlign w:val="baseline"/>
        </w:rPr>
        <w:footnoteRef/>
      </w:r>
      <w:r w:rsidR="00DF3413">
        <w:t xml:space="preserve"> </w:t>
      </w:r>
      <w:r w:rsidR="00CB0232">
        <w:tab/>
      </w:r>
      <w:r w:rsidR="00DF3413" w:rsidRPr="00DF3413">
        <w:rPr>
          <w:b/>
          <w:bCs/>
        </w:rPr>
        <w:t>Note</w:t>
      </w:r>
      <w:r w:rsidR="00CB0232">
        <w:t xml:space="preserve">: </w:t>
      </w:r>
      <w:r w:rsidR="00DF3413" w:rsidRPr="00DF3413">
        <w:t>The VTTC is intended to be flexible. The Board acknowledges that some VTTC participants may utilise the VTTC for other tax transparency reporting regimes, such as the UK’s Large Business Tax Strategy reporting requirement.</w:t>
      </w:r>
    </w:p>
  </w:footnote>
  <w:footnote w:id="4">
    <w:p w14:paraId="0C1AB820" w14:textId="1CB7E587" w:rsidR="007C58B9" w:rsidRDefault="008D3266" w:rsidP="00851667">
      <w:pPr>
        <w:pStyle w:val="FootnoteText"/>
      </w:pPr>
      <w:r w:rsidRPr="008D3266">
        <w:rPr>
          <w:rStyle w:val="FootnoteReference"/>
          <w:vertAlign w:val="baseline"/>
        </w:rPr>
        <w:footnoteRef/>
      </w:r>
      <w:r w:rsidR="007C58B9">
        <w:t xml:space="preserve"> </w:t>
      </w:r>
      <w:r w:rsidR="00EE46B6">
        <w:tab/>
      </w:r>
      <w:r w:rsidR="00521277">
        <w:t xml:space="preserve">See </w:t>
      </w:r>
      <w:hyperlink r:id="rId1" w:history="1">
        <w:r w:rsidR="009F5FF4">
          <w:rPr>
            <w:rStyle w:val="Hyperlink"/>
          </w:rPr>
          <w:t>Draft Appendix to the Tax Transparency Code - AASB Draft Guidance Material [PDF 312 KB]</w:t>
        </w:r>
      </w:hyperlink>
      <w:r w:rsidR="00AC41D7">
        <w:t xml:space="preserve"> </w:t>
      </w:r>
    </w:p>
  </w:footnote>
  <w:footnote w:id="5">
    <w:p w14:paraId="3EBEEF15" w14:textId="69DBAAF3" w:rsidR="008652AD" w:rsidRDefault="008D3266" w:rsidP="00851667">
      <w:pPr>
        <w:pStyle w:val="FootnoteText"/>
      </w:pPr>
      <w:r w:rsidRPr="008D3266">
        <w:rPr>
          <w:rStyle w:val="FootnoteReference"/>
          <w:vertAlign w:val="baseline"/>
        </w:rPr>
        <w:footnoteRef/>
      </w:r>
      <w:r w:rsidR="00AC41D7">
        <w:t xml:space="preserve"> </w:t>
      </w:r>
      <w:r w:rsidR="00EE46B6">
        <w:tab/>
      </w:r>
      <w:r w:rsidR="0015502A">
        <w:t>S</w:t>
      </w:r>
      <w:r w:rsidR="001349E4">
        <w:t xml:space="preserve">ee paragraphs 27 to 52 for information on </w:t>
      </w:r>
      <w:hyperlink r:id="rId2" w:history="1">
        <w:r w:rsidR="00615D85">
          <w:rPr>
            <w:rStyle w:val="Hyperlink"/>
          </w:rPr>
          <w:t>How to calculate Tax Transparency Code effective tax rates [PDF 312KB]</w:t>
        </w:r>
      </w:hyperlink>
      <w:r w:rsidR="0061741B">
        <w:t xml:space="preserve"> </w:t>
      </w:r>
    </w:p>
  </w:footnote>
  <w:footnote w:id="6">
    <w:p w14:paraId="5511E39B" w14:textId="09E0ED6C" w:rsidR="005C3C95" w:rsidRPr="007B165A" w:rsidRDefault="008D3266" w:rsidP="0050023D">
      <w:pPr>
        <w:pStyle w:val="Bullet"/>
        <w:numPr>
          <w:ilvl w:val="0"/>
          <w:numId w:val="0"/>
        </w:numPr>
        <w:spacing w:after="0"/>
        <w:ind w:left="520" w:hanging="520"/>
        <w:rPr>
          <w:sz w:val="18"/>
          <w:szCs w:val="18"/>
        </w:rPr>
      </w:pPr>
      <w:r w:rsidRPr="0050023D">
        <w:rPr>
          <w:rStyle w:val="FootnoteReference"/>
          <w:vertAlign w:val="baseline"/>
        </w:rPr>
        <w:footnoteRef/>
      </w:r>
      <w:r w:rsidR="005C3C95" w:rsidRPr="0050023D">
        <w:rPr>
          <w:rStyle w:val="FootnoteReference"/>
          <w:vertAlign w:val="baseline"/>
        </w:rPr>
        <w:t xml:space="preserve"> </w:t>
      </w:r>
      <w:r w:rsidR="00EE46B6">
        <w:rPr>
          <w:sz w:val="18"/>
          <w:szCs w:val="18"/>
        </w:rPr>
        <w:tab/>
      </w:r>
      <w:r w:rsidR="005C3C95" w:rsidRPr="00F91679">
        <w:rPr>
          <w:sz w:val="18"/>
          <w:szCs w:val="18"/>
        </w:rPr>
        <w:t>The TTC ETR should comply with ASIC Regulatory Guide 230.</w:t>
      </w:r>
      <w:r w:rsidR="005C3C95">
        <w:rPr>
          <w:sz w:val="18"/>
          <w:szCs w:val="18"/>
        </w:rPr>
        <w:t xml:space="preserve"> </w:t>
      </w:r>
    </w:p>
  </w:footnote>
  <w:footnote w:id="7">
    <w:p w14:paraId="61E534B8" w14:textId="32E760B8" w:rsidR="001A082A" w:rsidRDefault="008D3266" w:rsidP="00851667">
      <w:pPr>
        <w:pStyle w:val="FootnoteText"/>
      </w:pPr>
      <w:r w:rsidRPr="008D3266">
        <w:rPr>
          <w:rStyle w:val="FootnoteReference"/>
          <w:vertAlign w:val="baseline"/>
        </w:rPr>
        <w:footnoteRef/>
      </w:r>
      <w:r w:rsidR="001A082A">
        <w:t xml:space="preserve"> </w:t>
      </w:r>
      <w:r w:rsidR="00655164">
        <w:tab/>
      </w:r>
      <w:r w:rsidR="001A082A">
        <w:t>Aligned with GRI Standards GRI 207-1: Approach to tax.</w:t>
      </w:r>
    </w:p>
  </w:footnote>
  <w:footnote w:id="8">
    <w:p w14:paraId="06357AFF" w14:textId="4ABA5A22" w:rsidR="0026103C" w:rsidRDefault="008D3266" w:rsidP="00851667">
      <w:pPr>
        <w:pStyle w:val="FootnoteText"/>
      </w:pPr>
      <w:r w:rsidRPr="008D3266">
        <w:rPr>
          <w:rStyle w:val="FootnoteReference"/>
          <w:vertAlign w:val="baseline"/>
        </w:rPr>
        <w:footnoteRef/>
      </w:r>
      <w:r w:rsidR="00B91667">
        <w:t xml:space="preserve"> </w:t>
      </w:r>
      <w:r w:rsidR="00655164">
        <w:tab/>
      </w:r>
      <w:r w:rsidR="004534D1">
        <w:t>Aligned with GRI Standards GRI 207-2</w:t>
      </w:r>
      <w:r w:rsidR="00480D65">
        <w:t>:</w:t>
      </w:r>
      <w:r w:rsidR="004534D1">
        <w:t xml:space="preserve"> Tax governance, </w:t>
      </w:r>
      <w:r w:rsidR="00795179">
        <w:t>control,</w:t>
      </w:r>
      <w:r w:rsidR="004534D1">
        <w:t xml:space="preserve"> and risk management. </w:t>
      </w:r>
    </w:p>
  </w:footnote>
  <w:footnote w:id="9">
    <w:p w14:paraId="6D3A69C8" w14:textId="61E5F620" w:rsidR="0026103C" w:rsidRDefault="008D3266" w:rsidP="00851667">
      <w:pPr>
        <w:pStyle w:val="FootnoteText"/>
      </w:pPr>
      <w:r w:rsidRPr="008D3266">
        <w:rPr>
          <w:rStyle w:val="FootnoteReference"/>
          <w:vertAlign w:val="baseline"/>
        </w:rPr>
        <w:footnoteRef/>
      </w:r>
      <w:r w:rsidR="00B91667">
        <w:t xml:space="preserve"> </w:t>
      </w:r>
      <w:r w:rsidR="00655164">
        <w:tab/>
      </w:r>
      <w:r w:rsidR="004534D1">
        <w:t>Aligned with GRI Standards GRI 207-3</w:t>
      </w:r>
      <w:r w:rsidR="00480D65">
        <w:t>:</w:t>
      </w:r>
      <w:r w:rsidR="004534D1">
        <w:t xml:space="preserve"> Stakeholder engagement and management of concerns related to tax. </w:t>
      </w:r>
    </w:p>
  </w:footnote>
  <w:footnote w:id="10">
    <w:p w14:paraId="777B3AD1" w14:textId="05B1592E" w:rsidR="00061FD3" w:rsidRDefault="008D3266" w:rsidP="00851667">
      <w:pPr>
        <w:pStyle w:val="FootnoteText"/>
      </w:pPr>
      <w:r w:rsidRPr="004A0F33">
        <w:rPr>
          <w:rStyle w:val="FootnoteReference"/>
          <w:vertAlign w:val="baseline"/>
        </w:rPr>
        <w:footnoteRef/>
      </w:r>
      <w:r w:rsidR="00061FD3" w:rsidRPr="004A0F33">
        <w:rPr>
          <w:sz w:val="22"/>
          <w:szCs w:val="22"/>
        </w:rPr>
        <w:t xml:space="preserve"> </w:t>
      </w:r>
      <w:r w:rsidR="0043372C">
        <w:tab/>
      </w:r>
      <w:r w:rsidR="00DC7167">
        <w:t xml:space="preserve">See </w:t>
      </w:r>
      <w:hyperlink r:id="rId3" w:history="1">
        <w:r w:rsidR="00263DCB">
          <w:rPr>
            <w:rStyle w:val="Hyperlink"/>
          </w:rPr>
          <w:t>Draft Appendix to the Tax Transparency Code - AASB Draft Guidance Material [PDF 312 KB]</w:t>
        </w:r>
      </w:hyperlink>
      <w:r w:rsidR="00061FD3">
        <w:t xml:space="preserve"> </w:t>
      </w:r>
    </w:p>
  </w:footnote>
  <w:footnote w:id="11">
    <w:p w14:paraId="4D8C499A" w14:textId="19B4AA8A" w:rsidR="00061FD3" w:rsidRDefault="008D3266" w:rsidP="00851667">
      <w:pPr>
        <w:pStyle w:val="FootnoteText"/>
      </w:pPr>
      <w:r w:rsidRPr="008D3266">
        <w:rPr>
          <w:rStyle w:val="FootnoteReference"/>
          <w:vertAlign w:val="baseline"/>
        </w:rPr>
        <w:footnoteRef/>
      </w:r>
      <w:r w:rsidR="00061FD3">
        <w:t xml:space="preserve"> </w:t>
      </w:r>
      <w:r w:rsidR="0043372C">
        <w:tab/>
      </w:r>
      <w:r w:rsidR="00DC7167">
        <w:t xml:space="preserve">See paragraphs 27 to 52 for information on </w:t>
      </w:r>
      <w:hyperlink r:id="rId4" w:history="1">
        <w:r w:rsidR="00D22500">
          <w:rPr>
            <w:rStyle w:val="Hyperlink"/>
          </w:rPr>
          <w:t>How to calculate Tax Transparency effective tax rates [PDF 312 KB]</w:t>
        </w:r>
      </w:hyperlink>
      <w:r w:rsidR="00061FD3">
        <w:t xml:space="preserve"> </w:t>
      </w:r>
    </w:p>
  </w:footnote>
  <w:footnote w:id="12">
    <w:p w14:paraId="19F08585" w14:textId="4266D236" w:rsidR="00061FD3" w:rsidRPr="007B165A" w:rsidRDefault="008D3266" w:rsidP="00AB3C48">
      <w:pPr>
        <w:pStyle w:val="Bullet"/>
        <w:numPr>
          <w:ilvl w:val="0"/>
          <w:numId w:val="0"/>
        </w:numPr>
        <w:spacing w:after="0"/>
        <w:ind w:left="520" w:hanging="520"/>
        <w:rPr>
          <w:sz w:val="18"/>
          <w:szCs w:val="18"/>
        </w:rPr>
      </w:pPr>
      <w:r w:rsidRPr="00AB3C48">
        <w:rPr>
          <w:rStyle w:val="FootnoteReference"/>
          <w:vertAlign w:val="baseline"/>
        </w:rPr>
        <w:footnoteRef/>
      </w:r>
      <w:r w:rsidR="00061FD3" w:rsidRPr="00AB3C48">
        <w:rPr>
          <w:rStyle w:val="FootnoteReference"/>
          <w:vertAlign w:val="baseline"/>
        </w:rPr>
        <w:t xml:space="preserve"> </w:t>
      </w:r>
      <w:r w:rsidR="0043372C">
        <w:rPr>
          <w:sz w:val="18"/>
          <w:szCs w:val="18"/>
        </w:rPr>
        <w:tab/>
      </w:r>
      <w:r w:rsidR="00AB3C48">
        <w:rPr>
          <w:sz w:val="18"/>
          <w:szCs w:val="18"/>
        </w:rPr>
        <w:t xml:space="preserve"> </w:t>
      </w:r>
      <w:r w:rsidR="00061FD3" w:rsidRPr="00F91679">
        <w:rPr>
          <w:sz w:val="18"/>
          <w:szCs w:val="18"/>
        </w:rPr>
        <w:t>The TTC ETR should comply with ASIC Regulatory Guide 230.</w:t>
      </w:r>
      <w:r w:rsidR="00061FD3">
        <w:rPr>
          <w:sz w:val="18"/>
          <w:szCs w:val="18"/>
        </w:rPr>
        <w:t xml:space="preserve"> </w:t>
      </w:r>
    </w:p>
  </w:footnote>
  <w:footnote w:id="13">
    <w:p w14:paraId="698A90B9" w14:textId="4D96A1EC" w:rsidR="004E5F86" w:rsidRDefault="008D3266" w:rsidP="00851667">
      <w:pPr>
        <w:pStyle w:val="FootnoteText"/>
      </w:pPr>
      <w:r w:rsidRPr="008D3266">
        <w:rPr>
          <w:rStyle w:val="FootnoteReference"/>
          <w:vertAlign w:val="baseline"/>
        </w:rPr>
        <w:footnoteRef/>
      </w:r>
      <w:r w:rsidR="004E5F86">
        <w:t xml:space="preserve"> </w:t>
      </w:r>
      <w:r w:rsidR="0043372C">
        <w:tab/>
      </w:r>
      <w:r w:rsidR="00DC7167">
        <w:t xml:space="preserve">See </w:t>
      </w:r>
      <w:hyperlink r:id="rId5" w:history="1">
        <w:r w:rsidR="00D22500">
          <w:rPr>
            <w:rStyle w:val="Hyperlink"/>
          </w:rPr>
          <w:t>Draft Appendix to the Tax Transparency Code - AASB Draft Guidance Material [PDF 312 KB]</w:t>
        </w:r>
      </w:hyperlink>
      <w:r w:rsidR="005D1B5A">
        <w:t xml:space="preserve"> </w:t>
      </w:r>
    </w:p>
  </w:footnote>
  <w:footnote w:id="14">
    <w:p w14:paraId="2CD6583A" w14:textId="6AC953A6" w:rsidR="004C0FE3" w:rsidRDefault="008D3266" w:rsidP="00851667">
      <w:pPr>
        <w:pStyle w:val="FootnoteText"/>
      </w:pPr>
      <w:r w:rsidRPr="008D3266">
        <w:rPr>
          <w:rStyle w:val="FootnoteReference"/>
          <w:vertAlign w:val="baseline"/>
        </w:rPr>
        <w:footnoteRef/>
      </w:r>
      <w:r w:rsidR="004C0FE3">
        <w:t xml:space="preserve"> </w:t>
      </w:r>
      <w:r w:rsidR="00A676F1">
        <w:tab/>
      </w:r>
      <w:r w:rsidR="00A7517C">
        <w:t>Aligned with GRI Standards GRI 207-1: Approach to tax.</w:t>
      </w:r>
    </w:p>
  </w:footnote>
  <w:footnote w:id="15">
    <w:p w14:paraId="27606EDB" w14:textId="4C09E2F3" w:rsidR="004534D1" w:rsidRDefault="008D3266" w:rsidP="00851667">
      <w:pPr>
        <w:pStyle w:val="FootnoteText"/>
      </w:pPr>
      <w:r w:rsidRPr="008D3266">
        <w:rPr>
          <w:rStyle w:val="FootnoteReference"/>
          <w:vertAlign w:val="baseline"/>
        </w:rPr>
        <w:footnoteRef/>
      </w:r>
      <w:r w:rsidR="004534D1">
        <w:t xml:space="preserve"> </w:t>
      </w:r>
      <w:r w:rsidR="00A676F1">
        <w:tab/>
      </w:r>
      <w:r w:rsidR="004534D1">
        <w:t>Aligned with GRI Standards GRI 207-2</w:t>
      </w:r>
      <w:r w:rsidR="00C15666">
        <w:t>:</w:t>
      </w:r>
      <w:r w:rsidR="004534D1">
        <w:t xml:space="preserve"> Tax governance, </w:t>
      </w:r>
      <w:r w:rsidR="00176A13">
        <w:t>control,</w:t>
      </w:r>
      <w:r w:rsidR="004534D1">
        <w:t xml:space="preserve"> and risk management. </w:t>
      </w:r>
    </w:p>
  </w:footnote>
  <w:footnote w:id="16">
    <w:p w14:paraId="55CCA5D0" w14:textId="2F3FD1A4" w:rsidR="004534D1" w:rsidRDefault="008D3266" w:rsidP="00851667">
      <w:pPr>
        <w:pStyle w:val="FootnoteText"/>
      </w:pPr>
      <w:r w:rsidRPr="008D3266">
        <w:rPr>
          <w:rStyle w:val="FootnoteReference"/>
          <w:vertAlign w:val="baseline"/>
        </w:rPr>
        <w:footnoteRef/>
      </w:r>
      <w:r w:rsidR="004534D1" w:rsidRPr="00851667">
        <w:t xml:space="preserve"> </w:t>
      </w:r>
      <w:r w:rsidR="002162CF" w:rsidRPr="00851667">
        <w:tab/>
      </w:r>
      <w:r w:rsidR="004534D1" w:rsidRPr="00851667">
        <w:t>Aligned with GRI Standards GRI 207-3</w:t>
      </w:r>
      <w:r w:rsidR="00C15666" w:rsidRPr="00851667">
        <w:t>:</w:t>
      </w:r>
      <w:r w:rsidR="004534D1" w:rsidRPr="00851667">
        <w:t xml:space="preserve"> Stakeholder engagement and management of concerns related to tax.</w:t>
      </w:r>
    </w:p>
  </w:footnote>
  <w:footnote w:id="17">
    <w:p w14:paraId="47416EAE" w14:textId="77F18E77" w:rsidR="00BD4078" w:rsidRPr="00140B5D" w:rsidRDefault="008D3266" w:rsidP="00851667">
      <w:pPr>
        <w:pStyle w:val="FootnoteText"/>
      </w:pPr>
      <w:r w:rsidRPr="008D3266">
        <w:rPr>
          <w:rStyle w:val="FootnoteReference"/>
          <w:sz w:val="18"/>
          <w:szCs w:val="18"/>
          <w:vertAlign w:val="baseline"/>
        </w:rPr>
        <w:footnoteRef/>
      </w:r>
      <w:r w:rsidR="00D11F15">
        <w:t xml:space="preserve"> </w:t>
      </w:r>
      <w:r w:rsidR="00831192">
        <w:tab/>
      </w:r>
      <w:r w:rsidR="005F3191" w:rsidRPr="00140B5D">
        <w:t>See</w:t>
      </w:r>
      <w:r w:rsidR="005F3191">
        <w:t xml:space="preserve"> </w:t>
      </w:r>
      <w:r w:rsidR="005F3191" w:rsidRPr="00140B5D">
        <w:t>guidance on</w:t>
      </w:r>
      <w:r w:rsidR="00375911">
        <w:t xml:space="preserve"> materiality</w:t>
      </w:r>
      <w:r w:rsidR="00DC0FF7">
        <w:t xml:space="preserve"> -</w:t>
      </w:r>
      <w:r w:rsidR="005F3191" w:rsidRPr="00140B5D">
        <w:t xml:space="preserve"> </w:t>
      </w:r>
      <w:hyperlink r:id="rId6" w:history="1">
        <w:r w:rsidR="00D22500">
          <w:rPr>
            <w:rStyle w:val="Hyperlink"/>
          </w:rPr>
          <w:t>Draft Appendix to the Tax Transparency Code - AASB Draft Guidance Material [PDF 312 KB]</w:t>
        </w:r>
      </w:hyperlink>
    </w:p>
  </w:footnote>
  <w:footnote w:id="18">
    <w:p w14:paraId="13D645CD" w14:textId="068F5116" w:rsidR="00BD4078" w:rsidRDefault="008D3266" w:rsidP="00851667">
      <w:pPr>
        <w:pStyle w:val="FootnoteText"/>
      </w:pPr>
      <w:r w:rsidRPr="008D3266">
        <w:rPr>
          <w:rStyle w:val="FootnoteReference"/>
          <w:color w:val="142147" w:themeColor="accent1"/>
          <w:vertAlign w:val="baseline"/>
        </w:rPr>
        <w:footnoteRef/>
      </w:r>
      <w:r w:rsidR="00BD4078" w:rsidRPr="00673154">
        <w:rPr>
          <w:color w:val="142147" w:themeColor="accent1"/>
        </w:rPr>
        <w:t xml:space="preserve"> </w:t>
      </w:r>
      <w:r w:rsidR="00F02EF4">
        <w:rPr>
          <w:color w:val="142147" w:themeColor="accent1"/>
        </w:rPr>
        <w:tab/>
      </w:r>
      <w:r w:rsidR="00BD4078" w:rsidRPr="003B2E1D">
        <w:rPr>
          <w:b/>
          <w:bCs/>
        </w:rPr>
        <w:t>Note</w:t>
      </w:r>
      <w:r w:rsidR="00BD4078" w:rsidRPr="003B2E1D">
        <w:t xml:space="preserve">. Where </w:t>
      </w:r>
      <w:r w:rsidR="003A48CB">
        <w:t>applicable</w:t>
      </w:r>
      <w:r w:rsidR="00BD4078" w:rsidRPr="003B2E1D">
        <w:t xml:space="preserve">, include information on whether </w:t>
      </w:r>
      <w:r w:rsidR="008E5A51">
        <w:t>V</w:t>
      </w:r>
      <w:r w:rsidR="00BD4078" w:rsidRPr="003B2E1D">
        <w:t xml:space="preserve">TTC has been assured by an external auditor. </w:t>
      </w:r>
    </w:p>
  </w:footnote>
  <w:footnote w:id="19">
    <w:p w14:paraId="1E407ED3" w14:textId="1097F7EB" w:rsidR="00BD4078" w:rsidRDefault="008D3266" w:rsidP="00851667">
      <w:pPr>
        <w:pStyle w:val="FootnoteText"/>
      </w:pPr>
      <w:r w:rsidRPr="008D3266">
        <w:rPr>
          <w:rStyle w:val="FootnoteReference"/>
          <w:color w:val="142147" w:themeColor="accent1"/>
          <w:vertAlign w:val="baseline"/>
        </w:rPr>
        <w:footnoteRef/>
      </w:r>
      <w:r w:rsidR="00BD4078" w:rsidRPr="00673154">
        <w:t xml:space="preserve"> </w:t>
      </w:r>
      <w:r w:rsidR="006967B1">
        <w:tab/>
      </w:r>
      <w:r w:rsidR="00BD4078" w:rsidRPr="00673154">
        <w:rPr>
          <w:b/>
          <w:bCs/>
        </w:rPr>
        <w:t>Note</w:t>
      </w:r>
      <w:r w:rsidR="00BD4078" w:rsidRPr="00673154">
        <w:t xml:space="preserve">. Where relevant, include information on whether </w:t>
      </w:r>
      <w:r w:rsidR="00005920">
        <w:t>V</w:t>
      </w:r>
      <w:r w:rsidR="00BD4078" w:rsidRPr="00673154">
        <w:t xml:space="preserve">TTC has been assured by an external auditor.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3A32" w14:textId="779F84B5" w:rsidR="00D3340C" w:rsidRDefault="00BB4866">
    <w:pPr>
      <w:pStyle w:val="HeaderEven"/>
    </w:pPr>
    <w:r>
      <w:rPr>
        <w:noProof/>
        <w14:numForm w14:val="default"/>
        <w14:numSpacing w14:val="default"/>
      </w:rPr>
      <mc:AlternateContent>
        <mc:Choice Requires="wps">
          <w:drawing>
            <wp:anchor distT="0" distB="0" distL="0" distR="0" simplePos="0" relativeHeight="251658246" behindDoc="0" locked="0" layoutInCell="1" allowOverlap="1" wp14:anchorId="48F52D58" wp14:editId="66F31A5B">
              <wp:simplePos x="635" y="635"/>
              <wp:positionH relativeFrom="page">
                <wp:align>center</wp:align>
              </wp:positionH>
              <wp:positionV relativeFrom="page">
                <wp:align>top</wp:align>
              </wp:positionV>
              <wp:extent cx="551815" cy="452755"/>
              <wp:effectExtent l="0" t="0" r="635" b="4445"/>
              <wp:wrapNone/>
              <wp:docPr id="6909660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6B65F68" w14:textId="4D771413" w:rsidR="00BB4866" w:rsidRPr="00BB4866" w:rsidRDefault="00BB4866" w:rsidP="00BB4866">
                          <w:pPr>
                            <w:spacing w:after="0"/>
                            <w:rPr>
                              <w:rFonts w:eastAsia="Calibri" w:cs="Calibri"/>
                              <w:noProof/>
                              <w:color w:val="FF0000"/>
                              <w:sz w:val="24"/>
                              <w:szCs w:val="24"/>
                            </w:rPr>
                          </w:pPr>
                          <w:r w:rsidRPr="00BB4866">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F52D58" id="_x0000_t202" coordsize="21600,21600" o:spt="202" path="m,l,21600r21600,l21600,xe">
              <v:stroke joinstyle="miter"/>
              <v:path gradientshapeok="t" o:connecttype="rect"/>
            </v:shapetype>
            <v:shape id="Text Box 2" o:spid="_x0000_s1027" type="#_x0000_t202" alt="OFFICIAL" style="position:absolute;left:0;text-align:left;margin-left:0;margin-top:0;width:43.45pt;height:35.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76B65F68" w14:textId="4D771413" w:rsidR="00BB4866" w:rsidRPr="00BB4866" w:rsidRDefault="00BB4866" w:rsidP="00BB4866">
                    <w:pPr>
                      <w:spacing w:after="0"/>
                      <w:rPr>
                        <w:rFonts w:eastAsia="Calibri" w:cs="Calibri"/>
                        <w:noProof/>
                        <w:color w:val="FF0000"/>
                        <w:sz w:val="24"/>
                        <w:szCs w:val="24"/>
                      </w:rPr>
                    </w:pPr>
                    <w:r w:rsidRPr="00BB4866">
                      <w:rPr>
                        <w:rFonts w:eastAsia="Calibri" w:cs="Calibri"/>
                        <w:noProof/>
                        <w:color w:val="FF0000"/>
                        <w:sz w:val="24"/>
                        <w:szCs w:val="24"/>
                      </w:rPr>
                      <w:t>OFFICIAL</w:t>
                    </w:r>
                  </w:p>
                </w:txbxContent>
              </v:textbox>
              <w10:wrap anchorx="page" anchory="page"/>
            </v:shape>
          </w:pict>
        </mc:Fallback>
      </mc:AlternateContent>
    </w:r>
    <w:r w:rsidR="00D3340C">
      <w:t>Chapter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B722" w14:textId="3DB30C3D" w:rsidR="000F5484" w:rsidRDefault="00BB4866">
    <w:pPr>
      <w:pStyle w:val="Header"/>
    </w:pPr>
    <w:r>
      <w:rPr>
        <w:noProof/>
        <w14:numForm w14:val="default"/>
        <w14:numSpacing w14:val="default"/>
      </w:rPr>
      <mc:AlternateContent>
        <mc:Choice Requires="wps">
          <w:drawing>
            <wp:anchor distT="0" distB="0" distL="0" distR="0" simplePos="0" relativeHeight="251658247" behindDoc="0" locked="0" layoutInCell="1" allowOverlap="1" wp14:anchorId="08916412" wp14:editId="59E13C82">
              <wp:simplePos x="635" y="635"/>
              <wp:positionH relativeFrom="page">
                <wp:align>center</wp:align>
              </wp:positionH>
              <wp:positionV relativeFrom="page">
                <wp:align>top</wp:align>
              </wp:positionV>
              <wp:extent cx="551815" cy="452755"/>
              <wp:effectExtent l="0" t="0" r="635" b="4445"/>
              <wp:wrapNone/>
              <wp:docPr id="20209916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076A5A1"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916412" id="_x0000_t202" coordsize="21600,21600" o:spt="202" path="m,l,21600r21600,l21600,xe">
              <v:stroke joinstyle="miter"/>
              <v:path gradientshapeok="t" o:connecttype="rect"/>
            </v:shapetype>
            <v:shape id="Text Box 3" o:spid="_x0000_s1028" type="#_x0000_t202" alt="OFFICIAL" style="position:absolute;margin-left:0;margin-top:0;width:43.45pt;height:35.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7076A5A1"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42BD" w14:textId="03DAB006" w:rsidR="000F5484" w:rsidRDefault="00BB4866">
    <w:pPr>
      <w:pStyle w:val="Header"/>
    </w:pPr>
    <w:r>
      <w:rPr>
        <w:noProof/>
        <w14:numForm w14:val="default"/>
        <w14:numSpacing w14:val="default"/>
      </w:rPr>
      <mc:AlternateContent>
        <mc:Choice Requires="wps">
          <w:drawing>
            <wp:anchor distT="0" distB="0" distL="0" distR="0" simplePos="0" relativeHeight="251658245" behindDoc="0" locked="0" layoutInCell="1" allowOverlap="1" wp14:anchorId="686DBDAF" wp14:editId="72BEEC46">
              <wp:simplePos x="635" y="635"/>
              <wp:positionH relativeFrom="page">
                <wp:align>center</wp:align>
              </wp:positionH>
              <wp:positionV relativeFrom="page">
                <wp:align>top</wp:align>
              </wp:positionV>
              <wp:extent cx="551815" cy="452755"/>
              <wp:effectExtent l="0" t="0" r="635" b="4445"/>
              <wp:wrapNone/>
              <wp:docPr id="15964469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25FDAFF"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6DBDAF" id="_x0000_t202" coordsize="21600,21600" o:spt="202" path="m,l,21600r21600,l21600,xe">
              <v:stroke joinstyle="miter"/>
              <v:path gradientshapeok="t" o:connecttype="rect"/>
            </v:shapetype>
            <v:shape id="Text Box 1" o:spid="_x0000_s1031"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525FDAFF"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A2D8" w14:textId="4BA17E80" w:rsidR="006256BA" w:rsidRDefault="00BB4866">
    <w:pPr>
      <w:framePr w:wrap="around" w:hAnchor="page" w:x="14460" w:yAlign="top" w:anchorLock="1"/>
      <w:textDirection w:val="tbRl"/>
      <w:rPr>
        <w:rStyle w:val="FramedHeader"/>
      </w:rPr>
    </w:pPr>
    <w:r>
      <w:rPr>
        <w:rFonts w:ascii="Arial" w:hAnsi="Arial"/>
        <w:noProof/>
        <w:color w:val="000080"/>
        <w:sz w:val="18"/>
        <w:szCs w:val="18"/>
      </w:rPr>
      <mc:AlternateContent>
        <mc:Choice Requires="wps">
          <w:drawing>
            <wp:anchor distT="0" distB="0" distL="0" distR="0" simplePos="0" relativeHeight="251658249" behindDoc="0" locked="0" layoutInCell="1" allowOverlap="1" wp14:anchorId="60122A42" wp14:editId="630A984F">
              <wp:simplePos x="635" y="635"/>
              <wp:positionH relativeFrom="page">
                <wp:align>center</wp:align>
              </wp:positionH>
              <wp:positionV relativeFrom="page">
                <wp:align>top</wp:align>
              </wp:positionV>
              <wp:extent cx="551815" cy="452755"/>
              <wp:effectExtent l="0" t="0" r="635" b="4445"/>
              <wp:wrapNone/>
              <wp:docPr id="139308881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0A67450"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122A42" id="_x0000_t202" coordsize="21600,21600" o:spt="202" path="m,l,21600r21600,l21600,xe">
              <v:stroke joinstyle="miter"/>
              <v:path gradientshapeok="t" o:connecttype="rect"/>
            </v:shapetype>
            <v:shape id="Text Box 5" o:spid="_x0000_s1033" type="#_x0000_t202" alt="OFFICIAL" style="position:absolute;margin-left:0;margin-top:0;width:43.45pt;height:35.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bb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LOef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DvbvbbDgIAABwE&#10;AAAOAAAAAAAAAAAAAAAAAC4CAABkcnMvZTJvRG9jLnhtbFBLAQItABQABgAIAAAAIQAMXgIO2gAA&#10;AAMBAAAPAAAAAAAAAAAAAAAAAGgEAABkcnMvZG93bnJldi54bWxQSwUGAAAAAAQABADzAAAAbwUA&#10;AAAA&#10;" filled="f" stroked="f">
              <v:textbox style="mso-fit-shape-to-text:t" inset="0,15pt,0,0">
                <w:txbxContent>
                  <w:p w14:paraId="60A67450"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r w:rsidR="006256BA">
      <w:rPr>
        <w:rStyle w:val="FramedHeader"/>
      </w:rPr>
      <w:t>Publication Title</w:t>
    </w:r>
  </w:p>
  <w:p w14:paraId="5F502689" w14:textId="77777777" w:rsidR="006256BA" w:rsidRPr="009F50E3" w:rsidRDefault="006256BA" w:rsidP="00111646">
    <w:pPr>
      <w:pStyle w:val="HeaderEven"/>
    </w:pPr>
    <w:r>
      <w:t>Publication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EE61" w14:textId="44BC1552" w:rsidR="006256BA" w:rsidRPr="004909C9" w:rsidRDefault="00BB4866" w:rsidP="004B2603">
    <w:pPr>
      <w:pStyle w:val="HeaderOdd"/>
    </w:pPr>
    <w:r>
      <w:rPr>
        <w:noProof/>
        <w14:numForm w14:val="default"/>
        <w14:numSpacing w14:val="default"/>
      </w:rPr>
      <mc:AlternateContent>
        <mc:Choice Requires="wps">
          <w:drawing>
            <wp:anchor distT="0" distB="0" distL="0" distR="0" simplePos="0" relativeHeight="251658250" behindDoc="0" locked="0" layoutInCell="1" allowOverlap="1" wp14:anchorId="118F7B02" wp14:editId="26DEF489">
              <wp:simplePos x="635" y="635"/>
              <wp:positionH relativeFrom="page">
                <wp:align>center</wp:align>
              </wp:positionH>
              <wp:positionV relativeFrom="page">
                <wp:align>top</wp:align>
              </wp:positionV>
              <wp:extent cx="551815" cy="452755"/>
              <wp:effectExtent l="0" t="0" r="635" b="4445"/>
              <wp:wrapNone/>
              <wp:docPr id="124387883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8679DE5"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8F7B02" id="_x0000_t202" coordsize="21600,21600" o:spt="202" path="m,l,21600r21600,l21600,xe">
              <v:stroke joinstyle="miter"/>
              <v:path gradientshapeok="t" o:connecttype="rect"/>
            </v:shapetype>
            <v:shape id="Text Box 6" o:spid="_x0000_s1034" type="#_x0000_t202" alt="OFFICIAL" style="position:absolute;margin-left:0;margin-top:0;width:43.45pt;height:35.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CC0UTmDgIAABwE&#10;AAAOAAAAAAAAAAAAAAAAAC4CAABkcnMvZTJvRG9jLnhtbFBLAQItABQABgAIAAAAIQAMXgIO2gAA&#10;AAMBAAAPAAAAAAAAAAAAAAAAAGgEAABkcnMvZG93bnJldi54bWxQSwUGAAAAAAQABADzAAAAbwUA&#10;AAAA&#10;" filled="f" stroked="f">
              <v:textbox style="mso-fit-shape-to-text:t" inset="0,15pt,0,0">
                <w:txbxContent>
                  <w:p w14:paraId="78679DE5"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fldSimple w:instr="STYLEREF  &quot;Cover Title Main&quot;  \* MERGEFORMAT">
      <w:r w:rsidR="001D3A16">
        <w:rPr>
          <w:noProof/>
        </w:rPr>
        <w:t>Voluntary Tax Transparency Code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4D86" w14:textId="4CEBE1A4" w:rsidR="006256BA" w:rsidRPr="00AA7ADC" w:rsidRDefault="006256BA" w:rsidP="00AA7AD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C8BC" w14:textId="36D1E205" w:rsidR="001D6A8A" w:rsidRDefault="00BB4866">
    <w:pPr>
      <w:framePr w:wrap="around" w:hAnchor="page" w:x="14460" w:yAlign="top" w:anchorLock="1"/>
      <w:textDirection w:val="tbRl"/>
      <w:rPr>
        <w:rStyle w:val="FramedHeader"/>
      </w:rPr>
    </w:pPr>
    <w:r>
      <w:rPr>
        <w:rFonts w:ascii="Arial" w:hAnsi="Arial"/>
        <w:noProof/>
        <w:color w:val="000080"/>
        <w:sz w:val="18"/>
        <w:szCs w:val="18"/>
      </w:rPr>
      <mc:AlternateContent>
        <mc:Choice Requires="wps">
          <w:drawing>
            <wp:anchor distT="0" distB="0" distL="0" distR="0" simplePos="0" relativeHeight="251658243" behindDoc="0" locked="0" layoutInCell="1" allowOverlap="1" wp14:anchorId="73878D54" wp14:editId="17290A88">
              <wp:simplePos x="635" y="635"/>
              <wp:positionH relativeFrom="page">
                <wp:align>center</wp:align>
              </wp:positionH>
              <wp:positionV relativeFrom="page">
                <wp:align>top</wp:align>
              </wp:positionV>
              <wp:extent cx="551815" cy="452755"/>
              <wp:effectExtent l="0" t="0" r="635" b="4445"/>
              <wp:wrapNone/>
              <wp:docPr id="186891288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C052F50" w14:textId="7DF4F570" w:rsidR="00BB4866" w:rsidRPr="00BB4866" w:rsidRDefault="00BB4866" w:rsidP="00BB4866">
                          <w:pPr>
                            <w:spacing w:after="0"/>
                            <w:rPr>
                              <w:rFonts w:eastAsia="Calibri" w:cs="Calibri"/>
                              <w:noProof/>
                              <w:color w:val="FF0000"/>
                              <w:sz w:val="24"/>
                              <w:szCs w:val="24"/>
                            </w:rPr>
                          </w:pPr>
                          <w:r w:rsidRPr="00BB4866">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78D54" id="_x0000_t202" coordsize="21600,21600" o:spt="202" path="m,l,21600r21600,l21600,xe">
              <v:stroke joinstyle="miter"/>
              <v:path gradientshapeok="t" o:connecttype="rect"/>
            </v:shapetype>
            <v:shape id="Text Box 8" o:spid="_x0000_s1037"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CgJFZUNAgAAHQQA&#10;AA4AAAAAAAAAAAAAAAAALgIAAGRycy9lMm9Eb2MueG1sUEsBAi0AFAAGAAgAAAAhAAxeAg7aAAAA&#10;AwEAAA8AAAAAAAAAAAAAAAAAZwQAAGRycy9kb3ducmV2LnhtbFBLBQYAAAAABAAEAPMAAABuBQAA&#10;AAA=&#10;" filled="f" stroked="f">
              <v:textbox style="mso-fit-shape-to-text:t" inset="0,15pt,0,0">
                <w:txbxContent>
                  <w:p w14:paraId="4C052F50" w14:textId="7DF4F570" w:rsidR="00BB4866" w:rsidRPr="00BB4866" w:rsidRDefault="00BB4866" w:rsidP="00BB4866">
                    <w:pPr>
                      <w:spacing w:after="0"/>
                      <w:rPr>
                        <w:rFonts w:eastAsia="Calibri" w:cs="Calibri"/>
                        <w:noProof/>
                        <w:color w:val="FF0000"/>
                        <w:sz w:val="24"/>
                        <w:szCs w:val="24"/>
                      </w:rPr>
                    </w:pPr>
                    <w:r w:rsidRPr="00BB4866">
                      <w:rPr>
                        <w:rFonts w:eastAsia="Calibri" w:cs="Calibri"/>
                        <w:noProof/>
                        <w:color w:val="FF0000"/>
                        <w:sz w:val="24"/>
                        <w:szCs w:val="24"/>
                      </w:rPr>
                      <w:t>OFFICIAL</w:t>
                    </w:r>
                  </w:p>
                </w:txbxContent>
              </v:textbox>
              <w10:wrap anchorx="page" anchory="page"/>
            </v:shape>
          </w:pict>
        </mc:Fallback>
      </mc:AlternateContent>
    </w:r>
    <w:r w:rsidR="001D6A8A">
      <w:rPr>
        <w:rStyle w:val="FramedHeader"/>
      </w:rPr>
      <w:t>Publication Title</w:t>
    </w:r>
  </w:p>
  <w:p w14:paraId="6F7AC416" w14:textId="5AF0150E" w:rsidR="001D6A8A" w:rsidRPr="005E0DC1" w:rsidRDefault="001D3A16" w:rsidP="005E0DC1">
    <w:pPr>
      <w:pStyle w:val="HeaderEven"/>
    </w:pPr>
    <w:fldSimple w:instr="STYLEREF  &quot;Cover Title Main&quot;  \* MERGEFORMAT">
      <w:r>
        <w:rPr>
          <w:noProof/>
        </w:rPr>
        <w:t>Voluntary Tax Transparency Code</w:t>
      </w:r>
    </w:fldSimple>
    <w:r w:rsidR="00FC54A2" w:rsidRPr="005E0DC1">
      <w:rPr>
        <w:noProof/>
      </w:rPr>
      <w:drawing>
        <wp:anchor distT="0" distB="0" distL="114300" distR="114300" simplePos="0" relativeHeight="251658240" behindDoc="1" locked="1" layoutInCell="1" allowOverlap="1" wp14:anchorId="0C21A99E" wp14:editId="0274CB20">
          <wp:simplePos x="904875" y="952500"/>
          <wp:positionH relativeFrom="column">
            <wp:align>center</wp:align>
          </wp:positionH>
          <wp:positionV relativeFrom="page">
            <wp:align>top</wp:align>
          </wp:positionV>
          <wp:extent cx="7559675" cy="125857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7" cy="1258984"/>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4F65" w14:textId="703E43EC" w:rsidR="001D6A8A" w:rsidRPr="005E0DC1" w:rsidRDefault="00FC54A2" w:rsidP="005E0DC1">
    <w:pPr>
      <w:pStyle w:val="HeaderOdd"/>
    </w:pPr>
    <w:r w:rsidRPr="005E0DC1">
      <w:rPr>
        <w:noProof/>
      </w:rPr>
      <w:drawing>
        <wp:anchor distT="0" distB="0" distL="114300" distR="114300" simplePos="0" relativeHeight="251658241" behindDoc="1" locked="1" layoutInCell="1" allowOverlap="1" wp14:anchorId="55A12AFE" wp14:editId="50D08765">
          <wp:simplePos x="904875" y="800100"/>
          <wp:positionH relativeFrom="page">
            <wp:align>center</wp:align>
          </wp:positionH>
          <wp:positionV relativeFrom="page">
            <wp:align>top</wp:align>
          </wp:positionV>
          <wp:extent cx="7559675" cy="12585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7" cy="1258984"/>
                  </a:xfrm>
                  <a:prstGeom prst="rect">
                    <a:avLst/>
                  </a:prstGeom>
                </pic:spPr>
              </pic:pic>
            </a:graphicData>
          </a:graphic>
          <wp14:sizeRelH relativeFrom="margin">
            <wp14:pctWidth>0</wp14:pctWidth>
          </wp14:sizeRelH>
          <wp14:sizeRelV relativeFrom="margin">
            <wp14:pctHeight>0</wp14:pctHeight>
          </wp14:sizeRelV>
        </wp:anchor>
      </w:drawing>
    </w:r>
    <w:fldSimple w:instr="STYLEREF  &quot;Cover Title Main&quot;  \* MERGEFORMAT">
      <w:r w:rsidR="000D5C07">
        <w:rPr>
          <w:noProof/>
        </w:rPr>
        <w:t>Voluntary Tax Transparency Code</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9381" w14:textId="17C91B33" w:rsidR="00622D85" w:rsidRPr="001D6A8A" w:rsidRDefault="00622D85" w:rsidP="001D6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4684B8"/>
    <w:lvl w:ilvl="0">
      <w:start w:val="1"/>
      <w:numFmt w:val="decimal"/>
      <w:pStyle w:val="ListNumber5"/>
      <w:lvlText w:val="%1."/>
      <w:lvlJc w:val="left"/>
      <w:pPr>
        <w:tabs>
          <w:tab w:val="num" w:pos="2766"/>
        </w:tabs>
        <w:ind w:left="2766" w:hanging="360"/>
      </w:pPr>
    </w:lvl>
  </w:abstractNum>
  <w:abstractNum w:abstractNumId="1" w15:restartNumberingAfterBreak="0">
    <w:nsid w:val="FFFFFF7D"/>
    <w:multiLevelType w:val="singleLevel"/>
    <w:tmpl w:val="80DE3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A042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F66FB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B0D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1877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44CD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86FE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7459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8045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86820"/>
    <w:multiLevelType w:val="multilevel"/>
    <w:tmpl w:val="415007AA"/>
    <w:lvl w:ilvl="0">
      <w:start w:val="1"/>
      <w:numFmt w:val="lowerLetter"/>
      <w:lvlText w:val="%1."/>
      <w:lvlJc w:val="left"/>
      <w:pPr>
        <w:ind w:left="568" w:hanging="284"/>
      </w:pPr>
      <w:rPr>
        <w:rFonts w:hint="default"/>
        <w:color w:val="FFFFFF" w:themeColor="background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rPr>
    </w:lvl>
    <w:lvl w:ilvl="8">
      <w:start w:val="1"/>
      <w:numFmt w:val="lowerRoman"/>
      <w:lvlText w:val="%9."/>
      <w:lvlJc w:val="left"/>
      <w:pPr>
        <w:ind w:left="2840" w:hanging="284"/>
      </w:pPr>
      <w:rPr>
        <w:rFonts w:hint="default"/>
      </w:rPr>
    </w:lvl>
  </w:abstractNum>
  <w:abstractNum w:abstractNumId="11" w15:restartNumberingAfterBreak="0">
    <w:nsid w:val="0248278B"/>
    <w:multiLevelType w:val="hybridMultilevel"/>
    <w:tmpl w:val="8630768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33379EE"/>
    <w:multiLevelType w:val="multilevel"/>
    <w:tmpl w:val="70E69126"/>
    <w:name w:val="StandardBulletedList22"/>
    <w:lvl w:ilvl="0">
      <w:start w:val="1"/>
      <w:numFmt w:val="none"/>
      <w:lvlText w:val="2.2.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3" w15:restartNumberingAfterBreak="0">
    <w:nsid w:val="03F15EF7"/>
    <w:multiLevelType w:val="multilevel"/>
    <w:tmpl w:val="DC4E3F9C"/>
    <w:lvl w:ilvl="0">
      <w:start w:val="1"/>
      <w:numFmt w:val="lowerLetter"/>
      <w:lvlText w:val="%1."/>
      <w:lvlJc w:val="left"/>
      <w:pPr>
        <w:ind w:left="568" w:hanging="284"/>
      </w:pPr>
      <w:rPr>
        <w:rFonts w:hint="default"/>
        <w:color w:val="142147" w:themeColor="accent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b w:val="0"/>
        <w:bCs w:val="0"/>
      </w:rPr>
    </w:lvl>
    <w:lvl w:ilvl="8">
      <w:start w:val="1"/>
      <w:numFmt w:val="lowerRoman"/>
      <w:lvlText w:val="%9."/>
      <w:lvlJc w:val="left"/>
      <w:pPr>
        <w:ind w:left="2840" w:hanging="284"/>
      </w:pPr>
      <w:rPr>
        <w:rFonts w:hint="default"/>
      </w:rPr>
    </w:lvl>
  </w:abstractNum>
  <w:abstractNum w:abstractNumId="14" w15:restartNumberingAfterBreak="0">
    <w:nsid w:val="0715662E"/>
    <w:multiLevelType w:val="multilevel"/>
    <w:tmpl w:val="87765BF0"/>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F1A1072"/>
    <w:multiLevelType w:val="multilevel"/>
    <w:tmpl w:val="232EE81E"/>
    <w:lvl w:ilvl="0">
      <w:start w:val="1"/>
      <w:numFmt w:val="lowerRoman"/>
      <w:lvlText w:val="%1."/>
      <w:lvlJc w:val="left"/>
      <w:pPr>
        <w:ind w:left="851" w:hanging="284"/>
      </w:pPr>
      <w:rPr>
        <w:rFonts w:hint="default"/>
        <w:color w:val="FFFFFF" w:themeColor="background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rPr>
    </w:lvl>
    <w:lvl w:ilvl="8">
      <w:start w:val="1"/>
      <w:numFmt w:val="lowerRoman"/>
      <w:lvlText w:val="%9."/>
      <w:lvlJc w:val="left"/>
      <w:pPr>
        <w:ind w:left="2840" w:hanging="284"/>
      </w:pPr>
      <w:rPr>
        <w:rFonts w:hint="default"/>
      </w:rPr>
    </w:lvl>
  </w:abstractNum>
  <w:abstractNum w:abstractNumId="16" w15:restartNumberingAfterBreak="0">
    <w:nsid w:val="10C21F48"/>
    <w:multiLevelType w:val="singleLevel"/>
    <w:tmpl w:val="F0B87A5C"/>
    <w:name w:val="Case study bullet List"/>
    <w:lvl w:ilvl="0">
      <w:start w:val="1"/>
      <w:numFmt w:val="bullet"/>
      <w:lvlRestart w:val="0"/>
      <w:lvlText w:val="•"/>
      <w:lvlJc w:val="left"/>
      <w:pPr>
        <w:tabs>
          <w:tab w:val="num" w:pos="283"/>
        </w:tabs>
        <w:ind w:left="283" w:hanging="283"/>
      </w:pPr>
      <w:rPr>
        <w:rFonts w:ascii="Book Antiqua" w:hAnsi="Book Antiqua"/>
        <w:b w:val="0"/>
        <w:i w:val="0"/>
        <w:color w:val="000080"/>
        <w:sz w:val="16"/>
      </w:rPr>
    </w:lvl>
  </w:abstractNum>
  <w:abstractNum w:abstractNumId="17" w15:restartNumberingAfterBreak="0">
    <w:nsid w:val="12945B11"/>
    <w:multiLevelType w:val="multilevel"/>
    <w:tmpl w:val="0C09001D"/>
    <w:name w:val="StandardBulletedList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0A1E2C"/>
    <w:multiLevelType w:val="multilevel"/>
    <w:tmpl w:val="442CBD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64A4E0E"/>
    <w:multiLevelType w:val="multilevel"/>
    <w:tmpl w:val="6B2272A8"/>
    <w:name w:val="BoTStandardBulletedList"/>
    <w:lvl w:ilvl="0">
      <w:start w:val="1"/>
      <w:numFmt w:val="bullet"/>
      <w:lvlRestart w:val="0"/>
      <w:lvlText w:val="•"/>
      <w:lvlJc w:val="left"/>
      <w:pPr>
        <w:tabs>
          <w:tab w:val="num" w:pos="567"/>
        </w:tabs>
        <w:ind w:left="567" w:hanging="567"/>
      </w:pPr>
      <w:rPr>
        <w:rFonts w:ascii="Times New Roman" w:hAnsi="Times New Roman" w:cs="Times New Roman"/>
        <w:b w:val="0"/>
        <w:i w:val="0"/>
      </w:rPr>
    </w:lvl>
    <w:lvl w:ilvl="1">
      <w:start w:val="1"/>
      <w:numFmt w:val="bullet"/>
      <w:lvlText w:val="–"/>
      <w:lvlJc w:val="left"/>
      <w:pPr>
        <w:tabs>
          <w:tab w:val="num" w:pos="1134"/>
        </w:tabs>
        <w:ind w:left="1134" w:hanging="567"/>
      </w:pPr>
      <w:rPr>
        <w:rFonts w:ascii="Times New Roman" w:hAnsi="Times New Roman" w:cs="Times New Roman"/>
        <w:b w:val="0"/>
        <w:i w:val="0"/>
      </w:rPr>
    </w:lvl>
    <w:lvl w:ilvl="2">
      <w:start w:val="1"/>
      <w:numFmt w:val="bullet"/>
      <w:lvlText w:val=":"/>
      <w:lvlJc w:val="left"/>
      <w:pPr>
        <w:tabs>
          <w:tab w:val="num" w:pos="1701"/>
        </w:tabs>
        <w:ind w:left="1701" w:hanging="567"/>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0" w15:restartNumberingAfterBreak="0">
    <w:nsid w:val="16C24D60"/>
    <w:multiLevelType w:val="multilevel"/>
    <w:tmpl w:val="4A9A5356"/>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b/>
        <w:bCs/>
        <w:color w:val="142147" w:themeColor="accen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76D6A91"/>
    <w:multiLevelType w:val="multilevel"/>
    <w:tmpl w:val="1778AAFE"/>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892430A"/>
    <w:multiLevelType w:val="multilevel"/>
    <w:tmpl w:val="6FEEA0EC"/>
    <w:lvl w:ilvl="0">
      <w:start w:val="1"/>
      <w:numFmt w:val="lowerRoman"/>
      <w:lvlText w:val="%1."/>
      <w:lvlJc w:val="left"/>
      <w:pPr>
        <w:ind w:left="851" w:hanging="284"/>
      </w:pPr>
      <w:rPr>
        <w:rFonts w:hint="default"/>
        <w:b w:val="0"/>
        <w:bCs w:val="0"/>
        <w:color w:val="142147" w:themeColor="accent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rPr>
    </w:lvl>
    <w:lvl w:ilvl="8">
      <w:start w:val="1"/>
      <w:numFmt w:val="lowerRoman"/>
      <w:lvlText w:val="%9."/>
      <w:lvlJc w:val="left"/>
      <w:pPr>
        <w:ind w:left="2840" w:hanging="284"/>
      </w:pPr>
      <w:rPr>
        <w:rFonts w:hint="default"/>
      </w:rPr>
    </w:lvl>
  </w:abstractNum>
  <w:abstractNum w:abstractNumId="23" w15:restartNumberingAfterBreak="0">
    <w:nsid w:val="19144104"/>
    <w:multiLevelType w:val="multilevel"/>
    <w:tmpl w:val="232EE81E"/>
    <w:lvl w:ilvl="0">
      <w:start w:val="1"/>
      <w:numFmt w:val="lowerRoman"/>
      <w:lvlText w:val="%1."/>
      <w:lvlJc w:val="left"/>
      <w:pPr>
        <w:ind w:left="851" w:hanging="284"/>
      </w:pPr>
      <w:rPr>
        <w:rFonts w:hint="default"/>
        <w:color w:val="FFFFFF" w:themeColor="background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rPr>
    </w:lvl>
    <w:lvl w:ilvl="8">
      <w:start w:val="1"/>
      <w:numFmt w:val="lowerRoman"/>
      <w:lvlText w:val="%9."/>
      <w:lvlJc w:val="left"/>
      <w:pPr>
        <w:ind w:left="2840" w:hanging="284"/>
      </w:pPr>
      <w:rPr>
        <w:rFonts w:hint="default"/>
      </w:rPr>
    </w:lvl>
  </w:abstractNum>
  <w:abstractNum w:abstractNumId="24" w15:restartNumberingAfterBreak="0">
    <w:nsid w:val="19C960FD"/>
    <w:multiLevelType w:val="multilevel"/>
    <w:tmpl w:val="0CAC953E"/>
    <w:name w:val="OneLevelNumberedParagraphList"/>
    <w:lvl w:ilvl="0">
      <w:start w:val="1"/>
      <w:numFmt w:val="decimal"/>
      <w:lvlRestart w:val="0"/>
      <w:lvlText w:val="%1."/>
      <w:lvlJc w:val="left"/>
      <w:pPr>
        <w:tabs>
          <w:tab w:val="num" w:pos="567"/>
        </w:tabs>
        <w:ind w:left="567" w:hanging="567"/>
      </w:pPr>
      <w:rPr>
        <w:rFonts w:asciiTheme="minorHAnsi" w:hAnsiTheme="minorHAnsi" w:cs="Times New Roman" w:hint="default"/>
        <w:b w:val="0"/>
        <w:i w:val="0"/>
        <w:color w:val="000000"/>
      </w:rPr>
    </w:lvl>
    <w:lvl w:ilvl="1">
      <w:start w:val="1"/>
      <w:numFmt w:val="decimal"/>
      <w:lvlText w:val="%2"/>
      <w:lvlJc w:val="left"/>
      <w:pPr>
        <w:tabs>
          <w:tab w:val="num" w:pos="1134"/>
        </w:tabs>
        <w:ind w:left="1134" w:hanging="567"/>
      </w:pPr>
      <w:rPr>
        <w:rFonts w:ascii="Times New Roman" w:hAnsi="Times New Roman" w:cs="Times New Roman" w:hint="default"/>
        <w:b w:val="0"/>
        <w:i w:val="0"/>
        <w:color w:val="000000"/>
      </w:rPr>
    </w:lvl>
    <w:lvl w:ilvl="2">
      <w:start w:val="1"/>
      <w:numFmt w:val="decimal"/>
      <w:lvlText w:val="%3"/>
      <w:lvlJc w:val="left"/>
      <w:pPr>
        <w:tabs>
          <w:tab w:val="num" w:pos="1701"/>
        </w:tabs>
        <w:ind w:left="1701" w:hanging="567"/>
      </w:pPr>
      <w:rPr>
        <w:rFonts w:ascii="Times New Roman" w:hAnsi="Times New Roman" w:cs="Times New Roman" w:hint="default"/>
        <w:b w:val="0"/>
        <w:i w:val="0"/>
        <w:color w:val="000000"/>
      </w:rPr>
    </w:lvl>
    <w:lvl w:ilvl="3">
      <w:start w:val="1"/>
      <w:numFmt w:val="decimal"/>
      <w:lvlText w:val="%4"/>
      <w:lvlJc w:val="left"/>
      <w:pPr>
        <w:tabs>
          <w:tab w:val="num" w:pos="2268"/>
        </w:tabs>
        <w:ind w:left="2268" w:hanging="567"/>
      </w:pPr>
      <w:rPr>
        <w:rFonts w:ascii="Times New Roman" w:hAnsi="Times New Roman" w:cs="Times New Roman" w:hint="default"/>
        <w:b w:val="0"/>
        <w:i w:val="0"/>
        <w:color w:val="000000"/>
      </w:rPr>
    </w:lvl>
    <w:lvl w:ilvl="4">
      <w:start w:val="1"/>
      <w:numFmt w:val="decimal"/>
      <w:lvlText w:val="%5"/>
      <w:lvlJc w:val="left"/>
      <w:pPr>
        <w:tabs>
          <w:tab w:val="num" w:pos="2835"/>
        </w:tabs>
        <w:ind w:left="2835" w:hanging="567"/>
      </w:pPr>
      <w:rPr>
        <w:rFonts w:ascii="Times New Roman" w:hAnsi="Times New Roman" w:cs="Times New Roman" w:hint="default"/>
        <w:b w:val="0"/>
        <w:i w:val="0"/>
        <w:color w:val="000000"/>
      </w:rPr>
    </w:lvl>
    <w:lvl w:ilvl="5">
      <w:start w:val="1"/>
      <w:numFmt w:val="decimal"/>
      <w:lvlText w:val="%6"/>
      <w:lvlJc w:val="left"/>
      <w:pPr>
        <w:tabs>
          <w:tab w:val="num" w:pos="3402"/>
        </w:tabs>
        <w:ind w:left="3402" w:hanging="567"/>
      </w:pPr>
      <w:rPr>
        <w:rFonts w:ascii="Times New Roman" w:hAnsi="Times New Roman" w:cs="Times New Roman" w:hint="default"/>
        <w:b w:val="0"/>
        <w:i w:val="0"/>
        <w:color w:val="000000"/>
      </w:rPr>
    </w:lvl>
    <w:lvl w:ilvl="6">
      <w:start w:val="1"/>
      <w:numFmt w:val="decimal"/>
      <w:lvlText w:val="%7"/>
      <w:lvlJc w:val="left"/>
      <w:pPr>
        <w:tabs>
          <w:tab w:val="num" w:pos="3969"/>
        </w:tabs>
        <w:ind w:left="3969" w:hanging="567"/>
      </w:pPr>
      <w:rPr>
        <w:rFonts w:ascii="Times New Roman" w:hAnsi="Times New Roman" w:cs="Times New Roman" w:hint="default"/>
        <w:b w:val="0"/>
        <w:i w:val="0"/>
        <w:color w:val="000000"/>
      </w:rPr>
    </w:lvl>
    <w:lvl w:ilvl="7">
      <w:start w:val="1"/>
      <w:numFmt w:val="decimal"/>
      <w:lvlText w:val="%8"/>
      <w:lvlJc w:val="left"/>
      <w:pPr>
        <w:tabs>
          <w:tab w:val="num" w:pos="4536"/>
        </w:tabs>
        <w:ind w:left="4536" w:hanging="567"/>
      </w:pPr>
      <w:rPr>
        <w:rFonts w:ascii="Times New Roman" w:hAnsi="Times New Roman" w:cs="Times New Roman" w:hint="default"/>
        <w:b w:val="0"/>
        <w:i w:val="0"/>
        <w:color w:val="000000"/>
      </w:rPr>
    </w:lvl>
    <w:lvl w:ilvl="8">
      <w:start w:val="1"/>
      <w:numFmt w:val="decimal"/>
      <w:lvlText w:val="%9"/>
      <w:lvlJc w:val="left"/>
      <w:pPr>
        <w:tabs>
          <w:tab w:val="num" w:pos="5103"/>
        </w:tabs>
        <w:ind w:left="5103" w:hanging="567"/>
      </w:pPr>
      <w:rPr>
        <w:rFonts w:ascii="Times New Roman" w:hAnsi="Times New Roman" w:cs="Times New Roman" w:hint="default"/>
        <w:b w:val="0"/>
        <w:i w:val="0"/>
        <w:color w:val="000000"/>
      </w:rPr>
    </w:lvl>
  </w:abstractNum>
  <w:abstractNum w:abstractNumId="25" w15:restartNumberingAfterBreak="0">
    <w:nsid w:val="1F59453C"/>
    <w:multiLevelType w:val="multilevel"/>
    <w:tmpl w:val="C57CA6C4"/>
    <w:lvl w:ilvl="0">
      <w:start w:val="1"/>
      <w:numFmt w:val="lowerLetter"/>
      <w:lvlText w:val="%1."/>
      <w:lvlJc w:val="left"/>
      <w:pPr>
        <w:ind w:left="1418" w:hanging="284"/>
      </w:pPr>
      <w:rPr>
        <w:rFonts w:hint="default"/>
        <w:color w:val="142147" w:themeColor="accent1"/>
      </w:rPr>
    </w:lvl>
    <w:lvl w:ilvl="1">
      <w:start w:val="1"/>
      <w:numFmt w:val="bullet"/>
      <w:lvlText w:val="–"/>
      <w:lvlJc w:val="left"/>
      <w:pPr>
        <w:ind w:left="1702" w:hanging="284"/>
      </w:pPr>
      <w:rPr>
        <w:rFonts w:ascii="Times New Roman" w:hAnsi="Times New Roman" w:cs="Times New Roman" w:hint="default"/>
      </w:rPr>
    </w:lvl>
    <w:lvl w:ilvl="2">
      <w:start w:val="1"/>
      <w:numFmt w:val="bullet"/>
      <w:lvlText w:val=":"/>
      <w:lvlJc w:val="left"/>
      <w:pPr>
        <w:ind w:left="1986" w:hanging="284"/>
      </w:pPr>
      <w:rPr>
        <w:rFonts w:ascii="Times New Roman" w:hAnsi="Times New Roman" w:cs="Times New Roman" w:hint="default"/>
      </w:rPr>
    </w:lvl>
    <w:lvl w:ilvl="3">
      <w:start w:val="1"/>
      <w:numFmt w:val="decimal"/>
      <w:lvlText w:val="%4)"/>
      <w:lvlJc w:val="left"/>
      <w:pPr>
        <w:ind w:left="2270" w:hanging="284"/>
      </w:pPr>
      <w:rPr>
        <w:rFonts w:hint="default"/>
      </w:rPr>
    </w:lvl>
    <w:lvl w:ilvl="4">
      <w:start w:val="1"/>
      <w:numFmt w:val="lowerLetter"/>
      <w:lvlText w:val="%5)"/>
      <w:lvlJc w:val="left"/>
      <w:pPr>
        <w:ind w:left="2554" w:hanging="284"/>
      </w:pPr>
      <w:rPr>
        <w:rFonts w:hint="default"/>
      </w:rPr>
    </w:lvl>
    <w:lvl w:ilvl="5">
      <w:start w:val="1"/>
      <w:numFmt w:val="lowerRoman"/>
      <w:lvlText w:val="%6)"/>
      <w:lvlJc w:val="left"/>
      <w:pPr>
        <w:ind w:left="2838" w:hanging="284"/>
      </w:pPr>
      <w:rPr>
        <w:rFonts w:hint="default"/>
      </w:rPr>
    </w:lvl>
    <w:lvl w:ilvl="6">
      <w:start w:val="1"/>
      <w:numFmt w:val="decimal"/>
      <w:lvlText w:val="%7."/>
      <w:lvlJc w:val="left"/>
      <w:pPr>
        <w:ind w:left="3122" w:hanging="284"/>
      </w:pPr>
      <w:rPr>
        <w:rFonts w:hint="default"/>
      </w:rPr>
    </w:lvl>
    <w:lvl w:ilvl="7">
      <w:start w:val="1"/>
      <w:numFmt w:val="lowerLetter"/>
      <w:lvlText w:val="%8."/>
      <w:lvlJc w:val="left"/>
      <w:pPr>
        <w:ind w:left="1276" w:hanging="284"/>
      </w:pPr>
      <w:rPr>
        <w:rFonts w:hint="default"/>
      </w:rPr>
    </w:lvl>
    <w:lvl w:ilvl="8">
      <w:start w:val="1"/>
      <w:numFmt w:val="lowerRoman"/>
      <w:lvlText w:val="%9."/>
      <w:lvlJc w:val="left"/>
      <w:pPr>
        <w:ind w:left="3690" w:hanging="284"/>
      </w:pPr>
      <w:rPr>
        <w:rFonts w:hint="default"/>
      </w:rPr>
    </w:lvl>
  </w:abstractNum>
  <w:abstractNum w:abstractNumId="26" w15:restartNumberingAfterBreak="0">
    <w:nsid w:val="202E47E3"/>
    <w:multiLevelType w:val="multilevel"/>
    <w:tmpl w:val="BF2C94E4"/>
    <w:lvl w:ilvl="0">
      <w:start w:val="1"/>
      <w:numFmt w:val="decimal"/>
      <w:lvlText w:val="%1"/>
      <w:lvlJc w:val="left"/>
      <w:pPr>
        <w:ind w:left="360" w:hanging="360"/>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0EB0624"/>
    <w:multiLevelType w:val="multilevel"/>
    <w:tmpl w:val="DE4237CE"/>
    <w:lvl w:ilvl="0">
      <w:start w:val="1"/>
      <w:numFmt w:val="lowerRoman"/>
      <w:lvlText w:val="%1."/>
      <w:lvlJc w:val="left"/>
      <w:pPr>
        <w:ind w:left="851" w:hanging="284"/>
      </w:pPr>
      <w:rPr>
        <w:rFonts w:hint="default"/>
        <w:color w:val="142147" w:themeColor="accent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b w:val="0"/>
        <w:bCs w:val="0"/>
      </w:rPr>
    </w:lvl>
    <w:lvl w:ilvl="8">
      <w:start w:val="1"/>
      <w:numFmt w:val="lowerRoman"/>
      <w:lvlText w:val="%9."/>
      <w:lvlJc w:val="left"/>
      <w:pPr>
        <w:ind w:left="2840" w:hanging="284"/>
      </w:pPr>
      <w:rPr>
        <w:rFonts w:hint="default"/>
      </w:rPr>
    </w:lvl>
  </w:abstractNum>
  <w:abstractNum w:abstractNumId="28" w15:restartNumberingAfterBreak="0">
    <w:nsid w:val="21962BCA"/>
    <w:multiLevelType w:val="multilevel"/>
    <w:tmpl w:val="1EF288F0"/>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2AA7CBF"/>
    <w:multiLevelType w:val="hybridMultilevel"/>
    <w:tmpl w:val="488EEE4C"/>
    <w:name w:val="StandardBulletedList3"/>
    <w:lvl w:ilvl="0" w:tplc="90F6CC32">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36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44237C5"/>
    <w:multiLevelType w:val="multilevel"/>
    <w:tmpl w:val="16BEE75A"/>
    <w:name w:val="StandardNumberedList"/>
    <w:lvl w:ilvl="0">
      <w:start w:val="1"/>
      <w:numFmt w:val="decimal"/>
      <w:pStyle w:val="OutlineNumbered1"/>
      <w:lvlText w:val="%1."/>
      <w:lvlJc w:val="left"/>
      <w:pPr>
        <w:tabs>
          <w:tab w:val="num" w:pos="520"/>
        </w:tabs>
        <w:ind w:left="520" w:hanging="520"/>
      </w:pPr>
      <w:rPr>
        <w:b w:val="0"/>
        <w:i w:val="0"/>
      </w:rPr>
    </w:lvl>
    <w:lvl w:ilvl="1">
      <w:start w:val="1"/>
      <w:numFmt w:val="decimal"/>
      <w:pStyle w:val="OutlineNumbered2"/>
      <w:lvlText w:val="%1.%2."/>
      <w:lvlJc w:val="left"/>
      <w:pPr>
        <w:tabs>
          <w:tab w:val="num" w:pos="1040"/>
        </w:tabs>
        <w:ind w:left="1040" w:hanging="520"/>
      </w:pPr>
      <w:rPr>
        <w:b w:val="0"/>
        <w:i w:val="0"/>
      </w:rPr>
    </w:lvl>
    <w:lvl w:ilvl="2">
      <w:start w:val="1"/>
      <w:numFmt w:val="decimal"/>
      <w:pStyle w:val="OutlineNumbered3"/>
      <w:lvlText w:val="%1.%2.%3."/>
      <w:lvlJc w:val="left"/>
      <w:pPr>
        <w:tabs>
          <w:tab w:val="num" w:pos="1560"/>
        </w:tabs>
        <w:ind w:left="1560" w:hanging="520"/>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1" w15:restartNumberingAfterBreak="0">
    <w:nsid w:val="258C3680"/>
    <w:multiLevelType w:val="multilevel"/>
    <w:tmpl w:val="FA38F9BE"/>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5BC4BDC"/>
    <w:multiLevelType w:val="multilevel"/>
    <w:tmpl w:val="232EE81E"/>
    <w:lvl w:ilvl="0">
      <w:start w:val="1"/>
      <w:numFmt w:val="lowerRoman"/>
      <w:lvlText w:val="%1."/>
      <w:lvlJc w:val="left"/>
      <w:pPr>
        <w:ind w:left="851" w:hanging="284"/>
      </w:pPr>
      <w:rPr>
        <w:rFonts w:hint="default"/>
        <w:color w:val="FFFFFF" w:themeColor="background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rPr>
    </w:lvl>
    <w:lvl w:ilvl="8">
      <w:start w:val="1"/>
      <w:numFmt w:val="lowerRoman"/>
      <w:lvlText w:val="%9."/>
      <w:lvlJc w:val="left"/>
      <w:pPr>
        <w:ind w:left="2840" w:hanging="284"/>
      </w:pPr>
      <w:rPr>
        <w:rFonts w:hint="default"/>
      </w:rPr>
    </w:lvl>
  </w:abstractNum>
  <w:abstractNum w:abstractNumId="33" w15:restartNumberingAfterBreak="0">
    <w:nsid w:val="27440C8B"/>
    <w:multiLevelType w:val="multilevel"/>
    <w:tmpl w:val="DE8403C4"/>
    <w:name w:val="NewParagraphList"/>
    <w:lvl w:ilvl="0">
      <w:start w:val="1"/>
      <w:numFmt w:val="decimal"/>
      <w:lvlRestart w:val="0"/>
      <w:suff w:val="nothing"/>
      <w:lvlText w:val="%1"/>
      <w:lvlJc w:val="left"/>
      <w:pPr>
        <w:ind w:left="0" w:firstLine="0"/>
      </w:pPr>
      <w:rPr>
        <w:rFonts w:hint="default"/>
        <w:b w:val="0"/>
        <w:i w:val="0"/>
        <w:vanish/>
        <w:color w:val="000000"/>
        <w:sz w:val="2"/>
      </w:rPr>
    </w:lvl>
    <w:lvl w:ilvl="1">
      <w:start w:val="1"/>
      <w:numFmt w:val="decima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418" w:hanging="851"/>
      </w:pPr>
      <w:rPr>
        <w:rFonts w:hint="default"/>
        <w:b w:val="0"/>
        <w:i w:val="0"/>
        <w:color w:val="000000"/>
      </w:rPr>
    </w:lvl>
    <w:lvl w:ilvl="3">
      <w:start w:val="1"/>
      <w:numFmt w:val="decimal"/>
      <w:lvlText w:val="%1.%2.%3.%4"/>
      <w:lvlJc w:val="left"/>
      <w:pPr>
        <w:tabs>
          <w:tab w:val="num" w:pos="1701"/>
        </w:tabs>
        <w:ind w:left="1701" w:hanging="283"/>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34" w15:restartNumberingAfterBreak="0">
    <w:nsid w:val="2D665DFA"/>
    <w:multiLevelType w:val="singleLevel"/>
    <w:tmpl w:val="C0868FF0"/>
    <w:name w:val="RecommendationAlphaList"/>
    <w:lvl w:ilvl="0">
      <w:start w:val="1"/>
      <w:numFmt w:val="lowerLetter"/>
      <w:pStyle w:val="AlphaParagraph"/>
      <w:lvlText w:val="(%1)"/>
      <w:lvlJc w:val="left"/>
      <w:pPr>
        <w:ind w:left="360" w:hanging="360"/>
      </w:pPr>
      <w:rPr>
        <w:rFonts w:ascii="Calibri" w:hAnsi="Calibri" w:cs="Times New Roman" w:hint="default"/>
        <w:b w:val="0"/>
        <w:i w:val="0"/>
        <w:color w:val="auto"/>
        <w:sz w:val="22"/>
      </w:rPr>
    </w:lvl>
  </w:abstractNum>
  <w:abstractNum w:abstractNumId="35" w15:restartNumberingAfterBreak="0">
    <w:nsid w:val="2DCE64CC"/>
    <w:multiLevelType w:val="multilevel"/>
    <w:tmpl w:val="CA34E99A"/>
    <w:lvl w:ilvl="0">
      <w:start w:val="3"/>
      <w:numFmt w:val="decimal"/>
      <w:lvlText w:val="%1"/>
      <w:lvlJc w:val="left"/>
      <w:pPr>
        <w:ind w:left="450" w:hanging="450"/>
      </w:pPr>
      <w:rPr>
        <w:rFonts w:hint="default"/>
        <w:color w:val="142147" w:themeColor="accent1"/>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b/>
        <w:bCs/>
        <w:color w:val="142147" w:themeColor="accen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F54350"/>
    <w:multiLevelType w:val="multilevel"/>
    <w:tmpl w:val="FFFFFFFF"/>
    <w:styleLink w:val="Outlinenumbering"/>
    <w:lvl w:ilvl="0">
      <w:start w:val="1"/>
      <w:numFmt w:val="decimal"/>
      <w:lvlRestart w:val="0"/>
      <w:lvlText w:val="%1."/>
      <w:lvlJc w:val="left"/>
      <w:pPr>
        <w:tabs>
          <w:tab w:val="num" w:pos="567"/>
        </w:tabs>
        <w:ind w:left="567" w:hanging="567"/>
      </w:pPr>
      <w:rPr>
        <w:rFonts w:cs="Times New Roman" w:hint="default"/>
        <w:b w:val="0"/>
        <w:i w:val="0"/>
      </w:rPr>
    </w:lvl>
    <w:lvl w:ilvl="1">
      <w:start w:val="1"/>
      <w:numFmt w:val="decimal"/>
      <w:lvlText w:val="%1.%2."/>
      <w:lvlJc w:val="left"/>
      <w:pPr>
        <w:tabs>
          <w:tab w:val="num" w:pos="1134"/>
        </w:tabs>
        <w:ind w:left="1134" w:hanging="567"/>
      </w:pPr>
      <w:rPr>
        <w:rFonts w:cs="Times New Roman" w:hint="default"/>
        <w:b w:val="0"/>
        <w:i w:val="0"/>
      </w:rPr>
    </w:lvl>
    <w:lvl w:ilvl="2">
      <w:start w:val="1"/>
      <w:numFmt w:val="decimal"/>
      <w:lvlText w:val="%1.%2.%3."/>
      <w:lvlJc w:val="left"/>
      <w:pPr>
        <w:tabs>
          <w:tab w:val="num" w:pos="1984"/>
        </w:tabs>
        <w:ind w:left="1984" w:hanging="850"/>
      </w:pPr>
      <w:rPr>
        <w:rFonts w:cs="Times New Roman" w:hint="default"/>
        <w:b w:val="0"/>
        <w:i w:val="0"/>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1800"/>
        </w:tabs>
        <w:ind w:left="1800" w:hanging="360"/>
      </w:pPr>
      <w:rPr>
        <w:rFonts w:cs="Times New Roman" w:hint="default"/>
        <w:b w:val="0"/>
        <w:i w:val="0"/>
      </w:rPr>
    </w:lvl>
    <w:lvl w:ilvl="5">
      <w:start w:val="1"/>
      <w:numFmt w:val="lowerRoman"/>
      <w:lvlText w:val="(%6)"/>
      <w:lvlJc w:val="left"/>
      <w:pPr>
        <w:tabs>
          <w:tab w:val="num" w:pos="2160"/>
        </w:tabs>
        <w:ind w:left="2160" w:hanging="360"/>
      </w:pPr>
      <w:rPr>
        <w:rFonts w:cs="Times New Roman" w:hint="default"/>
        <w:b w:val="0"/>
        <w:i w:val="0"/>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b w:val="0"/>
        <w:i w:val="0"/>
      </w:rPr>
    </w:lvl>
    <w:lvl w:ilvl="8">
      <w:start w:val="1"/>
      <w:numFmt w:val="lowerRoman"/>
      <w:lvlText w:val="%9."/>
      <w:lvlJc w:val="left"/>
      <w:pPr>
        <w:tabs>
          <w:tab w:val="num" w:pos="3240"/>
        </w:tabs>
        <w:ind w:left="3240" w:hanging="360"/>
      </w:pPr>
      <w:rPr>
        <w:rFonts w:cs="Times New Roman" w:hint="default"/>
        <w:b w:val="0"/>
        <w:i w:val="0"/>
      </w:rPr>
    </w:lvl>
  </w:abstractNum>
  <w:abstractNum w:abstractNumId="37" w15:restartNumberingAfterBreak="0">
    <w:nsid w:val="307D6942"/>
    <w:multiLevelType w:val="multilevel"/>
    <w:tmpl w:val="2FBE180A"/>
    <w:name w:val="StandardBulletedList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8" w15:restartNumberingAfterBreak="0">
    <w:nsid w:val="316229A8"/>
    <w:multiLevelType w:val="multilevel"/>
    <w:tmpl w:val="A14458DE"/>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1E4272E"/>
    <w:multiLevelType w:val="hybridMultilevel"/>
    <w:tmpl w:val="5C8E272C"/>
    <w:lvl w:ilvl="0" w:tplc="0C090019">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3238442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4294008"/>
    <w:multiLevelType w:val="multilevel"/>
    <w:tmpl w:val="6EEA6A52"/>
    <w:lvl w:ilvl="0">
      <w:start w:val="2"/>
      <w:numFmt w:val="decimal"/>
      <w:lvlText w:val="%1"/>
      <w:lvlJc w:val="left"/>
      <w:pPr>
        <w:ind w:left="400" w:hanging="400"/>
      </w:pPr>
      <w:rPr>
        <w:rFonts w:hint="default"/>
        <w:color w:val="142147" w:themeColor="accent1"/>
        <w:sz w:val="20"/>
      </w:rPr>
    </w:lvl>
    <w:lvl w:ilvl="1">
      <w:start w:val="3"/>
      <w:numFmt w:val="decimal"/>
      <w:lvlText w:val="%1.%2"/>
      <w:lvlJc w:val="left"/>
      <w:pPr>
        <w:ind w:left="400" w:hanging="400"/>
      </w:pPr>
      <w:rPr>
        <w:rFonts w:hint="default"/>
        <w:color w:val="142147" w:themeColor="accent1"/>
        <w:sz w:val="20"/>
      </w:rPr>
    </w:lvl>
    <w:lvl w:ilvl="2">
      <w:start w:val="1"/>
      <w:numFmt w:val="decimal"/>
      <w:lvlText w:val="%1.%2.%3"/>
      <w:lvlJc w:val="left"/>
      <w:pPr>
        <w:ind w:left="720" w:hanging="720"/>
      </w:pPr>
      <w:rPr>
        <w:rFonts w:hint="default"/>
        <w:color w:val="142147" w:themeColor="accent1"/>
        <w:sz w:val="20"/>
      </w:rPr>
    </w:lvl>
    <w:lvl w:ilvl="3">
      <w:start w:val="1"/>
      <w:numFmt w:val="decimal"/>
      <w:lvlText w:val="%1.%2.%3.%4"/>
      <w:lvlJc w:val="left"/>
      <w:pPr>
        <w:ind w:left="720" w:hanging="720"/>
      </w:pPr>
      <w:rPr>
        <w:rFonts w:hint="default"/>
        <w:color w:val="142147" w:themeColor="accent1"/>
        <w:sz w:val="20"/>
      </w:rPr>
    </w:lvl>
    <w:lvl w:ilvl="4">
      <w:start w:val="1"/>
      <w:numFmt w:val="decimal"/>
      <w:lvlText w:val="%1.%2.%3.%4.%5"/>
      <w:lvlJc w:val="left"/>
      <w:pPr>
        <w:ind w:left="1080" w:hanging="1080"/>
      </w:pPr>
      <w:rPr>
        <w:rFonts w:hint="default"/>
        <w:color w:val="142147" w:themeColor="accent1"/>
        <w:sz w:val="20"/>
      </w:rPr>
    </w:lvl>
    <w:lvl w:ilvl="5">
      <w:start w:val="1"/>
      <w:numFmt w:val="decimal"/>
      <w:lvlText w:val="%1.%2.%3.%4.%5.%6"/>
      <w:lvlJc w:val="left"/>
      <w:pPr>
        <w:ind w:left="1080" w:hanging="1080"/>
      </w:pPr>
      <w:rPr>
        <w:rFonts w:hint="default"/>
        <w:color w:val="142147" w:themeColor="accent1"/>
        <w:sz w:val="20"/>
      </w:rPr>
    </w:lvl>
    <w:lvl w:ilvl="6">
      <w:start w:val="1"/>
      <w:numFmt w:val="decimal"/>
      <w:lvlText w:val="%1.%2.%3.%4.%5.%6.%7"/>
      <w:lvlJc w:val="left"/>
      <w:pPr>
        <w:ind w:left="1440" w:hanging="1440"/>
      </w:pPr>
      <w:rPr>
        <w:rFonts w:hint="default"/>
        <w:color w:val="142147" w:themeColor="accent1"/>
        <w:sz w:val="20"/>
      </w:rPr>
    </w:lvl>
    <w:lvl w:ilvl="7">
      <w:start w:val="1"/>
      <w:numFmt w:val="decimal"/>
      <w:lvlText w:val="%1.%2.%3.%4.%5.%6.%7.%8"/>
      <w:lvlJc w:val="left"/>
      <w:pPr>
        <w:ind w:left="1440" w:hanging="1440"/>
      </w:pPr>
      <w:rPr>
        <w:rFonts w:hint="default"/>
        <w:color w:val="142147" w:themeColor="accent1"/>
        <w:sz w:val="20"/>
      </w:rPr>
    </w:lvl>
    <w:lvl w:ilvl="8">
      <w:start w:val="1"/>
      <w:numFmt w:val="decimal"/>
      <w:lvlText w:val="%1.%2.%3.%4.%5.%6.%7.%8.%9"/>
      <w:lvlJc w:val="left"/>
      <w:pPr>
        <w:ind w:left="1800" w:hanging="1800"/>
      </w:pPr>
      <w:rPr>
        <w:rFonts w:hint="default"/>
        <w:color w:val="142147" w:themeColor="accent1"/>
        <w:sz w:val="20"/>
      </w:rPr>
    </w:lvl>
  </w:abstractNum>
  <w:abstractNum w:abstractNumId="42" w15:restartNumberingAfterBreak="0">
    <w:nsid w:val="35106284"/>
    <w:multiLevelType w:val="hybridMultilevel"/>
    <w:tmpl w:val="774635DC"/>
    <w:lvl w:ilvl="0" w:tplc="BFD49E02">
      <w:start w:val="1"/>
      <w:numFmt w:val="lowerLetter"/>
      <w:lvlText w:val="%1."/>
      <w:lvlJc w:val="left"/>
      <w:pPr>
        <w:ind w:left="720" w:hanging="360"/>
      </w:pPr>
      <w:rPr>
        <w:rFonts w:hint="default"/>
        <w:b w:val="0"/>
        <w:color w:val="142147" w:themeColor="accen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5D911A9"/>
    <w:multiLevelType w:val="multilevel"/>
    <w:tmpl w:val="8524314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7003F12"/>
    <w:multiLevelType w:val="multilevel"/>
    <w:tmpl w:val="B57022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3C97223B"/>
    <w:multiLevelType w:val="multilevel"/>
    <w:tmpl w:val="AE72FF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CCC1370"/>
    <w:multiLevelType w:val="hybridMultilevel"/>
    <w:tmpl w:val="5C8E272C"/>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F9A4714"/>
    <w:multiLevelType w:val="multilevel"/>
    <w:tmpl w:val="A852BFEE"/>
    <w:lvl w:ilvl="0">
      <w:start w:val="1"/>
      <w:numFmt w:val="bullet"/>
      <w:lvlText w:val=""/>
      <w:lvlJc w:val="left"/>
      <w:pPr>
        <w:tabs>
          <w:tab w:val="num" w:pos="520"/>
        </w:tabs>
        <w:ind w:left="520" w:hanging="520"/>
      </w:pPr>
      <w:rPr>
        <w:rFonts w:ascii="Symbol" w:hAnsi="Symbol" w:hint="default"/>
        <w:color w:val="FFFFFF" w:themeColor="background1"/>
        <w:u w:color="FFFFFF" w:themeColor="background1"/>
      </w:rPr>
    </w:lvl>
    <w:lvl w:ilvl="1">
      <w:start w:val="1"/>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8B2653"/>
    <w:multiLevelType w:val="multilevel"/>
    <w:tmpl w:val="E9FABF2E"/>
    <w:lvl w:ilvl="0">
      <w:start w:val="1"/>
      <w:numFmt w:val="lowerLetter"/>
      <w:lvlText w:val="%1."/>
      <w:lvlJc w:val="left"/>
      <w:pPr>
        <w:ind w:left="1134" w:hanging="284"/>
      </w:pPr>
      <w:rPr>
        <w:rFonts w:hint="default"/>
        <w:color w:val="FFFFFF" w:themeColor="background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rPr>
    </w:lvl>
    <w:lvl w:ilvl="8">
      <w:start w:val="1"/>
      <w:numFmt w:val="lowerRoman"/>
      <w:lvlText w:val="%9."/>
      <w:lvlJc w:val="left"/>
      <w:pPr>
        <w:ind w:left="2840" w:hanging="284"/>
      </w:pPr>
      <w:rPr>
        <w:rFonts w:hint="default"/>
      </w:rPr>
    </w:lvl>
  </w:abstractNum>
  <w:abstractNum w:abstractNumId="49" w15:restartNumberingAfterBreak="0">
    <w:nsid w:val="420D1DD3"/>
    <w:multiLevelType w:val="multilevel"/>
    <w:tmpl w:val="2B9EC3E4"/>
    <w:lvl w:ilvl="0">
      <w:start w:val="1"/>
      <w:numFmt w:val="bullet"/>
      <w:lvlText w:val=""/>
      <w:lvlJc w:val="left"/>
      <w:pPr>
        <w:tabs>
          <w:tab w:val="num" w:pos="520"/>
        </w:tabs>
        <w:ind w:left="520" w:hanging="520"/>
      </w:pPr>
      <w:rPr>
        <w:rFonts w:ascii="Symbol" w:hAnsi="Symbol" w:hint="default"/>
        <w:color w:val="FFFFFF" w:themeColor="background1"/>
        <w:u w:color="FFFFFF" w:themeColor="background1"/>
      </w:rPr>
    </w:lvl>
    <w:lvl w:ilvl="1">
      <w:start w:val="1"/>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360" w:hanging="360"/>
      </w:pPr>
      <w:rPr>
        <w:rFonts w:hint="default"/>
        <w:b w:val="0"/>
        <w:bCs w:val="0"/>
      </w:rPr>
    </w:lvl>
    <w:lvl w:ilvl="8">
      <w:start w:val="1"/>
      <w:numFmt w:val="lowerRoman"/>
      <w:lvlText w:val="%9."/>
      <w:lvlJc w:val="left"/>
      <w:pPr>
        <w:ind w:left="3240" w:hanging="360"/>
      </w:pPr>
      <w:rPr>
        <w:rFonts w:hint="default"/>
      </w:rPr>
    </w:lvl>
  </w:abstractNum>
  <w:abstractNum w:abstractNumId="50" w15:restartNumberingAfterBreak="0">
    <w:nsid w:val="423700C6"/>
    <w:multiLevelType w:val="multilevel"/>
    <w:tmpl w:val="91921BC0"/>
    <w:lvl w:ilvl="0">
      <w:start w:val="1"/>
      <w:numFmt w:val="decimal"/>
      <w:pStyle w:val="NumberedParagraph1"/>
      <w:lvlText w:val="%1"/>
      <w:lvlJc w:val="left"/>
      <w:pPr>
        <w:ind w:left="567" w:hanging="567"/>
      </w:pPr>
      <w:rPr>
        <w:rFonts w:asciiTheme="minorHAnsi" w:hAnsiTheme="minorHAnsi" w:hint="default"/>
        <w:b w:val="0"/>
        <w:i w:val="0"/>
        <w:vanish w:val="0"/>
        <w:sz w:val="22"/>
      </w:rPr>
    </w:lvl>
    <w:lvl w:ilvl="1">
      <w:start w:val="1"/>
      <w:numFmt w:val="decimal"/>
      <w:pStyle w:val="NumberedParagraph11"/>
      <w:lvlText w:val="%1.%2"/>
      <w:lvlJc w:val="left"/>
      <w:pPr>
        <w:ind w:left="567" w:hanging="567"/>
      </w:pPr>
      <w:rPr>
        <w:rFonts w:hint="default"/>
        <w:b w:val="0"/>
        <w:i w:val="0"/>
      </w:rPr>
    </w:lvl>
    <w:lvl w:ilvl="2">
      <w:start w:val="1"/>
      <w:numFmt w:val="decimal"/>
      <w:pStyle w:val="NumberedParagraph111"/>
      <w:lvlText w:val="%1.%2.%3"/>
      <w:lvlJc w:val="left"/>
      <w:pPr>
        <w:ind w:left="567" w:hanging="567"/>
      </w:pPr>
      <w:rPr>
        <w:rFonts w:hint="default"/>
        <w:b w:val="0"/>
        <w:i w:val="0"/>
      </w:rPr>
    </w:lvl>
    <w:lvl w:ilvl="3">
      <w:start w:val="1"/>
      <w:numFmt w:val="lowerLetter"/>
      <w:pStyle w:val="NumberedParagraphalpha"/>
      <w:lvlText w:val="(%4)"/>
      <w:lvlJc w:val="left"/>
      <w:pPr>
        <w:ind w:left="1134" w:hanging="567"/>
      </w:pPr>
      <w:rPr>
        <w:rFonts w:hint="default"/>
        <w:b w:val="0"/>
        <w:i w:val="0"/>
      </w:rPr>
    </w:lvl>
    <w:lvl w:ilvl="4">
      <w:start w:val="1"/>
      <w:numFmt w:val="decimal"/>
      <w:pStyle w:val="NumberedParagraphnumbers"/>
      <w:lvlText w:val="(%5)"/>
      <w:lvlJc w:val="left"/>
      <w:pPr>
        <w:ind w:left="1134" w:hanging="567"/>
      </w:pPr>
      <w:rPr>
        <w:rFonts w:hint="default"/>
        <w:b w:val="0"/>
        <w:i w:val="0"/>
      </w:rPr>
    </w:lvl>
    <w:lvl w:ilvl="5">
      <w:start w:val="1"/>
      <w:numFmt w:val="lowerRoman"/>
      <w:pStyle w:val="NumberedParagraphroman"/>
      <w:lvlText w:val="(%6)"/>
      <w:lvlJc w:val="left"/>
      <w:pPr>
        <w:ind w:left="1134" w:hanging="567"/>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1" w15:restartNumberingAfterBreak="0">
    <w:nsid w:val="470A060D"/>
    <w:multiLevelType w:val="singleLevel"/>
    <w:tmpl w:val="7DD26AF0"/>
    <w:name w:val="RecommendationAlphaList"/>
    <w:lvl w:ilvl="0">
      <w:start w:val="1"/>
      <w:numFmt w:val="lowerLetter"/>
      <w:lvlText w:val="(%1)"/>
      <w:lvlJc w:val="left"/>
      <w:pPr>
        <w:ind w:left="360" w:hanging="360"/>
      </w:pPr>
      <w:rPr>
        <w:rFonts w:ascii="Calibri" w:hAnsi="Calibri" w:cs="Times New Roman" w:hint="default"/>
        <w:b w:val="0"/>
        <w:i w:val="0"/>
        <w:color w:val="auto"/>
      </w:rPr>
    </w:lvl>
  </w:abstractNum>
  <w:abstractNum w:abstractNumId="52" w15:restartNumberingAfterBreak="0">
    <w:nsid w:val="49B0279F"/>
    <w:multiLevelType w:val="multilevel"/>
    <w:tmpl w:val="CA34E99A"/>
    <w:name w:val="StandardBulletedList3"/>
    <w:lvl w:ilvl="0">
      <w:start w:val="3"/>
      <w:numFmt w:val="decimal"/>
      <w:lvlText w:val="%1"/>
      <w:lvlJc w:val="left"/>
      <w:pPr>
        <w:ind w:left="450" w:hanging="450"/>
      </w:pPr>
      <w:rPr>
        <w:rFonts w:hint="default"/>
        <w:color w:val="142147" w:themeColor="accent1"/>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b/>
        <w:bCs/>
        <w:color w:val="142147" w:themeColor="accen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AE3222A"/>
    <w:multiLevelType w:val="multilevel"/>
    <w:tmpl w:val="DE9A7756"/>
    <w:lvl w:ilvl="0">
      <w:start w:val="1"/>
      <w:numFmt w:val="lowerRoman"/>
      <w:lvlText w:val="%1."/>
      <w:lvlJc w:val="left"/>
      <w:pPr>
        <w:ind w:left="851" w:hanging="284"/>
      </w:pPr>
      <w:rPr>
        <w:rFonts w:hint="default"/>
        <w:b w:val="0"/>
        <w:bCs w:val="0"/>
        <w:color w:val="142147" w:themeColor="accent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rPr>
    </w:lvl>
    <w:lvl w:ilvl="8">
      <w:start w:val="1"/>
      <w:numFmt w:val="lowerRoman"/>
      <w:lvlText w:val="%9."/>
      <w:lvlJc w:val="left"/>
      <w:pPr>
        <w:ind w:left="2840" w:hanging="284"/>
      </w:pPr>
      <w:rPr>
        <w:rFonts w:hint="default"/>
      </w:rPr>
    </w:lvl>
  </w:abstractNum>
  <w:abstractNum w:abstractNumId="54" w15:restartNumberingAfterBreak="0">
    <w:nsid w:val="4CE06931"/>
    <w:multiLevelType w:val="singleLevel"/>
    <w:tmpl w:val="4BF4570C"/>
    <w:lvl w:ilvl="0">
      <w:start w:val="1"/>
      <w:numFmt w:val="lowerLetter"/>
      <w:pStyle w:val="Notealpha"/>
      <w:lvlText w:val="%1)"/>
      <w:lvlJc w:val="left"/>
      <w:pPr>
        <w:ind w:left="360" w:hanging="360"/>
      </w:pPr>
      <w:rPr>
        <w:rFonts w:hint="default"/>
        <w:b w:val="0"/>
        <w:i w:val="0"/>
        <w:color w:val="000000"/>
        <w:sz w:val="16"/>
      </w:rPr>
    </w:lvl>
  </w:abstractNum>
  <w:abstractNum w:abstractNumId="55" w15:restartNumberingAfterBreak="0">
    <w:nsid w:val="4DCF3A8E"/>
    <w:multiLevelType w:val="singleLevel"/>
    <w:tmpl w:val="00087A28"/>
    <w:name w:val="Roman numeral list"/>
    <w:lvl w:ilvl="0">
      <w:start w:val="1"/>
      <w:numFmt w:val="lowerRoman"/>
      <w:lvlRestart w:val="0"/>
      <w:pStyle w:val="Romannumeral"/>
      <w:lvlText w:val="(%1)"/>
      <w:lvlJc w:val="left"/>
      <w:pPr>
        <w:tabs>
          <w:tab w:val="num" w:pos="1134"/>
        </w:tabs>
        <w:ind w:left="1134" w:hanging="567"/>
      </w:pPr>
      <w:rPr>
        <w:b w:val="0"/>
        <w:i w:val="0"/>
        <w:color w:val="000000"/>
      </w:rPr>
    </w:lvl>
  </w:abstractNum>
  <w:abstractNum w:abstractNumId="56" w15:restartNumberingAfterBreak="0">
    <w:nsid w:val="531C3349"/>
    <w:multiLevelType w:val="multilevel"/>
    <w:tmpl w:val="DC4E3F9C"/>
    <w:lvl w:ilvl="0">
      <w:start w:val="1"/>
      <w:numFmt w:val="lowerLetter"/>
      <w:lvlText w:val="%1."/>
      <w:lvlJc w:val="left"/>
      <w:pPr>
        <w:ind w:left="568" w:hanging="284"/>
      </w:pPr>
      <w:rPr>
        <w:rFonts w:hint="default"/>
        <w:color w:val="142147" w:themeColor="accent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b w:val="0"/>
        <w:bCs w:val="0"/>
      </w:rPr>
    </w:lvl>
    <w:lvl w:ilvl="8">
      <w:start w:val="1"/>
      <w:numFmt w:val="lowerRoman"/>
      <w:lvlText w:val="%9."/>
      <w:lvlJc w:val="left"/>
      <w:pPr>
        <w:ind w:left="2840" w:hanging="284"/>
      </w:pPr>
      <w:rPr>
        <w:rFonts w:hint="default"/>
      </w:rPr>
    </w:lvl>
  </w:abstractNum>
  <w:abstractNum w:abstractNumId="57" w15:restartNumberingAfterBreak="0">
    <w:nsid w:val="53646683"/>
    <w:multiLevelType w:val="multilevel"/>
    <w:tmpl w:val="DC7AC1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540871F0"/>
    <w:multiLevelType w:val="multilevel"/>
    <w:tmpl w:val="CA00D73C"/>
    <w:lvl w:ilvl="0">
      <w:start w:val="1"/>
      <w:numFmt w:val="lowerLetter"/>
      <w:lvlText w:val="%1."/>
      <w:lvlJc w:val="left"/>
      <w:pPr>
        <w:ind w:left="1418" w:hanging="284"/>
      </w:pPr>
      <w:rPr>
        <w:rFonts w:hint="default"/>
        <w:color w:val="142147" w:themeColor="accent1"/>
      </w:rPr>
    </w:lvl>
    <w:lvl w:ilvl="1">
      <w:start w:val="1"/>
      <w:numFmt w:val="bullet"/>
      <w:lvlText w:val="–"/>
      <w:lvlJc w:val="left"/>
      <w:pPr>
        <w:ind w:left="1702" w:hanging="284"/>
      </w:pPr>
      <w:rPr>
        <w:rFonts w:ascii="Times New Roman" w:hAnsi="Times New Roman" w:cs="Times New Roman" w:hint="default"/>
      </w:rPr>
    </w:lvl>
    <w:lvl w:ilvl="2">
      <w:start w:val="1"/>
      <w:numFmt w:val="bullet"/>
      <w:lvlText w:val=":"/>
      <w:lvlJc w:val="left"/>
      <w:pPr>
        <w:ind w:left="1986" w:hanging="284"/>
      </w:pPr>
      <w:rPr>
        <w:rFonts w:ascii="Times New Roman" w:hAnsi="Times New Roman" w:cs="Times New Roman" w:hint="default"/>
      </w:rPr>
    </w:lvl>
    <w:lvl w:ilvl="3">
      <w:start w:val="1"/>
      <w:numFmt w:val="decimal"/>
      <w:lvlText w:val="%4)"/>
      <w:lvlJc w:val="left"/>
      <w:pPr>
        <w:ind w:left="2270" w:hanging="284"/>
      </w:pPr>
      <w:rPr>
        <w:rFonts w:hint="default"/>
      </w:rPr>
    </w:lvl>
    <w:lvl w:ilvl="4">
      <w:start w:val="1"/>
      <w:numFmt w:val="lowerLetter"/>
      <w:lvlText w:val="%5)"/>
      <w:lvlJc w:val="left"/>
      <w:pPr>
        <w:ind w:left="2554" w:hanging="284"/>
      </w:pPr>
      <w:rPr>
        <w:rFonts w:hint="default"/>
      </w:rPr>
    </w:lvl>
    <w:lvl w:ilvl="5">
      <w:start w:val="1"/>
      <w:numFmt w:val="lowerRoman"/>
      <w:lvlText w:val="%6)"/>
      <w:lvlJc w:val="left"/>
      <w:pPr>
        <w:ind w:left="2838" w:hanging="284"/>
      </w:pPr>
      <w:rPr>
        <w:rFonts w:hint="default"/>
      </w:rPr>
    </w:lvl>
    <w:lvl w:ilvl="6">
      <w:start w:val="1"/>
      <w:numFmt w:val="decimal"/>
      <w:lvlText w:val="%7."/>
      <w:lvlJc w:val="left"/>
      <w:pPr>
        <w:ind w:left="3122" w:hanging="284"/>
      </w:pPr>
      <w:rPr>
        <w:rFonts w:hint="default"/>
      </w:rPr>
    </w:lvl>
    <w:lvl w:ilvl="7">
      <w:start w:val="1"/>
      <w:numFmt w:val="lowerLetter"/>
      <w:lvlText w:val="%8."/>
      <w:lvlJc w:val="left"/>
      <w:pPr>
        <w:ind w:left="1276" w:hanging="284"/>
      </w:pPr>
      <w:rPr>
        <w:rFonts w:hint="default"/>
      </w:rPr>
    </w:lvl>
    <w:lvl w:ilvl="8">
      <w:start w:val="1"/>
      <w:numFmt w:val="lowerRoman"/>
      <w:lvlText w:val="%9."/>
      <w:lvlJc w:val="left"/>
      <w:pPr>
        <w:ind w:left="3690" w:hanging="284"/>
      </w:pPr>
      <w:rPr>
        <w:rFonts w:hint="default"/>
      </w:rPr>
    </w:lvl>
  </w:abstractNum>
  <w:abstractNum w:abstractNumId="59" w15:restartNumberingAfterBreak="0">
    <w:nsid w:val="54E35372"/>
    <w:multiLevelType w:val="multilevel"/>
    <w:tmpl w:val="DE4237CE"/>
    <w:lvl w:ilvl="0">
      <w:start w:val="1"/>
      <w:numFmt w:val="lowerRoman"/>
      <w:lvlText w:val="%1."/>
      <w:lvlJc w:val="left"/>
      <w:pPr>
        <w:ind w:left="851" w:hanging="284"/>
      </w:pPr>
      <w:rPr>
        <w:rFonts w:hint="default"/>
        <w:color w:val="142147" w:themeColor="accent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b w:val="0"/>
        <w:bCs w:val="0"/>
      </w:rPr>
    </w:lvl>
    <w:lvl w:ilvl="8">
      <w:start w:val="1"/>
      <w:numFmt w:val="lowerRoman"/>
      <w:lvlText w:val="%9."/>
      <w:lvlJc w:val="left"/>
      <w:pPr>
        <w:ind w:left="2840" w:hanging="284"/>
      </w:pPr>
      <w:rPr>
        <w:rFonts w:hint="default"/>
      </w:rPr>
    </w:lvl>
  </w:abstractNum>
  <w:abstractNum w:abstractNumId="60" w15:restartNumberingAfterBreak="0">
    <w:nsid w:val="570D5551"/>
    <w:multiLevelType w:val="multilevel"/>
    <w:tmpl w:val="9FC61ACE"/>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58101827"/>
    <w:multiLevelType w:val="multilevel"/>
    <w:tmpl w:val="5C8E20D0"/>
    <w:name w:val="BoxBulletedList"/>
    <w:lvl w:ilvl="0">
      <w:start w:val="1"/>
      <w:numFmt w:val="bullet"/>
      <w:pStyle w:val="BoxBullet"/>
      <w:lvlText w:val="•"/>
      <w:lvlJc w:val="left"/>
      <w:pPr>
        <w:ind w:left="284" w:hanging="284"/>
      </w:pPr>
      <w:rPr>
        <w:rFonts w:ascii="Segoe UI" w:hAnsi="Segoe UI"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BoxDash"/>
      <w:lvlText w:val="–"/>
      <w:lvlJc w:val="left"/>
      <w:pPr>
        <w:tabs>
          <w:tab w:val="num" w:pos="567"/>
        </w:tabs>
        <w:ind w:left="568" w:hanging="284"/>
      </w:pPr>
      <w:rPr>
        <w:rFonts w:hint="default"/>
        <w:b w:val="0"/>
        <w:i w:val="0"/>
      </w:rPr>
    </w:lvl>
    <w:lvl w:ilvl="2">
      <w:start w:val="1"/>
      <w:numFmt w:val="bullet"/>
      <w:pStyle w:val="BoxDoubleDot"/>
      <w:lvlText w:val=":"/>
      <w:lvlJc w:val="left"/>
      <w:pPr>
        <w:tabs>
          <w:tab w:val="num" w:pos="850"/>
        </w:tabs>
        <w:ind w:left="852" w:hanging="284"/>
      </w:pPr>
      <w:rPr>
        <w:rFonts w:hint="default"/>
        <w:b w:val="0"/>
        <w:i w:val="0"/>
      </w:rPr>
    </w:lvl>
    <w:lvl w:ilvl="3">
      <w:start w:val="1"/>
      <w:numFmt w:val="decimal"/>
      <w:lvlText w:val="(%4)"/>
      <w:lvlJc w:val="left"/>
      <w:pPr>
        <w:tabs>
          <w:tab w:val="num" w:pos="1440"/>
        </w:tabs>
        <w:ind w:left="1136" w:hanging="284"/>
      </w:pPr>
      <w:rPr>
        <w:rFonts w:hint="default"/>
        <w:b w:val="0"/>
        <w:i w:val="0"/>
      </w:rPr>
    </w:lvl>
    <w:lvl w:ilvl="4">
      <w:start w:val="1"/>
      <w:numFmt w:val="lowerLetter"/>
      <w:lvlText w:val="(%5)"/>
      <w:lvlJc w:val="left"/>
      <w:pPr>
        <w:tabs>
          <w:tab w:val="num" w:pos="1800"/>
        </w:tabs>
        <w:ind w:left="1420" w:hanging="284"/>
      </w:pPr>
      <w:rPr>
        <w:rFonts w:hint="default"/>
        <w:b w:val="0"/>
        <w:i w:val="0"/>
      </w:rPr>
    </w:lvl>
    <w:lvl w:ilvl="5">
      <w:start w:val="1"/>
      <w:numFmt w:val="lowerRoman"/>
      <w:lvlText w:val="(%6)"/>
      <w:lvlJc w:val="left"/>
      <w:pPr>
        <w:tabs>
          <w:tab w:val="num" w:pos="2160"/>
        </w:tabs>
        <w:ind w:left="1704" w:hanging="284"/>
      </w:pPr>
      <w:rPr>
        <w:rFonts w:hint="default"/>
        <w:b w:val="0"/>
        <w:i w:val="0"/>
      </w:rPr>
    </w:lvl>
    <w:lvl w:ilvl="6">
      <w:start w:val="1"/>
      <w:numFmt w:val="decimal"/>
      <w:lvlText w:val="%7."/>
      <w:lvlJc w:val="left"/>
      <w:pPr>
        <w:tabs>
          <w:tab w:val="num" w:pos="2520"/>
        </w:tabs>
        <w:ind w:left="1988" w:hanging="284"/>
      </w:pPr>
      <w:rPr>
        <w:rFonts w:hint="default"/>
        <w:b w:val="0"/>
        <w:i w:val="0"/>
      </w:rPr>
    </w:lvl>
    <w:lvl w:ilvl="7">
      <w:start w:val="1"/>
      <w:numFmt w:val="lowerLetter"/>
      <w:lvlText w:val="%8."/>
      <w:lvlJc w:val="left"/>
      <w:pPr>
        <w:tabs>
          <w:tab w:val="num" w:pos="2880"/>
        </w:tabs>
        <w:ind w:left="2272" w:hanging="284"/>
      </w:pPr>
      <w:rPr>
        <w:rFonts w:hint="default"/>
        <w:b w:val="0"/>
        <w:i w:val="0"/>
      </w:rPr>
    </w:lvl>
    <w:lvl w:ilvl="8">
      <w:start w:val="1"/>
      <w:numFmt w:val="lowerRoman"/>
      <w:lvlText w:val="%9."/>
      <w:lvlJc w:val="left"/>
      <w:pPr>
        <w:tabs>
          <w:tab w:val="num" w:pos="3240"/>
        </w:tabs>
        <w:ind w:left="2556" w:hanging="284"/>
      </w:pPr>
      <w:rPr>
        <w:rFonts w:hint="default"/>
        <w:b w:val="0"/>
        <w:i w:val="0"/>
      </w:rPr>
    </w:lvl>
  </w:abstractNum>
  <w:abstractNum w:abstractNumId="62" w15:restartNumberingAfterBreak="0">
    <w:nsid w:val="5B725F2B"/>
    <w:multiLevelType w:val="multilevel"/>
    <w:tmpl w:val="6FEEA0EC"/>
    <w:lvl w:ilvl="0">
      <w:start w:val="1"/>
      <w:numFmt w:val="lowerRoman"/>
      <w:lvlText w:val="%1."/>
      <w:lvlJc w:val="left"/>
      <w:pPr>
        <w:ind w:left="851" w:hanging="284"/>
      </w:pPr>
      <w:rPr>
        <w:rFonts w:hint="default"/>
        <w:b w:val="0"/>
        <w:bCs w:val="0"/>
        <w:color w:val="142147" w:themeColor="accent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rPr>
    </w:lvl>
    <w:lvl w:ilvl="8">
      <w:start w:val="1"/>
      <w:numFmt w:val="lowerRoman"/>
      <w:lvlText w:val="%9."/>
      <w:lvlJc w:val="left"/>
      <w:pPr>
        <w:ind w:left="2840" w:hanging="284"/>
      </w:pPr>
      <w:rPr>
        <w:rFonts w:hint="default"/>
      </w:rPr>
    </w:lvl>
  </w:abstractNum>
  <w:abstractNum w:abstractNumId="63" w15:restartNumberingAfterBreak="0">
    <w:nsid w:val="66A5230F"/>
    <w:multiLevelType w:val="multilevel"/>
    <w:tmpl w:val="3E8E382A"/>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b/>
        <w:bCs/>
        <w:color w:val="142147" w:themeColor="accen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7561664"/>
    <w:multiLevelType w:val="hybridMultilevel"/>
    <w:tmpl w:val="5C8E272C"/>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B394808"/>
    <w:multiLevelType w:val="multilevel"/>
    <w:tmpl w:val="B1F2FD50"/>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1"/>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B9D2B9D"/>
    <w:multiLevelType w:val="multilevel"/>
    <w:tmpl w:val="87FA0B22"/>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1"/>
      <w:lvlJc w:val="left"/>
      <w:pPr>
        <w:ind w:left="720" w:hanging="720"/>
      </w:pPr>
      <w:rPr>
        <w:rFonts w:hint="default"/>
        <w:color w:val="142147" w:themeColor="accent1"/>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D27352D"/>
    <w:multiLevelType w:val="multilevel"/>
    <w:tmpl w:val="0C22AFBE"/>
    <w:lvl w:ilvl="0">
      <w:start w:val="1"/>
      <w:numFmt w:val="bullet"/>
      <w:lvlText w:val=""/>
      <w:lvlJc w:val="left"/>
      <w:pPr>
        <w:tabs>
          <w:tab w:val="num" w:pos="520"/>
        </w:tabs>
        <w:ind w:left="520" w:hanging="520"/>
      </w:pPr>
      <w:rPr>
        <w:rFonts w:ascii="Symbol" w:hAnsi="Symbol" w:hint="default"/>
        <w:color w:val="FFFFFF" w:themeColor="background1"/>
        <w:u w:color="FFFFFF" w:themeColor="background1"/>
      </w:rPr>
    </w:lvl>
    <w:lvl w:ilvl="1">
      <w:start w:val="1"/>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502"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E963B0B"/>
    <w:multiLevelType w:val="multilevel"/>
    <w:tmpl w:val="232EE81E"/>
    <w:lvl w:ilvl="0">
      <w:start w:val="1"/>
      <w:numFmt w:val="lowerRoman"/>
      <w:lvlText w:val="%1."/>
      <w:lvlJc w:val="left"/>
      <w:pPr>
        <w:ind w:left="851" w:hanging="284"/>
      </w:pPr>
      <w:rPr>
        <w:rFonts w:hint="default"/>
        <w:color w:val="FFFFFF" w:themeColor="background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rPr>
    </w:lvl>
    <w:lvl w:ilvl="8">
      <w:start w:val="1"/>
      <w:numFmt w:val="lowerRoman"/>
      <w:lvlText w:val="%9."/>
      <w:lvlJc w:val="left"/>
      <w:pPr>
        <w:ind w:left="2840" w:hanging="284"/>
      </w:pPr>
      <w:rPr>
        <w:rFonts w:hint="default"/>
      </w:rPr>
    </w:lvl>
  </w:abstractNum>
  <w:abstractNum w:abstractNumId="69" w15:restartNumberingAfterBreak="0">
    <w:nsid w:val="700B16A7"/>
    <w:multiLevelType w:val="multilevel"/>
    <w:tmpl w:val="B4BACD0E"/>
    <w:lvl w:ilvl="0">
      <w:start w:val="1"/>
      <w:numFmt w:val="lowerLetter"/>
      <w:lvlText w:val="%1."/>
      <w:lvlJc w:val="left"/>
      <w:pPr>
        <w:ind w:left="568" w:hanging="284"/>
      </w:pPr>
      <w:rPr>
        <w:rFonts w:hint="default"/>
        <w:color w:val="FFFFFF" w:themeColor="background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rPr>
    </w:lvl>
    <w:lvl w:ilvl="8">
      <w:start w:val="1"/>
      <w:numFmt w:val="lowerRoman"/>
      <w:lvlText w:val="%9."/>
      <w:lvlJc w:val="left"/>
      <w:pPr>
        <w:ind w:left="2840" w:hanging="284"/>
      </w:pPr>
      <w:rPr>
        <w:rFonts w:hint="default"/>
      </w:rPr>
    </w:lvl>
  </w:abstractNum>
  <w:abstractNum w:abstractNumId="70" w15:restartNumberingAfterBreak="0">
    <w:nsid w:val="706D4A37"/>
    <w:multiLevelType w:val="multilevel"/>
    <w:tmpl w:val="DF124686"/>
    <w:lvl w:ilvl="0">
      <w:start w:val="3"/>
      <w:numFmt w:val="decimal"/>
      <w:lvlText w:val="%1"/>
      <w:lvlJc w:val="left"/>
      <w:pPr>
        <w:ind w:left="450" w:hanging="450"/>
      </w:pPr>
      <w:rPr>
        <w:rFonts w:hint="default"/>
        <w:color w:val="FFFFFF" w:themeColor="background1"/>
      </w:rPr>
    </w:lvl>
    <w:lvl w:ilvl="1">
      <w:start w:val="1"/>
      <w:numFmt w:val="decimal"/>
      <w:lvlText w:val="%1.%2"/>
      <w:lvlJc w:val="left"/>
      <w:pPr>
        <w:ind w:left="450" w:hanging="450"/>
      </w:pPr>
      <w:rPr>
        <w:rFonts w:hint="default"/>
        <w:color w:val="FFFFFF" w:themeColor="background1"/>
      </w:rPr>
    </w:lvl>
    <w:lvl w:ilvl="2">
      <w:start w:val="1"/>
      <w:numFmt w:val="decimal"/>
      <w:lvlText w:val="%1.%2.%3"/>
      <w:lvlJc w:val="left"/>
      <w:pPr>
        <w:ind w:left="720" w:hanging="720"/>
      </w:pPr>
      <w:rPr>
        <w:rFonts w:hint="default"/>
        <w:color w:val="FFFFFF" w:themeColor="background1"/>
      </w:rPr>
    </w:lvl>
    <w:lvl w:ilvl="3">
      <w:start w:val="1"/>
      <w:numFmt w:val="decimal"/>
      <w:lvlText w:val="%1.%2.%3.%4"/>
      <w:lvlJc w:val="left"/>
      <w:pPr>
        <w:ind w:left="720" w:hanging="720"/>
      </w:pPr>
      <w:rPr>
        <w:rFonts w:hint="default"/>
        <w:color w:val="FFFFFF" w:themeColor="background1"/>
      </w:rPr>
    </w:lvl>
    <w:lvl w:ilvl="4">
      <w:start w:val="1"/>
      <w:numFmt w:val="decimal"/>
      <w:lvlText w:val="%1.%2.%3.%4.%5"/>
      <w:lvlJc w:val="left"/>
      <w:pPr>
        <w:ind w:left="1080" w:hanging="1080"/>
      </w:pPr>
      <w:rPr>
        <w:rFonts w:hint="default"/>
        <w:color w:val="FFFFFF" w:themeColor="background1"/>
      </w:rPr>
    </w:lvl>
    <w:lvl w:ilvl="5">
      <w:start w:val="1"/>
      <w:numFmt w:val="decimal"/>
      <w:lvlText w:val="%1.%2.%3.%4.%5.%6"/>
      <w:lvlJc w:val="left"/>
      <w:pPr>
        <w:ind w:left="1080" w:hanging="1080"/>
      </w:pPr>
      <w:rPr>
        <w:rFonts w:hint="default"/>
        <w:color w:val="FFFFFF" w:themeColor="background1"/>
      </w:rPr>
    </w:lvl>
    <w:lvl w:ilvl="6">
      <w:start w:val="1"/>
      <w:numFmt w:val="decimal"/>
      <w:lvlText w:val="%1.%2.%3.%4.%5.%6.%7"/>
      <w:lvlJc w:val="left"/>
      <w:pPr>
        <w:ind w:left="1440" w:hanging="1440"/>
      </w:pPr>
      <w:rPr>
        <w:rFonts w:hint="default"/>
        <w:color w:val="FFFFFF" w:themeColor="background1"/>
      </w:rPr>
    </w:lvl>
    <w:lvl w:ilvl="7">
      <w:start w:val="1"/>
      <w:numFmt w:val="decimal"/>
      <w:lvlText w:val="%1.%2.%3.%4.%5.%6.%7.%8"/>
      <w:lvlJc w:val="left"/>
      <w:pPr>
        <w:ind w:left="1440" w:hanging="1440"/>
      </w:pPr>
      <w:rPr>
        <w:rFonts w:hint="default"/>
        <w:color w:val="FFFFFF" w:themeColor="background1"/>
      </w:rPr>
    </w:lvl>
    <w:lvl w:ilvl="8">
      <w:start w:val="1"/>
      <w:numFmt w:val="decimal"/>
      <w:lvlText w:val="%1.%2.%3.%4.%5.%6.%7.%8.%9"/>
      <w:lvlJc w:val="left"/>
      <w:pPr>
        <w:ind w:left="1440" w:hanging="1440"/>
      </w:pPr>
      <w:rPr>
        <w:rFonts w:hint="default"/>
        <w:color w:val="FFFFFF" w:themeColor="background1"/>
      </w:rPr>
    </w:lvl>
  </w:abstractNum>
  <w:abstractNum w:abstractNumId="71" w15:restartNumberingAfterBreak="0">
    <w:nsid w:val="717561B3"/>
    <w:multiLevelType w:val="multilevel"/>
    <w:tmpl w:val="41944A74"/>
    <w:lvl w:ilvl="0">
      <w:start w:val="1"/>
      <w:numFmt w:val="lowerLetter"/>
      <w:lvlText w:val="%1."/>
      <w:lvlJc w:val="left"/>
      <w:pPr>
        <w:ind w:left="1276" w:hanging="284"/>
      </w:pPr>
      <w:rPr>
        <w:rFonts w:hint="default"/>
        <w:color w:val="FFFFFF" w:themeColor="background1"/>
      </w:rPr>
    </w:lvl>
    <w:lvl w:ilvl="1">
      <w:start w:val="1"/>
      <w:numFmt w:val="bullet"/>
      <w:lvlText w:val="–"/>
      <w:lvlJc w:val="left"/>
      <w:pPr>
        <w:ind w:left="1277" w:hanging="284"/>
      </w:pPr>
      <w:rPr>
        <w:rFonts w:ascii="Times New Roman" w:hAnsi="Times New Roman" w:cs="Times New Roman" w:hint="default"/>
      </w:rPr>
    </w:lvl>
    <w:lvl w:ilvl="2">
      <w:start w:val="1"/>
      <w:numFmt w:val="bullet"/>
      <w:lvlText w:val=":"/>
      <w:lvlJc w:val="left"/>
      <w:pPr>
        <w:ind w:left="1561" w:hanging="284"/>
      </w:pPr>
      <w:rPr>
        <w:rFonts w:ascii="Times New Roman" w:hAnsi="Times New Roman" w:cs="Times New Roman" w:hint="default"/>
      </w:rPr>
    </w:lvl>
    <w:lvl w:ilvl="3">
      <w:start w:val="1"/>
      <w:numFmt w:val="decimal"/>
      <w:lvlText w:val="%4)"/>
      <w:lvlJc w:val="left"/>
      <w:pPr>
        <w:ind w:left="1845" w:hanging="284"/>
      </w:pPr>
      <w:rPr>
        <w:rFonts w:hint="default"/>
      </w:rPr>
    </w:lvl>
    <w:lvl w:ilvl="4">
      <w:start w:val="1"/>
      <w:numFmt w:val="lowerLetter"/>
      <w:lvlText w:val="%5)"/>
      <w:lvlJc w:val="left"/>
      <w:pPr>
        <w:ind w:left="2129" w:hanging="284"/>
      </w:pPr>
      <w:rPr>
        <w:rFonts w:hint="default"/>
      </w:rPr>
    </w:lvl>
    <w:lvl w:ilvl="5">
      <w:start w:val="1"/>
      <w:numFmt w:val="lowerRoman"/>
      <w:lvlText w:val="%6)"/>
      <w:lvlJc w:val="left"/>
      <w:pPr>
        <w:ind w:left="2413" w:hanging="284"/>
      </w:pPr>
      <w:rPr>
        <w:rFonts w:hint="default"/>
      </w:rPr>
    </w:lvl>
    <w:lvl w:ilvl="6">
      <w:start w:val="1"/>
      <w:numFmt w:val="decimal"/>
      <w:lvlText w:val="%7."/>
      <w:lvlJc w:val="left"/>
      <w:pPr>
        <w:ind w:left="2697" w:hanging="284"/>
      </w:pPr>
      <w:rPr>
        <w:rFonts w:hint="default"/>
      </w:rPr>
    </w:lvl>
    <w:lvl w:ilvl="7">
      <w:start w:val="1"/>
      <w:numFmt w:val="lowerLetter"/>
      <w:lvlText w:val="%8."/>
      <w:lvlJc w:val="left"/>
      <w:pPr>
        <w:ind w:left="851" w:hanging="284"/>
      </w:pPr>
      <w:rPr>
        <w:rFonts w:hint="default"/>
      </w:rPr>
    </w:lvl>
    <w:lvl w:ilvl="8">
      <w:start w:val="1"/>
      <w:numFmt w:val="lowerRoman"/>
      <w:lvlText w:val="%9."/>
      <w:lvlJc w:val="left"/>
      <w:pPr>
        <w:ind w:left="3265" w:hanging="284"/>
      </w:pPr>
      <w:rPr>
        <w:rFonts w:hint="default"/>
      </w:rPr>
    </w:lvl>
  </w:abstractNum>
  <w:abstractNum w:abstractNumId="72" w15:restartNumberingAfterBreak="0">
    <w:nsid w:val="74EA0F45"/>
    <w:multiLevelType w:val="hybridMultilevel"/>
    <w:tmpl w:val="5C8E272C"/>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96B42BB"/>
    <w:multiLevelType w:val="multilevel"/>
    <w:tmpl w:val="232EE81E"/>
    <w:lvl w:ilvl="0">
      <w:start w:val="1"/>
      <w:numFmt w:val="lowerRoman"/>
      <w:lvlText w:val="%1."/>
      <w:lvlJc w:val="left"/>
      <w:pPr>
        <w:ind w:left="851" w:hanging="284"/>
      </w:pPr>
      <w:rPr>
        <w:rFonts w:hint="default"/>
        <w:color w:val="FFFFFF" w:themeColor="background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rPr>
    </w:lvl>
    <w:lvl w:ilvl="8">
      <w:start w:val="1"/>
      <w:numFmt w:val="lowerRoman"/>
      <w:lvlText w:val="%9."/>
      <w:lvlJc w:val="left"/>
      <w:pPr>
        <w:ind w:left="2840" w:hanging="284"/>
      </w:pPr>
      <w:rPr>
        <w:rFonts w:hint="default"/>
      </w:rPr>
    </w:lvl>
  </w:abstractNum>
  <w:abstractNum w:abstractNumId="74" w15:restartNumberingAfterBreak="0">
    <w:nsid w:val="7D1F60A5"/>
    <w:multiLevelType w:val="multilevel"/>
    <w:tmpl w:val="DE9A7756"/>
    <w:lvl w:ilvl="0">
      <w:start w:val="1"/>
      <w:numFmt w:val="lowerRoman"/>
      <w:lvlText w:val="%1."/>
      <w:lvlJc w:val="left"/>
      <w:pPr>
        <w:ind w:left="851" w:hanging="284"/>
      </w:pPr>
      <w:rPr>
        <w:rFonts w:hint="default"/>
        <w:b w:val="0"/>
        <w:bCs w:val="0"/>
        <w:color w:val="142147" w:themeColor="accent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rPr>
    </w:lvl>
    <w:lvl w:ilvl="8">
      <w:start w:val="1"/>
      <w:numFmt w:val="lowerRoman"/>
      <w:lvlText w:val="%9."/>
      <w:lvlJc w:val="left"/>
      <w:pPr>
        <w:ind w:left="2840" w:hanging="284"/>
      </w:pPr>
      <w:rPr>
        <w:rFonts w:hint="default"/>
      </w:rPr>
    </w:lvl>
  </w:abstractNum>
  <w:abstractNum w:abstractNumId="75" w15:restartNumberingAfterBreak="0">
    <w:nsid w:val="7E246FEC"/>
    <w:multiLevelType w:val="multilevel"/>
    <w:tmpl w:val="0E6C9946"/>
    <w:lvl w:ilvl="0">
      <w:start w:val="2"/>
      <w:numFmt w:val="decimal"/>
      <w:lvlText w:val="%1."/>
      <w:lvlJc w:val="left"/>
      <w:pPr>
        <w:ind w:left="440" w:hanging="440"/>
      </w:pPr>
      <w:rPr>
        <w:rFonts w:hint="default"/>
      </w:rPr>
    </w:lvl>
    <w:lvl w:ilvl="1">
      <w:start w:val="1"/>
      <w:numFmt w:val="decimal"/>
      <w:lvlText w:val="%1.%2."/>
      <w:lvlJc w:val="left"/>
      <w:pPr>
        <w:ind w:left="862" w:hanging="720"/>
      </w:pPr>
      <w:rPr>
        <w:rFonts w:hint="default"/>
      </w:rPr>
    </w:lvl>
    <w:lvl w:ilvl="2">
      <w:start w:val="1"/>
      <w:numFmt w:val="lowerLetter"/>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6" w15:restartNumberingAfterBreak="0">
    <w:nsid w:val="7E960686"/>
    <w:multiLevelType w:val="hybridMultilevel"/>
    <w:tmpl w:val="5C8E272C"/>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FE12246"/>
    <w:multiLevelType w:val="multilevel"/>
    <w:tmpl w:val="1F1E2B6A"/>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99408905">
    <w:abstractNumId w:val="30"/>
  </w:num>
  <w:num w:numId="2" w16cid:durableId="982851464">
    <w:abstractNumId w:val="34"/>
  </w:num>
  <w:num w:numId="3" w16cid:durableId="1114134390">
    <w:abstractNumId w:val="54"/>
  </w:num>
  <w:num w:numId="4" w16cid:durableId="1722971660">
    <w:abstractNumId w:val="61"/>
  </w:num>
  <w:num w:numId="5" w16cid:durableId="1784569137">
    <w:abstractNumId w:val="55"/>
  </w:num>
  <w:num w:numId="6" w16cid:durableId="744259204">
    <w:abstractNumId w:val="50"/>
  </w:num>
  <w:num w:numId="7" w16cid:durableId="1293096655">
    <w:abstractNumId w:val="40"/>
  </w:num>
  <w:num w:numId="8" w16cid:durableId="1231381608">
    <w:abstractNumId w:val="9"/>
  </w:num>
  <w:num w:numId="9" w16cid:durableId="1435131293">
    <w:abstractNumId w:val="7"/>
  </w:num>
  <w:num w:numId="10" w16cid:durableId="977760185">
    <w:abstractNumId w:val="6"/>
  </w:num>
  <w:num w:numId="11" w16cid:durableId="1864050206">
    <w:abstractNumId w:val="5"/>
  </w:num>
  <w:num w:numId="12" w16cid:durableId="1043403270">
    <w:abstractNumId w:val="4"/>
  </w:num>
  <w:num w:numId="13" w16cid:durableId="1530412670">
    <w:abstractNumId w:val="8"/>
  </w:num>
  <w:num w:numId="14" w16cid:durableId="1661618011">
    <w:abstractNumId w:val="3"/>
  </w:num>
  <w:num w:numId="15" w16cid:durableId="1373652150">
    <w:abstractNumId w:val="2"/>
  </w:num>
  <w:num w:numId="16" w16cid:durableId="1278172958">
    <w:abstractNumId w:val="1"/>
  </w:num>
  <w:num w:numId="17" w16cid:durableId="1586955393">
    <w:abstractNumId w:val="0"/>
  </w:num>
  <w:num w:numId="18" w16cid:durableId="1231618955">
    <w:abstractNumId w:val="36"/>
  </w:num>
  <w:num w:numId="19" w16cid:durableId="1498230854">
    <w:abstractNumId w:val="35"/>
  </w:num>
  <w:num w:numId="20" w16cid:durableId="1538739424">
    <w:abstractNumId w:val="12"/>
  </w:num>
  <w:num w:numId="21" w16cid:durableId="2021348154">
    <w:abstractNumId w:val="29"/>
  </w:num>
  <w:num w:numId="22" w16cid:durableId="1491940129">
    <w:abstractNumId w:val="75"/>
  </w:num>
  <w:num w:numId="23" w16cid:durableId="1961257275">
    <w:abstractNumId w:val="32"/>
  </w:num>
  <w:num w:numId="24" w16cid:durableId="1303005027">
    <w:abstractNumId w:val="49"/>
  </w:num>
  <w:num w:numId="25" w16cid:durableId="350956380">
    <w:abstractNumId w:val="47"/>
  </w:num>
  <w:num w:numId="26" w16cid:durableId="1550919081">
    <w:abstractNumId w:val="74"/>
  </w:num>
  <w:num w:numId="27" w16cid:durableId="971709161">
    <w:abstractNumId w:val="27"/>
  </w:num>
  <w:num w:numId="28" w16cid:durableId="809324290">
    <w:abstractNumId w:val="73"/>
  </w:num>
  <w:num w:numId="29" w16cid:durableId="1315447336">
    <w:abstractNumId w:val="67"/>
  </w:num>
  <w:num w:numId="30" w16cid:durableId="545139577">
    <w:abstractNumId w:val="44"/>
  </w:num>
  <w:num w:numId="31" w16cid:durableId="1133906587">
    <w:abstractNumId w:val="31"/>
  </w:num>
  <w:num w:numId="32" w16cid:durableId="184710558">
    <w:abstractNumId w:val="70"/>
  </w:num>
  <w:num w:numId="33" w16cid:durableId="1956600223">
    <w:abstractNumId w:val="77"/>
  </w:num>
  <w:num w:numId="34" w16cid:durableId="1956520597">
    <w:abstractNumId w:val="48"/>
  </w:num>
  <w:num w:numId="35" w16cid:durableId="1052771245">
    <w:abstractNumId w:val="57"/>
  </w:num>
  <w:num w:numId="36" w16cid:durableId="1056202446">
    <w:abstractNumId w:val="69"/>
  </w:num>
  <w:num w:numId="37" w16cid:durableId="1423793411">
    <w:abstractNumId w:val="60"/>
  </w:num>
  <w:num w:numId="38" w16cid:durableId="1979798799">
    <w:abstractNumId w:val="28"/>
  </w:num>
  <w:num w:numId="39" w16cid:durableId="1715352259">
    <w:abstractNumId w:val="10"/>
  </w:num>
  <w:num w:numId="40" w16cid:durableId="1582372545">
    <w:abstractNumId w:val="71"/>
  </w:num>
  <w:num w:numId="41" w16cid:durableId="393696718">
    <w:abstractNumId w:val="26"/>
  </w:num>
  <w:num w:numId="42" w16cid:durableId="1054618463">
    <w:abstractNumId w:val="21"/>
  </w:num>
  <w:num w:numId="43" w16cid:durableId="936642985">
    <w:abstractNumId w:val="65"/>
  </w:num>
  <w:num w:numId="44" w16cid:durableId="736517952">
    <w:abstractNumId w:val="66"/>
  </w:num>
  <w:num w:numId="45" w16cid:durableId="744299450">
    <w:abstractNumId w:val="52"/>
  </w:num>
  <w:num w:numId="46" w16cid:durableId="1249653960">
    <w:abstractNumId w:val="38"/>
  </w:num>
  <w:num w:numId="47" w16cid:durableId="1129786413">
    <w:abstractNumId w:val="58"/>
  </w:num>
  <w:num w:numId="48" w16cid:durableId="575483658">
    <w:abstractNumId w:val="18"/>
  </w:num>
  <w:num w:numId="49" w16cid:durableId="1853033488">
    <w:abstractNumId w:val="13"/>
  </w:num>
  <w:num w:numId="50" w16cid:durableId="1363361729">
    <w:abstractNumId w:val="14"/>
  </w:num>
  <w:num w:numId="51" w16cid:durableId="1121339922">
    <w:abstractNumId w:val="25"/>
  </w:num>
  <w:num w:numId="52" w16cid:durableId="1175877401">
    <w:abstractNumId w:val="63"/>
  </w:num>
  <w:num w:numId="53" w16cid:durableId="183522367">
    <w:abstractNumId w:val="59"/>
  </w:num>
  <w:num w:numId="54" w16cid:durableId="1450339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81328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364516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816770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973679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205166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344024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288012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035548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565038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132154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2080758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370745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55889201">
    <w:abstractNumId w:val="39"/>
  </w:num>
  <w:num w:numId="68" w16cid:durableId="1964454749">
    <w:abstractNumId w:val="72"/>
  </w:num>
  <w:num w:numId="69" w16cid:durableId="1738624321">
    <w:abstractNumId w:val="68"/>
  </w:num>
  <w:num w:numId="70" w16cid:durableId="702445455">
    <w:abstractNumId w:val="22"/>
  </w:num>
  <w:num w:numId="71" w16cid:durableId="825824152">
    <w:abstractNumId w:val="42"/>
  </w:num>
  <w:num w:numId="72" w16cid:durableId="2075001567">
    <w:abstractNumId w:val="23"/>
  </w:num>
  <w:num w:numId="73" w16cid:durableId="1292319324">
    <w:abstractNumId w:val="53"/>
  </w:num>
  <w:num w:numId="74" w16cid:durableId="113209655">
    <w:abstractNumId w:val="15"/>
  </w:num>
  <w:num w:numId="75" w16cid:durableId="903640130">
    <w:abstractNumId w:val="62"/>
  </w:num>
  <w:num w:numId="76" w16cid:durableId="566570617">
    <w:abstractNumId w:val="64"/>
  </w:num>
  <w:num w:numId="77" w16cid:durableId="1613635121">
    <w:abstractNumId w:val="46"/>
  </w:num>
  <w:num w:numId="78" w16cid:durableId="657154115">
    <w:abstractNumId w:val="41"/>
  </w:num>
  <w:num w:numId="79" w16cid:durableId="1121654140">
    <w:abstractNumId w:val="56"/>
  </w:num>
  <w:num w:numId="80" w16cid:durableId="1944800019">
    <w:abstractNumId w:val="45"/>
  </w:num>
  <w:num w:numId="81" w16cid:durableId="21167092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063153">
    <w:abstractNumId w:val="76"/>
  </w:num>
  <w:num w:numId="83" w16cid:durableId="1305548551">
    <w:abstractNumId w:val="20"/>
  </w:num>
  <w:num w:numId="84" w16cid:durableId="132648215">
    <w:abstractNumId w:val="43"/>
  </w:num>
  <w:num w:numId="85" w16cid:durableId="1382707977">
    <w:abstractNumId w:val="1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66"/>
    <w:rsid w:val="00000466"/>
    <w:rsid w:val="0000047D"/>
    <w:rsid w:val="000005B8"/>
    <w:rsid w:val="00000A7A"/>
    <w:rsid w:val="00000F3E"/>
    <w:rsid w:val="00001318"/>
    <w:rsid w:val="00001918"/>
    <w:rsid w:val="00001B2C"/>
    <w:rsid w:val="00001DEE"/>
    <w:rsid w:val="00001EA2"/>
    <w:rsid w:val="000022B9"/>
    <w:rsid w:val="00002617"/>
    <w:rsid w:val="00002BAD"/>
    <w:rsid w:val="00003192"/>
    <w:rsid w:val="000033BC"/>
    <w:rsid w:val="00003465"/>
    <w:rsid w:val="000034C6"/>
    <w:rsid w:val="000035AE"/>
    <w:rsid w:val="00003777"/>
    <w:rsid w:val="0000416E"/>
    <w:rsid w:val="0000435E"/>
    <w:rsid w:val="000044D0"/>
    <w:rsid w:val="00004520"/>
    <w:rsid w:val="00004778"/>
    <w:rsid w:val="00004C94"/>
    <w:rsid w:val="00004FFA"/>
    <w:rsid w:val="0000513C"/>
    <w:rsid w:val="00005399"/>
    <w:rsid w:val="000058CA"/>
    <w:rsid w:val="00005920"/>
    <w:rsid w:val="00006A30"/>
    <w:rsid w:val="00006B2F"/>
    <w:rsid w:val="00006E0F"/>
    <w:rsid w:val="00006E2D"/>
    <w:rsid w:val="0000730A"/>
    <w:rsid w:val="00007440"/>
    <w:rsid w:val="000078A0"/>
    <w:rsid w:val="00007E19"/>
    <w:rsid w:val="000105CA"/>
    <w:rsid w:val="0001084B"/>
    <w:rsid w:val="00010B47"/>
    <w:rsid w:val="0001124D"/>
    <w:rsid w:val="00011644"/>
    <w:rsid w:val="0001175A"/>
    <w:rsid w:val="000118D3"/>
    <w:rsid w:val="00011EC3"/>
    <w:rsid w:val="00012758"/>
    <w:rsid w:val="00012BAE"/>
    <w:rsid w:val="00012E3C"/>
    <w:rsid w:val="00012F3D"/>
    <w:rsid w:val="00013013"/>
    <w:rsid w:val="000133B9"/>
    <w:rsid w:val="0001365F"/>
    <w:rsid w:val="0001386B"/>
    <w:rsid w:val="000138B8"/>
    <w:rsid w:val="00013B73"/>
    <w:rsid w:val="00013DFC"/>
    <w:rsid w:val="00014231"/>
    <w:rsid w:val="00014281"/>
    <w:rsid w:val="00014315"/>
    <w:rsid w:val="00014423"/>
    <w:rsid w:val="000146F1"/>
    <w:rsid w:val="0001497D"/>
    <w:rsid w:val="0001499C"/>
    <w:rsid w:val="00014F3E"/>
    <w:rsid w:val="00015557"/>
    <w:rsid w:val="00015586"/>
    <w:rsid w:val="00015B9C"/>
    <w:rsid w:val="0001618E"/>
    <w:rsid w:val="00016605"/>
    <w:rsid w:val="00016606"/>
    <w:rsid w:val="0001696E"/>
    <w:rsid w:val="00017457"/>
    <w:rsid w:val="00017A87"/>
    <w:rsid w:val="00017B78"/>
    <w:rsid w:val="00017BD0"/>
    <w:rsid w:val="00017D96"/>
    <w:rsid w:val="00017E22"/>
    <w:rsid w:val="00017F5D"/>
    <w:rsid w:val="000201EE"/>
    <w:rsid w:val="000204AD"/>
    <w:rsid w:val="00020B26"/>
    <w:rsid w:val="00021002"/>
    <w:rsid w:val="000210CF"/>
    <w:rsid w:val="000218FD"/>
    <w:rsid w:val="00021E95"/>
    <w:rsid w:val="00021F0D"/>
    <w:rsid w:val="00021F6C"/>
    <w:rsid w:val="00021F89"/>
    <w:rsid w:val="0002202D"/>
    <w:rsid w:val="00022378"/>
    <w:rsid w:val="00022389"/>
    <w:rsid w:val="0002249E"/>
    <w:rsid w:val="000225E7"/>
    <w:rsid w:val="000228E6"/>
    <w:rsid w:val="00022B24"/>
    <w:rsid w:val="0002383F"/>
    <w:rsid w:val="00024831"/>
    <w:rsid w:val="00024E34"/>
    <w:rsid w:val="00024EF1"/>
    <w:rsid w:val="00025118"/>
    <w:rsid w:val="00025388"/>
    <w:rsid w:val="00025BBE"/>
    <w:rsid w:val="00025DBE"/>
    <w:rsid w:val="000268C6"/>
    <w:rsid w:val="00026BA2"/>
    <w:rsid w:val="00026D19"/>
    <w:rsid w:val="00026F26"/>
    <w:rsid w:val="0002700F"/>
    <w:rsid w:val="0002791F"/>
    <w:rsid w:val="000279A8"/>
    <w:rsid w:val="00027B6C"/>
    <w:rsid w:val="00027C2A"/>
    <w:rsid w:val="00027F67"/>
    <w:rsid w:val="0003021B"/>
    <w:rsid w:val="00030A01"/>
    <w:rsid w:val="00030B2C"/>
    <w:rsid w:val="00031531"/>
    <w:rsid w:val="00031570"/>
    <w:rsid w:val="00031A82"/>
    <w:rsid w:val="00031AC3"/>
    <w:rsid w:val="00031D5A"/>
    <w:rsid w:val="00031E96"/>
    <w:rsid w:val="0003208C"/>
    <w:rsid w:val="000323F8"/>
    <w:rsid w:val="000324CE"/>
    <w:rsid w:val="00032511"/>
    <w:rsid w:val="0003284F"/>
    <w:rsid w:val="0003320D"/>
    <w:rsid w:val="0003326D"/>
    <w:rsid w:val="0003335A"/>
    <w:rsid w:val="000335F1"/>
    <w:rsid w:val="00033825"/>
    <w:rsid w:val="00033999"/>
    <w:rsid w:val="00033C13"/>
    <w:rsid w:val="000342D9"/>
    <w:rsid w:val="00034350"/>
    <w:rsid w:val="00034510"/>
    <w:rsid w:val="00034838"/>
    <w:rsid w:val="000348E8"/>
    <w:rsid w:val="00034961"/>
    <w:rsid w:val="00034B9A"/>
    <w:rsid w:val="00034C6A"/>
    <w:rsid w:val="00034EF8"/>
    <w:rsid w:val="00034F7D"/>
    <w:rsid w:val="000350AC"/>
    <w:rsid w:val="0003573E"/>
    <w:rsid w:val="00035908"/>
    <w:rsid w:val="00035AE2"/>
    <w:rsid w:val="00035C9F"/>
    <w:rsid w:val="00035F6B"/>
    <w:rsid w:val="000361A2"/>
    <w:rsid w:val="0003634D"/>
    <w:rsid w:val="00036361"/>
    <w:rsid w:val="00036436"/>
    <w:rsid w:val="00036521"/>
    <w:rsid w:val="000369AC"/>
    <w:rsid w:val="00036A95"/>
    <w:rsid w:val="00036AAD"/>
    <w:rsid w:val="00036C14"/>
    <w:rsid w:val="00036F66"/>
    <w:rsid w:val="000372FD"/>
    <w:rsid w:val="0003739A"/>
    <w:rsid w:val="0003759C"/>
    <w:rsid w:val="00037941"/>
    <w:rsid w:val="00037AF8"/>
    <w:rsid w:val="0004037F"/>
    <w:rsid w:val="000404A0"/>
    <w:rsid w:val="000405A7"/>
    <w:rsid w:val="00040B75"/>
    <w:rsid w:val="00041235"/>
    <w:rsid w:val="00041253"/>
    <w:rsid w:val="0004126D"/>
    <w:rsid w:val="00041463"/>
    <w:rsid w:val="000417B5"/>
    <w:rsid w:val="000417CF"/>
    <w:rsid w:val="00041A0B"/>
    <w:rsid w:val="00041A25"/>
    <w:rsid w:val="00041D87"/>
    <w:rsid w:val="00041E4E"/>
    <w:rsid w:val="0004227F"/>
    <w:rsid w:val="0004229D"/>
    <w:rsid w:val="00042573"/>
    <w:rsid w:val="00042616"/>
    <w:rsid w:val="00042852"/>
    <w:rsid w:val="0004321C"/>
    <w:rsid w:val="000436F3"/>
    <w:rsid w:val="00043B0F"/>
    <w:rsid w:val="00043B88"/>
    <w:rsid w:val="00043CE8"/>
    <w:rsid w:val="00043FDC"/>
    <w:rsid w:val="000443C2"/>
    <w:rsid w:val="00044636"/>
    <w:rsid w:val="00044698"/>
    <w:rsid w:val="000446C8"/>
    <w:rsid w:val="0004496A"/>
    <w:rsid w:val="00044C2F"/>
    <w:rsid w:val="00044CEF"/>
    <w:rsid w:val="00044E64"/>
    <w:rsid w:val="00045448"/>
    <w:rsid w:val="00045610"/>
    <w:rsid w:val="0004562A"/>
    <w:rsid w:val="0004563A"/>
    <w:rsid w:val="0004574D"/>
    <w:rsid w:val="00045CBC"/>
    <w:rsid w:val="00045E45"/>
    <w:rsid w:val="00045E4F"/>
    <w:rsid w:val="00046065"/>
    <w:rsid w:val="0004609A"/>
    <w:rsid w:val="0004642C"/>
    <w:rsid w:val="00046620"/>
    <w:rsid w:val="00046681"/>
    <w:rsid w:val="00046961"/>
    <w:rsid w:val="000469C1"/>
    <w:rsid w:val="000473D6"/>
    <w:rsid w:val="0004752B"/>
    <w:rsid w:val="00047535"/>
    <w:rsid w:val="000479B3"/>
    <w:rsid w:val="00047B9F"/>
    <w:rsid w:val="00047BCF"/>
    <w:rsid w:val="00050171"/>
    <w:rsid w:val="000501DE"/>
    <w:rsid w:val="000503DD"/>
    <w:rsid w:val="00050463"/>
    <w:rsid w:val="00050B5B"/>
    <w:rsid w:val="00050BB3"/>
    <w:rsid w:val="00050C4A"/>
    <w:rsid w:val="000516AF"/>
    <w:rsid w:val="000516DB"/>
    <w:rsid w:val="000516FA"/>
    <w:rsid w:val="00051932"/>
    <w:rsid w:val="00051C95"/>
    <w:rsid w:val="00052303"/>
    <w:rsid w:val="00052448"/>
    <w:rsid w:val="00052913"/>
    <w:rsid w:val="00052D70"/>
    <w:rsid w:val="0005306B"/>
    <w:rsid w:val="00053134"/>
    <w:rsid w:val="000531C5"/>
    <w:rsid w:val="00053244"/>
    <w:rsid w:val="0005336D"/>
    <w:rsid w:val="00053508"/>
    <w:rsid w:val="0005386F"/>
    <w:rsid w:val="00053A04"/>
    <w:rsid w:val="00053B8A"/>
    <w:rsid w:val="00053CE3"/>
    <w:rsid w:val="00053D71"/>
    <w:rsid w:val="00053E74"/>
    <w:rsid w:val="00053E9F"/>
    <w:rsid w:val="00053FC8"/>
    <w:rsid w:val="00054185"/>
    <w:rsid w:val="000549FF"/>
    <w:rsid w:val="00054EC9"/>
    <w:rsid w:val="000552D5"/>
    <w:rsid w:val="00055E0E"/>
    <w:rsid w:val="000562B7"/>
    <w:rsid w:val="00056782"/>
    <w:rsid w:val="000568DA"/>
    <w:rsid w:val="00056B5A"/>
    <w:rsid w:val="00056D56"/>
    <w:rsid w:val="00057052"/>
    <w:rsid w:val="00057828"/>
    <w:rsid w:val="00057B97"/>
    <w:rsid w:val="0006003A"/>
    <w:rsid w:val="0006030C"/>
    <w:rsid w:val="000606EB"/>
    <w:rsid w:val="00060824"/>
    <w:rsid w:val="000608E4"/>
    <w:rsid w:val="000608EB"/>
    <w:rsid w:val="00060BA1"/>
    <w:rsid w:val="00061063"/>
    <w:rsid w:val="000613F5"/>
    <w:rsid w:val="00061CC8"/>
    <w:rsid w:val="00061FD3"/>
    <w:rsid w:val="000620F8"/>
    <w:rsid w:val="000621CA"/>
    <w:rsid w:val="00062245"/>
    <w:rsid w:val="00062425"/>
    <w:rsid w:val="0006262B"/>
    <w:rsid w:val="00062C3A"/>
    <w:rsid w:val="00062EC8"/>
    <w:rsid w:val="00063721"/>
    <w:rsid w:val="00063BA5"/>
    <w:rsid w:val="0006421A"/>
    <w:rsid w:val="00064895"/>
    <w:rsid w:val="00064B3A"/>
    <w:rsid w:val="00064C71"/>
    <w:rsid w:val="00064E6A"/>
    <w:rsid w:val="00064F2B"/>
    <w:rsid w:val="00065009"/>
    <w:rsid w:val="00065074"/>
    <w:rsid w:val="000650A2"/>
    <w:rsid w:val="0006547E"/>
    <w:rsid w:val="00065492"/>
    <w:rsid w:val="00065493"/>
    <w:rsid w:val="00065568"/>
    <w:rsid w:val="00065695"/>
    <w:rsid w:val="00065D2A"/>
    <w:rsid w:val="00065E8C"/>
    <w:rsid w:val="0006614F"/>
    <w:rsid w:val="00066533"/>
    <w:rsid w:val="000669D4"/>
    <w:rsid w:val="00066E87"/>
    <w:rsid w:val="00066EBF"/>
    <w:rsid w:val="0006707F"/>
    <w:rsid w:val="00067736"/>
    <w:rsid w:val="0006773F"/>
    <w:rsid w:val="00067A13"/>
    <w:rsid w:val="00067BF2"/>
    <w:rsid w:val="00070291"/>
    <w:rsid w:val="00070452"/>
    <w:rsid w:val="00070534"/>
    <w:rsid w:val="00070AAB"/>
    <w:rsid w:val="00070BB9"/>
    <w:rsid w:val="00071573"/>
    <w:rsid w:val="00071630"/>
    <w:rsid w:val="00071873"/>
    <w:rsid w:val="00071A94"/>
    <w:rsid w:val="0007223F"/>
    <w:rsid w:val="000724E0"/>
    <w:rsid w:val="00072858"/>
    <w:rsid w:val="00072E9F"/>
    <w:rsid w:val="00073079"/>
    <w:rsid w:val="000730ED"/>
    <w:rsid w:val="00073190"/>
    <w:rsid w:val="00073216"/>
    <w:rsid w:val="0007354A"/>
    <w:rsid w:val="00073587"/>
    <w:rsid w:val="0007372D"/>
    <w:rsid w:val="0007392C"/>
    <w:rsid w:val="00073D92"/>
    <w:rsid w:val="00074976"/>
    <w:rsid w:val="00074F7B"/>
    <w:rsid w:val="000757BB"/>
    <w:rsid w:val="000758F5"/>
    <w:rsid w:val="00075F0D"/>
    <w:rsid w:val="00075F54"/>
    <w:rsid w:val="00076985"/>
    <w:rsid w:val="000769D5"/>
    <w:rsid w:val="00076C55"/>
    <w:rsid w:val="00077407"/>
    <w:rsid w:val="000776BF"/>
    <w:rsid w:val="0007779F"/>
    <w:rsid w:val="00077F7D"/>
    <w:rsid w:val="00077FB3"/>
    <w:rsid w:val="000802B8"/>
    <w:rsid w:val="0008085F"/>
    <w:rsid w:val="00080919"/>
    <w:rsid w:val="00080965"/>
    <w:rsid w:val="00080A2E"/>
    <w:rsid w:val="00080B28"/>
    <w:rsid w:val="00080B6B"/>
    <w:rsid w:val="00080BE0"/>
    <w:rsid w:val="000810D5"/>
    <w:rsid w:val="00081499"/>
    <w:rsid w:val="00081659"/>
    <w:rsid w:val="0008181F"/>
    <w:rsid w:val="000819B0"/>
    <w:rsid w:val="00081A4E"/>
    <w:rsid w:val="00081AD2"/>
    <w:rsid w:val="00082088"/>
    <w:rsid w:val="000821C8"/>
    <w:rsid w:val="0008243C"/>
    <w:rsid w:val="00082476"/>
    <w:rsid w:val="000825B3"/>
    <w:rsid w:val="00082A4F"/>
    <w:rsid w:val="00082B11"/>
    <w:rsid w:val="00082E89"/>
    <w:rsid w:val="00082FC1"/>
    <w:rsid w:val="0008325A"/>
    <w:rsid w:val="00083326"/>
    <w:rsid w:val="0008334C"/>
    <w:rsid w:val="00083C04"/>
    <w:rsid w:val="00083EC5"/>
    <w:rsid w:val="000843CE"/>
    <w:rsid w:val="000844BD"/>
    <w:rsid w:val="00084A4D"/>
    <w:rsid w:val="00084DC2"/>
    <w:rsid w:val="00085054"/>
    <w:rsid w:val="00085404"/>
    <w:rsid w:val="000854F0"/>
    <w:rsid w:val="00085642"/>
    <w:rsid w:val="0008564F"/>
    <w:rsid w:val="00085A54"/>
    <w:rsid w:val="00085A70"/>
    <w:rsid w:val="00085B3E"/>
    <w:rsid w:val="00085E8B"/>
    <w:rsid w:val="000864A3"/>
    <w:rsid w:val="00086A33"/>
    <w:rsid w:val="00086B29"/>
    <w:rsid w:val="00086C4C"/>
    <w:rsid w:val="00086E7D"/>
    <w:rsid w:val="0008710D"/>
    <w:rsid w:val="0008738A"/>
    <w:rsid w:val="00087393"/>
    <w:rsid w:val="00087427"/>
    <w:rsid w:val="0008745E"/>
    <w:rsid w:val="0008753A"/>
    <w:rsid w:val="000877AF"/>
    <w:rsid w:val="00087D98"/>
    <w:rsid w:val="0009033E"/>
    <w:rsid w:val="0009036D"/>
    <w:rsid w:val="0009041F"/>
    <w:rsid w:val="000906AB"/>
    <w:rsid w:val="00090F8E"/>
    <w:rsid w:val="00091169"/>
    <w:rsid w:val="00091614"/>
    <w:rsid w:val="000916A3"/>
    <w:rsid w:val="00091C84"/>
    <w:rsid w:val="00091DD8"/>
    <w:rsid w:val="00092324"/>
    <w:rsid w:val="00092407"/>
    <w:rsid w:val="000924BF"/>
    <w:rsid w:val="00092746"/>
    <w:rsid w:val="000927E7"/>
    <w:rsid w:val="00093053"/>
    <w:rsid w:val="00093188"/>
    <w:rsid w:val="000936BD"/>
    <w:rsid w:val="000937D0"/>
    <w:rsid w:val="00093A4B"/>
    <w:rsid w:val="00093DBB"/>
    <w:rsid w:val="0009440A"/>
    <w:rsid w:val="000944A2"/>
    <w:rsid w:val="00094558"/>
    <w:rsid w:val="00094562"/>
    <w:rsid w:val="00094A81"/>
    <w:rsid w:val="00094ACB"/>
    <w:rsid w:val="00094AF8"/>
    <w:rsid w:val="00094D53"/>
    <w:rsid w:val="0009533E"/>
    <w:rsid w:val="0009538F"/>
    <w:rsid w:val="000957F2"/>
    <w:rsid w:val="00095889"/>
    <w:rsid w:val="00095B40"/>
    <w:rsid w:val="00095E5B"/>
    <w:rsid w:val="00095F50"/>
    <w:rsid w:val="00095FA3"/>
    <w:rsid w:val="000969B4"/>
    <w:rsid w:val="00096BC3"/>
    <w:rsid w:val="00096EEE"/>
    <w:rsid w:val="000971C1"/>
    <w:rsid w:val="000973C5"/>
    <w:rsid w:val="00097403"/>
    <w:rsid w:val="0009774E"/>
    <w:rsid w:val="00097830"/>
    <w:rsid w:val="000978A6"/>
    <w:rsid w:val="00097B03"/>
    <w:rsid w:val="00097DF5"/>
    <w:rsid w:val="000A0023"/>
    <w:rsid w:val="000A005D"/>
    <w:rsid w:val="000A03F3"/>
    <w:rsid w:val="000A0592"/>
    <w:rsid w:val="000A06CB"/>
    <w:rsid w:val="000A0827"/>
    <w:rsid w:val="000A09B1"/>
    <w:rsid w:val="000A0AA5"/>
    <w:rsid w:val="000A0AA7"/>
    <w:rsid w:val="000A0DF9"/>
    <w:rsid w:val="000A0FB4"/>
    <w:rsid w:val="000A1607"/>
    <w:rsid w:val="000A1C77"/>
    <w:rsid w:val="000A21DE"/>
    <w:rsid w:val="000A2268"/>
    <w:rsid w:val="000A25E9"/>
    <w:rsid w:val="000A2806"/>
    <w:rsid w:val="000A2BAC"/>
    <w:rsid w:val="000A2EB3"/>
    <w:rsid w:val="000A30AA"/>
    <w:rsid w:val="000A3A17"/>
    <w:rsid w:val="000A3BFF"/>
    <w:rsid w:val="000A3EB1"/>
    <w:rsid w:val="000A4029"/>
    <w:rsid w:val="000A4191"/>
    <w:rsid w:val="000A4196"/>
    <w:rsid w:val="000A46EA"/>
    <w:rsid w:val="000A48E5"/>
    <w:rsid w:val="000A4BCF"/>
    <w:rsid w:val="000A4D99"/>
    <w:rsid w:val="000A5101"/>
    <w:rsid w:val="000A51C8"/>
    <w:rsid w:val="000A5720"/>
    <w:rsid w:val="000A57E1"/>
    <w:rsid w:val="000A5C0A"/>
    <w:rsid w:val="000A5E71"/>
    <w:rsid w:val="000A63D0"/>
    <w:rsid w:val="000A64B6"/>
    <w:rsid w:val="000A693F"/>
    <w:rsid w:val="000A699D"/>
    <w:rsid w:val="000A6A1B"/>
    <w:rsid w:val="000A6A20"/>
    <w:rsid w:val="000A6AC1"/>
    <w:rsid w:val="000A6B01"/>
    <w:rsid w:val="000A6BC4"/>
    <w:rsid w:val="000A6D11"/>
    <w:rsid w:val="000A70D9"/>
    <w:rsid w:val="000A716C"/>
    <w:rsid w:val="000A719E"/>
    <w:rsid w:val="000A7B72"/>
    <w:rsid w:val="000A7D51"/>
    <w:rsid w:val="000B0034"/>
    <w:rsid w:val="000B020D"/>
    <w:rsid w:val="000B0353"/>
    <w:rsid w:val="000B0C2B"/>
    <w:rsid w:val="000B114C"/>
    <w:rsid w:val="000B12E8"/>
    <w:rsid w:val="000B174B"/>
    <w:rsid w:val="000B175B"/>
    <w:rsid w:val="000B17AE"/>
    <w:rsid w:val="000B1FB9"/>
    <w:rsid w:val="000B2641"/>
    <w:rsid w:val="000B2685"/>
    <w:rsid w:val="000B287C"/>
    <w:rsid w:val="000B2A54"/>
    <w:rsid w:val="000B2F4A"/>
    <w:rsid w:val="000B3512"/>
    <w:rsid w:val="000B3548"/>
    <w:rsid w:val="000B3601"/>
    <w:rsid w:val="000B3C2E"/>
    <w:rsid w:val="000B3C31"/>
    <w:rsid w:val="000B3CFF"/>
    <w:rsid w:val="000B3E90"/>
    <w:rsid w:val="000B3F05"/>
    <w:rsid w:val="000B408D"/>
    <w:rsid w:val="000B40C2"/>
    <w:rsid w:val="000B4241"/>
    <w:rsid w:val="000B48E4"/>
    <w:rsid w:val="000B49C5"/>
    <w:rsid w:val="000B49CB"/>
    <w:rsid w:val="000B4B2A"/>
    <w:rsid w:val="000B4E0D"/>
    <w:rsid w:val="000B4E55"/>
    <w:rsid w:val="000B4EA7"/>
    <w:rsid w:val="000B570E"/>
    <w:rsid w:val="000B580F"/>
    <w:rsid w:val="000B58C1"/>
    <w:rsid w:val="000B595F"/>
    <w:rsid w:val="000B5E0B"/>
    <w:rsid w:val="000B5F14"/>
    <w:rsid w:val="000B5F83"/>
    <w:rsid w:val="000B64AD"/>
    <w:rsid w:val="000B64E8"/>
    <w:rsid w:val="000B667C"/>
    <w:rsid w:val="000B69AE"/>
    <w:rsid w:val="000B6A15"/>
    <w:rsid w:val="000B6D7D"/>
    <w:rsid w:val="000B6F90"/>
    <w:rsid w:val="000C06B2"/>
    <w:rsid w:val="000C0D08"/>
    <w:rsid w:val="000C0D5E"/>
    <w:rsid w:val="000C181C"/>
    <w:rsid w:val="000C1928"/>
    <w:rsid w:val="000C1C37"/>
    <w:rsid w:val="000C1EB6"/>
    <w:rsid w:val="000C235D"/>
    <w:rsid w:val="000C23CA"/>
    <w:rsid w:val="000C2414"/>
    <w:rsid w:val="000C265D"/>
    <w:rsid w:val="000C27A0"/>
    <w:rsid w:val="000C2A31"/>
    <w:rsid w:val="000C2A6C"/>
    <w:rsid w:val="000C30E3"/>
    <w:rsid w:val="000C312A"/>
    <w:rsid w:val="000C324D"/>
    <w:rsid w:val="000C34AB"/>
    <w:rsid w:val="000C3502"/>
    <w:rsid w:val="000C3612"/>
    <w:rsid w:val="000C3682"/>
    <w:rsid w:val="000C3AFD"/>
    <w:rsid w:val="000C3C6F"/>
    <w:rsid w:val="000C40F9"/>
    <w:rsid w:val="000C46C0"/>
    <w:rsid w:val="000C46C1"/>
    <w:rsid w:val="000C473D"/>
    <w:rsid w:val="000C4784"/>
    <w:rsid w:val="000C48F6"/>
    <w:rsid w:val="000C4972"/>
    <w:rsid w:val="000C4B51"/>
    <w:rsid w:val="000C50F0"/>
    <w:rsid w:val="000C5117"/>
    <w:rsid w:val="000C51B1"/>
    <w:rsid w:val="000C54EF"/>
    <w:rsid w:val="000C5E0B"/>
    <w:rsid w:val="000C6070"/>
    <w:rsid w:val="000C6209"/>
    <w:rsid w:val="000C6614"/>
    <w:rsid w:val="000C6630"/>
    <w:rsid w:val="000C694A"/>
    <w:rsid w:val="000C6C0A"/>
    <w:rsid w:val="000C6D40"/>
    <w:rsid w:val="000C6D49"/>
    <w:rsid w:val="000C6D8B"/>
    <w:rsid w:val="000C708D"/>
    <w:rsid w:val="000C7449"/>
    <w:rsid w:val="000C77E7"/>
    <w:rsid w:val="000C7A7E"/>
    <w:rsid w:val="000D03BF"/>
    <w:rsid w:val="000D055B"/>
    <w:rsid w:val="000D0699"/>
    <w:rsid w:val="000D0A1A"/>
    <w:rsid w:val="000D113C"/>
    <w:rsid w:val="000D1232"/>
    <w:rsid w:val="000D1966"/>
    <w:rsid w:val="000D197D"/>
    <w:rsid w:val="000D1DF6"/>
    <w:rsid w:val="000D1DFE"/>
    <w:rsid w:val="000D226C"/>
    <w:rsid w:val="000D26F2"/>
    <w:rsid w:val="000D2754"/>
    <w:rsid w:val="000D279F"/>
    <w:rsid w:val="000D27DA"/>
    <w:rsid w:val="000D284D"/>
    <w:rsid w:val="000D2994"/>
    <w:rsid w:val="000D2A97"/>
    <w:rsid w:val="000D2AB2"/>
    <w:rsid w:val="000D2B2F"/>
    <w:rsid w:val="000D2E0E"/>
    <w:rsid w:val="000D2E53"/>
    <w:rsid w:val="000D2E69"/>
    <w:rsid w:val="000D2E89"/>
    <w:rsid w:val="000D2E95"/>
    <w:rsid w:val="000D2EEE"/>
    <w:rsid w:val="000D33BC"/>
    <w:rsid w:val="000D33F1"/>
    <w:rsid w:val="000D34C0"/>
    <w:rsid w:val="000D3524"/>
    <w:rsid w:val="000D370C"/>
    <w:rsid w:val="000D3883"/>
    <w:rsid w:val="000D3B35"/>
    <w:rsid w:val="000D411C"/>
    <w:rsid w:val="000D41AA"/>
    <w:rsid w:val="000D4EA8"/>
    <w:rsid w:val="000D51BF"/>
    <w:rsid w:val="000D5735"/>
    <w:rsid w:val="000D58B6"/>
    <w:rsid w:val="000D5C07"/>
    <w:rsid w:val="000D698D"/>
    <w:rsid w:val="000D6BFF"/>
    <w:rsid w:val="000D6D6C"/>
    <w:rsid w:val="000D7144"/>
    <w:rsid w:val="000D71B5"/>
    <w:rsid w:val="000D78B9"/>
    <w:rsid w:val="000D7CF6"/>
    <w:rsid w:val="000D7D89"/>
    <w:rsid w:val="000E0078"/>
    <w:rsid w:val="000E00BC"/>
    <w:rsid w:val="000E0B77"/>
    <w:rsid w:val="000E11EA"/>
    <w:rsid w:val="000E14ED"/>
    <w:rsid w:val="000E1921"/>
    <w:rsid w:val="000E1A71"/>
    <w:rsid w:val="000E1D0D"/>
    <w:rsid w:val="000E2279"/>
    <w:rsid w:val="000E24E9"/>
    <w:rsid w:val="000E2AEF"/>
    <w:rsid w:val="000E2BF8"/>
    <w:rsid w:val="000E2D4B"/>
    <w:rsid w:val="000E344E"/>
    <w:rsid w:val="000E3502"/>
    <w:rsid w:val="000E390B"/>
    <w:rsid w:val="000E3B71"/>
    <w:rsid w:val="000E3FB6"/>
    <w:rsid w:val="000E44E0"/>
    <w:rsid w:val="000E4666"/>
    <w:rsid w:val="000E4F84"/>
    <w:rsid w:val="000E56ED"/>
    <w:rsid w:val="000E5ACD"/>
    <w:rsid w:val="000E5E1B"/>
    <w:rsid w:val="000E60F6"/>
    <w:rsid w:val="000E6A98"/>
    <w:rsid w:val="000E6F24"/>
    <w:rsid w:val="000E7230"/>
    <w:rsid w:val="000E74AE"/>
    <w:rsid w:val="000E75D6"/>
    <w:rsid w:val="000E76C6"/>
    <w:rsid w:val="000E775B"/>
    <w:rsid w:val="000E7BAA"/>
    <w:rsid w:val="000F08FE"/>
    <w:rsid w:val="000F14F7"/>
    <w:rsid w:val="000F1870"/>
    <w:rsid w:val="000F1957"/>
    <w:rsid w:val="000F213D"/>
    <w:rsid w:val="000F2220"/>
    <w:rsid w:val="000F27B1"/>
    <w:rsid w:val="000F2D03"/>
    <w:rsid w:val="000F2D1D"/>
    <w:rsid w:val="000F2F4E"/>
    <w:rsid w:val="000F3091"/>
    <w:rsid w:val="000F316C"/>
    <w:rsid w:val="000F33B1"/>
    <w:rsid w:val="000F37A1"/>
    <w:rsid w:val="000F39F3"/>
    <w:rsid w:val="000F3BDE"/>
    <w:rsid w:val="000F3E94"/>
    <w:rsid w:val="000F4365"/>
    <w:rsid w:val="000F47BA"/>
    <w:rsid w:val="000F47D9"/>
    <w:rsid w:val="000F49E0"/>
    <w:rsid w:val="000F4CD5"/>
    <w:rsid w:val="000F52A4"/>
    <w:rsid w:val="000F52CC"/>
    <w:rsid w:val="000F5484"/>
    <w:rsid w:val="000F55AC"/>
    <w:rsid w:val="000F5719"/>
    <w:rsid w:val="000F5B85"/>
    <w:rsid w:val="000F612E"/>
    <w:rsid w:val="000F6407"/>
    <w:rsid w:val="000F644D"/>
    <w:rsid w:val="000F6908"/>
    <w:rsid w:val="000F6DDE"/>
    <w:rsid w:val="000F705D"/>
    <w:rsid w:val="000F7121"/>
    <w:rsid w:val="000F7466"/>
    <w:rsid w:val="000F7616"/>
    <w:rsid w:val="000F7955"/>
    <w:rsid w:val="000F7C34"/>
    <w:rsid w:val="000F7F27"/>
    <w:rsid w:val="001002BF"/>
    <w:rsid w:val="00100543"/>
    <w:rsid w:val="00100622"/>
    <w:rsid w:val="0010064C"/>
    <w:rsid w:val="00100726"/>
    <w:rsid w:val="0010144E"/>
    <w:rsid w:val="0010169B"/>
    <w:rsid w:val="00101908"/>
    <w:rsid w:val="00101BF5"/>
    <w:rsid w:val="00101D06"/>
    <w:rsid w:val="00102103"/>
    <w:rsid w:val="00102202"/>
    <w:rsid w:val="00102468"/>
    <w:rsid w:val="001024F8"/>
    <w:rsid w:val="0010283F"/>
    <w:rsid w:val="00102844"/>
    <w:rsid w:val="00102A70"/>
    <w:rsid w:val="00102EA0"/>
    <w:rsid w:val="00103035"/>
    <w:rsid w:val="001034C9"/>
    <w:rsid w:val="00103631"/>
    <w:rsid w:val="00103FAE"/>
    <w:rsid w:val="00104157"/>
    <w:rsid w:val="0010435A"/>
    <w:rsid w:val="00104443"/>
    <w:rsid w:val="00104684"/>
    <w:rsid w:val="00104F05"/>
    <w:rsid w:val="0010555F"/>
    <w:rsid w:val="0010565F"/>
    <w:rsid w:val="00105724"/>
    <w:rsid w:val="001058B6"/>
    <w:rsid w:val="00105ABE"/>
    <w:rsid w:val="00105C9E"/>
    <w:rsid w:val="0010666A"/>
    <w:rsid w:val="001068E3"/>
    <w:rsid w:val="00106A32"/>
    <w:rsid w:val="00106D26"/>
    <w:rsid w:val="00106E32"/>
    <w:rsid w:val="00107744"/>
    <w:rsid w:val="00107958"/>
    <w:rsid w:val="00107990"/>
    <w:rsid w:val="00107D74"/>
    <w:rsid w:val="00110201"/>
    <w:rsid w:val="001104BB"/>
    <w:rsid w:val="001106B2"/>
    <w:rsid w:val="00110A49"/>
    <w:rsid w:val="00110BA8"/>
    <w:rsid w:val="00110BDF"/>
    <w:rsid w:val="00110D6D"/>
    <w:rsid w:val="00110EAA"/>
    <w:rsid w:val="00111067"/>
    <w:rsid w:val="001115AD"/>
    <w:rsid w:val="00111646"/>
    <w:rsid w:val="0011166C"/>
    <w:rsid w:val="00111A43"/>
    <w:rsid w:val="00111A5D"/>
    <w:rsid w:val="00111FD1"/>
    <w:rsid w:val="0011202E"/>
    <w:rsid w:val="00112098"/>
    <w:rsid w:val="0011209B"/>
    <w:rsid w:val="0011227E"/>
    <w:rsid w:val="001123F5"/>
    <w:rsid w:val="0011310B"/>
    <w:rsid w:val="00113259"/>
    <w:rsid w:val="0011371B"/>
    <w:rsid w:val="0011375B"/>
    <w:rsid w:val="001137E4"/>
    <w:rsid w:val="00113877"/>
    <w:rsid w:val="00113BDD"/>
    <w:rsid w:val="00113D26"/>
    <w:rsid w:val="00113D89"/>
    <w:rsid w:val="001143CF"/>
    <w:rsid w:val="001144C8"/>
    <w:rsid w:val="001145FB"/>
    <w:rsid w:val="0011479F"/>
    <w:rsid w:val="00114B9D"/>
    <w:rsid w:val="0011550D"/>
    <w:rsid w:val="00115EB8"/>
    <w:rsid w:val="0011614D"/>
    <w:rsid w:val="00116199"/>
    <w:rsid w:val="001162CB"/>
    <w:rsid w:val="00116433"/>
    <w:rsid w:val="00116434"/>
    <w:rsid w:val="001164C7"/>
    <w:rsid w:val="00116618"/>
    <w:rsid w:val="001168E8"/>
    <w:rsid w:val="00116F51"/>
    <w:rsid w:val="00116FBA"/>
    <w:rsid w:val="00117277"/>
    <w:rsid w:val="00117327"/>
    <w:rsid w:val="001173FB"/>
    <w:rsid w:val="00117B2A"/>
    <w:rsid w:val="00117C99"/>
    <w:rsid w:val="001202FF"/>
    <w:rsid w:val="0012036E"/>
    <w:rsid w:val="001209C8"/>
    <w:rsid w:val="00120AA7"/>
    <w:rsid w:val="00120FF4"/>
    <w:rsid w:val="00121200"/>
    <w:rsid w:val="001213D9"/>
    <w:rsid w:val="001216A6"/>
    <w:rsid w:val="00121C72"/>
    <w:rsid w:val="00121D96"/>
    <w:rsid w:val="00121F83"/>
    <w:rsid w:val="00122174"/>
    <w:rsid w:val="00122A6A"/>
    <w:rsid w:val="00122C19"/>
    <w:rsid w:val="00122D45"/>
    <w:rsid w:val="00122FDA"/>
    <w:rsid w:val="001232B0"/>
    <w:rsid w:val="001233C9"/>
    <w:rsid w:val="001237E5"/>
    <w:rsid w:val="00123B72"/>
    <w:rsid w:val="0012450C"/>
    <w:rsid w:val="0012476B"/>
    <w:rsid w:val="00124B79"/>
    <w:rsid w:val="00124D83"/>
    <w:rsid w:val="00125072"/>
    <w:rsid w:val="00125A03"/>
    <w:rsid w:val="00125A17"/>
    <w:rsid w:val="00125BA6"/>
    <w:rsid w:val="00125C57"/>
    <w:rsid w:val="00125F25"/>
    <w:rsid w:val="001262B8"/>
    <w:rsid w:val="0012647C"/>
    <w:rsid w:val="001265F9"/>
    <w:rsid w:val="0012660C"/>
    <w:rsid w:val="00126B08"/>
    <w:rsid w:val="00126DAF"/>
    <w:rsid w:val="00126EDB"/>
    <w:rsid w:val="001270E5"/>
    <w:rsid w:val="00127625"/>
    <w:rsid w:val="00127664"/>
    <w:rsid w:val="00127748"/>
    <w:rsid w:val="001278FA"/>
    <w:rsid w:val="00127C1E"/>
    <w:rsid w:val="00127C27"/>
    <w:rsid w:val="0013004D"/>
    <w:rsid w:val="001301F5"/>
    <w:rsid w:val="00130F45"/>
    <w:rsid w:val="0013105F"/>
    <w:rsid w:val="00131133"/>
    <w:rsid w:val="0013114C"/>
    <w:rsid w:val="001311EF"/>
    <w:rsid w:val="001312F4"/>
    <w:rsid w:val="0013151C"/>
    <w:rsid w:val="0013166C"/>
    <w:rsid w:val="001316EC"/>
    <w:rsid w:val="00131A5A"/>
    <w:rsid w:val="00131D44"/>
    <w:rsid w:val="00131F1C"/>
    <w:rsid w:val="001320C2"/>
    <w:rsid w:val="00132305"/>
    <w:rsid w:val="001328EC"/>
    <w:rsid w:val="00132938"/>
    <w:rsid w:val="00132E95"/>
    <w:rsid w:val="001330D5"/>
    <w:rsid w:val="001334A1"/>
    <w:rsid w:val="00133688"/>
    <w:rsid w:val="0013375F"/>
    <w:rsid w:val="001337D6"/>
    <w:rsid w:val="0013389D"/>
    <w:rsid w:val="00134030"/>
    <w:rsid w:val="001341C1"/>
    <w:rsid w:val="001342BA"/>
    <w:rsid w:val="001344E9"/>
    <w:rsid w:val="001349E4"/>
    <w:rsid w:val="00134A0D"/>
    <w:rsid w:val="00134ACC"/>
    <w:rsid w:val="00135306"/>
    <w:rsid w:val="001354A5"/>
    <w:rsid w:val="00135C75"/>
    <w:rsid w:val="00135DBD"/>
    <w:rsid w:val="00135F8D"/>
    <w:rsid w:val="001360C6"/>
    <w:rsid w:val="00136434"/>
    <w:rsid w:val="001364B2"/>
    <w:rsid w:val="00136636"/>
    <w:rsid w:val="001367A9"/>
    <w:rsid w:val="00136AD1"/>
    <w:rsid w:val="0013716D"/>
    <w:rsid w:val="001371B0"/>
    <w:rsid w:val="001371ED"/>
    <w:rsid w:val="00137558"/>
    <w:rsid w:val="00137913"/>
    <w:rsid w:val="001403BD"/>
    <w:rsid w:val="00140492"/>
    <w:rsid w:val="00140707"/>
    <w:rsid w:val="001407F9"/>
    <w:rsid w:val="00140B18"/>
    <w:rsid w:val="00140B5D"/>
    <w:rsid w:val="00140DCD"/>
    <w:rsid w:val="00140FF4"/>
    <w:rsid w:val="00141933"/>
    <w:rsid w:val="00141C3F"/>
    <w:rsid w:val="00141D41"/>
    <w:rsid w:val="00142098"/>
    <w:rsid w:val="0014233A"/>
    <w:rsid w:val="001424AA"/>
    <w:rsid w:val="0014266B"/>
    <w:rsid w:val="00142699"/>
    <w:rsid w:val="00142CC7"/>
    <w:rsid w:val="00143594"/>
    <w:rsid w:val="001438F7"/>
    <w:rsid w:val="00143BF1"/>
    <w:rsid w:val="00143D2A"/>
    <w:rsid w:val="00144724"/>
    <w:rsid w:val="001447F0"/>
    <w:rsid w:val="00144855"/>
    <w:rsid w:val="00144A3B"/>
    <w:rsid w:val="00144F9B"/>
    <w:rsid w:val="00145146"/>
    <w:rsid w:val="001453D1"/>
    <w:rsid w:val="001453F0"/>
    <w:rsid w:val="00145596"/>
    <w:rsid w:val="001455A7"/>
    <w:rsid w:val="0014579D"/>
    <w:rsid w:val="001458DD"/>
    <w:rsid w:val="00145A84"/>
    <w:rsid w:val="00145C7F"/>
    <w:rsid w:val="00145E4C"/>
    <w:rsid w:val="00146197"/>
    <w:rsid w:val="00146ACC"/>
    <w:rsid w:val="00146F52"/>
    <w:rsid w:val="00146F93"/>
    <w:rsid w:val="00150177"/>
    <w:rsid w:val="00150CBD"/>
    <w:rsid w:val="00150E3B"/>
    <w:rsid w:val="001510C8"/>
    <w:rsid w:val="001515ED"/>
    <w:rsid w:val="00151E00"/>
    <w:rsid w:val="001528F5"/>
    <w:rsid w:val="00152B65"/>
    <w:rsid w:val="00153492"/>
    <w:rsid w:val="001537B3"/>
    <w:rsid w:val="00153842"/>
    <w:rsid w:val="001539BA"/>
    <w:rsid w:val="00153C7A"/>
    <w:rsid w:val="00153E91"/>
    <w:rsid w:val="00153FF5"/>
    <w:rsid w:val="0015419E"/>
    <w:rsid w:val="00154411"/>
    <w:rsid w:val="00154839"/>
    <w:rsid w:val="00154F91"/>
    <w:rsid w:val="0015502A"/>
    <w:rsid w:val="00155030"/>
    <w:rsid w:val="00155378"/>
    <w:rsid w:val="00155954"/>
    <w:rsid w:val="00155C17"/>
    <w:rsid w:val="00155F56"/>
    <w:rsid w:val="00156798"/>
    <w:rsid w:val="00156DAC"/>
    <w:rsid w:val="00156DB1"/>
    <w:rsid w:val="00156E34"/>
    <w:rsid w:val="00156FC1"/>
    <w:rsid w:val="00157681"/>
    <w:rsid w:val="00157B50"/>
    <w:rsid w:val="00157CEF"/>
    <w:rsid w:val="00160314"/>
    <w:rsid w:val="0016046A"/>
    <w:rsid w:val="00160655"/>
    <w:rsid w:val="00160A09"/>
    <w:rsid w:val="001612F0"/>
    <w:rsid w:val="001617D6"/>
    <w:rsid w:val="0016182F"/>
    <w:rsid w:val="001619A4"/>
    <w:rsid w:val="00161B2D"/>
    <w:rsid w:val="00161B50"/>
    <w:rsid w:val="00161EBF"/>
    <w:rsid w:val="001621C1"/>
    <w:rsid w:val="001624B4"/>
    <w:rsid w:val="0016272B"/>
    <w:rsid w:val="0016278A"/>
    <w:rsid w:val="001627D0"/>
    <w:rsid w:val="0016292D"/>
    <w:rsid w:val="00163276"/>
    <w:rsid w:val="00163283"/>
    <w:rsid w:val="001633E7"/>
    <w:rsid w:val="001634ED"/>
    <w:rsid w:val="0016376C"/>
    <w:rsid w:val="00163D12"/>
    <w:rsid w:val="00164988"/>
    <w:rsid w:val="00164C29"/>
    <w:rsid w:val="001656C0"/>
    <w:rsid w:val="001657E0"/>
    <w:rsid w:val="00165993"/>
    <w:rsid w:val="00165A76"/>
    <w:rsid w:val="00166036"/>
    <w:rsid w:val="001661EF"/>
    <w:rsid w:val="0016702C"/>
    <w:rsid w:val="001672C2"/>
    <w:rsid w:val="001672CA"/>
    <w:rsid w:val="00167866"/>
    <w:rsid w:val="00167C04"/>
    <w:rsid w:val="00167DC4"/>
    <w:rsid w:val="00167E03"/>
    <w:rsid w:val="00170B91"/>
    <w:rsid w:val="00170DB3"/>
    <w:rsid w:val="001711B1"/>
    <w:rsid w:val="0017130D"/>
    <w:rsid w:val="00171403"/>
    <w:rsid w:val="0017142A"/>
    <w:rsid w:val="0017148E"/>
    <w:rsid w:val="00171710"/>
    <w:rsid w:val="00171955"/>
    <w:rsid w:val="00171FCB"/>
    <w:rsid w:val="001729AD"/>
    <w:rsid w:val="00172DC6"/>
    <w:rsid w:val="00172DFF"/>
    <w:rsid w:val="00173215"/>
    <w:rsid w:val="00173669"/>
    <w:rsid w:val="001738BD"/>
    <w:rsid w:val="00173D5B"/>
    <w:rsid w:val="001748E0"/>
    <w:rsid w:val="001749B7"/>
    <w:rsid w:val="00174C04"/>
    <w:rsid w:val="00174E54"/>
    <w:rsid w:val="00175837"/>
    <w:rsid w:val="00176990"/>
    <w:rsid w:val="00176A13"/>
    <w:rsid w:val="00176AE3"/>
    <w:rsid w:val="00177217"/>
    <w:rsid w:val="001772B6"/>
    <w:rsid w:val="001774C5"/>
    <w:rsid w:val="00177819"/>
    <w:rsid w:val="00177B38"/>
    <w:rsid w:val="00177B42"/>
    <w:rsid w:val="00177BFB"/>
    <w:rsid w:val="00177CCD"/>
    <w:rsid w:val="0018002A"/>
    <w:rsid w:val="00180B5A"/>
    <w:rsid w:val="00180DE4"/>
    <w:rsid w:val="00180ED0"/>
    <w:rsid w:val="00181075"/>
    <w:rsid w:val="001811AE"/>
    <w:rsid w:val="00181415"/>
    <w:rsid w:val="00181425"/>
    <w:rsid w:val="001814CC"/>
    <w:rsid w:val="00181504"/>
    <w:rsid w:val="00181857"/>
    <w:rsid w:val="00181D4C"/>
    <w:rsid w:val="00181F12"/>
    <w:rsid w:val="001820C5"/>
    <w:rsid w:val="00182361"/>
    <w:rsid w:val="00182497"/>
    <w:rsid w:val="00182C9D"/>
    <w:rsid w:val="00182E3D"/>
    <w:rsid w:val="00182F39"/>
    <w:rsid w:val="0018342E"/>
    <w:rsid w:val="001837D9"/>
    <w:rsid w:val="00183B86"/>
    <w:rsid w:val="00183EC6"/>
    <w:rsid w:val="00184E1F"/>
    <w:rsid w:val="00184F76"/>
    <w:rsid w:val="00185ACC"/>
    <w:rsid w:val="00185C04"/>
    <w:rsid w:val="00185C2C"/>
    <w:rsid w:val="00186194"/>
    <w:rsid w:val="001861D8"/>
    <w:rsid w:val="00186283"/>
    <w:rsid w:val="001862CF"/>
    <w:rsid w:val="001862E8"/>
    <w:rsid w:val="00186394"/>
    <w:rsid w:val="001864E9"/>
    <w:rsid w:val="0018656B"/>
    <w:rsid w:val="0018697F"/>
    <w:rsid w:val="00186C85"/>
    <w:rsid w:val="00186CEB"/>
    <w:rsid w:val="00186FC4"/>
    <w:rsid w:val="001870B5"/>
    <w:rsid w:val="001871AF"/>
    <w:rsid w:val="00187DE9"/>
    <w:rsid w:val="0019051B"/>
    <w:rsid w:val="0019091C"/>
    <w:rsid w:val="001909F5"/>
    <w:rsid w:val="00190E4E"/>
    <w:rsid w:val="00191029"/>
    <w:rsid w:val="001915B2"/>
    <w:rsid w:val="001915E0"/>
    <w:rsid w:val="00191CCE"/>
    <w:rsid w:val="00191FBB"/>
    <w:rsid w:val="00192289"/>
    <w:rsid w:val="001924AA"/>
    <w:rsid w:val="001925A1"/>
    <w:rsid w:val="0019276E"/>
    <w:rsid w:val="001927AB"/>
    <w:rsid w:val="00192834"/>
    <w:rsid w:val="00192B54"/>
    <w:rsid w:val="00192F5C"/>
    <w:rsid w:val="0019329D"/>
    <w:rsid w:val="001933CA"/>
    <w:rsid w:val="00193839"/>
    <w:rsid w:val="0019387D"/>
    <w:rsid w:val="001938CF"/>
    <w:rsid w:val="00193CDA"/>
    <w:rsid w:val="00193DB5"/>
    <w:rsid w:val="00193DE1"/>
    <w:rsid w:val="00194219"/>
    <w:rsid w:val="0019438A"/>
    <w:rsid w:val="00194450"/>
    <w:rsid w:val="0019446A"/>
    <w:rsid w:val="00194C6E"/>
    <w:rsid w:val="00195075"/>
    <w:rsid w:val="00195201"/>
    <w:rsid w:val="001952D0"/>
    <w:rsid w:val="001963D7"/>
    <w:rsid w:val="001965F4"/>
    <w:rsid w:val="00196639"/>
    <w:rsid w:val="001966B6"/>
    <w:rsid w:val="0019685B"/>
    <w:rsid w:val="00196B2A"/>
    <w:rsid w:val="0019719E"/>
    <w:rsid w:val="001975FE"/>
    <w:rsid w:val="0019768C"/>
    <w:rsid w:val="001978A8"/>
    <w:rsid w:val="001979F1"/>
    <w:rsid w:val="00197CEE"/>
    <w:rsid w:val="00197EB1"/>
    <w:rsid w:val="001A01AF"/>
    <w:rsid w:val="001A029C"/>
    <w:rsid w:val="001A0763"/>
    <w:rsid w:val="001A07B5"/>
    <w:rsid w:val="001A07E3"/>
    <w:rsid w:val="001A082A"/>
    <w:rsid w:val="001A0AE4"/>
    <w:rsid w:val="001A0D8B"/>
    <w:rsid w:val="001A0F12"/>
    <w:rsid w:val="001A12AD"/>
    <w:rsid w:val="001A12E8"/>
    <w:rsid w:val="001A1868"/>
    <w:rsid w:val="001A1DB0"/>
    <w:rsid w:val="001A27CC"/>
    <w:rsid w:val="001A29DC"/>
    <w:rsid w:val="001A2A23"/>
    <w:rsid w:val="001A2C92"/>
    <w:rsid w:val="001A2CD2"/>
    <w:rsid w:val="001A3178"/>
    <w:rsid w:val="001A37AA"/>
    <w:rsid w:val="001A3919"/>
    <w:rsid w:val="001A3C58"/>
    <w:rsid w:val="001A3DE4"/>
    <w:rsid w:val="001A3F22"/>
    <w:rsid w:val="001A3FEA"/>
    <w:rsid w:val="001A4032"/>
    <w:rsid w:val="001A4038"/>
    <w:rsid w:val="001A411E"/>
    <w:rsid w:val="001A417F"/>
    <w:rsid w:val="001A444A"/>
    <w:rsid w:val="001A4929"/>
    <w:rsid w:val="001A4AF8"/>
    <w:rsid w:val="001A50B4"/>
    <w:rsid w:val="001A561D"/>
    <w:rsid w:val="001A5A49"/>
    <w:rsid w:val="001A63AE"/>
    <w:rsid w:val="001A6425"/>
    <w:rsid w:val="001A6FD2"/>
    <w:rsid w:val="001A70EA"/>
    <w:rsid w:val="001A78CB"/>
    <w:rsid w:val="001A7DCF"/>
    <w:rsid w:val="001B012E"/>
    <w:rsid w:val="001B0205"/>
    <w:rsid w:val="001B039F"/>
    <w:rsid w:val="001B0461"/>
    <w:rsid w:val="001B0771"/>
    <w:rsid w:val="001B07B5"/>
    <w:rsid w:val="001B09D6"/>
    <w:rsid w:val="001B0E5B"/>
    <w:rsid w:val="001B1CFB"/>
    <w:rsid w:val="001B1FA2"/>
    <w:rsid w:val="001B25CA"/>
    <w:rsid w:val="001B28E2"/>
    <w:rsid w:val="001B32BC"/>
    <w:rsid w:val="001B36B2"/>
    <w:rsid w:val="001B370D"/>
    <w:rsid w:val="001B38E8"/>
    <w:rsid w:val="001B3CCD"/>
    <w:rsid w:val="001B3FEC"/>
    <w:rsid w:val="001B4096"/>
    <w:rsid w:val="001B487A"/>
    <w:rsid w:val="001B48A8"/>
    <w:rsid w:val="001B49D7"/>
    <w:rsid w:val="001B4CCD"/>
    <w:rsid w:val="001B4CF4"/>
    <w:rsid w:val="001B4F9A"/>
    <w:rsid w:val="001B50BE"/>
    <w:rsid w:val="001B567F"/>
    <w:rsid w:val="001B58C8"/>
    <w:rsid w:val="001B5C15"/>
    <w:rsid w:val="001B5EF1"/>
    <w:rsid w:val="001B6084"/>
    <w:rsid w:val="001B63EB"/>
    <w:rsid w:val="001B65DE"/>
    <w:rsid w:val="001B676C"/>
    <w:rsid w:val="001B6780"/>
    <w:rsid w:val="001B6930"/>
    <w:rsid w:val="001B69F1"/>
    <w:rsid w:val="001B7132"/>
    <w:rsid w:val="001B7356"/>
    <w:rsid w:val="001B7482"/>
    <w:rsid w:val="001B74EB"/>
    <w:rsid w:val="001B7637"/>
    <w:rsid w:val="001B7686"/>
    <w:rsid w:val="001B769F"/>
    <w:rsid w:val="001B797E"/>
    <w:rsid w:val="001C0078"/>
    <w:rsid w:val="001C00BB"/>
    <w:rsid w:val="001C0362"/>
    <w:rsid w:val="001C04F4"/>
    <w:rsid w:val="001C07EE"/>
    <w:rsid w:val="001C0B01"/>
    <w:rsid w:val="001C0DA1"/>
    <w:rsid w:val="001C0FE1"/>
    <w:rsid w:val="001C169F"/>
    <w:rsid w:val="001C1A2D"/>
    <w:rsid w:val="001C1ECD"/>
    <w:rsid w:val="001C201C"/>
    <w:rsid w:val="001C21AB"/>
    <w:rsid w:val="001C2AB3"/>
    <w:rsid w:val="001C2AF5"/>
    <w:rsid w:val="001C2C31"/>
    <w:rsid w:val="001C2E4E"/>
    <w:rsid w:val="001C2F64"/>
    <w:rsid w:val="001C3274"/>
    <w:rsid w:val="001C3701"/>
    <w:rsid w:val="001C3735"/>
    <w:rsid w:val="001C42D5"/>
    <w:rsid w:val="001C44C4"/>
    <w:rsid w:val="001C4796"/>
    <w:rsid w:val="001C547F"/>
    <w:rsid w:val="001C57AF"/>
    <w:rsid w:val="001C58EB"/>
    <w:rsid w:val="001C594E"/>
    <w:rsid w:val="001C59CB"/>
    <w:rsid w:val="001C5AFF"/>
    <w:rsid w:val="001C5B4D"/>
    <w:rsid w:val="001C60DB"/>
    <w:rsid w:val="001C6133"/>
    <w:rsid w:val="001C615B"/>
    <w:rsid w:val="001C65D1"/>
    <w:rsid w:val="001C6696"/>
    <w:rsid w:val="001C6B1C"/>
    <w:rsid w:val="001C6F62"/>
    <w:rsid w:val="001C749A"/>
    <w:rsid w:val="001C7567"/>
    <w:rsid w:val="001C7BD2"/>
    <w:rsid w:val="001C7D6A"/>
    <w:rsid w:val="001C7FCF"/>
    <w:rsid w:val="001D04D8"/>
    <w:rsid w:val="001D0688"/>
    <w:rsid w:val="001D0887"/>
    <w:rsid w:val="001D0E9F"/>
    <w:rsid w:val="001D13FA"/>
    <w:rsid w:val="001D1457"/>
    <w:rsid w:val="001D1952"/>
    <w:rsid w:val="001D1C32"/>
    <w:rsid w:val="001D1D6A"/>
    <w:rsid w:val="001D2698"/>
    <w:rsid w:val="001D28BE"/>
    <w:rsid w:val="001D295A"/>
    <w:rsid w:val="001D2967"/>
    <w:rsid w:val="001D2B12"/>
    <w:rsid w:val="001D2C67"/>
    <w:rsid w:val="001D2D34"/>
    <w:rsid w:val="001D32BE"/>
    <w:rsid w:val="001D33CF"/>
    <w:rsid w:val="001D3430"/>
    <w:rsid w:val="001D3615"/>
    <w:rsid w:val="001D3771"/>
    <w:rsid w:val="001D3A16"/>
    <w:rsid w:val="001D3B7E"/>
    <w:rsid w:val="001D3FF1"/>
    <w:rsid w:val="001D4427"/>
    <w:rsid w:val="001D4943"/>
    <w:rsid w:val="001D4955"/>
    <w:rsid w:val="001D4A50"/>
    <w:rsid w:val="001D4E47"/>
    <w:rsid w:val="001D4E8A"/>
    <w:rsid w:val="001D5325"/>
    <w:rsid w:val="001D5A7B"/>
    <w:rsid w:val="001D5BBC"/>
    <w:rsid w:val="001D5C9F"/>
    <w:rsid w:val="001D5D13"/>
    <w:rsid w:val="001D5DBB"/>
    <w:rsid w:val="001D6215"/>
    <w:rsid w:val="001D6A8A"/>
    <w:rsid w:val="001D6F5C"/>
    <w:rsid w:val="001D7081"/>
    <w:rsid w:val="001D74D6"/>
    <w:rsid w:val="001D7C5D"/>
    <w:rsid w:val="001D7C64"/>
    <w:rsid w:val="001E033A"/>
    <w:rsid w:val="001E0352"/>
    <w:rsid w:val="001E0465"/>
    <w:rsid w:val="001E0507"/>
    <w:rsid w:val="001E0677"/>
    <w:rsid w:val="001E08FC"/>
    <w:rsid w:val="001E0AD3"/>
    <w:rsid w:val="001E0C50"/>
    <w:rsid w:val="001E0CFE"/>
    <w:rsid w:val="001E0FA7"/>
    <w:rsid w:val="001E0FDF"/>
    <w:rsid w:val="001E1179"/>
    <w:rsid w:val="001E1810"/>
    <w:rsid w:val="001E1DCB"/>
    <w:rsid w:val="001E1E5D"/>
    <w:rsid w:val="001E2581"/>
    <w:rsid w:val="001E25B3"/>
    <w:rsid w:val="001E263F"/>
    <w:rsid w:val="001E27C6"/>
    <w:rsid w:val="001E2AB6"/>
    <w:rsid w:val="001E2D71"/>
    <w:rsid w:val="001E3023"/>
    <w:rsid w:val="001E3169"/>
    <w:rsid w:val="001E3B63"/>
    <w:rsid w:val="001E3BA7"/>
    <w:rsid w:val="001E3E0B"/>
    <w:rsid w:val="001E40CE"/>
    <w:rsid w:val="001E43E0"/>
    <w:rsid w:val="001E45F3"/>
    <w:rsid w:val="001E49DD"/>
    <w:rsid w:val="001E4BFC"/>
    <w:rsid w:val="001E4C1D"/>
    <w:rsid w:val="001E5316"/>
    <w:rsid w:val="001E562F"/>
    <w:rsid w:val="001E573E"/>
    <w:rsid w:val="001E5939"/>
    <w:rsid w:val="001E59D2"/>
    <w:rsid w:val="001E5BA1"/>
    <w:rsid w:val="001E5EC3"/>
    <w:rsid w:val="001E6194"/>
    <w:rsid w:val="001E68C3"/>
    <w:rsid w:val="001E7399"/>
    <w:rsid w:val="001E777E"/>
    <w:rsid w:val="001E7B03"/>
    <w:rsid w:val="001E7B8F"/>
    <w:rsid w:val="001F00F2"/>
    <w:rsid w:val="001F063F"/>
    <w:rsid w:val="001F09E3"/>
    <w:rsid w:val="001F0CF0"/>
    <w:rsid w:val="001F1163"/>
    <w:rsid w:val="001F117B"/>
    <w:rsid w:val="001F15BE"/>
    <w:rsid w:val="001F16CA"/>
    <w:rsid w:val="001F18A7"/>
    <w:rsid w:val="001F1A9A"/>
    <w:rsid w:val="001F1D9A"/>
    <w:rsid w:val="001F1E39"/>
    <w:rsid w:val="001F202C"/>
    <w:rsid w:val="001F2644"/>
    <w:rsid w:val="001F29CE"/>
    <w:rsid w:val="001F2A8F"/>
    <w:rsid w:val="001F2E62"/>
    <w:rsid w:val="001F2F6C"/>
    <w:rsid w:val="001F33B6"/>
    <w:rsid w:val="001F361A"/>
    <w:rsid w:val="001F3E74"/>
    <w:rsid w:val="001F3F4F"/>
    <w:rsid w:val="001F4124"/>
    <w:rsid w:val="001F43EC"/>
    <w:rsid w:val="001F45BB"/>
    <w:rsid w:val="001F46BD"/>
    <w:rsid w:val="001F46FA"/>
    <w:rsid w:val="001F4BDD"/>
    <w:rsid w:val="001F5982"/>
    <w:rsid w:val="001F5B95"/>
    <w:rsid w:val="001F5BF8"/>
    <w:rsid w:val="001F612A"/>
    <w:rsid w:val="001F6587"/>
    <w:rsid w:val="001F65A7"/>
    <w:rsid w:val="001F69F6"/>
    <w:rsid w:val="001F6D3B"/>
    <w:rsid w:val="001F6D67"/>
    <w:rsid w:val="001F7489"/>
    <w:rsid w:val="001F77CC"/>
    <w:rsid w:val="001F7893"/>
    <w:rsid w:val="001F7A21"/>
    <w:rsid w:val="001F7C2B"/>
    <w:rsid w:val="002000D8"/>
    <w:rsid w:val="0020035A"/>
    <w:rsid w:val="002003F1"/>
    <w:rsid w:val="002005FC"/>
    <w:rsid w:val="0020099D"/>
    <w:rsid w:val="002009B5"/>
    <w:rsid w:val="00200ED6"/>
    <w:rsid w:val="0020131B"/>
    <w:rsid w:val="00201493"/>
    <w:rsid w:val="00201714"/>
    <w:rsid w:val="00201AC7"/>
    <w:rsid w:val="00202032"/>
    <w:rsid w:val="002020DD"/>
    <w:rsid w:val="00202447"/>
    <w:rsid w:val="00202920"/>
    <w:rsid w:val="002029DC"/>
    <w:rsid w:val="00202F6F"/>
    <w:rsid w:val="00203132"/>
    <w:rsid w:val="00203272"/>
    <w:rsid w:val="002032CD"/>
    <w:rsid w:val="00203413"/>
    <w:rsid w:val="00203429"/>
    <w:rsid w:val="002034F5"/>
    <w:rsid w:val="0020375C"/>
    <w:rsid w:val="00203959"/>
    <w:rsid w:val="002039B1"/>
    <w:rsid w:val="00203B84"/>
    <w:rsid w:val="00203BFD"/>
    <w:rsid w:val="00203CB8"/>
    <w:rsid w:val="00203D6C"/>
    <w:rsid w:val="00203F66"/>
    <w:rsid w:val="00203F96"/>
    <w:rsid w:val="0020420F"/>
    <w:rsid w:val="0020421B"/>
    <w:rsid w:val="00204560"/>
    <w:rsid w:val="002049B1"/>
    <w:rsid w:val="00204B19"/>
    <w:rsid w:val="00204D43"/>
    <w:rsid w:val="00204D63"/>
    <w:rsid w:val="00205175"/>
    <w:rsid w:val="002054E9"/>
    <w:rsid w:val="002056D8"/>
    <w:rsid w:val="002057A9"/>
    <w:rsid w:val="0020593E"/>
    <w:rsid w:val="0020597B"/>
    <w:rsid w:val="00205982"/>
    <w:rsid w:val="00205B0A"/>
    <w:rsid w:val="00205B4E"/>
    <w:rsid w:val="00205B56"/>
    <w:rsid w:val="00205EF5"/>
    <w:rsid w:val="002060D6"/>
    <w:rsid w:val="002062AD"/>
    <w:rsid w:val="00206473"/>
    <w:rsid w:val="0020654E"/>
    <w:rsid w:val="0020665F"/>
    <w:rsid w:val="00206E16"/>
    <w:rsid w:val="0020703E"/>
    <w:rsid w:val="002073A9"/>
    <w:rsid w:val="002073DE"/>
    <w:rsid w:val="002079B5"/>
    <w:rsid w:val="00207AC9"/>
    <w:rsid w:val="00207BED"/>
    <w:rsid w:val="00207D7D"/>
    <w:rsid w:val="00210118"/>
    <w:rsid w:val="00210142"/>
    <w:rsid w:val="00210267"/>
    <w:rsid w:val="002102D9"/>
    <w:rsid w:val="00210482"/>
    <w:rsid w:val="00210F6E"/>
    <w:rsid w:val="00211159"/>
    <w:rsid w:val="00211533"/>
    <w:rsid w:val="00211EAF"/>
    <w:rsid w:val="00212091"/>
    <w:rsid w:val="00212701"/>
    <w:rsid w:val="002127B0"/>
    <w:rsid w:val="0021287E"/>
    <w:rsid w:val="00212D03"/>
    <w:rsid w:val="00212E03"/>
    <w:rsid w:val="00212F04"/>
    <w:rsid w:val="00213B04"/>
    <w:rsid w:val="0021410E"/>
    <w:rsid w:val="002147EF"/>
    <w:rsid w:val="00214A87"/>
    <w:rsid w:val="00214BC0"/>
    <w:rsid w:val="00214CE2"/>
    <w:rsid w:val="00214DBC"/>
    <w:rsid w:val="00214F8B"/>
    <w:rsid w:val="0021531A"/>
    <w:rsid w:val="00215A28"/>
    <w:rsid w:val="00215BC9"/>
    <w:rsid w:val="00215C33"/>
    <w:rsid w:val="00215DD6"/>
    <w:rsid w:val="002162CF"/>
    <w:rsid w:val="00216361"/>
    <w:rsid w:val="002177AE"/>
    <w:rsid w:val="002177FE"/>
    <w:rsid w:val="00217877"/>
    <w:rsid w:val="0021799C"/>
    <w:rsid w:val="00217AD3"/>
    <w:rsid w:val="00217F01"/>
    <w:rsid w:val="00220153"/>
    <w:rsid w:val="0022084F"/>
    <w:rsid w:val="00220C10"/>
    <w:rsid w:val="00220D4E"/>
    <w:rsid w:val="00220E96"/>
    <w:rsid w:val="0022101B"/>
    <w:rsid w:val="002215E8"/>
    <w:rsid w:val="00221627"/>
    <w:rsid w:val="0022191A"/>
    <w:rsid w:val="00221C2D"/>
    <w:rsid w:val="00221C35"/>
    <w:rsid w:val="00221D36"/>
    <w:rsid w:val="00222AE9"/>
    <w:rsid w:val="00222F69"/>
    <w:rsid w:val="00223167"/>
    <w:rsid w:val="00223506"/>
    <w:rsid w:val="00223575"/>
    <w:rsid w:val="00223987"/>
    <w:rsid w:val="00224889"/>
    <w:rsid w:val="00224A86"/>
    <w:rsid w:val="00224A92"/>
    <w:rsid w:val="00224E8F"/>
    <w:rsid w:val="00225393"/>
    <w:rsid w:val="002255FF"/>
    <w:rsid w:val="00225757"/>
    <w:rsid w:val="0022579F"/>
    <w:rsid w:val="00225987"/>
    <w:rsid w:val="00225A92"/>
    <w:rsid w:val="00225B91"/>
    <w:rsid w:val="00225BB9"/>
    <w:rsid w:val="00226017"/>
    <w:rsid w:val="00226300"/>
    <w:rsid w:val="002264F0"/>
    <w:rsid w:val="002265E2"/>
    <w:rsid w:val="00226755"/>
    <w:rsid w:val="00226F71"/>
    <w:rsid w:val="00227057"/>
    <w:rsid w:val="002272E0"/>
    <w:rsid w:val="00227531"/>
    <w:rsid w:val="00227790"/>
    <w:rsid w:val="00227E40"/>
    <w:rsid w:val="00230674"/>
    <w:rsid w:val="0023094F"/>
    <w:rsid w:val="00230DAD"/>
    <w:rsid w:val="00231243"/>
    <w:rsid w:val="00231557"/>
    <w:rsid w:val="002319E1"/>
    <w:rsid w:val="00231BEA"/>
    <w:rsid w:val="0023210A"/>
    <w:rsid w:val="0023225B"/>
    <w:rsid w:val="002327AA"/>
    <w:rsid w:val="00232FB7"/>
    <w:rsid w:val="002331AB"/>
    <w:rsid w:val="00233224"/>
    <w:rsid w:val="002332DD"/>
    <w:rsid w:val="00233F8E"/>
    <w:rsid w:val="0023421B"/>
    <w:rsid w:val="002345B6"/>
    <w:rsid w:val="0023462F"/>
    <w:rsid w:val="00234756"/>
    <w:rsid w:val="002347C7"/>
    <w:rsid w:val="0023481C"/>
    <w:rsid w:val="00235023"/>
    <w:rsid w:val="00235216"/>
    <w:rsid w:val="0023594B"/>
    <w:rsid w:val="0023624E"/>
    <w:rsid w:val="00236330"/>
    <w:rsid w:val="00236351"/>
    <w:rsid w:val="00236424"/>
    <w:rsid w:val="002368E6"/>
    <w:rsid w:val="00236C06"/>
    <w:rsid w:val="00237538"/>
    <w:rsid w:val="002377E4"/>
    <w:rsid w:val="00237A30"/>
    <w:rsid w:val="00237C0D"/>
    <w:rsid w:val="00237C99"/>
    <w:rsid w:val="00237D09"/>
    <w:rsid w:val="00237ECF"/>
    <w:rsid w:val="00240105"/>
    <w:rsid w:val="002402E2"/>
    <w:rsid w:val="002406C8"/>
    <w:rsid w:val="00240780"/>
    <w:rsid w:val="00240875"/>
    <w:rsid w:val="00240AD1"/>
    <w:rsid w:val="00240BC4"/>
    <w:rsid w:val="00240C1E"/>
    <w:rsid w:val="00240EEC"/>
    <w:rsid w:val="0024122A"/>
    <w:rsid w:val="00241243"/>
    <w:rsid w:val="00241597"/>
    <w:rsid w:val="00241863"/>
    <w:rsid w:val="00241966"/>
    <w:rsid w:val="00241F1B"/>
    <w:rsid w:val="00241FA6"/>
    <w:rsid w:val="00242295"/>
    <w:rsid w:val="002432C1"/>
    <w:rsid w:val="002436CD"/>
    <w:rsid w:val="00243793"/>
    <w:rsid w:val="00243B31"/>
    <w:rsid w:val="00243C2F"/>
    <w:rsid w:val="002444FC"/>
    <w:rsid w:val="002446B7"/>
    <w:rsid w:val="00244722"/>
    <w:rsid w:val="00244DEA"/>
    <w:rsid w:val="00244E9C"/>
    <w:rsid w:val="00244F29"/>
    <w:rsid w:val="002452A0"/>
    <w:rsid w:val="00245306"/>
    <w:rsid w:val="0024545F"/>
    <w:rsid w:val="0024588F"/>
    <w:rsid w:val="0024639C"/>
    <w:rsid w:val="00246446"/>
    <w:rsid w:val="002464CA"/>
    <w:rsid w:val="0024670D"/>
    <w:rsid w:val="00246721"/>
    <w:rsid w:val="002468E3"/>
    <w:rsid w:val="00247024"/>
    <w:rsid w:val="00247147"/>
    <w:rsid w:val="002471D2"/>
    <w:rsid w:val="00247334"/>
    <w:rsid w:val="00247495"/>
    <w:rsid w:val="002474B4"/>
    <w:rsid w:val="002476B7"/>
    <w:rsid w:val="00247D9B"/>
    <w:rsid w:val="00250071"/>
    <w:rsid w:val="002501EA"/>
    <w:rsid w:val="002501FA"/>
    <w:rsid w:val="00250ADC"/>
    <w:rsid w:val="00250BAE"/>
    <w:rsid w:val="00250F33"/>
    <w:rsid w:val="002513CC"/>
    <w:rsid w:val="002518B8"/>
    <w:rsid w:val="002519AF"/>
    <w:rsid w:val="00251C6B"/>
    <w:rsid w:val="002523CD"/>
    <w:rsid w:val="0025268B"/>
    <w:rsid w:val="002526F2"/>
    <w:rsid w:val="00252A79"/>
    <w:rsid w:val="00252E1B"/>
    <w:rsid w:val="00252FDB"/>
    <w:rsid w:val="00253110"/>
    <w:rsid w:val="00253380"/>
    <w:rsid w:val="00253417"/>
    <w:rsid w:val="0025390F"/>
    <w:rsid w:val="00253DD9"/>
    <w:rsid w:val="0025403E"/>
    <w:rsid w:val="002541DB"/>
    <w:rsid w:val="00254596"/>
    <w:rsid w:val="0025468C"/>
    <w:rsid w:val="002546AB"/>
    <w:rsid w:val="00254A5F"/>
    <w:rsid w:val="00254B65"/>
    <w:rsid w:val="00254BBB"/>
    <w:rsid w:val="00254BFF"/>
    <w:rsid w:val="00254C67"/>
    <w:rsid w:val="00254D07"/>
    <w:rsid w:val="00254DE8"/>
    <w:rsid w:val="0025525B"/>
    <w:rsid w:val="0025569A"/>
    <w:rsid w:val="00255BC3"/>
    <w:rsid w:val="00255BE3"/>
    <w:rsid w:val="002560C4"/>
    <w:rsid w:val="002561DE"/>
    <w:rsid w:val="002561EE"/>
    <w:rsid w:val="00256476"/>
    <w:rsid w:val="002566AE"/>
    <w:rsid w:val="00256947"/>
    <w:rsid w:val="00256A86"/>
    <w:rsid w:val="00256BCB"/>
    <w:rsid w:val="00256EDD"/>
    <w:rsid w:val="002574DD"/>
    <w:rsid w:val="00257C25"/>
    <w:rsid w:val="00257F1A"/>
    <w:rsid w:val="00257FD8"/>
    <w:rsid w:val="00257FED"/>
    <w:rsid w:val="00260015"/>
    <w:rsid w:val="002604F8"/>
    <w:rsid w:val="00260542"/>
    <w:rsid w:val="002606F5"/>
    <w:rsid w:val="00260A1E"/>
    <w:rsid w:val="00260A79"/>
    <w:rsid w:val="00260B7F"/>
    <w:rsid w:val="00260F09"/>
    <w:rsid w:val="0026103C"/>
    <w:rsid w:val="0026107F"/>
    <w:rsid w:val="00261565"/>
    <w:rsid w:val="00261A99"/>
    <w:rsid w:val="002623AA"/>
    <w:rsid w:val="002628E8"/>
    <w:rsid w:val="00262C21"/>
    <w:rsid w:val="00262FD5"/>
    <w:rsid w:val="002631DB"/>
    <w:rsid w:val="00263CE3"/>
    <w:rsid w:val="00263D43"/>
    <w:rsid w:val="00263DC4"/>
    <w:rsid w:val="00263DCB"/>
    <w:rsid w:val="0026437F"/>
    <w:rsid w:val="00264474"/>
    <w:rsid w:val="002646B0"/>
    <w:rsid w:val="00264A86"/>
    <w:rsid w:val="00264BBC"/>
    <w:rsid w:val="00264D25"/>
    <w:rsid w:val="00264DF6"/>
    <w:rsid w:val="00264E7A"/>
    <w:rsid w:val="0026520F"/>
    <w:rsid w:val="002653BC"/>
    <w:rsid w:val="00265461"/>
    <w:rsid w:val="0026550C"/>
    <w:rsid w:val="00265EE7"/>
    <w:rsid w:val="002661D0"/>
    <w:rsid w:val="0026643D"/>
    <w:rsid w:val="002664DC"/>
    <w:rsid w:val="00266840"/>
    <w:rsid w:val="00266AC1"/>
    <w:rsid w:val="00266AFA"/>
    <w:rsid w:val="00266BF6"/>
    <w:rsid w:val="00266CFB"/>
    <w:rsid w:val="00266EE8"/>
    <w:rsid w:val="00267413"/>
    <w:rsid w:val="00267581"/>
    <w:rsid w:val="00267713"/>
    <w:rsid w:val="0026788B"/>
    <w:rsid w:val="00267948"/>
    <w:rsid w:val="00267985"/>
    <w:rsid w:val="00267FEB"/>
    <w:rsid w:val="0027013E"/>
    <w:rsid w:val="00270188"/>
    <w:rsid w:val="00270308"/>
    <w:rsid w:val="00270764"/>
    <w:rsid w:val="002708FC"/>
    <w:rsid w:val="0027095F"/>
    <w:rsid w:val="00270BDD"/>
    <w:rsid w:val="00270C22"/>
    <w:rsid w:val="00271176"/>
    <w:rsid w:val="002711B7"/>
    <w:rsid w:val="002714B8"/>
    <w:rsid w:val="00271584"/>
    <w:rsid w:val="002716AC"/>
    <w:rsid w:val="00271899"/>
    <w:rsid w:val="002719E4"/>
    <w:rsid w:val="00271ADF"/>
    <w:rsid w:val="002720DD"/>
    <w:rsid w:val="002723A4"/>
    <w:rsid w:val="002728C8"/>
    <w:rsid w:val="002736F5"/>
    <w:rsid w:val="00273798"/>
    <w:rsid w:val="00273D0C"/>
    <w:rsid w:val="00274545"/>
    <w:rsid w:val="00274564"/>
    <w:rsid w:val="0027461E"/>
    <w:rsid w:val="00274696"/>
    <w:rsid w:val="00274757"/>
    <w:rsid w:val="00274BB0"/>
    <w:rsid w:val="00275456"/>
    <w:rsid w:val="00275CC0"/>
    <w:rsid w:val="00275D0C"/>
    <w:rsid w:val="002764CB"/>
    <w:rsid w:val="0027658B"/>
    <w:rsid w:val="00276785"/>
    <w:rsid w:val="00276944"/>
    <w:rsid w:val="00276945"/>
    <w:rsid w:val="00276ABC"/>
    <w:rsid w:val="00276DC5"/>
    <w:rsid w:val="00276EBB"/>
    <w:rsid w:val="002775E8"/>
    <w:rsid w:val="002775FB"/>
    <w:rsid w:val="00277729"/>
    <w:rsid w:val="002779F6"/>
    <w:rsid w:val="00277DE3"/>
    <w:rsid w:val="00280113"/>
    <w:rsid w:val="0028045D"/>
    <w:rsid w:val="00280C58"/>
    <w:rsid w:val="00280E63"/>
    <w:rsid w:val="00281155"/>
    <w:rsid w:val="002811FB"/>
    <w:rsid w:val="002816BB"/>
    <w:rsid w:val="00281DD3"/>
    <w:rsid w:val="00281E7A"/>
    <w:rsid w:val="00281EE0"/>
    <w:rsid w:val="00281F55"/>
    <w:rsid w:val="0028211C"/>
    <w:rsid w:val="002821A7"/>
    <w:rsid w:val="00282431"/>
    <w:rsid w:val="0028252E"/>
    <w:rsid w:val="002826A3"/>
    <w:rsid w:val="00282750"/>
    <w:rsid w:val="00282839"/>
    <w:rsid w:val="00282904"/>
    <w:rsid w:val="00282D34"/>
    <w:rsid w:val="0028310C"/>
    <w:rsid w:val="0028341D"/>
    <w:rsid w:val="002834B1"/>
    <w:rsid w:val="00283681"/>
    <w:rsid w:val="002837EC"/>
    <w:rsid w:val="002838C6"/>
    <w:rsid w:val="00283AF8"/>
    <w:rsid w:val="00283CF5"/>
    <w:rsid w:val="002841A8"/>
    <w:rsid w:val="0028459C"/>
    <w:rsid w:val="002847C2"/>
    <w:rsid w:val="00284859"/>
    <w:rsid w:val="00284869"/>
    <w:rsid w:val="00284907"/>
    <w:rsid w:val="00284F92"/>
    <w:rsid w:val="00285022"/>
    <w:rsid w:val="00285228"/>
    <w:rsid w:val="002852E6"/>
    <w:rsid w:val="002855C3"/>
    <w:rsid w:val="002856DB"/>
    <w:rsid w:val="002859BF"/>
    <w:rsid w:val="00285DAE"/>
    <w:rsid w:val="00285F30"/>
    <w:rsid w:val="002863D5"/>
    <w:rsid w:val="0028670F"/>
    <w:rsid w:val="00286CBD"/>
    <w:rsid w:val="00286CF6"/>
    <w:rsid w:val="00286D93"/>
    <w:rsid w:val="00286F60"/>
    <w:rsid w:val="0028738F"/>
    <w:rsid w:val="0028740D"/>
    <w:rsid w:val="00287450"/>
    <w:rsid w:val="00287B16"/>
    <w:rsid w:val="00287E82"/>
    <w:rsid w:val="00290CA2"/>
    <w:rsid w:val="00291116"/>
    <w:rsid w:val="002913D1"/>
    <w:rsid w:val="002913D4"/>
    <w:rsid w:val="002913DF"/>
    <w:rsid w:val="00291458"/>
    <w:rsid w:val="00291788"/>
    <w:rsid w:val="00291809"/>
    <w:rsid w:val="00292046"/>
    <w:rsid w:val="002923D5"/>
    <w:rsid w:val="002932FC"/>
    <w:rsid w:val="00293467"/>
    <w:rsid w:val="00293572"/>
    <w:rsid w:val="002936CF"/>
    <w:rsid w:val="00293C78"/>
    <w:rsid w:val="0029443F"/>
    <w:rsid w:val="002945B5"/>
    <w:rsid w:val="00294687"/>
    <w:rsid w:val="002947F6"/>
    <w:rsid w:val="00294B4D"/>
    <w:rsid w:val="00294E16"/>
    <w:rsid w:val="002950D9"/>
    <w:rsid w:val="002953BA"/>
    <w:rsid w:val="0029564A"/>
    <w:rsid w:val="0029582A"/>
    <w:rsid w:val="002958D3"/>
    <w:rsid w:val="0029593E"/>
    <w:rsid w:val="002959EC"/>
    <w:rsid w:val="00295A3C"/>
    <w:rsid w:val="00295D14"/>
    <w:rsid w:val="00295F60"/>
    <w:rsid w:val="00296355"/>
    <w:rsid w:val="00296580"/>
    <w:rsid w:val="00296DFB"/>
    <w:rsid w:val="00296EDC"/>
    <w:rsid w:val="00297018"/>
    <w:rsid w:val="00297150"/>
    <w:rsid w:val="002976E7"/>
    <w:rsid w:val="0029793D"/>
    <w:rsid w:val="002A0064"/>
    <w:rsid w:val="002A0254"/>
    <w:rsid w:val="002A04B8"/>
    <w:rsid w:val="002A12CD"/>
    <w:rsid w:val="002A13BB"/>
    <w:rsid w:val="002A14C5"/>
    <w:rsid w:val="002A1599"/>
    <w:rsid w:val="002A15DE"/>
    <w:rsid w:val="002A1B29"/>
    <w:rsid w:val="002A1CAA"/>
    <w:rsid w:val="002A1FB1"/>
    <w:rsid w:val="002A2191"/>
    <w:rsid w:val="002A255B"/>
    <w:rsid w:val="002A260B"/>
    <w:rsid w:val="002A26BE"/>
    <w:rsid w:val="002A2A81"/>
    <w:rsid w:val="002A2BC7"/>
    <w:rsid w:val="002A3543"/>
    <w:rsid w:val="002A3575"/>
    <w:rsid w:val="002A3686"/>
    <w:rsid w:val="002A3813"/>
    <w:rsid w:val="002A3BD4"/>
    <w:rsid w:val="002A3DCC"/>
    <w:rsid w:val="002A3E40"/>
    <w:rsid w:val="002A4606"/>
    <w:rsid w:val="002A500D"/>
    <w:rsid w:val="002A501B"/>
    <w:rsid w:val="002A54FC"/>
    <w:rsid w:val="002A55F3"/>
    <w:rsid w:val="002A569C"/>
    <w:rsid w:val="002A57F8"/>
    <w:rsid w:val="002A5979"/>
    <w:rsid w:val="002A5BAB"/>
    <w:rsid w:val="002A5D8B"/>
    <w:rsid w:val="002A62FA"/>
    <w:rsid w:val="002A63FD"/>
    <w:rsid w:val="002A6748"/>
    <w:rsid w:val="002A68DF"/>
    <w:rsid w:val="002A6B10"/>
    <w:rsid w:val="002A6D99"/>
    <w:rsid w:val="002A6E91"/>
    <w:rsid w:val="002A71AB"/>
    <w:rsid w:val="002A7221"/>
    <w:rsid w:val="002A7641"/>
    <w:rsid w:val="002A7651"/>
    <w:rsid w:val="002A77B2"/>
    <w:rsid w:val="002A782E"/>
    <w:rsid w:val="002A7B4F"/>
    <w:rsid w:val="002A7B9F"/>
    <w:rsid w:val="002A7FB5"/>
    <w:rsid w:val="002B015A"/>
    <w:rsid w:val="002B0667"/>
    <w:rsid w:val="002B06D6"/>
    <w:rsid w:val="002B06DF"/>
    <w:rsid w:val="002B074F"/>
    <w:rsid w:val="002B0863"/>
    <w:rsid w:val="002B0928"/>
    <w:rsid w:val="002B095F"/>
    <w:rsid w:val="002B0BBF"/>
    <w:rsid w:val="002B0C1E"/>
    <w:rsid w:val="002B0F05"/>
    <w:rsid w:val="002B1164"/>
    <w:rsid w:val="002B15AF"/>
    <w:rsid w:val="002B1862"/>
    <w:rsid w:val="002B186B"/>
    <w:rsid w:val="002B1EEA"/>
    <w:rsid w:val="002B1F03"/>
    <w:rsid w:val="002B1F65"/>
    <w:rsid w:val="002B1F9B"/>
    <w:rsid w:val="002B259D"/>
    <w:rsid w:val="002B26B3"/>
    <w:rsid w:val="002B283F"/>
    <w:rsid w:val="002B29B1"/>
    <w:rsid w:val="002B2E4D"/>
    <w:rsid w:val="002B3204"/>
    <w:rsid w:val="002B32D6"/>
    <w:rsid w:val="002B3868"/>
    <w:rsid w:val="002B3955"/>
    <w:rsid w:val="002B39F4"/>
    <w:rsid w:val="002B40CC"/>
    <w:rsid w:val="002B4109"/>
    <w:rsid w:val="002B41DF"/>
    <w:rsid w:val="002B48E3"/>
    <w:rsid w:val="002B4DA2"/>
    <w:rsid w:val="002B4E15"/>
    <w:rsid w:val="002B4EF7"/>
    <w:rsid w:val="002B54DC"/>
    <w:rsid w:val="002B550B"/>
    <w:rsid w:val="002B5F8A"/>
    <w:rsid w:val="002B66A8"/>
    <w:rsid w:val="002B677D"/>
    <w:rsid w:val="002B69F4"/>
    <w:rsid w:val="002B6F50"/>
    <w:rsid w:val="002B71C8"/>
    <w:rsid w:val="002B7308"/>
    <w:rsid w:val="002B748E"/>
    <w:rsid w:val="002B7AF6"/>
    <w:rsid w:val="002B7C38"/>
    <w:rsid w:val="002C0007"/>
    <w:rsid w:val="002C02C6"/>
    <w:rsid w:val="002C1250"/>
    <w:rsid w:val="002C1323"/>
    <w:rsid w:val="002C147B"/>
    <w:rsid w:val="002C14F0"/>
    <w:rsid w:val="002C1938"/>
    <w:rsid w:val="002C19A1"/>
    <w:rsid w:val="002C2078"/>
    <w:rsid w:val="002C2474"/>
    <w:rsid w:val="002C249C"/>
    <w:rsid w:val="002C2796"/>
    <w:rsid w:val="002C299B"/>
    <w:rsid w:val="002C29B7"/>
    <w:rsid w:val="002C2C11"/>
    <w:rsid w:val="002C31DE"/>
    <w:rsid w:val="002C323E"/>
    <w:rsid w:val="002C33B2"/>
    <w:rsid w:val="002C34E8"/>
    <w:rsid w:val="002C350E"/>
    <w:rsid w:val="002C351F"/>
    <w:rsid w:val="002C364D"/>
    <w:rsid w:val="002C3728"/>
    <w:rsid w:val="002C374F"/>
    <w:rsid w:val="002C376C"/>
    <w:rsid w:val="002C376F"/>
    <w:rsid w:val="002C38D8"/>
    <w:rsid w:val="002C3D48"/>
    <w:rsid w:val="002C3E65"/>
    <w:rsid w:val="002C428A"/>
    <w:rsid w:val="002C433D"/>
    <w:rsid w:val="002C44C0"/>
    <w:rsid w:val="002C4779"/>
    <w:rsid w:val="002C4C58"/>
    <w:rsid w:val="002C4D9A"/>
    <w:rsid w:val="002C4DA4"/>
    <w:rsid w:val="002C4E05"/>
    <w:rsid w:val="002C4F78"/>
    <w:rsid w:val="002C5097"/>
    <w:rsid w:val="002C56A0"/>
    <w:rsid w:val="002C5958"/>
    <w:rsid w:val="002C5F91"/>
    <w:rsid w:val="002C5FAF"/>
    <w:rsid w:val="002C634B"/>
    <w:rsid w:val="002C6374"/>
    <w:rsid w:val="002C78BC"/>
    <w:rsid w:val="002C7AB2"/>
    <w:rsid w:val="002C7C03"/>
    <w:rsid w:val="002C7C08"/>
    <w:rsid w:val="002C7D85"/>
    <w:rsid w:val="002C7DC7"/>
    <w:rsid w:val="002C7E7B"/>
    <w:rsid w:val="002D0441"/>
    <w:rsid w:val="002D04B1"/>
    <w:rsid w:val="002D0C38"/>
    <w:rsid w:val="002D0F6C"/>
    <w:rsid w:val="002D0FA9"/>
    <w:rsid w:val="002D122B"/>
    <w:rsid w:val="002D16D6"/>
    <w:rsid w:val="002D188D"/>
    <w:rsid w:val="002D1C25"/>
    <w:rsid w:val="002D251B"/>
    <w:rsid w:val="002D2AF5"/>
    <w:rsid w:val="002D2D7D"/>
    <w:rsid w:val="002D2E1D"/>
    <w:rsid w:val="002D3319"/>
    <w:rsid w:val="002D33A5"/>
    <w:rsid w:val="002D3416"/>
    <w:rsid w:val="002D35C0"/>
    <w:rsid w:val="002D3DF6"/>
    <w:rsid w:val="002D400F"/>
    <w:rsid w:val="002D404E"/>
    <w:rsid w:val="002D405A"/>
    <w:rsid w:val="002D42F0"/>
    <w:rsid w:val="002D4638"/>
    <w:rsid w:val="002D4727"/>
    <w:rsid w:val="002D4A43"/>
    <w:rsid w:val="002D5047"/>
    <w:rsid w:val="002D52B7"/>
    <w:rsid w:val="002D6532"/>
    <w:rsid w:val="002D66E5"/>
    <w:rsid w:val="002D7035"/>
    <w:rsid w:val="002D73F2"/>
    <w:rsid w:val="002D765D"/>
    <w:rsid w:val="002D7ED8"/>
    <w:rsid w:val="002E002C"/>
    <w:rsid w:val="002E016E"/>
    <w:rsid w:val="002E0933"/>
    <w:rsid w:val="002E093D"/>
    <w:rsid w:val="002E0985"/>
    <w:rsid w:val="002E0A82"/>
    <w:rsid w:val="002E0DBC"/>
    <w:rsid w:val="002E0E4F"/>
    <w:rsid w:val="002E1116"/>
    <w:rsid w:val="002E178A"/>
    <w:rsid w:val="002E187F"/>
    <w:rsid w:val="002E18A4"/>
    <w:rsid w:val="002E1B07"/>
    <w:rsid w:val="002E1BA1"/>
    <w:rsid w:val="002E1CBB"/>
    <w:rsid w:val="002E2583"/>
    <w:rsid w:val="002E258E"/>
    <w:rsid w:val="002E29E9"/>
    <w:rsid w:val="002E2BEF"/>
    <w:rsid w:val="002E2C63"/>
    <w:rsid w:val="002E2DCA"/>
    <w:rsid w:val="002E3A7C"/>
    <w:rsid w:val="002E3B20"/>
    <w:rsid w:val="002E3DB2"/>
    <w:rsid w:val="002E3E1A"/>
    <w:rsid w:val="002E3EA6"/>
    <w:rsid w:val="002E4388"/>
    <w:rsid w:val="002E451B"/>
    <w:rsid w:val="002E481C"/>
    <w:rsid w:val="002E4930"/>
    <w:rsid w:val="002E4C58"/>
    <w:rsid w:val="002E5576"/>
    <w:rsid w:val="002E5B11"/>
    <w:rsid w:val="002E5BFC"/>
    <w:rsid w:val="002E6211"/>
    <w:rsid w:val="002E6834"/>
    <w:rsid w:val="002E6837"/>
    <w:rsid w:val="002E6F78"/>
    <w:rsid w:val="002E755A"/>
    <w:rsid w:val="002E76CD"/>
    <w:rsid w:val="002E7869"/>
    <w:rsid w:val="002E7D44"/>
    <w:rsid w:val="002E7E6A"/>
    <w:rsid w:val="002F00C7"/>
    <w:rsid w:val="002F023F"/>
    <w:rsid w:val="002F0CA5"/>
    <w:rsid w:val="002F121C"/>
    <w:rsid w:val="002F1A9F"/>
    <w:rsid w:val="002F2542"/>
    <w:rsid w:val="002F26E4"/>
    <w:rsid w:val="002F2D1C"/>
    <w:rsid w:val="002F30ED"/>
    <w:rsid w:val="002F334E"/>
    <w:rsid w:val="002F352C"/>
    <w:rsid w:val="002F366E"/>
    <w:rsid w:val="002F36D0"/>
    <w:rsid w:val="002F3784"/>
    <w:rsid w:val="002F3EA9"/>
    <w:rsid w:val="002F3F7D"/>
    <w:rsid w:val="002F3FEF"/>
    <w:rsid w:val="002F48AB"/>
    <w:rsid w:val="002F48F5"/>
    <w:rsid w:val="002F4A6B"/>
    <w:rsid w:val="002F4AE5"/>
    <w:rsid w:val="002F4CE8"/>
    <w:rsid w:val="002F4F0F"/>
    <w:rsid w:val="002F5182"/>
    <w:rsid w:val="002F53C5"/>
    <w:rsid w:val="002F5913"/>
    <w:rsid w:val="002F596A"/>
    <w:rsid w:val="002F5B2C"/>
    <w:rsid w:val="002F5D2C"/>
    <w:rsid w:val="002F5FD6"/>
    <w:rsid w:val="002F615A"/>
    <w:rsid w:val="002F6D29"/>
    <w:rsid w:val="002F6F61"/>
    <w:rsid w:val="002F705F"/>
    <w:rsid w:val="002F7356"/>
    <w:rsid w:val="002F7530"/>
    <w:rsid w:val="002F779A"/>
    <w:rsid w:val="002F7C9F"/>
    <w:rsid w:val="002F7CB1"/>
    <w:rsid w:val="003001BA"/>
    <w:rsid w:val="00300572"/>
    <w:rsid w:val="00300745"/>
    <w:rsid w:val="00300948"/>
    <w:rsid w:val="003013F4"/>
    <w:rsid w:val="003013FF"/>
    <w:rsid w:val="003014D2"/>
    <w:rsid w:val="00301DD7"/>
    <w:rsid w:val="00302391"/>
    <w:rsid w:val="00302528"/>
    <w:rsid w:val="00302841"/>
    <w:rsid w:val="00302B09"/>
    <w:rsid w:val="00302E98"/>
    <w:rsid w:val="00303041"/>
    <w:rsid w:val="00303289"/>
    <w:rsid w:val="003034CB"/>
    <w:rsid w:val="003035E3"/>
    <w:rsid w:val="0030380A"/>
    <w:rsid w:val="00303955"/>
    <w:rsid w:val="003049FA"/>
    <w:rsid w:val="00304A54"/>
    <w:rsid w:val="00304C45"/>
    <w:rsid w:val="00304CB6"/>
    <w:rsid w:val="00304E81"/>
    <w:rsid w:val="003050B5"/>
    <w:rsid w:val="003051D8"/>
    <w:rsid w:val="00305432"/>
    <w:rsid w:val="00305453"/>
    <w:rsid w:val="0030571E"/>
    <w:rsid w:val="0030588A"/>
    <w:rsid w:val="00306AF4"/>
    <w:rsid w:val="00306E08"/>
    <w:rsid w:val="00307349"/>
    <w:rsid w:val="00307360"/>
    <w:rsid w:val="003074EA"/>
    <w:rsid w:val="00307EF9"/>
    <w:rsid w:val="00310612"/>
    <w:rsid w:val="003106C3"/>
    <w:rsid w:val="00310A61"/>
    <w:rsid w:val="00310C77"/>
    <w:rsid w:val="00311300"/>
    <w:rsid w:val="003113D7"/>
    <w:rsid w:val="00311680"/>
    <w:rsid w:val="0031168B"/>
    <w:rsid w:val="003117F6"/>
    <w:rsid w:val="00311842"/>
    <w:rsid w:val="00311F8B"/>
    <w:rsid w:val="00312704"/>
    <w:rsid w:val="00312711"/>
    <w:rsid w:val="0031282C"/>
    <w:rsid w:val="00312948"/>
    <w:rsid w:val="00312F96"/>
    <w:rsid w:val="00313242"/>
    <w:rsid w:val="0031335F"/>
    <w:rsid w:val="00313867"/>
    <w:rsid w:val="00313B0E"/>
    <w:rsid w:val="00313B90"/>
    <w:rsid w:val="00313C14"/>
    <w:rsid w:val="00313C34"/>
    <w:rsid w:val="00313CF0"/>
    <w:rsid w:val="003140D7"/>
    <w:rsid w:val="0031414C"/>
    <w:rsid w:val="0031423A"/>
    <w:rsid w:val="00314773"/>
    <w:rsid w:val="00314B1C"/>
    <w:rsid w:val="00314D2A"/>
    <w:rsid w:val="00314E8E"/>
    <w:rsid w:val="0031517D"/>
    <w:rsid w:val="003152E2"/>
    <w:rsid w:val="003156C6"/>
    <w:rsid w:val="003159C5"/>
    <w:rsid w:val="003159CA"/>
    <w:rsid w:val="00315BC3"/>
    <w:rsid w:val="00315BDB"/>
    <w:rsid w:val="00316052"/>
    <w:rsid w:val="003162A4"/>
    <w:rsid w:val="00316550"/>
    <w:rsid w:val="003165CE"/>
    <w:rsid w:val="0031665B"/>
    <w:rsid w:val="00316B26"/>
    <w:rsid w:val="00316EC1"/>
    <w:rsid w:val="00317338"/>
    <w:rsid w:val="003174D4"/>
    <w:rsid w:val="00317609"/>
    <w:rsid w:val="0031773E"/>
    <w:rsid w:val="00317BBC"/>
    <w:rsid w:val="00317F58"/>
    <w:rsid w:val="003202B6"/>
    <w:rsid w:val="003207A7"/>
    <w:rsid w:val="00320A3C"/>
    <w:rsid w:val="00320A6E"/>
    <w:rsid w:val="00320B39"/>
    <w:rsid w:val="00321300"/>
    <w:rsid w:val="003213CD"/>
    <w:rsid w:val="00321467"/>
    <w:rsid w:val="00321C5B"/>
    <w:rsid w:val="00321C80"/>
    <w:rsid w:val="00322222"/>
    <w:rsid w:val="003223A4"/>
    <w:rsid w:val="00322816"/>
    <w:rsid w:val="0032314E"/>
    <w:rsid w:val="003232DB"/>
    <w:rsid w:val="00323589"/>
    <w:rsid w:val="0032394C"/>
    <w:rsid w:val="0032395D"/>
    <w:rsid w:val="00323DAA"/>
    <w:rsid w:val="003240C1"/>
    <w:rsid w:val="0032428E"/>
    <w:rsid w:val="003243E4"/>
    <w:rsid w:val="00324A54"/>
    <w:rsid w:val="00324FBF"/>
    <w:rsid w:val="0032557A"/>
    <w:rsid w:val="00325C36"/>
    <w:rsid w:val="0032609C"/>
    <w:rsid w:val="00326547"/>
    <w:rsid w:val="003269F4"/>
    <w:rsid w:val="00326A69"/>
    <w:rsid w:val="00327092"/>
    <w:rsid w:val="00327220"/>
    <w:rsid w:val="00327745"/>
    <w:rsid w:val="003278DE"/>
    <w:rsid w:val="00327CAA"/>
    <w:rsid w:val="00327EEE"/>
    <w:rsid w:val="0033008D"/>
    <w:rsid w:val="003301B6"/>
    <w:rsid w:val="003307AC"/>
    <w:rsid w:val="0033083A"/>
    <w:rsid w:val="0033090C"/>
    <w:rsid w:val="00331403"/>
    <w:rsid w:val="0033163F"/>
    <w:rsid w:val="00331763"/>
    <w:rsid w:val="00331831"/>
    <w:rsid w:val="003318AB"/>
    <w:rsid w:val="00331C80"/>
    <w:rsid w:val="00331ED7"/>
    <w:rsid w:val="0033213D"/>
    <w:rsid w:val="00332437"/>
    <w:rsid w:val="003324F4"/>
    <w:rsid w:val="00332674"/>
    <w:rsid w:val="00332A09"/>
    <w:rsid w:val="00332F45"/>
    <w:rsid w:val="003330E0"/>
    <w:rsid w:val="003333A6"/>
    <w:rsid w:val="003334E5"/>
    <w:rsid w:val="0033357D"/>
    <w:rsid w:val="003338A3"/>
    <w:rsid w:val="00333A2E"/>
    <w:rsid w:val="00333A75"/>
    <w:rsid w:val="00333ACC"/>
    <w:rsid w:val="00333FAD"/>
    <w:rsid w:val="0033441C"/>
    <w:rsid w:val="00334EAA"/>
    <w:rsid w:val="00334F47"/>
    <w:rsid w:val="0033518A"/>
    <w:rsid w:val="0033576C"/>
    <w:rsid w:val="0033595C"/>
    <w:rsid w:val="00335FBD"/>
    <w:rsid w:val="0033603F"/>
    <w:rsid w:val="0033625C"/>
    <w:rsid w:val="00336583"/>
    <w:rsid w:val="003367ED"/>
    <w:rsid w:val="00336914"/>
    <w:rsid w:val="00336E1E"/>
    <w:rsid w:val="00336F77"/>
    <w:rsid w:val="00337A8D"/>
    <w:rsid w:val="00337AA0"/>
    <w:rsid w:val="00337EBD"/>
    <w:rsid w:val="00337ECD"/>
    <w:rsid w:val="003400BC"/>
    <w:rsid w:val="003401E5"/>
    <w:rsid w:val="00340779"/>
    <w:rsid w:val="00340A79"/>
    <w:rsid w:val="00340AB2"/>
    <w:rsid w:val="00340B08"/>
    <w:rsid w:val="00340EE7"/>
    <w:rsid w:val="00341140"/>
    <w:rsid w:val="00341148"/>
    <w:rsid w:val="003418F1"/>
    <w:rsid w:val="00341D9E"/>
    <w:rsid w:val="00341ED5"/>
    <w:rsid w:val="00341F7F"/>
    <w:rsid w:val="00342276"/>
    <w:rsid w:val="003425B0"/>
    <w:rsid w:val="00342B52"/>
    <w:rsid w:val="00343054"/>
    <w:rsid w:val="00343292"/>
    <w:rsid w:val="0034382B"/>
    <w:rsid w:val="003441A0"/>
    <w:rsid w:val="003442FB"/>
    <w:rsid w:val="0034451F"/>
    <w:rsid w:val="00344899"/>
    <w:rsid w:val="00344B0E"/>
    <w:rsid w:val="00344D89"/>
    <w:rsid w:val="00344F3B"/>
    <w:rsid w:val="003452BA"/>
    <w:rsid w:val="0034532A"/>
    <w:rsid w:val="0034554A"/>
    <w:rsid w:val="00345715"/>
    <w:rsid w:val="0034594B"/>
    <w:rsid w:val="00345F90"/>
    <w:rsid w:val="003462F6"/>
    <w:rsid w:val="0034634C"/>
    <w:rsid w:val="003464CB"/>
    <w:rsid w:val="003467EC"/>
    <w:rsid w:val="0034698B"/>
    <w:rsid w:val="00346A43"/>
    <w:rsid w:val="00346B7C"/>
    <w:rsid w:val="00346C45"/>
    <w:rsid w:val="00346CB3"/>
    <w:rsid w:val="00346DF2"/>
    <w:rsid w:val="003470FC"/>
    <w:rsid w:val="0034711E"/>
    <w:rsid w:val="0034748F"/>
    <w:rsid w:val="003475EA"/>
    <w:rsid w:val="00347651"/>
    <w:rsid w:val="00347691"/>
    <w:rsid w:val="00347D5F"/>
    <w:rsid w:val="003500D3"/>
    <w:rsid w:val="003500D9"/>
    <w:rsid w:val="003508D6"/>
    <w:rsid w:val="00350AF0"/>
    <w:rsid w:val="003511ED"/>
    <w:rsid w:val="00351319"/>
    <w:rsid w:val="00351332"/>
    <w:rsid w:val="00351526"/>
    <w:rsid w:val="00351630"/>
    <w:rsid w:val="00351881"/>
    <w:rsid w:val="00352052"/>
    <w:rsid w:val="003520B5"/>
    <w:rsid w:val="003523C1"/>
    <w:rsid w:val="00352617"/>
    <w:rsid w:val="0035275F"/>
    <w:rsid w:val="003528D9"/>
    <w:rsid w:val="00352957"/>
    <w:rsid w:val="00352E3E"/>
    <w:rsid w:val="00352EA2"/>
    <w:rsid w:val="0035388D"/>
    <w:rsid w:val="00353EBB"/>
    <w:rsid w:val="00354A41"/>
    <w:rsid w:val="00354CA4"/>
    <w:rsid w:val="0035559F"/>
    <w:rsid w:val="003559AA"/>
    <w:rsid w:val="00355C2F"/>
    <w:rsid w:val="00355C76"/>
    <w:rsid w:val="00355F29"/>
    <w:rsid w:val="00356339"/>
    <w:rsid w:val="0035654C"/>
    <w:rsid w:val="003565B5"/>
    <w:rsid w:val="00356789"/>
    <w:rsid w:val="00356815"/>
    <w:rsid w:val="00356BF5"/>
    <w:rsid w:val="00356E02"/>
    <w:rsid w:val="00356EDD"/>
    <w:rsid w:val="0035702E"/>
    <w:rsid w:val="0035742D"/>
    <w:rsid w:val="003579BF"/>
    <w:rsid w:val="00357BD6"/>
    <w:rsid w:val="00357BEF"/>
    <w:rsid w:val="00357D29"/>
    <w:rsid w:val="00357F15"/>
    <w:rsid w:val="003608BD"/>
    <w:rsid w:val="00360CEB"/>
    <w:rsid w:val="00361089"/>
    <w:rsid w:val="00361397"/>
    <w:rsid w:val="003615A8"/>
    <w:rsid w:val="00361951"/>
    <w:rsid w:val="00361960"/>
    <w:rsid w:val="00361974"/>
    <w:rsid w:val="00361B67"/>
    <w:rsid w:val="00362061"/>
    <w:rsid w:val="003622E3"/>
    <w:rsid w:val="00362303"/>
    <w:rsid w:val="0036252D"/>
    <w:rsid w:val="003629A4"/>
    <w:rsid w:val="00362C56"/>
    <w:rsid w:val="00362D00"/>
    <w:rsid w:val="00362F03"/>
    <w:rsid w:val="00362F63"/>
    <w:rsid w:val="00362F9E"/>
    <w:rsid w:val="003630FF"/>
    <w:rsid w:val="003632F5"/>
    <w:rsid w:val="0036342A"/>
    <w:rsid w:val="00363766"/>
    <w:rsid w:val="0036399F"/>
    <w:rsid w:val="00363B03"/>
    <w:rsid w:val="00363DE3"/>
    <w:rsid w:val="00364019"/>
    <w:rsid w:val="0036437D"/>
    <w:rsid w:val="00364426"/>
    <w:rsid w:val="00365108"/>
    <w:rsid w:val="003652B7"/>
    <w:rsid w:val="00365384"/>
    <w:rsid w:val="003653E0"/>
    <w:rsid w:val="003656BA"/>
    <w:rsid w:val="0036578F"/>
    <w:rsid w:val="0036583B"/>
    <w:rsid w:val="00365FD4"/>
    <w:rsid w:val="00366229"/>
    <w:rsid w:val="0036624F"/>
    <w:rsid w:val="003666C1"/>
    <w:rsid w:val="00366BE6"/>
    <w:rsid w:val="00366E2A"/>
    <w:rsid w:val="00367013"/>
    <w:rsid w:val="0036704A"/>
    <w:rsid w:val="003673CA"/>
    <w:rsid w:val="003674DC"/>
    <w:rsid w:val="003675C2"/>
    <w:rsid w:val="00367634"/>
    <w:rsid w:val="00367EAD"/>
    <w:rsid w:val="00370045"/>
    <w:rsid w:val="0037084E"/>
    <w:rsid w:val="003708CA"/>
    <w:rsid w:val="003708E3"/>
    <w:rsid w:val="00370CB9"/>
    <w:rsid w:val="003716C4"/>
    <w:rsid w:val="00371CA9"/>
    <w:rsid w:val="00371D78"/>
    <w:rsid w:val="0037203A"/>
    <w:rsid w:val="003723B2"/>
    <w:rsid w:val="0037264F"/>
    <w:rsid w:val="00372891"/>
    <w:rsid w:val="003729EB"/>
    <w:rsid w:val="0037321B"/>
    <w:rsid w:val="00373358"/>
    <w:rsid w:val="003733B6"/>
    <w:rsid w:val="003738B9"/>
    <w:rsid w:val="00373A4F"/>
    <w:rsid w:val="00373AF1"/>
    <w:rsid w:val="00373EE2"/>
    <w:rsid w:val="003743FE"/>
    <w:rsid w:val="0037452E"/>
    <w:rsid w:val="0037494A"/>
    <w:rsid w:val="00374D4E"/>
    <w:rsid w:val="00374D7D"/>
    <w:rsid w:val="00375871"/>
    <w:rsid w:val="00375911"/>
    <w:rsid w:val="00375FB9"/>
    <w:rsid w:val="003760F0"/>
    <w:rsid w:val="0037684C"/>
    <w:rsid w:val="003769F9"/>
    <w:rsid w:val="00376AEA"/>
    <w:rsid w:val="00377337"/>
    <w:rsid w:val="0037768F"/>
    <w:rsid w:val="00380081"/>
    <w:rsid w:val="003801FC"/>
    <w:rsid w:val="00380636"/>
    <w:rsid w:val="00380AD5"/>
    <w:rsid w:val="00380BED"/>
    <w:rsid w:val="00381183"/>
    <w:rsid w:val="0038126C"/>
    <w:rsid w:val="00381295"/>
    <w:rsid w:val="00381A0C"/>
    <w:rsid w:val="00381F87"/>
    <w:rsid w:val="0038200B"/>
    <w:rsid w:val="0038218B"/>
    <w:rsid w:val="003827E3"/>
    <w:rsid w:val="00382D0F"/>
    <w:rsid w:val="00382E3C"/>
    <w:rsid w:val="0038300D"/>
    <w:rsid w:val="0038344E"/>
    <w:rsid w:val="0038381A"/>
    <w:rsid w:val="00383948"/>
    <w:rsid w:val="00383AF4"/>
    <w:rsid w:val="00383ECB"/>
    <w:rsid w:val="003847B7"/>
    <w:rsid w:val="0038481B"/>
    <w:rsid w:val="003848BD"/>
    <w:rsid w:val="00384ACC"/>
    <w:rsid w:val="00384EB3"/>
    <w:rsid w:val="003855CF"/>
    <w:rsid w:val="00385635"/>
    <w:rsid w:val="00385641"/>
    <w:rsid w:val="00385A40"/>
    <w:rsid w:val="00385C6F"/>
    <w:rsid w:val="00385E2F"/>
    <w:rsid w:val="00385F65"/>
    <w:rsid w:val="00385FD7"/>
    <w:rsid w:val="00386052"/>
    <w:rsid w:val="0038633A"/>
    <w:rsid w:val="0038642A"/>
    <w:rsid w:val="0038677C"/>
    <w:rsid w:val="00386CA5"/>
    <w:rsid w:val="00386CDB"/>
    <w:rsid w:val="00386DB8"/>
    <w:rsid w:val="00387107"/>
    <w:rsid w:val="003873AC"/>
    <w:rsid w:val="00387C3E"/>
    <w:rsid w:val="00387DB5"/>
    <w:rsid w:val="00390024"/>
    <w:rsid w:val="003906C1"/>
    <w:rsid w:val="003907A3"/>
    <w:rsid w:val="00390A1D"/>
    <w:rsid w:val="00390AA2"/>
    <w:rsid w:val="00390AD2"/>
    <w:rsid w:val="00390B57"/>
    <w:rsid w:val="00390C80"/>
    <w:rsid w:val="00390CE7"/>
    <w:rsid w:val="00391200"/>
    <w:rsid w:val="00391437"/>
    <w:rsid w:val="003917B3"/>
    <w:rsid w:val="003917BF"/>
    <w:rsid w:val="0039182F"/>
    <w:rsid w:val="00391B7E"/>
    <w:rsid w:val="0039261C"/>
    <w:rsid w:val="003929A9"/>
    <w:rsid w:val="00392C5C"/>
    <w:rsid w:val="003932C6"/>
    <w:rsid w:val="003932D1"/>
    <w:rsid w:val="0039392E"/>
    <w:rsid w:val="00393E3F"/>
    <w:rsid w:val="00394054"/>
    <w:rsid w:val="0039412A"/>
    <w:rsid w:val="00394228"/>
    <w:rsid w:val="003944BB"/>
    <w:rsid w:val="00394553"/>
    <w:rsid w:val="003945D4"/>
    <w:rsid w:val="00394793"/>
    <w:rsid w:val="00394831"/>
    <w:rsid w:val="00394A0F"/>
    <w:rsid w:val="00394E68"/>
    <w:rsid w:val="003953D8"/>
    <w:rsid w:val="0039542D"/>
    <w:rsid w:val="00395467"/>
    <w:rsid w:val="003954AD"/>
    <w:rsid w:val="00395674"/>
    <w:rsid w:val="00395C70"/>
    <w:rsid w:val="00396115"/>
    <w:rsid w:val="003965C2"/>
    <w:rsid w:val="00396695"/>
    <w:rsid w:val="0039676D"/>
    <w:rsid w:val="00397347"/>
    <w:rsid w:val="00397B48"/>
    <w:rsid w:val="00397DF6"/>
    <w:rsid w:val="00397ED0"/>
    <w:rsid w:val="00397FF6"/>
    <w:rsid w:val="003A00D5"/>
    <w:rsid w:val="003A03F3"/>
    <w:rsid w:val="003A060B"/>
    <w:rsid w:val="003A090B"/>
    <w:rsid w:val="003A0E8B"/>
    <w:rsid w:val="003A0EAD"/>
    <w:rsid w:val="003A13C1"/>
    <w:rsid w:val="003A2421"/>
    <w:rsid w:val="003A25F3"/>
    <w:rsid w:val="003A285A"/>
    <w:rsid w:val="003A2CBE"/>
    <w:rsid w:val="003A2D16"/>
    <w:rsid w:val="003A2EC2"/>
    <w:rsid w:val="003A3159"/>
    <w:rsid w:val="003A3A35"/>
    <w:rsid w:val="003A3C03"/>
    <w:rsid w:val="003A3C49"/>
    <w:rsid w:val="003A3DED"/>
    <w:rsid w:val="003A4126"/>
    <w:rsid w:val="003A4142"/>
    <w:rsid w:val="003A458E"/>
    <w:rsid w:val="003A45DE"/>
    <w:rsid w:val="003A4630"/>
    <w:rsid w:val="003A48CB"/>
    <w:rsid w:val="003A4E20"/>
    <w:rsid w:val="003A55D1"/>
    <w:rsid w:val="003A56C3"/>
    <w:rsid w:val="003A58B1"/>
    <w:rsid w:val="003A5C95"/>
    <w:rsid w:val="003A5E43"/>
    <w:rsid w:val="003A623E"/>
    <w:rsid w:val="003A67A7"/>
    <w:rsid w:val="003A6862"/>
    <w:rsid w:val="003A755A"/>
    <w:rsid w:val="003A761F"/>
    <w:rsid w:val="003A79A3"/>
    <w:rsid w:val="003A7B20"/>
    <w:rsid w:val="003A7B69"/>
    <w:rsid w:val="003A7BDC"/>
    <w:rsid w:val="003A7D43"/>
    <w:rsid w:val="003B036A"/>
    <w:rsid w:val="003B0510"/>
    <w:rsid w:val="003B071B"/>
    <w:rsid w:val="003B0990"/>
    <w:rsid w:val="003B09B9"/>
    <w:rsid w:val="003B0A38"/>
    <w:rsid w:val="003B0AFB"/>
    <w:rsid w:val="003B0E76"/>
    <w:rsid w:val="003B0F9A"/>
    <w:rsid w:val="003B131D"/>
    <w:rsid w:val="003B16BB"/>
    <w:rsid w:val="003B1A8C"/>
    <w:rsid w:val="003B1C20"/>
    <w:rsid w:val="003B1C40"/>
    <w:rsid w:val="003B1F86"/>
    <w:rsid w:val="003B2327"/>
    <w:rsid w:val="003B2580"/>
    <w:rsid w:val="003B2813"/>
    <w:rsid w:val="003B2B2D"/>
    <w:rsid w:val="003B2E1D"/>
    <w:rsid w:val="003B340A"/>
    <w:rsid w:val="003B3AC0"/>
    <w:rsid w:val="003B3D21"/>
    <w:rsid w:val="003B3D6B"/>
    <w:rsid w:val="003B3F11"/>
    <w:rsid w:val="003B3F32"/>
    <w:rsid w:val="003B40DF"/>
    <w:rsid w:val="003B4202"/>
    <w:rsid w:val="003B420F"/>
    <w:rsid w:val="003B44C8"/>
    <w:rsid w:val="003B4794"/>
    <w:rsid w:val="003B4B04"/>
    <w:rsid w:val="003B4C74"/>
    <w:rsid w:val="003B4D47"/>
    <w:rsid w:val="003B50EA"/>
    <w:rsid w:val="003B5162"/>
    <w:rsid w:val="003B5503"/>
    <w:rsid w:val="003B5958"/>
    <w:rsid w:val="003B5C33"/>
    <w:rsid w:val="003B5DAC"/>
    <w:rsid w:val="003B5E27"/>
    <w:rsid w:val="003B604E"/>
    <w:rsid w:val="003B6791"/>
    <w:rsid w:val="003B6E61"/>
    <w:rsid w:val="003B6FF7"/>
    <w:rsid w:val="003B7380"/>
    <w:rsid w:val="003B7D3C"/>
    <w:rsid w:val="003C01DA"/>
    <w:rsid w:val="003C0281"/>
    <w:rsid w:val="003C0283"/>
    <w:rsid w:val="003C02B7"/>
    <w:rsid w:val="003C06C5"/>
    <w:rsid w:val="003C0A1A"/>
    <w:rsid w:val="003C0A96"/>
    <w:rsid w:val="003C12CA"/>
    <w:rsid w:val="003C1336"/>
    <w:rsid w:val="003C15DF"/>
    <w:rsid w:val="003C165F"/>
    <w:rsid w:val="003C1F4D"/>
    <w:rsid w:val="003C1FB1"/>
    <w:rsid w:val="003C21D9"/>
    <w:rsid w:val="003C2623"/>
    <w:rsid w:val="003C29B4"/>
    <w:rsid w:val="003C2B35"/>
    <w:rsid w:val="003C2C10"/>
    <w:rsid w:val="003C359F"/>
    <w:rsid w:val="003C39F6"/>
    <w:rsid w:val="003C3C1A"/>
    <w:rsid w:val="003C45BB"/>
    <w:rsid w:val="003C560E"/>
    <w:rsid w:val="003C59B6"/>
    <w:rsid w:val="003C5AAB"/>
    <w:rsid w:val="003C5BDA"/>
    <w:rsid w:val="003C60D0"/>
    <w:rsid w:val="003C615B"/>
    <w:rsid w:val="003C665E"/>
    <w:rsid w:val="003C692D"/>
    <w:rsid w:val="003C6EA9"/>
    <w:rsid w:val="003C6F97"/>
    <w:rsid w:val="003C70EF"/>
    <w:rsid w:val="003C75D6"/>
    <w:rsid w:val="003C75E1"/>
    <w:rsid w:val="003C78FC"/>
    <w:rsid w:val="003C7919"/>
    <w:rsid w:val="003D0192"/>
    <w:rsid w:val="003D062B"/>
    <w:rsid w:val="003D0E00"/>
    <w:rsid w:val="003D0F93"/>
    <w:rsid w:val="003D0FEB"/>
    <w:rsid w:val="003D12CD"/>
    <w:rsid w:val="003D14A6"/>
    <w:rsid w:val="003D1500"/>
    <w:rsid w:val="003D1B2B"/>
    <w:rsid w:val="003D1DE9"/>
    <w:rsid w:val="003D1F9C"/>
    <w:rsid w:val="003D1FF4"/>
    <w:rsid w:val="003D200C"/>
    <w:rsid w:val="003D201D"/>
    <w:rsid w:val="003D20F4"/>
    <w:rsid w:val="003D229A"/>
    <w:rsid w:val="003D26FD"/>
    <w:rsid w:val="003D299F"/>
    <w:rsid w:val="003D2AA8"/>
    <w:rsid w:val="003D2DEF"/>
    <w:rsid w:val="003D2F82"/>
    <w:rsid w:val="003D34F9"/>
    <w:rsid w:val="003D385D"/>
    <w:rsid w:val="003D3B57"/>
    <w:rsid w:val="003D416C"/>
    <w:rsid w:val="003D4281"/>
    <w:rsid w:val="003D433B"/>
    <w:rsid w:val="003D44F1"/>
    <w:rsid w:val="003D45C7"/>
    <w:rsid w:val="003D47C2"/>
    <w:rsid w:val="003D47E5"/>
    <w:rsid w:val="003D4DAA"/>
    <w:rsid w:val="003D4E85"/>
    <w:rsid w:val="003D4FEB"/>
    <w:rsid w:val="003D5037"/>
    <w:rsid w:val="003D5183"/>
    <w:rsid w:val="003D528C"/>
    <w:rsid w:val="003D5601"/>
    <w:rsid w:val="003D5779"/>
    <w:rsid w:val="003D5C62"/>
    <w:rsid w:val="003D5DC4"/>
    <w:rsid w:val="003D609F"/>
    <w:rsid w:val="003D6563"/>
    <w:rsid w:val="003D6625"/>
    <w:rsid w:val="003D68EB"/>
    <w:rsid w:val="003D6AC7"/>
    <w:rsid w:val="003D6FD9"/>
    <w:rsid w:val="003D709C"/>
    <w:rsid w:val="003D7435"/>
    <w:rsid w:val="003D759C"/>
    <w:rsid w:val="003D7AFD"/>
    <w:rsid w:val="003D7DBD"/>
    <w:rsid w:val="003E008A"/>
    <w:rsid w:val="003E0856"/>
    <w:rsid w:val="003E0B03"/>
    <w:rsid w:val="003E0B05"/>
    <w:rsid w:val="003E0C35"/>
    <w:rsid w:val="003E0CEC"/>
    <w:rsid w:val="003E0D02"/>
    <w:rsid w:val="003E0F6B"/>
    <w:rsid w:val="003E11BE"/>
    <w:rsid w:val="003E12CB"/>
    <w:rsid w:val="003E14FC"/>
    <w:rsid w:val="003E189B"/>
    <w:rsid w:val="003E2100"/>
    <w:rsid w:val="003E22FC"/>
    <w:rsid w:val="003E24B9"/>
    <w:rsid w:val="003E25BF"/>
    <w:rsid w:val="003E2773"/>
    <w:rsid w:val="003E28BA"/>
    <w:rsid w:val="003E2A40"/>
    <w:rsid w:val="003E2AEA"/>
    <w:rsid w:val="003E2D15"/>
    <w:rsid w:val="003E2DAC"/>
    <w:rsid w:val="003E336C"/>
    <w:rsid w:val="003E3433"/>
    <w:rsid w:val="003E350C"/>
    <w:rsid w:val="003E3BDA"/>
    <w:rsid w:val="003E3D43"/>
    <w:rsid w:val="003E3E5A"/>
    <w:rsid w:val="003E3F88"/>
    <w:rsid w:val="003E42EB"/>
    <w:rsid w:val="003E4377"/>
    <w:rsid w:val="003E438C"/>
    <w:rsid w:val="003E463A"/>
    <w:rsid w:val="003E4DB4"/>
    <w:rsid w:val="003E4E90"/>
    <w:rsid w:val="003E5372"/>
    <w:rsid w:val="003E5517"/>
    <w:rsid w:val="003E5676"/>
    <w:rsid w:val="003E56CB"/>
    <w:rsid w:val="003E5999"/>
    <w:rsid w:val="003E5C1E"/>
    <w:rsid w:val="003E6454"/>
    <w:rsid w:val="003E651E"/>
    <w:rsid w:val="003E65DA"/>
    <w:rsid w:val="003E668F"/>
    <w:rsid w:val="003E6E01"/>
    <w:rsid w:val="003E73B9"/>
    <w:rsid w:val="003E7403"/>
    <w:rsid w:val="003E7657"/>
    <w:rsid w:val="003E7AF3"/>
    <w:rsid w:val="003E7AFA"/>
    <w:rsid w:val="003E7DB5"/>
    <w:rsid w:val="003F0062"/>
    <w:rsid w:val="003F0537"/>
    <w:rsid w:val="003F090D"/>
    <w:rsid w:val="003F0CED"/>
    <w:rsid w:val="003F0D32"/>
    <w:rsid w:val="003F1062"/>
    <w:rsid w:val="003F131B"/>
    <w:rsid w:val="003F21E7"/>
    <w:rsid w:val="003F21E8"/>
    <w:rsid w:val="003F253A"/>
    <w:rsid w:val="003F2605"/>
    <w:rsid w:val="003F2940"/>
    <w:rsid w:val="003F2959"/>
    <w:rsid w:val="003F29ED"/>
    <w:rsid w:val="003F3901"/>
    <w:rsid w:val="003F3C52"/>
    <w:rsid w:val="003F3EC9"/>
    <w:rsid w:val="003F449D"/>
    <w:rsid w:val="003F4980"/>
    <w:rsid w:val="003F4ADD"/>
    <w:rsid w:val="003F4D13"/>
    <w:rsid w:val="003F4E99"/>
    <w:rsid w:val="003F4EBE"/>
    <w:rsid w:val="003F4EE4"/>
    <w:rsid w:val="003F528E"/>
    <w:rsid w:val="003F5A0F"/>
    <w:rsid w:val="003F5E9D"/>
    <w:rsid w:val="003F60E9"/>
    <w:rsid w:val="003F645C"/>
    <w:rsid w:val="003F6B2D"/>
    <w:rsid w:val="003F6D73"/>
    <w:rsid w:val="003F72B3"/>
    <w:rsid w:val="003F7E51"/>
    <w:rsid w:val="004003DF"/>
    <w:rsid w:val="00400BC4"/>
    <w:rsid w:val="004016FD"/>
    <w:rsid w:val="00401CE3"/>
    <w:rsid w:val="00401DA2"/>
    <w:rsid w:val="004024EC"/>
    <w:rsid w:val="00402669"/>
    <w:rsid w:val="0040284B"/>
    <w:rsid w:val="00402C63"/>
    <w:rsid w:val="004030FE"/>
    <w:rsid w:val="0040346E"/>
    <w:rsid w:val="004035AC"/>
    <w:rsid w:val="00403669"/>
    <w:rsid w:val="004037E7"/>
    <w:rsid w:val="0040390B"/>
    <w:rsid w:val="0040399C"/>
    <w:rsid w:val="00403C5E"/>
    <w:rsid w:val="00403E9F"/>
    <w:rsid w:val="00403F20"/>
    <w:rsid w:val="0040453B"/>
    <w:rsid w:val="0040569E"/>
    <w:rsid w:val="004059CF"/>
    <w:rsid w:val="00405ACB"/>
    <w:rsid w:val="00405B72"/>
    <w:rsid w:val="00405B80"/>
    <w:rsid w:val="00405CD1"/>
    <w:rsid w:val="00405E52"/>
    <w:rsid w:val="00405EF3"/>
    <w:rsid w:val="00405F34"/>
    <w:rsid w:val="00405F4A"/>
    <w:rsid w:val="00406745"/>
    <w:rsid w:val="004069E5"/>
    <w:rsid w:val="004070D4"/>
    <w:rsid w:val="004072C0"/>
    <w:rsid w:val="00407308"/>
    <w:rsid w:val="0040738F"/>
    <w:rsid w:val="00407641"/>
    <w:rsid w:val="0041005E"/>
    <w:rsid w:val="00410390"/>
    <w:rsid w:val="004104E9"/>
    <w:rsid w:val="004104ED"/>
    <w:rsid w:val="00410B23"/>
    <w:rsid w:val="00410C2D"/>
    <w:rsid w:val="00410E8E"/>
    <w:rsid w:val="0041101B"/>
    <w:rsid w:val="00411279"/>
    <w:rsid w:val="0041185F"/>
    <w:rsid w:val="0041194C"/>
    <w:rsid w:val="00411B0F"/>
    <w:rsid w:val="00411C1C"/>
    <w:rsid w:val="00411FB8"/>
    <w:rsid w:val="004120B9"/>
    <w:rsid w:val="004121D7"/>
    <w:rsid w:val="004121DC"/>
    <w:rsid w:val="004126E1"/>
    <w:rsid w:val="00412E8B"/>
    <w:rsid w:val="004133EE"/>
    <w:rsid w:val="004133F5"/>
    <w:rsid w:val="0041357E"/>
    <w:rsid w:val="004135E8"/>
    <w:rsid w:val="00413F72"/>
    <w:rsid w:val="0041424D"/>
    <w:rsid w:val="00414341"/>
    <w:rsid w:val="00414396"/>
    <w:rsid w:val="0041464A"/>
    <w:rsid w:val="00414BAF"/>
    <w:rsid w:val="00414F64"/>
    <w:rsid w:val="00415817"/>
    <w:rsid w:val="00415C21"/>
    <w:rsid w:val="00415D5C"/>
    <w:rsid w:val="00415D68"/>
    <w:rsid w:val="004161F0"/>
    <w:rsid w:val="00416270"/>
    <w:rsid w:val="004165F2"/>
    <w:rsid w:val="0041690A"/>
    <w:rsid w:val="0041697B"/>
    <w:rsid w:val="00416EF9"/>
    <w:rsid w:val="0041705C"/>
    <w:rsid w:val="00417149"/>
    <w:rsid w:val="00417739"/>
    <w:rsid w:val="00417A1B"/>
    <w:rsid w:val="00417C25"/>
    <w:rsid w:val="00417C88"/>
    <w:rsid w:val="00417E83"/>
    <w:rsid w:val="00417F20"/>
    <w:rsid w:val="00417F5B"/>
    <w:rsid w:val="004203EB"/>
    <w:rsid w:val="004205FD"/>
    <w:rsid w:val="00420651"/>
    <w:rsid w:val="004206D0"/>
    <w:rsid w:val="0042075D"/>
    <w:rsid w:val="004209C7"/>
    <w:rsid w:val="004209F4"/>
    <w:rsid w:val="00420EFE"/>
    <w:rsid w:val="00421379"/>
    <w:rsid w:val="0042160A"/>
    <w:rsid w:val="00421903"/>
    <w:rsid w:val="00421A2D"/>
    <w:rsid w:val="00421B13"/>
    <w:rsid w:val="00421C45"/>
    <w:rsid w:val="00421DA6"/>
    <w:rsid w:val="0042216D"/>
    <w:rsid w:val="00422B18"/>
    <w:rsid w:val="00422FE0"/>
    <w:rsid w:val="0042337B"/>
    <w:rsid w:val="00423AC2"/>
    <w:rsid w:val="00423AD1"/>
    <w:rsid w:val="00423D3A"/>
    <w:rsid w:val="00423F51"/>
    <w:rsid w:val="00423FB6"/>
    <w:rsid w:val="00424238"/>
    <w:rsid w:val="004243C4"/>
    <w:rsid w:val="0042467F"/>
    <w:rsid w:val="00424BA5"/>
    <w:rsid w:val="00425C90"/>
    <w:rsid w:val="00425F5E"/>
    <w:rsid w:val="004260B4"/>
    <w:rsid w:val="00426208"/>
    <w:rsid w:val="0042628E"/>
    <w:rsid w:val="00426350"/>
    <w:rsid w:val="004265CC"/>
    <w:rsid w:val="00426645"/>
    <w:rsid w:val="0042685F"/>
    <w:rsid w:val="00426B7D"/>
    <w:rsid w:val="004270D3"/>
    <w:rsid w:val="0042717A"/>
    <w:rsid w:val="00427502"/>
    <w:rsid w:val="00427515"/>
    <w:rsid w:val="004279F2"/>
    <w:rsid w:val="00427EA3"/>
    <w:rsid w:val="004300E2"/>
    <w:rsid w:val="00430146"/>
    <w:rsid w:val="00430606"/>
    <w:rsid w:val="00430C46"/>
    <w:rsid w:val="00430C57"/>
    <w:rsid w:val="00431041"/>
    <w:rsid w:val="00431324"/>
    <w:rsid w:val="004317C7"/>
    <w:rsid w:val="0043224A"/>
    <w:rsid w:val="0043263D"/>
    <w:rsid w:val="004327A6"/>
    <w:rsid w:val="00432BF5"/>
    <w:rsid w:val="00432C29"/>
    <w:rsid w:val="00432D8A"/>
    <w:rsid w:val="00432F09"/>
    <w:rsid w:val="0043308B"/>
    <w:rsid w:val="0043310B"/>
    <w:rsid w:val="0043341C"/>
    <w:rsid w:val="0043372C"/>
    <w:rsid w:val="004339AB"/>
    <w:rsid w:val="00433F86"/>
    <w:rsid w:val="0043437E"/>
    <w:rsid w:val="00434458"/>
    <w:rsid w:val="00435422"/>
    <w:rsid w:val="00435618"/>
    <w:rsid w:val="0043585A"/>
    <w:rsid w:val="00435BC0"/>
    <w:rsid w:val="00435D27"/>
    <w:rsid w:val="00435F84"/>
    <w:rsid w:val="00436162"/>
    <w:rsid w:val="0043635B"/>
    <w:rsid w:val="0043683A"/>
    <w:rsid w:val="00436848"/>
    <w:rsid w:val="00436C97"/>
    <w:rsid w:val="00436F1E"/>
    <w:rsid w:val="00437382"/>
    <w:rsid w:val="00437633"/>
    <w:rsid w:val="0043767A"/>
    <w:rsid w:val="0043799A"/>
    <w:rsid w:val="00437A88"/>
    <w:rsid w:val="00437DEB"/>
    <w:rsid w:val="0044032F"/>
    <w:rsid w:val="004403CF"/>
    <w:rsid w:val="0044042B"/>
    <w:rsid w:val="004408D6"/>
    <w:rsid w:val="00440E93"/>
    <w:rsid w:val="00441023"/>
    <w:rsid w:val="004410A1"/>
    <w:rsid w:val="004411DF"/>
    <w:rsid w:val="004411F1"/>
    <w:rsid w:val="00441F50"/>
    <w:rsid w:val="00442082"/>
    <w:rsid w:val="00442403"/>
    <w:rsid w:val="0044255A"/>
    <w:rsid w:val="00442745"/>
    <w:rsid w:val="00442795"/>
    <w:rsid w:val="00442994"/>
    <w:rsid w:val="00442A35"/>
    <w:rsid w:val="00442BBB"/>
    <w:rsid w:val="00442F5B"/>
    <w:rsid w:val="0044327D"/>
    <w:rsid w:val="0044340C"/>
    <w:rsid w:val="0044355E"/>
    <w:rsid w:val="00443729"/>
    <w:rsid w:val="00443A0A"/>
    <w:rsid w:val="00443BC0"/>
    <w:rsid w:val="00443C14"/>
    <w:rsid w:val="00443E15"/>
    <w:rsid w:val="0044437B"/>
    <w:rsid w:val="0044437D"/>
    <w:rsid w:val="004445AB"/>
    <w:rsid w:val="0044474F"/>
    <w:rsid w:val="00444987"/>
    <w:rsid w:val="004449CE"/>
    <w:rsid w:val="00444AA1"/>
    <w:rsid w:val="00444E25"/>
    <w:rsid w:val="00444ED9"/>
    <w:rsid w:val="00445098"/>
    <w:rsid w:val="0044536A"/>
    <w:rsid w:val="00445694"/>
    <w:rsid w:val="004458DF"/>
    <w:rsid w:val="0044590A"/>
    <w:rsid w:val="00445CD4"/>
    <w:rsid w:val="004465E5"/>
    <w:rsid w:val="00446BE2"/>
    <w:rsid w:val="00447172"/>
    <w:rsid w:val="004476E0"/>
    <w:rsid w:val="00447A8D"/>
    <w:rsid w:val="00447BFF"/>
    <w:rsid w:val="00447D82"/>
    <w:rsid w:val="0045055F"/>
    <w:rsid w:val="004505DF"/>
    <w:rsid w:val="004509C2"/>
    <w:rsid w:val="00450A57"/>
    <w:rsid w:val="00450AD2"/>
    <w:rsid w:val="00451632"/>
    <w:rsid w:val="00451677"/>
    <w:rsid w:val="00451A1B"/>
    <w:rsid w:val="00451C5D"/>
    <w:rsid w:val="00451E64"/>
    <w:rsid w:val="004520AB"/>
    <w:rsid w:val="004520B7"/>
    <w:rsid w:val="004521C1"/>
    <w:rsid w:val="004526F8"/>
    <w:rsid w:val="00452B6B"/>
    <w:rsid w:val="00452CDF"/>
    <w:rsid w:val="00452D1F"/>
    <w:rsid w:val="004532E1"/>
    <w:rsid w:val="0045346D"/>
    <w:rsid w:val="004534D1"/>
    <w:rsid w:val="00453575"/>
    <w:rsid w:val="00453918"/>
    <w:rsid w:val="00453E0A"/>
    <w:rsid w:val="00453E0D"/>
    <w:rsid w:val="004542EA"/>
    <w:rsid w:val="00454D9C"/>
    <w:rsid w:val="00455029"/>
    <w:rsid w:val="004553C8"/>
    <w:rsid w:val="004555DB"/>
    <w:rsid w:val="004555E3"/>
    <w:rsid w:val="0045600C"/>
    <w:rsid w:val="004562B8"/>
    <w:rsid w:val="00456379"/>
    <w:rsid w:val="00456971"/>
    <w:rsid w:val="00456C4D"/>
    <w:rsid w:val="00456DC8"/>
    <w:rsid w:val="00456E22"/>
    <w:rsid w:val="00456FBB"/>
    <w:rsid w:val="004570E6"/>
    <w:rsid w:val="00457105"/>
    <w:rsid w:val="004573F3"/>
    <w:rsid w:val="00457533"/>
    <w:rsid w:val="00457853"/>
    <w:rsid w:val="00457B7A"/>
    <w:rsid w:val="00460462"/>
    <w:rsid w:val="004609C4"/>
    <w:rsid w:val="00460F8D"/>
    <w:rsid w:val="004611A2"/>
    <w:rsid w:val="00461601"/>
    <w:rsid w:val="00461A70"/>
    <w:rsid w:val="00461B05"/>
    <w:rsid w:val="00461DFB"/>
    <w:rsid w:val="00461F67"/>
    <w:rsid w:val="00461F7A"/>
    <w:rsid w:val="00462066"/>
    <w:rsid w:val="00462303"/>
    <w:rsid w:val="0046279D"/>
    <w:rsid w:val="00463171"/>
    <w:rsid w:val="0046333D"/>
    <w:rsid w:val="00464185"/>
    <w:rsid w:val="00464671"/>
    <w:rsid w:val="004647BD"/>
    <w:rsid w:val="004647E9"/>
    <w:rsid w:val="00464914"/>
    <w:rsid w:val="00464C55"/>
    <w:rsid w:val="00464CDA"/>
    <w:rsid w:val="00464EB6"/>
    <w:rsid w:val="00465527"/>
    <w:rsid w:val="004656E7"/>
    <w:rsid w:val="0046583D"/>
    <w:rsid w:val="00465910"/>
    <w:rsid w:val="00465A58"/>
    <w:rsid w:val="00465C81"/>
    <w:rsid w:val="004663BA"/>
    <w:rsid w:val="00466EFA"/>
    <w:rsid w:val="004671E1"/>
    <w:rsid w:val="0046753D"/>
    <w:rsid w:val="004678F3"/>
    <w:rsid w:val="00467A7A"/>
    <w:rsid w:val="00467FB1"/>
    <w:rsid w:val="00470061"/>
    <w:rsid w:val="00470393"/>
    <w:rsid w:val="0047113D"/>
    <w:rsid w:val="004711D6"/>
    <w:rsid w:val="004714C2"/>
    <w:rsid w:val="004716A6"/>
    <w:rsid w:val="00472197"/>
    <w:rsid w:val="004722D6"/>
    <w:rsid w:val="0047241C"/>
    <w:rsid w:val="004724FD"/>
    <w:rsid w:val="004725CB"/>
    <w:rsid w:val="004727B1"/>
    <w:rsid w:val="00472F5E"/>
    <w:rsid w:val="004730BA"/>
    <w:rsid w:val="0047317D"/>
    <w:rsid w:val="00473828"/>
    <w:rsid w:val="0047396F"/>
    <w:rsid w:val="00473AD8"/>
    <w:rsid w:val="00473D4D"/>
    <w:rsid w:val="0047411D"/>
    <w:rsid w:val="004743F7"/>
    <w:rsid w:val="0047475A"/>
    <w:rsid w:val="00474799"/>
    <w:rsid w:val="00474815"/>
    <w:rsid w:val="00474A6B"/>
    <w:rsid w:val="00474F26"/>
    <w:rsid w:val="00474FA0"/>
    <w:rsid w:val="00475073"/>
    <w:rsid w:val="00475408"/>
    <w:rsid w:val="004756E9"/>
    <w:rsid w:val="00475B82"/>
    <w:rsid w:val="00475BB4"/>
    <w:rsid w:val="00475C3D"/>
    <w:rsid w:val="004760C7"/>
    <w:rsid w:val="00476336"/>
    <w:rsid w:val="0047663D"/>
    <w:rsid w:val="004767FC"/>
    <w:rsid w:val="0047689E"/>
    <w:rsid w:val="00476C6B"/>
    <w:rsid w:val="00476D85"/>
    <w:rsid w:val="00476E13"/>
    <w:rsid w:val="004770C1"/>
    <w:rsid w:val="0047719E"/>
    <w:rsid w:val="004772E4"/>
    <w:rsid w:val="00477433"/>
    <w:rsid w:val="00477930"/>
    <w:rsid w:val="00477B9E"/>
    <w:rsid w:val="00480059"/>
    <w:rsid w:val="00480263"/>
    <w:rsid w:val="00480666"/>
    <w:rsid w:val="00480820"/>
    <w:rsid w:val="00480D0B"/>
    <w:rsid w:val="00480D65"/>
    <w:rsid w:val="0048105E"/>
    <w:rsid w:val="004810A9"/>
    <w:rsid w:val="00481161"/>
    <w:rsid w:val="0048116E"/>
    <w:rsid w:val="004811C0"/>
    <w:rsid w:val="0048145F"/>
    <w:rsid w:val="00481686"/>
    <w:rsid w:val="0048168D"/>
    <w:rsid w:val="00481773"/>
    <w:rsid w:val="00481AF6"/>
    <w:rsid w:val="00481C9F"/>
    <w:rsid w:val="004820AF"/>
    <w:rsid w:val="0048232C"/>
    <w:rsid w:val="004823D1"/>
    <w:rsid w:val="00482C6D"/>
    <w:rsid w:val="00482DAF"/>
    <w:rsid w:val="00482E58"/>
    <w:rsid w:val="0048329B"/>
    <w:rsid w:val="00483525"/>
    <w:rsid w:val="00483831"/>
    <w:rsid w:val="0048387C"/>
    <w:rsid w:val="00483969"/>
    <w:rsid w:val="00483B7B"/>
    <w:rsid w:val="00483E2D"/>
    <w:rsid w:val="00483E5F"/>
    <w:rsid w:val="00483FB2"/>
    <w:rsid w:val="0048405F"/>
    <w:rsid w:val="00484166"/>
    <w:rsid w:val="004841D7"/>
    <w:rsid w:val="004842CD"/>
    <w:rsid w:val="004847BC"/>
    <w:rsid w:val="00484E3F"/>
    <w:rsid w:val="00484F08"/>
    <w:rsid w:val="00485701"/>
    <w:rsid w:val="0048593D"/>
    <w:rsid w:val="00485C3A"/>
    <w:rsid w:val="00485FF3"/>
    <w:rsid w:val="0048604A"/>
    <w:rsid w:val="004861B1"/>
    <w:rsid w:val="004862AE"/>
    <w:rsid w:val="00486302"/>
    <w:rsid w:val="004864A6"/>
    <w:rsid w:val="00486666"/>
    <w:rsid w:val="00486A27"/>
    <w:rsid w:val="00486C62"/>
    <w:rsid w:val="00486D8B"/>
    <w:rsid w:val="00486E56"/>
    <w:rsid w:val="00486F24"/>
    <w:rsid w:val="00487020"/>
    <w:rsid w:val="00487608"/>
    <w:rsid w:val="004876B1"/>
    <w:rsid w:val="004903AB"/>
    <w:rsid w:val="004905D1"/>
    <w:rsid w:val="004909C9"/>
    <w:rsid w:val="00490A8C"/>
    <w:rsid w:val="00491314"/>
    <w:rsid w:val="00491616"/>
    <w:rsid w:val="004917BB"/>
    <w:rsid w:val="00491938"/>
    <w:rsid w:val="0049193D"/>
    <w:rsid w:val="00491AF8"/>
    <w:rsid w:val="00491BD7"/>
    <w:rsid w:val="00492167"/>
    <w:rsid w:val="00492370"/>
    <w:rsid w:val="00492466"/>
    <w:rsid w:val="004924B9"/>
    <w:rsid w:val="004926A5"/>
    <w:rsid w:val="00492BB8"/>
    <w:rsid w:val="00492D34"/>
    <w:rsid w:val="00493245"/>
    <w:rsid w:val="004933AA"/>
    <w:rsid w:val="004935CE"/>
    <w:rsid w:val="004937DB"/>
    <w:rsid w:val="00493983"/>
    <w:rsid w:val="00493FAF"/>
    <w:rsid w:val="004942F9"/>
    <w:rsid w:val="004945B4"/>
    <w:rsid w:val="00494AEA"/>
    <w:rsid w:val="00494C0A"/>
    <w:rsid w:val="00494D09"/>
    <w:rsid w:val="004952A6"/>
    <w:rsid w:val="0049555D"/>
    <w:rsid w:val="0049574D"/>
    <w:rsid w:val="00495B2F"/>
    <w:rsid w:val="00495CD1"/>
    <w:rsid w:val="0049655D"/>
    <w:rsid w:val="00496A1B"/>
    <w:rsid w:val="00497151"/>
    <w:rsid w:val="00497744"/>
    <w:rsid w:val="0049783C"/>
    <w:rsid w:val="00497B8A"/>
    <w:rsid w:val="004A062D"/>
    <w:rsid w:val="004A08A1"/>
    <w:rsid w:val="004A0F33"/>
    <w:rsid w:val="004A0F81"/>
    <w:rsid w:val="004A1259"/>
    <w:rsid w:val="004A165C"/>
    <w:rsid w:val="004A1729"/>
    <w:rsid w:val="004A1A01"/>
    <w:rsid w:val="004A1A88"/>
    <w:rsid w:val="004A1B89"/>
    <w:rsid w:val="004A1C08"/>
    <w:rsid w:val="004A1E79"/>
    <w:rsid w:val="004A20F8"/>
    <w:rsid w:val="004A2297"/>
    <w:rsid w:val="004A2657"/>
    <w:rsid w:val="004A270B"/>
    <w:rsid w:val="004A29C7"/>
    <w:rsid w:val="004A2F9B"/>
    <w:rsid w:val="004A2FD9"/>
    <w:rsid w:val="004A30AA"/>
    <w:rsid w:val="004A34AC"/>
    <w:rsid w:val="004A34B5"/>
    <w:rsid w:val="004A3862"/>
    <w:rsid w:val="004A395B"/>
    <w:rsid w:val="004A3A82"/>
    <w:rsid w:val="004A3CA4"/>
    <w:rsid w:val="004A41B9"/>
    <w:rsid w:val="004A4531"/>
    <w:rsid w:val="004A45E0"/>
    <w:rsid w:val="004A49A3"/>
    <w:rsid w:val="004A4D7A"/>
    <w:rsid w:val="004A4E36"/>
    <w:rsid w:val="004A4F5B"/>
    <w:rsid w:val="004A5153"/>
    <w:rsid w:val="004A54C6"/>
    <w:rsid w:val="004A57CD"/>
    <w:rsid w:val="004A5812"/>
    <w:rsid w:val="004A5893"/>
    <w:rsid w:val="004A5CA6"/>
    <w:rsid w:val="004A5D0B"/>
    <w:rsid w:val="004A5E12"/>
    <w:rsid w:val="004A6012"/>
    <w:rsid w:val="004A613F"/>
    <w:rsid w:val="004A6411"/>
    <w:rsid w:val="004A6704"/>
    <w:rsid w:val="004A6902"/>
    <w:rsid w:val="004A6B36"/>
    <w:rsid w:val="004A72B7"/>
    <w:rsid w:val="004A745D"/>
    <w:rsid w:val="004A78E4"/>
    <w:rsid w:val="004A7918"/>
    <w:rsid w:val="004A7E3D"/>
    <w:rsid w:val="004A7F23"/>
    <w:rsid w:val="004A7F87"/>
    <w:rsid w:val="004B0EC9"/>
    <w:rsid w:val="004B0FC8"/>
    <w:rsid w:val="004B1228"/>
    <w:rsid w:val="004B1397"/>
    <w:rsid w:val="004B193F"/>
    <w:rsid w:val="004B1E76"/>
    <w:rsid w:val="004B2120"/>
    <w:rsid w:val="004B23DE"/>
    <w:rsid w:val="004B2448"/>
    <w:rsid w:val="004B2603"/>
    <w:rsid w:val="004B26BE"/>
    <w:rsid w:val="004B2837"/>
    <w:rsid w:val="004B2B45"/>
    <w:rsid w:val="004B2BA5"/>
    <w:rsid w:val="004B2D77"/>
    <w:rsid w:val="004B2F26"/>
    <w:rsid w:val="004B3045"/>
    <w:rsid w:val="004B3361"/>
    <w:rsid w:val="004B33E2"/>
    <w:rsid w:val="004B3675"/>
    <w:rsid w:val="004B4639"/>
    <w:rsid w:val="004B4B5B"/>
    <w:rsid w:val="004B4BBD"/>
    <w:rsid w:val="004B4E18"/>
    <w:rsid w:val="004B5296"/>
    <w:rsid w:val="004B55FB"/>
    <w:rsid w:val="004B591A"/>
    <w:rsid w:val="004B5A4F"/>
    <w:rsid w:val="004B5CA1"/>
    <w:rsid w:val="004B5D2F"/>
    <w:rsid w:val="004B6101"/>
    <w:rsid w:val="004B633E"/>
    <w:rsid w:val="004B6341"/>
    <w:rsid w:val="004B63E0"/>
    <w:rsid w:val="004B6417"/>
    <w:rsid w:val="004B6516"/>
    <w:rsid w:val="004B6A98"/>
    <w:rsid w:val="004B703A"/>
    <w:rsid w:val="004B7E86"/>
    <w:rsid w:val="004C026A"/>
    <w:rsid w:val="004C02ED"/>
    <w:rsid w:val="004C0F82"/>
    <w:rsid w:val="004C0FE3"/>
    <w:rsid w:val="004C1D92"/>
    <w:rsid w:val="004C1E13"/>
    <w:rsid w:val="004C1F56"/>
    <w:rsid w:val="004C2073"/>
    <w:rsid w:val="004C216A"/>
    <w:rsid w:val="004C23AC"/>
    <w:rsid w:val="004C24C2"/>
    <w:rsid w:val="004C2A6A"/>
    <w:rsid w:val="004C2C56"/>
    <w:rsid w:val="004C2CD8"/>
    <w:rsid w:val="004C2DE1"/>
    <w:rsid w:val="004C2E71"/>
    <w:rsid w:val="004C39D3"/>
    <w:rsid w:val="004C3CBF"/>
    <w:rsid w:val="004C4093"/>
    <w:rsid w:val="004C42D5"/>
    <w:rsid w:val="004C459B"/>
    <w:rsid w:val="004C478A"/>
    <w:rsid w:val="004C5033"/>
    <w:rsid w:val="004C5055"/>
    <w:rsid w:val="004C5180"/>
    <w:rsid w:val="004C52D7"/>
    <w:rsid w:val="004C5472"/>
    <w:rsid w:val="004C5A59"/>
    <w:rsid w:val="004C5A72"/>
    <w:rsid w:val="004C5B26"/>
    <w:rsid w:val="004C5D29"/>
    <w:rsid w:val="004C5D64"/>
    <w:rsid w:val="004C5F9F"/>
    <w:rsid w:val="004C63F5"/>
    <w:rsid w:val="004C6644"/>
    <w:rsid w:val="004C6647"/>
    <w:rsid w:val="004C6664"/>
    <w:rsid w:val="004C6D03"/>
    <w:rsid w:val="004C6D61"/>
    <w:rsid w:val="004C75D4"/>
    <w:rsid w:val="004C79B2"/>
    <w:rsid w:val="004C7A61"/>
    <w:rsid w:val="004D0504"/>
    <w:rsid w:val="004D056F"/>
    <w:rsid w:val="004D099D"/>
    <w:rsid w:val="004D0AE0"/>
    <w:rsid w:val="004D0E90"/>
    <w:rsid w:val="004D1C39"/>
    <w:rsid w:val="004D2239"/>
    <w:rsid w:val="004D22C2"/>
    <w:rsid w:val="004D23F2"/>
    <w:rsid w:val="004D24D0"/>
    <w:rsid w:val="004D252D"/>
    <w:rsid w:val="004D259E"/>
    <w:rsid w:val="004D2C31"/>
    <w:rsid w:val="004D304B"/>
    <w:rsid w:val="004D3181"/>
    <w:rsid w:val="004D330F"/>
    <w:rsid w:val="004D37C3"/>
    <w:rsid w:val="004D3995"/>
    <w:rsid w:val="004D3CEA"/>
    <w:rsid w:val="004D4183"/>
    <w:rsid w:val="004D42C2"/>
    <w:rsid w:val="004D42CE"/>
    <w:rsid w:val="004D4399"/>
    <w:rsid w:val="004D48A4"/>
    <w:rsid w:val="004D4924"/>
    <w:rsid w:val="004D4FEC"/>
    <w:rsid w:val="004D554B"/>
    <w:rsid w:val="004D5740"/>
    <w:rsid w:val="004D585D"/>
    <w:rsid w:val="004D592C"/>
    <w:rsid w:val="004D5D53"/>
    <w:rsid w:val="004D5DCC"/>
    <w:rsid w:val="004D6049"/>
    <w:rsid w:val="004D63F1"/>
    <w:rsid w:val="004D6676"/>
    <w:rsid w:val="004D67A2"/>
    <w:rsid w:val="004D67CD"/>
    <w:rsid w:val="004D67EC"/>
    <w:rsid w:val="004D6B75"/>
    <w:rsid w:val="004D6D96"/>
    <w:rsid w:val="004D73BE"/>
    <w:rsid w:val="004D77BC"/>
    <w:rsid w:val="004D7B8F"/>
    <w:rsid w:val="004E0204"/>
    <w:rsid w:val="004E023F"/>
    <w:rsid w:val="004E0519"/>
    <w:rsid w:val="004E06D7"/>
    <w:rsid w:val="004E0748"/>
    <w:rsid w:val="004E09D0"/>
    <w:rsid w:val="004E0AB8"/>
    <w:rsid w:val="004E0E27"/>
    <w:rsid w:val="004E1244"/>
    <w:rsid w:val="004E12E9"/>
    <w:rsid w:val="004E154A"/>
    <w:rsid w:val="004E18B7"/>
    <w:rsid w:val="004E18BE"/>
    <w:rsid w:val="004E1B3E"/>
    <w:rsid w:val="004E1C34"/>
    <w:rsid w:val="004E1D48"/>
    <w:rsid w:val="004E216F"/>
    <w:rsid w:val="004E2339"/>
    <w:rsid w:val="004E2AB8"/>
    <w:rsid w:val="004E2B0A"/>
    <w:rsid w:val="004E2D2C"/>
    <w:rsid w:val="004E2F20"/>
    <w:rsid w:val="004E30D7"/>
    <w:rsid w:val="004E3387"/>
    <w:rsid w:val="004E3431"/>
    <w:rsid w:val="004E3590"/>
    <w:rsid w:val="004E35C0"/>
    <w:rsid w:val="004E3771"/>
    <w:rsid w:val="004E377C"/>
    <w:rsid w:val="004E393D"/>
    <w:rsid w:val="004E3D47"/>
    <w:rsid w:val="004E4077"/>
    <w:rsid w:val="004E4511"/>
    <w:rsid w:val="004E4525"/>
    <w:rsid w:val="004E46F3"/>
    <w:rsid w:val="004E4C49"/>
    <w:rsid w:val="004E4DB7"/>
    <w:rsid w:val="004E550C"/>
    <w:rsid w:val="004E57DC"/>
    <w:rsid w:val="004E58C8"/>
    <w:rsid w:val="004E5F86"/>
    <w:rsid w:val="004E6063"/>
    <w:rsid w:val="004E6274"/>
    <w:rsid w:val="004E6349"/>
    <w:rsid w:val="004E6468"/>
    <w:rsid w:val="004E6533"/>
    <w:rsid w:val="004E67F6"/>
    <w:rsid w:val="004E6962"/>
    <w:rsid w:val="004E7086"/>
    <w:rsid w:val="004E7189"/>
    <w:rsid w:val="004E71C8"/>
    <w:rsid w:val="004E740B"/>
    <w:rsid w:val="004E7644"/>
    <w:rsid w:val="004E771E"/>
    <w:rsid w:val="004E7D67"/>
    <w:rsid w:val="004F0171"/>
    <w:rsid w:val="004F0180"/>
    <w:rsid w:val="004F03A7"/>
    <w:rsid w:val="004F0709"/>
    <w:rsid w:val="004F0AEF"/>
    <w:rsid w:val="004F0BA4"/>
    <w:rsid w:val="004F11E3"/>
    <w:rsid w:val="004F1926"/>
    <w:rsid w:val="004F1BAE"/>
    <w:rsid w:val="004F1EC1"/>
    <w:rsid w:val="004F2034"/>
    <w:rsid w:val="004F2978"/>
    <w:rsid w:val="004F2B13"/>
    <w:rsid w:val="004F2C61"/>
    <w:rsid w:val="004F317D"/>
    <w:rsid w:val="004F3245"/>
    <w:rsid w:val="004F35AC"/>
    <w:rsid w:val="004F3A4B"/>
    <w:rsid w:val="004F3BF3"/>
    <w:rsid w:val="004F47DD"/>
    <w:rsid w:val="004F4DDF"/>
    <w:rsid w:val="004F4E05"/>
    <w:rsid w:val="004F5420"/>
    <w:rsid w:val="004F5576"/>
    <w:rsid w:val="004F55B5"/>
    <w:rsid w:val="004F5867"/>
    <w:rsid w:val="004F5BB0"/>
    <w:rsid w:val="004F5CEF"/>
    <w:rsid w:val="004F6043"/>
    <w:rsid w:val="004F608D"/>
    <w:rsid w:val="004F6215"/>
    <w:rsid w:val="004F630F"/>
    <w:rsid w:val="004F65F8"/>
    <w:rsid w:val="004F6D93"/>
    <w:rsid w:val="004F6E4D"/>
    <w:rsid w:val="004F775D"/>
    <w:rsid w:val="004F7FE1"/>
    <w:rsid w:val="0050023D"/>
    <w:rsid w:val="0050040C"/>
    <w:rsid w:val="00500468"/>
    <w:rsid w:val="005005BA"/>
    <w:rsid w:val="00500801"/>
    <w:rsid w:val="00500B5A"/>
    <w:rsid w:val="005011CE"/>
    <w:rsid w:val="0050125F"/>
    <w:rsid w:val="005012EB"/>
    <w:rsid w:val="0050170A"/>
    <w:rsid w:val="0050196A"/>
    <w:rsid w:val="00501C8C"/>
    <w:rsid w:val="005027F9"/>
    <w:rsid w:val="0050294C"/>
    <w:rsid w:val="005029ED"/>
    <w:rsid w:val="00502EA3"/>
    <w:rsid w:val="0050321B"/>
    <w:rsid w:val="0050356F"/>
    <w:rsid w:val="0050378B"/>
    <w:rsid w:val="0050394E"/>
    <w:rsid w:val="00503C3F"/>
    <w:rsid w:val="00503CE0"/>
    <w:rsid w:val="00503F8A"/>
    <w:rsid w:val="005048A6"/>
    <w:rsid w:val="00504964"/>
    <w:rsid w:val="005049E2"/>
    <w:rsid w:val="005055C9"/>
    <w:rsid w:val="00505637"/>
    <w:rsid w:val="005056FD"/>
    <w:rsid w:val="005057BE"/>
    <w:rsid w:val="005058F0"/>
    <w:rsid w:val="005059E6"/>
    <w:rsid w:val="00505A4B"/>
    <w:rsid w:val="005065AD"/>
    <w:rsid w:val="00506631"/>
    <w:rsid w:val="00506DB7"/>
    <w:rsid w:val="00506E76"/>
    <w:rsid w:val="00506EBF"/>
    <w:rsid w:val="00506F85"/>
    <w:rsid w:val="00507069"/>
    <w:rsid w:val="00507106"/>
    <w:rsid w:val="005076EC"/>
    <w:rsid w:val="005079AC"/>
    <w:rsid w:val="00507AD2"/>
    <w:rsid w:val="00507B55"/>
    <w:rsid w:val="00507E40"/>
    <w:rsid w:val="00507FDC"/>
    <w:rsid w:val="00510063"/>
    <w:rsid w:val="005102A1"/>
    <w:rsid w:val="0051036A"/>
    <w:rsid w:val="0051094C"/>
    <w:rsid w:val="00510C9C"/>
    <w:rsid w:val="00510D7A"/>
    <w:rsid w:val="00510DEC"/>
    <w:rsid w:val="00511242"/>
    <w:rsid w:val="00511289"/>
    <w:rsid w:val="00511821"/>
    <w:rsid w:val="005118C0"/>
    <w:rsid w:val="00511A17"/>
    <w:rsid w:val="00511BEE"/>
    <w:rsid w:val="00511C37"/>
    <w:rsid w:val="00511F59"/>
    <w:rsid w:val="005122B2"/>
    <w:rsid w:val="005124F7"/>
    <w:rsid w:val="00512627"/>
    <w:rsid w:val="00512B4D"/>
    <w:rsid w:val="00512C7F"/>
    <w:rsid w:val="00512F96"/>
    <w:rsid w:val="0051308B"/>
    <w:rsid w:val="005131B6"/>
    <w:rsid w:val="005133CB"/>
    <w:rsid w:val="00513C95"/>
    <w:rsid w:val="00513E2C"/>
    <w:rsid w:val="00513EEF"/>
    <w:rsid w:val="00514745"/>
    <w:rsid w:val="005147EE"/>
    <w:rsid w:val="00514D3C"/>
    <w:rsid w:val="00514EA8"/>
    <w:rsid w:val="0051506C"/>
    <w:rsid w:val="00515665"/>
    <w:rsid w:val="005159CA"/>
    <w:rsid w:val="005159D9"/>
    <w:rsid w:val="00515BD7"/>
    <w:rsid w:val="00515DB1"/>
    <w:rsid w:val="00515DDC"/>
    <w:rsid w:val="005162DD"/>
    <w:rsid w:val="0051635E"/>
    <w:rsid w:val="0051657F"/>
    <w:rsid w:val="005167ED"/>
    <w:rsid w:val="0051690B"/>
    <w:rsid w:val="0051694F"/>
    <w:rsid w:val="005171EB"/>
    <w:rsid w:val="00517340"/>
    <w:rsid w:val="00517491"/>
    <w:rsid w:val="005177BD"/>
    <w:rsid w:val="0051797A"/>
    <w:rsid w:val="005204E7"/>
    <w:rsid w:val="005205CD"/>
    <w:rsid w:val="00520C1B"/>
    <w:rsid w:val="00521129"/>
    <w:rsid w:val="00521135"/>
    <w:rsid w:val="0052124D"/>
    <w:rsid w:val="00521277"/>
    <w:rsid w:val="0052153D"/>
    <w:rsid w:val="00521A05"/>
    <w:rsid w:val="00522032"/>
    <w:rsid w:val="00522365"/>
    <w:rsid w:val="0052252F"/>
    <w:rsid w:val="00522BD0"/>
    <w:rsid w:val="00522E34"/>
    <w:rsid w:val="00523687"/>
    <w:rsid w:val="005236E4"/>
    <w:rsid w:val="00523786"/>
    <w:rsid w:val="00523A00"/>
    <w:rsid w:val="00523A4B"/>
    <w:rsid w:val="0052411C"/>
    <w:rsid w:val="00524180"/>
    <w:rsid w:val="005249B2"/>
    <w:rsid w:val="005252B6"/>
    <w:rsid w:val="0052566C"/>
    <w:rsid w:val="00525EE4"/>
    <w:rsid w:val="0052620A"/>
    <w:rsid w:val="005263A6"/>
    <w:rsid w:val="0052645C"/>
    <w:rsid w:val="0052682A"/>
    <w:rsid w:val="00526A83"/>
    <w:rsid w:val="00526E02"/>
    <w:rsid w:val="00526F5D"/>
    <w:rsid w:val="0052709C"/>
    <w:rsid w:val="005270FF"/>
    <w:rsid w:val="0052731D"/>
    <w:rsid w:val="00527361"/>
    <w:rsid w:val="0052749B"/>
    <w:rsid w:val="0052757F"/>
    <w:rsid w:val="00527AA1"/>
    <w:rsid w:val="00527D80"/>
    <w:rsid w:val="0053003A"/>
    <w:rsid w:val="0053032D"/>
    <w:rsid w:val="005304B8"/>
    <w:rsid w:val="00530546"/>
    <w:rsid w:val="00530D71"/>
    <w:rsid w:val="0053118D"/>
    <w:rsid w:val="005315BA"/>
    <w:rsid w:val="0053189B"/>
    <w:rsid w:val="0053191A"/>
    <w:rsid w:val="00531C6B"/>
    <w:rsid w:val="00531DA6"/>
    <w:rsid w:val="0053280D"/>
    <w:rsid w:val="00532951"/>
    <w:rsid w:val="00532B87"/>
    <w:rsid w:val="00532BBB"/>
    <w:rsid w:val="0053343C"/>
    <w:rsid w:val="005335ED"/>
    <w:rsid w:val="005336F4"/>
    <w:rsid w:val="00534378"/>
    <w:rsid w:val="00534ABA"/>
    <w:rsid w:val="00534BD3"/>
    <w:rsid w:val="0053500B"/>
    <w:rsid w:val="005352D0"/>
    <w:rsid w:val="00535452"/>
    <w:rsid w:val="005355B7"/>
    <w:rsid w:val="005355CE"/>
    <w:rsid w:val="0053575D"/>
    <w:rsid w:val="00535A33"/>
    <w:rsid w:val="00535C60"/>
    <w:rsid w:val="00535E2C"/>
    <w:rsid w:val="00536124"/>
    <w:rsid w:val="005361C4"/>
    <w:rsid w:val="005363A3"/>
    <w:rsid w:val="00536527"/>
    <w:rsid w:val="00536B9C"/>
    <w:rsid w:val="00536F32"/>
    <w:rsid w:val="00537097"/>
    <w:rsid w:val="005375F7"/>
    <w:rsid w:val="005376BA"/>
    <w:rsid w:val="005376E9"/>
    <w:rsid w:val="005379B6"/>
    <w:rsid w:val="00537C9B"/>
    <w:rsid w:val="00537CDE"/>
    <w:rsid w:val="00540393"/>
    <w:rsid w:val="00540427"/>
    <w:rsid w:val="005404CD"/>
    <w:rsid w:val="0054093F"/>
    <w:rsid w:val="00541005"/>
    <w:rsid w:val="00541334"/>
    <w:rsid w:val="005416C4"/>
    <w:rsid w:val="00541EF0"/>
    <w:rsid w:val="00542265"/>
    <w:rsid w:val="00542310"/>
    <w:rsid w:val="00542420"/>
    <w:rsid w:val="00542488"/>
    <w:rsid w:val="00542586"/>
    <w:rsid w:val="00542EAD"/>
    <w:rsid w:val="00543050"/>
    <w:rsid w:val="005431BC"/>
    <w:rsid w:val="00543234"/>
    <w:rsid w:val="00543379"/>
    <w:rsid w:val="00543545"/>
    <w:rsid w:val="005439C7"/>
    <w:rsid w:val="00543EBB"/>
    <w:rsid w:val="00544039"/>
    <w:rsid w:val="005441A8"/>
    <w:rsid w:val="005442B4"/>
    <w:rsid w:val="005449C0"/>
    <w:rsid w:val="00544E52"/>
    <w:rsid w:val="00544EB1"/>
    <w:rsid w:val="0054545B"/>
    <w:rsid w:val="00545663"/>
    <w:rsid w:val="00545C2F"/>
    <w:rsid w:val="005460BE"/>
    <w:rsid w:val="00546169"/>
    <w:rsid w:val="0054671A"/>
    <w:rsid w:val="00546B0A"/>
    <w:rsid w:val="00546BB3"/>
    <w:rsid w:val="00546FC2"/>
    <w:rsid w:val="005471EB"/>
    <w:rsid w:val="005473E0"/>
    <w:rsid w:val="00547E1C"/>
    <w:rsid w:val="00547F43"/>
    <w:rsid w:val="00547FD0"/>
    <w:rsid w:val="00550041"/>
    <w:rsid w:val="00550528"/>
    <w:rsid w:val="005508AE"/>
    <w:rsid w:val="00550E13"/>
    <w:rsid w:val="00551095"/>
    <w:rsid w:val="005512A5"/>
    <w:rsid w:val="005513C4"/>
    <w:rsid w:val="005513F0"/>
    <w:rsid w:val="005514AF"/>
    <w:rsid w:val="00551A7F"/>
    <w:rsid w:val="005521E1"/>
    <w:rsid w:val="00552224"/>
    <w:rsid w:val="0055245E"/>
    <w:rsid w:val="0055249A"/>
    <w:rsid w:val="00552560"/>
    <w:rsid w:val="00552A2C"/>
    <w:rsid w:val="00552E31"/>
    <w:rsid w:val="005531C5"/>
    <w:rsid w:val="005534C3"/>
    <w:rsid w:val="00553546"/>
    <w:rsid w:val="005535E4"/>
    <w:rsid w:val="00553846"/>
    <w:rsid w:val="005538A3"/>
    <w:rsid w:val="00553BDB"/>
    <w:rsid w:val="00553C5C"/>
    <w:rsid w:val="005542F0"/>
    <w:rsid w:val="00554411"/>
    <w:rsid w:val="005546C2"/>
    <w:rsid w:val="0055487B"/>
    <w:rsid w:val="00554CAD"/>
    <w:rsid w:val="00555357"/>
    <w:rsid w:val="0055536B"/>
    <w:rsid w:val="00555445"/>
    <w:rsid w:val="005554E0"/>
    <w:rsid w:val="005554E3"/>
    <w:rsid w:val="005555E9"/>
    <w:rsid w:val="0055590C"/>
    <w:rsid w:val="00555AA0"/>
    <w:rsid w:val="00555E1C"/>
    <w:rsid w:val="00556257"/>
    <w:rsid w:val="005568D0"/>
    <w:rsid w:val="00556A08"/>
    <w:rsid w:val="00556E93"/>
    <w:rsid w:val="00556FF4"/>
    <w:rsid w:val="0055709C"/>
    <w:rsid w:val="0055731C"/>
    <w:rsid w:val="0055733D"/>
    <w:rsid w:val="00557688"/>
    <w:rsid w:val="00557D96"/>
    <w:rsid w:val="00560093"/>
    <w:rsid w:val="00560DC3"/>
    <w:rsid w:val="00560F03"/>
    <w:rsid w:val="005610C0"/>
    <w:rsid w:val="00561267"/>
    <w:rsid w:val="00561425"/>
    <w:rsid w:val="005621BD"/>
    <w:rsid w:val="00562B9F"/>
    <w:rsid w:val="00562FCE"/>
    <w:rsid w:val="0056310D"/>
    <w:rsid w:val="00563310"/>
    <w:rsid w:val="00563601"/>
    <w:rsid w:val="00563749"/>
    <w:rsid w:val="00563CAF"/>
    <w:rsid w:val="00564112"/>
    <w:rsid w:val="00564231"/>
    <w:rsid w:val="005642C2"/>
    <w:rsid w:val="00564B22"/>
    <w:rsid w:val="00564DB3"/>
    <w:rsid w:val="0056562C"/>
    <w:rsid w:val="00565A9D"/>
    <w:rsid w:val="00565AC3"/>
    <w:rsid w:val="00565CC6"/>
    <w:rsid w:val="005662BD"/>
    <w:rsid w:val="00566327"/>
    <w:rsid w:val="00566419"/>
    <w:rsid w:val="0056653E"/>
    <w:rsid w:val="00566B1D"/>
    <w:rsid w:val="0056710F"/>
    <w:rsid w:val="00567562"/>
    <w:rsid w:val="00567F9D"/>
    <w:rsid w:val="0057016F"/>
    <w:rsid w:val="00570397"/>
    <w:rsid w:val="00570719"/>
    <w:rsid w:val="005707D2"/>
    <w:rsid w:val="00571433"/>
    <w:rsid w:val="0057199F"/>
    <w:rsid w:val="00571B8E"/>
    <w:rsid w:val="00571D40"/>
    <w:rsid w:val="00571FC4"/>
    <w:rsid w:val="005722A4"/>
    <w:rsid w:val="00572594"/>
    <w:rsid w:val="00572698"/>
    <w:rsid w:val="00572CBB"/>
    <w:rsid w:val="00572F76"/>
    <w:rsid w:val="0057315A"/>
    <w:rsid w:val="00573493"/>
    <w:rsid w:val="00573575"/>
    <w:rsid w:val="005737D7"/>
    <w:rsid w:val="0057384C"/>
    <w:rsid w:val="005738C4"/>
    <w:rsid w:val="00573C55"/>
    <w:rsid w:val="00573C8D"/>
    <w:rsid w:val="00573E14"/>
    <w:rsid w:val="005740FB"/>
    <w:rsid w:val="0057412B"/>
    <w:rsid w:val="00574834"/>
    <w:rsid w:val="005749AB"/>
    <w:rsid w:val="005749E5"/>
    <w:rsid w:val="00574A2C"/>
    <w:rsid w:val="00574F5F"/>
    <w:rsid w:val="00574FF8"/>
    <w:rsid w:val="005751AE"/>
    <w:rsid w:val="005752B2"/>
    <w:rsid w:val="0057560E"/>
    <w:rsid w:val="00575C24"/>
    <w:rsid w:val="00575CA9"/>
    <w:rsid w:val="00575D70"/>
    <w:rsid w:val="00575DC2"/>
    <w:rsid w:val="0057658E"/>
    <w:rsid w:val="0057662A"/>
    <w:rsid w:val="005766A2"/>
    <w:rsid w:val="005768C4"/>
    <w:rsid w:val="00576966"/>
    <w:rsid w:val="00576A3B"/>
    <w:rsid w:val="00576E07"/>
    <w:rsid w:val="00576E89"/>
    <w:rsid w:val="005770E2"/>
    <w:rsid w:val="00577391"/>
    <w:rsid w:val="00577413"/>
    <w:rsid w:val="0057773C"/>
    <w:rsid w:val="00577B7A"/>
    <w:rsid w:val="00577C81"/>
    <w:rsid w:val="00577D7E"/>
    <w:rsid w:val="0058004E"/>
    <w:rsid w:val="005808C7"/>
    <w:rsid w:val="00580E1E"/>
    <w:rsid w:val="00580F75"/>
    <w:rsid w:val="005812D0"/>
    <w:rsid w:val="005819F6"/>
    <w:rsid w:val="00581B46"/>
    <w:rsid w:val="00581C17"/>
    <w:rsid w:val="005820FF"/>
    <w:rsid w:val="0058219D"/>
    <w:rsid w:val="005822EC"/>
    <w:rsid w:val="005824A8"/>
    <w:rsid w:val="0058292B"/>
    <w:rsid w:val="00582EC0"/>
    <w:rsid w:val="00582F01"/>
    <w:rsid w:val="00582F14"/>
    <w:rsid w:val="005831A5"/>
    <w:rsid w:val="00583BC5"/>
    <w:rsid w:val="00583D2F"/>
    <w:rsid w:val="005841B6"/>
    <w:rsid w:val="0058448C"/>
    <w:rsid w:val="0058492F"/>
    <w:rsid w:val="005849A7"/>
    <w:rsid w:val="00584AD9"/>
    <w:rsid w:val="00584B72"/>
    <w:rsid w:val="00584F4B"/>
    <w:rsid w:val="0058523A"/>
    <w:rsid w:val="00585445"/>
    <w:rsid w:val="0058590C"/>
    <w:rsid w:val="005859A7"/>
    <w:rsid w:val="00585D55"/>
    <w:rsid w:val="00585FCC"/>
    <w:rsid w:val="00586683"/>
    <w:rsid w:val="005867D3"/>
    <w:rsid w:val="00586A0A"/>
    <w:rsid w:val="00586A4B"/>
    <w:rsid w:val="00586BB1"/>
    <w:rsid w:val="00586CD8"/>
    <w:rsid w:val="00586FA5"/>
    <w:rsid w:val="0058771D"/>
    <w:rsid w:val="0058788D"/>
    <w:rsid w:val="005878D1"/>
    <w:rsid w:val="00587972"/>
    <w:rsid w:val="00587C5B"/>
    <w:rsid w:val="0059000D"/>
    <w:rsid w:val="00590758"/>
    <w:rsid w:val="005909F5"/>
    <w:rsid w:val="00590EF1"/>
    <w:rsid w:val="00591786"/>
    <w:rsid w:val="00591890"/>
    <w:rsid w:val="00591B53"/>
    <w:rsid w:val="00591BAE"/>
    <w:rsid w:val="00591F15"/>
    <w:rsid w:val="005920A8"/>
    <w:rsid w:val="00592290"/>
    <w:rsid w:val="00592389"/>
    <w:rsid w:val="0059249E"/>
    <w:rsid w:val="00592709"/>
    <w:rsid w:val="00592C82"/>
    <w:rsid w:val="005937DF"/>
    <w:rsid w:val="00593B81"/>
    <w:rsid w:val="00593D6F"/>
    <w:rsid w:val="00593FC1"/>
    <w:rsid w:val="005941E5"/>
    <w:rsid w:val="005941ED"/>
    <w:rsid w:val="0059422E"/>
    <w:rsid w:val="00594320"/>
    <w:rsid w:val="005945E8"/>
    <w:rsid w:val="00594707"/>
    <w:rsid w:val="00594754"/>
    <w:rsid w:val="005949F2"/>
    <w:rsid w:val="00594EDD"/>
    <w:rsid w:val="00594FC0"/>
    <w:rsid w:val="005950AC"/>
    <w:rsid w:val="005960C5"/>
    <w:rsid w:val="00596220"/>
    <w:rsid w:val="005967DE"/>
    <w:rsid w:val="00596B32"/>
    <w:rsid w:val="0059716D"/>
    <w:rsid w:val="005972E5"/>
    <w:rsid w:val="00597582"/>
    <w:rsid w:val="00597A28"/>
    <w:rsid w:val="005A00C6"/>
    <w:rsid w:val="005A03D9"/>
    <w:rsid w:val="005A0674"/>
    <w:rsid w:val="005A0FC4"/>
    <w:rsid w:val="005A126F"/>
    <w:rsid w:val="005A190A"/>
    <w:rsid w:val="005A196E"/>
    <w:rsid w:val="005A1DD6"/>
    <w:rsid w:val="005A241E"/>
    <w:rsid w:val="005A24FF"/>
    <w:rsid w:val="005A259F"/>
    <w:rsid w:val="005A28A3"/>
    <w:rsid w:val="005A2C90"/>
    <w:rsid w:val="005A2ED3"/>
    <w:rsid w:val="005A2EF3"/>
    <w:rsid w:val="005A31C4"/>
    <w:rsid w:val="005A33C4"/>
    <w:rsid w:val="005A3497"/>
    <w:rsid w:val="005A3650"/>
    <w:rsid w:val="005A3667"/>
    <w:rsid w:val="005A38DF"/>
    <w:rsid w:val="005A3D83"/>
    <w:rsid w:val="005A3EF2"/>
    <w:rsid w:val="005A3F74"/>
    <w:rsid w:val="005A3FC4"/>
    <w:rsid w:val="005A3FC9"/>
    <w:rsid w:val="005A4231"/>
    <w:rsid w:val="005A42A0"/>
    <w:rsid w:val="005A4446"/>
    <w:rsid w:val="005A489C"/>
    <w:rsid w:val="005A48D4"/>
    <w:rsid w:val="005A4906"/>
    <w:rsid w:val="005A4915"/>
    <w:rsid w:val="005A4AC5"/>
    <w:rsid w:val="005A4F14"/>
    <w:rsid w:val="005A4F29"/>
    <w:rsid w:val="005A5095"/>
    <w:rsid w:val="005A50AB"/>
    <w:rsid w:val="005A5358"/>
    <w:rsid w:val="005A53B3"/>
    <w:rsid w:val="005A5737"/>
    <w:rsid w:val="005A5BB9"/>
    <w:rsid w:val="005A632A"/>
    <w:rsid w:val="005A6621"/>
    <w:rsid w:val="005A6B42"/>
    <w:rsid w:val="005A7121"/>
    <w:rsid w:val="005A73C9"/>
    <w:rsid w:val="005A7A78"/>
    <w:rsid w:val="005A7C54"/>
    <w:rsid w:val="005A7EA2"/>
    <w:rsid w:val="005B00A0"/>
    <w:rsid w:val="005B041F"/>
    <w:rsid w:val="005B0898"/>
    <w:rsid w:val="005B0BCB"/>
    <w:rsid w:val="005B0E18"/>
    <w:rsid w:val="005B109D"/>
    <w:rsid w:val="005B15BC"/>
    <w:rsid w:val="005B16D3"/>
    <w:rsid w:val="005B1701"/>
    <w:rsid w:val="005B1712"/>
    <w:rsid w:val="005B189B"/>
    <w:rsid w:val="005B2161"/>
    <w:rsid w:val="005B23D5"/>
    <w:rsid w:val="005B244D"/>
    <w:rsid w:val="005B26E9"/>
    <w:rsid w:val="005B2C04"/>
    <w:rsid w:val="005B2C28"/>
    <w:rsid w:val="005B2EFD"/>
    <w:rsid w:val="005B31EF"/>
    <w:rsid w:val="005B3577"/>
    <w:rsid w:val="005B394E"/>
    <w:rsid w:val="005B39BA"/>
    <w:rsid w:val="005B3B86"/>
    <w:rsid w:val="005B3BCC"/>
    <w:rsid w:val="005B3F3D"/>
    <w:rsid w:val="005B44C1"/>
    <w:rsid w:val="005B48BA"/>
    <w:rsid w:val="005B4AF7"/>
    <w:rsid w:val="005B4F57"/>
    <w:rsid w:val="005B5461"/>
    <w:rsid w:val="005B5A16"/>
    <w:rsid w:val="005B5A6D"/>
    <w:rsid w:val="005B5DCC"/>
    <w:rsid w:val="005B5E27"/>
    <w:rsid w:val="005B6343"/>
    <w:rsid w:val="005B64C8"/>
    <w:rsid w:val="005B6AA4"/>
    <w:rsid w:val="005B6DE7"/>
    <w:rsid w:val="005B6F99"/>
    <w:rsid w:val="005B75BF"/>
    <w:rsid w:val="005B7A5B"/>
    <w:rsid w:val="005B7BB3"/>
    <w:rsid w:val="005C0335"/>
    <w:rsid w:val="005C066F"/>
    <w:rsid w:val="005C06F2"/>
    <w:rsid w:val="005C0877"/>
    <w:rsid w:val="005C09CB"/>
    <w:rsid w:val="005C0E70"/>
    <w:rsid w:val="005C11D6"/>
    <w:rsid w:val="005C11F0"/>
    <w:rsid w:val="005C15A0"/>
    <w:rsid w:val="005C1856"/>
    <w:rsid w:val="005C19A5"/>
    <w:rsid w:val="005C1CDE"/>
    <w:rsid w:val="005C2738"/>
    <w:rsid w:val="005C2AE3"/>
    <w:rsid w:val="005C2FB4"/>
    <w:rsid w:val="005C312F"/>
    <w:rsid w:val="005C3139"/>
    <w:rsid w:val="005C3248"/>
    <w:rsid w:val="005C33D2"/>
    <w:rsid w:val="005C34C4"/>
    <w:rsid w:val="005C34C9"/>
    <w:rsid w:val="005C3B4C"/>
    <w:rsid w:val="005C3C6E"/>
    <w:rsid w:val="005C3C95"/>
    <w:rsid w:val="005C3D6A"/>
    <w:rsid w:val="005C3DE7"/>
    <w:rsid w:val="005C43C9"/>
    <w:rsid w:val="005C44F8"/>
    <w:rsid w:val="005C46FB"/>
    <w:rsid w:val="005C47FA"/>
    <w:rsid w:val="005C4B07"/>
    <w:rsid w:val="005C4F2A"/>
    <w:rsid w:val="005C50C2"/>
    <w:rsid w:val="005C5246"/>
    <w:rsid w:val="005C537A"/>
    <w:rsid w:val="005C5380"/>
    <w:rsid w:val="005C56B0"/>
    <w:rsid w:val="005C58B5"/>
    <w:rsid w:val="005C5B77"/>
    <w:rsid w:val="005C5B8C"/>
    <w:rsid w:val="005C5D64"/>
    <w:rsid w:val="005C639D"/>
    <w:rsid w:val="005C68EE"/>
    <w:rsid w:val="005C720C"/>
    <w:rsid w:val="005C7695"/>
    <w:rsid w:val="005C7764"/>
    <w:rsid w:val="005C7B50"/>
    <w:rsid w:val="005C7D83"/>
    <w:rsid w:val="005C7DB1"/>
    <w:rsid w:val="005D01DD"/>
    <w:rsid w:val="005D03F0"/>
    <w:rsid w:val="005D0501"/>
    <w:rsid w:val="005D0790"/>
    <w:rsid w:val="005D07E6"/>
    <w:rsid w:val="005D0A14"/>
    <w:rsid w:val="005D0ABA"/>
    <w:rsid w:val="005D0B4A"/>
    <w:rsid w:val="005D0DC5"/>
    <w:rsid w:val="005D0DC6"/>
    <w:rsid w:val="005D138E"/>
    <w:rsid w:val="005D186D"/>
    <w:rsid w:val="005D1B5A"/>
    <w:rsid w:val="005D1BA7"/>
    <w:rsid w:val="005D1F6C"/>
    <w:rsid w:val="005D1F8C"/>
    <w:rsid w:val="005D2216"/>
    <w:rsid w:val="005D252E"/>
    <w:rsid w:val="005D25AF"/>
    <w:rsid w:val="005D2BFD"/>
    <w:rsid w:val="005D3373"/>
    <w:rsid w:val="005D3385"/>
    <w:rsid w:val="005D3390"/>
    <w:rsid w:val="005D346A"/>
    <w:rsid w:val="005D38D4"/>
    <w:rsid w:val="005D38F2"/>
    <w:rsid w:val="005D3B31"/>
    <w:rsid w:val="005D3B39"/>
    <w:rsid w:val="005D4494"/>
    <w:rsid w:val="005D4530"/>
    <w:rsid w:val="005D45A7"/>
    <w:rsid w:val="005D4AF1"/>
    <w:rsid w:val="005D4CE4"/>
    <w:rsid w:val="005D4F84"/>
    <w:rsid w:val="005D50D1"/>
    <w:rsid w:val="005D540A"/>
    <w:rsid w:val="005D540B"/>
    <w:rsid w:val="005D5504"/>
    <w:rsid w:val="005D57C7"/>
    <w:rsid w:val="005D587C"/>
    <w:rsid w:val="005D5A70"/>
    <w:rsid w:val="005D5AB5"/>
    <w:rsid w:val="005D5C00"/>
    <w:rsid w:val="005D5C0E"/>
    <w:rsid w:val="005D5C40"/>
    <w:rsid w:val="005D5F00"/>
    <w:rsid w:val="005D63D0"/>
    <w:rsid w:val="005D6585"/>
    <w:rsid w:val="005D67DD"/>
    <w:rsid w:val="005D69D0"/>
    <w:rsid w:val="005D72F3"/>
    <w:rsid w:val="005D7AD1"/>
    <w:rsid w:val="005E0323"/>
    <w:rsid w:val="005E068D"/>
    <w:rsid w:val="005E0DC1"/>
    <w:rsid w:val="005E0DEA"/>
    <w:rsid w:val="005E0EFE"/>
    <w:rsid w:val="005E101E"/>
    <w:rsid w:val="005E1342"/>
    <w:rsid w:val="005E15C2"/>
    <w:rsid w:val="005E1D16"/>
    <w:rsid w:val="005E2095"/>
    <w:rsid w:val="005E2239"/>
    <w:rsid w:val="005E2414"/>
    <w:rsid w:val="005E2CDC"/>
    <w:rsid w:val="005E3375"/>
    <w:rsid w:val="005E3617"/>
    <w:rsid w:val="005E3CFD"/>
    <w:rsid w:val="005E3ECC"/>
    <w:rsid w:val="005E3FC2"/>
    <w:rsid w:val="005E44CD"/>
    <w:rsid w:val="005E47B7"/>
    <w:rsid w:val="005E4808"/>
    <w:rsid w:val="005E49A6"/>
    <w:rsid w:val="005E5008"/>
    <w:rsid w:val="005E52E6"/>
    <w:rsid w:val="005E538D"/>
    <w:rsid w:val="005E5E6A"/>
    <w:rsid w:val="005E6000"/>
    <w:rsid w:val="005E619E"/>
    <w:rsid w:val="005E676F"/>
    <w:rsid w:val="005E687E"/>
    <w:rsid w:val="005E6F33"/>
    <w:rsid w:val="005E75F7"/>
    <w:rsid w:val="005E7A4B"/>
    <w:rsid w:val="005E7CE7"/>
    <w:rsid w:val="005F0101"/>
    <w:rsid w:val="005F0241"/>
    <w:rsid w:val="005F0B0C"/>
    <w:rsid w:val="005F0C32"/>
    <w:rsid w:val="005F0F75"/>
    <w:rsid w:val="005F1098"/>
    <w:rsid w:val="005F1269"/>
    <w:rsid w:val="005F1303"/>
    <w:rsid w:val="005F139C"/>
    <w:rsid w:val="005F1855"/>
    <w:rsid w:val="005F18B4"/>
    <w:rsid w:val="005F1DC1"/>
    <w:rsid w:val="005F1E11"/>
    <w:rsid w:val="005F205B"/>
    <w:rsid w:val="005F2126"/>
    <w:rsid w:val="005F21F6"/>
    <w:rsid w:val="005F2272"/>
    <w:rsid w:val="005F29A0"/>
    <w:rsid w:val="005F2B86"/>
    <w:rsid w:val="005F2FC6"/>
    <w:rsid w:val="005F3057"/>
    <w:rsid w:val="005F3191"/>
    <w:rsid w:val="005F31E9"/>
    <w:rsid w:val="005F31EA"/>
    <w:rsid w:val="005F31EB"/>
    <w:rsid w:val="005F35AE"/>
    <w:rsid w:val="005F36B1"/>
    <w:rsid w:val="005F39D5"/>
    <w:rsid w:val="005F4274"/>
    <w:rsid w:val="005F43BB"/>
    <w:rsid w:val="005F452A"/>
    <w:rsid w:val="005F4990"/>
    <w:rsid w:val="005F516F"/>
    <w:rsid w:val="005F5664"/>
    <w:rsid w:val="005F571E"/>
    <w:rsid w:val="005F5C0C"/>
    <w:rsid w:val="005F5E5F"/>
    <w:rsid w:val="005F6197"/>
    <w:rsid w:val="005F626D"/>
    <w:rsid w:val="005F63B4"/>
    <w:rsid w:val="005F6799"/>
    <w:rsid w:val="005F6CF3"/>
    <w:rsid w:val="005F6DF3"/>
    <w:rsid w:val="005F724B"/>
    <w:rsid w:val="005F72F5"/>
    <w:rsid w:val="005F7628"/>
    <w:rsid w:val="005F7D0D"/>
    <w:rsid w:val="00600023"/>
    <w:rsid w:val="00600063"/>
    <w:rsid w:val="006002C8"/>
    <w:rsid w:val="00600388"/>
    <w:rsid w:val="0060066C"/>
    <w:rsid w:val="006008FA"/>
    <w:rsid w:val="00600911"/>
    <w:rsid w:val="00600D31"/>
    <w:rsid w:val="00600E81"/>
    <w:rsid w:val="00600FD5"/>
    <w:rsid w:val="006018C0"/>
    <w:rsid w:val="00601A45"/>
    <w:rsid w:val="00601C41"/>
    <w:rsid w:val="00601E25"/>
    <w:rsid w:val="00601E45"/>
    <w:rsid w:val="00601F2A"/>
    <w:rsid w:val="00602162"/>
    <w:rsid w:val="0060258F"/>
    <w:rsid w:val="0060262C"/>
    <w:rsid w:val="00602650"/>
    <w:rsid w:val="00602C11"/>
    <w:rsid w:val="006030A9"/>
    <w:rsid w:val="00603392"/>
    <w:rsid w:val="00603659"/>
    <w:rsid w:val="00603680"/>
    <w:rsid w:val="00603B27"/>
    <w:rsid w:val="00603DE8"/>
    <w:rsid w:val="00603F9F"/>
    <w:rsid w:val="006040D4"/>
    <w:rsid w:val="006043E8"/>
    <w:rsid w:val="0060471C"/>
    <w:rsid w:val="00604F16"/>
    <w:rsid w:val="00604F39"/>
    <w:rsid w:val="00604FD1"/>
    <w:rsid w:val="0060507E"/>
    <w:rsid w:val="00605782"/>
    <w:rsid w:val="0060626B"/>
    <w:rsid w:val="00606649"/>
    <w:rsid w:val="00606899"/>
    <w:rsid w:val="00606F98"/>
    <w:rsid w:val="0060705C"/>
    <w:rsid w:val="006073D0"/>
    <w:rsid w:val="006076DD"/>
    <w:rsid w:val="00607B9A"/>
    <w:rsid w:val="00607C74"/>
    <w:rsid w:val="00610074"/>
    <w:rsid w:val="00610CC9"/>
    <w:rsid w:val="00610EDF"/>
    <w:rsid w:val="0061101D"/>
    <w:rsid w:val="006110EF"/>
    <w:rsid w:val="00611128"/>
    <w:rsid w:val="00611A93"/>
    <w:rsid w:val="00611B1B"/>
    <w:rsid w:val="00612077"/>
    <w:rsid w:val="006121FF"/>
    <w:rsid w:val="006127AF"/>
    <w:rsid w:val="00612937"/>
    <w:rsid w:val="00612AD3"/>
    <w:rsid w:val="00613886"/>
    <w:rsid w:val="00613F12"/>
    <w:rsid w:val="006141C1"/>
    <w:rsid w:val="0061446C"/>
    <w:rsid w:val="006144F4"/>
    <w:rsid w:val="006146D0"/>
    <w:rsid w:val="00614829"/>
    <w:rsid w:val="006149B5"/>
    <w:rsid w:val="00614D9B"/>
    <w:rsid w:val="00614E72"/>
    <w:rsid w:val="00614E8A"/>
    <w:rsid w:val="0061505C"/>
    <w:rsid w:val="00615124"/>
    <w:rsid w:val="00615340"/>
    <w:rsid w:val="00615442"/>
    <w:rsid w:val="006155B6"/>
    <w:rsid w:val="006157B7"/>
    <w:rsid w:val="006157FD"/>
    <w:rsid w:val="006159C8"/>
    <w:rsid w:val="00615D85"/>
    <w:rsid w:val="00616167"/>
    <w:rsid w:val="006162DE"/>
    <w:rsid w:val="006165AC"/>
    <w:rsid w:val="006166F4"/>
    <w:rsid w:val="0061683A"/>
    <w:rsid w:val="00616AA6"/>
    <w:rsid w:val="0061729D"/>
    <w:rsid w:val="0061741B"/>
    <w:rsid w:val="00617475"/>
    <w:rsid w:val="0061752D"/>
    <w:rsid w:val="006178A9"/>
    <w:rsid w:val="0062057D"/>
    <w:rsid w:val="00620811"/>
    <w:rsid w:val="00620D7D"/>
    <w:rsid w:val="00620FB1"/>
    <w:rsid w:val="0062104F"/>
    <w:rsid w:val="00621100"/>
    <w:rsid w:val="00621140"/>
    <w:rsid w:val="006215D0"/>
    <w:rsid w:val="00621747"/>
    <w:rsid w:val="00621837"/>
    <w:rsid w:val="00621A7E"/>
    <w:rsid w:val="00621B2E"/>
    <w:rsid w:val="00621BBF"/>
    <w:rsid w:val="00622177"/>
    <w:rsid w:val="0062224F"/>
    <w:rsid w:val="0062257F"/>
    <w:rsid w:val="00622837"/>
    <w:rsid w:val="00622D4F"/>
    <w:rsid w:val="00622D85"/>
    <w:rsid w:val="00622F0E"/>
    <w:rsid w:val="00623709"/>
    <w:rsid w:val="00623730"/>
    <w:rsid w:val="006239BB"/>
    <w:rsid w:val="00623A17"/>
    <w:rsid w:val="00623A43"/>
    <w:rsid w:val="00623F04"/>
    <w:rsid w:val="0062412D"/>
    <w:rsid w:val="00624406"/>
    <w:rsid w:val="00624431"/>
    <w:rsid w:val="0062454A"/>
    <w:rsid w:val="00624970"/>
    <w:rsid w:val="00624B4D"/>
    <w:rsid w:val="00624B8A"/>
    <w:rsid w:val="00624D75"/>
    <w:rsid w:val="00625491"/>
    <w:rsid w:val="006256BA"/>
    <w:rsid w:val="006259D0"/>
    <w:rsid w:val="00626540"/>
    <w:rsid w:val="006269C4"/>
    <w:rsid w:val="006270B7"/>
    <w:rsid w:val="006307E9"/>
    <w:rsid w:val="00630DFD"/>
    <w:rsid w:val="00631048"/>
    <w:rsid w:val="006315F6"/>
    <w:rsid w:val="00631775"/>
    <w:rsid w:val="0063178E"/>
    <w:rsid w:val="00631D26"/>
    <w:rsid w:val="006320A7"/>
    <w:rsid w:val="0063243D"/>
    <w:rsid w:val="00632477"/>
    <w:rsid w:val="006324B5"/>
    <w:rsid w:val="006325CD"/>
    <w:rsid w:val="00633128"/>
    <w:rsid w:val="00633239"/>
    <w:rsid w:val="006336C4"/>
    <w:rsid w:val="00633848"/>
    <w:rsid w:val="00633D08"/>
    <w:rsid w:val="00633E94"/>
    <w:rsid w:val="00633ED8"/>
    <w:rsid w:val="006341A7"/>
    <w:rsid w:val="006342F6"/>
    <w:rsid w:val="0063443B"/>
    <w:rsid w:val="00634440"/>
    <w:rsid w:val="0063482C"/>
    <w:rsid w:val="00634974"/>
    <w:rsid w:val="006349BB"/>
    <w:rsid w:val="00634DB8"/>
    <w:rsid w:val="00634FA6"/>
    <w:rsid w:val="006352E6"/>
    <w:rsid w:val="006356D5"/>
    <w:rsid w:val="006356DA"/>
    <w:rsid w:val="00635752"/>
    <w:rsid w:val="006369ED"/>
    <w:rsid w:val="00636AAE"/>
    <w:rsid w:val="00636AFE"/>
    <w:rsid w:val="00636DAA"/>
    <w:rsid w:val="00636E00"/>
    <w:rsid w:val="00636F46"/>
    <w:rsid w:val="00636F6F"/>
    <w:rsid w:val="00637914"/>
    <w:rsid w:val="00637D6E"/>
    <w:rsid w:val="006400B0"/>
    <w:rsid w:val="006400D2"/>
    <w:rsid w:val="006403A9"/>
    <w:rsid w:val="006407D5"/>
    <w:rsid w:val="00640B4E"/>
    <w:rsid w:val="00641181"/>
    <w:rsid w:val="00641579"/>
    <w:rsid w:val="006418D5"/>
    <w:rsid w:val="00641DF4"/>
    <w:rsid w:val="0064236F"/>
    <w:rsid w:val="006423BD"/>
    <w:rsid w:val="006425ED"/>
    <w:rsid w:val="00642663"/>
    <w:rsid w:val="00642880"/>
    <w:rsid w:val="00642C19"/>
    <w:rsid w:val="00642EF2"/>
    <w:rsid w:val="0064303B"/>
    <w:rsid w:val="006431E8"/>
    <w:rsid w:val="0064332C"/>
    <w:rsid w:val="006433F4"/>
    <w:rsid w:val="006436D1"/>
    <w:rsid w:val="006438BC"/>
    <w:rsid w:val="00643A79"/>
    <w:rsid w:val="00643BA5"/>
    <w:rsid w:val="00643CA7"/>
    <w:rsid w:val="00643E78"/>
    <w:rsid w:val="00643EC7"/>
    <w:rsid w:val="0064426D"/>
    <w:rsid w:val="0064427C"/>
    <w:rsid w:val="006445E7"/>
    <w:rsid w:val="00644C51"/>
    <w:rsid w:val="00644EC2"/>
    <w:rsid w:val="006451EE"/>
    <w:rsid w:val="0064524B"/>
    <w:rsid w:val="00645278"/>
    <w:rsid w:val="006453C7"/>
    <w:rsid w:val="00645664"/>
    <w:rsid w:val="00645C81"/>
    <w:rsid w:val="00645D23"/>
    <w:rsid w:val="00645D6C"/>
    <w:rsid w:val="00645F05"/>
    <w:rsid w:val="0064620B"/>
    <w:rsid w:val="00646465"/>
    <w:rsid w:val="00646552"/>
    <w:rsid w:val="006466AF"/>
    <w:rsid w:val="00646929"/>
    <w:rsid w:val="00646C9C"/>
    <w:rsid w:val="00646F61"/>
    <w:rsid w:val="00647198"/>
    <w:rsid w:val="006477B6"/>
    <w:rsid w:val="006478BA"/>
    <w:rsid w:val="006478E1"/>
    <w:rsid w:val="00647C3C"/>
    <w:rsid w:val="00647FED"/>
    <w:rsid w:val="00650099"/>
    <w:rsid w:val="006501E2"/>
    <w:rsid w:val="006501E4"/>
    <w:rsid w:val="006504A4"/>
    <w:rsid w:val="0065073C"/>
    <w:rsid w:val="00650A5C"/>
    <w:rsid w:val="00650ADC"/>
    <w:rsid w:val="00650ADE"/>
    <w:rsid w:val="00650C54"/>
    <w:rsid w:val="00650D87"/>
    <w:rsid w:val="00650DCE"/>
    <w:rsid w:val="00650EA0"/>
    <w:rsid w:val="00650EB1"/>
    <w:rsid w:val="00651753"/>
    <w:rsid w:val="00651A58"/>
    <w:rsid w:val="00651DE8"/>
    <w:rsid w:val="00651E91"/>
    <w:rsid w:val="00651EB0"/>
    <w:rsid w:val="00652361"/>
    <w:rsid w:val="006524BE"/>
    <w:rsid w:val="0065277F"/>
    <w:rsid w:val="00652853"/>
    <w:rsid w:val="0065288B"/>
    <w:rsid w:val="00652DAF"/>
    <w:rsid w:val="00652FAE"/>
    <w:rsid w:val="00653117"/>
    <w:rsid w:val="006533A9"/>
    <w:rsid w:val="00653EC7"/>
    <w:rsid w:val="006542D1"/>
    <w:rsid w:val="00654A8C"/>
    <w:rsid w:val="00655046"/>
    <w:rsid w:val="006550B4"/>
    <w:rsid w:val="00655164"/>
    <w:rsid w:val="00655229"/>
    <w:rsid w:val="0065525C"/>
    <w:rsid w:val="006553CF"/>
    <w:rsid w:val="006555B4"/>
    <w:rsid w:val="0065562C"/>
    <w:rsid w:val="006557F6"/>
    <w:rsid w:val="0065644C"/>
    <w:rsid w:val="00656861"/>
    <w:rsid w:val="00656994"/>
    <w:rsid w:val="00656998"/>
    <w:rsid w:val="00656A93"/>
    <w:rsid w:val="00656B41"/>
    <w:rsid w:val="00656CD8"/>
    <w:rsid w:val="00656E6B"/>
    <w:rsid w:val="00656EB9"/>
    <w:rsid w:val="00656EF3"/>
    <w:rsid w:val="0065712F"/>
    <w:rsid w:val="006574D5"/>
    <w:rsid w:val="0065781B"/>
    <w:rsid w:val="00660359"/>
    <w:rsid w:val="00660406"/>
    <w:rsid w:val="00660948"/>
    <w:rsid w:val="006609C4"/>
    <w:rsid w:val="00660A88"/>
    <w:rsid w:val="00661121"/>
    <w:rsid w:val="0066112D"/>
    <w:rsid w:val="00661407"/>
    <w:rsid w:val="00661798"/>
    <w:rsid w:val="006618D4"/>
    <w:rsid w:val="006619AE"/>
    <w:rsid w:val="00661B8F"/>
    <w:rsid w:val="00661CE5"/>
    <w:rsid w:val="00662089"/>
    <w:rsid w:val="006620F8"/>
    <w:rsid w:val="00662943"/>
    <w:rsid w:val="00662E32"/>
    <w:rsid w:val="00662EC1"/>
    <w:rsid w:val="00662F13"/>
    <w:rsid w:val="00662FD5"/>
    <w:rsid w:val="00663017"/>
    <w:rsid w:val="0066318D"/>
    <w:rsid w:val="006631E6"/>
    <w:rsid w:val="006631F8"/>
    <w:rsid w:val="0066361D"/>
    <w:rsid w:val="00663648"/>
    <w:rsid w:val="0066412C"/>
    <w:rsid w:val="006641C3"/>
    <w:rsid w:val="00664396"/>
    <w:rsid w:val="00664402"/>
    <w:rsid w:val="006646FD"/>
    <w:rsid w:val="00664D54"/>
    <w:rsid w:val="006650E0"/>
    <w:rsid w:val="006650FD"/>
    <w:rsid w:val="0066516E"/>
    <w:rsid w:val="0066544F"/>
    <w:rsid w:val="00665941"/>
    <w:rsid w:val="00665E72"/>
    <w:rsid w:val="00665F75"/>
    <w:rsid w:val="006662CE"/>
    <w:rsid w:val="00666666"/>
    <w:rsid w:val="00666CFD"/>
    <w:rsid w:val="00666EC5"/>
    <w:rsid w:val="00667450"/>
    <w:rsid w:val="00667550"/>
    <w:rsid w:val="00667779"/>
    <w:rsid w:val="006677B6"/>
    <w:rsid w:val="00667946"/>
    <w:rsid w:val="00667A4A"/>
    <w:rsid w:val="00670116"/>
    <w:rsid w:val="00670144"/>
    <w:rsid w:val="006705DA"/>
    <w:rsid w:val="00670787"/>
    <w:rsid w:val="00670A6E"/>
    <w:rsid w:val="00670BE9"/>
    <w:rsid w:val="00670D5A"/>
    <w:rsid w:val="0067123D"/>
    <w:rsid w:val="0067146F"/>
    <w:rsid w:val="00671AC3"/>
    <w:rsid w:val="00671B1F"/>
    <w:rsid w:val="00671B88"/>
    <w:rsid w:val="00671BCD"/>
    <w:rsid w:val="00672608"/>
    <w:rsid w:val="006726EE"/>
    <w:rsid w:val="0067286C"/>
    <w:rsid w:val="00672E28"/>
    <w:rsid w:val="00672FD2"/>
    <w:rsid w:val="00673272"/>
    <w:rsid w:val="00673681"/>
    <w:rsid w:val="0067375F"/>
    <w:rsid w:val="00673853"/>
    <w:rsid w:val="00673B0E"/>
    <w:rsid w:val="00673F3E"/>
    <w:rsid w:val="00674144"/>
    <w:rsid w:val="00674235"/>
    <w:rsid w:val="006743E8"/>
    <w:rsid w:val="00674619"/>
    <w:rsid w:val="006746E0"/>
    <w:rsid w:val="00674CD7"/>
    <w:rsid w:val="00674E93"/>
    <w:rsid w:val="006750C1"/>
    <w:rsid w:val="00675126"/>
    <w:rsid w:val="00675253"/>
    <w:rsid w:val="006752C2"/>
    <w:rsid w:val="00675422"/>
    <w:rsid w:val="00675639"/>
    <w:rsid w:val="00675880"/>
    <w:rsid w:val="00675A83"/>
    <w:rsid w:val="00675B39"/>
    <w:rsid w:val="00675E79"/>
    <w:rsid w:val="00675F17"/>
    <w:rsid w:val="0067603D"/>
    <w:rsid w:val="00676134"/>
    <w:rsid w:val="00676373"/>
    <w:rsid w:val="006766D4"/>
    <w:rsid w:val="006766E5"/>
    <w:rsid w:val="00676BD1"/>
    <w:rsid w:val="00676D8C"/>
    <w:rsid w:val="00676D9C"/>
    <w:rsid w:val="00676DF8"/>
    <w:rsid w:val="00677AAC"/>
    <w:rsid w:val="00677EAB"/>
    <w:rsid w:val="006800ED"/>
    <w:rsid w:val="006801F2"/>
    <w:rsid w:val="006804F6"/>
    <w:rsid w:val="006805C4"/>
    <w:rsid w:val="00680B42"/>
    <w:rsid w:val="00680CA1"/>
    <w:rsid w:val="00680F50"/>
    <w:rsid w:val="006813E1"/>
    <w:rsid w:val="00681582"/>
    <w:rsid w:val="00681AE2"/>
    <w:rsid w:val="00681CBE"/>
    <w:rsid w:val="00682881"/>
    <w:rsid w:val="00682A14"/>
    <w:rsid w:val="00682A28"/>
    <w:rsid w:val="00682AE2"/>
    <w:rsid w:val="00682B61"/>
    <w:rsid w:val="00682D03"/>
    <w:rsid w:val="0068332B"/>
    <w:rsid w:val="0068337A"/>
    <w:rsid w:val="006833D7"/>
    <w:rsid w:val="006835CD"/>
    <w:rsid w:val="00683A13"/>
    <w:rsid w:val="00683E3E"/>
    <w:rsid w:val="0068409C"/>
    <w:rsid w:val="0068431B"/>
    <w:rsid w:val="00684C07"/>
    <w:rsid w:val="00684CDE"/>
    <w:rsid w:val="00684D50"/>
    <w:rsid w:val="00685154"/>
    <w:rsid w:val="00685C55"/>
    <w:rsid w:val="00685FC4"/>
    <w:rsid w:val="006861B4"/>
    <w:rsid w:val="00686AC0"/>
    <w:rsid w:val="006872D2"/>
    <w:rsid w:val="00687960"/>
    <w:rsid w:val="006879FC"/>
    <w:rsid w:val="00687AD8"/>
    <w:rsid w:val="00687B7F"/>
    <w:rsid w:val="00687C4F"/>
    <w:rsid w:val="00687EFA"/>
    <w:rsid w:val="00687F35"/>
    <w:rsid w:val="006904C5"/>
    <w:rsid w:val="006904D4"/>
    <w:rsid w:val="00690846"/>
    <w:rsid w:val="00690B9A"/>
    <w:rsid w:val="00690E54"/>
    <w:rsid w:val="006912C9"/>
    <w:rsid w:val="00691442"/>
    <w:rsid w:val="006918E4"/>
    <w:rsid w:val="00691BFB"/>
    <w:rsid w:val="00691F1B"/>
    <w:rsid w:val="0069235A"/>
    <w:rsid w:val="006925B0"/>
    <w:rsid w:val="00692902"/>
    <w:rsid w:val="00692BA2"/>
    <w:rsid w:val="00692C80"/>
    <w:rsid w:val="0069327A"/>
    <w:rsid w:val="00693565"/>
    <w:rsid w:val="0069357A"/>
    <w:rsid w:val="006937EC"/>
    <w:rsid w:val="00693B28"/>
    <w:rsid w:val="00693C59"/>
    <w:rsid w:val="006940F3"/>
    <w:rsid w:val="006944F0"/>
    <w:rsid w:val="00694543"/>
    <w:rsid w:val="00694735"/>
    <w:rsid w:val="006947F9"/>
    <w:rsid w:val="0069492E"/>
    <w:rsid w:val="00694D1C"/>
    <w:rsid w:val="006955B5"/>
    <w:rsid w:val="00695714"/>
    <w:rsid w:val="006957D7"/>
    <w:rsid w:val="0069591F"/>
    <w:rsid w:val="006959A4"/>
    <w:rsid w:val="0069602E"/>
    <w:rsid w:val="0069616B"/>
    <w:rsid w:val="006963D1"/>
    <w:rsid w:val="006967B1"/>
    <w:rsid w:val="00696CAE"/>
    <w:rsid w:val="00696CC2"/>
    <w:rsid w:val="00696D96"/>
    <w:rsid w:val="00696E8E"/>
    <w:rsid w:val="00696EF6"/>
    <w:rsid w:val="00697280"/>
    <w:rsid w:val="00697428"/>
    <w:rsid w:val="00697474"/>
    <w:rsid w:val="006976CE"/>
    <w:rsid w:val="006978B6"/>
    <w:rsid w:val="00697CDE"/>
    <w:rsid w:val="006A004D"/>
    <w:rsid w:val="006A06EF"/>
    <w:rsid w:val="006A0969"/>
    <w:rsid w:val="006A0B59"/>
    <w:rsid w:val="006A0E88"/>
    <w:rsid w:val="006A10C9"/>
    <w:rsid w:val="006A14E6"/>
    <w:rsid w:val="006A19D4"/>
    <w:rsid w:val="006A1A18"/>
    <w:rsid w:val="006A1ACF"/>
    <w:rsid w:val="006A1BE3"/>
    <w:rsid w:val="006A212E"/>
    <w:rsid w:val="006A22BF"/>
    <w:rsid w:val="006A245F"/>
    <w:rsid w:val="006A266E"/>
    <w:rsid w:val="006A2BF8"/>
    <w:rsid w:val="006A352F"/>
    <w:rsid w:val="006A37FF"/>
    <w:rsid w:val="006A3D01"/>
    <w:rsid w:val="006A3EEF"/>
    <w:rsid w:val="006A3F90"/>
    <w:rsid w:val="006A4282"/>
    <w:rsid w:val="006A4AF8"/>
    <w:rsid w:val="006A4EF0"/>
    <w:rsid w:val="006A57E8"/>
    <w:rsid w:val="006A5F23"/>
    <w:rsid w:val="006A65A5"/>
    <w:rsid w:val="006A6BD0"/>
    <w:rsid w:val="006A6CA7"/>
    <w:rsid w:val="006A6D87"/>
    <w:rsid w:val="006A70D6"/>
    <w:rsid w:val="006A7A19"/>
    <w:rsid w:val="006A7FF8"/>
    <w:rsid w:val="006B043D"/>
    <w:rsid w:val="006B077F"/>
    <w:rsid w:val="006B0901"/>
    <w:rsid w:val="006B0B8E"/>
    <w:rsid w:val="006B0C7F"/>
    <w:rsid w:val="006B0F57"/>
    <w:rsid w:val="006B1062"/>
    <w:rsid w:val="006B1350"/>
    <w:rsid w:val="006B146E"/>
    <w:rsid w:val="006B17BC"/>
    <w:rsid w:val="006B1954"/>
    <w:rsid w:val="006B19B4"/>
    <w:rsid w:val="006B1E23"/>
    <w:rsid w:val="006B1F98"/>
    <w:rsid w:val="006B2039"/>
    <w:rsid w:val="006B22DC"/>
    <w:rsid w:val="006B2302"/>
    <w:rsid w:val="006B2385"/>
    <w:rsid w:val="006B2488"/>
    <w:rsid w:val="006B2625"/>
    <w:rsid w:val="006B2B4E"/>
    <w:rsid w:val="006B2D17"/>
    <w:rsid w:val="006B2DC4"/>
    <w:rsid w:val="006B328A"/>
    <w:rsid w:val="006B3317"/>
    <w:rsid w:val="006B334B"/>
    <w:rsid w:val="006B38A0"/>
    <w:rsid w:val="006B3B55"/>
    <w:rsid w:val="006B4036"/>
    <w:rsid w:val="006B4259"/>
    <w:rsid w:val="006B4266"/>
    <w:rsid w:val="006B442A"/>
    <w:rsid w:val="006B4A89"/>
    <w:rsid w:val="006B4B87"/>
    <w:rsid w:val="006B4DAC"/>
    <w:rsid w:val="006B4EA2"/>
    <w:rsid w:val="006B5002"/>
    <w:rsid w:val="006B50BC"/>
    <w:rsid w:val="006B5323"/>
    <w:rsid w:val="006B5521"/>
    <w:rsid w:val="006B573E"/>
    <w:rsid w:val="006B5840"/>
    <w:rsid w:val="006B5E00"/>
    <w:rsid w:val="006B6033"/>
    <w:rsid w:val="006B667D"/>
    <w:rsid w:val="006B66DC"/>
    <w:rsid w:val="006B6811"/>
    <w:rsid w:val="006B682D"/>
    <w:rsid w:val="006B6AE6"/>
    <w:rsid w:val="006B6EDB"/>
    <w:rsid w:val="006B7104"/>
    <w:rsid w:val="006B71AC"/>
    <w:rsid w:val="006B72C0"/>
    <w:rsid w:val="006B7544"/>
    <w:rsid w:val="006B7993"/>
    <w:rsid w:val="006B7C5B"/>
    <w:rsid w:val="006B7C61"/>
    <w:rsid w:val="006B7F2C"/>
    <w:rsid w:val="006C0515"/>
    <w:rsid w:val="006C06A2"/>
    <w:rsid w:val="006C0C99"/>
    <w:rsid w:val="006C10B5"/>
    <w:rsid w:val="006C1290"/>
    <w:rsid w:val="006C15DD"/>
    <w:rsid w:val="006C1BA7"/>
    <w:rsid w:val="006C1C73"/>
    <w:rsid w:val="006C1DA5"/>
    <w:rsid w:val="006C215E"/>
    <w:rsid w:val="006C21DF"/>
    <w:rsid w:val="006C21EE"/>
    <w:rsid w:val="006C237C"/>
    <w:rsid w:val="006C24DD"/>
    <w:rsid w:val="006C2609"/>
    <w:rsid w:val="006C275A"/>
    <w:rsid w:val="006C28EA"/>
    <w:rsid w:val="006C29E7"/>
    <w:rsid w:val="006C2D93"/>
    <w:rsid w:val="006C2DD1"/>
    <w:rsid w:val="006C2E6F"/>
    <w:rsid w:val="006C2E7F"/>
    <w:rsid w:val="006C2ECC"/>
    <w:rsid w:val="006C3217"/>
    <w:rsid w:val="006C36A7"/>
    <w:rsid w:val="006C36E0"/>
    <w:rsid w:val="006C3929"/>
    <w:rsid w:val="006C3FB4"/>
    <w:rsid w:val="006C444E"/>
    <w:rsid w:val="006C44BA"/>
    <w:rsid w:val="006C4CD6"/>
    <w:rsid w:val="006C4DCE"/>
    <w:rsid w:val="006C518F"/>
    <w:rsid w:val="006C5534"/>
    <w:rsid w:val="006C5651"/>
    <w:rsid w:val="006C5DBF"/>
    <w:rsid w:val="006C6229"/>
    <w:rsid w:val="006C63A1"/>
    <w:rsid w:val="006C657C"/>
    <w:rsid w:val="006C65D3"/>
    <w:rsid w:val="006C6852"/>
    <w:rsid w:val="006C6E0C"/>
    <w:rsid w:val="006C72E8"/>
    <w:rsid w:val="006C730C"/>
    <w:rsid w:val="006C772D"/>
    <w:rsid w:val="006C78DF"/>
    <w:rsid w:val="006C7BA1"/>
    <w:rsid w:val="006C7EC5"/>
    <w:rsid w:val="006D00D0"/>
    <w:rsid w:val="006D0275"/>
    <w:rsid w:val="006D0600"/>
    <w:rsid w:val="006D071B"/>
    <w:rsid w:val="006D073C"/>
    <w:rsid w:val="006D0873"/>
    <w:rsid w:val="006D13F6"/>
    <w:rsid w:val="006D1533"/>
    <w:rsid w:val="006D16A4"/>
    <w:rsid w:val="006D16BA"/>
    <w:rsid w:val="006D1759"/>
    <w:rsid w:val="006D2594"/>
    <w:rsid w:val="006D2605"/>
    <w:rsid w:val="006D2F41"/>
    <w:rsid w:val="006D3012"/>
    <w:rsid w:val="006D3932"/>
    <w:rsid w:val="006D3A0D"/>
    <w:rsid w:val="006D3DC1"/>
    <w:rsid w:val="006D3E07"/>
    <w:rsid w:val="006D3F79"/>
    <w:rsid w:val="006D3FA4"/>
    <w:rsid w:val="006D425D"/>
    <w:rsid w:val="006D436D"/>
    <w:rsid w:val="006D4516"/>
    <w:rsid w:val="006D4953"/>
    <w:rsid w:val="006D4E67"/>
    <w:rsid w:val="006D5164"/>
    <w:rsid w:val="006D52A2"/>
    <w:rsid w:val="006D52C4"/>
    <w:rsid w:val="006D553E"/>
    <w:rsid w:val="006D563C"/>
    <w:rsid w:val="006D56EA"/>
    <w:rsid w:val="006D58FA"/>
    <w:rsid w:val="006D5A49"/>
    <w:rsid w:val="006D5B34"/>
    <w:rsid w:val="006D5E24"/>
    <w:rsid w:val="006D60F9"/>
    <w:rsid w:val="006D65D9"/>
    <w:rsid w:val="006D66FA"/>
    <w:rsid w:val="006D6708"/>
    <w:rsid w:val="006D6916"/>
    <w:rsid w:val="006D6BDA"/>
    <w:rsid w:val="006D6CA1"/>
    <w:rsid w:val="006D6DF7"/>
    <w:rsid w:val="006D6F35"/>
    <w:rsid w:val="006D76CD"/>
    <w:rsid w:val="006D78EC"/>
    <w:rsid w:val="006D7902"/>
    <w:rsid w:val="006D790A"/>
    <w:rsid w:val="006D7C54"/>
    <w:rsid w:val="006D7C6F"/>
    <w:rsid w:val="006E02C9"/>
    <w:rsid w:val="006E0B1C"/>
    <w:rsid w:val="006E0B88"/>
    <w:rsid w:val="006E0E6F"/>
    <w:rsid w:val="006E0FFD"/>
    <w:rsid w:val="006E116B"/>
    <w:rsid w:val="006E1174"/>
    <w:rsid w:val="006E1831"/>
    <w:rsid w:val="006E184B"/>
    <w:rsid w:val="006E1AE9"/>
    <w:rsid w:val="006E24C8"/>
    <w:rsid w:val="006E2739"/>
    <w:rsid w:val="006E28AF"/>
    <w:rsid w:val="006E2976"/>
    <w:rsid w:val="006E2C5A"/>
    <w:rsid w:val="006E2EBC"/>
    <w:rsid w:val="006E32F8"/>
    <w:rsid w:val="006E3310"/>
    <w:rsid w:val="006E3311"/>
    <w:rsid w:val="006E37D4"/>
    <w:rsid w:val="006E3A54"/>
    <w:rsid w:val="006E3D49"/>
    <w:rsid w:val="006E416C"/>
    <w:rsid w:val="006E428C"/>
    <w:rsid w:val="006E4562"/>
    <w:rsid w:val="006E4580"/>
    <w:rsid w:val="006E4A6E"/>
    <w:rsid w:val="006E4B1C"/>
    <w:rsid w:val="006E4F91"/>
    <w:rsid w:val="006E50B9"/>
    <w:rsid w:val="006E537F"/>
    <w:rsid w:val="006E5992"/>
    <w:rsid w:val="006E5A22"/>
    <w:rsid w:val="006E5BA7"/>
    <w:rsid w:val="006E5E76"/>
    <w:rsid w:val="006E6521"/>
    <w:rsid w:val="006E658A"/>
    <w:rsid w:val="006E6C30"/>
    <w:rsid w:val="006E6CC1"/>
    <w:rsid w:val="006E7BAD"/>
    <w:rsid w:val="006F0180"/>
    <w:rsid w:val="006F02EB"/>
    <w:rsid w:val="006F0791"/>
    <w:rsid w:val="006F0F05"/>
    <w:rsid w:val="006F12A0"/>
    <w:rsid w:val="006F15D2"/>
    <w:rsid w:val="006F1AA0"/>
    <w:rsid w:val="006F2368"/>
    <w:rsid w:val="006F236C"/>
    <w:rsid w:val="006F25B8"/>
    <w:rsid w:val="006F26C5"/>
    <w:rsid w:val="006F2974"/>
    <w:rsid w:val="006F2B57"/>
    <w:rsid w:val="006F2BF6"/>
    <w:rsid w:val="006F2C9A"/>
    <w:rsid w:val="006F2D4B"/>
    <w:rsid w:val="006F2FD0"/>
    <w:rsid w:val="006F31E9"/>
    <w:rsid w:val="006F33A1"/>
    <w:rsid w:val="006F3986"/>
    <w:rsid w:val="006F3B48"/>
    <w:rsid w:val="006F3DC4"/>
    <w:rsid w:val="006F3DD7"/>
    <w:rsid w:val="006F3F7C"/>
    <w:rsid w:val="006F3FFA"/>
    <w:rsid w:val="006F4766"/>
    <w:rsid w:val="006F490C"/>
    <w:rsid w:val="006F4BD8"/>
    <w:rsid w:val="006F4E8D"/>
    <w:rsid w:val="006F5258"/>
    <w:rsid w:val="006F544D"/>
    <w:rsid w:val="006F54B2"/>
    <w:rsid w:val="006F564D"/>
    <w:rsid w:val="006F5A49"/>
    <w:rsid w:val="006F5B01"/>
    <w:rsid w:val="006F5BA6"/>
    <w:rsid w:val="006F5C5E"/>
    <w:rsid w:val="006F611C"/>
    <w:rsid w:val="006F6398"/>
    <w:rsid w:val="006F6591"/>
    <w:rsid w:val="006F685D"/>
    <w:rsid w:val="006F68B4"/>
    <w:rsid w:val="006F6AD8"/>
    <w:rsid w:val="006F6F42"/>
    <w:rsid w:val="006F7086"/>
    <w:rsid w:val="006F70A7"/>
    <w:rsid w:val="006F71C8"/>
    <w:rsid w:val="006F7934"/>
    <w:rsid w:val="006F7E3E"/>
    <w:rsid w:val="00700127"/>
    <w:rsid w:val="00700722"/>
    <w:rsid w:val="00700B7C"/>
    <w:rsid w:val="00700C41"/>
    <w:rsid w:val="00701091"/>
    <w:rsid w:val="007011FA"/>
    <w:rsid w:val="00701371"/>
    <w:rsid w:val="00701624"/>
    <w:rsid w:val="007018C5"/>
    <w:rsid w:val="00701B0D"/>
    <w:rsid w:val="00701E2E"/>
    <w:rsid w:val="00701E64"/>
    <w:rsid w:val="00702827"/>
    <w:rsid w:val="00702986"/>
    <w:rsid w:val="00702A2E"/>
    <w:rsid w:val="00702EC1"/>
    <w:rsid w:val="00702EF5"/>
    <w:rsid w:val="00703E2F"/>
    <w:rsid w:val="00704616"/>
    <w:rsid w:val="007046A4"/>
    <w:rsid w:val="007046B7"/>
    <w:rsid w:val="00704741"/>
    <w:rsid w:val="00704D1B"/>
    <w:rsid w:val="00705029"/>
    <w:rsid w:val="00705187"/>
    <w:rsid w:val="0070526E"/>
    <w:rsid w:val="00705618"/>
    <w:rsid w:val="007057D3"/>
    <w:rsid w:val="0070594D"/>
    <w:rsid w:val="0070597B"/>
    <w:rsid w:val="00705F50"/>
    <w:rsid w:val="00706499"/>
    <w:rsid w:val="00706785"/>
    <w:rsid w:val="0070682E"/>
    <w:rsid w:val="007069F1"/>
    <w:rsid w:val="00706ACD"/>
    <w:rsid w:val="00706C66"/>
    <w:rsid w:val="00706CC3"/>
    <w:rsid w:val="00706CC9"/>
    <w:rsid w:val="00706DCE"/>
    <w:rsid w:val="00707130"/>
    <w:rsid w:val="0070726E"/>
    <w:rsid w:val="0070778B"/>
    <w:rsid w:val="00707A54"/>
    <w:rsid w:val="00707C1C"/>
    <w:rsid w:val="00707E22"/>
    <w:rsid w:val="00707E50"/>
    <w:rsid w:val="00707F17"/>
    <w:rsid w:val="007104EC"/>
    <w:rsid w:val="00710552"/>
    <w:rsid w:val="0071069C"/>
    <w:rsid w:val="00710745"/>
    <w:rsid w:val="00710803"/>
    <w:rsid w:val="00710D51"/>
    <w:rsid w:val="0071114B"/>
    <w:rsid w:val="00711356"/>
    <w:rsid w:val="00711585"/>
    <w:rsid w:val="00711F99"/>
    <w:rsid w:val="00711FF9"/>
    <w:rsid w:val="00712AB9"/>
    <w:rsid w:val="00712ABC"/>
    <w:rsid w:val="00712ACC"/>
    <w:rsid w:val="00713339"/>
    <w:rsid w:val="007133C7"/>
    <w:rsid w:val="007137B3"/>
    <w:rsid w:val="00713B27"/>
    <w:rsid w:val="00714091"/>
    <w:rsid w:val="00714851"/>
    <w:rsid w:val="00714C7E"/>
    <w:rsid w:val="00714FB6"/>
    <w:rsid w:val="00714FF4"/>
    <w:rsid w:val="00715706"/>
    <w:rsid w:val="00716533"/>
    <w:rsid w:val="007165D3"/>
    <w:rsid w:val="0071665C"/>
    <w:rsid w:val="0071676D"/>
    <w:rsid w:val="00716A49"/>
    <w:rsid w:val="00716F40"/>
    <w:rsid w:val="00717166"/>
    <w:rsid w:val="0071720C"/>
    <w:rsid w:val="00717630"/>
    <w:rsid w:val="00717645"/>
    <w:rsid w:val="007176B1"/>
    <w:rsid w:val="007177A3"/>
    <w:rsid w:val="00717859"/>
    <w:rsid w:val="00717A2C"/>
    <w:rsid w:val="00717E93"/>
    <w:rsid w:val="00720221"/>
    <w:rsid w:val="007204C4"/>
    <w:rsid w:val="00720570"/>
    <w:rsid w:val="007213D8"/>
    <w:rsid w:val="00721C15"/>
    <w:rsid w:val="007222A3"/>
    <w:rsid w:val="00722377"/>
    <w:rsid w:val="007228EF"/>
    <w:rsid w:val="00722A47"/>
    <w:rsid w:val="00722A50"/>
    <w:rsid w:val="00722AAF"/>
    <w:rsid w:val="00722CFE"/>
    <w:rsid w:val="0072303D"/>
    <w:rsid w:val="00723A24"/>
    <w:rsid w:val="00723C61"/>
    <w:rsid w:val="00723F26"/>
    <w:rsid w:val="0072477C"/>
    <w:rsid w:val="0072490E"/>
    <w:rsid w:val="00724A05"/>
    <w:rsid w:val="00724F85"/>
    <w:rsid w:val="007259D1"/>
    <w:rsid w:val="00725D80"/>
    <w:rsid w:val="007264DD"/>
    <w:rsid w:val="00726657"/>
    <w:rsid w:val="00726A7A"/>
    <w:rsid w:val="00726B52"/>
    <w:rsid w:val="00726BA0"/>
    <w:rsid w:val="007270A8"/>
    <w:rsid w:val="007271B9"/>
    <w:rsid w:val="00727371"/>
    <w:rsid w:val="00727893"/>
    <w:rsid w:val="00727AD1"/>
    <w:rsid w:val="00727B34"/>
    <w:rsid w:val="00727C68"/>
    <w:rsid w:val="0073001A"/>
    <w:rsid w:val="0073078B"/>
    <w:rsid w:val="00730B8F"/>
    <w:rsid w:val="00730BD2"/>
    <w:rsid w:val="00731588"/>
    <w:rsid w:val="00731859"/>
    <w:rsid w:val="00731B6E"/>
    <w:rsid w:val="00731E46"/>
    <w:rsid w:val="00732287"/>
    <w:rsid w:val="007326C8"/>
    <w:rsid w:val="007326EB"/>
    <w:rsid w:val="00732BCB"/>
    <w:rsid w:val="007330C4"/>
    <w:rsid w:val="007330DE"/>
    <w:rsid w:val="007331DA"/>
    <w:rsid w:val="007331E6"/>
    <w:rsid w:val="0073320F"/>
    <w:rsid w:val="007333EA"/>
    <w:rsid w:val="007339EC"/>
    <w:rsid w:val="00733A70"/>
    <w:rsid w:val="007341C4"/>
    <w:rsid w:val="0073427F"/>
    <w:rsid w:val="007342F8"/>
    <w:rsid w:val="0073431A"/>
    <w:rsid w:val="00734AE5"/>
    <w:rsid w:val="00734C14"/>
    <w:rsid w:val="00734F77"/>
    <w:rsid w:val="007353E6"/>
    <w:rsid w:val="007354C4"/>
    <w:rsid w:val="00735AD7"/>
    <w:rsid w:val="00735B04"/>
    <w:rsid w:val="00735C8D"/>
    <w:rsid w:val="00735EAC"/>
    <w:rsid w:val="007364D5"/>
    <w:rsid w:val="00736A18"/>
    <w:rsid w:val="00736B30"/>
    <w:rsid w:val="00736B82"/>
    <w:rsid w:val="00736BFF"/>
    <w:rsid w:val="00736D30"/>
    <w:rsid w:val="00736DC4"/>
    <w:rsid w:val="00736F54"/>
    <w:rsid w:val="00736F91"/>
    <w:rsid w:val="00736FC1"/>
    <w:rsid w:val="007370D5"/>
    <w:rsid w:val="00737199"/>
    <w:rsid w:val="00737760"/>
    <w:rsid w:val="00737BE3"/>
    <w:rsid w:val="00737CAF"/>
    <w:rsid w:val="00737D51"/>
    <w:rsid w:val="00737D81"/>
    <w:rsid w:val="0074030F"/>
    <w:rsid w:val="00740324"/>
    <w:rsid w:val="00740E37"/>
    <w:rsid w:val="00741746"/>
    <w:rsid w:val="00741905"/>
    <w:rsid w:val="00741BDF"/>
    <w:rsid w:val="00741C54"/>
    <w:rsid w:val="00742575"/>
    <w:rsid w:val="007425AD"/>
    <w:rsid w:val="0074270A"/>
    <w:rsid w:val="0074286D"/>
    <w:rsid w:val="00742A9A"/>
    <w:rsid w:val="00742CAE"/>
    <w:rsid w:val="0074325A"/>
    <w:rsid w:val="0074349B"/>
    <w:rsid w:val="007437FA"/>
    <w:rsid w:val="007442E9"/>
    <w:rsid w:val="00744479"/>
    <w:rsid w:val="0074447D"/>
    <w:rsid w:val="00744869"/>
    <w:rsid w:val="00744AE9"/>
    <w:rsid w:val="00744B50"/>
    <w:rsid w:val="00744C30"/>
    <w:rsid w:val="00744F84"/>
    <w:rsid w:val="0074524C"/>
    <w:rsid w:val="00745337"/>
    <w:rsid w:val="007453E2"/>
    <w:rsid w:val="0074560B"/>
    <w:rsid w:val="00745966"/>
    <w:rsid w:val="00745C4F"/>
    <w:rsid w:val="00745C9F"/>
    <w:rsid w:val="007464C4"/>
    <w:rsid w:val="007464E0"/>
    <w:rsid w:val="00746AAF"/>
    <w:rsid w:val="00746ACA"/>
    <w:rsid w:val="0074741E"/>
    <w:rsid w:val="007475CB"/>
    <w:rsid w:val="00747656"/>
    <w:rsid w:val="007478A8"/>
    <w:rsid w:val="00747A11"/>
    <w:rsid w:val="00747BBE"/>
    <w:rsid w:val="00747C9A"/>
    <w:rsid w:val="00747EFB"/>
    <w:rsid w:val="007500A1"/>
    <w:rsid w:val="0075018C"/>
    <w:rsid w:val="00750550"/>
    <w:rsid w:val="00750585"/>
    <w:rsid w:val="007507E8"/>
    <w:rsid w:val="007513A0"/>
    <w:rsid w:val="0075189A"/>
    <w:rsid w:val="00751D4C"/>
    <w:rsid w:val="00751FA0"/>
    <w:rsid w:val="007523ED"/>
    <w:rsid w:val="0075270D"/>
    <w:rsid w:val="0075297E"/>
    <w:rsid w:val="00752985"/>
    <w:rsid w:val="00752B16"/>
    <w:rsid w:val="00752B3B"/>
    <w:rsid w:val="00752B64"/>
    <w:rsid w:val="00752BC3"/>
    <w:rsid w:val="00752BEF"/>
    <w:rsid w:val="00752EB8"/>
    <w:rsid w:val="00752F08"/>
    <w:rsid w:val="0075307E"/>
    <w:rsid w:val="007530FB"/>
    <w:rsid w:val="00753144"/>
    <w:rsid w:val="0075320B"/>
    <w:rsid w:val="00753262"/>
    <w:rsid w:val="0075382C"/>
    <w:rsid w:val="00753C9D"/>
    <w:rsid w:val="00753D37"/>
    <w:rsid w:val="0075435D"/>
    <w:rsid w:val="00754B13"/>
    <w:rsid w:val="00754D45"/>
    <w:rsid w:val="00754D72"/>
    <w:rsid w:val="00755BC1"/>
    <w:rsid w:val="00756274"/>
    <w:rsid w:val="0075687A"/>
    <w:rsid w:val="00756DAA"/>
    <w:rsid w:val="00756E5C"/>
    <w:rsid w:val="00757208"/>
    <w:rsid w:val="007573C8"/>
    <w:rsid w:val="0075743C"/>
    <w:rsid w:val="007578CE"/>
    <w:rsid w:val="00757C03"/>
    <w:rsid w:val="0076013B"/>
    <w:rsid w:val="00760144"/>
    <w:rsid w:val="00760464"/>
    <w:rsid w:val="007605F6"/>
    <w:rsid w:val="007608BC"/>
    <w:rsid w:val="007608E5"/>
    <w:rsid w:val="00760AFF"/>
    <w:rsid w:val="00760D4F"/>
    <w:rsid w:val="00760EB5"/>
    <w:rsid w:val="007610D9"/>
    <w:rsid w:val="0076157F"/>
    <w:rsid w:val="00761918"/>
    <w:rsid w:val="00761BE2"/>
    <w:rsid w:val="007620C8"/>
    <w:rsid w:val="00762710"/>
    <w:rsid w:val="0076289E"/>
    <w:rsid w:val="00762CE3"/>
    <w:rsid w:val="00763228"/>
    <w:rsid w:val="00763674"/>
    <w:rsid w:val="00763741"/>
    <w:rsid w:val="00763906"/>
    <w:rsid w:val="0076390B"/>
    <w:rsid w:val="00763A3A"/>
    <w:rsid w:val="00763BAB"/>
    <w:rsid w:val="0076434C"/>
    <w:rsid w:val="0076440B"/>
    <w:rsid w:val="007648D1"/>
    <w:rsid w:val="00764A02"/>
    <w:rsid w:val="00765E65"/>
    <w:rsid w:val="00765F07"/>
    <w:rsid w:val="00765FF0"/>
    <w:rsid w:val="007660A5"/>
    <w:rsid w:val="0076650C"/>
    <w:rsid w:val="00766BB8"/>
    <w:rsid w:val="00766C8D"/>
    <w:rsid w:val="00767548"/>
    <w:rsid w:val="00767B99"/>
    <w:rsid w:val="00767BC1"/>
    <w:rsid w:val="00767EB0"/>
    <w:rsid w:val="00770006"/>
    <w:rsid w:val="0077011E"/>
    <w:rsid w:val="00770B4F"/>
    <w:rsid w:val="00771514"/>
    <w:rsid w:val="007718B6"/>
    <w:rsid w:val="00771A04"/>
    <w:rsid w:val="00771CCF"/>
    <w:rsid w:val="00771DDA"/>
    <w:rsid w:val="00772A7B"/>
    <w:rsid w:val="00773060"/>
    <w:rsid w:val="00773295"/>
    <w:rsid w:val="007734E9"/>
    <w:rsid w:val="007735A1"/>
    <w:rsid w:val="00773644"/>
    <w:rsid w:val="007739FD"/>
    <w:rsid w:val="00773BB2"/>
    <w:rsid w:val="007747ED"/>
    <w:rsid w:val="007749B2"/>
    <w:rsid w:val="00774B2D"/>
    <w:rsid w:val="0077591A"/>
    <w:rsid w:val="00775921"/>
    <w:rsid w:val="00775BB7"/>
    <w:rsid w:val="00775BBE"/>
    <w:rsid w:val="00776361"/>
    <w:rsid w:val="007765A2"/>
    <w:rsid w:val="00776A39"/>
    <w:rsid w:val="00777010"/>
    <w:rsid w:val="00777024"/>
    <w:rsid w:val="007800A3"/>
    <w:rsid w:val="007804C2"/>
    <w:rsid w:val="00780723"/>
    <w:rsid w:val="0078076B"/>
    <w:rsid w:val="0078099F"/>
    <w:rsid w:val="00780AAD"/>
    <w:rsid w:val="00780B81"/>
    <w:rsid w:val="00780C00"/>
    <w:rsid w:val="00780C47"/>
    <w:rsid w:val="007813EB"/>
    <w:rsid w:val="0078161A"/>
    <w:rsid w:val="00781B4E"/>
    <w:rsid w:val="00781F40"/>
    <w:rsid w:val="0078238C"/>
    <w:rsid w:val="007825C2"/>
    <w:rsid w:val="00782634"/>
    <w:rsid w:val="00782B61"/>
    <w:rsid w:val="00782D66"/>
    <w:rsid w:val="00782E57"/>
    <w:rsid w:val="00782EB4"/>
    <w:rsid w:val="00782F36"/>
    <w:rsid w:val="0078303E"/>
    <w:rsid w:val="0078355B"/>
    <w:rsid w:val="00783B39"/>
    <w:rsid w:val="00783F78"/>
    <w:rsid w:val="00784662"/>
    <w:rsid w:val="00784741"/>
    <w:rsid w:val="00784AE3"/>
    <w:rsid w:val="00784BDB"/>
    <w:rsid w:val="00784E70"/>
    <w:rsid w:val="00785415"/>
    <w:rsid w:val="00785BA4"/>
    <w:rsid w:val="00785CE1"/>
    <w:rsid w:val="00785F63"/>
    <w:rsid w:val="0078600C"/>
    <w:rsid w:val="00786B37"/>
    <w:rsid w:val="00787144"/>
    <w:rsid w:val="00787253"/>
    <w:rsid w:val="007874FE"/>
    <w:rsid w:val="007877A4"/>
    <w:rsid w:val="00787A03"/>
    <w:rsid w:val="00787CAD"/>
    <w:rsid w:val="00787DE9"/>
    <w:rsid w:val="0079054C"/>
    <w:rsid w:val="00790780"/>
    <w:rsid w:val="00790D6C"/>
    <w:rsid w:val="00790E3A"/>
    <w:rsid w:val="00790F32"/>
    <w:rsid w:val="007917E5"/>
    <w:rsid w:val="00791DC8"/>
    <w:rsid w:val="00791FAD"/>
    <w:rsid w:val="00792271"/>
    <w:rsid w:val="007922FE"/>
    <w:rsid w:val="00792696"/>
    <w:rsid w:val="00792C25"/>
    <w:rsid w:val="00792F8D"/>
    <w:rsid w:val="00792FAA"/>
    <w:rsid w:val="00793367"/>
    <w:rsid w:val="007935F9"/>
    <w:rsid w:val="00793B18"/>
    <w:rsid w:val="00793C4E"/>
    <w:rsid w:val="00793D00"/>
    <w:rsid w:val="00794310"/>
    <w:rsid w:val="007946E5"/>
    <w:rsid w:val="00794979"/>
    <w:rsid w:val="00794C8D"/>
    <w:rsid w:val="00794E07"/>
    <w:rsid w:val="00795179"/>
    <w:rsid w:val="007956E1"/>
    <w:rsid w:val="00795729"/>
    <w:rsid w:val="00795791"/>
    <w:rsid w:val="00795F65"/>
    <w:rsid w:val="007961A0"/>
    <w:rsid w:val="007965CE"/>
    <w:rsid w:val="007973E1"/>
    <w:rsid w:val="00797B9C"/>
    <w:rsid w:val="007A0197"/>
    <w:rsid w:val="007A02B2"/>
    <w:rsid w:val="007A0A8C"/>
    <w:rsid w:val="007A0BF0"/>
    <w:rsid w:val="007A0C19"/>
    <w:rsid w:val="007A0C90"/>
    <w:rsid w:val="007A0DC0"/>
    <w:rsid w:val="007A0E78"/>
    <w:rsid w:val="007A0FD5"/>
    <w:rsid w:val="007A1094"/>
    <w:rsid w:val="007A139D"/>
    <w:rsid w:val="007A161A"/>
    <w:rsid w:val="007A1626"/>
    <w:rsid w:val="007A19DB"/>
    <w:rsid w:val="007A1AC4"/>
    <w:rsid w:val="007A1AE8"/>
    <w:rsid w:val="007A1BCE"/>
    <w:rsid w:val="007A1D5B"/>
    <w:rsid w:val="007A1D95"/>
    <w:rsid w:val="007A2303"/>
    <w:rsid w:val="007A2641"/>
    <w:rsid w:val="007A2A4A"/>
    <w:rsid w:val="007A2D2E"/>
    <w:rsid w:val="007A2E68"/>
    <w:rsid w:val="007A2F17"/>
    <w:rsid w:val="007A31AB"/>
    <w:rsid w:val="007A32E7"/>
    <w:rsid w:val="007A3438"/>
    <w:rsid w:val="007A44DB"/>
    <w:rsid w:val="007A450C"/>
    <w:rsid w:val="007A50E7"/>
    <w:rsid w:val="007A5186"/>
    <w:rsid w:val="007A53E1"/>
    <w:rsid w:val="007A54E9"/>
    <w:rsid w:val="007A60D2"/>
    <w:rsid w:val="007A623D"/>
    <w:rsid w:val="007A62A5"/>
    <w:rsid w:val="007A6916"/>
    <w:rsid w:val="007A6985"/>
    <w:rsid w:val="007A6AC0"/>
    <w:rsid w:val="007A701C"/>
    <w:rsid w:val="007A7732"/>
    <w:rsid w:val="007A7D8A"/>
    <w:rsid w:val="007A7F4D"/>
    <w:rsid w:val="007B0537"/>
    <w:rsid w:val="007B12C6"/>
    <w:rsid w:val="007B14B4"/>
    <w:rsid w:val="007B165A"/>
    <w:rsid w:val="007B19C0"/>
    <w:rsid w:val="007B1D62"/>
    <w:rsid w:val="007B2051"/>
    <w:rsid w:val="007B2780"/>
    <w:rsid w:val="007B298E"/>
    <w:rsid w:val="007B2C30"/>
    <w:rsid w:val="007B2CFE"/>
    <w:rsid w:val="007B30B1"/>
    <w:rsid w:val="007B3450"/>
    <w:rsid w:val="007B35FA"/>
    <w:rsid w:val="007B36EA"/>
    <w:rsid w:val="007B3912"/>
    <w:rsid w:val="007B3D40"/>
    <w:rsid w:val="007B4142"/>
    <w:rsid w:val="007B4679"/>
    <w:rsid w:val="007B4942"/>
    <w:rsid w:val="007B4A8F"/>
    <w:rsid w:val="007B4C90"/>
    <w:rsid w:val="007B4FB1"/>
    <w:rsid w:val="007B542E"/>
    <w:rsid w:val="007B54E1"/>
    <w:rsid w:val="007B59BB"/>
    <w:rsid w:val="007B5AEE"/>
    <w:rsid w:val="007B5C1F"/>
    <w:rsid w:val="007B5EAA"/>
    <w:rsid w:val="007B5F2F"/>
    <w:rsid w:val="007B641A"/>
    <w:rsid w:val="007B6D4F"/>
    <w:rsid w:val="007B70AB"/>
    <w:rsid w:val="007B726B"/>
    <w:rsid w:val="007B7BCE"/>
    <w:rsid w:val="007B7CA5"/>
    <w:rsid w:val="007B7E9C"/>
    <w:rsid w:val="007B7EFE"/>
    <w:rsid w:val="007C065B"/>
    <w:rsid w:val="007C0A2D"/>
    <w:rsid w:val="007C0BAA"/>
    <w:rsid w:val="007C0D36"/>
    <w:rsid w:val="007C0DAB"/>
    <w:rsid w:val="007C0E1F"/>
    <w:rsid w:val="007C0F01"/>
    <w:rsid w:val="007C11E9"/>
    <w:rsid w:val="007C1910"/>
    <w:rsid w:val="007C1D90"/>
    <w:rsid w:val="007C20F9"/>
    <w:rsid w:val="007C28B6"/>
    <w:rsid w:val="007C2D04"/>
    <w:rsid w:val="007C2D50"/>
    <w:rsid w:val="007C2ED9"/>
    <w:rsid w:val="007C2F8C"/>
    <w:rsid w:val="007C3073"/>
    <w:rsid w:val="007C3092"/>
    <w:rsid w:val="007C3193"/>
    <w:rsid w:val="007C3B8B"/>
    <w:rsid w:val="007C3BDC"/>
    <w:rsid w:val="007C3E03"/>
    <w:rsid w:val="007C3F2E"/>
    <w:rsid w:val="007C4078"/>
    <w:rsid w:val="007C417F"/>
    <w:rsid w:val="007C4371"/>
    <w:rsid w:val="007C4611"/>
    <w:rsid w:val="007C49D6"/>
    <w:rsid w:val="007C4A30"/>
    <w:rsid w:val="007C4F9F"/>
    <w:rsid w:val="007C5086"/>
    <w:rsid w:val="007C52E6"/>
    <w:rsid w:val="007C5815"/>
    <w:rsid w:val="007C58B9"/>
    <w:rsid w:val="007C5BB0"/>
    <w:rsid w:val="007C5FD6"/>
    <w:rsid w:val="007C6099"/>
    <w:rsid w:val="007C6145"/>
    <w:rsid w:val="007C64CE"/>
    <w:rsid w:val="007C67EB"/>
    <w:rsid w:val="007C6B08"/>
    <w:rsid w:val="007C6D0F"/>
    <w:rsid w:val="007C6DD2"/>
    <w:rsid w:val="007C6FC3"/>
    <w:rsid w:val="007C6FC9"/>
    <w:rsid w:val="007C731C"/>
    <w:rsid w:val="007C7372"/>
    <w:rsid w:val="007C7B64"/>
    <w:rsid w:val="007D03B7"/>
    <w:rsid w:val="007D0903"/>
    <w:rsid w:val="007D0BBA"/>
    <w:rsid w:val="007D0C2E"/>
    <w:rsid w:val="007D0FA4"/>
    <w:rsid w:val="007D1402"/>
    <w:rsid w:val="007D1B29"/>
    <w:rsid w:val="007D1DAC"/>
    <w:rsid w:val="007D2A3B"/>
    <w:rsid w:val="007D2B5E"/>
    <w:rsid w:val="007D2D64"/>
    <w:rsid w:val="007D2E49"/>
    <w:rsid w:val="007D2F9A"/>
    <w:rsid w:val="007D3A08"/>
    <w:rsid w:val="007D4200"/>
    <w:rsid w:val="007D432E"/>
    <w:rsid w:val="007D4947"/>
    <w:rsid w:val="007D4F98"/>
    <w:rsid w:val="007D505D"/>
    <w:rsid w:val="007D5690"/>
    <w:rsid w:val="007D572D"/>
    <w:rsid w:val="007D57AC"/>
    <w:rsid w:val="007D586B"/>
    <w:rsid w:val="007D5AF2"/>
    <w:rsid w:val="007D62DC"/>
    <w:rsid w:val="007D63A8"/>
    <w:rsid w:val="007D63DE"/>
    <w:rsid w:val="007D64B3"/>
    <w:rsid w:val="007D69E2"/>
    <w:rsid w:val="007D6D18"/>
    <w:rsid w:val="007D6E4A"/>
    <w:rsid w:val="007D6FD7"/>
    <w:rsid w:val="007D71E9"/>
    <w:rsid w:val="007D72A4"/>
    <w:rsid w:val="007D73F1"/>
    <w:rsid w:val="007D74A2"/>
    <w:rsid w:val="007D755C"/>
    <w:rsid w:val="007D7998"/>
    <w:rsid w:val="007E0264"/>
    <w:rsid w:val="007E02BE"/>
    <w:rsid w:val="007E0480"/>
    <w:rsid w:val="007E061F"/>
    <w:rsid w:val="007E0AF8"/>
    <w:rsid w:val="007E13CB"/>
    <w:rsid w:val="007E168F"/>
    <w:rsid w:val="007E1862"/>
    <w:rsid w:val="007E1E0D"/>
    <w:rsid w:val="007E2130"/>
    <w:rsid w:val="007E2222"/>
    <w:rsid w:val="007E26A6"/>
    <w:rsid w:val="007E2BAA"/>
    <w:rsid w:val="007E2D97"/>
    <w:rsid w:val="007E2E06"/>
    <w:rsid w:val="007E302D"/>
    <w:rsid w:val="007E30B5"/>
    <w:rsid w:val="007E311B"/>
    <w:rsid w:val="007E319C"/>
    <w:rsid w:val="007E39D9"/>
    <w:rsid w:val="007E3B63"/>
    <w:rsid w:val="007E3B8F"/>
    <w:rsid w:val="007E40BD"/>
    <w:rsid w:val="007E4338"/>
    <w:rsid w:val="007E448C"/>
    <w:rsid w:val="007E4A55"/>
    <w:rsid w:val="007E4B4D"/>
    <w:rsid w:val="007E50DE"/>
    <w:rsid w:val="007E52EC"/>
    <w:rsid w:val="007E58BF"/>
    <w:rsid w:val="007E5AC3"/>
    <w:rsid w:val="007E5B27"/>
    <w:rsid w:val="007E5E8C"/>
    <w:rsid w:val="007E5EEF"/>
    <w:rsid w:val="007E5EFF"/>
    <w:rsid w:val="007E63FC"/>
    <w:rsid w:val="007E6445"/>
    <w:rsid w:val="007E68C9"/>
    <w:rsid w:val="007E6F4A"/>
    <w:rsid w:val="007E739B"/>
    <w:rsid w:val="007E7BDE"/>
    <w:rsid w:val="007E7EF1"/>
    <w:rsid w:val="007E7F9D"/>
    <w:rsid w:val="007F0307"/>
    <w:rsid w:val="007F0615"/>
    <w:rsid w:val="007F0A70"/>
    <w:rsid w:val="007F0AED"/>
    <w:rsid w:val="007F0B3D"/>
    <w:rsid w:val="007F0C4A"/>
    <w:rsid w:val="007F0D96"/>
    <w:rsid w:val="007F107D"/>
    <w:rsid w:val="007F11C6"/>
    <w:rsid w:val="007F11CB"/>
    <w:rsid w:val="007F1589"/>
    <w:rsid w:val="007F15B6"/>
    <w:rsid w:val="007F1737"/>
    <w:rsid w:val="007F1A5B"/>
    <w:rsid w:val="007F1AE0"/>
    <w:rsid w:val="007F1D2E"/>
    <w:rsid w:val="007F1EFE"/>
    <w:rsid w:val="007F1F67"/>
    <w:rsid w:val="007F1FD2"/>
    <w:rsid w:val="007F25DC"/>
    <w:rsid w:val="007F26BA"/>
    <w:rsid w:val="007F26D7"/>
    <w:rsid w:val="007F291F"/>
    <w:rsid w:val="007F2DF5"/>
    <w:rsid w:val="007F2F0F"/>
    <w:rsid w:val="007F3445"/>
    <w:rsid w:val="007F3CFB"/>
    <w:rsid w:val="007F408A"/>
    <w:rsid w:val="007F40E3"/>
    <w:rsid w:val="007F42F2"/>
    <w:rsid w:val="007F43CC"/>
    <w:rsid w:val="007F448E"/>
    <w:rsid w:val="007F44BA"/>
    <w:rsid w:val="007F4787"/>
    <w:rsid w:val="007F479C"/>
    <w:rsid w:val="007F4FD9"/>
    <w:rsid w:val="007F574F"/>
    <w:rsid w:val="007F5A77"/>
    <w:rsid w:val="007F5BE7"/>
    <w:rsid w:val="007F655D"/>
    <w:rsid w:val="007F6A3A"/>
    <w:rsid w:val="007F6B7A"/>
    <w:rsid w:val="007F7656"/>
    <w:rsid w:val="007F76C3"/>
    <w:rsid w:val="007F76E4"/>
    <w:rsid w:val="007F7993"/>
    <w:rsid w:val="007F7D9D"/>
    <w:rsid w:val="007F7DFC"/>
    <w:rsid w:val="00800196"/>
    <w:rsid w:val="008002C0"/>
    <w:rsid w:val="008005C5"/>
    <w:rsid w:val="00800C93"/>
    <w:rsid w:val="00800FCB"/>
    <w:rsid w:val="0080167E"/>
    <w:rsid w:val="00801EA4"/>
    <w:rsid w:val="00801EE0"/>
    <w:rsid w:val="00802234"/>
    <w:rsid w:val="0080258A"/>
    <w:rsid w:val="008025A0"/>
    <w:rsid w:val="008025CB"/>
    <w:rsid w:val="00802641"/>
    <w:rsid w:val="00802926"/>
    <w:rsid w:val="00802CCC"/>
    <w:rsid w:val="00802FB1"/>
    <w:rsid w:val="008031A2"/>
    <w:rsid w:val="00803A98"/>
    <w:rsid w:val="00803C34"/>
    <w:rsid w:val="00803F13"/>
    <w:rsid w:val="00804162"/>
    <w:rsid w:val="00804361"/>
    <w:rsid w:val="0080444C"/>
    <w:rsid w:val="008047E6"/>
    <w:rsid w:val="00804860"/>
    <w:rsid w:val="008049AB"/>
    <w:rsid w:val="00804B02"/>
    <w:rsid w:val="00804B68"/>
    <w:rsid w:val="00804B90"/>
    <w:rsid w:val="00804ED3"/>
    <w:rsid w:val="00804FC1"/>
    <w:rsid w:val="00804FDD"/>
    <w:rsid w:val="008052DD"/>
    <w:rsid w:val="008056A2"/>
    <w:rsid w:val="008059F5"/>
    <w:rsid w:val="00805DFB"/>
    <w:rsid w:val="00805EB3"/>
    <w:rsid w:val="0080633D"/>
    <w:rsid w:val="00806628"/>
    <w:rsid w:val="00806932"/>
    <w:rsid w:val="00806CC5"/>
    <w:rsid w:val="00806E31"/>
    <w:rsid w:val="00807008"/>
    <w:rsid w:val="0080703A"/>
    <w:rsid w:val="008071D7"/>
    <w:rsid w:val="008074EF"/>
    <w:rsid w:val="008075C7"/>
    <w:rsid w:val="0080766C"/>
    <w:rsid w:val="00807956"/>
    <w:rsid w:val="00807DA7"/>
    <w:rsid w:val="0081062F"/>
    <w:rsid w:val="00810647"/>
    <w:rsid w:val="008107A4"/>
    <w:rsid w:val="0081092A"/>
    <w:rsid w:val="00810BB7"/>
    <w:rsid w:val="00810CEA"/>
    <w:rsid w:val="00810DC8"/>
    <w:rsid w:val="00810E5D"/>
    <w:rsid w:val="00810EE3"/>
    <w:rsid w:val="00810F3A"/>
    <w:rsid w:val="00811333"/>
    <w:rsid w:val="00811503"/>
    <w:rsid w:val="00811620"/>
    <w:rsid w:val="008118B1"/>
    <w:rsid w:val="00811966"/>
    <w:rsid w:val="00811BEE"/>
    <w:rsid w:val="00811C80"/>
    <w:rsid w:val="00811F92"/>
    <w:rsid w:val="00812118"/>
    <w:rsid w:val="0081242C"/>
    <w:rsid w:val="00812583"/>
    <w:rsid w:val="00812750"/>
    <w:rsid w:val="008127A1"/>
    <w:rsid w:val="00812D13"/>
    <w:rsid w:val="0081328D"/>
    <w:rsid w:val="00813321"/>
    <w:rsid w:val="008134F0"/>
    <w:rsid w:val="00813652"/>
    <w:rsid w:val="00813967"/>
    <w:rsid w:val="00813A98"/>
    <w:rsid w:val="00813C6D"/>
    <w:rsid w:val="00813E4A"/>
    <w:rsid w:val="00813EB5"/>
    <w:rsid w:val="00813EB9"/>
    <w:rsid w:val="00813F16"/>
    <w:rsid w:val="00814763"/>
    <w:rsid w:val="008148E7"/>
    <w:rsid w:val="008148F5"/>
    <w:rsid w:val="008149A0"/>
    <w:rsid w:val="00814D75"/>
    <w:rsid w:val="008152DC"/>
    <w:rsid w:val="00815626"/>
    <w:rsid w:val="008156E5"/>
    <w:rsid w:val="0081574F"/>
    <w:rsid w:val="008157AF"/>
    <w:rsid w:val="00815954"/>
    <w:rsid w:val="008159D8"/>
    <w:rsid w:val="00815A77"/>
    <w:rsid w:val="00815B0C"/>
    <w:rsid w:val="00815F28"/>
    <w:rsid w:val="00816046"/>
    <w:rsid w:val="00816249"/>
    <w:rsid w:val="00816330"/>
    <w:rsid w:val="008166BE"/>
    <w:rsid w:val="008168D9"/>
    <w:rsid w:val="00816907"/>
    <w:rsid w:val="008179AB"/>
    <w:rsid w:val="00817B8E"/>
    <w:rsid w:val="00820200"/>
    <w:rsid w:val="00820632"/>
    <w:rsid w:val="008206FD"/>
    <w:rsid w:val="00820758"/>
    <w:rsid w:val="00820CAF"/>
    <w:rsid w:val="00820D37"/>
    <w:rsid w:val="00821166"/>
    <w:rsid w:val="00821220"/>
    <w:rsid w:val="008212AE"/>
    <w:rsid w:val="008213A5"/>
    <w:rsid w:val="0082140D"/>
    <w:rsid w:val="008215C0"/>
    <w:rsid w:val="00821650"/>
    <w:rsid w:val="00821A33"/>
    <w:rsid w:val="00821D6D"/>
    <w:rsid w:val="0082294F"/>
    <w:rsid w:val="00822BE5"/>
    <w:rsid w:val="00822CB1"/>
    <w:rsid w:val="00822FF2"/>
    <w:rsid w:val="0082315B"/>
    <w:rsid w:val="00823351"/>
    <w:rsid w:val="008235DF"/>
    <w:rsid w:val="0082379F"/>
    <w:rsid w:val="008239F4"/>
    <w:rsid w:val="00823C8B"/>
    <w:rsid w:val="00823EED"/>
    <w:rsid w:val="0082403A"/>
    <w:rsid w:val="00824680"/>
    <w:rsid w:val="00824C00"/>
    <w:rsid w:val="008251B8"/>
    <w:rsid w:val="00825341"/>
    <w:rsid w:val="008254AF"/>
    <w:rsid w:val="0082588B"/>
    <w:rsid w:val="00825966"/>
    <w:rsid w:val="00825F6C"/>
    <w:rsid w:val="008260CD"/>
    <w:rsid w:val="008262BF"/>
    <w:rsid w:val="00826314"/>
    <w:rsid w:val="00826814"/>
    <w:rsid w:val="00826D71"/>
    <w:rsid w:val="008270E5"/>
    <w:rsid w:val="008271D8"/>
    <w:rsid w:val="00827732"/>
    <w:rsid w:val="0082786B"/>
    <w:rsid w:val="00827A53"/>
    <w:rsid w:val="00827A80"/>
    <w:rsid w:val="00827C49"/>
    <w:rsid w:val="0083010D"/>
    <w:rsid w:val="00830327"/>
    <w:rsid w:val="0083052E"/>
    <w:rsid w:val="00830571"/>
    <w:rsid w:val="00830A43"/>
    <w:rsid w:val="00830D16"/>
    <w:rsid w:val="00830E64"/>
    <w:rsid w:val="00830FB2"/>
    <w:rsid w:val="00831192"/>
    <w:rsid w:val="008311EB"/>
    <w:rsid w:val="008321FC"/>
    <w:rsid w:val="00832239"/>
    <w:rsid w:val="00832273"/>
    <w:rsid w:val="0083274C"/>
    <w:rsid w:val="00832DFB"/>
    <w:rsid w:val="00832E2E"/>
    <w:rsid w:val="00833264"/>
    <w:rsid w:val="008336F8"/>
    <w:rsid w:val="008339C8"/>
    <w:rsid w:val="00833EC6"/>
    <w:rsid w:val="00833FF7"/>
    <w:rsid w:val="00834151"/>
    <w:rsid w:val="00834296"/>
    <w:rsid w:val="0083431C"/>
    <w:rsid w:val="00834AEE"/>
    <w:rsid w:val="00834B54"/>
    <w:rsid w:val="00834C60"/>
    <w:rsid w:val="00834EE3"/>
    <w:rsid w:val="008351EA"/>
    <w:rsid w:val="008352B5"/>
    <w:rsid w:val="008356A1"/>
    <w:rsid w:val="00835743"/>
    <w:rsid w:val="00835B6D"/>
    <w:rsid w:val="00835F2B"/>
    <w:rsid w:val="00836159"/>
    <w:rsid w:val="0083625C"/>
    <w:rsid w:val="00836409"/>
    <w:rsid w:val="00836A82"/>
    <w:rsid w:val="00836C49"/>
    <w:rsid w:val="00836CB4"/>
    <w:rsid w:val="00836CE4"/>
    <w:rsid w:val="00837421"/>
    <w:rsid w:val="00837DE3"/>
    <w:rsid w:val="00837F00"/>
    <w:rsid w:val="0084002B"/>
    <w:rsid w:val="008400EF"/>
    <w:rsid w:val="00840123"/>
    <w:rsid w:val="0084016B"/>
    <w:rsid w:val="008401E1"/>
    <w:rsid w:val="008402B5"/>
    <w:rsid w:val="00840657"/>
    <w:rsid w:val="008407A1"/>
    <w:rsid w:val="00840EE0"/>
    <w:rsid w:val="00841199"/>
    <w:rsid w:val="008412FB"/>
    <w:rsid w:val="00841413"/>
    <w:rsid w:val="008417EF"/>
    <w:rsid w:val="00841C15"/>
    <w:rsid w:val="00841F41"/>
    <w:rsid w:val="00842028"/>
    <w:rsid w:val="00842D50"/>
    <w:rsid w:val="00842D9B"/>
    <w:rsid w:val="00842FEB"/>
    <w:rsid w:val="008431A5"/>
    <w:rsid w:val="008432D6"/>
    <w:rsid w:val="008433C0"/>
    <w:rsid w:val="008439FC"/>
    <w:rsid w:val="00843D95"/>
    <w:rsid w:val="00844056"/>
    <w:rsid w:val="008440B2"/>
    <w:rsid w:val="008441CF"/>
    <w:rsid w:val="00844398"/>
    <w:rsid w:val="0084479E"/>
    <w:rsid w:val="00844B94"/>
    <w:rsid w:val="00844F51"/>
    <w:rsid w:val="00845832"/>
    <w:rsid w:val="00845A64"/>
    <w:rsid w:val="00845CDA"/>
    <w:rsid w:val="00845CE5"/>
    <w:rsid w:val="00846389"/>
    <w:rsid w:val="00846585"/>
    <w:rsid w:val="00846B12"/>
    <w:rsid w:val="00846BD6"/>
    <w:rsid w:val="00846CA5"/>
    <w:rsid w:val="008471C4"/>
    <w:rsid w:val="0084744C"/>
    <w:rsid w:val="0084755E"/>
    <w:rsid w:val="00847A5A"/>
    <w:rsid w:val="00847D4B"/>
    <w:rsid w:val="00847E0C"/>
    <w:rsid w:val="00850746"/>
    <w:rsid w:val="0085097B"/>
    <w:rsid w:val="00850AB4"/>
    <w:rsid w:val="00850B65"/>
    <w:rsid w:val="00850C85"/>
    <w:rsid w:val="00850DFF"/>
    <w:rsid w:val="00850F53"/>
    <w:rsid w:val="00851004"/>
    <w:rsid w:val="008511C8"/>
    <w:rsid w:val="0085140C"/>
    <w:rsid w:val="008514B7"/>
    <w:rsid w:val="00851667"/>
    <w:rsid w:val="00851743"/>
    <w:rsid w:val="00851B07"/>
    <w:rsid w:val="00851E13"/>
    <w:rsid w:val="00851EF4"/>
    <w:rsid w:val="00852052"/>
    <w:rsid w:val="008520BC"/>
    <w:rsid w:val="00852279"/>
    <w:rsid w:val="008524E5"/>
    <w:rsid w:val="00852681"/>
    <w:rsid w:val="0085273F"/>
    <w:rsid w:val="00852D7C"/>
    <w:rsid w:val="00852E59"/>
    <w:rsid w:val="00852E76"/>
    <w:rsid w:val="008533D7"/>
    <w:rsid w:val="00853513"/>
    <w:rsid w:val="008539E2"/>
    <w:rsid w:val="00853A90"/>
    <w:rsid w:val="00853F40"/>
    <w:rsid w:val="00854019"/>
    <w:rsid w:val="00854145"/>
    <w:rsid w:val="008547EF"/>
    <w:rsid w:val="008548E7"/>
    <w:rsid w:val="00854B34"/>
    <w:rsid w:val="00854C5A"/>
    <w:rsid w:val="00854C9B"/>
    <w:rsid w:val="00854DEA"/>
    <w:rsid w:val="0085507C"/>
    <w:rsid w:val="00855182"/>
    <w:rsid w:val="0085553A"/>
    <w:rsid w:val="0085568F"/>
    <w:rsid w:val="008557C8"/>
    <w:rsid w:val="00855806"/>
    <w:rsid w:val="00855EF6"/>
    <w:rsid w:val="008560B5"/>
    <w:rsid w:val="008561DE"/>
    <w:rsid w:val="0085620B"/>
    <w:rsid w:val="008563ED"/>
    <w:rsid w:val="00856826"/>
    <w:rsid w:val="00856ACA"/>
    <w:rsid w:val="00856B77"/>
    <w:rsid w:val="00856EFA"/>
    <w:rsid w:val="00856F38"/>
    <w:rsid w:val="0085768D"/>
    <w:rsid w:val="008576B2"/>
    <w:rsid w:val="00857792"/>
    <w:rsid w:val="0085787E"/>
    <w:rsid w:val="008606F7"/>
    <w:rsid w:val="008607B8"/>
    <w:rsid w:val="008607C7"/>
    <w:rsid w:val="008609C3"/>
    <w:rsid w:val="00860E7F"/>
    <w:rsid w:val="00860FBC"/>
    <w:rsid w:val="008610A5"/>
    <w:rsid w:val="008612FF"/>
    <w:rsid w:val="00861ABB"/>
    <w:rsid w:val="00861AD4"/>
    <w:rsid w:val="00861AE0"/>
    <w:rsid w:val="00861B2C"/>
    <w:rsid w:val="00861CDD"/>
    <w:rsid w:val="00861F48"/>
    <w:rsid w:val="008626A6"/>
    <w:rsid w:val="0086278E"/>
    <w:rsid w:val="00862D5F"/>
    <w:rsid w:val="00862F42"/>
    <w:rsid w:val="00863173"/>
    <w:rsid w:val="00863255"/>
    <w:rsid w:val="00863652"/>
    <w:rsid w:val="008636FD"/>
    <w:rsid w:val="008637E5"/>
    <w:rsid w:val="00863B4D"/>
    <w:rsid w:val="00863EF5"/>
    <w:rsid w:val="0086447B"/>
    <w:rsid w:val="008646B6"/>
    <w:rsid w:val="00864A5E"/>
    <w:rsid w:val="00864B94"/>
    <w:rsid w:val="00865128"/>
    <w:rsid w:val="00865169"/>
    <w:rsid w:val="008652AD"/>
    <w:rsid w:val="008653F3"/>
    <w:rsid w:val="008658B5"/>
    <w:rsid w:val="00865AD4"/>
    <w:rsid w:val="008660E9"/>
    <w:rsid w:val="008662A5"/>
    <w:rsid w:val="00866AF7"/>
    <w:rsid w:val="00866C09"/>
    <w:rsid w:val="00866DC1"/>
    <w:rsid w:val="00866F27"/>
    <w:rsid w:val="0086738A"/>
    <w:rsid w:val="008675A9"/>
    <w:rsid w:val="0086765D"/>
    <w:rsid w:val="008677BD"/>
    <w:rsid w:val="00867A05"/>
    <w:rsid w:val="00870190"/>
    <w:rsid w:val="00870543"/>
    <w:rsid w:val="008705DD"/>
    <w:rsid w:val="00870799"/>
    <w:rsid w:val="00870D96"/>
    <w:rsid w:val="00870F0D"/>
    <w:rsid w:val="00870F92"/>
    <w:rsid w:val="0087117E"/>
    <w:rsid w:val="00871221"/>
    <w:rsid w:val="00871AE5"/>
    <w:rsid w:val="00871EDD"/>
    <w:rsid w:val="00871EE3"/>
    <w:rsid w:val="00872F88"/>
    <w:rsid w:val="00873077"/>
    <w:rsid w:val="008731F5"/>
    <w:rsid w:val="00873255"/>
    <w:rsid w:val="008733F8"/>
    <w:rsid w:val="00873531"/>
    <w:rsid w:val="00873571"/>
    <w:rsid w:val="00873991"/>
    <w:rsid w:val="008743D0"/>
    <w:rsid w:val="00874768"/>
    <w:rsid w:val="008750BA"/>
    <w:rsid w:val="008753F9"/>
    <w:rsid w:val="0087549E"/>
    <w:rsid w:val="008758E5"/>
    <w:rsid w:val="00875EA3"/>
    <w:rsid w:val="008760E2"/>
    <w:rsid w:val="00876A41"/>
    <w:rsid w:val="00876AA5"/>
    <w:rsid w:val="00876F35"/>
    <w:rsid w:val="008770C0"/>
    <w:rsid w:val="00877330"/>
    <w:rsid w:val="008773DE"/>
    <w:rsid w:val="008773F7"/>
    <w:rsid w:val="00877DFA"/>
    <w:rsid w:val="00880043"/>
    <w:rsid w:val="00880743"/>
    <w:rsid w:val="008808CB"/>
    <w:rsid w:val="00880C95"/>
    <w:rsid w:val="00881193"/>
    <w:rsid w:val="00881363"/>
    <w:rsid w:val="00881C37"/>
    <w:rsid w:val="00881FDE"/>
    <w:rsid w:val="0088202F"/>
    <w:rsid w:val="008820E4"/>
    <w:rsid w:val="00882173"/>
    <w:rsid w:val="00882255"/>
    <w:rsid w:val="008827CF"/>
    <w:rsid w:val="00882A14"/>
    <w:rsid w:val="00882A8A"/>
    <w:rsid w:val="00882D22"/>
    <w:rsid w:val="00883528"/>
    <w:rsid w:val="008835D9"/>
    <w:rsid w:val="00883B48"/>
    <w:rsid w:val="00883F76"/>
    <w:rsid w:val="008840D1"/>
    <w:rsid w:val="00884464"/>
    <w:rsid w:val="008844DA"/>
    <w:rsid w:val="00884567"/>
    <w:rsid w:val="00884911"/>
    <w:rsid w:val="00884A86"/>
    <w:rsid w:val="00884DFB"/>
    <w:rsid w:val="008850BA"/>
    <w:rsid w:val="008851FB"/>
    <w:rsid w:val="0088559C"/>
    <w:rsid w:val="00885680"/>
    <w:rsid w:val="008859FB"/>
    <w:rsid w:val="00885C0A"/>
    <w:rsid w:val="00885D76"/>
    <w:rsid w:val="008860E8"/>
    <w:rsid w:val="008864AA"/>
    <w:rsid w:val="008869AB"/>
    <w:rsid w:val="00886B11"/>
    <w:rsid w:val="00886E56"/>
    <w:rsid w:val="008871E9"/>
    <w:rsid w:val="00887288"/>
    <w:rsid w:val="0088762A"/>
    <w:rsid w:val="008877C0"/>
    <w:rsid w:val="00887811"/>
    <w:rsid w:val="00887C4C"/>
    <w:rsid w:val="00887E43"/>
    <w:rsid w:val="008902CA"/>
    <w:rsid w:val="008903F7"/>
    <w:rsid w:val="00890827"/>
    <w:rsid w:val="00890AC8"/>
    <w:rsid w:val="00890CAC"/>
    <w:rsid w:val="00890F9E"/>
    <w:rsid w:val="008913DC"/>
    <w:rsid w:val="0089177D"/>
    <w:rsid w:val="008918D5"/>
    <w:rsid w:val="0089195B"/>
    <w:rsid w:val="00892049"/>
    <w:rsid w:val="00892151"/>
    <w:rsid w:val="00892372"/>
    <w:rsid w:val="008923E3"/>
    <w:rsid w:val="00892514"/>
    <w:rsid w:val="00892B1C"/>
    <w:rsid w:val="00893176"/>
    <w:rsid w:val="00893493"/>
    <w:rsid w:val="00893911"/>
    <w:rsid w:val="008947A0"/>
    <w:rsid w:val="008947B0"/>
    <w:rsid w:val="00894823"/>
    <w:rsid w:val="00894B88"/>
    <w:rsid w:val="00894F0E"/>
    <w:rsid w:val="00895042"/>
    <w:rsid w:val="0089504B"/>
    <w:rsid w:val="00895413"/>
    <w:rsid w:val="008959EE"/>
    <w:rsid w:val="0089600E"/>
    <w:rsid w:val="008963EB"/>
    <w:rsid w:val="008969EE"/>
    <w:rsid w:val="00896C31"/>
    <w:rsid w:val="00896D5D"/>
    <w:rsid w:val="00896F61"/>
    <w:rsid w:val="00896FCB"/>
    <w:rsid w:val="0089705B"/>
    <w:rsid w:val="008970B4"/>
    <w:rsid w:val="0089748C"/>
    <w:rsid w:val="00897848"/>
    <w:rsid w:val="00897934"/>
    <w:rsid w:val="00897ACF"/>
    <w:rsid w:val="00897B3F"/>
    <w:rsid w:val="00897B90"/>
    <w:rsid w:val="00897BBE"/>
    <w:rsid w:val="00897C52"/>
    <w:rsid w:val="00897D5E"/>
    <w:rsid w:val="008A043A"/>
    <w:rsid w:val="008A071E"/>
    <w:rsid w:val="008A08A0"/>
    <w:rsid w:val="008A09DC"/>
    <w:rsid w:val="008A0C2D"/>
    <w:rsid w:val="008A0CED"/>
    <w:rsid w:val="008A0D58"/>
    <w:rsid w:val="008A0FF2"/>
    <w:rsid w:val="008A1955"/>
    <w:rsid w:val="008A1D9F"/>
    <w:rsid w:val="008A1FE6"/>
    <w:rsid w:val="008A20F1"/>
    <w:rsid w:val="008A24D1"/>
    <w:rsid w:val="008A2683"/>
    <w:rsid w:val="008A2CDF"/>
    <w:rsid w:val="008A2E20"/>
    <w:rsid w:val="008A2F66"/>
    <w:rsid w:val="008A333E"/>
    <w:rsid w:val="008A338B"/>
    <w:rsid w:val="008A34EB"/>
    <w:rsid w:val="008A3532"/>
    <w:rsid w:val="008A363D"/>
    <w:rsid w:val="008A3847"/>
    <w:rsid w:val="008A3A48"/>
    <w:rsid w:val="008A3B0B"/>
    <w:rsid w:val="008A3B0D"/>
    <w:rsid w:val="008A408B"/>
    <w:rsid w:val="008A4486"/>
    <w:rsid w:val="008A48B4"/>
    <w:rsid w:val="008A48F5"/>
    <w:rsid w:val="008A48FF"/>
    <w:rsid w:val="008A4A75"/>
    <w:rsid w:val="008A4B0D"/>
    <w:rsid w:val="008A4F7B"/>
    <w:rsid w:val="008A5045"/>
    <w:rsid w:val="008A5A2B"/>
    <w:rsid w:val="008A5E7D"/>
    <w:rsid w:val="008A6065"/>
    <w:rsid w:val="008A62A6"/>
    <w:rsid w:val="008A6B3A"/>
    <w:rsid w:val="008A6E1A"/>
    <w:rsid w:val="008A73BF"/>
    <w:rsid w:val="008A73CB"/>
    <w:rsid w:val="008A78CA"/>
    <w:rsid w:val="008A79A5"/>
    <w:rsid w:val="008A7E07"/>
    <w:rsid w:val="008A7FF0"/>
    <w:rsid w:val="008B0021"/>
    <w:rsid w:val="008B0A48"/>
    <w:rsid w:val="008B0AF9"/>
    <w:rsid w:val="008B11E4"/>
    <w:rsid w:val="008B1259"/>
    <w:rsid w:val="008B1596"/>
    <w:rsid w:val="008B1797"/>
    <w:rsid w:val="008B17CE"/>
    <w:rsid w:val="008B199E"/>
    <w:rsid w:val="008B1ACD"/>
    <w:rsid w:val="008B1BF1"/>
    <w:rsid w:val="008B1EB9"/>
    <w:rsid w:val="008B22E1"/>
    <w:rsid w:val="008B2469"/>
    <w:rsid w:val="008B269C"/>
    <w:rsid w:val="008B296C"/>
    <w:rsid w:val="008B2C79"/>
    <w:rsid w:val="008B32C8"/>
    <w:rsid w:val="008B3548"/>
    <w:rsid w:val="008B3640"/>
    <w:rsid w:val="008B37ED"/>
    <w:rsid w:val="008B3D75"/>
    <w:rsid w:val="008B3F6E"/>
    <w:rsid w:val="008B4086"/>
    <w:rsid w:val="008B45C5"/>
    <w:rsid w:val="008B4D3B"/>
    <w:rsid w:val="008B4F81"/>
    <w:rsid w:val="008B4FF2"/>
    <w:rsid w:val="008B515C"/>
    <w:rsid w:val="008B5628"/>
    <w:rsid w:val="008B567D"/>
    <w:rsid w:val="008B574B"/>
    <w:rsid w:val="008B5AB0"/>
    <w:rsid w:val="008B5B95"/>
    <w:rsid w:val="008B5B9B"/>
    <w:rsid w:val="008B5CDB"/>
    <w:rsid w:val="008B5F3D"/>
    <w:rsid w:val="008B618C"/>
    <w:rsid w:val="008B62EE"/>
    <w:rsid w:val="008B64F2"/>
    <w:rsid w:val="008B6A53"/>
    <w:rsid w:val="008B6B99"/>
    <w:rsid w:val="008B6C1E"/>
    <w:rsid w:val="008B6D0F"/>
    <w:rsid w:val="008B6D4D"/>
    <w:rsid w:val="008B6F0C"/>
    <w:rsid w:val="008B6F0F"/>
    <w:rsid w:val="008B70E6"/>
    <w:rsid w:val="008B7752"/>
    <w:rsid w:val="008B77C5"/>
    <w:rsid w:val="008B7BB5"/>
    <w:rsid w:val="008B7BBF"/>
    <w:rsid w:val="008B7EF8"/>
    <w:rsid w:val="008C0084"/>
    <w:rsid w:val="008C02B5"/>
    <w:rsid w:val="008C0304"/>
    <w:rsid w:val="008C03DB"/>
    <w:rsid w:val="008C0E87"/>
    <w:rsid w:val="008C1299"/>
    <w:rsid w:val="008C12CD"/>
    <w:rsid w:val="008C13F3"/>
    <w:rsid w:val="008C16D1"/>
    <w:rsid w:val="008C1816"/>
    <w:rsid w:val="008C1960"/>
    <w:rsid w:val="008C1BB4"/>
    <w:rsid w:val="008C1FA4"/>
    <w:rsid w:val="008C20C1"/>
    <w:rsid w:val="008C26F7"/>
    <w:rsid w:val="008C27BD"/>
    <w:rsid w:val="008C2A5D"/>
    <w:rsid w:val="008C2B9D"/>
    <w:rsid w:val="008C2FF6"/>
    <w:rsid w:val="008C31A5"/>
    <w:rsid w:val="008C320B"/>
    <w:rsid w:val="008C38C1"/>
    <w:rsid w:val="008C3B64"/>
    <w:rsid w:val="008C3BB8"/>
    <w:rsid w:val="008C41AC"/>
    <w:rsid w:val="008C44CB"/>
    <w:rsid w:val="008C4522"/>
    <w:rsid w:val="008C455E"/>
    <w:rsid w:val="008C455F"/>
    <w:rsid w:val="008C4871"/>
    <w:rsid w:val="008C4AA0"/>
    <w:rsid w:val="008C4B4C"/>
    <w:rsid w:val="008C4D1A"/>
    <w:rsid w:val="008C5204"/>
    <w:rsid w:val="008C5345"/>
    <w:rsid w:val="008C55AD"/>
    <w:rsid w:val="008C5A3F"/>
    <w:rsid w:val="008C5ACB"/>
    <w:rsid w:val="008C5D0D"/>
    <w:rsid w:val="008C5D2F"/>
    <w:rsid w:val="008C5DF6"/>
    <w:rsid w:val="008C6928"/>
    <w:rsid w:val="008C6ADE"/>
    <w:rsid w:val="008C6C7C"/>
    <w:rsid w:val="008C6E22"/>
    <w:rsid w:val="008C7050"/>
    <w:rsid w:val="008C756A"/>
    <w:rsid w:val="008C7638"/>
    <w:rsid w:val="008C7690"/>
    <w:rsid w:val="008C76D4"/>
    <w:rsid w:val="008C7774"/>
    <w:rsid w:val="008C78DB"/>
    <w:rsid w:val="008C78E7"/>
    <w:rsid w:val="008C7FF0"/>
    <w:rsid w:val="008D0054"/>
    <w:rsid w:val="008D011C"/>
    <w:rsid w:val="008D02D1"/>
    <w:rsid w:val="008D03C9"/>
    <w:rsid w:val="008D0908"/>
    <w:rsid w:val="008D0D2F"/>
    <w:rsid w:val="008D0DB7"/>
    <w:rsid w:val="008D1126"/>
    <w:rsid w:val="008D12FF"/>
    <w:rsid w:val="008D1416"/>
    <w:rsid w:val="008D16F3"/>
    <w:rsid w:val="008D1908"/>
    <w:rsid w:val="008D1963"/>
    <w:rsid w:val="008D1DFC"/>
    <w:rsid w:val="008D20C7"/>
    <w:rsid w:val="008D21CD"/>
    <w:rsid w:val="008D2738"/>
    <w:rsid w:val="008D2876"/>
    <w:rsid w:val="008D2C43"/>
    <w:rsid w:val="008D3266"/>
    <w:rsid w:val="008D32A3"/>
    <w:rsid w:val="008D3558"/>
    <w:rsid w:val="008D3B37"/>
    <w:rsid w:val="008D4097"/>
    <w:rsid w:val="008D476F"/>
    <w:rsid w:val="008D48EE"/>
    <w:rsid w:val="008D4C6B"/>
    <w:rsid w:val="008D4C9A"/>
    <w:rsid w:val="008D4EE7"/>
    <w:rsid w:val="008D520B"/>
    <w:rsid w:val="008D536A"/>
    <w:rsid w:val="008D547B"/>
    <w:rsid w:val="008D5530"/>
    <w:rsid w:val="008D58CD"/>
    <w:rsid w:val="008D58CE"/>
    <w:rsid w:val="008D5B12"/>
    <w:rsid w:val="008D5DE8"/>
    <w:rsid w:val="008D5E11"/>
    <w:rsid w:val="008D64F6"/>
    <w:rsid w:val="008D6BD4"/>
    <w:rsid w:val="008D6E2C"/>
    <w:rsid w:val="008D6FA2"/>
    <w:rsid w:val="008D7269"/>
    <w:rsid w:val="008D7405"/>
    <w:rsid w:val="008D7B7E"/>
    <w:rsid w:val="008E0962"/>
    <w:rsid w:val="008E0A6C"/>
    <w:rsid w:val="008E146D"/>
    <w:rsid w:val="008E154D"/>
    <w:rsid w:val="008E1954"/>
    <w:rsid w:val="008E1B0A"/>
    <w:rsid w:val="008E1C4F"/>
    <w:rsid w:val="008E1CD9"/>
    <w:rsid w:val="008E1DEA"/>
    <w:rsid w:val="008E1F24"/>
    <w:rsid w:val="008E211F"/>
    <w:rsid w:val="008E2999"/>
    <w:rsid w:val="008E34F5"/>
    <w:rsid w:val="008E3517"/>
    <w:rsid w:val="008E3C65"/>
    <w:rsid w:val="008E3F6B"/>
    <w:rsid w:val="008E412B"/>
    <w:rsid w:val="008E41FD"/>
    <w:rsid w:val="008E4698"/>
    <w:rsid w:val="008E48F8"/>
    <w:rsid w:val="008E4991"/>
    <w:rsid w:val="008E4ECA"/>
    <w:rsid w:val="008E5016"/>
    <w:rsid w:val="008E5017"/>
    <w:rsid w:val="008E533C"/>
    <w:rsid w:val="008E5381"/>
    <w:rsid w:val="008E5623"/>
    <w:rsid w:val="008E5A51"/>
    <w:rsid w:val="008E5BA9"/>
    <w:rsid w:val="008E5F4B"/>
    <w:rsid w:val="008E605A"/>
    <w:rsid w:val="008E619B"/>
    <w:rsid w:val="008E6742"/>
    <w:rsid w:val="008E6991"/>
    <w:rsid w:val="008E6A06"/>
    <w:rsid w:val="008E6BB5"/>
    <w:rsid w:val="008E6C0B"/>
    <w:rsid w:val="008E6C42"/>
    <w:rsid w:val="008E6CAB"/>
    <w:rsid w:val="008E6D8A"/>
    <w:rsid w:val="008E6FCF"/>
    <w:rsid w:val="008E7075"/>
    <w:rsid w:val="008E7336"/>
    <w:rsid w:val="008E734D"/>
    <w:rsid w:val="008E7684"/>
    <w:rsid w:val="008E797A"/>
    <w:rsid w:val="008E7CFD"/>
    <w:rsid w:val="008F05EC"/>
    <w:rsid w:val="008F0A68"/>
    <w:rsid w:val="008F0E03"/>
    <w:rsid w:val="008F1264"/>
    <w:rsid w:val="008F12C1"/>
    <w:rsid w:val="008F1400"/>
    <w:rsid w:val="008F14C1"/>
    <w:rsid w:val="008F1854"/>
    <w:rsid w:val="008F2642"/>
    <w:rsid w:val="008F2C22"/>
    <w:rsid w:val="008F2C5E"/>
    <w:rsid w:val="008F32A7"/>
    <w:rsid w:val="008F350F"/>
    <w:rsid w:val="008F3B7B"/>
    <w:rsid w:val="008F4039"/>
    <w:rsid w:val="008F40FD"/>
    <w:rsid w:val="008F43EB"/>
    <w:rsid w:val="008F45D4"/>
    <w:rsid w:val="008F4835"/>
    <w:rsid w:val="008F4AE4"/>
    <w:rsid w:val="008F4CEF"/>
    <w:rsid w:val="008F5236"/>
    <w:rsid w:val="008F5410"/>
    <w:rsid w:val="008F5645"/>
    <w:rsid w:val="008F5669"/>
    <w:rsid w:val="008F578A"/>
    <w:rsid w:val="008F59F7"/>
    <w:rsid w:val="008F5A58"/>
    <w:rsid w:val="008F5AFE"/>
    <w:rsid w:val="008F5BCE"/>
    <w:rsid w:val="008F5CD5"/>
    <w:rsid w:val="008F60A8"/>
    <w:rsid w:val="008F629E"/>
    <w:rsid w:val="008F69B3"/>
    <w:rsid w:val="008F6E0E"/>
    <w:rsid w:val="008F6F5C"/>
    <w:rsid w:val="008F75D8"/>
    <w:rsid w:val="008F7BC5"/>
    <w:rsid w:val="008F7D13"/>
    <w:rsid w:val="008F7EF7"/>
    <w:rsid w:val="00900077"/>
    <w:rsid w:val="00900533"/>
    <w:rsid w:val="0090056F"/>
    <w:rsid w:val="0090082E"/>
    <w:rsid w:val="0090083B"/>
    <w:rsid w:val="00900DCB"/>
    <w:rsid w:val="00900E19"/>
    <w:rsid w:val="00900F96"/>
    <w:rsid w:val="00900FD8"/>
    <w:rsid w:val="00901014"/>
    <w:rsid w:val="009014AC"/>
    <w:rsid w:val="00901979"/>
    <w:rsid w:val="00901A4C"/>
    <w:rsid w:val="00901DB4"/>
    <w:rsid w:val="00901DEF"/>
    <w:rsid w:val="0090203B"/>
    <w:rsid w:val="00902A5D"/>
    <w:rsid w:val="00902F07"/>
    <w:rsid w:val="009035D0"/>
    <w:rsid w:val="00904286"/>
    <w:rsid w:val="009046B7"/>
    <w:rsid w:val="009049C8"/>
    <w:rsid w:val="00904AB3"/>
    <w:rsid w:val="00904ACC"/>
    <w:rsid w:val="00904BCF"/>
    <w:rsid w:val="00904C5D"/>
    <w:rsid w:val="00904DF6"/>
    <w:rsid w:val="00904F66"/>
    <w:rsid w:val="009051E7"/>
    <w:rsid w:val="00905319"/>
    <w:rsid w:val="009053BA"/>
    <w:rsid w:val="00905B09"/>
    <w:rsid w:val="00905D7E"/>
    <w:rsid w:val="009061B8"/>
    <w:rsid w:val="0090686F"/>
    <w:rsid w:val="00906B94"/>
    <w:rsid w:val="00906C37"/>
    <w:rsid w:val="00906D37"/>
    <w:rsid w:val="009070D3"/>
    <w:rsid w:val="0090721F"/>
    <w:rsid w:val="009076D8"/>
    <w:rsid w:val="00907C2B"/>
    <w:rsid w:val="00907D34"/>
    <w:rsid w:val="00907FFA"/>
    <w:rsid w:val="0091068D"/>
    <w:rsid w:val="00910A94"/>
    <w:rsid w:val="009111AA"/>
    <w:rsid w:val="00911523"/>
    <w:rsid w:val="009121BE"/>
    <w:rsid w:val="0091224A"/>
    <w:rsid w:val="00912321"/>
    <w:rsid w:val="00912467"/>
    <w:rsid w:val="0091248C"/>
    <w:rsid w:val="00912A78"/>
    <w:rsid w:val="009131F6"/>
    <w:rsid w:val="009134DC"/>
    <w:rsid w:val="0091387C"/>
    <w:rsid w:val="0091388F"/>
    <w:rsid w:val="00913AD2"/>
    <w:rsid w:val="00913B93"/>
    <w:rsid w:val="00913FE5"/>
    <w:rsid w:val="009140CF"/>
    <w:rsid w:val="00914284"/>
    <w:rsid w:val="009143D5"/>
    <w:rsid w:val="00914FD3"/>
    <w:rsid w:val="00915104"/>
    <w:rsid w:val="00915CDF"/>
    <w:rsid w:val="00916200"/>
    <w:rsid w:val="009164CA"/>
    <w:rsid w:val="009165DA"/>
    <w:rsid w:val="009171B2"/>
    <w:rsid w:val="009178A6"/>
    <w:rsid w:val="009179A6"/>
    <w:rsid w:val="009200A2"/>
    <w:rsid w:val="009202A1"/>
    <w:rsid w:val="0092068A"/>
    <w:rsid w:val="009208BE"/>
    <w:rsid w:val="00920BC3"/>
    <w:rsid w:val="00920DEF"/>
    <w:rsid w:val="009214B2"/>
    <w:rsid w:val="0092176C"/>
    <w:rsid w:val="00921882"/>
    <w:rsid w:val="00921AB9"/>
    <w:rsid w:val="00921F53"/>
    <w:rsid w:val="00922021"/>
    <w:rsid w:val="00922101"/>
    <w:rsid w:val="00922208"/>
    <w:rsid w:val="0092222F"/>
    <w:rsid w:val="00922761"/>
    <w:rsid w:val="009228E3"/>
    <w:rsid w:val="00922E9C"/>
    <w:rsid w:val="009239CF"/>
    <w:rsid w:val="00923D1C"/>
    <w:rsid w:val="00923D67"/>
    <w:rsid w:val="0092420B"/>
    <w:rsid w:val="00924501"/>
    <w:rsid w:val="0092476F"/>
    <w:rsid w:val="00924AA3"/>
    <w:rsid w:val="00924ED8"/>
    <w:rsid w:val="00925280"/>
    <w:rsid w:val="009252D5"/>
    <w:rsid w:val="009254D6"/>
    <w:rsid w:val="0092575D"/>
    <w:rsid w:val="0092576D"/>
    <w:rsid w:val="00925B9E"/>
    <w:rsid w:val="00925CDD"/>
    <w:rsid w:val="00925E7F"/>
    <w:rsid w:val="00926105"/>
    <w:rsid w:val="00926292"/>
    <w:rsid w:val="009263EC"/>
    <w:rsid w:val="00926598"/>
    <w:rsid w:val="0092669A"/>
    <w:rsid w:val="009268E6"/>
    <w:rsid w:val="00926BB4"/>
    <w:rsid w:val="00926F6A"/>
    <w:rsid w:val="00927BB1"/>
    <w:rsid w:val="00927D6C"/>
    <w:rsid w:val="00930281"/>
    <w:rsid w:val="00930440"/>
    <w:rsid w:val="0093046A"/>
    <w:rsid w:val="009305BB"/>
    <w:rsid w:val="00930EE0"/>
    <w:rsid w:val="00931868"/>
    <w:rsid w:val="00931A31"/>
    <w:rsid w:val="00931A52"/>
    <w:rsid w:val="00931F17"/>
    <w:rsid w:val="009324E3"/>
    <w:rsid w:val="00932879"/>
    <w:rsid w:val="009328F2"/>
    <w:rsid w:val="00932E48"/>
    <w:rsid w:val="00933367"/>
    <w:rsid w:val="0093340E"/>
    <w:rsid w:val="00933445"/>
    <w:rsid w:val="0093351A"/>
    <w:rsid w:val="00933EA5"/>
    <w:rsid w:val="00934227"/>
    <w:rsid w:val="009343A7"/>
    <w:rsid w:val="009345DA"/>
    <w:rsid w:val="009346E4"/>
    <w:rsid w:val="0093483F"/>
    <w:rsid w:val="009348E3"/>
    <w:rsid w:val="00934AD4"/>
    <w:rsid w:val="00934CC2"/>
    <w:rsid w:val="00935121"/>
    <w:rsid w:val="009353CE"/>
    <w:rsid w:val="00935C19"/>
    <w:rsid w:val="009365B7"/>
    <w:rsid w:val="009366D4"/>
    <w:rsid w:val="00936B47"/>
    <w:rsid w:val="00936E01"/>
    <w:rsid w:val="00936EA9"/>
    <w:rsid w:val="00937106"/>
    <w:rsid w:val="00937431"/>
    <w:rsid w:val="009374A0"/>
    <w:rsid w:val="009378C5"/>
    <w:rsid w:val="00937A46"/>
    <w:rsid w:val="00937BF3"/>
    <w:rsid w:val="00937DB4"/>
    <w:rsid w:val="00937E40"/>
    <w:rsid w:val="009400DF"/>
    <w:rsid w:val="00940344"/>
    <w:rsid w:val="00940601"/>
    <w:rsid w:val="009409B8"/>
    <w:rsid w:val="00940BC0"/>
    <w:rsid w:val="009410AD"/>
    <w:rsid w:val="009411F2"/>
    <w:rsid w:val="00941296"/>
    <w:rsid w:val="00941511"/>
    <w:rsid w:val="0094157D"/>
    <w:rsid w:val="00941886"/>
    <w:rsid w:val="009418EC"/>
    <w:rsid w:val="00942083"/>
    <w:rsid w:val="0094213F"/>
    <w:rsid w:val="00942165"/>
    <w:rsid w:val="00942675"/>
    <w:rsid w:val="009426A9"/>
    <w:rsid w:val="00942F06"/>
    <w:rsid w:val="00942F8E"/>
    <w:rsid w:val="00943252"/>
    <w:rsid w:val="00943264"/>
    <w:rsid w:val="0094328E"/>
    <w:rsid w:val="0094340E"/>
    <w:rsid w:val="009441B7"/>
    <w:rsid w:val="00944258"/>
    <w:rsid w:val="009444EE"/>
    <w:rsid w:val="009445A4"/>
    <w:rsid w:val="0094464F"/>
    <w:rsid w:val="00944811"/>
    <w:rsid w:val="009448EC"/>
    <w:rsid w:val="009449DE"/>
    <w:rsid w:val="00945069"/>
    <w:rsid w:val="009454A3"/>
    <w:rsid w:val="00945677"/>
    <w:rsid w:val="00945B86"/>
    <w:rsid w:val="00945B88"/>
    <w:rsid w:val="00945BCE"/>
    <w:rsid w:val="00945C2E"/>
    <w:rsid w:val="00945D6E"/>
    <w:rsid w:val="00945DB0"/>
    <w:rsid w:val="00945ED0"/>
    <w:rsid w:val="00945EF6"/>
    <w:rsid w:val="00946046"/>
    <w:rsid w:val="0094653F"/>
    <w:rsid w:val="00946E1E"/>
    <w:rsid w:val="00946E8A"/>
    <w:rsid w:val="00946EF7"/>
    <w:rsid w:val="009470BB"/>
    <w:rsid w:val="009471A0"/>
    <w:rsid w:val="009477B1"/>
    <w:rsid w:val="00947A76"/>
    <w:rsid w:val="0095049C"/>
    <w:rsid w:val="009506A6"/>
    <w:rsid w:val="00950754"/>
    <w:rsid w:val="00950CFB"/>
    <w:rsid w:val="00951085"/>
    <w:rsid w:val="00951314"/>
    <w:rsid w:val="0095140F"/>
    <w:rsid w:val="00951662"/>
    <w:rsid w:val="00951C65"/>
    <w:rsid w:val="00951EF8"/>
    <w:rsid w:val="00951F1D"/>
    <w:rsid w:val="009522FB"/>
    <w:rsid w:val="00952F5F"/>
    <w:rsid w:val="0095301D"/>
    <w:rsid w:val="00953120"/>
    <w:rsid w:val="00953199"/>
    <w:rsid w:val="00953557"/>
    <w:rsid w:val="00953723"/>
    <w:rsid w:val="009538A7"/>
    <w:rsid w:val="00953F02"/>
    <w:rsid w:val="009540A0"/>
    <w:rsid w:val="009542DE"/>
    <w:rsid w:val="00954A50"/>
    <w:rsid w:val="00954B47"/>
    <w:rsid w:val="0095565C"/>
    <w:rsid w:val="0095577B"/>
    <w:rsid w:val="00955C9D"/>
    <w:rsid w:val="00955EE3"/>
    <w:rsid w:val="0095666C"/>
    <w:rsid w:val="00956A1C"/>
    <w:rsid w:val="009570C7"/>
    <w:rsid w:val="0095730F"/>
    <w:rsid w:val="009577DB"/>
    <w:rsid w:val="00957940"/>
    <w:rsid w:val="00957AE1"/>
    <w:rsid w:val="00957F2F"/>
    <w:rsid w:val="0096013E"/>
    <w:rsid w:val="0096039F"/>
    <w:rsid w:val="00960531"/>
    <w:rsid w:val="00960721"/>
    <w:rsid w:val="00960B71"/>
    <w:rsid w:val="00960CB7"/>
    <w:rsid w:val="00960D41"/>
    <w:rsid w:val="00961508"/>
    <w:rsid w:val="00961F59"/>
    <w:rsid w:val="00961FCA"/>
    <w:rsid w:val="009620DB"/>
    <w:rsid w:val="00962373"/>
    <w:rsid w:val="0096241D"/>
    <w:rsid w:val="009625E0"/>
    <w:rsid w:val="00962E7C"/>
    <w:rsid w:val="009630C8"/>
    <w:rsid w:val="009631ED"/>
    <w:rsid w:val="0096384B"/>
    <w:rsid w:val="009638CD"/>
    <w:rsid w:val="00963937"/>
    <w:rsid w:val="00963FDE"/>
    <w:rsid w:val="009642BB"/>
    <w:rsid w:val="0096464D"/>
    <w:rsid w:val="0096481E"/>
    <w:rsid w:val="00964906"/>
    <w:rsid w:val="00964913"/>
    <w:rsid w:val="00964C09"/>
    <w:rsid w:val="00964FD7"/>
    <w:rsid w:val="0096544C"/>
    <w:rsid w:val="009657AE"/>
    <w:rsid w:val="009658F3"/>
    <w:rsid w:val="00965B3A"/>
    <w:rsid w:val="00965C2C"/>
    <w:rsid w:val="00965C80"/>
    <w:rsid w:val="00965F74"/>
    <w:rsid w:val="0096601A"/>
    <w:rsid w:val="00966208"/>
    <w:rsid w:val="00966324"/>
    <w:rsid w:val="00966C96"/>
    <w:rsid w:val="00966FEC"/>
    <w:rsid w:val="00967012"/>
    <w:rsid w:val="00967278"/>
    <w:rsid w:val="009679FD"/>
    <w:rsid w:val="00967C9C"/>
    <w:rsid w:val="00967DBE"/>
    <w:rsid w:val="00967DD5"/>
    <w:rsid w:val="009701B3"/>
    <w:rsid w:val="0097075B"/>
    <w:rsid w:val="0097098B"/>
    <w:rsid w:val="00970C88"/>
    <w:rsid w:val="00970E42"/>
    <w:rsid w:val="00970E81"/>
    <w:rsid w:val="009710A7"/>
    <w:rsid w:val="0097116E"/>
    <w:rsid w:val="009712B3"/>
    <w:rsid w:val="00971404"/>
    <w:rsid w:val="00971719"/>
    <w:rsid w:val="00971C25"/>
    <w:rsid w:val="00971D26"/>
    <w:rsid w:val="00971F99"/>
    <w:rsid w:val="00971FC5"/>
    <w:rsid w:val="0097217D"/>
    <w:rsid w:val="00972945"/>
    <w:rsid w:val="00972A19"/>
    <w:rsid w:val="00972AC2"/>
    <w:rsid w:val="00972B47"/>
    <w:rsid w:val="00972CDB"/>
    <w:rsid w:val="00972DDB"/>
    <w:rsid w:val="00972E41"/>
    <w:rsid w:val="00972F6C"/>
    <w:rsid w:val="0097324D"/>
    <w:rsid w:val="00973586"/>
    <w:rsid w:val="009737D9"/>
    <w:rsid w:val="00973BF2"/>
    <w:rsid w:val="00973E6D"/>
    <w:rsid w:val="00973EDC"/>
    <w:rsid w:val="00973F68"/>
    <w:rsid w:val="009743F9"/>
    <w:rsid w:val="00974D53"/>
    <w:rsid w:val="00975007"/>
    <w:rsid w:val="0097553C"/>
    <w:rsid w:val="009755B8"/>
    <w:rsid w:val="00975857"/>
    <w:rsid w:val="00975C54"/>
    <w:rsid w:val="00975D2D"/>
    <w:rsid w:val="00975E53"/>
    <w:rsid w:val="00975EF7"/>
    <w:rsid w:val="00976219"/>
    <w:rsid w:val="00976978"/>
    <w:rsid w:val="00976D4E"/>
    <w:rsid w:val="0097769C"/>
    <w:rsid w:val="009779D0"/>
    <w:rsid w:val="00977B5A"/>
    <w:rsid w:val="00977DF6"/>
    <w:rsid w:val="009803E7"/>
    <w:rsid w:val="009805BF"/>
    <w:rsid w:val="009806A5"/>
    <w:rsid w:val="0098071A"/>
    <w:rsid w:val="00980F8F"/>
    <w:rsid w:val="00981164"/>
    <w:rsid w:val="009811A6"/>
    <w:rsid w:val="00981536"/>
    <w:rsid w:val="0098185C"/>
    <w:rsid w:val="00981D0C"/>
    <w:rsid w:val="00981EAC"/>
    <w:rsid w:val="0098218F"/>
    <w:rsid w:val="0098226E"/>
    <w:rsid w:val="009823BA"/>
    <w:rsid w:val="0098259F"/>
    <w:rsid w:val="0098263D"/>
    <w:rsid w:val="00982BAF"/>
    <w:rsid w:val="00982E3F"/>
    <w:rsid w:val="00982EFE"/>
    <w:rsid w:val="00983764"/>
    <w:rsid w:val="00983B35"/>
    <w:rsid w:val="00983BC1"/>
    <w:rsid w:val="00983E11"/>
    <w:rsid w:val="00983F12"/>
    <w:rsid w:val="009842D8"/>
    <w:rsid w:val="0098435F"/>
    <w:rsid w:val="0098456A"/>
    <w:rsid w:val="00984BAF"/>
    <w:rsid w:val="0098558C"/>
    <w:rsid w:val="009859C5"/>
    <w:rsid w:val="0098603D"/>
    <w:rsid w:val="00986521"/>
    <w:rsid w:val="00986834"/>
    <w:rsid w:val="00986CCD"/>
    <w:rsid w:val="009870D7"/>
    <w:rsid w:val="00987AC9"/>
    <w:rsid w:val="00987FD4"/>
    <w:rsid w:val="00990045"/>
    <w:rsid w:val="0099154B"/>
    <w:rsid w:val="0099186D"/>
    <w:rsid w:val="00991998"/>
    <w:rsid w:val="00991D15"/>
    <w:rsid w:val="0099224F"/>
    <w:rsid w:val="0099236A"/>
    <w:rsid w:val="009925EC"/>
    <w:rsid w:val="0099275E"/>
    <w:rsid w:val="00992B04"/>
    <w:rsid w:val="00992B18"/>
    <w:rsid w:val="00992B9D"/>
    <w:rsid w:val="00993846"/>
    <w:rsid w:val="0099384A"/>
    <w:rsid w:val="00993907"/>
    <w:rsid w:val="0099398B"/>
    <w:rsid w:val="009939AF"/>
    <w:rsid w:val="00993A56"/>
    <w:rsid w:val="00993F9C"/>
    <w:rsid w:val="0099407E"/>
    <w:rsid w:val="009940F8"/>
    <w:rsid w:val="00994307"/>
    <w:rsid w:val="0099462B"/>
    <w:rsid w:val="00994726"/>
    <w:rsid w:val="00994778"/>
    <w:rsid w:val="00994817"/>
    <w:rsid w:val="00994B80"/>
    <w:rsid w:val="00994B97"/>
    <w:rsid w:val="00994E03"/>
    <w:rsid w:val="0099528C"/>
    <w:rsid w:val="00995310"/>
    <w:rsid w:val="0099568A"/>
    <w:rsid w:val="00995B7F"/>
    <w:rsid w:val="00995CBA"/>
    <w:rsid w:val="00995CF6"/>
    <w:rsid w:val="00996099"/>
    <w:rsid w:val="0099634D"/>
    <w:rsid w:val="0099637D"/>
    <w:rsid w:val="009965F0"/>
    <w:rsid w:val="009967EF"/>
    <w:rsid w:val="00996837"/>
    <w:rsid w:val="009968D5"/>
    <w:rsid w:val="00996CA5"/>
    <w:rsid w:val="00996CD5"/>
    <w:rsid w:val="00996EBD"/>
    <w:rsid w:val="0099727E"/>
    <w:rsid w:val="00997E09"/>
    <w:rsid w:val="00997E3B"/>
    <w:rsid w:val="00997E81"/>
    <w:rsid w:val="009A0002"/>
    <w:rsid w:val="009A0038"/>
    <w:rsid w:val="009A0347"/>
    <w:rsid w:val="009A0731"/>
    <w:rsid w:val="009A11C5"/>
    <w:rsid w:val="009A11F4"/>
    <w:rsid w:val="009A1398"/>
    <w:rsid w:val="009A14A3"/>
    <w:rsid w:val="009A1526"/>
    <w:rsid w:val="009A15F5"/>
    <w:rsid w:val="009A18F1"/>
    <w:rsid w:val="009A1BE0"/>
    <w:rsid w:val="009A1CFA"/>
    <w:rsid w:val="009A1DBF"/>
    <w:rsid w:val="009A1EAB"/>
    <w:rsid w:val="009A216A"/>
    <w:rsid w:val="009A25CD"/>
    <w:rsid w:val="009A26BC"/>
    <w:rsid w:val="009A2959"/>
    <w:rsid w:val="009A2C1E"/>
    <w:rsid w:val="009A3233"/>
    <w:rsid w:val="009A3245"/>
    <w:rsid w:val="009A3677"/>
    <w:rsid w:val="009A38E6"/>
    <w:rsid w:val="009A3C0B"/>
    <w:rsid w:val="009A3C1C"/>
    <w:rsid w:val="009A3C38"/>
    <w:rsid w:val="009A3DC6"/>
    <w:rsid w:val="009A3F25"/>
    <w:rsid w:val="009A407E"/>
    <w:rsid w:val="009A4102"/>
    <w:rsid w:val="009A437D"/>
    <w:rsid w:val="009A4495"/>
    <w:rsid w:val="009A44B6"/>
    <w:rsid w:val="009A4728"/>
    <w:rsid w:val="009A47F0"/>
    <w:rsid w:val="009A4906"/>
    <w:rsid w:val="009A4F42"/>
    <w:rsid w:val="009A5414"/>
    <w:rsid w:val="009A5851"/>
    <w:rsid w:val="009A58A3"/>
    <w:rsid w:val="009A60B8"/>
    <w:rsid w:val="009A6128"/>
    <w:rsid w:val="009A6605"/>
    <w:rsid w:val="009A66EA"/>
    <w:rsid w:val="009A68F8"/>
    <w:rsid w:val="009A6FFA"/>
    <w:rsid w:val="009A7112"/>
    <w:rsid w:val="009A75BA"/>
    <w:rsid w:val="009A7A65"/>
    <w:rsid w:val="009A7C3D"/>
    <w:rsid w:val="009A7C40"/>
    <w:rsid w:val="009B021A"/>
    <w:rsid w:val="009B0230"/>
    <w:rsid w:val="009B034E"/>
    <w:rsid w:val="009B085F"/>
    <w:rsid w:val="009B0980"/>
    <w:rsid w:val="009B120B"/>
    <w:rsid w:val="009B131C"/>
    <w:rsid w:val="009B1329"/>
    <w:rsid w:val="009B13B6"/>
    <w:rsid w:val="009B142E"/>
    <w:rsid w:val="009B154E"/>
    <w:rsid w:val="009B19FB"/>
    <w:rsid w:val="009B1BC3"/>
    <w:rsid w:val="009B1DC5"/>
    <w:rsid w:val="009B20B4"/>
    <w:rsid w:val="009B2AC2"/>
    <w:rsid w:val="009B2BC5"/>
    <w:rsid w:val="009B3577"/>
    <w:rsid w:val="009B3703"/>
    <w:rsid w:val="009B39F1"/>
    <w:rsid w:val="009B3B86"/>
    <w:rsid w:val="009B3DB6"/>
    <w:rsid w:val="009B3E77"/>
    <w:rsid w:val="009B3FAF"/>
    <w:rsid w:val="009B4140"/>
    <w:rsid w:val="009B4195"/>
    <w:rsid w:val="009B43FE"/>
    <w:rsid w:val="009B4789"/>
    <w:rsid w:val="009B495A"/>
    <w:rsid w:val="009B4CB7"/>
    <w:rsid w:val="009B54D0"/>
    <w:rsid w:val="009B5E55"/>
    <w:rsid w:val="009B60BA"/>
    <w:rsid w:val="009B62D2"/>
    <w:rsid w:val="009B641E"/>
    <w:rsid w:val="009B67D2"/>
    <w:rsid w:val="009B680F"/>
    <w:rsid w:val="009B6BBC"/>
    <w:rsid w:val="009B6CFC"/>
    <w:rsid w:val="009B6E4E"/>
    <w:rsid w:val="009B6F5C"/>
    <w:rsid w:val="009B6FF2"/>
    <w:rsid w:val="009B71E1"/>
    <w:rsid w:val="009B7AA5"/>
    <w:rsid w:val="009B7C19"/>
    <w:rsid w:val="009B7E27"/>
    <w:rsid w:val="009C0350"/>
    <w:rsid w:val="009C04B4"/>
    <w:rsid w:val="009C062D"/>
    <w:rsid w:val="009C0798"/>
    <w:rsid w:val="009C07A5"/>
    <w:rsid w:val="009C0B79"/>
    <w:rsid w:val="009C0F8B"/>
    <w:rsid w:val="009C106C"/>
    <w:rsid w:val="009C16B5"/>
    <w:rsid w:val="009C1EDE"/>
    <w:rsid w:val="009C248F"/>
    <w:rsid w:val="009C24C2"/>
    <w:rsid w:val="009C2638"/>
    <w:rsid w:val="009C285E"/>
    <w:rsid w:val="009C2877"/>
    <w:rsid w:val="009C2B56"/>
    <w:rsid w:val="009C2CFF"/>
    <w:rsid w:val="009C3CF6"/>
    <w:rsid w:val="009C3D15"/>
    <w:rsid w:val="009C41A1"/>
    <w:rsid w:val="009C4A8E"/>
    <w:rsid w:val="009C4CB6"/>
    <w:rsid w:val="009C4CD3"/>
    <w:rsid w:val="009C4D8E"/>
    <w:rsid w:val="009C567A"/>
    <w:rsid w:val="009C5AA0"/>
    <w:rsid w:val="009C5DF0"/>
    <w:rsid w:val="009C626F"/>
    <w:rsid w:val="009C6346"/>
    <w:rsid w:val="009C63F4"/>
    <w:rsid w:val="009C64B5"/>
    <w:rsid w:val="009C65B1"/>
    <w:rsid w:val="009C65B2"/>
    <w:rsid w:val="009C66BC"/>
    <w:rsid w:val="009C6DB6"/>
    <w:rsid w:val="009C6E0A"/>
    <w:rsid w:val="009C7176"/>
    <w:rsid w:val="009C7685"/>
    <w:rsid w:val="009C7861"/>
    <w:rsid w:val="009C7D6D"/>
    <w:rsid w:val="009C7E4F"/>
    <w:rsid w:val="009C7E63"/>
    <w:rsid w:val="009C7EA5"/>
    <w:rsid w:val="009C7F1A"/>
    <w:rsid w:val="009D00F3"/>
    <w:rsid w:val="009D0350"/>
    <w:rsid w:val="009D06FB"/>
    <w:rsid w:val="009D0A0B"/>
    <w:rsid w:val="009D0BA9"/>
    <w:rsid w:val="009D13CF"/>
    <w:rsid w:val="009D15C3"/>
    <w:rsid w:val="009D166D"/>
    <w:rsid w:val="009D18D1"/>
    <w:rsid w:val="009D1F57"/>
    <w:rsid w:val="009D1F9C"/>
    <w:rsid w:val="009D21B9"/>
    <w:rsid w:val="009D2402"/>
    <w:rsid w:val="009D2ED5"/>
    <w:rsid w:val="009D2EE4"/>
    <w:rsid w:val="009D306A"/>
    <w:rsid w:val="009D3658"/>
    <w:rsid w:val="009D3689"/>
    <w:rsid w:val="009D4236"/>
    <w:rsid w:val="009D43FA"/>
    <w:rsid w:val="009D445C"/>
    <w:rsid w:val="009D445F"/>
    <w:rsid w:val="009D46CD"/>
    <w:rsid w:val="009D4895"/>
    <w:rsid w:val="009D4B1C"/>
    <w:rsid w:val="009D4B20"/>
    <w:rsid w:val="009D4E25"/>
    <w:rsid w:val="009D4EAF"/>
    <w:rsid w:val="009D5311"/>
    <w:rsid w:val="009D553D"/>
    <w:rsid w:val="009D5608"/>
    <w:rsid w:val="009D5C2B"/>
    <w:rsid w:val="009D60B7"/>
    <w:rsid w:val="009D6367"/>
    <w:rsid w:val="009D6A73"/>
    <w:rsid w:val="009D6BAA"/>
    <w:rsid w:val="009D6FAD"/>
    <w:rsid w:val="009D7070"/>
    <w:rsid w:val="009D738F"/>
    <w:rsid w:val="009D7405"/>
    <w:rsid w:val="009D74F8"/>
    <w:rsid w:val="009D7FA1"/>
    <w:rsid w:val="009E0472"/>
    <w:rsid w:val="009E065E"/>
    <w:rsid w:val="009E0688"/>
    <w:rsid w:val="009E0953"/>
    <w:rsid w:val="009E114D"/>
    <w:rsid w:val="009E126F"/>
    <w:rsid w:val="009E165B"/>
    <w:rsid w:val="009E199B"/>
    <w:rsid w:val="009E1AE0"/>
    <w:rsid w:val="009E2228"/>
    <w:rsid w:val="009E2245"/>
    <w:rsid w:val="009E2362"/>
    <w:rsid w:val="009E243E"/>
    <w:rsid w:val="009E2822"/>
    <w:rsid w:val="009E2938"/>
    <w:rsid w:val="009E2C7E"/>
    <w:rsid w:val="009E2F04"/>
    <w:rsid w:val="009E3121"/>
    <w:rsid w:val="009E360A"/>
    <w:rsid w:val="009E3AF2"/>
    <w:rsid w:val="009E3DDF"/>
    <w:rsid w:val="009E41C7"/>
    <w:rsid w:val="009E4256"/>
    <w:rsid w:val="009E4474"/>
    <w:rsid w:val="009E448A"/>
    <w:rsid w:val="009E4F66"/>
    <w:rsid w:val="009E5178"/>
    <w:rsid w:val="009E5462"/>
    <w:rsid w:val="009E5536"/>
    <w:rsid w:val="009E5538"/>
    <w:rsid w:val="009E579F"/>
    <w:rsid w:val="009E58E9"/>
    <w:rsid w:val="009E59AF"/>
    <w:rsid w:val="009E66D4"/>
    <w:rsid w:val="009E6C0A"/>
    <w:rsid w:val="009E7080"/>
    <w:rsid w:val="009E708E"/>
    <w:rsid w:val="009E7783"/>
    <w:rsid w:val="009E77EC"/>
    <w:rsid w:val="009E7B8E"/>
    <w:rsid w:val="009E7DCB"/>
    <w:rsid w:val="009E7FDB"/>
    <w:rsid w:val="009F02BC"/>
    <w:rsid w:val="009F0A1A"/>
    <w:rsid w:val="009F0D5C"/>
    <w:rsid w:val="009F123A"/>
    <w:rsid w:val="009F1342"/>
    <w:rsid w:val="009F17BC"/>
    <w:rsid w:val="009F1901"/>
    <w:rsid w:val="009F1D97"/>
    <w:rsid w:val="009F1E3B"/>
    <w:rsid w:val="009F1FA1"/>
    <w:rsid w:val="009F2066"/>
    <w:rsid w:val="009F2149"/>
    <w:rsid w:val="009F298F"/>
    <w:rsid w:val="009F29FB"/>
    <w:rsid w:val="009F2B60"/>
    <w:rsid w:val="009F2D01"/>
    <w:rsid w:val="009F2D25"/>
    <w:rsid w:val="009F309F"/>
    <w:rsid w:val="009F3126"/>
    <w:rsid w:val="009F34E2"/>
    <w:rsid w:val="009F37F7"/>
    <w:rsid w:val="009F3AFC"/>
    <w:rsid w:val="009F3B16"/>
    <w:rsid w:val="009F47AF"/>
    <w:rsid w:val="009F498F"/>
    <w:rsid w:val="009F4ADA"/>
    <w:rsid w:val="009F4C1A"/>
    <w:rsid w:val="009F4EC7"/>
    <w:rsid w:val="009F5198"/>
    <w:rsid w:val="009F543A"/>
    <w:rsid w:val="009F546D"/>
    <w:rsid w:val="009F54C2"/>
    <w:rsid w:val="009F5511"/>
    <w:rsid w:val="009F56C6"/>
    <w:rsid w:val="009F57FF"/>
    <w:rsid w:val="009F5868"/>
    <w:rsid w:val="009F5904"/>
    <w:rsid w:val="009F5E65"/>
    <w:rsid w:val="009F5EE9"/>
    <w:rsid w:val="009F5F77"/>
    <w:rsid w:val="009F5FF4"/>
    <w:rsid w:val="009F6300"/>
    <w:rsid w:val="009F656C"/>
    <w:rsid w:val="009F6627"/>
    <w:rsid w:val="009F6765"/>
    <w:rsid w:val="009F6B5C"/>
    <w:rsid w:val="009F6CE9"/>
    <w:rsid w:val="009F6D4E"/>
    <w:rsid w:val="009F7476"/>
    <w:rsid w:val="009F74A4"/>
    <w:rsid w:val="009F7850"/>
    <w:rsid w:val="009F7BFB"/>
    <w:rsid w:val="00A00186"/>
    <w:rsid w:val="00A0052A"/>
    <w:rsid w:val="00A005A0"/>
    <w:rsid w:val="00A00A03"/>
    <w:rsid w:val="00A00A0B"/>
    <w:rsid w:val="00A00BB8"/>
    <w:rsid w:val="00A00C10"/>
    <w:rsid w:val="00A00FAD"/>
    <w:rsid w:val="00A012A7"/>
    <w:rsid w:val="00A012AD"/>
    <w:rsid w:val="00A0156A"/>
    <w:rsid w:val="00A018D8"/>
    <w:rsid w:val="00A01B3A"/>
    <w:rsid w:val="00A02362"/>
    <w:rsid w:val="00A02C8A"/>
    <w:rsid w:val="00A02C9A"/>
    <w:rsid w:val="00A02DD3"/>
    <w:rsid w:val="00A02EF9"/>
    <w:rsid w:val="00A03017"/>
    <w:rsid w:val="00A030D2"/>
    <w:rsid w:val="00A032AC"/>
    <w:rsid w:val="00A035E3"/>
    <w:rsid w:val="00A03782"/>
    <w:rsid w:val="00A03C03"/>
    <w:rsid w:val="00A03CD2"/>
    <w:rsid w:val="00A04201"/>
    <w:rsid w:val="00A04667"/>
    <w:rsid w:val="00A047D4"/>
    <w:rsid w:val="00A05064"/>
    <w:rsid w:val="00A05248"/>
    <w:rsid w:val="00A05E21"/>
    <w:rsid w:val="00A05ED7"/>
    <w:rsid w:val="00A060AA"/>
    <w:rsid w:val="00A061AA"/>
    <w:rsid w:val="00A06278"/>
    <w:rsid w:val="00A06380"/>
    <w:rsid w:val="00A06968"/>
    <w:rsid w:val="00A06C42"/>
    <w:rsid w:val="00A0721B"/>
    <w:rsid w:val="00A07315"/>
    <w:rsid w:val="00A07351"/>
    <w:rsid w:val="00A07378"/>
    <w:rsid w:val="00A076CC"/>
    <w:rsid w:val="00A076FC"/>
    <w:rsid w:val="00A07925"/>
    <w:rsid w:val="00A07BC8"/>
    <w:rsid w:val="00A07D1C"/>
    <w:rsid w:val="00A07D6F"/>
    <w:rsid w:val="00A1048A"/>
    <w:rsid w:val="00A10ED9"/>
    <w:rsid w:val="00A11154"/>
    <w:rsid w:val="00A11254"/>
    <w:rsid w:val="00A1128A"/>
    <w:rsid w:val="00A11490"/>
    <w:rsid w:val="00A1154D"/>
    <w:rsid w:val="00A117C6"/>
    <w:rsid w:val="00A11872"/>
    <w:rsid w:val="00A1196A"/>
    <w:rsid w:val="00A11D48"/>
    <w:rsid w:val="00A11E79"/>
    <w:rsid w:val="00A11FF9"/>
    <w:rsid w:val="00A123A5"/>
    <w:rsid w:val="00A1240E"/>
    <w:rsid w:val="00A1258E"/>
    <w:rsid w:val="00A1261F"/>
    <w:rsid w:val="00A12A39"/>
    <w:rsid w:val="00A12FF5"/>
    <w:rsid w:val="00A130E8"/>
    <w:rsid w:val="00A132B3"/>
    <w:rsid w:val="00A1372B"/>
    <w:rsid w:val="00A13782"/>
    <w:rsid w:val="00A13826"/>
    <w:rsid w:val="00A13B93"/>
    <w:rsid w:val="00A13DF2"/>
    <w:rsid w:val="00A14956"/>
    <w:rsid w:val="00A14AC3"/>
    <w:rsid w:val="00A14BA0"/>
    <w:rsid w:val="00A14E7B"/>
    <w:rsid w:val="00A14EAF"/>
    <w:rsid w:val="00A150BE"/>
    <w:rsid w:val="00A152AB"/>
    <w:rsid w:val="00A15864"/>
    <w:rsid w:val="00A15911"/>
    <w:rsid w:val="00A15D3D"/>
    <w:rsid w:val="00A1627D"/>
    <w:rsid w:val="00A16399"/>
    <w:rsid w:val="00A16527"/>
    <w:rsid w:val="00A1670D"/>
    <w:rsid w:val="00A16D52"/>
    <w:rsid w:val="00A172CE"/>
    <w:rsid w:val="00A176E8"/>
    <w:rsid w:val="00A17BCB"/>
    <w:rsid w:val="00A17F97"/>
    <w:rsid w:val="00A200E4"/>
    <w:rsid w:val="00A20BFF"/>
    <w:rsid w:val="00A20ED7"/>
    <w:rsid w:val="00A214ED"/>
    <w:rsid w:val="00A21D71"/>
    <w:rsid w:val="00A22649"/>
    <w:rsid w:val="00A2273D"/>
    <w:rsid w:val="00A2276A"/>
    <w:rsid w:val="00A229E7"/>
    <w:rsid w:val="00A22F84"/>
    <w:rsid w:val="00A236B4"/>
    <w:rsid w:val="00A23821"/>
    <w:rsid w:val="00A23E31"/>
    <w:rsid w:val="00A24106"/>
    <w:rsid w:val="00A24209"/>
    <w:rsid w:val="00A2442E"/>
    <w:rsid w:val="00A245DA"/>
    <w:rsid w:val="00A24B86"/>
    <w:rsid w:val="00A24BBC"/>
    <w:rsid w:val="00A24EDA"/>
    <w:rsid w:val="00A2509E"/>
    <w:rsid w:val="00A251C2"/>
    <w:rsid w:val="00A25394"/>
    <w:rsid w:val="00A2589E"/>
    <w:rsid w:val="00A25E4D"/>
    <w:rsid w:val="00A25F47"/>
    <w:rsid w:val="00A262DC"/>
    <w:rsid w:val="00A266EA"/>
    <w:rsid w:val="00A267EA"/>
    <w:rsid w:val="00A27A6E"/>
    <w:rsid w:val="00A27C4D"/>
    <w:rsid w:val="00A27F79"/>
    <w:rsid w:val="00A3011E"/>
    <w:rsid w:val="00A3077E"/>
    <w:rsid w:val="00A30AA1"/>
    <w:rsid w:val="00A30DE5"/>
    <w:rsid w:val="00A30EBC"/>
    <w:rsid w:val="00A31155"/>
    <w:rsid w:val="00A3122E"/>
    <w:rsid w:val="00A3125B"/>
    <w:rsid w:val="00A31604"/>
    <w:rsid w:val="00A316E5"/>
    <w:rsid w:val="00A31983"/>
    <w:rsid w:val="00A31F6A"/>
    <w:rsid w:val="00A32202"/>
    <w:rsid w:val="00A3253D"/>
    <w:rsid w:val="00A32631"/>
    <w:rsid w:val="00A32701"/>
    <w:rsid w:val="00A3294D"/>
    <w:rsid w:val="00A32AC6"/>
    <w:rsid w:val="00A32E3A"/>
    <w:rsid w:val="00A32F89"/>
    <w:rsid w:val="00A33200"/>
    <w:rsid w:val="00A333E3"/>
    <w:rsid w:val="00A334D2"/>
    <w:rsid w:val="00A33717"/>
    <w:rsid w:val="00A33998"/>
    <w:rsid w:val="00A33D04"/>
    <w:rsid w:val="00A34024"/>
    <w:rsid w:val="00A34174"/>
    <w:rsid w:val="00A34307"/>
    <w:rsid w:val="00A3438D"/>
    <w:rsid w:val="00A343B2"/>
    <w:rsid w:val="00A347F9"/>
    <w:rsid w:val="00A34A44"/>
    <w:rsid w:val="00A34D1B"/>
    <w:rsid w:val="00A34FD2"/>
    <w:rsid w:val="00A353C3"/>
    <w:rsid w:val="00A35934"/>
    <w:rsid w:val="00A359B1"/>
    <w:rsid w:val="00A35CCC"/>
    <w:rsid w:val="00A369C1"/>
    <w:rsid w:val="00A36D65"/>
    <w:rsid w:val="00A36DF3"/>
    <w:rsid w:val="00A37103"/>
    <w:rsid w:val="00A37169"/>
    <w:rsid w:val="00A3740F"/>
    <w:rsid w:val="00A37462"/>
    <w:rsid w:val="00A377E7"/>
    <w:rsid w:val="00A378EB"/>
    <w:rsid w:val="00A37CFB"/>
    <w:rsid w:val="00A37D49"/>
    <w:rsid w:val="00A37D9B"/>
    <w:rsid w:val="00A37E9E"/>
    <w:rsid w:val="00A37F7B"/>
    <w:rsid w:val="00A40358"/>
    <w:rsid w:val="00A40427"/>
    <w:rsid w:val="00A404D6"/>
    <w:rsid w:val="00A40A21"/>
    <w:rsid w:val="00A41083"/>
    <w:rsid w:val="00A413E3"/>
    <w:rsid w:val="00A41495"/>
    <w:rsid w:val="00A415E9"/>
    <w:rsid w:val="00A418C1"/>
    <w:rsid w:val="00A41A02"/>
    <w:rsid w:val="00A41AC0"/>
    <w:rsid w:val="00A41B4B"/>
    <w:rsid w:val="00A41D90"/>
    <w:rsid w:val="00A428DA"/>
    <w:rsid w:val="00A42E17"/>
    <w:rsid w:val="00A42EAE"/>
    <w:rsid w:val="00A43099"/>
    <w:rsid w:val="00A43251"/>
    <w:rsid w:val="00A43732"/>
    <w:rsid w:val="00A43744"/>
    <w:rsid w:val="00A43962"/>
    <w:rsid w:val="00A43B02"/>
    <w:rsid w:val="00A43C85"/>
    <w:rsid w:val="00A44358"/>
    <w:rsid w:val="00A4436A"/>
    <w:rsid w:val="00A44617"/>
    <w:rsid w:val="00A4467E"/>
    <w:rsid w:val="00A448E1"/>
    <w:rsid w:val="00A448FB"/>
    <w:rsid w:val="00A44A66"/>
    <w:rsid w:val="00A44BAE"/>
    <w:rsid w:val="00A44C8C"/>
    <w:rsid w:val="00A44D0D"/>
    <w:rsid w:val="00A44F82"/>
    <w:rsid w:val="00A44FC2"/>
    <w:rsid w:val="00A451FF"/>
    <w:rsid w:val="00A452C9"/>
    <w:rsid w:val="00A452EA"/>
    <w:rsid w:val="00A456E7"/>
    <w:rsid w:val="00A458B7"/>
    <w:rsid w:val="00A45970"/>
    <w:rsid w:val="00A45DEF"/>
    <w:rsid w:val="00A45E4D"/>
    <w:rsid w:val="00A46222"/>
    <w:rsid w:val="00A4687E"/>
    <w:rsid w:val="00A46BDE"/>
    <w:rsid w:val="00A46C12"/>
    <w:rsid w:val="00A46C29"/>
    <w:rsid w:val="00A46E96"/>
    <w:rsid w:val="00A47176"/>
    <w:rsid w:val="00A4751C"/>
    <w:rsid w:val="00A47B27"/>
    <w:rsid w:val="00A47C18"/>
    <w:rsid w:val="00A47F28"/>
    <w:rsid w:val="00A5036B"/>
    <w:rsid w:val="00A50565"/>
    <w:rsid w:val="00A505A6"/>
    <w:rsid w:val="00A50656"/>
    <w:rsid w:val="00A507EE"/>
    <w:rsid w:val="00A508D0"/>
    <w:rsid w:val="00A50BA3"/>
    <w:rsid w:val="00A50C41"/>
    <w:rsid w:val="00A511DC"/>
    <w:rsid w:val="00A51874"/>
    <w:rsid w:val="00A51B40"/>
    <w:rsid w:val="00A522D0"/>
    <w:rsid w:val="00A5256B"/>
    <w:rsid w:val="00A5262D"/>
    <w:rsid w:val="00A5285C"/>
    <w:rsid w:val="00A52992"/>
    <w:rsid w:val="00A52AB8"/>
    <w:rsid w:val="00A52E21"/>
    <w:rsid w:val="00A5306E"/>
    <w:rsid w:val="00A53931"/>
    <w:rsid w:val="00A53C94"/>
    <w:rsid w:val="00A53D22"/>
    <w:rsid w:val="00A540FC"/>
    <w:rsid w:val="00A54115"/>
    <w:rsid w:val="00A545B0"/>
    <w:rsid w:val="00A5460E"/>
    <w:rsid w:val="00A54720"/>
    <w:rsid w:val="00A548DD"/>
    <w:rsid w:val="00A55113"/>
    <w:rsid w:val="00A55264"/>
    <w:rsid w:val="00A5538C"/>
    <w:rsid w:val="00A5543F"/>
    <w:rsid w:val="00A5578F"/>
    <w:rsid w:val="00A55C56"/>
    <w:rsid w:val="00A55CA8"/>
    <w:rsid w:val="00A55CFE"/>
    <w:rsid w:val="00A55D71"/>
    <w:rsid w:val="00A56233"/>
    <w:rsid w:val="00A56237"/>
    <w:rsid w:val="00A5627E"/>
    <w:rsid w:val="00A56B0F"/>
    <w:rsid w:val="00A57431"/>
    <w:rsid w:val="00A574FB"/>
    <w:rsid w:val="00A5751D"/>
    <w:rsid w:val="00A5761B"/>
    <w:rsid w:val="00A57C26"/>
    <w:rsid w:val="00A600EF"/>
    <w:rsid w:val="00A60A85"/>
    <w:rsid w:val="00A60A86"/>
    <w:rsid w:val="00A60B3F"/>
    <w:rsid w:val="00A60C87"/>
    <w:rsid w:val="00A60DBD"/>
    <w:rsid w:val="00A60E8E"/>
    <w:rsid w:val="00A60F02"/>
    <w:rsid w:val="00A61386"/>
    <w:rsid w:val="00A614F1"/>
    <w:rsid w:val="00A616AC"/>
    <w:rsid w:val="00A618E9"/>
    <w:rsid w:val="00A626CA"/>
    <w:rsid w:val="00A62972"/>
    <w:rsid w:val="00A63033"/>
    <w:rsid w:val="00A63670"/>
    <w:rsid w:val="00A63F72"/>
    <w:rsid w:val="00A646A2"/>
    <w:rsid w:val="00A64856"/>
    <w:rsid w:val="00A6488A"/>
    <w:rsid w:val="00A64ADB"/>
    <w:rsid w:val="00A64BED"/>
    <w:rsid w:val="00A6547E"/>
    <w:rsid w:val="00A654C9"/>
    <w:rsid w:val="00A65581"/>
    <w:rsid w:val="00A655EF"/>
    <w:rsid w:val="00A6565D"/>
    <w:rsid w:val="00A6579F"/>
    <w:rsid w:val="00A65C88"/>
    <w:rsid w:val="00A66202"/>
    <w:rsid w:val="00A66717"/>
    <w:rsid w:val="00A66D0A"/>
    <w:rsid w:val="00A67022"/>
    <w:rsid w:val="00A67548"/>
    <w:rsid w:val="00A676F1"/>
    <w:rsid w:val="00A6796F"/>
    <w:rsid w:val="00A67E10"/>
    <w:rsid w:val="00A7002B"/>
    <w:rsid w:val="00A70201"/>
    <w:rsid w:val="00A7037C"/>
    <w:rsid w:val="00A703DF"/>
    <w:rsid w:val="00A703F9"/>
    <w:rsid w:val="00A706E0"/>
    <w:rsid w:val="00A7095E"/>
    <w:rsid w:val="00A71062"/>
    <w:rsid w:val="00A7119E"/>
    <w:rsid w:val="00A711CA"/>
    <w:rsid w:val="00A7120A"/>
    <w:rsid w:val="00A7134B"/>
    <w:rsid w:val="00A7138A"/>
    <w:rsid w:val="00A7157C"/>
    <w:rsid w:val="00A71684"/>
    <w:rsid w:val="00A71B40"/>
    <w:rsid w:val="00A71BB1"/>
    <w:rsid w:val="00A71DCD"/>
    <w:rsid w:val="00A723B4"/>
    <w:rsid w:val="00A725B6"/>
    <w:rsid w:val="00A72A47"/>
    <w:rsid w:val="00A72BA8"/>
    <w:rsid w:val="00A73118"/>
    <w:rsid w:val="00A73567"/>
    <w:rsid w:val="00A735A1"/>
    <w:rsid w:val="00A7390F"/>
    <w:rsid w:val="00A73C09"/>
    <w:rsid w:val="00A73C5B"/>
    <w:rsid w:val="00A73E64"/>
    <w:rsid w:val="00A74025"/>
    <w:rsid w:val="00A74125"/>
    <w:rsid w:val="00A743AC"/>
    <w:rsid w:val="00A74458"/>
    <w:rsid w:val="00A745E6"/>
    <w:rsid w:val="00A745E7"/>
    <w:rsid w:val="00A74714"/>
    <w:rsid w:val="00A7475F"/>
    <w:rsid w:val="00A74FBD"/>
    <w:rsid w:val="00A7517C"/>
    <w:rsid w:val="00A753AA"/>
    <w:rsid w:val="00A754AF"/>
    <w:rsid w:val="00A75549"/>
    <w:rsid w:val="00A757B9"/>
    <w:rsid w:val="00A7593F"/>
    <w:rsid w:val="00A75E52"/>
    <w:rsid w:val="00A75E74"/>
    <w:rsid w:val="00A7631A"/>
    <w:rsid w:val="00A764F6"/>
    <w:rsid w:val="00A76DA7"/>
    <w:rsid w:val="00A76E48"/>
    <w:rsid w:val="00A7714A"/>
    <w:rsid w:val="00A7739A"/>
    <w:rsid w:val="00A7778A"/>
    <w:rsid w:val="00A7787E"/>
    <w:rsid w:val="00A77AD1"/>
    <w:rsid w:val="00A77D10"/>
    <w:rsid w:val="00A8089A"/>
    <w:rsid w:val="00A808AC"/>
    <w:rsid w:val="00A80CF6"/>
    <w:rsid w:val="00A81154"/>
    <w:rsid w:val="00A8156A"/>
    <w:rsid w:val="00A817C0"/>
    <w:rsid w:val="00A8184F"/>
    <w:rsid w:val="00A81A4D"/>
    <w:rsid w:val="00A82018"/>
    <w:rsid w:val="00A8267D"/>
    <w:rsid w:val="00A8277E"/>
    <w:rsid w:val="00A827DF"/>
    <w:rsid w:val="00A82B5C"/>
    <w:rsid w:val="00A82BC5"/>
    <w:rsid w:val="00A82CB0"/>
    <w:rsid w:val="00A82D07"/>
    <w:rsid w:val="00A832E7"/>
    <w:rsid w:val="00A83A32"/>
    <w:rsid w:val="00A83F76"/>
    <w:rsid w:val="00A84076"/>
    <w:rsid w:val="00A84171"/>
    <w:rsid w:val="00A8436B"/>
    <w:rsid w:val="00A844FF"/>
    <w:rsid w:val="00A84506"/>
    <w:rsid w:val="00A848D4"/>
    <w:rsid w:val="00A84AD0"/>
    <w:rsid w:val="00A84CEB"/>
    <w:rsid w:val="00A84DD4"/>
    <w:rsid w:val="00A84EEE"/>
    <w:rsid w:val="00A85243"/>
    <w:rsid w:val="00A855E6"/>
    <w:rsid w:val="00A856E2"/>
    <w:rsid w:val="00A85864"/>
    <w:rsid w:val="00A8588B"/>
    <w:rsid w:val="00A85951"/>
    <w:rsid w:val="00A859B4"/>
    <w:rsid w:val="00A85C5D"/>
    <w:rsid w:val="00A86222"/>
    <w:rsid w:val="00A86329"/>
    <w:rsid w:val="00A865D7"/>
    <w:rsid w:val="00A86BC2"/>
    <w:rsid w:val="00A86D4F"/>
    <w:rsid w:val="00A86DE9"/>
    <w:rsid w:val="00A871C3"/>
    <w:rsid w:val="00A8737B"/>
    <w:rsid w:val="00A87B90"/>
    <w:rsid w:val="00A87BE7"/>
    <w:rsid w:val="00A87C4C"/>
    <w:rsid w:val="00A87D39"/>
    <w:rsid w:val="00A87EB3"/>
    <w:rsid w:val="00A90176"/>
    <w:rsid w:val="00A90237"/>
    <w:rsid w:val="00A902C0"/>
    <w:rsid w:val="00A90318"/>
    <w:rsid w:val="00A90FC0"/>
    <w:rsid w:val="00A9108C"/>
    <w:rsid w:val="00A9108F"/>
    <w:rsid w:val="00A91513"/>
    <w:rsid w:val="00A91627"/>
    <w:rsid w:val="00A918F2"/>
    <w:rsid w:val="00A91D75"/>
    <w:rsid w:val="00A91E50"/>
    <w:rsid w:val="00A91EEF"/>
    <w:rsid w:val="00A920E8"/>
    <w:rsid w:val="00A92162"/>
    <w:rsid w:val="00A9220F"/>
    <w:rsid w:val="00A928FB"/>
    <w:rsid w:val="00A9291E"/>
    <w:rsid w:val="00A92ACE"/>
    <w:rsid w:val="00A92AD5"/>
    <w:rsid w:val="00A92D38"/>
    <w:rsid w:val="00A93262"/>
    <w:rsid w:val="00A93719"/>
    <w:rsid w:val="00A93C9A"/>
    <w:rsid w:val="00A93E3E"/>
    <w:rsid w:val="00A93FCE"/>
    <w:rsid w:val="00A9403A"/>
    <w:rsid w:val="00A9413F"/>
    <w:rsid w:val="00A94204"/>
    <w:rsid w:val="00A945E2"/>
    <w:rsid w:val="00A947F6"/>
    <w:rsid w:val="00A949F1"/>
    <w:rsid w:val="00A94A5A"/>
    <w:rsid w:val="00A94D2D"/>
    <w:rsid w:val="00A95027"/>
    <w:rsid w:val="00A95218"/>
    <w:rsid w:val="00A95319"/>
    <w:rsid w:val="00A95387"/>
    <w:rsid w:val="00A953E7"/>
    <w:rsid w:val="00A954E8"/>
    <w:rsid w:val="00A959C4"/>
    <w:rsid w:val="00A95ABF"/>
    <w:rsid w:val="00A95E69"/>
    <w:rsid w:val="00A95F4C"/>
    <w:rsid w:val="00A9607A"/>
    <w:rsid w:val="00A96500"/>
    <w:rsid w:val="00A971CB"/>
    <w:rsid w:val="00A9786E"/>
    <w:rsid w:val="00A979BF"/>
    <w:rsid w:val="00A97D85"/>
    <w:rsid w:val="00A97F82"/>
    <w:rsid w:val="00AA0089"/>
    <w:rsid w:val="00AA00FD"/>
    <w:rsid w:val="00AA0385"/>
    <w:rsid w:val="00AA07D3"/>
    <w:rsid w:val="00AA0A17"/>
    <w:rsid w:val="00AA0C85"/>
    <w:rsid w:val="00AA0DCC"/>
    <w:rsid w:val="00AA120E"/>
    <w:rsid w:val="00AA12D3"/>
    <w:rsid w:val="00AA13CB"/>
    <w:rsid w:val="00AA13DC"/>
    <w:rsid w:val="00AA16AB"/>
    <w:rsid w:val="00AA177B"/>
    <w:rsid w:val="00AA1A54"/>
    <w:rsid w:val="00AA21A6"/>
    <w:rsid w:val="00AA25A0"/>
    <w:rsid w:val="00AA25C3"/>
    <w:rsid w:val="00AA273F"/>
    <w:rsid w:val="00AA27AC"/>
    <w:rsid w:val="00AA28F3"/>
    <w:rsid w:val="00AA2E3F"/>
    <w:rsid w:val="00AA2FED"/>
    <w:rsid w:val="00AA2FF2"/>
    <w:rsid w:val="00AA319C"/>
    <w:rsid w:val="00AA32DB"/>
    <w:rsid w:val="00AA342D"/>
    <w:rsid w:val="00AA344D"/>
    <w:rsid w:val="00AA394B"/>
    <w:rsid w:val="00AA3D3B"/>
    <w:rsid w:val="00AA4532"/>
    <w:rsid w:val="00AA4710"/>
    <w:rsid w:val="00AA4C9A"/>
    <w:rsid w:val="00AA4E40"/>
    <w:rsid w:val="00AA4E97"/>
    <w:rsid w:val="00AA50AB"/>
    <w:rsid w:val="00AA512F"/>
    <w:rsid w:val="00AA5141"/>
    <w:rsid w:val="00AA5484"/>
    <w:rsid w:val="00AA58C5"/>
    <w:rsid w:val="00AA5A3C"/>
    <w:rsid w:val="00AA5F69"/>
    <w:rsid w:val="00AA5FC4"/>
    <w:rsid w:val="00AA65B9"/>
    <w:rsid w:val="00AA67C3"/>
    <w:rsid w:val="00AA6A73"/>
    <w:rsid w:val="00AA6BC4"/>
    <w:rsid w:val="00AA6C08"/>
    <w:rsid w:val="00AA6C11"/>
    <w:rsid w:val="00AA6DAA"/>
    <w:rsid w:val="00AA7AB4"/>
    <w:rsid w:val="00AA7ADC"/>
    <w:rsid w:val="00AA7F1C"/>
    <w:rsid w:val="00AB031C"/>
    <w:rsid w:val="00AB03AC"/>
    <w:rsid w:val="00AB04EB"/>
    <w:rsid w:val="00AB0653"/>
    <w:rsid w:val="00AB06AC"/>
    <w:rsid w:val="00AB0A3B"/>
    <w:rsid w:val="00AB0B88"/>
    <w:rsid w:val="00AB0E94"/>
    <w:rsid w:val="00AB1065"/>
    <w:rsid w:val="00AB128C"/>
    <w:rsid w:val="00AB142E"/>
    <w:rsid w:val="00AB1486"/>
    <w:rsid w:val="00AB1661"/>
    <w:rsid w:val="00AB16B3"/>
    <w:rsid w:val="00AB17D5"/>
    <w:rsid w:val="00AB1D21"/>
    <w:rsid w:val="00AB1DED"/>
    <w:rsid w:val="00AB1E7F"/>
    <w:rsid w:val="00AB1F33"/>
    <w:rsid w:val="00AB1F7F"/>
    <w:rsid w:val="00AB245E"/>
    <w:rsid w:val="00AB254C"/>
    <w:rsid w:val="00AB26BF"/>
    <w:rsid w:val="00AB27E0"/>
    <w:rsid w:val="00AB2863"/>
    <w:rsid w:val="00AB2FAB"/>
    <w:rsid w:val="00AB31D1"/>
    <w:rsid w:val="00AB36FE"/>
    <w:rsid w:val="00AB3B02"/>
    <w:rsid w:val="00AB3C1B"/>
    <w:rsid w:val="00AB3C48"/>
    <w:rsid w:val="00AB3C63"/>
    <w:rsid w:val="00AB4118"/>
    <w:rsid w:val="00AB436C"/>
    <w:rsid w:val="00AB4427"/>
    <w:rsid w:val="00AB443F"/>
    <w:rsid w:val="00AB4CA4"/>
    <w:rsid w:val="00AB4CAC"/>
    <w:rsid w:val="00AB564F"/>
    <w:rsid w:val="00AB577E"/>
    <w:rsid w:val="00AB5980"/>
    <w:rsid w:val="00AB59DB"/>
    <w:rsid w:val="00AB5BFE"/>
    <w:rsid w:val="00AB5D29"/>
    <w:rsid w:val="00AB5E30"/>
    <w:rsid w:val="00AB608E"/>
    <w:rsid w:val="00AB62E2"/>
    <w:rsid w:val="00AB6313"/>
    <w:rsid w:val="00AB63BC"/>
    <w:rsid w:val="00AB654F"/>
    <w:rsid w:val="00AB667A"/>
    <w:rsid w:val="00AB67BC"/>
    <w:rsid w:val="00AB6AC9"/>
    <w:rsid w:val="00AB6B90"/>
    <w:rsid w:val="00AB6F26"/>
    <w:rsid w:val="00AB7799"/>
    <w:rsid w:val="00AB7873"/>
    <w:rsid w:val="00AC017E"/>
    <w:rsid w:val="00AC0316"/>
    <w:rsid w:val="00AC043A"/>
    <w:rsid w:val="00AC043B"/>
    <w:rsid w:val="00AC058C"/>
    <w:rsid w:val="00AC0B20"/>
    <w:rsid w:val="00AC11D5"/>
    <w:rsid w:val="00AC12B8"/>
    <w:rsid w:val="00AC1340"/>
    <w:rsid w:val="00AC1740"/>
    <w:rsid w:val="00AC17FC"/>
    <w:rsid w:val="00AC1AFD"/>
    <w:rsid w:val="00AC1BDA"/>
    <w:rsid w:val="00AC21BF"/>
    <w:rsid w:val="00AC26C0"/>
    <w:rsid w:val="00AC2727"/>
    <w:rsid w:val="00AC283C"/>
    <w:rsid w:val="00AC2AFA"/>
    <w:rsid w:val="00AC2C2C"/>
    <w:rsid w:val="00AC2FE0"/>
    <w:rsid w:val="00AC34EE"/>
    <w:rsid w:val="00AC3B19"/>
    <w:rsid w:val="00AC3D3C"/>
    <w:rsid w:val="00AC3D5A"/>
    <w:rsid w:val="00AC417B"/>
    <w:rsid w:val="00AC41D7"/>
    <w:rsid w:val="00AC41FD"/>
    <w:rsid w:val="00AC46A2"/>
    <w:rsid w:val="00AC4C7A"/>
    <w:rsid w:val="00AC51BD"/>
    <w:rsid w:val="00AC5922"/>
    <w:rsid w:val="00AC6080"/>
    <w:rsid w:val="00AC62A7"/>
    <w:rsid w:val="00AC6799"/>
    <w:rsid w:val="00AC6999"/>
    <w:rsid w:val="00AC743E"/>
    <w:rsid w:val="00AC776C"/>
    <w:rsid w:val="00AC7796"/>
    <w:rsid w:val="00AC79AD"/>
    <w:rsid w:val="00AC7C10"/>
    <w:rsid w:val="00AC7CC7"/>
    <w:rsid w:val="00AC7FCE"/>
    <w:rsid w:val="00AD00AC"/>
    <w:rsid w:val="00AD0795"/>
    <w:rsid w:val="00AD0AFE"/>
    <w:rsid w:val="00AD0EEC"/>
    <w:rsid w:val="00AD0FD5"/>
    <w:rsid w:val="00AD112A"/>
    <w:rsid w:val="00AD127D"/>
    <w:rsid w:val="00AD1491"/>
    <w:rsid w:val="00AD15A6"/>
    <w:rsid w:val="00AD1915"/>
    <w:rsid w:val="00AD1B72"/>
    <w:rsid w:val="00AD1D4D"/>
    <w:rsid w:val="00AD205E"/>
    <w:rsid w:val="00AD208D"/>
    <w:rsid w:val="00AD2363"/>
    <w:rsid w:val="00AD32AC"/>
    <w:rsid w:val="00AD335F"/>
    <w:rsid w:val="00AD3A0F"/>
    <w:rsid w:val="00AD3BFB"/>
    <w:rsid w:val="00AD41AA"/>
    <w:rsid w:val="00AD46C7"/>
    <w:rsid w:val="00AD4954"/>
    <w:rsid w:val="00AD4FB0"/>
    <w:rsid w:val="00AD541D"/>
    <w:rsid w:val="00AD57A4"/>
    <w:rsid w:val="00AD5B5F"/>
    <w:rsid w:val="00AD5D59"/>
    <w:rsid w:val="00AD5E7A"/>
    <w:rsid w:val="00AD6083"/>
    <w:rsid w:val="00AD641F"/>
    <w:rsid w:val="00AD692C"/>
    <w:rsid w:val="00AD6D9D"/>
    <w:rsid w:val="00AD6E68"/>
    <w:rsid w:val="00AD6FFD"/>
    <w:rsid w:val="00AD7266"/>
    <w:rsid w:val="00AD7433"/>
    <w:rsid w:val="00AD7537"/>
    <w:rsid w:val="00AD75EB"/>
    <w:rsid w:val="00AD76FC"/>
    <w:rsid w:val="00AD775D"/>
    <w:rsid w:val="00AD77CE"/>
    <w:rsid w:val="00AD7B08"/>
    <w:rsid w:val="00AE038E"/>
    <w:rsid w:val="00AE083E"/>
    <w:rsid w:val="00AE0D5A"/>
    <w:rsid w:val="00AE0E04"/>
    <w:rsid w:val="00AE0E95"/>
    <w:rsid w:val="00AE0FB8"/>
    <w:rsid w:val="00AE1544"/>
    <w:rsid w:val="00AE1AE3"/>
    <w:rsid w:val="00AE1D40"/>
    <w:rsid w:val="00AE267E"/>
    <w:rsid w:val="00AE28A4"/>
    <w:rsid w:val="00AE2955"/>
    <w:rsid w:val="00AE2966"/>
    <w:rsid w:val="00AE2EC5"/>
    <w:rsid w:val="00AE329D"/>
    <w:rsid w:val="00AE33EA"/>
    <w:rsid w:val="00AE35CF"/>
    <w:rsid w:val="00AE3AA3"/>
    <w:rsid w:val="00AE4174"/>
    <w:rsid w:val="00AE4180"/>
    <w:rsid w:val="00AE422E"/>
    <w:rsid w:val="00AE459B"/>
    <w:rsid w:val="00AE4AA2"/>
    <w:rsid w:val="00AE4B8B"/>
    <w:rsid w:val="00AE540B"/>
    <w:rsid w:val="00AE5530"/>
    <w:rsid w:val="00AE55DC"/>
    <w:rsid w:val="00AE5B3C"/>
    <w:rsid w:val="00AE5F6F"/>
    <w:rsid w:val="00AE5F72"/>
    <w:rsid w:val="00AE6174"/>
    <w:rsid w:val="00AE625C"/>
    <w:rsid w:val="00AE6333"/>
    <w:rsid w:val="00AE6719"/>
    <w:rsid w:val="00AE6807"/>
    <w:rsid w:val="00AE6AE1"/>
    <w:rsid w:val="00AE6AEE"/>
    <w:rsid w:val="00AE6CC5"/>
    <w:rsid w:val="00AE6FA0"/>
    <w:rsid w:val="00AE7182"/>
    <w:rsid w:val="00AE733D"/>
    <w:rsid w:val="00AF05BF"/>
    <w:rsid w:val="00AF07D5"/>
    <w:rsid w:val="00AF08E2"/>
    <w:rsid w:val="00AF0C6C"/>
    <w:rsid w:val="00AF103E"/>
    <w:rsid w:val="00AF1069"/>
    <w:rsid w:val="00AF130B"/>
    <w:rsid w:val="00AF1515"/>
    <w:rsid w:val="00AF163A"/>
    <w:rsid w:val="00AF1725"/>
    <w:rsid w:val="00AF1A5C"/>
    <w:rsid w:val="00AF21FE"/>
    <w:rsid w:val="00AF25B5"/>
    <w:rsid w:val="00AF25C1"/>
    <w:rsid w:val="00AF25C2"/>
    <w:rsid w:val="00AF25CC"/>
    <w:rsid w:val="00AF26B7"/>
    <w:rsid w:val="00AF2FD7"/>
    <w:rsid w:val="00AF37D1"/>
    <w:rsid w:val="00AF3925"/>
    <w:rsid w:val="00AF40D4"/>
    <w:rsid w:val="00AF4542"/>
    <w:rsid w:val="00AF46D2"/>
    <w:rsid w:val="00AF4A03"/>
    <w:rsid w:val="00AF4A0B"/>
    <w:rsid w:val="00AF4FFC"/>
    <w:rsid w:val="00AF510B"/>
    <w:rsid w:val="00AF5385"/>
    <w:rsid w:val="00AF5413"/>
    <w:rsid w:val="00AF5AA7"/>
    <w:rsid w:val="00AF5B0C"/>
    <w:rsid w:val="00AF5E57"/>
    <w:rsid w:val="00AF5FD6"/>
    <w:rsid w:val="00AF622D"/>
    <w:rsid w:val="00AF64B8"/>
    <w:rsid w:val="00AF67B7"/>
    <w:rsid w:val="00AF69CD"/>
    <w:rsid w:val="00AF6A6B"/>
    <w:rsid w:val="00AF6DEA"/>
    <w:rsid w:val="00AF6EA5"/>
    <w:rsid w:val="00AF7A3F"/>
    <w:rsid w:val="00AF7B0D"/>
    <w:rsid w:val="00AF7C8A"/>
    <w:rsid w:val="00AF7F4D"/>
    <w:rsid w:val="00B0019A"/>
    <w:rsid w:val="00B003A8"/>
    <w:rsid w:val="00B00DA5"/>
    <w:rsid w:val="00B0119E"/>
    <w:rsid w:val="00B017F2"/>
    <w:rsid w:val="00B02680"/>
    <w:rsid w:val="00B02B63"/>
    <w:rsid w:val="00B02DD2"/>
    <w:rsid w:val="00B02FF8"/>
    <w:rsid w:val="00B032DA"/>
    <w:rsid w:val="00B03352"/>
    <w:rsid w:val="00B034D9"/>
    <w:rsid w:val="00B0376F"/>
    <w:rsid w:val="00B03C1C"/>
    <w:rsid w:val="00B03C4D"/>
    <w:rsid w:val="00B03CE5"/>
    <w:rsid w:val="00B03CF9"/>
    <w:rsid w:val="00B03DA6"/>
    <w:rsid w:val="00B04149"/>
    <w:rsid w:val="00B04279"/>
    <w:rsid w:val="00B043B1"/>
    <w:rsid w:val="00B04483"/>
    <w:rsid w:val="00B04634"/>
    <w:rsid w:val="00B0495B"/>
    <w:rsid w:val="00B04AAE"/>
    <w:rsid w:val="00B04E36"/>
    <w:rsid w:val="00B0532B"/>
    <w:rsid w:val="00B05487"/>
    <w:rsid w:val="00B05526"/>
    <w:rsid w:val="00B05527"/>
    <w:rsid w:val="00B058DE"/>
    <w:rsid w:val="00B05AFD"/>
    <w:rsid w:val="00B05BA8"/>
    <w:rsid w:val="00B05D5C"/>
    <w:rsid w:val="00B05D74"/>
    <w:rsid w:val="00B05E36"/>
    <w:rsid w:val="00B05E54"/>
    <w:rsid w:val="00B06BEC"/>
    <w:rsid w:val="00B076D2"/>
    <w:rsid w:val="00B07728"/>
    <w:rsid w:val="00B07748"/>
    <w:rsid w:val="00B07798"/>
    <w:rsid w:val="00B07A9B"/>
    <w:rsid w:val="00B07FAA"/>
    <w:rsid w:val="00B1014E"/>
    <w:rsid w:val="00B101D9"/>
    <w:rsid w:val="00B10206"/>
    <w:rsid w:val="00B1037C"/>
    <w:rsid w:val="00B103A7"/>
    <w:rsid w:val="00B1042E"/>
    <w:rsid w:val="00B10672"/>
    <w:rsid w:val="00B106CC"/>
    <w:rsid w:val="00B1150F"/>
    <w:rsid w:val="00B1162F"/>
    <w:rsid w:val="00B116E0"/>
    <w:rsid w:val="00B11B2B"/>
    <w:rsid w:val="00B11FC0"/>
    <w:rsid w:val="00B123C7"/>
    <w:rsid w:val="00B124AD"/>
    <w:rsid w:val="00B128DB"/>
    <w:rsid w:val="00B1322B"/>
    <w:rsid w:val="00B13667"/>
    <w:rsid w:val="00B1368C"/>
    <w:rsid w:val="00B136B1"/>
    <w:rsid w:val="00B13787"/>
    <w:rsid w:val="00B139D6"/>
    <w:rsid w:val="00B140D1"/>
    <w:rsid w:val="00B14249"/>
    <w:rsid w:val="00B1442D"/>
    <w:rsid w:val="00B14609"/>
    <w:rsid w:val="00B146BA"/>
    <w:rsid w:val="00B14872"/>
    <w:rsid w:val="00B149CE"/>
    <w:rsid w:val="00B14B84"/>
    <w:rsid w:val="00B14BD7"/>
    <w:rsid w:val="00B14D3E"/>
    <w:rsid w:val="00B14D8E"/>
    <w:rsid w:val="00B14EB4"/>
    <w:rsid w:val="00B150F4"/>
    <w:rsid w:val="00B150F5"/>
    <w:rsid w:val="00B15145"/>
    <w:rsid w:val="00B1559E"/>
    <w:rsid w:val="00B15762"/>
    <w:rsid w:val="00B15E6B"/>
    <w:rsid w:val="00B15EFF"/>
    <w:rsid w:val="00B1613D"/>
    <w:rsid w:val="00B161B6"/>
    <w:rsid w:val="00B16244"/>
    <w:rsid w:val="00B162BC"/>
    <w:rsid w:val="00B16748"/>
    <w:rsid w:val="00B16C26"/>
    <w:rsid w:val="00B16CA3"/>
    <w:rsid w:val="00B16D8C"/>
    <w:rsid w:val="00B170C4"/>
    <w:rsid w:val="00B17892"/>
    <w:rsid w:val="00B179C0"/>
    <w:rsid w:val="00B17CD4"/>
    <w:rsid w:val="00B17F3F"/>
    <w:rsid w:val="00B17FB0"/>
    <w:rsid w:val="00B201CB"/>
    <w:rsid w:val="00B2026B"/>
    <w:rsid w:val="00B207AC"/>
    <w:rsid w:val="00B20A76"/>
    <w:rsid w:val="00B2128B"/>
    <w:rsid w:val="00B21408"/>
    <w:rsid w:val="00B21500"/>
    <w:rsid w:val="00B217B0"/>
    <w:rsid w:val="00B219B1"/>
    <w:rsid w:val="00B21BA9"/>
    <w:rsid w:val="00B22664"/>
    <w:rsid w:val="00B22978"/>
    <w:rsid w:val="00B229BA"/>
    <w:rsid w:val="00B2316B"/>
    <w:rsid w:val="00B2387F"/>
    <w:rsid w:val="00B23BDE"/>
    <w:rsid w:val="00B23DE9"/>
    <w:rsid w:val="00B23EA0"/>
    <w:rsid w:val="00B23F07"/>
    <w:rsid w:val="00B24152"/>
    <w:rsid w:val="00B242F5"/>
    <w:rsid w:val="00B24E1D"/>
    <w:rsid w:val="00B24EAD"/>
    <w:rsid w:val="00B25771"/>
    <w:rsid w:val="00B264F5"/>
    <w:rsid w:val="00B265EE"/>
    <w:rsid w:val="00B26BE2"/>
    <w:rsid w:val="00B26CB6"/>
    <w:rsid w:val="00B27213"/>
    <w:rsid w:val="00B278F8"/>
    <w:rsid w:val="00B27BD9"/>
    <w:rsid w:val="00B27DD5"/>
    <w:rsid w:val="00B27DE0"/>
    <w:rsid w:val="00B30301"/>
    <w:rsid w:val="00B30A8B"/>
    <w:rsid w:val="00B316C5"/>
    <w:rsid w:val="00B316CD"/>
    <w:rsid w:val="00B31757"/>
    <w:rsid w:val="00B319B2"/>
    <w:rsid w:val="00B31FA7"/>
    <w:rsid w:val="00B320DB"/>
    <w:rsid w:val="00B32BD8"/>
    <w:rsid w:val="00B32C99"/>
    <w:rsid w:val="00B32F5A"/>
    <w:rsid w:val="00B3301C"/>
    <w:rsid w:val="00B33135"/>
    <w:rsid w:val="00B332A3"/>
    <w:rsid w:val="00B33325"/>
    <w:rsid w:val="00B33421"/>
    <w:rsid w:val="00B338DB"/>
    <w:rsid w:val="00B345F7"/>
    <w:rsid w:val="00B3495A"/>
    <w:rsid w:val="00B34AE7"/>
    <w:rsid w:val="00B34C31"/>
    <w:rsid w:val="00B34E8E"/>
    <w:rsid w:val="00B351E5"/>
    <w:rsid w:val="00B35289"/>
    <w:rsid w:val="00B354A3"/>
    <w:rsid w:val="00B35DF9"/>
    <w:rsid w:val="00B35E59"/>
    <w:rsid w:val="00B362B4"/>
    <w:rsid w:val="00B37393"/>
    <w:rsid w:val="00B37803"/>
    <w:rsid w:val="00B379D5"/>
    <w:rsid w:val="00B37AF7"/>
    <w:rsid w:val="00B37EED"/>
    <w:rsid w:val="00B4034E"/>
    <w:rsid w:val="00B4044C"/>
    <w:rsid w:val="00B406D6"/>
    <w:rsid w:val="00B409F9"/>
    <w:rsid w:val="00B40F3C"/>
    <w:rsid w:val="00B411BA"/>
    <w:rsid w:val="00B4150D"/>
    <w:rsid w:val="00B41CB0"/>
    <w:rsid w:val="00B42412"/>
    <w:rsid w:val="00B4260D"/>
    <w:rsid w:val="00B42C1F"/>
    <w:rsid w:val="00B42FCE"/>
    <w:rsid w:val="00B4342D"/>
    <w:rsid w:val="00B43CBA"/>
    <w:rsid w:val="00B43FC1"/>
    <w:rsid w:val="00B441FD"/>
    <w:rsid w:val="00B444E4"/>
    <w:rsid w:val="00B4480E"/>
    <w:rsid w:val="00B44B5C"/>
    <w:rsid w:val="00B44F05"/>
    <w:rsid w:val="00B44FAC"/>
    <w:rsid w:val="00B45B4B"/>
    <w:rsid w:val="00B45E12"/>
    <w:rsid w:val="00B4605C"/>
    <w:rsid w:val="00B4612B"/>
    <w:rsid w:val="00B461E2"/>
    <w:rsid w:val="00B469A3"/>
    <w:rsid w:val="00B46E3D"/>
    <w:rsid w:val="00B46EE2"/>
    <w:rsid w:val="00B475FA"/>
    <w:rsid w:val="00B47975"/>
    <w:rsid w:val="00B47FB0"/>
    <w:rsid w:val="00B500E0"/>
    <w:rsid w:val="00B5028C"/>
    <w:rsid w:val="00B50AC8"/>
    <w:rsid w:val="00B510AB"/>
    <w:rsid w:val="00B51107"/>
    <w:rsid w:val="00B521EF"/>
    <w:rsid w:val="00B522B6"/>
    <w:rsid w:val="00B52410"/>
    <w:rsid w:val="00B52459"/>
    <w:rsid w:val="00B5295E"/>
    <w:rsid w:val="00B52A3A"/>
    <w:rsid w:val="00B52B2A"/>
    <w:rsid w:val="00B52C69"/>
    <w:rsid w:val="00B53536"/>
    <w:rsid w:val="00B54641"/>
    <w:rsid w:val="00B5464B"/>
    <w:rsid w:val="00B54A45"/>
    <w:rsid w:val="00B54A97"/>
    <w:rsid w:val="00B54DD8"/>
    <w:rsid w:val="00B55153"/>
    <w:rsid w:val="00B559D1"/>
    <w:rsid w:val="00B55A92"/>
    <w:rsid w:val="00B55CA9"/>
    <w:rsid w:val="00B560A6"/>
    <w:rsid w:val="00B562FA"/>
    <w:rsid w:val="00B5687C"/>
    <w:rsid w:val="00B56D13"/>
    <w:rsid w:val="00B56D1B"/>
    <w:rsid w:val="00B57282"/>
    <w:rsid w:val="00B574B2"/>
    <w:rsid w:val="00B577D0"/>
    <w:rsid w:val="00B57919"/>
    <w:rsid w:val="00B57D2F"/>
    <w:rsid w:val="00B57ED0"/>
    <w:rsid w:val="00B600A8"/>
    <w:rsid w:val="00B6046F"/>
    <w:rsid w:val="00B608FB"/>
    <w:rsid w:val="00B61089"/>
    <w:rsid w:val="00B61382"/>
    <w:rsid w:val="00B613DA"/>
    <w:rsid w:val="00B61BDF"/>
    <w:rsid w:val="00B61BF6"/>
    <w:rsid w:val="00B61CC3"/>
    <w:rsid w:val="00B61D3E"/>
    <w:rsid w:val="00B620C6"/>
    <w:rsid w:val="00B62354"/>
    <w:rsid w:val="00B62405"/>
    <w:rsid w:val="00B62710"/>
    <w:rsid w:val="00B62C93"/>
    <w:rsid w:val="00B62DB1"/>
    <w:rsid w:val="00B63481"/>
    <w:rsid w:val="00B63717"/>
    <w:rsid w:val="00B63788"/>
    <w:rsid w:val="00B63912"/>
    <w:rsid w:val="00B63958"/>
    <w:rsid w:val="00B63A85"/>
    <w:rsid w:val="00B63AD7"/>
    <w:rsid w:val="00B63BE7"/>
    <w:rsid w:val="00B643CA"/>
    <w:rsid w:val="00B647AB"/>
    <w:rsid w:val="00B652A2"/>
    <w:rsid w:val="00B6567F"/>
    <w:rsid w:val="00B656AC"/>
    <w:rsid w:val="00B65EC2"/>
    <w:rsid w:val="00B65F3C"/>
    <w:rsid w:val="00B66068"/>
    <w:rsid w:val="00B66078"/>
    <w:rsid w:val="00B661A6"/>
    <w:rsid w:val="00B6653E"/>
    <w:rsid w:val="00B666EA"/>
    <w:rsid w:val="00B67025"/>
    <w:rsid w:val="00B67860"/>
    <w:rsid w:val="00B67A6C"/>
    <w:rsid w:val="00B70089"/>
    <w:rsid w:val="00B706AA"/>
    <w:rsid w:val="00B70840"/>
    <w:rsid w:val="00B70A2D"/>
    <w:rsid w:val="00B70C23"/>
    <w:rsid w:val="00B70D77"/>
    <w:rsid w:val="00B70E20"/>
    <w:rsid w:val="00B70F9C"/>
    <w:rsid w:val="00B71341"/>
    <w:rsid w:val="00B71521"/>
    <w:rsid w:val="00B716C1"/>
    <w:rsid w:val="00B71CCD"/>
    <w:rsid w:val="00B71DD5"/>
    <w:rsid w:val="00B71E77"/>
    <w:rsid w:val="00B71F44"/>
    <w:rsid w:val="00B721A6"/>
    <w:rsid w:val="00B721FD"/>
    <w:rsid w:val="00B72224"/>
    <w:rsid w:val="00B72325"/>
    <w:rsid w:val="00B726EB"/>
    <w:rsid w:val="00B726F9"/>
    <w:rsid w:val="00B72723"/>
    <w:rsid w:val="00B727C2"/>
    <w:rsid w:val="00B729A6"/>
    <w:rsid w:val="00B73390"/>
    <w:rsid w:val="00B733FC"/>
    <w:rsid w:val="00B737C3"/>
    <w:rsid w:val="00B73A20"/>
    <w:rsid w:val="00B74940"/>
    <w:rsid w:val="00B74A47"/>
    <w:rsid w:val="00B74E0B"/>
    <w:rsid w:val="00B74E3A"/>
    <w:rsid w:val="00B74FC9"/>
    <w:rsid w:val="00B7513D"/>
    <w:rsid w:val="00B7531F"/>
    <w:rsid w:val="00B75458"/>
    <w:rsid w:val="00B755FF"/>
    <w:rsid w:val="00B7567C"/>
    <w:rsid w:val="00B75A1C"/>
    <w:rsid w:val="00B76070"/>
    <w:rsid w:val="00B769D0"/>
    <w:rsid w:val="00B77014"/>
    <w:rsid w:val="00B7719F"/>
    <w:rsid w:val="00B7755B"/>
    <w:rsid w:val="00B7764E"/>
    <w:rsid w:val="00B77652"/>
    <w:rsid w:val="00B77E45"/>
    <w:rsid w:val="00B77EB4"/>
    <w:rsid w:val="00B77F06"/>
    <w:rsid w:val="00B8004B"/>
    <w:rsid w:val="00B804AD"/>
    <w:rsid w:val="00B809A7"/>
    <w:rsid w:val="00B80A0F"/>
    <w:rsid w:val="00B80E01"/>
    <w:rsid w:val="00B81044"/>
    <w:rsid w:val="00B81146"/>
    <w:rsid w:val="00B818BA"/>
    <w:rsid w:val="00B81B44"/>
    <w:rsid w:val="00B81BF2"/>
    <w:rsid w:val="00B81D7D"/>
    <w:rsid w:val="00B81DD8"/>
    <w:rsid w:val="00B81E57"/>
    <w:rsid w:val="00B82044"/>
    <w:rsid w:val="00B8209A"/>
    <w:rsid w:val="00B8218E"/>
    <w:rsid w:val="00B821DA"/>
    <w:rsid w:val="00B823F9"/>
    <w:rsid w:val="00B82480"/>
    <w:rsid w:val="00B82AE4"/>
    <w:rsid w:val="00B8318C"/>
    <w:rsid w:val="00B834FE"/>
    <w:rsid w:val="00B839CF"/>
    <w:rsid w:val="00B842E7"/>
    <w:rsid w:val="00B8478E"/>
    <w:rsid w:val="00B847D2"/>
    <w:rsid w:val="00B84897"/>
    <w:rsid w:val="00B84B67"/>
    <w:rsid w:val="00B854E1"/>
    <w:rsid w:val="00B856F8"/>
    <w:rsid w:val="00B85B48"/>
    <w:rsid w:val="00B8621A"/>
    <w:rsid w:val="00B8648C"/>
    <w:rsid w:val="00B8674F"/>
    <w:rsid w:val="00B8678D"/>
    <w:rsid w:val="00B86817"/>
    <w:rsid w:val="00B86922"/>
    <w:rsid w:val="00B86954"/>
    <w:rsid w:val="00B869D1"/>
    <w:rsid w:val="00B877DF"/>
    <w:rsid w:val="00B87ACA"/>
    <w:rsid w:val="00B902AD"/>
    <w:rsid w:val="00B902DE"/>
    <w:rsid w:val="00B904F7"/>
    <w:rsid w:val="00B90940"/>
    <w:rsid w:val="00B90D24"/>
    <w:rsid w:val="00B90E1E"/>
    <w:rsid w:val="00B9135E"/>
    <w:rsid w:val="00B913B2"/>
    <w:rsid w:val="00B91568"/>
    <w:rsid w:val="00B91667"/>
    <w:rsid w:val="00B91A48"/>
    <w:rsid w:val="00B91BC7"/>
    <w:rsid w:val="00B91BCA"/>
    <w:rsid w:val="00B91E44"/>
    <w:rsid w:val="00B92296"/>
    <w:rsid w:val="00B929CE"/>
    <w:rsid w:val="00B92BD9"/>
    <w:rsid w:val="00B93013"/>
    <w:rsid w:val="00B93115"/>
    <w:rsid w:val="00B93190"/>
    <w:rsid w:val="00B93468"/>
    <w:rsid w:val="00B93508"/>
    <w:rsid w:val="00B935B4"/>
    <w:rsid w:val="00B937FA"/>
    <w:rsid w:val="00B938DA"/>
    <w:rsid w:val="00B93BE8"/>
    <w:rsid w:val="00B93F2B"/>
    <w:rsid w:val="00B93F67"/>
    <w:rsid w:val="00B94403"/>
    <w:rsid w:val="00B9449B"/>
    <w:rsid w:val="00B94F95"/>
    <w:rsid w:val="00B9543D"/>
    <w:rsid w:val="00B95AC9"/>
    <w:rsid w:val="00B95C48"/>
    <w:rsid w:val="00B960EC"/>
    <w:rsid w:val="00B96209"/>
    <w:rsid w:val="00B9639B"/>
    <w:rsid w:val="00B96721"/>
    <w:rsid w:val="00B96776"/>
    <w:rsid w:val="00B96E3E"/>
    <w:rsid w:val="00B970A8"/>
    <w:rsid w:val="00B971C0"/>
    <w:rsid w:val="00B975C8"/>
    <w:rsid w:val="00B97652"/>
    <w:rsid w:val="00B97746"/>
    <w:rsid w:val="00B97861"/>
    <w:rsid w:val="00B978D5"/>
    <w:rsid w:val="00B97960"/>
    <w:rsid w:val="00B97B23"/>
    <w:rsid w:val="00B97B6D"/>
    <w:rsid w:val="00B97C61"/>
    <w:rsid w:val="00BA02C9"/>
    <w:rsid w:val="00BA0483"/>
    <w:rsid w:val="00BA0662"/>
    <w:rsid w:val="00BA06E2"/>
    <w:rsid w:val="00BA093C"/>
    <w:rsid w:val="00BA10EA"/>
    <w:rsid w:val="00BA1A26"/>
    <w:rsid w:val="00BA1BA8"/>
    <w:rsid w:val="00BA1D76"/>
    <w:rsid w:val="00BA22E5"/>
    <w:rsid w:val="00BA2424"/>
    <w:rsid w:val="00BA24BA"/>
    <w:rsid w:val="00BA2D56"/>
    <w:rsid w:val="00BA2F70"/>
    <w:rsid w:val="00BA2FE7"/>
    <w:rsid w:val="00BA3097"/>
    <w:rsid w:val="00BA3551"/>
    <w:rsid w:val="00BA3969"/>
    <w:rsid w:val="00BA3D02"/>
    <w:rsid w:val="00BA3E26"/>
    <w:rsid w:val="00BA4575"/>
    <w:rsid w:val="00BA4611"/>
    <w:rsid w:val="00BA4764"/>
    <w:rsid w:val="00BA477B"/>
    <w:rsid w:val="00BA4CCD"/>
    <w:rsid w:val="00BA4DDB"/>
    <w:rsid w:val="00BA4E88"/>
    <w:rsid w:val="00BA5102"/>
    <w:rsid w:val="00BA5346"/>
    <w:rsid w:val="00BA5658"/>
    <w:rsid w:val="00BA5A42"/>
    <w:rsid w:val="00BA5A48"/>
    <w:rsid w:val="00BA5DA1"/>
    <w:rsid w:val="00BA5DD4"/>
    <w:rsid w:val="00BA6095"/>
    <w:rsid w:val="00BA62C7"/>
    <w:rsid w:val="00BA62EC"/>
    <w:rsid w:val="00BA66A4"/>
    <w:rsid w:val="00BA6833"/>
    <w:rsid w:val="00BA6BE1"/>
    <w:rsid w:val="00BA6EE6"/>
    <w:rsid w:val="00BA7249"/>
    <w:rsid w:val="00BA7447"/>
    <w:rsid w:val="00BA78B8"/>
    <w:rsid w:val="00BA7A7E"/>
    <w:rsid w:val="00BA7C2A"/>
    <w:rsid w:val="00BB0822"/>
    <w:rsid w:val="00BB0A11"/>
    <w:rsid w:val="00BB0A3A"/>
    <w:rsid w:val="00BB0B4C"/>
    <w:rsid w:val="00BB121D"/>
    <w:rsid w:val="00BB1322"/>
    <w:rsid w:val="00BB1814"/>
    <w:rsid w:val="00BB1A42"/>
    <w:rsid w:val="00BB1BBA"/>
    <w:rsid w:val="00BB1E94"/>
    <w:rsid w:val="00BB23B3"/>
    <w:rsid w:val="00BB2AB9"/>
    <w:rsid w:val="00BB2C36"/>
    <w:rsid w:val="00BB37F7"/>
    <w:rsid w:val="00BB3B42"/>
    <w:rsid w:val="00BB3E2F"/>
    <w:rsid w:val="00BB4061"/>
    <w:rsid w:val="00BB428D"/>
    <w:rsid w:val="00BB4866"/>
    <w:rsid w:val="00BB499B"/>
    <w:rsid w:val="00BB5761"/>
    <w:rsid w:val="00BB61F7"/>
    <w:rsid w:val="00BB6222"/>
    <w:rsid w:val="00BB6229"/>
    <w:rsid w:val="00BB62EF"/>
    <w:rsid w:val="00BB650B"/>
    <w:rsid w:val="00BB67DF"/>
    <w:rsid w:val="00BB697C"/>
    <w:rsid w:val="00BB6982"/>
    <w:rsid w:val="00BB6A06"/>
    <w:rsid w:val="00BB6AE1"/>
    <w:rsid w:val="00BB6B37"/>
    <w:rsid w:val="00BB7191"/>
    <w:rsid w:val="00BB7515"/>
    <w:rsid w:val="00BB7D92"/>
    <w:rsid w:val="00BC0335"/>
    <w:rsid w:val="00BC07CD"/>
    <w:rsid w:val="00BC0DF8"/>
    <w:rsid w:val="00BC126A"/>
    <w:rsid w:val="00BC12B9"/>
    <w:rsid w:val="00BC1443"/>
    <w:rsid w:val="00BC1534"/>
    <w:rsid w:val="00BC178C"/>
    <w:rsid w:val="00BC1A1C"/>
    <w:rsid w:val="00BC1F8A"/>
    <w:rsid w:val="00BC2162"/>
    <w:rsid w:val="00BC25B2"/>
    <w:rsid w:val="00BC2604"/>
    <w:rsid w:val="00BC268D"/>
    <w:rsid w:val="00BC2D13"/>
    <w:rsid w:val="00BC2F17"/>
    <w:rsid w:val="00BC319E"/>
    <w:rsid w:val="00BC344B"/>
    <w:rsid w:val="00BC36C7"/>
    <w:rsid w:val="00BC3A13"/>
    <w:rsid w:val="00BC3AC1"/>
    <w:rsid w:val="00BC3BBD"/>
    <w:rsid w:val="00BC3F19"/>
    <w:rsid w:val="00BC494D"/>
    <w:rsid w:val="00BC4ADD"/>
    <w:rsid w:val="00BC5005"/>
    <w:rsid w:val="00BC515B"/>
    <w:rsid w:val="00BC542D"/>
    <w:rsid w:val="00BC5543"/>
    <w:rsid w:val="00BC570A"/>
    <w:rsid w:val="00BC585F"/>
    <w:rsid w:val="00BC58C3"/>
    <w:rsid w:val="00BC596B"/>
    <w:rsid w:val="00BC60C9"/>
    <w:rsid w:val="00BC60DE"/>
    <w:rsid w:val="00BC63C7"/>
    <w:rsid w:val="00BC6B4C"/>
    <w:rsid w:val="00BC6F0D"/>
    <w:rsid w:val="00BC7215"/>
    <w:rsid w:val="00BC7382"/>
    <w:rsid w:val="00BC76DE"/>
    <w:rsid w:val="00BD0C18"/>
    <w:rsid w:val="00BD0C36"/>
    <w:rsid w:val="00BD16E7"/>
    <w:rsid w:val="00BD174B"/>
    <w:rsid w:val="00BD1784"/>
    <w:rsid w:val="00BD1A03"/>
    <w:rsid w:val="00BD1B0A"/>
    <w:rsid w:val="00BD1E10"/>
    <w:rsid w:val="00BD1EB6"/>
    <w:rsid w:val="00BD2071"/>
    <w:rsid w:val="00BD287B"/>
    <w:rsid w:val="00BD2B13"/>
    <w:rsid w:val="00BD2B48"/>
    <w:rsid w:val="00BD2B88"/>
    <w:rsid w:val="00BD35C1"/>
    <w:rsid w:val="00BD384B"/>
    <w:rsid w:val="00BD38CB"/>
    <w:rsid w:val="00BD4078"/>
    <w:rsid w:val="00BD419C"/>
    <w:rsid w:val="00BD41FA"/>
    <w:rsid w:val="00BD4225"/>
    <w:rsid w:val="00BD424D"/>
    <w:rsid w:val="00BD48C9"/>
    <w:rsid w:val="00BD4A52"/>
    <w:rsid w:val="00BD4E43"/>
    <w:rsid w:val="00BD50BD"/>
    <w:rsid w:val="00BD50FC"/>
    <w:rsid w:val="00BD5154"/>
    <w:rsid w:val="00BD52BC"/>
    <w:rsid w:val="00BD5737"/>
    <w:rsid w:val="00BD5783"/>
    <w:rsid w:val="00BD5ED8"/>
    <w:rsid w:val="00BD5F89"/>
    <w:rsid w:val="00BD7025"/>
    <w:rsid w:val="00BD7134"/>
    <w:rsid w:val="00BE0565"/>
    <w:rsid w:val="00BE086C"/>
    <w:rsid w:val="00BE092E"/>
    <w:rsid w:val="00BE0A73"/>
    <w:rsid w:val="00BE0D86"/>
    <w:rsid w:val="00BE17F9"/>
    <w:rsid w:val="00BE195E"/>
    <w:rsid w:val="00BE1BA4"/>
    <w:rsid w:val="00BE1F06"/>
    <w:rsid w:val="00BE2137"/>
    <w:rsid w:val="00BE2379"/>
    <w:rsid w:val="00BE25C7"/>
    <w:rsid w:val="00BE269A"/>
    <w:rsid w:val="00BE2C5B"/>
    <w:rsid w:val="00BE32CD"/>
    <w:rsid w:val="00BE338A"/>
    <w:rsid w:val="00BE36A1"/>
    <w:rsid w:val="00BE370B"/>
    <w:rsid w:val="00BE3B5A"/>
    <w:rsid w:val="00BE3E6A"/>
    <w:rsid w:val="00BE3E9C"/>
    <w:rsid w:val="00BE417C"/>
    <w:rsid w:val="00BE4418"/>
    <w:rsid w:val="00BE4476"/>
    <w:rsid w:val="00BE47BD"/>
    <w:rsid w:val="00BE4B8F"/>
    <w:rsid w:val="00BE54E1"/>
    <w:rsid w:val="00BE5590"/>
    <w:rsid w:val="00BE55D6"/>
    <w:rsid w:val="00BE5605"/>
    <w:rsid w:val="00BE5626"/>
    <w:rsid w:val="00BE5675"/>
    <w:rsid w:val="00BE57CF"/>
    <w:rsid w:val="00BE5844"/>
    <w:rsid w:val="00BE5ACE"/>
    <w:rsid w:val="00BE5CA5"/>
    <w:rsid w:val="00BE608E"/>
    <w:rsid w:val="00BE65A7"/>
    <w:rsid w:val="00BE6B49"/>
    <w:rsid w:val="00BE6C6D"/>
    <w:rsid w:val="00BE6D8C"/>
    <w:rsid w:val="00BE723B"/>
    <w:rsid w:val="00BE7907"/>
    <w:rsid w:val="00BE7E7C"/>
    <w:rsid w:val="00BF01BD"/>
    <w:rsid w:val="00BF0296"/>
    <w:rsid w:val="00BF03D3"/>
    <w:rsid w:val="00BF06E5"/>
    <w:rsid w:val="00BF09D9"/>
    <w:rsid w:val="00BF0A8A"/>
    <w:rsid w:val="00BF12B5"/>
    <w:rsid w:val="00BF13E5"/>
    <w:rsid w:val="00BF19EC"/>
    <w:rsid w:val="00BF1B1C"/>
    <w:rsid w:val="00BF1D0F"/>
    <w:rsid w:val="00BF1F2C"/>
    <w:rsid w:val="00BF223A"/>
    <w:rsid w:val="00BF22F4"/>
    <w:rsid w:val="00BF2354"/>
    <w:rsid w:val="00BF25FB"/>
    <w:rsid w:val="00BF26C8"/>
    <w:rsid w:val="00BF289C"/>
    <w:rsid w:val="00BF2921"/>
    <w:rsid w:val="00BF3013"/>
    <w:rsid w:val="00BF304C"/>
    <w:rsid w:val="00BF3422"/>
    <w:rsid w:val="00BF407C"/>
    <w:rsid w:val="00BF431E"/>
    <w:rsid w:val="00BF47AA"/>
    <w:rsid w:val="00BF4B14"/>
    <w:rsid w:val="00BF4D64"/>
    <w:rsid w:val="00BF4E46"/>
    <w:rsid w:val="00BF4E84"/>
    <w:rsid w:val="00BF5056"/>
    <w:rsid w:val="00BF533A"/>
    <w:rsid w:val="00BF6698"/>
    <w:rsid w:val="00BF6931"/>
    <w:rsid w:val="00BF6D07"/>
    <w:rsid w:val="00BF6F50"/>
    <w:rsid w:val="00BF7280"/>
    <w:rsid w:val="00BF7724"/>
    <w:rsid w:val="00BF7DB4"/>
    <w:rsid w:val="00BF7DBC"/>
    <w:rsid w:val="00C00338"/>
    <w:rsid w:val="00C00348"/>
    <w:rsid w:val="00C00358"/>
    <w:rsid w:val="00C007FE"/>
    <w:rsid w:val="00C00AD6"/>
    <w:rsid w:val="00C00D52"/>
    <w:rsid w:val="00C01641"/>
    <w:rsid w:val="00C0167D"/>
    <w:rsid w:val="00C01BE8"/>
    <w:rsid w:val="00C01CEF"/>
    <w:rsid w:val="00C02065"/>
    <w:rsid w:val="00C02132"/>
    <w:rsid w:val="00C02268"/>
    <w:rsid w:val="00C024F2"/>
    <w:rsid w:val="00C025DB"/>
    <w:rsid w:val="00C02614"/>
    <w:rsid w:val="00C028E1"/>
    <w:rsid w:val="00C02A63"/>
    <w:rsid w:val="00C02AA4"/>
    <w:rsid w:val="00C02DC4"/>
    <w:rsid w:val="00C02F6B"/>
    <w:rsid w:val="00C03EFF"/>
    <w:rsid w:val="00C04417"/>
    <w:rsid w:val="00C045D3"/>
    <w:rsid w:val="00C0466E"/>
    <w:rsid w:val="00C0488E"/>
    <w:rsid w:val="00C048B0"/>
    <w:rsid w:val="00C04959"/>
    <w:rsid w:val="00C04A3C"/>
    <w:rsid w:val="00C04BD4"/>
    <w:rsid w:val="00C0505C"/>
    <w:rsid w:val="00C050CC"/>
    <w:rsid w:val="00C0511E"/>
    <w:rsid w:val="00C052D2"/>
    <w:rsid w:val="00C056FF"/>
    <w:rsid w:val="00C05A0B"/>
    <w:rsid w:val="00C05A1C"/>
    <w:rsid w:val="00C06274"/>
    <w:rsid w:val="00C06A5F"/>
    <w:rsid w:val="00C06BDA"/>
    <w:rsid w:val="00C06EF3"/>
    <w:rsid w:val="00C06FF6"/>
    <w:rsid w:val="00C070D4"/>
    <w:rsid w:val="00C07176"/>
    <w:rsid w:val="00C073D9"/>
    <w:rsid w:val="00C0759E"/>
    <w:rsid w:val="00C07C66"/>
    <w:rsid w:val="00C10079"/>
    <w:rsid w:val="00C101A6"/>
    <w:rsid w:val="00C102FC"/>
    <w:rsid w:val="00C1049A"/>
    <w:rsid w:val="00C105D0"/>
    <w:rsid w:val="00C109A0"/>
    <w:rsid w:val="00C10D24"/>
    <w:rsid w:val="00C11402"/>
    <w:rsid w:val="00C115C0"/>
    <w:rsid w:val="00C11776"/>
    <w:rsid w:val="00C1189A"/>
    <w:rsid w:val="00C11E6A"/>
    <w:rsid w:val="00C123D0"/>
    <w:rsid w:val="00C123E6"/>
    <w:rsid w:val="00C126CC"/>
    <w:rsid w:val="00C12862"/>
    <w:rsid w:val="00C12B62"/>
    <w:rsid w:val="00C12DA8"/>
    <w:rsid w:val="00C12F51"/>
    <w:rsid w:val="00C13460"/>
    <w:rsid w:val="00C13A6B"/>
    <w:rsid w:val="00C13DEE"/>
    <w:rsid w:val="00C13F26"/>
    <w:rsid w:val="00C13FBE"/>
    <w:rsid w:val="00C140C6"/>
    <w:rsid w:val="00C141DB"/>
    <w:rsid w:val="00C1465E"/>
    <w:rsid w:val="00C146EC"/>
    <w:rsid w:val="00C14748"/>
    <w:rsid w:val="00C14787"/>
    <w:rsid w:val="00C14F40"/>
    <w:rsid w:val="00C151E4"/>
    <w:rsid w:val="00C151EA"/>
    <w:rsid w:val="00C15225"/>
    <w:rsid w:val="00C15342"/>
    <w:rsid w:val="00C15445"/>
    <w:rsid w:val="00C15666"/>
    <w:rsid w:val="00C15DD3"/>
    <w:rsid w:val="00C16235"/>
    <w:rsid w:val="00C16378"/>
    <w:rsid w:val="00C164A3"/>
    <w:rsid w:val="00C164AA"/>
    <w:rsid w:val="00C165A4"/>
    <w:rsid w:val="00C165FB"/>
    <w:rsid w:val="00C16607"/>
    <w:rsid w:val="00C168F4"/>
    <w:rsid w:val="00C16B79"/>
    <w:rsid w:val="00C16B7A"/>
    <w:rsid w:val="00C16CA4"/>
    <w:rsid w:val="00C16EBD"/>
    <w:rsid w:val="00C16EF1"/>
    <w:rsid w:val="00C1707F"/>
    <w:rsid w:val="00C173B6"/>
    <w:rsid w:val="00C17790"/>
    <w:rsid w:val="00C1782B"/>
    <w:rsid w:val="00C17D8B"/>
    <w:rsid w:val="00C20202"/>
    <w:rsid w:val="00C202CD"/>
    <w:rsid w:val="00C203B2"/>
    <w:rsid w:val="00C20405"/>
    <w:rsid w:val="00C20A9F"/>
    <w:rsid w:val="00C20B44"/>
    <w:rsid w:val="00C2143A"/>
    <w:rsid w:val="00C2147E"/>
    <w:rsid w:val="00C215DF"/>
    <w:rsid w:val="00C2173E"/>
    <w:rsid w:val="00C217E9"/>
    <w:rsid w:val="00C219CD"/>
    <w:rsid w:val="00C21CEC"/>
    <w:rsid w:val="00C21F78"/>
    <w:rsid w:val="00C220E5"/>
    <w:rsid w:val="00C2210A"/>
    <w:rsid w:val="00C22141"/>
    <w:rsid w:val="00C2237D"/>
    <w:rsid w:val="00C2264D"/>
    <w:rsid w:val="00C22E0F"/>
    <w:rsid w:val="00C22F99"/>
    <w:rsid w:val="00C231C0"/>
    <w:rsid w:val="00C23217"/>
    <w:rsid w:val="00C23284"/>
    <w:rsid w:val="00C23648"/>
    <w:rsid w:val="00C237E4"/>
    <w:rsid w:val="00C23937"/>
    <w:rsid w:val="00C23A76"/>
    <w:rsid w:val="00C23B99"/>
    <w:rsid w:val="00C23D05"/>
    <w:rsid w:val="00C23D2E"/>
    <w:rsid w:val="00C23D4C"/>
    <w:rsid w:val="00C23D76"/>
    <w:rsid w:val="00C23F21"/>
    <w:rsid w:val="00C243C9"/>
    <w:rsid w:val="00C2457F"/>
    <w:rsid w:val="00C24F7A"/>
    <w:rsid w:val="00C25101"/>
    <w:rsid w:val="00C251CE"/>
    <w:rsid w:val="00C251E9"/>
    <w:rsid w:val="00C2534F"/>
    <w:rsid w:val="00C25419"/>
    <w:rsid w:val="00C25525"/>
    <w:rsid w:val="00C25648"/>
    <w:rsid w:val="00C259CD"/>
    <w:rsid w:val="00C25CA9"/>
    <w:rsid w:val="00C25D51"/>
    <w:rsid w:val="00C2601C"/>
    <w:rsid w:val="00C263CD"/>
    <w:rsid w:val="00C26E1A"/>
    <w:rsid w:val="00C26F01"/>
    <w:rsid w:val="00C271BE"/>
    <w:rsid w:val="00C276D6"/>
    <w:rsid w:val="00C278FF"/>
    <w:rsid w:val="00C27A1A"/>
    <w:rsid w:val="00C27B9B"/>
    <w:rsid w:val="00C27DBF"/>
    <w:rsid w:val="00C27EB6"/>
    <w:rsid w:val="00C30075"/>
    <w:rsid w:val="00C305AE"/>
    <w:rsid w:val="00C31001"/>
    <w:rsid w:val="00C3116D"/>
    <w:rsid w:val="00C31502"/>
    <w:rsid w:val="00C31537"/>
    <w:rsid w:val="00C315DC"/>
    <w:rsid w:val="00C317EF"/>
    <w:rsid w:val="00C31AC3"/>
    <w:rsid w:val="00C32423"/>
    <w:rsid w:val="00C32456"/>
    <w:rsid w:val="00C324A5"/>
    <w:rsid w:val="00C32819"/>
    <w:rsid w:val="00C32841"/>
    <w:rsid w:val="00C328DD"/>
    <w:rsid w:val="00C33464"/>
    <w:rsid w:val="00C335E6"/>
    <w:rsid w:val="00C33994"/>
    <w:rsid w:val="00C33A9B"/>
    <w:rsid w:val="00C33AD5"/>
    <w:rsid w:val="00C33B62"/>
    <w:rsid w:val="00C33C1F"/>
    <w:rsid w:val="00C33F5F"/>
    <w:rsid w:val="00C34270"/>
    <w:rsid w:val="00C3464D"/>
    <w:rsid w:val="00C349F8"/>
    <w:rsid w:val="00C35927"/>
    <w:rsid w:val="00C35DB6"/>
    <w:rsid w:val="00C36812"/>
    <w:rsid w:val="00C36F1C"/>
    <w:rsid w:val="00C3747C"/>
    <w:rsid w:val="00C376E9"/>
    <w:rsid w:val="00C37F0D"/>
    <w:rsid w:val="00C400D7"/>
    <w:rsid w:val="00C403AE"/>
    <w:rsid w:val="00C40471"/>
    <w:rsid w:val="00C40644"/>
    <w:rsid w:val="00C40C82"/>
    <w:rsid w:val="00C40CE4"/>
    <w:rsid w:val="00C40D34"/>
    <w:rsid w:val="00C40DEB"/>
    <w:rsid w:val="00C41233"/>
    <w:rsid w:val="00C412E9"/>
    <w:rsid w:val="00C417FA"/>
    <w:rsid w:val="00C4189D"/>
    <w:rsid w:val="00C41EA8"/>
    <w:rsid w:val="00C41F16"/>
    <w:rsid w:val="00C41F2A"/>
    <w:rsid w:val="00C41FA9"/>
    <w:rsid w:val="00C421E4"/>
    <w:rsid w:val="00C428D1"/>
    <w:rsid w:val="00C429D8"/>
    <w:rsid w:val="00C42F10"/>
    <w:rsid w:val="00C42FD4"/>
    <w:rsid w:val="00C43B1E"/>
    <w:rsid w:val="00C43C9F"/>
    <w:rsid w:val="00C43F82"/>
    <w:rsid w:val="00C44080"/>
    <w:rsid w:val="00C4414A"/>
    <w:rsid w:val="00C44235"/>
    <w:rsid w:val="00C44237"/>
    <w:rsid w:val="00C44583"/>
    <w:rsid w:val="00C44837"/>
    <w:rsid w:val="00C454AB"/>
    <w:rsid w:val="00C454E6"/>
    <w:rsid w:val="00C45508"/>
    <w:rsid w:val="00C45510"/>
    <w:rsid w:val="00C45DC6"/>
    <w:rsid w:val="00C45F9A"/>
    <w:rsid w:val="00C463C2"/>
    <w:rsid w:val="00C46721"/>
    <w:rsid w:val="00C46B7F"/>
    <w:rsid w:val="00C46C82"/>
    <w:rsid w:val="00C47017"/>
    <w:rsid w:val="00C472C3"/>
    <w:rsid w:val="00C476A1"/>
    <w:rsid w:val="00C4773A"/>
    <w:rsid w:val="00C47B87"/>
    <w:rsid w:val="00C503B7"/>
    <w:rsid w:val="00C50452"/>
    <w:rsid w:val="00C5062A"/>
    <w:rsid w:val="00C50C36"/>
    <w:rsid w:val="00C50ECF"/>
    <w:rsid w:val="00C50FB9"/>
    <w:rsid w:val="00C515AA"/>
    <w:rsid w:val="00C51B78"/>
    <w:rsid w:val="00C51D57"/>
    <w:rsid w:val="00C52486"/>
    <w:rsid w:val="00C52541"/>
    <w:rsid w:val="00C52638"/>
    <w:rsid w:val="00C52688"/>
    <w:rsid w:val="00C52793"/>
    <w:rsid w:val="00C52EA3"/>
    <w:rsid w:val="00C52F49"/>
    <w:rsid w:val="00C52F6D"/>
    <w:rsid w:val="00C52F85"/>
    <w:rsid w:val="00C530B9"/>
    <w:rsid w:val="00C53AE1"/>
    <w:rsid w:val="00C53C04"/>
    <w:rsid w:val="00C53CDD"/>
    <w:rsid w:val="00C53D5F"/>
    <w:rsid w:val="00C53F79"/>
    <w:rsid w:val="00C54528"/>
    <w:rsid w:val="00C5481D"/>
    <w:rsid w:val="00C54D77"/>
    <w:rsid w:val="00C550C2"/>
    <w:rsid w:val="00C5572A"/>
    <w:rsid w:val="00C557E2"/>
    <w:rsid w:val="00C55A59"/>
    <w:rsid w:val="00C55BD6"/>
    <w:rsid w:val="00C55C30"/>
    <w:rsid w:val="00C55DF0"/>
    <w:rsid w:val="00C56287"/>
    <w:rsid w:val="00C56807"/>
    <w:rsid w:val="00C5698C"/>
    <w:rsid w:val="00C56BBB"/>
    <w:rsid w:val="00C57419"/>
    <w:rsid w:val="00C57475"/>
    <w:rsid w:val="00C5754E"/>
    <w:rsid w:val="00C57749"/>
    <w:rsid w:val="00C5790E"/>
    <w:rsid w:val="00C57A1E"/>
    <w:rsid w:val="00C57D5A"/>
    <w:rsid w:val="00C57E7D"/>
    <w:rsid w:val="00C6018C"/>
    <w:rsid w:val="00C60B92"/>
    <w:rsid w:val="00C60DF7"/>
    <w:rsid w:val="00C613C2"/>
    <w:rsid w:val="00C614FD"/>
    <w:rsid w:val="00C61556"/>
    <w:rsid w:val="00C61766"/>
    <w:rsid w:val="00C61CE9"/>
    <w:rsid w:val="00C6217D"/>
    <w:rsid w:val="00C6230D"/>
    <w:rsid w:val="00C624BB"/>
    <w:rsid w:val="00C624FF"/>
    <w:rsid w:val="00C629F1"/>
    <w:rsid w:val="00C62AA7"/>
    <w:rsid w:val="00C62F25"/>
    <w:rsid w:val="00C62F3A"/>
    <w:rsid w:val="00C63218"/>
    <w:rsid w:val="00C63390"/>
    <w:rsid w:val="00C633A4"/>
    <w:rsid w:val="00C63779"/>
    <w:rsid w:val="00C639A3"/>
    <w:rsid w:val="00C63D11"/>
    <w:rsid w:val="00C63D80"/>
    <w:rsid w:val="00C63EFC"/>
    <w:rsid w:val="00C6458E"/>
    <w:rsid w:val="00C645A4"/>
    <w:rsid w:val="00C647E6"/>
    <w:rsid w:val="00C649F1"/>
    <w:rsid w:val="00C64A6D"/>
    <w:rsid w:val="00C64B7C"/>
    <w:rsid w:val="00C64CEA"/>
    <w:rsid w:val="00C64D71"/>
    <w:rsid w:val="00C64E98"/>
    <w:rsid w:val="00C65035"/>
    <w:rsid w:val="00C650A1"/>
    <w:rsid w:val="00C65512"/>
    <w:rsid w:val="00C65579"/>
    <w:rsid w:val="00C6590E"/>
    <w:rsid w:val="00C65B10"/>
    <w:rsid w:val="00C65B96"/>
    <w:rsid w:val="00C65D2D"/>
    <w:rsid w:val="00C66553"/>
    <w:rsid w:val="00C665B5"/>
    <w:rsid w:val="00C66687"/>
    <w:rsid w:val="00C66A4A"/>
    <w:rsid w:val="00C66B06"/>
    <w:rsid w:val="00C67280"/>
    <w:rsid w:val="00C6766C"/>
    <w:rsid w:val="00C7001E"/>
    <w:rsid w:val="00C7024E"/>
    <w:rsid w:val="00C706D1"/>
    <w:rsid w:val="00C70A4A"/>
    <w:rsid w:val="00C70AD2"/>
    <w:rsid w:val="00C70B55"/>
    <w:rsid w:val="00C712AE"/>
    <w:rsid w:val="00C71867"/>
    <w:rsid w:val="00C71A51"/>
    <w:rsid w:val="00C71DEF"/>
    <w:rsid w:val="00C72000"/>
    <w:rsid w:val="00C72158"/>
    <w:rsid w:val="00C722C1"/>
    <w:rsid w:val="00C727E6"/>
    <w:rsid w:val="00C72A1C"/>
    <w:rsid w:val="00C72C3F"/>
    <w:rsid w:val="00C73035"/>
    <w:rsid w:val="00C7303C"/>
    <w:rsid w:val="00C73456"/>
    <w:rsid w:val="00C73924"/>
    <w:rsid w:val="00C73D0E"/>
    <w:rsid w:val="00C73E39"/>
    <w:rsid w:val="00C73F07"/>
    <w:rsid w:val="00C74523"/>
    <w:rsid w:val="00C74609"/>
    <w:rsid w:val="00C749A2"/>
    <w:rsid w:val="00C74CD4"/>
    <w:rsid w:val="00C74CFB"/>
    <w:rsid w:val="00C74D90"/>
    <w:rsid w:val="00C750C5"/>
    <w:rsid w:val="00C752E4"/>
    <w:rsid w:val="00C75612"/>
    <w:rsid w:val="00C75A90"/>
    <w:rsid w:val="00C75B41"/>
    <w:rsid w:val="00C75BE5"/>
    <w:rsid w:val="00C75DA0"/>
    <w:rsid w:val="00C75F26"/>
    <w:rsid w:val="00C760F2"/>
    <w:rsid w:val="00C76221"/>
    <w:rsid w:val="00C76916"/>
    <w:rsid w:val="00C76BAA"/>
    <w:rsid w:val="00C76DF6"/>
    <w:rsid w:val="00C76EE3"/>
    <w:rsid w:val="00C771D2"/>
    <w:rsid w:val="00C771D3"/>
    <w:rsid w:val="00C77641"/>
    <w:rsid w:val="00C77751"/>
    <w:rsid w:val="00C7779A"/>
    <w:rsid w:val="00C77A6A"/>
    <w:rsid w:val="00C77FCB"/>
    <w:rsid w:val="00C80735"/>
    <w:rsid w:val="00C80789"/>
    <w:rsid w:val="00C809D4"/>
    <w:rsid w:val="00C80B69"/>
    <w:rsid w:val="00C80D0E"/>
    <w:rsid w:val="00C81278"/>
    <w:rsid w:val="00C812FB"/>
    <w:rsid w:val="00C81BF6"/>
    <w:rsid w:val="00C81E73"/>
    <w:rsid w:val="00C823DA"/>
    <w:rsid w:val="00C82962"/>
    <w:rsid w:val="00C82981"/>
    <w:rsid w:val="00C82B1E"/>
    <w:rsid w:val="00C82CE6"/>
    <w:rsid w:val="00C82EF0"/>
    <w:rsid w:val="00C82F19"/>
    <w:rsid w:val="00C83266"/>
    <w:rsid w:val="00C8334D"/>
    <w:rsid w:val="00C83372"/>
    <w:rsid w:val="00C83AB0"/>
    <w:rsid w:val="00C83B23"/>
    <w:rsid w:val="00C84649"/>
    <w:rsid w:val="00C849F2"/>
    <w:rsid w:val="00C84EB4"/>
    <w:rsid w:val="00C851A0"/>
    <w:rsid w:val="00C8543F"/>
    <w:rsid w:val="00C85A9F"/>
    <w:rsid w:val="00C85CBF"/>
    <w:rsid w:val="00C85F10"/>
    <w:rsid w:val="00C85FA6"/>
    <w:rsid w:val="00C8610F"/>
    <w:rsid w:val="00C86592"/>
    <w:rsid w:val="00C86DE5"/>
    <w:rsid w:val="00C86E90"/>
    <w:rsid w:val="00C86F07"/>
    <w:rsid w:val="00C876DC"/>
    <w:rsid w:val="00C878D6"/>
    <w:rsid w:val="00C87D05"/>
    <w:rsid w:val="00C87F06"/>
    <w:rsid w:val="00C90363"/>
    <w:rsid w:val="00C90547"/>
    <w:rsid w:val="00C90666"/>
    <w:rsid w:val="00C908FB"/>
    <w:rsid w:val="00C90BEF"/>
    <w:rsid w:val="00C90F5C"/>
    <w:rsid w:val="00C90FE7"/>
    <w:rsid w:val="00C9102A"/>
    <w:rsid w:val="00C91B43"/>
    <w:rsid w:val="00C91D6B"/>
    <w:rsid w:val="00C91EDC"/>
    <w:rsid w:val="00C92144"/>
    <w:rsid w:val="00C925DF"/>
    <w:rsid w:val="00C925FF"/>
    <w:rsid w:val="00C92696"/>
    <w:rsid w:val="00C926C5"/>
    <w:rsid w:val="00C92D70"/>
    <w:rsid w:val="00C930DA"/>
    <w:rsid w:val="00C93474"/>
    <w:rsid w:val="00C93DD3"/>
    <w:rsid w:val="00C9405E"/>
    <w:rsid w:val="00C944E2"/>
    <w:rsid w:val="00C946F9"/>
    <w:rsid w:val="00C948C3"/>
    <w:rsid w:val="00C94D95"/>
    <w:rsid w:val="00C95086"/>
    <w:rsid w:val="00C952FB"/>
    <w:rsid w:val="00C95562"/>
    <w:rsid w:val="00C95770"/>
    <w:rsid w:val="00C95975"/>
    <w:rsid w:val="00C95B7F"/>
    <w:rsid w:val="00C95C17"/>
    <w:rsid w:val="00C95ED8"/>
    <w:rsid w:val="00C95FDD"/>
    <w:rsid w:val="00C9639C"/>
    <w:rsid w:val="00C96737"/>
    <w:rsid w:val="00C96D84"/>
    <w:rsid w:val="00C97455"/>
    <w:rsid w:val="00C97566"/>
    <w:rsid w:val="00CA06FD"/>
    <w:rsid w:val="00CA0924"/>
    <w:rsid w:val="00CA0BE6"/>
    <w:rsid w:val="00CA0CE4"/>
    <w:rsid w:val="00CA0DCD"/>
    <w:rsid w:val="00CA11A3"/>
    <w:rsid w:val="00CA1387"/>
    <w:rsid w:val="00CA1B62"/>
    <w:rsid w:val="00CA1D48"/>
    <w:rsid w:val="00CA1E38"/>
    <w:rsid w:val="00CA1F26"/>
    <w:rsid w:val="00CA1F30"/>
    <w:rsid w:val="00CA284B"/>
    <w:rsid w:val="00CA2BC4"/>
    <w:rsid w:val="00CA2D7C"/>
    <w:rsid w:val="00CA2DB3"/>
    <w:rsid w:val="00CA308D"/>
    <w:rsid w:val="00CA336F"/>
    <w:rsid w:val="00CA3524"/>
    <w:rsid w:val="00CA389E"/>
    <w:rsid w:val="00CA3BCE"/>
    <w:rsid w:val="00CA3D18"/>
    <w:rsid w:val="00CA3E36"/>
    <w:rsid w:val="00CA412A"/>
    <w:rsid w:val="00CA416B"/>
    <w:rsid w:val="00CA4782"/>
    <w:rsid w:val="00CA47A1"/>
    <w:rsid w:val="00CA4C0F"/>
    <w:rsid w:val="00CA4CD8"/>
    <w:rsid w:val="00CA4FB1"/>
    <w:rsid w:val="00CA51A1"/>
    <w:rsid w:val="00CA51BB"/>
    <w:rsid w:val="00CA5215"/>
    <w:rsid w:val="00CA5407"/>
    <w:rsid w:val="00CA5439"/>
    <w:rsid w:val="00CA54CE"/>
    <w:rsid w:val="00CA55E7"/>
    <w:rsid w:val="00CA5DC8"/>
    <w:rsid w:val="00CA601E"/>
    <w:rsid w:val="00CA644B"/>
    <w:rsid w:val="00CA64B4"/>
    <w:rsid w:val="00CA6613"/>
    <w:rsid w:val="00CA671F"/>
    <w:rsid w:val="00CA675C"/>
    <w:rsid w:val="00CA688C"/>
    <w:rsid w:val="00CA6C54"/>
    <w:rsid w:val="00CA6DA9"/>
    <w:rsid w:val="00CA6E7E"/>
    <w:rsid w:val="00CA7019"/>
    <w:rsid w:val="00CA72FF"/>
    <w:rsid w:val="00CA735A"/>
    <w:rsid w:val="00CA77B7"/>
    <w:rsid w:val="00CA7C14"/>
    <w:rsid w:val="00CA7F05"/>
    <w:rsid w:val="00CB0232"/>
    <w:rsid w:val="00CB0661"/>
    <w:rsid w:val="00CB0811"/>
    <w:rsid w:val="00CB0CCD"/>
    <w:rsid w:val="00CB0D68"/>
    <w:rsid w:val="00CB0E54"/>
    <w:rsid w:val="00CB1212"/>
    <w:rsid w:val="00CB1351"/>
    <w:rsid w:val="00CB17BB"/>
    <w:rsid w:val="00CB1EFD"/>
    <w:rsid w:val="00CB2062"/>
    <w:rsid w:val="00CB2155"/>
    <w:rsid w:val="00CB21F3"/>
    <w:rsid w:val="00CB2DD7"/>
    <w:rsid w:val="00CB2EA5"/>
    <w:rsid w:val="00CB2FB0"/>
    <w:rsid w:val="00CB2FC1"/>
    <w:rsid w:val="00CB30AC"/>
    <w:rsid w:val="00CB32D0"/>
    <w:rsid w:val="00CB332D"/>
    <w:rsid w:val="00CB338D"/>
    <w:rsid w:val="00CB33A5"/>
    <w:rsid w:val="00CB33C9"/>
    <w:rsid w:val="00CB3504"/>
    <w:rsid w:val="00CB37CB"/>
    <w:rsid w:val="00CB38B7"/>
    <w:rsid w:val="00CB42E3"/>
    <w:rsid w:val="00CB4578"/>
    <w:rsid w:val="00CB4932"/>
    <w:rsid w:val="00CB50E6"/>
    <w:rsid w:val="00CB5375"/>
    <w:rsid w:val="00CB55AB"/>
    <w:rsid w:val="00CB596B"/>
    <w:rsid w:val="00CB5B35"/>
    <w:rsid w:val="00CB5C62"/>
    <w:rsid w:val="00CB5DB1"/>
    <w:rsid w:val="00CB6054"/>
    <w:rsid w:val="00CB6059"/>
    <w:rsid w:val="00CB633B"/>
    <w:rsid w:val="00CB64F2"/>
    <w:rsid w:val="00CB6645"/>
    <w:rsid w:val="00CB6CA7"/>
    <w:rsid w:val="00CB6DBF"/>
    <w:rsid w:val="00CB6F06"/>
    <w:rsid w:val="00CB719A"/>
    <w:rsid w:val="00CB754F"/>
    <w:rsid w:val="00CB77B4"/>
    <w:rsid w:val="00CB7B89"/>
    <w:rsid w:val="00CC0254"/>
    <w:rsid w:val="00CC04AB"/>
    <w:rsid w:val="00CC052B"/>
    <w:rsid w:val="00CC0B4D"/>
    <w:rsid w:val="00CC0EF6"/>
    <w:rsid w:val="00CC13E6"/>
    <w:rsid w:val="00CC1A69"/>
    <w:rsid w:val="00CC1D96"/>
    <w:rsid w:val="00CC22DA"/>
    <w:rsid w:val="00CC2680"/>
    <w:rsid w:val="00CC2726"/>
    <w:rsid w:val="00CC2CF4"/>
    <w:rsid w:val="00CC2D98"/>
    <w:rsid w:val="00CC30E9"/>
    <w:rsid w:val="00CC3148"/>
    <w:rsid w:val="00CC3839"/>
    <w:rsid w:val="00CC3854"/>
    <w:rsid w:val="00CC3BFA"/>
    <w:rsid w:val="00CC3FB7"/>
    <w:rsid w:val="00CC495C"/>
    <w:rsid w:val="00CC4C0D"/>
    <w:rsid w:val="00CC50B1"/>
    <w:rsid w:val="00CC51CB"/>
    <w:rsid w:val="00CC53B2"/>
    <w:rsid w:val="00CC53FB"/>
    <w:rsid w:val="00CC549B"/>
    <w:rsid w:val="00CC5945"/>
    <w:rsid w:val="00CC595C"/>
    <w:rsid w:val="00CC598C"/>
    <w:rsid w:val="00CC59DA"/>
    <w:rsid w:val="00CC5C6A"/>
    <w:rsid w:val="00CC5D1D"/>
    <w:rsid w:val="00CC62B7"/>
    <w:rsid w:val="00CC6586"/>
    <w:rsid w:val="00CC6926"/>
    <w:rsid w:val="00CC6AA3"/>
    <w:rsid w:val="00CC6B22"/>
    <w:rsid w:val="00CC6B95"/>
    <w:rsid w:val="00CC6FEF"/>
    <w:rsid w:val="00CC7E5B"/>
    <w:rsid w:val="00CD0478"/>
    <w:rsid w:val="00CD05BB"/>
    <w:rsid w:val="00CD0948"/>
    <w:rsid w:val="00CD0A66"/>
    <w:rsid w:val="00CD13A0"/>
    <w:rsid w:val="00CD1441"/>
    <w:rsid w:val="00CD15C0"/>
    <w:rsid w:val="00CD15F2"/>
    <w:rsid w:val="00CD161D"/>
    <w:rsid w:val="00CD16AD"/>
    <w:rsid w:val="00CD1A1B"/>
    <w:rsid w:val="00CD1F47"/>
    <w:rsid w:val="00CD1F53"/>
    <w:rsid w:val="00CD26CA"/>
    <w:rsid w:val="00CD2B5D"/>
    <w:rsid w:val="00CD2C48"/>
    <w:rsid w:val="00CD2CAE"/>
    <w:rsid w:val="00CD2F74"/>
    <w:rsid w:val="00CD3078"/>
    <w:rsid w:val="00CD3390"/>
    <w:rsid w:val="00CD33AC"/>
    <w:rsid w:val="00CD368C"/>
    <w:rsid w:val="00CD398D"/>
    <w:rsid w:val="00CD3CCC"/>
    <w:rsid w:val="00CD42FA"/>
    <w:rsid w:val="00CD4958"/>
    <w:rsid w:val="00CD4B3F"/>
    <w:rsid w:val="00CD4C20"/>
    <w:rsid w:val="00CD50C6"/>
    <w:rsid w:val="00CD50F8"/>
    <w:rsid w:val="00CD51A6"/>
    <w:rsid w:val="00CD53E9"/>
    <w:rsid w:val="00CD56C9"/>
    <w:rsid w:val="00CD5C37"/>
    <w:rsid w:val="00CD5FB7"/>
    <w:rsid w:val="00CD6048"/>
    <w:rsid w:val="00CD633A"/>
    <w:rsid w:val="00CD6695"/>
    <w:rsid w:val="00CD66AF"/>
    <w:rsid w:val="00CD66F7"/>
    <w:rsid w:val="00CD698F"/>
    <w:rsid w:val="00CD6D97"/>
    <w:rsid w:val="00CD6DFA"/>
    <w:rsid w:val="00CD6F7B"/>
    <w:rsid w:val="00CD7061"/>
    <w:rsid w:val="00CD7364"/>
    <w:rsid w:val="00CD737E"/>
    <w:rsid w:val="00CD738A"/>
    <w:rsid w:val="00CD739B"/>
    <w:rsid w:val="00CD762E"/>
    <w:rsid w:val="00CD7636"/>
    <w:rsid w:val="00CD7A33"/>
    <w:rsid w:val="00CD7A37"/>
    <w:rsid w:val="00CE01FE"/>
    <w:rsid w:val="00CE028A"/>
    <w:rsid w:val="00CE06C7"/>
    <w:rsid w:val="00CE07EB"/>
    <w:rsid w:val="00CE09A6"/>
    <w:rsid w:val="00CE0CA7"/>
    <w:rsid w:val="00CE0D54"/>
    <w:rsid w:val="00CE0DDD"/>
    <w:rsid w:val="00CE0F36"/>
    <w:rsid w:val="00CE14D2"/>
    <w:rsid w:val="00CE196C"/>
    <w:rsid w:val="00CE1B8D"/>
    <w:rsid w:val="00CE1F17"/>
    <w:rsid w:val="00CE1F87"/>
    <w:rsid w:val="00CE2434"/>
    <w:rsid w:val="00CE2A1B"/>
    <w:rsid w:val="00CE2A58"/>
    <w:rsid w:val="00CE2A9D"/>
    <w:rsid w:val="00CE2ACD"/>
    <w:rsid w:val="00CE2B37"/>
    <w:rsid w:val="00CE3362"/>
    <w:rsid w:val="00CE3A7E"/>
    <w:rsid w:val="00CE3C5B"/>
    <w:rsid w:val="00CE3CD0"/>
    <w:rsid w:val="00CE44FC"/>
    <w:rsid w:val="00CE4811"/>
    <w:rsid w:val="00CE4D93"/>
    <w:rsid w:val="00CE4F32"/>
    <w:rsid w:val="00CE51CD"/>
    <w:rsid w:val="00CE607F"/>
    <w:rsid w:val="00CE66D9"/>
    <w:rsid w:val="00CE66F9"/>
    <w:rsid w:val="00CE6843"/>
    <w:rsid w:val="00CE68C8"/>
    <w:rsid w:val="00CE6A4A"/>
    <w:rsid w:val="00CE6A89"/>
    <w:rsid w:val="00CE6D28"/>
    <w:rsid w:val="00CE6EF7"/>
    <w:rsid w:val="00CE725D"/>
    <w:rsid w:val="00CE72A9"/>
    <w:rsid w:val="00CE736C"/>
    <w:rsid w:val="00CE78B6"/>
    <w:rsid w:val="00CE7AB0"/>
    <w:rsid w:val="00CE7B0B"/>
    <w:rsid w:val="00CE7D26"/>
    <w:rsid w:val="00CE7FD8"/>
    <w:rsid w:val="00CF024B"/>
    <w:rsid w:val="00CF033C"/>
    <w:rsid w:val="00CF0380"/>
    <w:rsid w:val="00CF0BBD"/>
    <w:rsid w:val="00CF0D04"/>
    <w:rsid w:val="00CF0F02"/>
    <w:rsid w:val="00CF108C"/>
    <w:rsid w:val="00CF119F"/>
    <w:rsid w:val="00CF1508"/>
    <w:rsid w:val="00CF17B1"/>
    <w:rsid w:val="00CF17F2"/>
    <w:rsid w:val="00CF1878"/>
    <w:rsid w:val="00CF1B17"/>
    <w:rsid w:val="00CF1B50"/>
    <w:rsid w:val="00CF1D52"/>
    <w:rsid w:val="00CF1ECD"/>
    <w:rsid w:val="00CF24EE"/>
    <w:rsid w:val="00CF2535"/>
    <w:rsid w:val="00CF27C0"/>
    <w:rsid w:val="00CF2AA6"/>
    <w:rsid w:val="00CF2B04"/>
    <w:rsid w:val="00CF2B5A"/>
    <w:rsid w:val="00CF2E5A"/>
    <w:rsid w:val="00CF316A"/>
    <w:rsid w:val="00CF3260"/>
    <w:rsid w:val="00CF3388"/>
    <w:rsid w:val="00CF33E2"/>
    <w:rsid w:val="00CF3A51"/>
    <w:rsid w:val="00CF3B80"/>
    <w:rsid w:val="00CF3CB3"/>
    <w:rsid w:val="00CF3F29"/>
    <w:rsid w:val="00CF4432"/>
    <w:rsid w:val="00CF455D"/>
    <w:rsid w:val="00CF4AA4"/>
    <w:rsid w:val="00CF52D1"/>
    <w:rsid w:val="00CF5477"/>
    <w:rsid w:val="00CF5BB2"/>
    <w:rsid w:val="00CF5D87"/>
    <w:rsid w:val="00CF5F0D"/>
    <w:rsid w:val="00CF63C8"/>
    <w:rsid w:val="00CF6504"/>
    <w:rsid w:val="00CF6555"/>
    <w:rsid w:val="00CF66F8"/>
    <w:rsid w:val="00CF6896"/>
    <w:rsid w:val="00CF6CF5"/>
    <w:rsid w:val="00CF6E95"/>
    <w:rsid w:val="00CF73BE"/>
    <w:rsid w:val="00CF7555"/>
    <w:rsid w:val="00CF795C"/>
    <w:rsid w:val="00CF7DB2"/>
    <w:rsid w:val="00CF7E90"/>
    <w:rsid w:val="00D0046B"/>
    <w:rsid w:val="00D0057D"/>
    <w:rsid w:val="00D00980"/>
    <w:rsid w:val="00D00B07"/>
    <w:rsid w:val="00D00CCA"/>
    <w:rsid w:val="00D00E63"/>
    <w:rsid w:val="00D01418"/>
    <w:rsid w:val="00D0143E"/>
    <w:rsid w:val="00D016A4"/>
    <w:rsid w:val="00D0181A"/>
    <w:rsid w:val="00D0191A"/>
    <w:rsid w:val="00D01FE8"/>
    <w:rsid w:val="00D022A0"/>
    <w:rsid w:val="00D02422"/>
    <w:rsid w:val="00D02624"/>
    <w:rsid w:val="00D026E7"/>
    <w:rsid w:val="00D028DD"/>
    <w:rsid w:val="00D02BDD"/>
    <w:rsid w:val="00D02EED"/>
    <w:rsid w:val="00D03422"/>
    <w:rsid w:val="00D03447"/>
    <w:rsid w:val="00D0349B"/>
    <w:rsid w:val="00D034AF"/>
    <w:rsid w:val="00D0358B"/>
    <w:rsid w:val="00D039EF"/>
    <w:rsid w:val="00D03D99"/>
    <w:rsid w:val="00D03EE5"/>
    <w:rsid w:val="00D0403E"/>
    <w:rsid w:val="00D0416E"/>
    <w:rsid w:val="00D041D4"/>
    <w:rsid w:val="00D044AA"/>
    <w:rsid w:val="00D04848"/>
    <w:rsid w:val="00D04921"/>
    <w:rsid w:val="00D04BDD"/>
    <w:rsid w:val="00D05195"/>
    <w:rsid w:val="00D053CD"/>
    <w:rsid w:val="00D054D9"/>
    <w:rsid w:val="00D0551A"/>
    <w:rsid w:val="00D055DA"/>
    <w:rsid w:val="00D055EE"/>
    <w:rsid w:val="00D0588F"/>
    <w:rsid w:val="00D05DB0"/>
    <w:rsid w:val="00D05E58"/>
    <w:rsid w:val="00D06376"/>
    <w:rsid w:val="00D066F0"/>
    <w:rsid w:val="00D06C6D"/>
    <w:rsid w:val="00D07689"/>
    <w:rsid w:val="00D07986"/>
    <w:rsid w:val="00D10045"/>
    <w:rsid w:val="00D10459"/>
    <w:rsid w:val="00D1049C"/>
    <w:rsid w:val="00D10950"/>
    <w:rsid w:val="00D10D39"/>
    <w:rsid w:val="00D1142E"/>
    <w:rsid w:val="00D11B41"/>
    <w:rsid w:val="00D11C53"/>
    <w:rsid w:val="00D11C69"/>
    <w:rsid w:val="00D11D36"/>
    <w:rsid w:val="00D11DCE"/>
    <w:rsid w:val="00D11F15"/>
    <w:rsid w:val="00D12039"/>
    <w:rsid w:val="00D1234D"/>
    <w:rsid w:val="00D1241A"/>
    <w:rsid w:val="00D1250E"/>
    <w:rsid w:val="00D12634"/>
    <w:rsid w:val="00D12797"/>
    <w:rsid w:val="00D1296C"/>
    <w:rsid w:val="00D12AF1"/>
    <w:rsid w:val="00D13097"/>
    <w:rsid w:val="00D13322"/>
    <w:rsid w:val="00D13BDE"/>
    <w:rsid w:val="00D13C79"/>
    <w:rsid w:val="00D13D05"/>
    <w:rsid w:val="00D13D12"/>
    <w:rsid w:val="00D1408B"/>
    <w:rsid w:val="00D140B8"/>
    <w:rsid w:val="00D1437D"/>
    <w:rsid w:val="00D1450A"/>
    <w:rsid w:val="00D14965"/>
    <w:rsid w:val="00D15241"/>
    <w:rsid w:val="00D153B3"/>
    <w:rsid w:val="00D153F7"/>
    <w:rsid w:val="00D1542E"/>
    <w:rsid w:val="00D15E03"/>
    <w:rsid w:val="00D15E91"/>
    <w:rsid w:val="00D160B4"/>
    <w:rsid w:val="00D16338"/>
    <w:rsid w:val="00D1663C"/>
    <w:rsid w:val="00D1666A"/>
    <w:rsid w:val="00D16672"/>
    <w:rsid w:val="00D166B3"/>
    <w:rsid w:val="00D16A8E"/>
    <w:rsid w:val="00D16EF2"/>
    <w:rsid w:val="00D16F31"/>
    <w:rsid w:val="00D17243"/>
    <w:rsid w:val="00D173E7"/>
    <w:rsid w:val="00D1768B"/>
    <w:rsid w:val="00D17837"/>
    <w:rsid w:val="00D1787D"/>
    <w:rsid w:val="00D179A3"/>
    <w:rsid w:val="00D17F6A"/>
    <w:rsid w:val="00D2046F"/>
    <w:rsid w:val="00D205F8"/>
    <w:rsid w:val="00D2066E"/>
    <w:rsid w:val="00D20746"/>
    <w:rsid w:val="00D209F1"/>
    <w:rsid w:val="00D20A01"/>
    <w:rsid w:val="00D20B78"/>
    <w:rsid w:val="00D20EE1"/>
    <w:rsid w:val="00D2115E"/>
    <w:rsid w:val="00D21414"/>
    <w:rsid w:val="00D21E6B"/>
    <w:rsid w:val="00D22019"/>
    <w:rsid w:val="00D22239"/>
    <w:rsid w:val="00D224A2"/>
    <w:rsid w:val="00D22500"/>
    <w:rsid w:val="00D22D1C"/>
    <w:rsid w:val="00D22D2A"/>
    <w:rsid w:val="00D22D85"/>
    <w:rsid w:val="00D22DB3"/>
    <w:rsid w:val="00D22DC3"/>
    <w:rsid w:val="00D22E57"/>
    <w:rsid w:val="00D234BA"/>
    <w:rsid w:val="00D2376C"/>
    <w:rsid w:val="00D23965"/>
    <w:rsid w:val="00D23973"/>
    <w:rsid w:val="00D23E2D"/>
    <w:rsid w:val="00D24337"/>
    <w:rsid w:val="00D2472B"/>
    <w:rsid w:val="00D24826"/>
    <w:rsid w:val="00D25514"/>
    <w:rsid w:val="00D2552A"/>
    <w:rsid w:val="00D258A4"/>
    <w:rsid w:val="00D25B3D"/>
    <w:rsid w:val="00D25FB3"/>
    <w:rsid w:val="00D262A6"/>
    <w:rsid w:val="00D2636F"/>
    <w:rsid w:val="00D26729"/>
    <w:rsid w:val="00D268D5"/>
    <w:rsid w:val="00D26B28"/>
    <w:rsid w:val="00D26ECC"/>
    <w:rsid w:val="00D27110"/>
    <w:rsid w:val="00D27495"/>
    <w:rsid w:val="00D27893"/>
    <w:rsid w:val="00D27FA7"/>
    <w:rsid w:val="00D30065"/>
    <w:rsid w:val="00D3033E"/>
    <w:rsid w:val="00D30B9A"/>
    <w:rsid w:val="00D30C6A"/>
    <w:rsid w:val="00D30C8E"/>
    <w:rsid w:val="00D30D84"/>
    <w:rsid w:val="00D30E61"/>
    <w:rsid w:val="00D3128B"/>
    <w:rsid w:val="00D314A0"/>
    <w:rsid w:val="00D31593"/>
    <w:rsid w:val="00D317DD"/>
    <w:rsid w:val="00D31922"/>
    <w:rsid w:val="00D31C1F"/>
    <w:rsid w:val="00D31C89"/>
    <w:rsid w:val="00D32347"/>
    <w:rsid w:val="00D32385"/>
    <w:rsid w:val="00D324F5"/>
    <w:rsid w:val="00D326FD"/>
    <w:rsid w:val="00D32C81"/>
    <w:rsid w:val="00D33106"/>
    <w:rsid w:val="00D331DE"/>
    <w:rsid w:val="00D333E7"/>
    <w:rsid w:val="00D3340C"/>
    <w:rsid w:val="00D33B78"/>
    <w:rsid w:val="00D33D9A"/>
    <w:rsid w:val="00D34063"/>
    <w:rsid w:val="00D340DE"/>
    <w:rsid w:val="00D34AB0"/>
    <w:rsid w:val="00D34BF6"/>
    <w:rsid w:val="00D34DC6"/>
    <w:rsid w:val="00D3505A"/>
    <w:rsid w:val="00D356F6"/>
    <w:rsid w:val="00D358D8"/>
    <w:rsid w:val="00D35D72"/>
    <w:rsid w:val="00D35DA6"/>
    <w:rsid w:val="00D35F49"/>
    <w:rsid w:val="00D3605C"/>
    <w:rsid w:val="00D36093"/>
    <w:rsid w:val="00D361CD"/>
    <w:rsid w:val="00D36530"/>
    <w:rsid w:val="00D367AD"/>
    <w:rsid w:val="00D36B67"/>
    <w:rsid w:val="00D375F8"/>
    <w:rsid w:val="00D37880"/>
    <w:rsid w:val="00D379C1"/>
    <w:rsid w:val="00D4054B"/>
    <w:rsid w:val="00D4067A"/>
    <w:rsid w:val="00D407EC"/>
    <w:rsid w:val="00D40848"/>
    <w:rsid w:val="00D40A02"/>
    <w:rsid w:val="00D40D02"/>
    <w:rsid w:val="00D40E05"/>
    <w:rsid w:val="00D40F81"/>
    <w:rsid w:val="00D4156C"/>
    <w:rsid w:val="00D41C18"/>
    <w:rsid w:val="00D41C24"/>
    <w:rsid w:val="00D422AA"/>
    <w:rsid w:val="00D42BF6"/>
    <w:rsid w:val="00D42C6A"/>
    <w:rsid w:val="00D42E1B"/>
    <w:rsid w:val="00D433FB"/>
    <w:rsid w:val="00D4341C"/>
    <w:rsid w:val="00D43442"/>
    <w:rsid w:val="00D43464"/>
    <w:rsid w:val="00D43626"/>
    <w:rsid w:val="00D43671"/>
    <w:rsid w:val="00D43C3F"/>
    <w:rsid w:val="00D44086"/>
    <w:rsid w:val="00D44293"/>
    <w:rsid w:val="00D44433"/>
    <w:rsid w:val="00D447ED"/>
    <w:rsid w:val="00D44C48"/>
    <w:rsid w:val="00D44E07"/>
    <w:rsid w:val="00D44E49"/>
    <w:rsid w:val="00D44EB8"/>
    <w:rsid w:val="00D44F01"/>
    <w:rsid w:val="00D44F87"/>
    <w:rsid w:val="00D450F8"/>
    <w:rsid w:val="00D45344"/>
    <w:rsid w:val="00D4537B"/>
    <w:rsid w:val="00D45438"/>
    <w:rsid w:val="00D454BB"/>
    <w:rsid w:val="00D45AFD"/>
    <w:rsid w:val="00D4624B"/>
    <w:rsid w:val="00D462C5"/>
    <w:rsid w:val="00D463CF"/>
    <w:rsid w:val="00D46918"/>
    <w:rsid w:val="00D47154"/>
    <w:rsid w:val="00D47AE8"/>
    <w:rsid w:val="00D47B96"/>
    <w:rsid w:val="00D47CAE"/>
    <w:rsid w:val="00D47D92"/>
    <w:rsid w:val="00D5003A"/>
    <w:rsid w:val="00D500A7"/>
    <w:rsid w:val="00D5034C"/>
    <w:rsid w:val="00D5063D"/>
    <w:rsid w:val="00D507D5"/>
    <w:rsid w:val="00D50944"/>
    <w:rsid w:val="00D50AF5"/>
    <w:rsid w:val="00D50B82"/>
    <w:rsid w:val="00D50C45"/>
    <w:rsid w:val="00D50CDE"/>
    <w:rsid w:val="00D5125A"/>
    <w:rsid w:val="00D5128A"/>
    <w:rsid w:val="00D51578"/>
    <w:rsid w:val="00D51762"/>
    <w:rsid w:val="00D5182C"/>
    <w:rsid w:val="00D51C99"/>
    <w:rsid w:val="00D52851"/>
    <w:rsid w:val="00D52852"/>
    <w:rsid w:val="00D52935"/>
    <w:rsid w:val="00D52A7F"/>
    <w:rsid w:val="00D52E55"/>
    <w:rsid w:val="00D53351"/>
    <w:rsid w:val="00D53840"/>
    <w:rsid w:val="00D538FA"/>
    <w:rsid w:val="00D53BA4"/>
    <w:rsid w:val="00D53D73"/>
    <w:rsid w:val="00D543C0"/>
    <w:rsid w:val="00D54EFB"/>
    <w:rsid w:val="00D55844"/>
    <w:rsid w:val="00D55858"/>
    <w:rsid w:val="00D55E0B"/>
    <w:rsid w:val="00D561BA"/>
    <w:rsid w:val="00D561E1"/>
    <w:rsid w:val="00D56375"/>
    <w:rsid w:val="00D5663B"/>
    <w:rsid w:val="00D569BA"/>
    <w:rsid w:val="00D56D5C"/>
    <w:rsid w:val="00D56DF2"/>
    <w:rsid w:val="00D572DA"/>
    <w:rsid w:val="00D576FF"/>
    <w:rsid w:val="00D577E3"/>
    <w:rsid w:val="00D57E89"/>
    <w:rsid w:val="00D57FF0"/>
    <w:rsid w:val="00D60A4D"/>
    <w:rsid w:val="00D60AE0"/>
    <w:rsid w:val="00D60C76"/>
    <w:rsid w:val="00D60EEB"/>
    <w:rsid w:val="00D60EF5"/>
    <w:rsid w:val="00D61164"/>
    <w:rsid w:val="00D61954"/>
    <w:rsid w:val="00D61997"/>
    <w:rsid w:val="00D61D0F"/>
    <w:rsid w:val="00D6211F"/>
    <w:rsid w:val="00D62196"/>
    <w:rsid w:val="00D624B5"/>
    <w:rsid w:val="00D629F2"/>
    <w:rsid w:val="00D62C5F"/>
    <w:rsid w:val="00D62F8E"/>
    <w:rsid w:val="00D630E6"/>
    <w:rsid w:val="00D634E1"/>
    <w:rsid w:val="00D636BD"/>
    <w:rsid w:val="00D6394E"/>
    <w:rsid w:val="00D63C23"/>
    <w:rsid w:val="00D63F1B"/>
    <w:rsid w:val="00D64089"/>
    <w:rsid w:val="00D642DD"/>
    <w:rsid w:val="00D6438F"/>
    <w:rsid w:val="00D64811"/>
    <w:rsid w:val="00D64A1D"/>
    <w:rsid w:val="00D64CBC"/>
    <w:rsid w:val="00D64E81"/>
    <w:rsid w:val="00D64F2F"/>
    <w:rsid w:val="00D64F5B"/>
    <w:rsid w:val="00D651E5"/>
    <w:rsid w:val="00D65D1C"/>
    <w:rsid w:val="00D65ED4"/>
    <w:rsid w:val="00D6600A"/>
    <w:rsid w:val="00D660C3"/>
    <w:rsid w:val="00D661C8"/>
    <w:rsid w:val="00D66305"/>
    <w:rsid w:val="00D66950"/>
    <w:rsid w:val="00D67701"/>
    <w:rsid w:val="00D677FE"/>
    <w:rsid w:val="00D67AF8"/>
    <w:rsid w:val="00D67BBA"/>
    <w:rsid w:val="00D7045F"/>
    <w:rsid w:val="00D7064F"/>
    <w:rsid w:val="00D7069A"/>
    <w:rsid w:val="00D70703"/>
    <w:rsid w:val="00D70C70"/>
    <w:rsid w:val="00D70C87"/>
    <w:rsid w:val="00D714D4"/>
    <w:rsid w:val="00D719C3"/>
    <w:rsid w:val="00D71AFC"/>
    <w:rsid w:val="00D71FEB"/>
    <w:rsid w:val="00D724B1"/>
    <w:rsid w:val="00D725BF"/>
    <w:rsid w:val="00D72907"/>
    <w:rsid w:val="00D729E9"/>
    <w:rsid w:val="00D72DB8"/>
    <w:rsid w:val="00D730E4"/>
    <w:rsid w:val="00D7340C"/>
    <w:rsid w:val="00D73B98"/>
    <w:rsid w:val="00D73C2F"/>
    <w:rsid w:val="00D748BE"/>
    <w:rsid w:val="00D74A88"/>
    <w:rsid w:val="00D74D6D"/>
    <w:rsid w:val="00D74E05"/>
    <w:rsid w:val="00D7502D"/>
    <w:rsid w:val="00D7543B"/>
    <w:rsid w:val="00D75698"/>
    <w:rsid w:val="00D759A8"/>
    <w:rsid w:val="00D75B54"/>
    <w:rsid w:val="00D75C08"/>
    <w:rsid w:val="00D75E46"/>
    <w:rsid w:val="00D75E47"/>
    <w:rsid w:val="00D75F1C"/>
    <w:rsid w:val="00D767B0"/>
    <w:rsid w:val="00D76BA8"/>
    <w:rsid w:val="00D76E4B"/>
    <w:rsid w:val="00D76E74"/>
    <w:rsid w:val="00D77109"/>
    <w:rsid w:val="00D77182"/>
    <w:rsid w:val="00D77373"/>
    <w:rsid w:val="00D7774C"/>
    <w:rsid w:val="00D778BA"/>
    <w:rsid w:val="00D77E5A"/>
    <w:rsid w:val="00D77F46"/>
    <w:rsid w:val="00D77FFB"/>
    <w:rsid w:val="00D80266"/>
    <w:rsid w:val="00D8059B"/>
    <w:rsid w:val="00D80623"/>
    <w:rsid w:val="00D81138"/>
    <w:rsid w:val="00D816D9"/>
    <w:rsid w:val="00D81F39"/>
    <w:rsid w:val="00D82087"/>
    <w:rsid w:val="00D82BF8"/>
    <w:rsid w:val="00D82C25"/>
    <w:rsid w:val="00D82DB0"/>
    <w:rsid w:val="00D8329C"/>
    <w:rsid w:val="00D833A5"/>
    <w:rsid w:val="00D84002"/>
    <w:rsid w:val="00D843F4"/>
    <w:rsid w:val="00D84A3B"/>
    <w:rsid w:val="00D84E1A"/>
    <w:rsid w:val="00D8509C"/>
    <w:rsid w:val="00D850D7"/>
    <w:rsid w:val="00D850DE"/>
    <w:rsid w:val="00D85144"/>
    <w:rsid w:val="00D85733"/>
    <w:rsid w:val="00D857E5"/>
    <w:rsid w:val="00D85868"/>
    <w:rsid w:val="00D85884"/>
    <w:rsid w:val="00D85958"/>
    <w:rsid w:val="00D859C1"/>
    <w:rsid w:val="00D85B75"/>
    <w:rsid w:val="00D85D66"/>
    <w:rsid w:val="00D85DDD"/>
    <w:rsid w:val="00D85E4D"/>
    <w:rsid w:val="00D85FC6"/>
    <w:rsid w:val="00D86028"/>
    <w:rsid w:val="00D87200"/>
    <w:rsid w:val="00D87354"/>
    <w:rsid w:val="00D875AF"/>
    <w:rsid w:val="00D87776"/>
    <w:rsid w:val="00D87DCA"/>
    <w:rsid w:val="00D87DE0"/>
    <w:rsid w:val="00D90589"/>
    <w:rsid w:val="00D9088D"/>
    <w:rsid w:val="00D9117A"/>
    <w:rsid w:val="00D9131D"/>
    <w:rsid w:val="00D915BC"/>
    <w:rsid w:val="00D916B6"/>
    <w:rsid w:val="00D918E9"/>
    <w:rsid w:val="00D9211C"/>
    <w:rsid w:val="00D9235E"/>
    <w:rsid w:val="00D924B3"/>
    <w:rsid w:val="00D92A31"/>
    <w:rsid w:val="00D93214"/>
    <w:rsid w:val="00D9351C"/>
    <w:rsid w:val="00D93848"/>
    <w:rsid w:val="00D9395E"/>
    <w:rsid w:val="00D93BDB"/>
    <w:rsid w:val="00D93C58"/>
    <w:rsid w:val="00D93CC4"/>
    <w:rsid w:val="00D93D09"/>
    <w:rsid w:val="00D93EC9"/>
    <w:rsid w:val="00D94096"/>
    <w:rsid w:val="00D94BC7"/>
    <w:rsid w:val="00D94D1D"/>
    <w:rsid w:val="00D95133"/>
    <w:rsid w:val="00D95311"/>
    <w:rsid w:val="00D953AD"/>
    <w:rsid w:val="00D9547C"/>
    <w:rsid w:val="00D95489"/>
    <w:rsid w:val="00D9552E"/>
    <w:rsid w:val="00D9553E"/>
    <w:rsid w:val="00D95A6B"/>
    <w:rsid w:val="00D95B7C"/>
    <w:rsid w:val="00D95C5A"/>
    <w:rsid w:val="00D9612F"/>
    <w:rsid w:val="00D96448"/>
    <w:rsid w:val="00D96E0B"/>
    <w:rsid w:val="00D96F0B"/>
    <w:rsid w:val="00D97246"/>
    <w:rsid w:val="00D97277"/>
    <w:rsid w:val="00D97326"/>
    <w:rsid w:val="00D9741E"/>
    <w:rsid w:val="00D97515"/>
    <w:rsid w:val="00D97581"/>
    <w:rsid w:val="00D9775E"/>
    <w:rsid w:val="00D97884"/>
    <w:rsid w:val="00D97A7B"/>
    <w:rsid w:val="00D97D5F"/>
    <w:rsid w:val="00DA0938"/>
    <w:rsid w:val="00DA0D46"/>
    <w:rsid w:val="00DA0E13"/>
    <w:rsid w:val="00DA0F38"/>
    <w:rsid w:val="00DA1176"/>
    <w:rsid w:val="00DA125A"/>
    <w:rsid w:val="00DA18F1"/>
    <w:rsid w:val="00DA1CFB"/>
    <w:rsid w:val="00DA2082"/>
    <w:rsid w:val="00DA2633"/>
    <w:rsid w:val="00DA264C"/>
    <w:rsid w:val="00DA26D1"/>
    <w:rsid w:val="00DA26E2"/>
    <w:rsid w:val="00DA2BD4"/>
    <w:rsid w:val="00DA2EB0"/>
    <w:rsid w:val="00DA33F3"/>
    <w:rsid w:val="00DA3B17"/>
    <w:rsid w:val="00DA40DB"/>
    <w:rsid w:val="00DA424D"/>
    <w:rsid w:val="00DA43B5"/>
    <w:rsid w:val="00DA4975"/>
    <w:rsid w:val="00DA5638"/>
    <w:rsid w:val="00DA5645"/>
    <w:rsid w:val="00DA5E2C"/>
    <w:rsid w:val="00DA5F5F"/>
    <w:rsid w:val="00DA6183"/>
    <w:rsid w:val="00DA6561"/>
    <w:rsid w:val="00DA6CD8"/>
    <w:rsid w:val="00DA6D11"/>
    <w:rsid w:val="00DA7103"/>
    <w:rsid w:val="00DA731D"/>
    <w:rsid w:val="00DA7562"/>
    <w:rsid w:val="00DA7C6B"/>
    <w:rsid w:val="00DB003F"/>
    <w:rsid w:val="00DB0051"/>
    <w:rsid w:val="00DB026C"/>
    <w:rsid w:val="00DB0483"/>
    <w:rsid w:val="00DB05B1"/>
    <w:rsid w:val="00DB065B"/>
    <w:rsid w:val="00DB07A2"/>
    <w:rsid w:val="00DB0B40"/>
    <w:rsid w:val="00DB0C97"/>
    <w:rsid w:val="00DB11F9"/>
    <w:rsid w:val="00DB12AB"/>
    <w:rsid w:val="00DB16F2"/>
    <w:rsid w:val="00DB1A38"/>
    <w:rsid w:val="00DB1B07"/>
    <w:rsid w:val="00DB1B62"/>
    <w:rsid w:val="00DB1E16"/>
    <w:rsid w:val="00DB1EAE"/>
    <w:rsid w:val="00DB1FBB"/>
    <w:rsid w:val="00DB201E"/>
    <w:rsid w:val="00DB23A7"/>
    <w:rsid w:val="00DB26FE"/>
    <w:rsid w:val="00DB288E"/>
    <w:rsid w:val="00DB28C2"/>
    <w:rsid w:val="00DB28FD"/>
    <w:rsid w:val="00DB2EA7"/>
    <w:rsid w:val="00DB2FC7"/>
    <w:rsid w:val="00DB305F"/>
    <w:rsid w:val="00DB31EB"/>
    <w:rsid w:val="00DB36F2"/>
    <w:rsid w:val="00DB3953"/>
    <w:rsid w:val="00DB3FF0"/>
    <w:rsid w:val="00DB44E1"/>
    <w:rsid w:val="00DB4859"/>
    <w:rsid w:val="00DB4868"/>
    <w:rsid w:val="00DB517A"/>
    <w:rsid w:val="00DB51E4"/>
    <w:rsid w:val="00DB5BEB"/>
    <w:rsid w:val="00DB5CC5"/>
    <w:rsid w:val="00DB5E50"/>
    <w:rsid w:val="00DB6010"/>
    <w:rsid w:val="00DB603E"/>
    <w:rsid w:val="00DB60D8"/>
    <w:rsid w:val="00DB61E0"/>
    <w:rsid w:val="00DB64A1"/>
    <w:rsid w:val="00DB6546"/>
    <w:rsid w:val="00DB68FF"/>
    <w:rsid w:val="00DB693E"/>
    <w:rsid w:val="00DB6E39"/>
    <w:rsid w:val="00DB6F7E"/>
    <w:rsid w:val="00DB6F9D"/>
    <w:rsid w:val="00DB73D4"/>
    <w:rsid w:val="00DB744A"/>
    <w:rsid w:val="00DB7460"/>
    <w:rsid w:val="00DB7B37"/>
    <w:rsid w:val="00DB7C64"/>
    <w:rsid w:val="00DB7FEF"/>
    <w:rsid w:val="00DC0AA0"/>
    <w:rsid w:val="00DC0C0C"/>
    <w:rsid w:val="00DC0D31"/>
    <w:rsid w:val="00DC0FF7"/>
    <w:rsid w:val="00DC1222"/>
    <w:rsid w:val="00DC123A"/>
    <w:rsid w:val="00DC12C1"/>
    <w:rsid w:val="00DC13B3"/>
    <w:rsid w:val="00DC1426"/>
    <w:rsid w:val="00DC15FA"/>
    <w:rsid w:val="00DC17EF"/>
    <w:rsid w:val="00DC1E16"/>
    <w:rsid w:val="00DC22C8"/>
    <w:rsid w:val="00DC2954"/>
    <w:rsid w:val="00DC30D9"/>
    <w:rsid w:val="00DC310A"/>
    <w:rsid w:val="00DC35A4"/>
    <w:rsid w:val="00DC35EB"/>
    <w:rsid w:val="00DC37AD"/>
    <w:rsid w:val="00DC389F"/>
    <w:rsid w:val="00DC39B6"/>
    <w:rsid w:val="00DC4033"/>
    <w:rsid w:val="00DC43FF"/>
    <w:rsid w:val="00DC445E"/>
    <w:rsid w:val="00DC464A"/>
    <w:rsid w:val="00DC4757"/>
    <w:rsid w:val="00DC5038"/>
    <w:rsid w:val="00DC5548"/>
    <w:rsid w:val="00DC590E"/>
    <w:rsid w:val="00DC5994"/>
    <w:rsid w:val="00DC5A2B"/>
    <w:rsid w:val="00DC61CB"/>
    <w:rsid w:val="00DC6366"/>
    <w:rsid w:val="00DC65B9"/>
    <w:rsid w:val="00DC67BD"/>
    <w:rsid w:val="00DC67CB"/>
    <w:rsid w:val="00DC6A0B"/>
    <w:rsid w:val="00DC7167"/>
    <w:rsid w:val="00DC71F3"/>
    <w:rsid w:val="00DC7277"/>
    <w:rsid w:val="00DC75B7"/>
    <w:rsid w:val="00DC76AE"/>
    <w:rsid w:val="00DC79C8"/>
    <w:rsid w:val="00DC7AE9"/>
    <w:rsid w:val="00DD03D6"/>
    <w:rsid w:val="00DD05E5"/>
    <w:rsid w:val="00DD0691"/>
    <w:rsid w:val="00DD08CF"/>
    <w:rsid w:val="00DD0B9E"/>
    <w:rsid w:val="00DD0C9B"/>
    <w:rsid w:val="00DD0E8C"/>
    <w:rsid w:val="00DD1549"/>
    <w:rsid w:val="00DD1658"/>
    <w:rsid w:val="00DD18CB"/>
    <w:rsid w:val="00DD19F8"/>
    <w:rsid w:val="00DD1DB0"/>
    <w:rsid w:val="00DD1E17"/>
    <w:rsid w:val="00DD1F72"/>
    <w:rsid w:val="00DD2123"/>
    <w:rsid w:val="00DD258C"/>
    <w:rsid w:val="00DD2652"/>
    <w:rsid w:val="00DD27EA"/>
    <w:rsid w:val="00DD2B22"/>
    <w:rsid w:val="00DD2C52"/>
    <w:rsid w:val="00DD2FB2"/>
    <w:rsid w:val="00DD302E"/>
    <w:rsid w:val="00DD36DC"/>
    <w:rsid w:val="00DD36DE"/>
    <w:rsid w:val="00DD3C5B"/>
    <w:rsid w:val="00DD40DA"/>
    <w:rsid w:val="00DD41D2"/>
    <w:rsid w:val="00DD435C"/>
    <w:rsid w:val="00DD4963"/>
    <w:rsid w:val="00DD49E8"/>
    <w:rsid w:val="00DD4A4E"/>
    <w:rsid w:val="00DD4BF5"/>
    <w:rsid w:val="00DD4E2C"/>
    <w:rsid w:val="00DD55EB"/>
    <w:rsid w:val="00DD598B"/>
    <w:rsid w:val="00DD5AA6"/>
    <w:rsid w:val="00DD5AB2"/>
    <w:rsid w:val="00DD5BC0"/>
    <w:rsid w:val="00DD624D"/>
    <w:rsid w:val="00DD62F1"/>
    <w:rsid w:val="00DD6415"/>
    <w:rsid w:val="00DD647D"/>
    <w:rsid w:val="00DD65F1"/>
    <w:rsid w:val="00DD66D3"/>
    <w:rsid w:val="00DD67F4"/>
    <w:rsid w:val="00DD6830"/>
    <w:rsid w:val="00DD6C39"/>
    <w:rsid w:val="00DD7078"/>
    <w:rsid w:val="00DD70C8"/>
    <w:rsid w:val="00DD70E9"/>
    <w:rsid w:val="00DD722E"/>
    <w:rsid w:val="00DD78D9"/>
    <w:rsid w:val="00DD7B70"/>
    <w:rsid w:val="00DD7E6C"/>
    <w:rsid w:val="00DD7ED7"/>
    <w:rsid w:val="00DE00C8"/>
    <w:rsid w:val="00DE01E1"/>
    <w:rsid w:val="00DE037E"/>
    <w:rsid w:val="00DE0B0A"/>
    <w:rsid w:val="00DE0C77"/>
    <w:rsid w:val="00DE0E45"/>
    <w:rsid w:val="00DE0E4A"/>
    <w:rsid w:val="00DE1645"/>
    <w:rsid w:val="00DE167F"/>
    <w:rsid w:val="00DE20DA"/>
    <w:rsid w:val="00DE2691"/>
    <w:rsid w:val="00DE2AFF"/>
    <w:rsid w:val="00DE2DD3"/>
    <w:rsid w:val="00DE396D"/>
    <w:rsid w:val="00DE3CAF"/>
    <w:rsid w:val="00DE3FBE"/>
    <w:rsid w:val="00DE4105"/>
    <w:rsid w:val="00DE412A"/>
    <w:rsid w:val="00DE4861"/>
    <w:rsid w:val="00DE490A"/>
    <w:rsid w:val="00DE4987"/>
    <w:rsid w:val="00DE548F"/>
    <w:rsid w:val="00DE599B"/>
    <w:rsid w:val="00DE5D04"/>
    <w:rsid w:val="00DE5D11"/>
    <w:rsid w:val="00DE5F5B"/>
    <w:rsid w:val="00DE62CB"/>
    <w:rsid w:val="00DE6629"/>
    <w:rsid w:val="00DE66C9"/>
    <w:rsid w:val="00DE7183"/>
    <w:rsid w:val="00DE7359"/>
    <w:rsid w:val="00DF00A6"/>
    <w:rsid w:val="00DF087F"/>
    <w:rsid w:val="00DF08E9"/>
    <w:rsid w:val="00DF0A6F"/>
    <w:rsid w:val="00DF0B79"/>
    <w:rsid w:val="00DF1121"/>
    <w:rsid w:val="00DF1349"/>
    <w:rsid w:val="00DF136F"/>
    <w:rsid w:val="00DF1618"/>
    <w:rsid w:val="00DF16B2"/>
    <w:rsid w:val="00DF1815"/>
    <w:rsid w:val="00DF1975"/>
    <w:rsid w:val="00DF1BBF"/>
    <w:rsid w:val="00DF25E2"/>
    <w:rsid w:val="00DF27CE"/>
    <w:rsid w:val="00DF2A30"/>
    <w:rsid w:val="00DF2B46"/>
    <w:rsid w:val="00DF2BFF"/>
    <w:rsid w:val="00DF2F56"/>
    <w:rsid w:val="00DF30B9"/>
    <w:rsid w:val="00DF3413"/>
    <w:rsid w:val="00DF3598"/>
    <w:rsid w:val="00DF36E8"/>
    <w:rsid w:val="00DF3735"/>
    <w:rsid w:val="00DF3FEA"/>
    <w:rsid w:val="00DF4564"/>
    <w:rsid w:val="00DF45FF"/>
    <w:rsid w:val="00DF4AEB"/>
    <w:rsid w:val="00DF4FC5"/>
    <w:rsid w:val="00DF5221"/>
    <w:rsid w:val="00DF52D1"/>
    <w:rsid w:val="00DF53F9"/>
    <w:rsid w:val="00DF5423"/>
    <w:rsid w:val="00DF545F"/>
    <w:rsid w:val="00DF55FB"/>
    <w:rsid w:val="00DF5706"/>
    <w:rsid w:val="00DF5E53"/>
    <w:rsid w:val="00DF6FDA"/>
    <w:rsid w:val="00DF7594"/>
    <w:rsid w:val="00DF7CAA"/>
    <w:rsid w:val="00DF7ED7"/>
    <w:rsid w:val="00DF7EDD"/>
    <w:rsid w:val="00E00593"/>
    <w:rsid w:val="00E00B12"/>
    <w:rsid w:val="00E00B17"/>
    <w:rsid w:val="00E00E09"/>
    <w:rsid w:val="00E014CC"/>
    <w:rsid w:val="00E0156A"/>
    <w:rsid w:val="00E01813"/>
    <w:rsid w:val="00E01F88"/>
    <w:rsid w:val="00E02064"/>
    <w:rsid w:val="00E02796"/>
    <w:rsid w:val="00E02D0B"/>
    <w:rsid w:val="00E03069"/>
    <w:rsid w:val="00E03098"/>
    <w:rsid w:val="00E032A8"/>
    <w:rsid w:val="00E0336E"/>
    <w:rsid w:val="00E03637"/>
    <w:rsid w:val="00E038C5"/>
    <w:rsid w:val="00E0392F"/>
    <w:rsid w:val="00E039CE"/>
    <w:rsid w:val="00E039ED"/>
    <w:rsid w:val="00E03FE5"/>
    <w:rsid w:val="00E040F5"/>
    <w:rsid w:val="00E0446E"/>
    <w:rsid w:val="00E045A4"/>
    <w:rsid w:val="00E049EE"/>
    <w:rsid w:val="00E05664"/>
    <w:rsid w:val="00E0566D"/>
    <w:rsid w:val="00E05BD8"/>
    <w:rsid w:val="00E060F8"/>
    <w:rsid w:val="00E06287"/>
    <w:rsid w:val="00E06895"/>
    <w:rsid w:val="00E068FB"/>
    <w:rsid w:val="00E0699D"/>
    <w:rsid w:val="00E06BAE"/>
    <w:rsid w:val="00E06D52"/>
    <w:rsid w:val="00E06EA5"/>
    <w:rsid w:val="00E0728E"/>
    <w:rsid w:val="00E073CE"/>
    <w:rsid w:val="00E076C1"/>
    <w:rsid w:val="00E07AA3"/>
    <w:rsid w:val="00E07AD1"/>
    <w:rsid w:val="00E07E7C"/>
    <w:rsid w:val="00E10044"/>
    <w:rsid w:val="00E101F5"/>
    <w:rsid w:val="00E10260"/>
    <w:rsid w:val="00E10C2F"/>
    <w:rsid w:val="00E10F37"/>
    <w:rsid w:val="00E10F4E"/>
    <w:rsid w:val="00E10FAB"/>
    <w:rsid w:val="00E11238"/>
    <w:rsid w:val="00E1141A"/>
    <w:rsid w:val="00E11531"/>
    <w:rsid w:val="00E1181F"/>
    <w:rsid w:val="00E11AE7"/>
    <w:rsid w:val="00E11CE7"/>
    <w:rsid w:val="00E11E97"/>
    <w:rsid w:val="00E12524"/>
    <w:rsid w:val="00E1265B"/>
    <w:rsid w:val="00E126AE"/>
    <w:rsid w:val="00E1274D"/>
    <w:rsid w:val="00E127BA"/>
    <w:rsid w:val="00E129FC"/>
    <w:rsid w:val="00E12BD4"/>
    <w:rsid w:val="00E12C60"/>
    <w:rsid w:val="00E12DF1"/>
    <w:rsid w:val="00E136FA"/>
    <w:rsid w:val="00E13732"/>
    <w:rsid w:val="00E1386C"/>
    <w:rsid w:val="00E13B1D"/>
    <w:rsid w:val="00E13D45"/>
    <w:rsid w:val="00E13F3F"/>
    <w:rsid w:val="00E142E7"/>
    <w:rsid w:val="00E14370"/>
    <w:rsid w:val="00E145AE"/>
    <w:rsid w:val="00E151C8"/>
    <w:rsid w:val="00E15428"/>
    <w:rsid w:val="00E15731"/>
    <w:rsid w:val="00E15934"/>
    <w:rsid w:val="00E15A2E"/>
    <w:rsid w:val="00E15C3E"/>
    <w:rsid w:val="00E16033"/>
    <w:rsid w:val="00E16602"/>
    <w:rsid w:val="00E1687A"/>
    <w:rsid w:val="00E16CA1"/>
    <w:rsid w:val="00E175CC"/>
    <w:rsid w:val="00E1774F"/>
    <w:rsid w:val="00E17B13"/>
    <w:rsid w:val="00E17C8A"/>
    <w:rsid w:val="00E201AE"/>
    <w:rsid w:val="00E207DA"/>
    <w:rsid w:val="00E20B3A"/>
    <w:rsid w:val="00E20B41"/>
    <w:rsid w:val="00E20E10"/>
    <w:rsid w:val="00E211C8"/>
    <w:rsid w:val="00E21333"/>
    <w:rsid w:val="00E217F7"/>
    <w:rsid w:val="00E21B04"/>
    <w:rsid w:val="00E21E2D"/>
    <w:rsid w:val="00E220BD"/>
    <w:rsid w:val="00E22853"/>
    <w:rsid w:val="00E228E4"/>
    <w:rsid w:val="00E23163"/>
    <w:rsid w:val="00E232A4"/>
    <w:rsid w:val="00E233CF"/>
    <w:rsid w:val="00E23828"/>
    <w:rsid w:val="00E2398C"/>
    <w:rsid w:val="00E23E1F"/>
    <w:rsid w:val="00E2406E"/>
    <w:rsid w:val="00E240C4"/>
    <w:rsid w:val="00E24250"/>
    <w:rsid w:val="00E24583"/>
    <w:rsid w:val="00E247AA"/>
    <w:rsid w:val="00E24D3B"/>
    <w:rsid w:val="00E24DA2"/>
    <w:rsid w:val="00E2501F"/>
    <w:rsid w:val="00E255DE"/>
    <w:rsid w:val="00E25AB6"/>
    <w:rsid w:val="00E25C89"/>
    <w:rsid w:val="00E25DC7"/>
    <w:rsid w:val="00E2620B"/>
    <w:rsid w:val="00E26472"/>
    <w:rsid w:val="00E266A8"/>
    <w:rsid w:val="00E2681A"/>
    <w:rsid w:val="00E268BF"/>
    <w:rsid w:val="00E26A77"/>
    <w:rsid w:val="00E271A1"/>
    <w:rsid w:val="00E27244"/>
    <w:rsid w:val="00E2760A"/>
    <w:rsid w:val="00E27826"/>
    <w:rsid w:val="00E27932"/>
    <w:rsid w:val="00E27D1F"/>
    <w:rsid w:val="00E27EC4"/>
    <w:rsid w:val="00E30330"/>
    <w:rsid w:val="00E30528"/>
    <w:rsid w:val="00E30BBF"/>
    <w:rsid w:val="00E30E5B"/>
    <w:rsid w:val="00E31171"/>
    <w:rsid w:val="00E311EB"/>
    <w:rsid w:val="00E31416"/>
    <w:rsid w:val="00E3197F"/>
    <w:rsid w:val="00E31980"/>
    <w:rsid w:val="00E31C95"/>
    <w:rsid w:val="00E31D26"/>
    <w:rsid w:val="00E322E9"/>
    <w:rsid w:val="00E3260B"/>
    <w:rsid w:val="00E32A26"/>
    <w:rsid w:val="00E32B63"/>
    <w:rsid w:val="00E33197"/>
    <w:rsid w:val="00E33299"/>
    <w:rsid w:val="00E332A9"/>
    <w:rsid w:val="00E3341B"/>
    <w:rsid w:val="00E33744"/>
    <w:rsid w:val="00E33A05"/>
    <w:rsid w:val="00E33B7A"/>
    <w:rsid w:val="00E3408A"/>
    <w:rsid w:val="00E34916"/>
    <w:rsid w:val="00E34A75"/>
    <w:rsid w:val="00E35A99"/>
    <w:rsid w:val="00E35BE3"/>
    <w:rsid w:val="00E35D5C"/>
    <w:rsid w:val="00E35E2A"/>
    <w:rsid w:val="00E362AA"/>
    <w:rsid w:val="00E36A31"/>
    <w:rsid w:val="00E36D30"/>
    <w:rsid w:val="00E36E81"/>
    <w:rsid w:val="00E36F8D"/>
    <w:rsid w:val="00E373C9"/>
    <w:rsid w:val="00E374B2"/>
    <w:rsid w:val="00E3763E"/>
    <w:rsid w:val="00E378DB"/>
    <w:rsid w:val="00E37A2F"/>
    <w:rsid w:val="00E37DD3"/>
    <w:rsid w:val="00E401E8"/>
    <w:rsid w:val="00E40393"/>
    <w:rsid w:val="00E40800"/>
    <w:rsid w:val="00E4087B"/>
    <w:rsid w:val="00E409A6"/>
    <w:rsid w:val="00E409B7"/>
    <w:rsid w:val="00E40A92"/>
    <w:rsid w:val="00E4108F"/>
    <w:rsid w:val="00E413C8"/>
    <w:rsid w:val="00E415DC"/>
    <w:rsid w:val="00E416CA"/>
    <w:rsid w:val="00E4180C"/>
    <w:rsid w:val="00E41960"/>
    <w:rsid w:val="00E41B57"/>
    <w:rsid w:val="00E41C81"/>
    <w:rsid w:val="00E42512"/>
    <w:rsid w:val="00E42BA2"/>
    <w:rsid w:val="00E42D2B"/>
    <w:rsid w:val="00E4316C"/>
    <w:rsid w:val="00E433D5"/>
    <w:rsid w:val="00E44482"/>
    <w:rsid w:val="00E44746"/>
    <w:rsid w:val="00E451F3"/>
    <w:rsid w:val="00E455D2"/>
    <w:rsid w:val="00E456DE"/>
    <w:rsid w:val="00E46329"/>
    <w:rsid w:val="00E4668F"/>
    <w:rsid w:val="00E468E6"/>
    <w:rsid w:val="00E46A3F"/>
    <w:rsid w:val="00E46A8F"/>
    <w:rsid w:val="00E46ABC"/>
    <w:rsid w:val="00E4703E"/>
    <w:rsid w:val="00E47995"/>
    <w:rsid w:val="00E47E19"/>
    <w:rsid w:val="00E50427"/>
    <w:rsid w:val="00E50729"/>
    <w:rsid w:val="00E508DA"/>
    <w:rsid w:val="00E50C20"/>
    <w:rsid w:val="00E50EBC"/>
    <w:rsid w:val="00E5144C"/>
    <w:rsid w:val="00E51814"/>
    <w:rsid w:val="00E51C0B"/>
    <w:rsid w:val="00E51C19"/>
    <w:rsid w:val="00E51D20"/>
    <w:rsid w:val="00E5251B"/>
    <w:rsid w:val="00E525BC"/>
    <w:rsid w:val="00E52649"/>
    <w:rsid w:val="00E52952"/>
    <w:rsid w:val="00E52A3B"/>
    <w:rsid w:val="00E53099"/>
    <w:rsid w:val="00E5340E"/>
    <w:rsid w:val="00E53458"/>
    <w:rsid w:val="00E53B3C"/>
    <w:rsid w:val="00E53CE4"/>
    <w:rsid w:val="00E53F96"/>
    <w:rsid w:val="00E55174"/>
    <w:rsid w:val="00E556D8"/>
    <w:rsid w:val="00E55863"/>
    <w:rsid w:val="00E55919"/>
    <w:rsid w:val="00E55C18"/>
    <w:rsid w:val="00E55EF1"/>
    <w:rsid w:val="00E55F5F"/>
    <w:rsid w:val="00E5621B"/>
    <w:rsid w:val="00E568A7"/>
    <w:rsid w:val="00E56C5A"/>
    <w:rsid w:val="00E56EE3"/>
    <w:rsid w:val="00E57277"/>
    <w:rsid w:val="00E576FE"/>
    <w:rsid w:val="00E579E3"/>
    <w:rsid w:val="00E57AB0"/>
    <w:rsid w:val="00E57AFB"/>
    <w:rsid w:val="00E6010C"/>
    <w:rsid w:val="00E601FF"/>
    <w:rsid w:val="00E606F0"/>
    <w:rsid w:val="00E607FA"/>
    <w:rsid w:val="00E60853"/>
    <w:rsid w:val="00E60AB9"/>
    <w:rsid w:val="00E60E4F"/>
    <w:rsid w:val="00E614C5"/>
    <w:rsid w:val="00E61C67"/>
    <w:rsid w:val="00E62203"/>
    <w:rsid w:val="00E62396"/>
    <w:rsid w:val="00E623CC"/>
    <w:rsid w:val="00E624D0"/>
    <w:rsid w:val="00E62579"/>
    <w:rsid w:val="00E62812"/>
    <w:rsid w:val="00E62991"/>
    <w:rsid w:val="00E62F73"/>
    <w:rsid w:val="00E6310C"/>
    <w:rsid w:val="00E635D3"/>
    <w:rsid w:val="00E6383B"/>
    <w:rsid w:val="00E63B3D"/>
    <w:rsid w:val="00E63EF4"/>
    <w:rsid w:val="00E64240"/>
    <w:rsid w:val="00E6493F"/>
    <w:rsid w:val="00E64A83"/>
    <w:rsid w:val="00E64BAE"/>
    <w:rsid w:val="00E64CBE"/>
    <w:rsid w:val="00E654FA"/>
    <w:rsid w:val="00E65677"/>
    <w:rsid w:val="00E65CC1"/>
    <w:rsid w:val="00E65D7F"/>
    <w:rsid w:val="00E6614B"/>
    <w:rsid w:val="00E66499"/>
    <w:rsid w:val="00E665D9"/>
    <w:rsid w:val="00E667B9"/>
    <w:rsid w:val="00E667DD"/>
    <w:rsid w:val="00E66879"/>
    <w:rsid w:val="00E66AC2"/>
    <w:rsid w:val="00E6703B"/>
    <w:rsid w:val="00E67249"/>
    <w:rsid w:val="00E67299"/>
    <w:rsid w:val="00E6729E"/>
    <w:rsid w:val="00E67444"/>
    <w:rsid w:val="00E67A48"/>
    <w:rsid w:val="00E67FB7"/>
    <w:rsid w:val="00E701BA"/>
    <w:rsid w:val="00E701CE"/>
    <w:rsid w:val="00E704DE"/>
    <w:rsid w:val="00E7051A"/>
    <w:rsid w:val="00E70614"/>
    <w:rsid w:val="00E70790"/>
    <w:rsid w:val="00E708E9"/>
    <w:rsid w:val="00E70B94"/>
    <w:rsid w:val="00E70C25"/>
    <w:rsid w:val="00E70C8D"/>
    <w:rsid w:val="00E70E5B"/>
    <w:rsid w:val="00E70E85"/>
    <w:rsid w:val="00E71093"/>
    <w:rsid w:val="00E71146"/>
    <w:rsid w:val="00E712D4"/>
    <w:rsid w:val="00E713BC"/>
    <w:rsid w:val="00E71CC6"/>
    <w:rsid w:val="00E720E9"/>
    <w:rsid w:val="00E722FC"/>
    <w:rsid w:val="00E72691"/>
    <w:rsid w:val="00E7297A"/>
    <w:rsid w:val="00E72AD6"/>
    <w:rsid w:val="00E72CA8"/>
    <w:rsid w:val="00E72D8B"/>
    <w:rsid w:val="00E73261"/>
    <w:rsid w:val="00E7334D"/>
    <w:rsid w:val="00E73475"/>
    <w:rsid w:val="00E738EA"/>
    <w:rsid w:val="00E740A2"/>
    <w:rsid w:val="00E7439F"/>
    <w:rsid w:val="00E74700"/>
    <w:rsid w:val="00E748E7"/>
    <w:rsid w:val="00E74C36"/>
    <w:rsid w:val="00E74FC5"/>
    <w:rsid w:val="00E75283"/>
    <w:rsid w:val="00E75414"/>
    <w:rsid w:val="00E75962"/>
    <w:rsid w:val="00E75C01"/>
    <w:rsid w:val="00E75C13"/>
    <w:rsid w:val="00E7607D"/>
    <w:rsid w:val="00E765E5"/>
    <w:rsid w:val="00E76A36"/>
    <w:rsid w:val="00E76AE9"/>
    <w:rsid w:val="00E76CEB"/>
    <w:rsid w:val="00E76E18"/>
    <w:rsid w:val="00E76E72"/>
    <w:rsid w:val="00E772F6"/>
    <w:rsid w:val="00E775B2"/>
    <w:rsid w:val="00E7767B"/>
    <w:rsid w:val="00E7786F"/>
    <w:rsid w:val="00E77B36"/>
    <w:rsid w:val="00E77BBE"/>
    <w:rsid w:val="00E77C35"/>
    <w:rsid w:val="00E77D82"/>
    <w:rsid w:val="00E77FF7"/>
    <w:rsid w:val="00E80108"/>
    <w:rsid w:val="00E8070E"/>
    <w:rsid w:val="00E80B82"/>
    <w:rsid w:val="00E80F20"/>
    <w:rsid w:val="00E8104D"/>
    <w:rsid w:val="00E8119B"/>
    <w:rsid w:val="00E8129A"/>
    <w:rsid w:val="00E814DC"/>
    <w:rsid w:val="00E8152B"/>
    <w:rsid w:val="00E81793"/>
    <w:rsid w:val="00E81A96"/>
    <w:rsid w:val="00E81AF2"/>
    <w:rsid w:val="00E81B39"/>
    <w:rsid w:val="00E81BBB"/>
    <w:rsid w:val="00E81F55"/>
    <w:rsid w:val="00E8217B"/>
    <w:rsid w:val="00E82599"/>
    <w:rsid w:val="00E82BAE"/>
    <w:rsid w:val="00E82C1C"/>
    <w:rsid w:val="00E83543"/>
    <w:rsid w:val="00E836DA"/>
    <w:rsid w:val="00E838E0"/>
    <w:rsid w:val="00E83930"/>
    <w:rsid w:val="00E83999"/>
    <w:rsid w:val="00E83C58"/>
    <w:rsid w:val="00E83F26"/>
    <w:rsid w:val="00E83F67"/>
    <w:rsid w:val="00E83FCE"/>
    <w:rsid w:val="00E8403D"/>
    <w:rsid w:val="00E84066"/>
    <w:rsid w:val="00E84424"/>
    <w:rsid w:val="00E84766"/>
    <w:rsid w:val="00E850E5"/>
    <w:rsid w:val="00E851EC"/>
    <w:rsid w:val="00E855E7"/>
    <w:rsid w:val="00E85F22"/>
    <w:rsid w:val="00E85F28"/>
    <w:rsid w:val="00E867E2"/>
    <w:rsid w:val="00E8695D"/>
    <w:rsid w:val="00E86AF1"/>
    <w:rsid w:val="00E86B67"/>
    <w:rsid w:val="00E86D74"/>
    <w:rsid w:val="00E86EC5"/>
    <w:rsid w:val="00E8741F"/>
    <w:rsid w:val="00E87A76"/>
    <w:rsid w:val="00E87F82"/>
    <w:rsid w:val="00E8EFED"/>
    <w:rsid w:val="00E9024E"/>
    <w:rsid w:val="00E9045A"/>
    <w:rsid w:val="00E90BA1"/>
    <w:rsid w:val="00E90D62"/>
    <w:rsid w:val="00E90E39"/>
    <w:rsid w:val="00E91302"/>
    <w:rsid w:val="00E914B7"/>
    <w:rsid w:val="00E91521"/>
    <w:rsid w:val="00E91723"/>
    <w:rsid w:val="00E91911"/>
    <w:rsid w:val="00E919A0"/>
    <w:rsid w:val="00E91CDD"/>
    <w:rsid w:val="00E91E15"/>
    <w:rsid w:val="00E91E27"/>
    <w:rsid w:val="00E91F9E"/>
    <w:rsid w:val="00E920CB"/>
    <w:rsid w:val="00E92925"/>
    <w:rsid w:val="00E92938"/>
    <w:rsid w:val="00E92E98"/>
    <w:rsid w:val="00E92FDC"/>
    <w:rsid w:val="00E9328E"/>
    <w:rsid w:val="00E9336F"/>
    <w:rsid w:val="00E9339E"/>
    <w:rsid w:val="00E933F2"/>
    <w:rsid w:val="00E93659"/>
    <w:rsid w:val="00E93BBD"/>
    <w:rsid w:val="00E94015"/>
    <w:rsid w:val="00E94373"/>
    <w:rsid w:val="00E94422"/>
    <w:rsid w:val="00E944DD"/>
    <w:rsid w:val="00E947A5"/>
    <w:rsid w:val="00E9485D"/>
    <w:rsid w:val="00E94D19"/>
    <w:rsid w:val="00E94EB4"/>
    <w:rsid w:val="00E95337"/>
    <w:rsid w:val="00E9555E"/>
    <w:rsid w:val="00E95911"/>
    <w:rsid w:val="00E95B16"/>
    <w:rsid w:val="00E960A4"/>
    <w:rsid w:val="00E961EE"/>
    <w:rsid w:val="00E965D7"/>
    <w:rsid w:val="00E9688C"/>
    <w:rsid w:val="00E9692B"/>
    <w:rsid w:val="00E96D77"/>
    <w:rsid w:val="00E96E34"/>
    <w:rsid w:val="00E974C8"/>
    <w:rsid w:val="00E97E8E"/>
    <w:rsid w:val="00EA004D"/>
    <w:rsid w:val="00EA02B3"/>
    <w:rsid w:val="00EA04E0"/>
    <w:rsid w:val="00EA0651"/>
    <w:rsid w:val="00EA0DF0"/>
    <w:rsid w:val="00EA12BF"/>
    <w:rsid w:val="00EA16AF"/>
    <w:rsid w:val="00EA1807"/>
    <w:rsid w:val="00EA182C"/>
    <w:rsid w:val="00EA1C23"/>
    <w:rsid w:val="00EA1D1F"/>
    <w:rsid w:val="00EA1E64"/>
    <w:rsid w:val="00EA2480"/>
    <w:rsid w:val="00EA2531"/>
    <w:rsid w:val="00EA26D6"/>
    <w:rsid w:val="00EA27A7"/>
    <w:rsid w:val="00EA2E92"/>
    <w:rsid w:val="00EA2EF9"/>
    <w:rsid w:val="00EA322A"/>
    <w:rsid w:val="00EA33EE"/>
    <w:rsid w:val="00EA380B"/>
    <w:rsid w:val="00EA3B28"/>
    <w:rsid w:val="00EA3BBA"/>
    <w:rsid w:val="00EA3E0A"/>
    <w:rsid w:val="00EA3ED6"/>
    <w:rsid w:val="00EA4125"/>
    <w:rsid w:val="00EA417A"/>
    <w:rsid w:val="00EA4526"/>
    <w:rsid w:val="00EA47B3"/>
    <w:rsid w:val="00EA48BD"/>
    <w:rsid w:val="00EA5386"/>
    <w:rsid w:val="00EA54CD"/>
    <w:rsid w:val="00EA5B2A"/>
    <w:rsid w:val="00EA5C8E"/>
    <w:rsid w:val="00EA5DDD"/>
    <w:rsid w:val="00EA5FBA"/>
    <w:rsid w:val="00EA64A9"/>
    <w:rsid w:val="00EA6546"/>
    <w:rsid w:val="00EA691B"/>
    <w:rsid w:val="00EA6939"/>
    <w:rsid w:val="00EA693F"/>
    <w:rsid w:val="00EA6BDA"/>
    <w:rsid w:val="00EA70B0"/>
    <w:rsid w:val="00EA7192"/>
    <w:rsid w:val="00EA720C"/>
    <w:rsid w:val="00EA72CA"/>
    <w:rsid w:val="00EA734E"/>
    <w:rsid w:val="00EA7668"/>
    <w:rsid w:val="00EA7BC1"/>
    <w:rsid w:val="00EA7C44"/>
    <w:rsid w:val="00EA7F4B"/>
    <w:rsid w:val="00EB01D8"/>
    <w:rsid w:val="00EB04C1"/>
    <w:rsid w:val="00EB0993"/>
    <w:rsid w:val="00EB0F0D"/>
    <w:rsid w:val="00EB1314"/>
    <w:rsid w:val="00EB1BB6"/>
    <w:rsid w:val="00EB1EC8"/>
    <w:rsid w:val="00EB1F0C"/>
    <w:rsid w:val="00EB22BB"/>
    <w:rsid w:val="00EB22F3"/>
    <w:rsid w:val="00EB2360"/>
    <w:rsid w:val="00EB239D"/>
    <w:rsid w:val="00EB25C1"/>
    <w:rsid w:val="00EB2A43"/>
    <w:rsid w:val="00EB2A4F"/>
    <w:rsid w:val="00EB2E5A"/>
    <w:rsid w:val="00EB2F19"/>
    <w:rsid w:val="00EB2FD7"/>
    <w:rsid w:val="00EB31EB"/>
    <w:rsid w:val="00EB4286"/>
    <w:rsid w:val="00EB57A4"/>
    <w:rsid w:val="00EB5D3B"/>
    <w:rsid w:val="00EB6240"/>
    <w:rsid w:val="00EB66F9"/>
    <w:rsid w:val="00EB6A56"/>
    <w:rsid w:val="00EB6AA0"/>
    <w:rsid w:val="00EB6C7D"/>
    <w:rsid w:val="00EB6FEB"/>
    <w:rsid w:val="00EB7069"/>
    <w:rsid w:val="00EB723C"/>
    <w:rsid w:val="00EB7407"/>
    <w:rsid w:val="00EB7698"/>
    <w:rsid w:val="00EB778D"/>
    <w:rsid w:val="00EB77AA"/>
    <w:rsid w:val="00EB795B"/>
    <w:rsid w:val="00EB7A9A"/>
    <w:rsid w:val="00EB7C05"/>
    <w:rsid w:val="00EB7C66"/>
    <w:rsid w:val="00EB7CD1"/>
    <w:rsid w:val="00EB7D70"/>
    <w:rsid w:val="00EC026A"/>
    <w:rsid w:val="00EC034A"/>
    <w:rsid w:val="00EC055E"/>
    <w:rsid w:val="00EC0583"/>
    <w:rsid w:val="00EC070C"/>
    <w:rsid w:val="00EC07C1"/>
    <w:rsid w:val="00EC0E64"/>
    <w:rsid w:val="00EC180A"/>
    <w:rsid w:val="00EC1B30"/>
    <w:rsid w:val="00EC201D"/>
    <w:rsid w:val="00EC2201"/>
    <w:rsid w:val="00EC228B"/>
    <w:rsid w:val="00EC2345"/>
    <w:rsid w:val="00EC2598"/>
    <w:rsid w:val="00EC28F8"/>
    <w:rsid w:val="00EC29FD"/>
    <w:rsid w:val="00EC2AF0"/>
    <w:rsid w:val="00EC2BA0"/>
    <w:rsid w:val="00EC2E4F"/>
    <w:rsid w:val="00EC30EA"/>
    <w:rsid w:val="00EC3433"/>
    <w:rsid w:val="00EC35FA"/>
    <w:rsid w:val="00EC3922"/>
    <w:rsid w:val="00EC3D0C"/>
    <w:rsid w:val="00EC4268"/>
    <w:rsid w:val="00EC4AF8"/>
    <w:rsid w:val="00EC4EA3"/>
    <w:rsid w:val="00EC50DA"/>
    <w:rsid w:val="00EC5292"/>
    <w:rsid w:val="00EC5970"/>
    <w:rsid w:val="00EC5C2D"/>
    <w:rsid w:val="00EC5C63"/>
    <w:rsid w:val="00EC642D"/>
    <w:rsid w:val="00EC64C0"/>
    <w:rsid w:val="00EC654D"/>
    <w:rsid w:val="00EC65F8"/>
    <w:rsid w:val="00EC66B2"/>
    <w:rsid w:val="00EC69E7"/>
    <w:rsid w:val="00EC71E2"/>
    <w:rsid w:val="00EC7784"/>
    <w:rsid w:val="00EC77BF"/>
    <w:rsid w:val="00EC7942"/>
    <w:rsid w:val="00EC7E78"/>
    <w:rsid w:val="00EC7F23"/>
    <w:rsid w:val="00ED0279"/>
    <w:rsid w:val="00ED04BD"/>
    <w:rsid w:val="00ED1016"/>
    <w:rsid w:val="00ED1174"/>
    <w:rsid w:val="00ED11A7"/>
    <w:rsid w:val="00ED11EA"/>
    <w:rsid w:val="00ED1203"/>
    <w:rsid w:val="00ED19DA"/>
    <w:rsid w:val="00ED1B29"/>
    <w:rsid w:val="00ED1C6B"/>
    <w:rsid w:val="00ED207A"/>
    <w:rsid w:val="00ED212C"/>
    <w:rsid w:val="00ED27F7"/>
    <w:rsid w:val="00ED2A1C"/>
    <w:rsid w:val="00ED2B3D"/>
    <w:rsid w:val="00ED2D0E"/>
    <w:rsid w:val="00ED3094"/>
    <w:rsid w:val="00ED39E4"/>
    <w:rsid w:val="00ED39EF"/>
    <w:rsid w:val="00ED3A0F"/>
    <w:rsid w:val="00ED3F09"/>
    <w:rsid w:val="00ED47FC"/>
    <w:rsid w:val="00ED488D"/>
    <w:rsid w:val="00ED4B86"/>
    <w:rsid w:val="00ED4E45"/>
    <w:rsid w:val="00ED4FE9"/>
    <w:rsid w:val="00ED503B"/>
    <w:rsid w:val="00ED509B"/>
    <w:rsid w:val="00ED559B"/>
    <w:rsid w:val="00ED5DD0"/>
    <w:rsid w:val="00ED61E5"/>
    <w:rsid w:val="00ED622F"/>
    <w:rsid w:val="00ED6385"/>
    <w:rsid w:val="00ED656F"/>
    <w:rsid w:val="00ED6A02"/>
    <w:rsid w:val="00ED6B50"/>
    <w:rsid w:val="00ED79D0"/>
    <w:rsid w:val="00ED7C32"/>
    <w:rsid w:val="00ED7C7D"/>
    <w:rsid w:val="00ED7C89"/>
    <w:rsid w:val="00EE01E0"/>
    <w:rsid w:val="00EE04A8"/>
    <w:rsid w:val="00EE04C7"/>
    <w:rsid w:val="00EE052F"/>
    <w:rsid w:val="00EE0874"/>
    <w:rsid w:val="00EE09A8"/>
    <w:rsid w:val="00EE0CA5"/>
    <w:rsid w:val="00EE0E26"/>
    <w:rsid w:val="00EE1467"/>
    <w:rsid w:val="00EE1CFE"/>
    <w:rsid w:val="00EE239D"/>
    <w:rsid w:val="00EE2545"/>
    <w:rsid w:val="00EE2656"/>
    <w:rsid w:val="00EE2894"/>
    <w:rsid w:val="00EE2A65"/>
    <w:rsid w:val="00EE2ABB"/>
    <w:rsid w:val="00EE2CC4"/>
    <w:rsid w:val="00EE2D0B"/>
    <w:rsid w:val="00EE31AE"/>
    <w:rsid w:val="00EE35E7"/>
    <w:rsid w:val="00EE3A44"/>
    <w:rsid w:val="00EE3FEE"/>
    <w:rsid w:val="00EE46B6"/>
    <w:rsid w:val="00EE48DD"/>
    <w:rsid w:val="00EE4915"/>
    <w:rsid w:val="00EE4936"/>
    <w:rsid w:val="00EE49EA"/>
    <w:rsid w:val="00EE4CFC"/>
    <w:rsid w:val="00EE5330"/>
    <w:rsid w:val="00EE544A"/>
    <w:rsid w:val="00EE58A8"/>
    <w:rsid w:val="00EE5A9B"/>
    <w:rsid w:val="00EE5C1A"/>
    <w:rsid w:val="00EE5CA4"/>
    <w:rsid w:val="00EE5DD8"/>
    <w:rsid w:val="00EE5E5D"/>
    <w:rsid w:val="00EE5EA7"/>
    <w:rsid w:val="00EE5FB4"/>
    <w:rsid w:val="00EE6EBA"/>
    <w:rsid w:val="00EE7002"/>
    <w:rsid w:val="00EE73AA"/>
    <w:rsid w:val="00EE7522"/>
    <w:rsid w:val="00EE75AE"/>
    <w:rsid w:val="00EE76AE"/>
    <w:rsid w:val="00EE7885"/>
    <w:rsid w:val="00EE79BD"/>
    <w:rsid w:val="00EF00BF"/>
    <w:rsid w:val="00EF03D5"/>
    <w:rsid w:val="00EF0B52"/>
    <w:rsid w:val="00EF0C6C"/>
    <w:rsid w:val="00EF11DC"/>
    <w:rsid w:val="00EF1489"/>
    <w:rsid w:val="00EF19B3"/>
    <w:rsid w:val="00EF1E77"/>
    <w:rsid w:val="00EF237C"/>
    <w:rsid w:val="00EF25C4"/>
    <w:rsid w:val="00EF2D23"/>
    <w:rsid w:val="00EF2EF0"/>
    <w:rsid w:val="00EF2F9C"/>
    <w:rsid w:val="00EF2F9E"/>
    <w:rsid w:val="00EF32B9"/>
    <w:rsid w:val="00EF3690"/>
    <w:rsid w:val="00EF3E13"/>
    <w:rsid w:val="00EF3E4D"/>
    <w:rsid w:val="00EF43C7"/>
    <w:rsid w:val="00EF43F3"/>
    <w:rsid w:val="00EF477F"/>
    <w:rsid w:val="00EF4E8F"/>
    <w:rsid w:val="00EF554E"/>
    <w:rsid w:val="00EF5551"/>
    <w:rsid w:val="00EF56ED"/>
    <w:rsid w:val="00EF5D01"/>
    <w:rsid w:val="00EF5DF4"/>
    <w:rsid w:val="00EF60E3"/>
    <w:rsid w:val="00EF61B8"/>
    <w:rsid w:val="00EF62E0"/>
    <w:rsid w:val="00EF674F"/>
    <w:rsid w:val="00EF6E6F"/>
    <w:rsid w:val="00EF7038"/>
    <w:rsid w:val="00EF7277"/>
    <w:rsid w:val="00EF75A4"/>
    <w:rsid w:val="00EF7AC4"/>
    <w:rsid w:val="00EF7E21"/>
    <w:rsid w:val="00EF7F10"/>
    <w:rsid w:val="00F0002D"/>
    <w:rsid w:val="00F00615"/>
    <w:rsid w:val="00F00616"/>
    <w:rsid w:val="00F00778"/>
    <w:rsid w:val="00F0086E"/>
    <w:rsid w:val="00F00B32"/>
    <w:rsid w:val="00F00C34"/>
    <w:rsid w:val="00F00E6A"/>
    <w:rsid w:val="00F01383"/>
    <w:rsid w:val="00F015CD"/>
    <w:rsid w:val="00F01DB2"/>
    <w:rsid w:val="00F020C7"/>
    <w:rsid w:val="00F02227"/>
    <w:rsid w:val="00F0256E"/>
    <w:rsid w:val="00F02B48"/>
    <w:rsid w:val="00F02EF4"/>
    <w:rsid w:val="00F03099"/>
    <w:rsid w:val="00F0346F"/>
    <w:rsid w:val="00F03475"/>
    <w:rsid w:val="00F035A8"/>
    <w:rsid w:val="00F035DA"/>
    <w:rsid w:val="00F03934"/>
    <w:rsid w:val="00F03B4A"/>
    <w:rsid w:val="00F03F22"/>
    <w:rsid w:val="00F04102"/>
    <w:rsid w:val="00F0418B"/>
    <w:rsid w:val="00F04484"/>
    <w:rsid w:val="00F0449E"/>
    <w:rsid w:val="00F0456F"/>
    <w:rsid w:val="00F04626"/>
    <w:rsid w:val="00F04708"/>
    <w:rsid w:val="00F04DC7"/>
    <w:rsid w:val="00F04E2B"/>
    <w:rsid w:val="00F054AA"/>
    <w:rsid w:val="00F05AC6"/>
    <w:rsid w:val="00F05ED3"/>
    <w:rsid w:val="00F0609E"/>
    <w:rsid w:val="00F06269"/>
    <w:rsid w:val="00F0626F"/>
    <w:rsid w:val="00F066BE"/>
    <w:rsid w:val="00F06772"/>
    <w:rsid w:val="00F0691A"/>
    <w:rsid w:val="00F06933"/>
    <w:rsid w:val="00F06AB1"/>
    <w:rsid w:val="00F07414"/>
    <w:rsid w:val="00F074B0"/>
    <w:rsid w:val="00F07932"/>
    <w:rsid w:val="00F07985"/>
    <w:rsid w:val="00F07C09"/>
    <w:rsid w:val="00F07ECC"/>
    <w:rsid w:val="00F106FA"/>
    <w:rsid w:val="00F10C4C"/>
    <w:rsid w:val="00F10E00"/>
    <w:rsid w:val="00F112CA"/>
    <w:rsid w:val="00F1167B"/>
    <w:rsid w:val="00F11883"/>
    <w:rsid w:val="00F119C7"/>
    <w:rsid w:val="00F11CF2"/>
    <w:rsid w:val="00F12211"/>
    <w:rsid w:val="00F128C9"/>
    <w:rsid w:val="00F12AD7"/>
    <w:rsid w:val="00F12BC9"/>
    <w:rsid w:val="00F12D04"/>
    <w:rsid w:val="00F13167"/>
    <w:rsid w:val="00F1337D"/>
    <w:rsid w:val="00F13416"/>
    <w:rsid w:val="00F1392C"/>
    <w:rsid w:val="00F13F4C"/>
    <w:rsid w:val="00F13FB5"/>
    <w:rsid w:val="00F145CD"/>
    <w:rsid w:val="00F14FE5"/>
    <w:rsid w:val="00F15030"/>
    <w:rsid w:val="00F1519D"/>
    <w:rsid w:val="00F15274"/>
    <w:rsid w:val="00F1533B"/>
    <w:rsid w:val="00F15422"/>
    <w:rsid w:val="00F15538"/>
    <w:rsid w:val="00F1568C"/>
    <w:rsid w:val="00F158B3"/>
    <w:rsid w:val="00F15C09"/>
    <w:rsid w:val="00F15E5F"/>
    <w:rsid w:val="00F15F53"/>
    <w:rsid w:val="00F1612E"/>
    <w:rsid w:val="00F161B7"/>
    <w:rsid w:val="00F16B84"/>
    <w:rsid w:val="00F17193"/>
    <w:rsid w:val="00F1754E"/>
    <w:rsid w:val="00F1764F"/>
    <w:rsid w:val="00F176A6"/>
    <w:rsid w:val="00F1779E"/>
    <w:rsid w:val="00F178C9"/>
    <w:rsid w:val="00F17C29"/>
    <w:rsid w:val="00F17C71"/>
    <w:rsid w:val="00F17D55"/>
    <w:rsid w:val="00F20AA3"/>
    <w:rsid w:val="00F20DFD"/>
    <w:rsid w:val="00F20E8D"/>
    <w:rsid w:val="00F20F03"/>
    <w:rsid w:val="00F21096"/>
    <w:rsid w:val="00F2115B"/>
    <w:rsid w:val="00F211B8"/>
    <w:rsid w:val="00F215D7"/>
    <w:rsid w:val="00F21739"/>
    <w:rsid w:val="00F217E4"/>
    <w:rsid w:val="00F21980"/>
    <w:rsid w:val="00F21E01"/>
    <w:rsid w:val="00F224DF"/>
    <w:rsid w:val="00F22C64"/>
    <w:rsid w:val="00F23009"/>
    <w:rsid w:val="00F23517"/>
    <w:rsid w:val="00F237C9"/>
    <w:rsid w:val="00F23874"/>
    <w:rsid w:val="00F23B36"/>
    <w:rsid w:val="00F23B9A"/>
    <w:rsid w:val="00F23C19"/>
    <w:rsid w:val="00F23C27"/>
    <w:rsid w:val="00F23CB6"/>
    <w:rsid w:val="00F240BA"/>
    <w:rsid w:val="00F245D7"/>
    <w:rsid w:val="00F248FF"/>
    <w:rsid w:val="00F24E9C"/>
    <w:rsid w:val="00F24EFD"/>
    <w:rsid w:val="00F2562C"/>
    <w:rsid w:val="00F25816"/>
    <w:rsid w:val="00F25C2B"/>
    <w:rsid w:val="00F260B6"/>
    <w:rsid w:val="00F260B7"/>
    <w:rsid w:val="00F26184"/>
    <w:rsid w:val="00F2625F"/>
    <w:rsid w:val="00F26545"/>
    <w:rsid w:val="00F26920"/>
    <w:rsid w:val="00F26C1F"/>
    <w:rsid w:val="00F26C2D"/>
    <w:rsid w:val="00F26EFC"/>
    <w:rsid w:val="00F26FF3"/>
    <w:rsid w:val="00F27105"/>
    <w:rsid w:val="00F275F6"/>
    <w:rsid w:val="00F27F64"/>
    <w:rsid w:val="00F27FA5"/>
    <w:rsid w:val="00F30226"/>
    <w:rsid w:val="00F302D8"/>
    <w:rsid w:val="00F303FD"/>
    <w:rsid w:val="00F30848"/>
    <w:rsid w:val="00F30935"/>
    <w:rsid w:val="00F30944"/>
    <w:rsid w:val="00F309FE"/>
    <w:rsid w:val="00F30B79"/>
    <w:rsid w:val="00F30C94"/>
    <w:rsid w:val="00F30CA2"/>
    <w:rsid w:val="00F31306"/>
    <w:rsid w:val="00F3149B"/>
    <w:rsid w:val="00F316A8"/>
    <w:rsid w:val="00F318A6"/>
    <w:rsid w:val="00F31AA5"/>
    <w:rsid w:val="00F31C18"/>
    <w:rsid w:val="00F31C84"/>
    <w:rsid w:val="00F31DBF"/>
    <w:rsid w:val="00F31EEE"/>
    <w:rsid w:val="00F31F52"/>
    <w:rsid w:val="00F31FFE"/>
    <w:rsid w:val="00F3280E"/>
    <w:rsid w:val="00F32856"/>
    <w:rsid w:val="00F32B11"/>
    <w:rsid w:val="00F32BF1"/>
    <w:rsid w:val="00F32C0F"/>
    <w:rsid w:val="00F32F88"/>
    <w:rsid w:val="00F32FED"/>
    <w:rsid w:val="00F3311D"/>
    <w:rsid w:val="00F3349E"/>
    <w:rsid w:val="00F33984"/>
    <w:rsid w:val="00F339A7"/>
    <w:rsid w:val="00F33A9E"/>
    <w:rsid w:val="00F340BD"/>
    <w:rsid w:val="00F34A41"/>
    <w:rsid w:val="00F34D62"/>
    <w:rsid w:val="00F34DE6"/>
    <w:rsid w:val="00F34FDD"/>
    <w:rsid w:val="00F35090"/>
    <w:rsid w:val="00F354D6"/>
    <w:rsid w:val="00F35D13"/>
    <w:rsid w:val="00F36039"/>
    <w:rsid w:val="00F361F7"/>
    <w:rsid w:val="00F36676"/>
    <w:rsid w:val="00F36691"/>
    <w:rsid w:val="00F36AA8"/>
    <w:rsid w:val="00F37059"/>
    <w:rsid w:val="00F37109"/>
    <w:rsid w:val="00F3744C"/>
    <w:rsid w:val="00F37827"/>
    <w:rsid w:val="00F37D10"/>
    <w:rsid w:val="00F40214"/>
    <w:rsid w:val="00F4060B"/>
    <w:rsid w:val="00F40867"/>
    <w:rsid w:val="00F40985"/>
    <w:rsid w:val="00F416F6"/>
    <w:rsid w:val="00F419B1"/>
    <w:rsid w:val="00F41CF1"/>
    <w:rsid w:val="00F41F55"/>
    <w:rsid w:val="00F41FD0"/>
    <w:rsid w:val="00F4239A"/>
    <w:rsid w:val="00F42443"/>
    <w:rsid w:val="00F426F6"/>
    <w:rsid w:val="00F42CBE"/>
    <w:rsid w:val="00F42D68"/>
    <w:rsid w:val="00F42FC6"/>
    <w:rsid w:val="00F43269"/>
    <w:rsid w:val="00F43418"/>
    <w:rsid w:val="00F445EA"/>
    <w:rsid w:val="00F44C4A"/>
    <w:rsid w:val="00F44CB1"/>
    <w:rsid w:val="00F4529E"/>
    <w:rsid w:val="00F45419"/>
    <w:rsid w:val="00F4576A"/>
    <w:rsid w:val="00F45FEC"/>
    <w:rsid w:val="00F46189"/>
    <w:rsid w:val="00F46270"/>
    <w:rsid w:val="00F4640A"/>
    <w:rsid w:val="00F46B8C"/>
    <w:rsid w:val="00F46BD3"/>
    <w:rsid w:val="00F46FC8"/>
    <w:rsid w:val="00F47278"/>
    <w:rsid w:val="00F472D3"/>
    <w:rsid w:val="00F474E4"/>
    <w:rsid w:val="00F47665"/>
    <w:rsid w:val="00F47D0A"/>
    <w:rsid w:val="00F47EAA"/>
    <w:rsid w:val="00F5034A"/>
    <w:rsid w:val="00F5082F"/>
    <w:rsid w:val="00F50D1D"/>
    <w:rsid w:val="00F50E9D"/>
    <w:rsid w:val="00F50EF7"/>
    <w:rsid w:val="00F5119D"/>
    <w:rsid w:val="00F51281"/>
    <w:rsid w:val="00F515C4"/>
    <w:rsid w:val="00F515CD"/>
    <w:rsid w:val="00F5169A"/>
    <w:rsid w:val="00F51782"/>
    <w:rsid w:val="00F51AE6"/>
    <w:rsid w:val="00F51B9C"/>
    <w:rsid w:val="00F51BE5"/>
    <w:rsid w:val="00F51DA6"/>
    <w:rsid w:val="00F52007"/>
    <w:rsid w:val="00F52058"/>
    <w:rsid w:val="00F5236B"/>
    <w:rsid w:val="00F52492"/>
    <w:rsid w:val="00F52817"/>
    <w:rsid w:val="00F5297E"/>
    <w:rsid w:val="00F52AF6"/>
    <w:rsid w:val="00F52B1A"/>
    <w:rsid w:val="00F52B57"/>
    <w:rsid w:val="00F52EB0"/>
    <w:rsid w:val="00F52F02"/>
    <w:rsid w:val="00F5302D"/>
    <w:rsid w:val="00F532D8"/>
    <w:rsid w:val="00F533D6"/>
    <w:rsid w:val="00F53872"/>
    <w:rsid w:val="00F53E5D"/>
    <w:rsid w:val="00F53FC6"/>
    <w:rsid w:val="00F542AA"/>
    <w:rsid w:val="00F54723"/>
    <w:rsid w:val="00F54936"/>
    <w:rsid w:val="00F54A60"/>
    <w:rsid w:val="00F55423"/>
    <w:rsid w:val="00F557A2"/>
    <w:rsid w:val="00F55B98"/>
    <w:rsid w:val="00F55BDB"/>
    <w:rsid w:val="00F55D13"/>
    <w:rsid w:val="00F55E0F"/>
    <w:rsid w:val="00F55F08"/>
    <w:rsid w:val="00F56567"/>
    <w:rsid w:val="00F56FEE"/>
    <w:rsid w:val="00F60332"/>
    <w:rsid w:val="00F60373"/>
    <w:rsid w:val="00F605ED"/>
    <w:rsid w:val="00F60CEA"/>
    <w:rsid w:val="00F61127"/>
    <w:rsid w:val="00F61791"/>
    <w:rsid w:val="00F61880"/>
    <w:rsid w:val="00F61B1E"/>
    <w:rsid w:val="00F61B86"/>
    <w:rsid w:val="00F61C0A"/>
    <w:rsid w:val="00F61D1D"/>
    <w:rsid w:val="00F62106"/>
    <w:rsid w:val="00F628FB"/>
    <w:rsid w:val="00F63534"/>
    <w:rsid w:val="00F635F8"/>
    <w:rsid w:val="00F63824"/>
    <w:rsid w:val="00F63A96"/>
    <w:rsid w:val="00F63FCF"/>
    <w:rsid w:val="00F6455A"/>
    <w:rsid w:val="00F64A76"/>
    <w:rsid w:val="00F64C06"/>
    <w:rsid w:val="00F64F30"/>
    <w:rsid w:val="00F651CA"/>
    <w:rsid w:val="00F653C7"/>
    <w:rsid w:val="00F65601"/>
    <w:rsid w:val="00F65C9F"/>
    <w:rsid w:val="00F65F79"/>
    <w:rsid w:val="00F66253"/>
    <w:rsid w:val="00F66394"/>
    <w:rsid w:val="00F663E5"/>
    <w:rsid w:val="00F66700"/>
    <w:rsid w:val="00F66750"/>
    <w:rsid w:val="00F66E01"/>
    <w:rsid w:val="00F66E63"/>
    <w:rsid w:val="00F67037"/>
    <w:rsid w:val="00F670ED"/>
    <w:rsid w:val="00F67B83"/>
    <w:rsid w:val="00F67EFB"/>
    <w:rsid w:val="00F67F99"/>
    <w:rsid w:val="00F7009B"/>
    <w:rsid w:val="00F7019F"/>
    <w:rsid w:val="00F7020E"/>
    <w:rsid w:val="00F70C8E"/>
    <w:rsid w:val="00F71054"/>
    <w:rsid w:val="00F712FC"/>
    <w:rsid w:val="00F71ADA"/>
    <w:rsid w:val="00F71B0D"/>
    <w:rsid w:val="00F71D03"/>
    <w:rsid w:val="00F720FE"/>
    <w:rsid w:val="00F72117"/>
    <w:rsid w:val="00F7273E"/>
    <w:rsid w:val="00F73359"/>
    <w:rsid w:val="00F7388E"/>
    <w:rsid w:val="00F741AC"/>
    <w:rsid w:val="00F743A2"/>
    <w:rsid w:val="00F744C4"/>
    <w:rsid w:val="00F7471C"/>
    <w:rsid w:val="00F747FD"/>
    <w:rsid w:val="00F74A41"/>
    <w:rsid w:val="00F74A7F"/>
    <w:rsid w:val="00F74C35"/>
    <w:rsid w:val="00F751B4"/>
    <w:rsid w:val="00F757AD"/>
    <w:rsid w:val="00F75A29"/>
    <w:rsid w:val="00F75CD6"/>
    <w:rsid w:val="00F75E5F"/>
    <w:rsid w:val="00F75E81"/>
    <w:rsid w:val="00F7629D"/>
    <w:rsid w:val="00F767A0"/>
    <w:rsid w:val="00F7692D"/>
    <w:rsid w:val="00F76942"/>
    <w:rsid w:val="00F76A24"/>
    <w:rsid w:val="00F76BC1"/>
    <w:rsid w:val="00F772BC"/>
    <w:rsid w:val="00F7734B"/>
    <w:rsid w:val="00F77509"/>
    <w:rsid w:val="00F77826"/>
    <w:rsid w:val="00F778B9"/>
    <w:rsid w:val="00F779BD"/>
    <w:rsid w:val="00F77DAD"/>
    <w:rsid w:val="00F77DB0"/>
    <w:rsid w:val="00F77F91"/>
    <w:rsid w:val="00F80025"/>
    <w:rsid w:val="00F803AC"/>
    <w:rsid w:val="00F80524"/>
    <w:rsid w:val="00F81353"/>
    <w:rsid w:val="00F81790"/>
    <w:rsid w:val="00F818BB"/>
    <w:rsid w:val="00F81AEF"/>
    <w:rsid w:val="00F81FE8"/>
    <w:rsid w:val="00F821ED"/>
    <w:rsid w:val="00F823EF"/>
    <w:rsid w:val="00F82A06"/>
    <w:rsid w:val="00F82A16"/>
    <w:rsid w:val="00F830A9"/>
    <w:rsid w:val="00F83F87"/>
    <w:rsid w:val="00F84384"/>
    <w:rsid w:val="00F844B4"/>
    <w:rsid w:val="00F8458E"/>
    <w:rsid w:val="00F84642"/>
    <w:rsid w:val="00F84AD1"/>
    <w:rsid w:val="00F84B55"/>
    <w:rsid w:val="00F84E16"/>
    <w:rsid w:val="00F84E32"/>
    <w:rsid w:val="00F851A3"/>
    <w:rsid w:val="00F856BB"/>
    <w:rsid w:val="00F857A4"/>
    <w:rsid w:val="00F85916"/>
    <w:rsid w:val="00F85A31"/>
    <w:rsid w:val="00F85D91"/>
    <w:rsid w:val="00F8614D"/>
    <w:rsid w:val="00F865D7"/>
    <w:rsid w:val="00F86855"/>
    <w:rsid w:val="00F86866"/>
    <w:rsid w:val="00F86B35"/>
    <w:rsid w:val="00F86F60"/>
    <w:rsid w:val="00F87382"/>
    <w:rsid w:val="00F87427"/>
    <w:rsid w:val="00F874DE"/>
    <w:rsid w:val="00F876B4"/>
    <w:rsid w:val="00F878E2"/>
    <w:rsid w:val="00F87A40"/>
    <w:rsid w:val="00F87CD1"/>
    <w:rsid w:val="00F87CD4"/>
    <w:rsid w:val="00F87DCB"/>
    <w:rsid w:val="00F87DF6"/>
    <w:rsid w:val="00F87E3B"/>
    <w:rsid w:val="00F8CB38"/>
    <w:rsid w:val="00F90012"/>
    <w:rsid w:val="00F904A6"/>
    <w:rsid w:val="00F90555"/>
    <w:rsid w:val="00F90865"/>
    <w:rsid w:val="00F90940"/>
    <w:rsid w:val="00F90948"/>
    <w:rsid w:val="00F90A31"/>
    <w:rsid w:val="00F90FD3"/>
    <w:rsid w:val="00F91123"/>
    <w:rsid w:val="00F914F4"/>
    <w:rsid w:val="00F91679"/>
    <w:rsid w:val="00F91DFD"/>
    <w:rsid w:val="00F91F6D"/>
    <w:rsid w:val="00F923FF"/>
    <w:rsid w:val="00F928E5"/>
    <w:rsid w:val="00F92AF7"/>
    <w:rsid w:val="00F92E6A"/>
    <w:rsid w:val="00F92F7B"/>
    <w:rsid w:val="00F93000"/>
    <w:rsid w:val="00F932A7"/>
    <w:rsid w:val="00F93457"/>
    <w:rsid w:val="00F93DDD"/>
    <w:rsid w:val="00F93E1F"/>
    <w:rsid w:val="00F93E4D"/>
    <w:rsid w:val="00F940AD"/>
    <w:rsid w:val="00F9443E"/>
    <w:rsid w:val="00F94460"/>
    <w:rsid w:val="00F94627"/>
    <w:rsid w:val="00F95054"/>
    <w:rsid w:val="00F95803"/>
    <w:rsid w:val="00F95A76"/>
    <w:rsid w:val="00F95B27"/>
    <w:rsid w:val="00F95C2A"/>
    <w:rsid w:val="00F95D42"/>
    <w:rsid w:val="00F95E13"/>
    <w:rsid w:val="00F9632A"/>
    <w:rsid w:val="00F969CC"/>
    <w:rsid w:val="00F96C88"/>
    <w:rsid w:val="00F96EFA"/>
    <w:rsid w:val="00F96F34"/>
    <w:rsid w:val="00F97454"/>
    <w:rsid w:val="00F97528"/>
    <w:rsid w:val="00F9788C"/>
    <w:rsid w:val="00F97B69"/>
    <w:rsid w:val="00F97B84"/>
    <w:rsid w:val="00F97E64"/>
    <w:rsid w:val="00F97F42"/>
    <w:rsid w:val="00FA0009"/>
    <w:rsid w:val="00FA0171"/>
    <w:rsid w:val="00FA01C4"/>
    <w:rsid w:val="00FA10EF"/>
    <w:rsid w:val="00FA10F4"/>
    <w:rsid w:val="00FA18CD"/>
    <w:rsid w:val="00FA1CD8"/>
    <w:rsid w:val="00FA2145"/>
    <w:rsid w:val="00FA225C"/>
    <w:rsid w:val="00FA23D9"/>
    <w:rsid w:val="00FA25C6"/>
    <w:rsid w:val="00FA3128"/>
    <w:rsid w:val="00FA3677"/>
    <w:rsid w:val="00FA3873"/>
    <w:rsid w:val="00FA3D8C"/>
    <w:rsid w:val="00FA402B"/>
    <w:rsid w:val="00FA4282"/>
    <w:rsid w:val="00FA4544"/>
    <w:rsid w:val="00FA46AF"/>
    <w:rsid w:val="00FA4780"/>
    <w:rsid w:val="00FA4985"/>
    <w:rsid w:val="00FA49EB"/>
    <w:rsid w:val="00FA4EDF"/>
    <w:rsid w:val="00FA4F95"/>
    <w:rsid w:val="00FA513F"/>
    <w:rsid w:val="00FA5DC3"/>
    <w:rsid w:val="00FA5DCD"/>
    <w:rsid w:val="00FA614C"/>
    <w:rsid w:val="00FA6379"/>
    <w:rsid w:val="00FA6489"/>
    <w:rsid w:val="00FA6561"/>
    <w:rsid w:val="00FA65C0"/>
    <w:rsid w:val="00FA679A"/>
    <w:rsid w:val="00FA6A6C"/>
    <w:rsid w:val="00FA6B14"/>
    <w:rsid w:val="00FA6B66"/>
    <w:rsid w:val="00FA6EC3"/>
    <w:rsid w:val="00FA72B8"/>
    <w:rsid w:val="00FA7EB8"/>
    <w:rsid w:val="00FB0316"/>
    <w:rsid w:val="00FB05DA"/>
    <w:rsid w:val="00FB07A8"/>
    <w:rsid w:val="00FB0994"/>
    <w:rsid w:val="00FB19D7"/>
    <w:rsid w:val="00FB1AD2"/>
    <w:rsid w:val="00FB1B0A"/>
    <w:rsid w:val="00FB1CC2"/>
    <w:rsid w:val="00FB1D54"/>
    <w:rsid w:val="00FB1DDF"/>
    <w:rsid w:val="00FB1FD3"/>
    <w:rsid w:val="00FB2201"/>
    <w:rsid w:val="00FB229C"/>
    <w:rsid w:val="00FB2675"/>
    <w:rsid w:val="00FB2A2B"/>
    <w:rsid w:val="00FB2C24"/>
    <w:rsid w:val="00FB2CB7"/>
    <w:rsid w:val="00FB2CD5"/>
    <w:rsid w:val="00FB2F04"/>
    <w:rsid w:val="00FB2F19"/>
    <w:rsid w:val="00FB348C"/>
    <w:rsid w:val="00FB37EF"/>
    <w:rsid w:val="00FB3CA3"/>
    <w:rsid w:val="00FB3D11"/>
    <w:rsid w:val="00FB3DCC"/>
    <w:rsid w:val="00FB3F5B"/>
    <w:rsid w:val="00FB4046"/>
    <w:rsid w:val="00FB4921"/>
    <w:rsid w:val="00FB4BAA"/>
    <w:rsid w:val="00FB4CE3"/>
    <w:rsid w:val="00FB5371"/>
    <w:rsid w:val="00FB59FA"/>
    <w:rsid w:val="00FB5E74"/>
    <w:rsid w:val="00FB61B2"/>
    <w:rsid w:val="00FB6AAF"/>
    <w:rsid w:val="00FB6B90"/>
    <w:rsid w:val="00FB6BB2"/>
    <w:rsid w:val="00FB6BC2"/>
    <w:rsid w:val="00FB6C1B"/>
    <w:rsid w:val="00FB72DC"/>
    <w:rsid w:val="00FB72EE"/>
    <w:rsid w:val="00FB75C6"/>
    <w:rsid w:val="00FB7923"/>
    <w:rsid w:val="00FB7D34"/>
    <w:rsid w:val="00FC0547"/>
    <w:rsid w:val="00FC0D0E"/>
    <w:rsid w:val="00FC0D7B"/>
    <w:rsid w:val="00FC10FD"/>
    <w:rsid w:val="00FC1180"/>
    <w:rsid w:val="00FC15A2"/>
    <w:rsid w:val="00FC1E16"/>
    <w:rsid w:val="00FC1EB6"/>
    <w:rsid w:val="00FC1FA6"/>
    <w:rsid w:val="00FC2117"/>
    <w:rsid w:val="00FC2CD8"/>
    <w:rsid w:val="00FC2D22"/>
    <w:rsid w:val="00FC2D5F"/>
    <w:rsid w:val="00FC2DC8"/>
    <w:rsid w:val="00FC2DD5"/>
    <w:rsid w:val="00FC2E08"/>
    <w:rsid w:val="00FC2E1F"/>
    <w:rsid w:val="00FC2E8E"/>
    <w:rsid w:val="00FC30AE"/>
    <w:rsid w:val="00FC31B7"/>
    <w:rsid w:val="00FC32D5"/>
    <w:rsid w:val="00FC3322"/>
    <w:rsid w:val="00FC335A"/>
    <w:rsid w:val="00FC33C7"/>
    <w:rsid w:val="00FC35EC"/>
    <w:rsid w:val="00FC375F"/>
    <w:rsid w:val="00FC39F6"/>
    <w:rsid w:val="00FC3ACE"/>
    <w:rsid w:val="00FC3E8A"/>
    <w:rsid w:val="00FC41F3"/>
    <w:rsid w:val="00FC43CF"/>
    <w:rsid w:val="00FC452B"/>
    <w:rsid w:val="00FC486E"/>
    <w:rsid w:val="00FC4C46"/>
    <w:rsid w:val="00FC5040"/>
    <w:rsid w:val="00FC5372"/>
    <w:rsid w:val="00FC54A2"/>
    <w:rsid w:val="00FC54E3"/>
    <w:rsid w:val="00FC55C7"/>
    <w:rsid w:val="00FC5716"/>
    <w:rsid w:val="00FC577B"/>
    <w:rsid w:val="00FC595C"/>
    <w:rsid w:val="00FC5EB2"/>
    <w:rsid w:val="00FC5F8F"/>
    <w:rsid w:val="00FC6159"/>
    <w:rsid w:val="00FC661C"/>
    <w:rsid w:val="00FC75C3"/>
    <w:rsid w:val="00FC782E"/>
    <w:rsid w:val="00FC7BFD"/>
    <w:rsid w:val="00FD0454"/>
    <w:rsid w:val="00FD09BA"/>
    <w:rsid w:val="00FD0B00"/>
    <w:rsid w:val="00FD1108"/>
    <w:rsid w:val="00FD18D3"/>
    <w:rsid w:val="00FD1DAE"/>
    <w:rsid w:val="00FD2093"/>
    <w:rsid w:val="00FD2480"/>
    <w:rsid w:val="00FD24E9"/>
    <w:rsid w:val="00FD24EF"/>
    <w:rsid w:val="00FD25B7"/>
    <w:rsid w:val="00FD2809"/>
    <w:rsid w:val="00FD280B"/>
    <w:rsid w:val="00FD2983"/>
    <w:rsid w:val="00FD2EDD"/>
    <w:rsid w:val="00FD31AA"/>
    <w:rsid w:val="00FD33A7"/>
    <w:rsid w:val="00FD3414"/>
    <w:rsid w:val="00FD359C"/>
    <w:rsid w:val="00FD37A5"/>
    <w:rsid w:val="00FD37F9"/>
    <w:rsid w:val="00FD3B91"/>
    <w:rsid w:val="00FD3EFD"/>
    <w:rsid w:val="00FD40E8"/>
    <w:rsid w:val="00FD43A1"/>
    <w:rsid w:val="00FD44ED"/>
    <w:rsid w:val="00FD4AA4"/>
    <w:rsid w:val="00FD4B50"/>
    <w:rsid w:val="00FD4DB9"/>
    <w:rsid w:val="00FD505B"/>
    <w:rsid w:val="00FD5079"/>
    <w:rsid w:val="00FD531B"/>
    <w:rsid w:val="00FD54F2"/>
    <w:rsid w:val="00FD57B0"/>
    <w:rsid w:val="00FD5946"/>
    <w:rsid w:val="00FD5B03"/>
    <w:rsid w:val="00FD5B63"/>
    <w:rsid w:val="00FD5DC9"/>
    <w:rsid w:val="00FD603A"/>
    <w:rsid w:val="00FD651A"/>
    <w:rsid w:val="00FD6A48"/>
    <w:rsid w:val="00FD6C3C"/>
    <w:rsid w:val="00FD6E70"/>
    <w:rsid w:val="00FD6EF0"/>
    <w:rsid w:val="00FD703A"/>
    <w:rsid w:val="00FD7182"/>
    <w:rsid w:val="00FD7336"/>
    <w:rsid w:val="00FD73B0"/>
    <w:rsid w:val="00FD7C80"/>
    <w:rsid w:val="00FE000B"/>
    <w:rsid w:val="00FE0627"/>
    <w:rsid w:val="00FE1287"/>
    <w:rsid w:val="00FE17DA"/>
    <w:rsid w:val="00FE1BCD"/>
    <w:rsid w:val="00FE205C"/>
    <w:rsid w:val="00FE2605"/>
    <w:rsid w:val="00FE2634"/>
    <w:rsid w:val="00FE2F1B"/>
    <w:rsid w:val="00FE30B8"/>
    <w:rsid w:val="00FE30F8"/>
    <w:rsid w:val="00FE314C"/>
    <w:rsid w:val="00FE320A"/>
    <w:rsid w:val="00FE342E"/>
    <w:rsid w:val="00FE349D"/>
    <w:rsid w:val="00FE3777"/>
    <w:rsid w:val="00FE37CA"/>
    <w:rsid w:val="00FE3BA8"/>
    <w:rsid w:val="00FE3DB7"/>
    <w:rsid w:val="00FE42EE"/>
    <w:rsid w:val="00FE4929"/>
    <w:rsid w:val="00FE497B"/>
    <w:rsid w:val="00FE4AF2"/>
    <w:rsid w:val="00FE4B11"/>
    <w:rsid w:val="00FE4C8A"/>
    <w:rsid w:val="00FE511A"/>
    <w:rsid w:val="00FE5D62"/>
    <w:rsid w:val="00FE5E3F"/>
    <w:rsid w:val="00FE6359"/>
    <w:rsid w:val="00FE688C"/>
    <w:rsid w:val="00FE6B14"/>
    <w:rsid w:val="00FE6B53"/>
    <w:rsid w:val="00FE6C60"/>
    <w:rsid w:val="00FE6C68"/>
    <w:rsid w:val="00FE724C"/>
    <w:rsid w:val="00FE7335"/>
    <w:rsid w:val="00FE757F"/>
    <w:rsid w:val="00FE7652"/>
    <w:rsid w:val="00FE76F1"/>
    <w:rsid w:val="00FE7A1E"/>
    <w:rsid w:val="00FE7B47"/>
    <w:rsid w:val="00FE7F35"/>
    <w:rsid w:val="00FF00E8"/>
    <w:rsid w:val="00FF0176"/>
    <w:rsid w:val="00FF0514"/>
    <w:rsid w:val="00FF063F"/>
    <w:rsid w:val="00FF06C1"/>
    <w:rsid w:val="00FF0A65"/>
    <w:rsid w:val="00FF0D9C"/>
    <w:rsid w:val="00FF0EE7"/>
    <w:rsid w:val="00FF0FE5"/>
    <w:rsid w:val="00FF10CF"/>
    <w:rsid w:val="00FF13DF"/>
    <w:rsid w:val="00FF13FF"/>
    <w:rsid w:val="00FF1FDA"/>
    <w:rsid w:val="00FF2275"/>
    <w:rsid w:val="00FF2F61"/>
    <w:rsid w:val="00FF3195"/>
    <w:rsid w:val="00FF3997"/>
    <w:rsid w:val="00FF3D61"/>
    <w:rsid w:val="00FF3F82"/>
    <w:rsid w:val="00FF3FCC"/>
    <w:rsid w:val="00FF3FD6"/>
    <w:rsid w:val="00FF4118"/>
    <w:rsid w:val="00FF42B2"/>
    <w:rsid w:val="00FF4357"/>
    <w:rsid w:val="00FF4510"/>
    <w:rsid w:val="00FF4539"/>
    <w:rsid w:val="00FF4D4A"/>
    <w:rsid w:val="00FF50C3"/>
    <w:rsid w:val="00FF5682"/>
    <w:rsid w:val="00FF5945"/>
    <w:rsid w:val="00FF5B0C"/>
    <w:rsid w:val="00FF5B3D"/>
    <w:rsid w:val="00FF5CDC"/>
    <w:rsid w:val="00FF608B"/>
    <w:rsid w:val="00FF6247"/>
    <w:rsid w:val="00FF654E"/>
    <w:rsid w:val="00FF67ED"/>
    <w:rsid w:val="00FF6AFD"/>
    <w:rsid w:val="00FF6C5E"/>
    <w:rsid w:val="00FF6C8C"/>
    <w:rsid w:val="00FF711B"/>
    <w:rsid w:val="00FF726D"/>
    <w:rsid w:val="00FF75A0"/>
    <w:rsid w:val="00FF77E2"/>
    <w:rsid w:val="00FF7E35"/>
    <w:rsid w:val="00FF7FF5"/>
    <w:rsid w:val="01B120F1"/>
    <w:rsid w:val="0210F005"/>
    <w:rsid w:val="02295A19"/>
    <w:rsid w:val="0380CB80"/>
    <w:rsid w:val="050E079C"/>
    <w:rsid w:val="05372D6B"/>
    <w:rsid w:val="058BD50F"/>
    <w:rsid w:val="05F6D7F1"/>
    <w:rsid w:val="0656DED7"/>
    <w:rsid w:val="0660CAEE"/>
    <w:rsid w:val="06CC9DF8"/>
    <w:rsid w:val="072C62AA"/>
    <w:rsid w:val="074DFEC0"/>
    <w:rsid w:val="0844BB49"/>
    <w:rsid w:val="084D0429"/>
    <w:rsid w:val="0861EFB2"/>
    <w:rsid w:val="088AEFAB"/>
    <w:rsid w:val="09D58167"/>
    <w:rsid w:val="0A208654"/>
    <w:rsid w:val="0A8109FD"/>
    <w:rsid w:val="0A8EEB88"/>
    <w:rsid w:val="0A93E16C"/>
    <w:rsid w:val="0B6FEAEA"/>
    <w:rsid w:val="0B8A1420"/>
    <w:rsid w:val="0CBAB83F"/>
    <w:rsid w:val="0D89FC9A"/>
    <w:rsid w:val="0F75B7E7"/>
    <w:rsid w:val="1048497C"/>
    <w:rsid w:val="10DEF977"/>
    <w:rsid w:val="10E620C7"/>
    <w:rsid w:val="10E88281"/>
    <w:rsid w:val="1116F2C4"/>
    <w:rsid w:val="11A45078"/>
    <w:rsid w:val="120B0EEE"/>
    <w:rsid w:val="12FCAC09"/>
    <w:rsid w:val="13332D68"/>
    <w:rsid w:val="13E39849"/>
    <w:rsid w:val="13E91248"/>
    <w:rsid w:val="14B605D5"/>
    <w:rsid w:val="14B96B53"/>
    <w:rsid w:val="14DD963F"/>
    <w:rsid w:val="14ED9462"/>
    <w:rsid w:val="15E21C86"/>
    <w:rsid w:val="1613ED2D"/>
    <w:rsid w:val="162CA891"/>
    <w:rsid w:val="16C8C237"/>
    <w:rsid w:val="16F25384"/>
    <w:rsid w:val="17F84821"/>
    <w:rsid w:val="18C7CB49"/>
    <w:rsid w:val="18F217BA"/>
    <w:rsid w:val="190D1EE8"/>
    <w:rsid w:val="19CBC3E5"/>
    <w:rsid w:val="19D97897"/>
    <w:rsid w:val="19E3A251"/>
    <w:rsid w:val="19F05E08"/>
    <w:rsid w:val="1A3AAEA7"/>
    <w:rsid w:val="1AF9A2F0"/>
    <w:rsid w:val="1BC5F016"/>
    <w:rsid w:val="1C2947DE"/>
    <w:rsid w:val="1C92D270"/>
    <w:rsid w:val="1D93B565"/>
    <w:rsid w:val="1DC84712"/>
    <w:rsid w:val="1DDC58F7"/>
    <w:rsid w:val="1E400157"/>
    <w:rsid w:val="1F9AF227"/>
    <w:rsid w:val="20EC8112"/>
    <w:rsid w:val="21171437"/>
    <w:rsid w:val="216F2C73"/>
    <w:rsid w:val="21869FA1"/>
    <w:rsid w:val="220D2A64"/>
    <w:rsid w:val="2230FBA8"/>
    <w:rsid w:val="22316910"/>
    <w:rsid w:val="2272C6D9"/>
    <w:rsid w:val="22EF54F3"/>
    <w:rsid w:val="23242019"/>
    <w:rsid w:val="24E1163A"/>
    <w:rsid w:val="25C0C82A"/>
    <w:rsid w:val="25EA3812"/>
    <w:rsid w:val="263FF460"/>
    <w:rsid w:val="264A7D49"/>
    <w:rsid w:val="26DB23ED"/>
    <w:rsid w:val="2718FBBB"/>
    <w:rsid w:val="2778567B"/>
    <w:rsid w:val="27B787A5"/>
    <w:rsid w:val="27D68C46"/>
    <w:rsid w:val="282508AB"/>
    <w:rsid w:val="28B0C6D6"/>
    <w:rsid w:val="2A6BF20B"/>
    <w:rsid w:val="2A808937"/>
    <w:rsid w:val="2A8B116D"/>
    <w:rsid w:val="2B0D02F5"/>
    <w:rsid w:val="2B338E31"/>
    <w:rsid w:val="2B6437B9"/>
    <w:rsid w:val="2C157490"/>
    <w:rsid w:val="2CBF0736"/>
    <w:rsid w:val="2CCB0C63"/>
    <w:rsid w:val="2D54B7AC"/>
    <w:rsid w:val="2E0BA346"/>
    <w:rsid w:val="2E66DAD5"/>
    <w:rsid w:val="2EB750AE"/>
    <w:rsid w:val="2EE2BF5D"/>
    <w:rsid w:val="301C1FBD"/>
    <w:rsid w:val="3099283D"/>
    <w:rsid w:val="30B81F5D"/>
    <w:rsid w:val="3153C296"/>
    <w:rsid w:val="318A0A74"/>
    <w:rsid w:val="318E12B6"/>
    <w:rsid w:val="32492B60"/>
    <w:rsid w:val="326A093D"/>
    <w:rsid w:val="328CED41"/>
    <w:rsid w:val="32AB3811"/>
    <w:rsid w:val="32DABE03"/>
    <w:rsid w:val="3381DBE9"/>
    <w:rsid w:val="33A0818C"/>
    <w:rsid w:val="33E902D6"/>
    <w:rsid w:val="352928CF"/>
    <w:rsid w:val="3530F484"/>
    <w:rsid w:val="35310535"/>
    <w:rsid w:val="362702DE"/>
    <w:rsid w:val="366D238B"/>
    <w:rsid w:val="3698A781"/>
    <w:rsid w:val="37B592AF"/>
    <w:rsid w:val="39E0AF15"/>
    <w:rsid w:val="3A9BEE00"/>
    <w:rsid w:val="3B2F2D02"/>
    <w:rsid w:val="3B3A3518"/>
    <w:rsid w:val="3B5E79EC"/>
    <w:rsid w:val="3BB21A1A"/>
    <w:rsid w:val="3C431ECF"/>
    <w:rsid w:val="3C8C8FC6"/>
    <w:rsid w:val="3CBD16BB"/>
    <w:rsid w:val="3CD885A3"/>
    <w:rsid w:val="3CE944E9"/>
    <w:rsid w:val="3CF17E54"/>
    <w:rsid w:val="3D1249AF"/>
    <w:rsid w:val="3D57562B"/>
    <w:rsid w:val="3DC91C76"/>
    <w:rsid w:val="3DEC54D8"/>
    <w:rsid w:val="3E7CA54A"/>
    <w:rsid w:val="3EA75E26"/>
    <w:rsid w:val="4097273C"/>
    <w:rsid w:val="40CE8F51"/>
    <w:rsid w:val="4159654C"/>
    <w:rsid w:val="4443A821"/>
    <w:rsid w:val="460FC675"/>
    <w:rsid w:val="461B8141"/>
    <w:rsid w:val="46C7601B"/>
    <w:rsid w:val="4719E8EE"/>
    <w:rsid w:val="47545B3E"/>
    <w:rsid w:val="476D1DB0"/>
    <w:rsid w:val="48B63760"/>
    <w:rsid w:val="495376EB"/>
    <w:rsid w:val="4A9B5181"/>
    <w:rsid w:val="4A9FA369"/>
    <w:rsid w:val="4B27B880"/>
    <w:rsid w:val="4BAF92F1"/>
    <w:rsid w:val="4BF42671"/>
    <w:rsid w:val="4CCD3067"/>
    <w:rsid w:val="4D017D66"/>
    <w:rsid w:val="4D10D2DC"/>
    <w:rsid w:val="4D6D306A"/>
    <w:rsid w:val="4E2E1CD1"/>
    <w:rsid w:val="4E53D676"/>
    <w:rsid w:val="4EDBC902"/>
    <w:rsid w:val="4EF36561"/>
    <w:rsid w:val="4F2E3B51"/>
    <w:rsid w:val="4F433E0E"/>
    <w:rsid w:val="4F7E9C30"/>
    <w:rsid w:val="4F9866CE"/>
    <w:rsid w:val="4F9A10B2"/>
    <w:rsid w:val="4FA4A798"/>
    <w:rsid w:val="4FAF5FBE"/>
    <w:rsid w:val="4FBF6863"/>
    <w:rsid w:val="5050270A"/>
    <w:rsid w:val="50675F9E"/>
    <w:rsid w:val="50B54840"/>
    <w:rsid w:val="50D77079"/>
    <w:rsid w:val="50E00ABB"/>
    <w:rsid w:val="51F86B7B"/>
    <w:rsid w:val="52A705D6"/>
    <w:rsid w:val="5322363C"/>
    <w:rsid w:val="5347EB2C"/>
    <w:rsid w:val="53BB7C55"/>
    <w:rsid w:val="53CEFAB6"/>
    <w:rsid w:val="543E3324"/>
    <w:rsid w:val="546D70E0"/>
    <w:rsid w:val="547A3377"/>
    <w:rsid w:val="54E2B53B"/>
    <w:rsid w:val="54F2C11B"/>
    <w:rsid w:val="5647BD64"/>
    <w:rsid w:val="569B4DE6"/>
    <w:rsid w:val="5722DB82"/>
    <w:rsid w:val="5748CCA7"/>
    <w:rsid w:val="5771599C"/>
    <w:rsid w:val="58632646"/>
    <w:rsid w:val="58C69E02"/>
    <w:rsid w:val="593A237F"/>
    <w:rsid w:val="5988DF5B"/>
    <w:rsid w:val="5994E63B"/>
    <w:rsid w:val="5A10CBA0"/>
    <w:rsid w:val="5AB200D0"/>
    <w:rsid w:val="5C8FAD2A"/>
    <w:rsid w:val="5CA2410A"/>
    <w:rsid w:val="5D703683"/>
    <w:rsid w:val="5DA32D79"/>
    <w:rsid w:val="5DA5FCE9"/>
    <w:rsid w:val="5DA713FB"/>
    <w:rsid w:val="5E180C58"/>
    <w:rsid w:val="5FEBA3A1"/>
    <w:rsid w:val="5FF07F05"/>
    <w:rsid w:val="604EDCD6"/>
    <w:rsid w:val="609C17E5"/>
    <w:rsid w:val="61B01CF9"/>
    <w:rsid w:val="620F956B"/>
    <w:rsid w:val="6249C991"/>
    <w:rsid w:val="626B1B09"/>
    <w:rsid w:val="62748261"/>
    <w:rsid w:val="62963BD6"/>
    <w:rsid w:val="62E55A59"/>
    <w:rsid w:val="62F7E0E0"/>
    <w:rsid w:val="637301A4"/>
    <w:rsid w:val="63C2C204"/>
    <w:rsid w:val="63CB4FDD"/>
    <w:rsid w:val="648D229E"/>
    <w:rsid w:val="64B125AF"/>
    <w:rsid w:val="64EFE07A"/>
    <w:rsid w:val="6574DB60"/>
    <w:rsid w:val="65A05055"/>
    <w:rsid w:val="65BABA3F"/>
    <w:rsid w:val="65F667F7"/>
    <w:rsid w:val="65FBE869"/>
    <w:rsid w:val="670E04C8"/>
    <w:rsid w:val="678B6D68"/>
    <w:rsid w:val="68E6D25C"/>
    <w:rsid w:val="69CB8EFF"/>
    <w:rsid w:val="6A199E9C"/>
    <w:rsid w:val="6A751DB3"/>
    <w:rsid w:val="6B0400FD"/>
    <w:rsid w:val="6CC95FFF"/>
    <w:rsid w:val="6D0C73A3"/>
    <w:rsid w:val="6D91390A"/>
    <w:rsid w:val="6E53375D"/>
    <w:rsid w:val="6EBA5AE1"/>
    <w:rsid w:val="6FE0B9E9"/>
    <w:rsid w:val="70FE1B8F"/>
    <w:rsid w:val="716F3A5B"/>
    <w:rsid w:val="717F1B98"/>
    <w:rsid w:val="71A33252"/>
    <w:rsid w:val="7247F40D"/>
    <w:rsid w:val="72C5AFFA"/>
    <w:rsid w:val="7424CEBE"/>
    <w:rsid w:val="7430664B"/>
    <w:rsid w:val="749FF883"/>
    <w:rsid w:val="7560D639"/>
    <w:rsid w:val="767AF5B7"/>
    <w:rsid w:val="7687A58A"/>
    <w:rsid w:val="76E96C97"/>
    <w:rsid w:val="771B6488"/>
    <w:rsid w:val="7897C8A6"/>
    <w:rsid w:val="792B2883"/>
    <w:rsid w:val="79FDCD8E"/>
    <w:rsid w:val="7A23C490"/>
    <w:rsid w:val="7A287E93"/>
    <w:rsid w:val="7A78D58E"/>
    <w:rsid w:val="7AC093DA"/>
    <w:rsid w:val="7B084582"/>
    <w:rsid w:val="7BBB8065"/>
    <w:rsid w:val="7C38FBF1"/>
    <w:rsid w:val="7C656397"/>
    <w:rsid w:val="7C943006"/>
    <w:rsid w:val="7CF4687D"/>
    <w:rsid w:val="7DE2FF4B"/>
    <w:rsid w:val="7F5FE4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4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AU" w:eastAsia="en-AU" w:bidi="ar-SA"/>
      </w:rPr>
    </w:rPrDefault>
    <w:pPrDefault>
      <w:pPr>
        <w:spacing w:before="120"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lsdException w:name="header" w:semiHidden="1" w:unhideWhenUsed="1"/>
    <w:lsdException w:name="footer" w:semiHidden="1" w:uiPriority="99" w:unhideWhenUsed="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iPriority="99"/>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toa heading" w:semiHidden="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lsdException w:name="Signature" w:semiHidden="1"/>
    <w:lsdException w:name="Default Paragraph Font" w:semiHidden="1" w:unhideWhenUsed="1"/>
    <w:lsdException w:name="Body Text" w:semiHidden="1"/>
    <w:lsdException w:name="Body Text Indent" w:semiHidden="1"/>
    <w:lsdException w:name="List Continue" w:semiHidden="1" w:unhideWhenUsed="1"/>
    <w:lsdException w:name="List Continue 2" w:semiHidden="1" w:unhideWhenUsed="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uiPriority="99"/>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F73359"/>
  </w:style>
  <w:style w:type="paragraph" w:styleId="Heading1">
    <w:name w:val="heading 1"/>
    <w:basedOn w:val="HeadingBase"/>
    <w:next w:val="Normal"/>
    <w:qFormat/>
    <w:rsid w:val="00024831"/>
    <w:pPr>
      <w:keepNext/>
      <w:spacing w:before="600" w:after="360"/>
      <w:outlineLvl w:val="0"/>
    </w:pPr>
    <w:rPr>
      <w:rFonts w:cs="Arial"/>
      <w:color w:val="142147"/>
      <w:kern w:val="32"/>
      <w:sz w:val="56"/>
      <w:szCs w:val="36"/>
    </w:rPr>
  </w:style>
  <w:style w:type="paragraph" w:styleId="Heading2">
    <w:name w:val="heading 2"/>
    <w:basedOn w:val="Normal"/>
    <w:next w:val="Normal"/>
    <w:qFormat/>
    <w:rsid w:val="003827E3"/>
    <w:pPr>
      <w:keepNext/>
      <w:spacing w:before="480" w:after="240"/>
      <w:outlineLvl w:val="1"/>
    </w:pPr>
    <w:rPr>
      <w:rFonts w:ascii="Georgia" w:hAnsi="Georgia" w:cs="Arial"/>
      <w:iCs/>
      <w:color w:val="701F4C"/>
      <w:kern w:val="32"/>
      <w:sz w:val="40"/>
      <w:szCs w:val="28"/>
      <w14:numForm w14:val="lining"/>
      <w14:numSpacing w14:val="proportional"/>
    </w:rPr>
  </w:style>
  <w:style w:type="paragraph" w:styleId="Heading3">
    <w:name w:val="heading 3"/>
    <w:basedOn w:val="Normal"/>
    <w:next w:val="Normal"/>
    <w:qFormat/>
    <w:rsid w:val="003827E3"/>
    <w:pPr>
      <w:keepNext/>
      <w:spacing w:before="320"/>
      <w:outlineLvl w:val="2"/>
    </w:pPr>
    <w:rPr>
      <w:rFonts w:ascii="Georgia" w:hAnsi="Georgia" w:cs="Arial"/>
      <w:color w:val="432B73"/>
      <w:kern w:val="32"/>
      <w:sz w:val="34"/>
      <w:szCs w:val="26"/>
      <w14:numForm w14:val="lining"/>
      <w14:numSpacing w14:val="proportional"/>
    </w:rPr>
  </w:style>
  <w:style w:type="paragraph" w:styleId="Heading4">
    <w:name w:val="heading 4"/>
    <w:basedOn w:val="Normal"/>
    <w:next w:val="Normal"/>
    <w:qFormat/>
    <w:rsid w:val="003827E3"/>
    <w:pPr>
      <w:keepNext/>
      <w:spacing w:before="280" w:after="60"/>
      <w:outlineLvl w:val="3"/>
    </w:pPr>
    <w:rPr>
      <w:rFonts w:ascii="Georgia" w:hAnsi="Georgia" w:cs="Arial"/>
      <w:kern w:val="32"/>
      <w:sz w:val="28"/>
      <w:szCs w:val="26"/>
      <w14:numForm w14:val="lining"/>
      <w14:numSpacing w14:val="proportional"/>
    </w:rPr>
  </w:style>
  <w:style w:type="paragraph" w:styleId="Heading5">
    <w:name w:val="heading 5"/>
    <w:basedOn w:val="Normal"/>
    <w:next w:val="Normal"/>
    <w:qFormat/>
    <w:rsid w:val="003827E3"/>
    <w:pPr>
      <w:keepNext/>
      <w:spacing w:before="240" w:after="0" w:line="276" w:lineRule="auto"/>
      <w:outlineLvl w:val="4"/>
    </w:pPr>
    <w:rPr>
      <w:rFonts w:ascii="Georgia" w:hAnsi="Georgia" w:cs="Arial"/>
      <w:iCs/>
      <w:color w:val="595959"/>
      <w:kern w:val="32"/>
      <w:sz w:val="25"/>
      <w:szCs w:val="36"/>
      <w14:numForm w14:val="lining"/>
      <w14:numSpacing w14:val="proportional"/>
    </w:rPr>
  </w:style>
  <w:style w:type="paragraph" w:styleId="Heading6">
    <w:name w:val="heading 6"/>
    <w:basedOn w:val="Normal"/>
    <w:next w:val="Normal"/>
    <w:qFormat/>
    <w:rsid w:val="001B4096"/>
    <w:pPr>
      <w:keepNext/>
      <w:spacing w:after="0" w:line="276" w:lineRule="auto"/>
      <w:outlineLvl w:val="5"/>
    </w:pPr>
    <w:rPr>
      <w:rFonts w:cs="Arial"/>
      <w:b/>
      <w:color w:val="000000"/>
      <w:kern w:val="32"/>
      <w:sz w:val="25"/>
      <w14:numForm w14:val="lining"/>
      <w14:numSpacing w14:val="proportional"/>
    </w:rPr>
  </w:style>
  <w:style w:type="paragraph" w:styleId="Heading7">
    <w:name w:val="heading 7"/>
    <w:basedOn w:val="HeadingBase"/>
    <w:next w:val="Normal"/>
    <w:link w:val="Heading7Char"/>
    <w:qFormat/>
    <w:rsid w:val="001B4096"/>
    <w:pPr>
      <w:outlineLvl w:val="6"/>
    </w:pPr>
    <w:rPr>
      <w:rFonts w:asciiTheme="minorHAnsi" w:hAnsiTheme="minorHAnsi"/>
      <w:b/>
      <w:color w:val="000000" w:themeColor="text1"/>
      <w:sz w:val="23"/>
      <w:szCs w:val="24"/>
    </w:rPr>
  </w:style>
  <w:style w:type="paragraph" w:styleId="Heading8">
    <w:name w:val="heading 8"/>
    <w:basedOn w:val="HeadingBase"/>
    <w:next w:val="Normal"/>
    <w:qFormat/>
    <w:rsid w:val="001B4096"/>
    <w:pPr>
      <w:outlineLvl w:val="7"/>
    </w:pPr>
    <w:rPr>
      <w:rFonts w:asciiTheme="minorHAnsi" w:hAnsiTheme="minorHAnsi"/>
      <w:b/>
      <w:iCs/>
      <w:color w:val="5F5F5F" w:themeColor="text2"/>
      <w:sz w:val="22"/>
      <w:szCs w:val="24"/>
    </w:rPr>
  </w:style>
  <w:style w:type="paragraph" w:styleId="Heading9">
    <w:name w:val="heading 9"/>
    <w:basedOn w:val="HeadingBase"/>
    <w:next w:val="Normal"/>
    <w:qFormat/>
    <w:rsid w:val="001B4096"/>
    <w:pPr>
      <w:outlineLvl w:val="8"/>
    </w:pPr>
    <w:rPr>
      <w:rFonts w:asciiTheme="minorHAnsi" w:hAnsiTheme="minorHAnsi" w:cs="Arial"/>
      <w:i/>
      <w:color w:val="5F5F5F"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semiHidden/>
    <w:rsid w:val="00024831"/>
    <w:rPr>
      <w:rFonts w:ascii="Georgia" w:hAnsi="Georgia"/>
      <w:color w:val="142147" w:themeColor="accent1"/>
      <w:sz w:val="64"/>
      <w14:numForm w14:val="lining"/>
      <w14:numSpacing w14:val="proportional"/>
    </w:rPr>
  </w:style>
  <w:style w:type="paragraph" w:customStyle="1" w:styleId="SingleParagraph">
    <w:name w:val="Single Paragraph"/>
    <w:basedOn w:val="Normal"/>
    <w:link w:val="SingleParagraphChar"/>
    <w:rsid w:val="00894823"/>
    <w:pPr>
      <w:spacing w:after="0"/>
    </w:pPr>
  </w:style>
  <w:style w:type="character" w:styleId="Hyperlink">
    <w:name w:val="Hyperlink"/>
    <w:basedOn w:val="DefaultParagraphFont"/>
    <w:uiPriority w:val="99"/>
    <w:rsid w:val="007F40E3"/>
    <w:rPr>
      <w:color w:val="2B4798" w:themeColor="accent1" w:themeTint="BF"/>
      <w:u w:val="single"/>
    </w:rPr>
  </w:style>
  <w:style w:type="paragraph" w:customStyle="1" w:styleId="Non-ChapterHeading">
    <w:name w:val="Non-Chapter Heading"/>
    <w:basedOn w:val="HeadingBase"/>
    <w:next w:val="Normal"/>
    <w:rsid w:val="00CE4811"/>
    <w:pPr>
      <w:pageBreakBefore/>
      <w:spacing w:before="360" w:after="360"/>
    </w:pPr>
    <w:rPr>
      <w:i/>
      <w:sz w:val="56"/>
      <w:szCs w:val="38"/>
    </w:rPr>
  </w:style>
  <w:style w:type="character" w:styleId="PageNumber">
    <w:name w:val="page number"/>
    <w:basedOn w:val="DefaultParagraphFont"/>
    <w:semiHidden/>
    <w:rsid w:val="00894823"/>
    <w:rPr>
      <w:rFonts w:ascii="Arial" w:hAnsi="Arial"/>
      <w:sz w:val="18"/>
    </w:rPr>
  </w:style>
  <w:style w:type="paragraph" w:styleId="EndnoteText">
    <w:name w:val="endnote text"/>
    <w:basedOn w:val="Normal"/>
    <w:link w:val="EndnoteTextChar"/>
    <w:unhideWhenUsed/>
    <w:rsid w:val="00DA5F5F"/>
    <w:pPr>
      <w:spacing w:before="0" w:after="0"/>
    </w:pPr>
    <w:rPr>
      <w:sz w:val="20"/>
      <w:szCs w:val="20"/>
    </w:rPr>
  </w:style>
  <w:style w:type="paragraph" w:customStyle="1" w:styleId="Bullet">
    <w:name w:val="Bullet"/>
    <w:basedOn w:val="Normal"/>
    <w:link w:val="BulletChar"/>
    <w:rsid w:val="002A0064"/>
    <w:pPr>
      <w:numPr>
        <w:numId w:val="84"/>
      </w:numPr>
      <w:tabs>
        <w:tab w:val="left" w:pos="567"/>
      </w:tabs>
    </w:pPr>
  </w:style>
  <w:style w:type="paragraph" w:customStyle="1" w:styleId="Dash">
    <w:name w:val="Dash"/>
    <w:basedOn w:val="Normal"/>
    <w:link w:val="DashChar"/>
    <w:rsid w:val="00B97960"/>
    <w:pPr>
      <w:numPr>
        <w:ilvl w:val="1"/>
        <w:numId w:val="84"/>
      </w:numPr>
      <w:tabs>
        <w:tab w:val="left" w:pos="1134"/>
      </w:tabs>
    </w:pPr>
  </w:style>
  <w:style w:type="paragraph" w:customStyle="1" w:styleId="DoubleDot">
    <w:name w:val="Double Dot"/>
    <w:basedOn w:val="Normal"/>
    <w:rsid w:val="00B97960"/>
    <w:pPr>
      <w:numPr>
        <w:ilvl w:val="2"/>
        <w:numId w:val="84"/>
      </w:numPr>
      <w:tabs>
        <w:tab w:val="left" w:pos="1701"/>
      </w:tabs>
    </w:pPr>
  </w:style>
  <w:style w:type="paragraph" w:customStyle="1" w:styleId="NumberedList1">
    <w:name w:val="Numbered List 1"/>
    <w:basedOn w:val="Normal"/>
    <w:rsid w:val="00CA2DB3"/>
  </w:style>
  <w:style w:type="paragraph" w:customStyle="1" w:styleId="NumberedList11">
    <w:name w:val="Numbered List 1.1"/>
    <w:basedOn w:val="Normal"/>
    <w:rsid w:val="00CA2DB3"/>
  </w:style>
  <w:style w:type="paragraph" w:customStyle="1" w:styleId="NumberedList111">
    <w:name w:val="Numbered List 1.1.1"/>
    <w:basedOn w:val="Normal"/>
    <w:rsid w:val="00CA2DB3"/>
  </w:style>
  <w:style w:type="paragraph" w:customStyle="1" w:styleId="AlphaParagraph">
    <w:name w:val="Alpha Paragraph"/>
    <w:basedOn w:val="Normal"/>
    <w:unhideWhenUsed/>
    <w:rsid w:val="000E775B"/>
    <w:pPr>
      <w:numPr>
        <w:numId w:val="2"/>
      </w:numPr>
    </w:pPr>
  </w:style>
  <w:style w:type="paragraph" w:customStyle="1" w:styleId="AppendixHeading">
    <w:name w:val="Appendix Heading"/>
    <w:basedOn w:val="Heading1"/>
    <w:next w:val="Normal"/>
    <w:rsid w:val="00DA5F5F"/>
    <w:rPr>
      <w:sz w:val="38"/>
      <w:szCs w:val="38"/>
    </w:rPr>
  </w:style>
  <w:style w:type="paragraph" w:customStyle="1" w:styleId="BoxHeading1">
    <w:name w:val="Box Heading 1"/>
    <w:basedOn w:val="HeadingBase"/>
    <w:next w:val="BoxText"/>
    <w:rsid w:val="00EB01D8"/>
    <w:pPr>
      <w:spacing w:after="80"/>
    </w:pPr>
    <w:rPr>
      <w:i/>
      <w:color w:val="auto"/>
      <w:sz w:val="28"/>
    </w:rPr>
  </w:style>
  <w:style w:type="paragraph" w:customStyle="1" w:styleId="BoxText">
    <w:name w:val="Box Text"/>
    <w:basedOn w:val="Normal"/>
    <w:rsid w:val="00EF1489"/>
  </w:style>
  <w:style w:type="paragraph" w:customStyle="1" w:styleId="NumberedParagraph111">
    <w:name w:val="Numbered Paragraph 1.1.1"/>
    <w:basedOn w:val="NumberedParagraph11"/>
    <w:qFormat/>
    <w:rsid w:val="008808CB"/>
    <w:pPr>
      <w:numPr>
        <w:ilvl w:val="2"/>
      </w:numPr>
    </w:pPr>
  </w:style>
  <w:style w:type="paragraph" w:customStyle="1" w:styleId="Notealpha">
    <w:name w:val="Note alpha"/>
    <w:basedOn w:val="Note"/>
    <w:rsid w:val="00270BDD"/>
    <w:pPr>
      <w:numPr>
        <w:numId w:val="3"/>
      </w:numPr>
      <w:spacing w:after="120"/>
      <w:ind w:left="709" w:hanging="709"/>
    </w:pPr>
    <w:rPr>
      <w:szCs w:val="16"/>
    </w:rPr>
  </w:style>
  <w:style w:type="paragraph" w:customStyle="1" w:styleId="ChartGraphic">
    <w:name w:val="Chart Graphic"/>
    <w:basedOn w:val="Normal"/>
    <w:next w:val="Normal"/>
    <w:rsid w:val="00894823"/>
    <w:pPr>
      <w:spacing w:after="20"/>
      <w:jc w:val="center"/>
    </w:pPr>
  </w:style>
  <w:style w:type="paragraph" w:customStyle="1" w:styleId="ChartHeading1">
    <w:name w:val="Chart Heading 1"/>
    <w:basedOn w:val="Normal"/>
    <w:next w:val="ChartGraphic"/>
    <w:rsid w:val="00CA2DB3"/>
    <w:pPr>
      <w:keepNext/>
      <w:spacing w:before="240" w:after="60"/>
      <w:outlineLvl w:val="2"/>
    </w:pPr>
    <w:rPr>
      <w:rFonts w:asciiTheme="majorHAnsi" w:hAnsiTheme="majorHAnsi" w:cs="Arial"/>
      <w:color w:val="142147"/>
      <w:kern w:val="32"/>
      <w:sz w:val="26"/>
      <w:szCs w:val="26"/>
      <w14:numForm w14:val="lining"/>
      <w14:numSpacing w14:val="proportional"/>
    </w:rPr>
  </w:style>
  <w:style w:type="paragraph" w:customStyle="1" w:styleId="Note">
    <w:name w:val="Note"/>
    <w:basedOn w:val="Normal"/>
    <w:next w:val="Normal"/>
    <w:rsid w:val="00024831"/>
    <w:pPr>
      <w:spacing w:before="40" w:after="60"/>
      <w:ind w:left="709" w:hanging="709"/>
      <w:contextualSpacing/>
      <w:jc w:val="both"/>
    </w:pPr>
    <w:rPr>
      <w:rFonts w:asciiTheme="minorHAnsi" w:hAnsiTheme="minorHAnsi"/>
      <w:sz w:val="18"/>
    </w:rPr>
  </w:style>
  <w:style w:type="paragraph" w:customStyle="1" w:styleId="ChartHeading2">
    <w:name w:val="Chart Heading 2"/>
    <w:basedOn w:val="Normal"/>
    <w:next w:val="ChartGraphic"/>
    <w:rsid w:val="001B4096"/>
    <w:pPr>
      <w:keepNext/>
      <w:spacing w:before="60"/>
    </w:pPr>
    <w:rPr>
      <w:rFonts w:asciiTheme="minorHAnsi" w:hAnsiTheme="minorHAnsi"/>
      <w:b/>
      <w:bCs/>
      <w:color w:val="142147"/>
      <w:szCs w:val="20"/>
    </w:rPr>
  </w:style>
  <w:style w:type="paragraph" w:customStyle="1" w:styleId="Classification">
    <w:name w:val="Classification"/>
    <w:basedOn w:val="HeadingBase"/>
    <w:next w:val="Footer"/>
    <w:unhideWhenUsed/>
    <w:rsid w:val="00894823"/>
    <w:pPr>
      <w:jc w:val="center"/>
    </w:pPr>
    <w:rPr>
      <w:b/>
      <w:smallCaps/>
    </w:rPr>
  </w:style>
  <w:style w:type="paragraph" w:styleId="Footer">
    <w:name w:val="footer"/>
    <w:basedOn w:val="HeadingBase"/>
    <w:link w:val="FooterChar"/>
    <w:uiPriority w:val="99"/>
    <w:rsid w:val="00AA5FC4"/>
    <w:pPr>
      <w:tabs>
        <w:tab w:val="left" w:pos="0"/>
        <w:tab w:val="right" w:pos="9639"/>
      </w:tabs>
      <w:jc w:val="center"/>
    </w:pPr>
    <w:rPr>
      <w:color w:val="701F4D" w:themeColor="accent2"/>
      <w:sz w:val="22"/>
    </w:rPr>
  </w:style>
  <w:style w:type="paragraph" w:customStyle="1" w:styleId="ContentsHeading">
    <w:name w:val="Contents Heading"/>
    <w:basedOn w:val="HeadingBase"/>
    <w:next w:val="Normal"/>
    <w:rsid w:val="00AE3AA3"/>
    <w:pPr>
      <w:spacing w:before="360" w:after="600"/>
      <w:outlineLvl w:val="0"/>
    </w:pPr>
    <w:rPr>
      <w:i/>
      <w:sz w:val="56"/>
      <w:szCs w:val="38"/>
    </w:rPr>
  </w:style>
  <w:style w:type="paragraph" w:customStyle="1" w:styleId="CoverTitleMain">
    <w:name w:val="Cover Title Main"/>
    <w:basedOn w:val="HeadingBase"/>
    <w:next w:val="Normal"/>
    <w:rsid w:val="00AE3AA3"/>
    <w:pPr>
      <w:spacing w:before="9600" w:after="240"/>
      <w:ind w:right="2268"/>
      <w:contextualSpacing/>
      <w:outlineLvl w:val="0"/>
    </w:pPr>
    <w:rPr>
      <w:kern w:val="32"/>
      <w:sz w:val="68"/>
      <w:szCs w:val="52"/>
    </w:rPr>
  </w:style>
  <w:style w:type="paragraph" w:customStyle="1" w:styleId="CoverTitleSub">
    <w:name w:val="Cover Title Sub"/>
    <w:basedOn w:val="HeadingBase"/>
    <w:rsid w:val="00676D8C"/>
    <w:pPr>
      <w:spacing w:after="600"/>
      <w:contextualSpacing/>
    </w:pPr>
    <w:rPr>
      <w:sz w:val="36"/>
      <w:szCs w:val="36"/>
    </w:rPr>
  </w:style>
  <w:style w:type="paragraph" w:customStyle="1" w:styleId="FooterCentered">
    <w:name w:val="Footer Centered"/>
    <w:basedOn w:val="Footer"/>
    <w:semiHidden/>
    <w:rsid w:val="00894823"/>
  </w:style>
  <w:style w:type="paragraph" w:customStyle="1" w:styleId="FooterEven">
    <w:name w:val="Footer Even"/>
    <w:basedOn w:val="Footer"/>
    <w:rsid w:val="00894823"/>
  </w:style>
  <w:style w:type="paragraph" w:customStyle="1" w:styleId="FooterOdd">
    <w:name w:val="Footer Odd"/>
    <w:basedOn w:val="Footer"/>
    <w:rsid w:val="00894823"/>
    <w:pPr>
      <w:jc w:val="right"/>
    </w:pPr>
  </w:style>
  <w:style w:type="character" w:customStyle="1" w:styleId="FramedFooter">
    <w:name w:val="Framed Footer"/>
    <w:semiHidden/>
    <w:rsid w:val="00894823"/>
    <w:rPr>
      <w:rFonts w:ascii="Arial" w:hAnsi="Arial"/>
      <w:color w:val="000080"/>
      <w:sz w:val="18"/>
      <w:szCs w:val="18"/>
    </w:rPr>
  </w:style>
  <w:style w:type="character" w:customStyle="1" w:styleId="FramedHeader">
    <w:name w:val="Framed Header"/>
    <w:basedOn w:val="DefaultParagraphFont"/>
    <w:semiHidden/>
    <w:rsid w:val="00894823"/>
    <w:rPr>
      <w:rFonts w:ascii="Arial" w:hAnsi="Arial"/>
      <w:dstrike w:val="0"/>
      <w:color w:val="000080"/>
      <w:sz w:val="18"/>
      <w:szCs w:val="18"/>
      <w:vertAlign w:val="baseline"/>
    </w:rPr>
  </w:style>
  <w:style w:type="paragraph" w:styleId="Header">
    <w:name w:val="header"/>
    <w:basedOn w:val="HeadingBase"/>
    <w:unhideWhenUsed/>
    <w:rsid w:val="005E0DC1"/>
    <w:rPr>
      <w:sz w:val="22"/>
    </w:rPr>
  </w:style>
  <w:style w:type="paragraph" w:customStyle="1" w:styleId="HeaderEven">
    <w:name w:val="Header Even"/>
    <w:basedOn w:val="Header"/>
    <w:rsid w:val="005E0DC1"/>
    <w:pPr>
      <w:jc w:val="right"/>
    </w:pPr>
  </w:style>
  <w:style w:type="paragraph" w:customStyle="1" w:styleId="HeaderOdd">
    <w:name w:val="Header Odd"/>
    <w:basedOn w:val="Header"/>
    <w:rsid w:val="006662CE"/>
  </w:style>
  <w:style w:type="paragraph" w:styleId="NormalIndent">
    <w:name w:val="Normal Indent"/>
    <w:basedOn w:val="Normal"/>
    <w:rsid w:val="00674619"/>
    <w:pPr>
      <w:ind w:left="567"/>
    </w:pPr>
  </w:style>
  <w:style w:type="paragraph" w:styleId="IntenseQuote">
    <w:name w:val="Intense Quote"/>
    <w:basedOn w:val="Normal"/>
    <w:next w:val="Normal"/>
    <w:link w:val="IntenseQuoteChar"/>
    <w:unhideWhenUsed/>
    <w:qFormat/>
    <w:rsid w:val="00B05D5C"/>
    <w:pPr>
      <w:pBdr>
        <w:top w:val="single" w:sz="4" w:space="10" w:color="142147" w:themeColor="accent1"/>
        <w:bottom w:val="single" w:sz="4" w:space="10" w:color="142147" w:themeColor="accent1"/>
      </w:pBdr>
      <w:spacing w:before="360" w:after="360"/>
      <w:ind w:left="862" w:right="862"/>
      <w:jc w:val="center"/>
    </w:pPr>
    <w:rPr>
      <w:rFonts w:asciiTheme="majorHAnsi" w:hAnsiTheme="majorHAnsi"/>
      <w:i/>
      <w:iCs/>
      <w:color w:val="142147" w:themeColor="accent1"/>
    </w:rPr>
  </w:style>
  <w:style w:type="character" w:customStyle="1" w:styleId="IntenseQuoteChar">
    <w:name w:val="Intense Quote Char"/>
    <w:basedOn w:val="DefaultParagraphFont"/>
    <w:link w:val="IntenseQuote"/>
    <w:rsid w:val="00B05D5C"/>
    <w:rPr>
      <w:rFonts w:asciiTheme="majorHAnsi" w:hAnsiTheme="majorHAnsi"/>
      <w:i/>
      <w:iCs/>
      <w:color w:val="142147" w:themeColor="accent1"/>
    </w:rPr>
  </w:style>
  <w:style w:type="table" w:styleId="ListTable4-Accent1">
    <w:name w:val="List Table 4 Accent 1"/>
    <w:basedOn w:val="TableNormal"/>
    <w:uiPriority w:val="49"/>
    <w:rsid w:val="002A15DE"/>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tblBorders>
    </w:tblPr>
    <w:tblStylePr w:type="firstRow">
      <w:rPr>
        <w:b w:val="0"/>
        <w:bCs/>
        <w:color w:val="FFFFFF" w:themeColor="background1"/>
      </w:rPr>
      <w:tblPr/>
      <w:tcPr>
        <w:tcBorders>
          <w:top w:val="single" w:sz="4" w:space="0" w:color="142147" w:themeColor="accent1"/>
          <w:left w:val="single" w:sz="4" w:space="0" w:color="142147" w:themeColor="accent1"/>
          <w:bottom w:val="single" w:sz="4" w:space="0" w:color="142147" w:themeColor="accent1"/>
          <w:right w:val="single" w:sz="4" w:space="0" w:color="142147" w:themeColor="accent1"/>
          <w:insideH w:val="nil"/>
        </w:tcBorders>
        <w:shd w:val="clear" w:color="auto" w:fill="142147" w:themeFill="accent1"/>
      </w:tcPr>
    </w:tblStylePr>
    <w:tblStylePr w:type="lastRow">
      <w:rPr>
        <w:b w:val="0"/>
        <w:bCs/>
      </w:rPr>
      <w:tblPr/>
      <w:tcPr>
        <w:tcBorders>
          <w:top w:val="double" w:sz="4" w:space="0" w:color="3A5EC7" w:themeColor="accent1" w:themeTint="99"/>
        </w:tcBorders>
      </w:tcPr>
    </w:tblStylePr>
    <w:tblStylePr w:type="firstCol">
      <w:rPr>
        <w:b w:val="0"/>
        <w:bCs/>
      </w:rPr>
    </w:tblStylePr>
    <w:tblStylePr w:type="lastCol">
      <w:rPr>
        <w:b w:val="0"/>
        <w:bCs/>
      </w:rPr>
    </w:tblStylePr>
    <w:tblStylePr w:type="band1Vert">
      <w:tblPr/>
      <w:tcPr>
        <w:shd w:val="clear" w:color="auto" w:fill="BDC9EC" w:themeFill="accent1" w:themeFillTint="33"/>
      </w:tcPr>
    </w:tblStylePr>
    <w:tblStylePr w:type="band1Horz">
      <w:tblPr/>
      <w:tcPr>
        <w:shd w:val="clear" w:color="auto" w:fill="BDC9EC" w:themeFill="accent1" w:themeFillTint="33"/>
      </w:tcPr>
    </w:tblStylePr>
  </w:style>
  <w:style w:type="paragraph" w:customStyle="1" w:styleId="TableHeaderCellCentred">
    <w:name w:val="Table Header Cell Centred"/>
    <w:basedOn w:val="TableHeaderCellLeft"/>
    <w:rsid w:val="000650A2"/>
    <w:pPr>
      <w:jc w:val="center"/>
    </w:pPr>
    <w:rPr>
      <w:rFonts w:asciiTheme="minorHAnsi" w:hAnsiTheme="minorHAnsi"/>
    </w:rPr>
  </w:style>
  <w:style w:type="paragraph" w:customStyle="1" w:styleId="TableHeaderCellLeft">
    <w:name w:val="Table Header Cell Left"/>
    <w:basedOn w:val="Normal"/>
    <w:rsid w:val="005B3BCC"/>
    <w:pPr>
      <w:spacing w:before="60" w:after="60"/>
    </w:pPr>
    <w:rPr>
      <w:rFonts w:asciiTheme="majorHAnsi" w:hAnsiTheme="majorHAnsi"/>
      <w:sz w:val="20"/>
      <w:szCs w:val="18"/>
    </w:rPr>
  </w:style>
  <w:style w:type="paragraph" w:customStyle="1" w:styleId="TableHeaderCellRight">
    <w:name w:val="Table Header Cell Right"/>
    <w:basedOn w:val="TableHeaderCellLeft"/>
    <w:rsid w:val="000650A2"/>
    <w:pPr>
      <w:jc w:val="right"/>
    </w:pPr>
  </w:style>
  <w:style w:type="paragraph" w:customStyle="1" w:styleId="TableGraphic">
    <w:name w:val="Table Graphic"/>
    <w:basedOn w:val="HeadingBase"/>
    <w:next w:val="Normal"/>
    <w:uiPriority w:val="99"/>
    <w:semiHidden/>
    <w:rsid w:val="00894823"/>
    <w:pPr>
      <w:spacing w:after="40"/>
      <w:ind w:right="-113"/>
    </w:pPr>
  </w:style>
  <w:style w:type="paragraph" w:customStyle="1" w:styleId="TableHeading1">
    <w:name w:val="Table Heading 1"/>
    <w:basedOn w:val="Normal"/>
    <w:next w:val="TableGraphic"/>
    <w:rsid w:val="00CA2DB3"/>
    <w:pPr>
      <w:keepNext/>
      <w:spacing w:before="240" w:after="60"/>
      <w:outlineLvl w:val="2"/>
    </w:pPr>
    <w:rPr>
      <w:rFonts w:asciiTheme="majorHAnsi" w:hAnsiTheme="majorHAnsi" w:cs="Arial"/>
      <w:color w:val="142147"/>
      <w:kern w:val="32"/>
      <w:sz w:val="26"/>
      <w:szCs w:val="26"/>
      <w14:numForm w14:val="lining"/>
      <w14:numSpacing w14:val="proportional"/>
    </w:rPr>
  </w:style>
  <w:style w:type="paragraph" w:customStyle="1" w:styleId="TableHeading1continued">
    <w:name w:val="Table Heading 1 continued"/>
    <w:basedOn w:val="TableHeading1"/>
    <w:next w:val="TableGraphic"/>
    <w:rsid w:val="00F93E1F"/>
    <w:pPr>
      <w:spacing w:after="20"/>
    </w:pPr>
  </w:style>
  <w:style w:type="paragraph" w:customStyle="1" w:styleId="TableHeading2">
    <w:name w:val="Table Heading 2"/>
    <w:basedOn w:val="Normal"/>
    <w:next w:val="TableGraphic"/>
    <w:rsid w:val="001B4096"/>
    <w:pPr>
      <w:keepNext/>
      <w:spacing w:before="60"/>
    </w:pPr>
    <w:rPr>
      <w:rFonts w:asciiTheme="minorHAnsi" w:hAnsiTheme="minorHAnsi"/>
      <w:b/>
      <w:color w:val="142147"/>
      <w:szCs w:val="20"/>
    </w:rPr>
  </w:style>
  <w:style w:type="paragraph" w:customStyle="1" w:styleId="TableBodyCellCentered">
    <w:name w:val="Table Body Cell Centered"/>
    <w:basedOn w:val="Normal"/>
    <w:rsid w:val="00F93E1F"/>
    <w:pPr>
      <w:spacing w:before="0"/>
      <w:jc w:val="center"/>
    </w:pPr>
    <w:rPr>
      <w:rFonts w:asciiTheme="minorHAnsi" w:hAnsiTheme="minorHAnsi"/>
      <w:color w:val="000000"/>
      <w:szCs w:val="18"/>
    </w:rPr>
  </w:style>
  <w:style w:type="paragraph" w:customStyle="1" w:styleId="TableBodyCellLeftIndented">
    <w:name w:val="Table Body Cell Left Indented"/>
    <w:basedOn w:val="Normal"/>
    <w:rsid w:val="00F93E1F"/>
    <w:pPr>
      <w:spacing w:before="0"/>
      <w:ind w:left="284"/>
    </w:pPr>
    <w:rPr>
      <w:rFonts w:asciiTheme="minorHAnsi" w:hAnsiTheme="minorHAnsi"/>
      <w:color w:val="000000"/>
      <w:szCs w:val="18"/>
    </w:rPr>
  </w:style>
  <w:style w:type="paragraph" w:customStyle="1" w:styleId="TableBodyCellLeft">
    <w:name w:val="Table Body Cell Left"/>
    <w:basedOn w:val="Normal"/>
    <w:rsid w:val="005B3BCC"/>
    <w:pPr>
      <w:spacing w:before="20" w:after="20"/>
    </w:pPr>
    <w:rPr>
      <w:rFonts w:asciiTheme="minorHAnsi" w:hAnsiTheme="minorHAnsi"/>
      <w:sz w:val="20"/>
      <w:szCs w:val="18"/>
    </w:rPr>
  </w:style>
  <w:style w:type="paragraph" w:customStyle="1" w:styleId="TableBodyCellRight">
    <w:name w:val="Table Body Cell Right"/>
    <w:basedOn w:val="Normal"/>
    <w:rsid w:val="00F93E1F"/>
    <w:pPr>
      <w:spacing w:before="0"/>
      <w:jc w:val="right"/>
    </w:pPr>
    <w:rPr>
      <w:rFonts w:asciiTheme="minorHAnsi" w:hAnsiTheme="minorHAnsi"/>
      <w:color w:val="000000"/>
      <w:szCs w:val="18"/>
    </w:rPr>
  </w:style>
  <w:style w:type="paragraph" w:styleId="TOC1">
    <w:name w:val="toc 1"/>
    <w:basedOn w:val="HeadingBase"/>
    <w:next w:val="Normal"/>
    <w:uiPriority w:val="39"/>
    <w:rsid w:val="00EE3FEE"/>
    <w:pPr>
      <w:tabs>
        <w:tab w:val="right" w:leader="dot" w:pos="9639"/>
      </w:tabs>
      <w:ind w:right="1134"/>
    </w:pPr>
    <w:rPr>
      <w:sz w:val="24"/>
    </w:rPr>
  </w:style>
  <w:style w:type="paragraph" w:styleId="TOC2">
    <w:name w:val="toc 2"/>
    <w:basedOn w:val="Normal"/>
    <w:next w:val="Normal"/>
    <w:uiPriority w:val="39"/>
    <w:rsid w:val="00EE3FEE"/>
    <w:pPr>
      <w:tabs>
        <w:tab w:val="right" w:leader="dot" w:pos="9639"/>
      </w:tabs>
      <w:spacing w:before="60" w:after="60"/>
      <w:ind w:right="1134"/>
    </w:pPr>
    <w:rPr>
      <w:rFonts w:ascii="Arial" w:hAnsi="Arial"/>
      <w:color w:val="701F4D" w:themeColor="accent2"/>
      <w:sz w:val="20"/>
      <w:szCs w:val="20"/>
    </w:rPr>
  </w:style>
  <w:style w:type="paragraph" w:styleId="TOC3">
    <w:name w:val="toc 3"/>
    <w:basedOn w:val="Normal"/>
    <w:next w:val="Normal"/>
    <w:rsid w:val="00894823"/>
    <w:pPr>
      <w:tabs>
        <w:tab w:val="right" w:pos="7700"/>
      </w:tabs>
      <w:spacing w:before="20" w:after="0"/>
      <w:ind w:left="284" w:right="851"/>
    </w:pPr>
  </w:style>
  <w:style w:type="paragraph" w:styleId="TOC4">
    <w:name w:val="toc 4"/>
    <w:basedOn w:val="Normal"/>
    <w:next w:val="Normal"/>
    <w:unhideWhenUsed/>
    <w:rsid w:val="00894823"/>
    <w:pPr>
      <w:tabs>
        <w:tab w:val="right" w:pos="7700"/>
      </w:tabs>
      <w:spacing w:after="0"/>
      <w:ind w:left="284" w:right="851"/>
    </w:pPr>
  </w:style>
  <w:style w:type="table" w:styleId="GridTable1Light-Accent2">
    <w:name w:val="Grid Table 1 Light Accent 2"/>
    <w:basedOn w:val="TableNormal"/>
    <w:uiPriority w:val="46"/>
    <w:rsid w:val="008127A1"/>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insideV w:val="single" w:sz="4" w:space="0" w:color="701F4D" w:themeColor="accent2"/>
      </w:tblBorders>
    </w:tblPr>
    <w:tblStylePr w:type="firstRow">
      <w:rPr>
        <w:b w:val="0"/>
        <w:bCs/>
      </w:rPr>
      <w:tblPr/>
      <w:tcPr>
        <w:tcBorders>
          <w:bottom w:val="single" w:sz="12" w:space="0" w:color="701F4D" w:themeColor="accent2"/>
        </w:tcBorders>
      </w:tcPr>
    </w:tblStylePr>
    <w:tblStylePr w:type="lastRow">
      <w:rPr>
        <w:b w:val="0"/>
        <w:bCs/>
      </w:rPr>
      <w:tblPr/>
      <w:tcPr>
        <w:tcBorders>
          <w:top w:val="double" w:sz="2" w:space="0" w:color="701F4D" w:themeColor="accent2"/>
        </w:tcBorders>
      </w:tcPr>
    </w:tblStylePr>
    <w:tblStylePr w:type="firstCol">
      <w:rPr>
        <w:b w:val="0"/>
        <w:bCs/>
      </w:rPr>
    </w:tblStylePr>
    <w:tblStylePr w:type="lastCol">
      <w:rPr>
        <w:b w:val="0"/>
        <w:bCs/>
      </w:rPr>
    </w:tblStylePr>
  </w:style>
  <w:style w:type="paragraph" w:customStyle="1" w:styleId="NumberedParagraph1">
    <w:name w:val="Numbered Paragraph 1"/>
    <w:basedOn w:val="Normal"/>
    <w:rsid w:val="00080B28"/>
    <w:pPr>
      <w:numPr>
        <w:numId w:val="6"/>
      </w:numPr>
    </w:pPr>
  </w:style>
  <w:style w:type="paragraph" w:customStyle="1" w:styleId="BoxBullet">
    <w:name w:val="Box Bullet"/>
    <w:basedOn w:val="Bullet"/>
    <w:rsid w:val="00EF1489"/>
    <w:pPr>
      <w:numPr>
        <w:numId w:val="4"/>
      </w:numPr>
      <w:spacing w:before="60" w:after="60"/>
    </w:pPr>
  </w:style>
  <w:style w:type="paragraph" w:customStyle="1" w:styleId="BoxDash">
    <w:name w:val="Box Dash"/>
    <w:basedOn w:val="BoxBullet"/>
    <w:rsid w:val="000E775B"/>
    <w:pPr>
      <w:numPr>
        <w:ilvl w:val="1"/>
      </w:numPr>
      <w:tabs>
        <w:tab w:val="left" w:pos="1134"/>
      </w:tabs>
    </w:pPr>
  </w:style>
  <w:style w:type="paragraph" w:customStyle="1" w:styleId="BoxDoubleDot">
    <w:name w:val="Box Double Dot"/>
    <w:basedOn w:val="BoxDash"/>
    <w:rsid w:val="00257FED"/>
    <w:pPr>
      <w:numPr>
        <w:ilvl w:val="2"/>
      </w:numPr>
    </w:pPr>
  </w:style>
  <w:style w:type="character" w:customStyle="1" w:styleId="EndnoteTextChar">
    <w:name w:val="Endnote Text Char"/>
    <w:basedOn w:val="DefaultParagraphFont"/>
    <w:link w:val="EndnoteText"/>
    <w:rsid w:val="00B05D5C"/>
    <w:rPr>
      <w:sz w:val="20"/>
      <w:szCs w:val="20"/>
    </w:rPr>
  </w:style>
  <w:style w:type="paragraph" w:styleId="List2">
    <w:name w:val="List 2"/>
    <w:basedOn w:val="Normal"/>
    <w:semiHidden/>
    <w:rsid w:val="00DA5F5F"/>
    <w:pPr>
      <w:ind w:left="566" w:hanging="283"/>
      <w:contextualSpacing/>
    </w:pPr>
  </w:style>
  <w:style w:type="paragraph" w:customStyle="1" w:styleId="CoverDate">
    <w:name w:val="Cover Date"/>
    <w:basedOn w:val="CoverTitleSub"/>
    <w:rsid w:val="00912467"/>
  </w:style>
  <w:style w:type="character" w:styleId="FootnoteReference">
    <w:name w:val="footnote reference"/>
    <w:basedOn w:val="DefaultParagraphFont"/>
    <w:unhideWhenUsed/>
    <w:rsid w:val="00894823"/>
    <w:rPr>
      <w:sz w:val="20"/>
      <w:szCs w:val="20"/>
      <w:vertAlign w:val="superscript"/>
    </w:rPr>
  </w:style>
  <w:style w:type="paragraph" w:styleId="FootnoteText">
    <w:name w:val="footnote text"/>
    <w:basedOn w:val="Normal"/>
    <w:unhideWhenUsed/>
    <w:rsid w:val="00851667"/>
    <w:pPr>
      <w:tabs>
        <w:tab w:val="left" w:pos="567"/>
      </w:tabs>
      <w:spacing w:after="0"/>
      <w:ind w:left="567" w:hanging="567"/>
    </w:pPr>
    <w:rPr>
      <w:sz w:val="18"/>
      <w:szCs w:val="18"/>
    </w:rPr>
  </w:style>
  <w:style w:type="table" w:styleId="TableContemporary">
    <w:name w:val="Table Contemporary"/>
    <w:basedOn w:val="TableNormal"/>
    <w:rsid w:val="002B32D6"/>
    <w:pPr>
      <w:spacing w:after="240" w:line="300" w:lineRule="exact"/>
      <w:jc w:val="both"/>
    </w:pPr>
    <w:tblPr>
      <w:tblStyleRowBandSize w:val="1"/>
      <w:tblBorders>
        <w:insideH w:val="single" w:sz="18" w:space="0" w:color="FFFFFF"/>
        <w:insideV w:val="single" w:sz="18" w:space="0" w:color="FFFFFF"/>
      </w:tblBorders>
    </w:tblPr>
    <w:tblStylePr w:type="firstRow">
      <w:rPr>
        <w:b w:val="0"/>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Graphic">
    <w:name w:val="Graphic"/>
    <w:basedOn w:val="Normal"/>
    <w:semiHidden/>
    <w:rsid w:val="00894823"/>
    <w:pPr>
      <w:spacing w:after="0"/>
      <w:jc w:val="center"/>
    </w:pPr>
  </w:style>
  <w:style w:type="character" w:styleId="EndnoteReference">
    <w:name w:val="endnote reference"/>
    <w:basedOn w:val="DefaultParagraphFont"/>
    <w:unhideWhenUsed/>
    <w:rsid w:val="00DA5F5F"/>
    <w:rPr>
      <w:vertAlign w:val="superscript"/>
    </w:rPr>
  </w:style>
  <w:style w:type="table" w:styleId="PlainTable5">
    <w:name w:val="Plain Table 5"/>
    <w:basedOn w:val="TableNormal"/>
    <w:uiPriority w:val="45"/>
    <w:rsid w:val="002B32D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2B32D6"/>
    <w:tblPr>
      <w:tblStyleRowBandSize w:val="1"/>
      <w:tblStyleColBandSize w:val="1"/>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semiHidden/>
    <w:qFormat/>
    <w:rsid w:val="00F15422"/>
    <w:rPr>
      <w:b/>
      <w:i/>
      <w:iCs/>
      <w:color w:val="auto"/>
    </w:rPr>
  </w:style>
  <w:style w:type="paragraph" w:customStyle="1" w:styleId="Romannumeral">
    <w:name w:val="Roman numeral"/>
    <w:basedOn w:val="Normal"/>
    <w:uiPriority w:val="1"/>
    <w:unhideWhenUsed/>
    <w:rsid w:val="00D3340C"/>
    <w:pPr>
      <w:numPr>
        <w:numId w:val="5"/>
      </w:numPr>
    </w:pPr>
  </w:style>
  <w:style w:type="paragraph" w:styleId="BalloonText">
    <w:name w:val="Balloon Text"/>
    <w:basedOn w:val="Normal"/>
    <w:link w:val="BalloonTextChar"/>
    <w:semiHidden/>
    <w:rsid w:val="00E83F26"/>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B05D5C"/>
    <w:rPr>
      <w:rFonts w:ascii="Tahoma" w:hAnsi="Tahoma" w:cs="Tahoma"/>
      <w:sz w:val="16"/>
      <w:szCs w:val="16"/>
    </w:rPr>
  </w:style>
  <w:style w:type="table" w:styleId="TableGrid">
    <w:name w:val="Table Grid"/>
    <w:basedOn w:val="TableNormal"/>
    <w:uiPriority w:val="39"/>
    <w:rsid w:val="00A66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B32D6"/>
    <w:tblPr>
      <w:tblStyleRowBandSize w:val="1"/>
      <w:tblStyleColBandSize w:val="1"/>
    </w:tblPr>
    <w:tblStylePr w:type="firstRow">
      <w:rPr>
        <w:b w:val="0"/>
        <w:bCs/>
        <w:caps/>
      </w:rPr>
      <w:tblPr/>
      <w:tcPr>
        <w:tcBorders>
          <w:bottom w:val="single" w:sz="4" w:space="0" w:color="7F7F7F" w:themeColor="text1" w:themeTint="80"/>
        </w:tcBorders>
      </w:tcPr>
    </w:tblStylePr>
    <w:tblStylePr w:type="lastRow">
      <w:rPr>
        <w:b w:val="0"/>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val="0"/>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NumberedParagraph11">
    <w:name w:val="Numbered Paragraph 1.1"/>
    <w:basedOn w:val="Bullet"/>
    <w:qFormat/>
    <w:rsid w:val="00080B28"/>
    <w:pPr>
      <w:numPr>
        <w:ilvl w:val="1"/>
        <w:numId w:val="6"/>
      </w:numPr>
    </w:pPr>
  </w:style>
  <w:style w:type="paragraph" w:customStyle="1" w:styleId="NumberedParagraphalpha">
    <w:name w:val="Numbered Paragraph alpha"/>
    <w:basedOn w:val="Dash"/>
    <w:qFormat/>
    <w:rsid w:val="005849A7"/>
    <w:pPr>
      <w:numPr>
        <w:ilvl w:val="3"/>
        <w:numId w:val="6"/>
      </w:numPr>
    </w:pPr>
  </w:style>
  <w:style w:type="paragraph" w:customStyle="1" w:styleId="NumberedParagraphnumbers">
    <w:name w:val="Numbered Paragraph numbers"/>
    <w:basedOn w:val="DoubleDot"/>
    <w:qFormat/>
    <w:rsid w:val="005849A7"/>
    <w:pPr>
      <w:numPr>
        <w:ilvl w:val="4"/>
        <w:numId w:val="6"/>
      </w:numPr>
    </w:pPr>
  </w:style>
  <w:style w:type="paragraph" w:customStyle="1" w:styleId="NumberedParagraphroman">
    <w:name w:val="Numbered Paragraph roman"/>
    <w:basedOn w:val="Normal"/>
    <w:qFormat/>
    <w:rsid w:val="000E775B"/>
    <w:pPr>
      <w:numPr>
        <w:ilvl w:val="5"/>
        <w:numId w:val="6"/>
      </w:numPr>
      <w:tabs>
        <w:tab w:val="left" w:pos="2268"/>
      </w:tabs>
    </w:pPr>
  </w:style>
  <w:style w:type="table" w:styleId="PlainTable2">
    <w:name w:val="Plain Table 2"/>
    <w:basedOn w:val="TableNormal"/>
    <w:uiPriority w:val="42"/>
    <w:rsid w:val="002B32D6"/>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2B32D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val="0"/>
        <w:bCs/>
      </w:rPr>
      <w:tblPr/>
      <w:tcPr>
        <w:tcBorders>
          <w:bottom w:val="single" w:sz="12" w:space="0" w:color="666666" w:themeColor="text1" w:themeTint="99"/>
        </w:tcBorders>
      </w:tcPr>
    </w:tblStylePr>
    <w:tblStylePr w:type="lastRow">
      <w:rPr>
        <w:b w:val="0"/>
        <w:bCs/>
      </w:rPr>
      <w:tblPr/>
      <w:tcPr>
        <w:tcBorders>
          <w:top w:val="double" w:sz="2" w:space="0" w:color="666666" w:themeColor="text1" w:themeTint="99"/>
        </w:tcBorders>
      </w:tcPr>
    </w:tblStylePr>
    <w:tblStylePr w:type="firstCol">
      <w:rPr>
        <w:b w:val="0"/>
        <w:bCs/>
      </w:rPr>
    </w:tblStylePr>
    <w:tblStylePr w:type="lastCol">
      <w:rPr>
        <w:b w:val="0"/>
        <w:bCs/>
      </w:rPr>
    </w:tblStylePr>
  </w:style>
  <w:style w:type="table" w:styleId="GridTable1Light-Accent1">
    <w:name w:val="Grid Table 1 Light Accent 1"/>
    <w:basedOn w:val="TableNormal"/>
    <w:uiPriority w:val="46"/>
    <w:rsid w:val="008127A1"/>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insideV w:val="single" w:sz="4" w:space="0" w:color="142147" w:themeColor="accent1"/>
      </w:tblBorders>
    </w:tblPr>
    <w:tblStylePr w:type="firstRow">
      <w:rPr>
        <w:b w:val="0"/>
        <w:bCs/>
      </w:rPr>
      <w:tblPr/>
      <w:tcPr>
        <w:tcBorders>
          <w:bottom w:val="single" w:sz="12" w:space="0" w:color="142147" w:themeColor="accent1"/>
        </w:tcBorders>
      </w:tcPr>
    </w:tblStylePr>
    <w:tblStylePr w:type="lastRow">
      <w:rPr>
        <w:b w:val="0"/>
        <w:bCs/>
      </w:rPr>
      <w:tblPr/>
      <w:tcPr>
        <w:tcBorders>
          <w:top w:val="double" w:sz="2" w:space="0" w:color="142147" w:themeColor="accent1"/>
        </w:tcBorders>
      </w:tcPr>
    </w:tblStylePr>
    <w:tblStylePr w:type="firstCol">
      <w:rPr>
        <w:b w:val="0"/>
        <w:bCs/>
      </w:rPr>
    </w:tblStylePr>
    <w:tblStylePr w:type="lastCol">
      <w:rPr>
        <w:b w:val="0"/>
        <w:bCs/>
      </w:rPr>
    </w:tblStylePr>
  </w:style>
  <w:style w:type="paragraph" w:styleId="ListParagraph">
    <w:name w:val="List Paragraph"/>
    <w:basedOn w:val="Normal"/>
    <w:uiPriority w:val="34"/>
    <w:qFormat/>
    <w:rsid w:val="00174E54"/>
    <w:pPr>
      <w:ind w:left="720"/>
      <w:contextualSpacing/>
    </w:pPr>
  </w:style>
  <w:style w:type="paragraph" w:styleId="Quote">
    <w:name w:val="Quote"/>
    <w:basedOn w:val="Normal"/>
    <w:next w:val="Normal"/>
    <w:link w:val="QuoteChar"/>
    <w:qFormat/>
    <w:rsid w:val="00385635"/>
    <w:rPr>
      <w:i/>
      <w:iCs/>
      <w:color w:val="000000" w:themeColor="text1"/>
    </w:rPr>
  </w:style>
  <w:style w:type="character" w:customStyle="1" w:styleId="QuoteChar">
    <w:name w:val="Quote Char"/>
    <w:basedOn w:val="DefaultParagraphFont"/>
    <w:link w:val="Quote"/>
    <w:rsid w:val="00B05D5C"/>
    <w:rPr>
      <w:i/>
      <w:iCs/>
      <w:color w:val="000000" w:themeColor="text1"/>
    </w:rPr>
  </w:style>
  <w:style w:type="character" w:styleId="FollowedHyperlink">
    <w:name w:val="FollowedHyperlink"/>
    <w:basedOn w:val="DefaultParagraphFont"/>
    <w:semiHidden/>
    <w:rsid w:val="00FC2CD8"/>
    <w:rPr>
      <w:color w:val="844D9E" w:themeColor="followedHyperlink"/>
      <w:u w:val="single"/>
    </w:rPr>
  </w:style>
  <w:style w:type="numbering" w:customStyle="1" w:styleId="ChartandTableFootnoteAlphaList">
    <w:name w:val="ChartandTableFootnoteAlphaList"/>
    <w:uiPriority w:val="99"/>
    <w:rsid w:val="007D0FA4"/>
    <w:pPr>
      <w:numPr>
        <w:numId w:val="7"/>
      </w:numPr>
    </w:pPr>
  </w:style>
  <w:style w:type="table" w:styleId="PlainTable1">
    <w:name w:val="Plain Table 1"/>
    <w:basedOn w:val="TableNormal"/>
    <w:uiPriority w:val="41"/>
    <w:rsid w:val="002B32D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val="0"/>
        <w:bCs/>
      </w:rPr>
    </w:tblStylePr>
    <w:tblStylePr w:type="lastRow">
      <w:rPr>
        <w:b w:val="0"/>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B32D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8127A1"/>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insideH w:val="single" w:sz="4" w:space="0" w:color="D4C2A8" w:themeColor="accent3"/>
        <w:insideV w:val="single" w:sz="4" w:space="0" w:color="D4C2A8" w:themeColor="accent3"/>
      </w:tblBorders>
    </w:tblPr>
    <w:tblStylePr w:type="firstRow">
      <w:rPr>
        <w:b/>
        <w:bCs/>
      </w:rPr>
      <w:tblPr/>
      <w:tcPr>
        <w:tcBorders>
          <w:bottom w:val="single" w:sz="12" w:space="0" w:color="D4C2A8" w:themeColor="accent3"/>
        </w:tcBorders>
      </w:tcPr>
    </w:tblStylePr>
    <w:tblStylePr w:type="lastRow">
      <w:rPr>
        <w:b/>
        <w:bCs/>
      </w:rPr>
      <w:tblPr/>
      <w:tcPr>
        <w:tcBorders>
          <w:top w:val="double" w:sz="2" w:space="0" w:color="D4C2A8" w:themeColor="accent3"/>
        </w:tcBorders>
      </w:tcPr>
    </w:tblStylePr>
    <w:tblStylePr w:type="firstCol">
      <w:rPr>
        <w:b/>
        <w:bCs/>
      </w:rPr>
    </w:tblStylePr>
    <w:tblStylePr w:type="lastCol">
      <w:rPr>
        <w:b/>
        <w:bCs/>
      </w:rPr>
    </w:tblStylePr>
  </w:style>
  <w:style w:type="table" w:styleId="GridTable2">
    <w:name w:val="Grid Table 2"/>
    <w:basedOn w:val="TableNormal"/>
    <w:uiPriority w:val="47"/>
    <w:rsid w:val="00207AC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207A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val="0"/>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val="0"/>
        <w:bCs/>
      </w:rPr>
      <w:tblPr/>
      <w:tcPr>
        <w:tcBorders>
          <w:top w:val="double" w:sz="4" w:space="0" w:color="000000" w:themeColor="text1"/>
        </w:tcBorders>
      </w:tcPr>
    </w:tblStylePr>
    <w:tblStylePr w:type="firstCol">
      <w:rPr>
        <w:b w:val="0"/>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07AC9"/>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insideV w:val="single" w:sz="4" w:space="0" w:color="142147" w:themeColor="accent1"/>
      </w:tblBorders>
    </w:tblPr>
    <w:tblStylePr w:type="firstRow">
      <w:rPr>
        <w:b w:val="0"/>
        <w:bCs/>
        <w:color w:val="FFFFFF" w:themeColor="background1"/>
      </w:rPr>
      <w:tblPr/>
      <w:tcPr>
        <w:tcBorders>
          <w:top w:val="single" w:sz="4" w:space="0" w:color="142147" w:themeColor="accent1"/>
          <w:left w:val="single" w:sz="4" w:space="0" w:color="142147" w:themeColor="accent1"/>
          <w:bottom w:val="single" w:sz="4" w:space="0" w:color="142147" w:themeColor="accent1"/>
          <w:right w:val="single" w:sz="4" w:space="0" w:color="142147" w:themeColor="accent1"/>
          <w:insideH w:val="nil"/>
          <w:insideV w:val="nil"/>
        </w:tcBorders>
        <w:shd w:val="clear" w:color="auto" w:fill="142147" w:themeFill="accent1"/>
      </w:tcPr>
    </w:tblStylePr>
    <w:tblStylePr w:type="lastRow">
      <w:rPr>
        <w:b w:val="0"/>
        <w:bCs/>
      </w:rPr>
      <w:tblPr/>
      <w:tcPr>
        <w:tcBorders>
          <w:top w:val="double" w:sz="4" w:space="0" w:color="142147" w:themeColor="accent1"/>
        </w:tcBorders>
      </w:tcPr>
    </w:tblStylePr>
    <w:tblStylePr w:type="firstCol">
      <w:rPr>
        <w:b w:val="0"/>
        <w:bCs/>
      </w:rPr>
    </w:tblStylePr>
    <w:tblStylePr w:type="lastCol">
      <w:rPr>
        <w:b w:val="0"/>
        <w:bCs/>
      </w:rPr>
    </w:tblStylePr>
    <w:tblStylePr w:type="band1Vert">
      <w:tblPr/>
      <w:tcPr>
        <w:shd w:val="clear" w:color="auto" w:fill="BDC9EC" w:themeFill="accent1" w:themeFillTint="33"/>
      </w:tcPr>
    </w:tblStylePr>
    <w:tblStylePr w:type="band1Horz">
      <w:tblPr/>
      <w:tcPr>
        <w:shd w:val="clear" w:color="auto" w:fill="BDC9EC" w:themeFill="accent1" w:themeFillTint="33"/>
      </w:tcPr>
    </w:tblStylePr>
  </w:style>
  <w:style w:type="table" w:styleId="GridTable4-Accent2">
    <w:name w:val="Grid Table 4 Accent 2"/>
    <w:basedOn w:val="TableNormal"/>
    <w:uiPriority w:val="49"/>
    <w:rsid w:val="00207AC9"/>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insideV w:val="single" w:sz="4" w:space="0" w:color="701F4D" w:themeColor="accent2"/>
      </w:tblBorders>
    </w:tblPr>
    <w:tblStylePr w:type="firstRow">
      <w:rPr>
        <w:b w:val="0"/>
        <w:bCs/>
        <w:color w:val="FFFFFF" w:themeColor="background1"/>
      </w:rPr>
      <w:tblPr/>
      <w:tcPr>
        <w:tcBorders>
          <w:top w:val="single" w:sz="4" w:space="0" w:color="701F4D" w:themeColor="accent2"/>
          <w:left w:val="single" w:sz="4" w:space="0" w:color="701F4D" w:themeColor="accent2"/>
          <w:bottom w:val="single" w:sz="4" w:space="0" w:color="701F4D" w:themeColor="accent2"/>
          <w:right w:val="single" w:sz="4" w:space="0" w:color="701F4D" w:themeColor="accent2"/>
          <w:insideH w:val="nil"/>
          <w:insideV w:val="nil"/>
        </w:tcBorders>
        <w:shd w:val="clear" w:color="auto" w:fill="701F4D" w:themeFill="accent2"/>
      </w:tcPr>
    </w:tblStylePr>
    <w:tblStylePr w:type="lastRow">
      <w:rPr>
        <w:b w:val="0"/>
        <w:bCs/>
      </w:rPr>
      <w:tblPr/>
      <w:tcPr>
        <w:tcBorders>
          <w:top w:val="double" w:sz="4" w:space="0" w:color="701F4D" w:themeColor="accent2"/>
        </w:tcBorders>
      </w:tcPr>
    </w:tblStylePr>
    <w:tblStylePr w:type="firstCol">
      <w:rPr>
        <w:b w:val="0"/>
        <w:bCs/>
      </w:rPr>
    </w:tblStylePr>
    <w:tblStylePr w:type="lastCol">
      <w:rPr>
        <w:b w:val="0"/>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table" w:styleId="GridTable4-Accent3">
    <w:name w:val="Grid Table 4 Accent 3"/>
    <w:basedOn w:val="TableNormal"/>
    <w:uiPriority w:val="49"/>
    <w:rsid w:val="00207AC9"/>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insideH w:val="single" w:sz="4" w:space="0" w:color="D4C2A8" w:themeColor="accent3"/>
        <w:insideV w:val="single" w:sz="4" w:space="0" w:color="D4C2A8" w:themeColor="accent3"/>
      </w:tblBorders>
    </w:tblPr>
    <w:tblStylePr w:type="firstRow">
      <w:rPr>
        <w:b w:val="0"/>
        <w:bCs/>
        <w:color w:val="FFFFFF" w:themeColor="background1"/>
      </w:rPr>
      <w:tblPr/>
      <w:tcPr>
        <w:tcBorders>
          <w:top w:val="single" w:sz="4" w:space="0" w:color="D4C2A8" w:themeColor="accent3"/>
          <w:left w:val="single" w:sz="4" w:space="0" w:color="D4C2A8" w:themeColor="accent3"/>
          <w:bottom w:val="single" w:sz="4" w:space="0" w:color="D4C2A8" w:themeColor="accent3"/>
          <w:right w:val="single" w:sz="4" w:space="0" w:color="D4C2A8" w:themeColor="accent3"/>
          <w:insideH w:val="nil"/>
          <w:insideV w:val="nil"/>
        </w:tcBorders>
        <w:shd w:val="clear" w:color="auto" w:fill="D4C2A8" w:themeFill="accent3"/>
      </w:tcPr>
    </w:tblStylePr>
    <w:tblStylePr w:type="lastRow">
      <w:rPr>
        <w:b w:val="0"/>
        <w:bCs/>
      </w:rPr>
      <w:tblPr/>
      <w:tcPr>
        <w:tcBorders>
          <w:top w:val="double" w:sz="4" w:space="0" w:color="D4C2A8" w:themeColor="accent3"/>
        </w:tcBorders>
      </w:tcPr>
    </w:tblStylePr>
    <w:tblStylePr w:type="firstCol">
      <w:rPr>
        <w:b w:val="0"/>
        <w:bCs/>
      </w:rPr>
    </w:tblStylePr>
    <w:tblStylePr w:type="lastCol">
      <w:rPr>
        <w:b w:val="0"/>
        <w:bCs/>
      </w:rPr>
    </w:tblStylePr>
    <w:tblStylePr w:type="band1Vert">
      <w:tblPr/>
      <w:tcPr>
        <w:shd w:val="clear" w:color="auto" w:fill="F6F2ED" w:themeFill="accent3" w:themeFillTint="33"/>
      </w:tcPr>
    </w:tblStylePr>
    <w:tblStylePr w:type="band1Horz">
      <w:tblPr/>
      <w:tcPr>
        <w:shd w:val="clear" w:color="auto" w:fill="F6F2ED" w:themeFill="accent3" w:themeFillTint="33"/>
      </w:tcPr>
    </w:tblStylePr>
  </w:style>
  <w:style w:type="table" w:styleId="GridTable4-Accent4">
    <w:name w:val="Grid Table 4 Accent 4"/>
    <w:basedOn w:val="TableNormal"/>
    <w:uiPriority w:val="49"/>
    <w:rsid w:val="00207AC9"/>
    <w:tblPr>
      <w:tblStyleRowBandSize w:val="1"/>
      <w:tblStyleColBandSize w:val="1"/>
      <w:tblBorders>
        <w:top w:val="single" w:sz="4" w:space="0" w:color="8565C5" w:themeColor="accent4" w:themeTint="99"/>
        <w:left w:val="single" w:sz="4" w:space="0" w:color="8565C5" w:themeColor="accent4" w:themeTint="99"/>
        <w:bottom w:val="single" w:sz="4" w:space="0" w:color="8565C5" w:themeColor="accent4" w:themeTint="99"/>
        <w:right w:val="single" w:sz="4" w:space="0" w:color="8565C5" w:themeColor="accent4" w:themeTint="99"/>
        <w:insideH w:val="single" w:sz="4" w:space="0" w:color="8565C5" w:themeColor="accent4" w:themeTint="99"/>
        <w:insideV w:val="single" w:sz="4" w:space="0" w:color="8565C5" w:themeColor="accent4" w:themeTint="99"/>
      </w:tblBorders>
    </w:tblPr>
    <w:tblStylePr w:type="firstRow">
      <w:rPr>
        <w:b w:val="0"/>
        <w:bCs/>
        <w:color w:val="000000" w:themeColor="text1"/>
      </w:rPr>
      <w:tblPr/>
      <w:tcPr>
        <w:tcBorders>
          <w:top w:val="single" w:sz="4" w:space="0" w:color="432B73" w:themeColor="accent4"/>
          <w:left w:val="single" w:sz="4" w:space="0" w:color="432B73" w:themeColor="accent4"/>
          <w:bottom w:val="single" w:sz="4" w:space="0" w:color="432B73" w:themeColor="accent4"/>
          <w:right w:val="single" w:sz="4" w:space="0" w:color="432B73" w:themeColor="accent4"/>
          <w:insideH w:val="nil"/>
          <w:insideV w:val="nil"/>
        </w:tcBorders>
        <w:shd w:val="clear" w:color="auto" w:fill="432B73" w:themeFill="accent4"/>
      </w:tcPr>
    </w:tblStylePr>
    <w:tblStylePr w:type="lastRow">
      <w:rPr>
        <w:b w:val="0"/>
        <w:bCs/>
      </w:rPr>
      <w:tblPr/>
      <w:tcPr>
        <w:tcBorders>
          <w:top w:val="double" w:sz="4" w:space="0" w:color="432B73" w:themeColor="accent4"/>
        </w:tcBorders>
      </w:tcPr>
    </w:tblStylePr>
    <w:tblStylePr w:type="firstCol">
      <w:rPr>
        <w:b w:val="0"/>
        <w:bCs/>
      </w:rPr>
    </w:tblStylePr>
    <w:tblStylePr w:type="lastCol">
      <w:rPr>
        <w:b w:val="0"/>
        <w:bCs/>
      </w:rPr>
    </w:tblStylePr>
    <w:tblStylePr w:type="band1Vert">
      <w:tblPr/>
      <w:tcPr>
        <w:shd w:val="clear" w:color="auto" w:fill="D6CBEB" w:themeFill="accent4" w:themeFillTint="33"/>
      </w:tcPr>
    </w:tblStylePr>
    <w:tblStylePr w:type="band1Horz">
      <w:tblPr/>
      <w:tcPr>
        <w:shd w:val="clear" w:color="auto" w:fill="D6CBEB" w:themeFill="accent4" w:themeFillTint="33"/>
      </w:tcPr>
    </w:tblStylePr>
  </w:style>
  <w:style w:type="table" w:styleId="GridTable4-Accent5">
    <w:name w:val="Grid Table 4 Accent 5"/>
    <w:basedOn w:val="TableNormal"/>
    <w:uiPriority w:val="49"/>
    <w:rsid w:val="00207AC9"/>
    <w:tblPr>
      <w:tblStyleRowBandSize w:val="1"/>
      <w:tblStyleColBandSize w:val="1"/>
      <w:tblBorders>
        <w:top w:val="single" w:sz="4" w:space="0" w:color="A2CDEA" w:themeColor="accent5" w:themeTint="99"/>
        <w:left w:val="single" w:sz="4" w:space="0" w:color="A2CDEA" w:themeColor="accent5" w:themeTint="99"/>
        <w:bottom w:val="single" w:sz="4" w:space="0" w:color="A2CDEA" w:themeColor="accent5" w:themeTint="99"/>
        <w:right w:val="single" w:sz="4" w:space="0" w:color="A2CDEA" w:themeColor="accent5" w:themeTint="99"/>
        <w:insideH w:val="single" w:sz="4" w:space="0" w:color="A2CDEA" w:themeColor="accent5" w:themeTint="99"/>
        <w:insideV w:val="single" w:sz="4" w:space="0" w:color="A2CDEA" w:themeColor="accent5" w:themeTint="99"/>
      </w:tblBorders>
    </w:tblPr>
    <w:tblStylePr w:type="firstRow">
      <w:rPr>
        <w:b w:val="0"/>
        <w:bCs/>
        <w:color w:val="000000" w:themeColor="text1"/>
      </w:rPr>
      <w:tblPr/>
      <w:tcPr>
        <w:tcBorders>
          <w:top w:val="single" w:sz="4" w:space="0" w:color="65ACDC" w:themeColor="accent5"/>
          <w:left w:val="single" w:sz="4" w:space="0" w:color="65ACDC" w:themeColor="accent5"/>
          <w:bottom w:val="single" w:sz="4" w:space="0" w:color="65ACDC" w:themeColor="accent5"/>
          <w:right w:val="single" w:sz="4" w:space="0" w:color="65ACDC" w:themeColor="accent5"/>
          <w:insideH w:val="nil"/>
          <w:insideV w:val="nil"/>
        </w:tcBorders>
        <w:shd w:val="clear" w:color="auto" w:fill="65ACDC" w:themeFill="accent5"/>
      </w:tcPr>
    </w:tblStylePr>
    <w:tblStylePr w:type="lastRow">
      <w:rPr>
        <w:b w:val="0"/>
        <w:bCs/>
      </w:rPr>
      <w:tblPr/>
      <w:tcPr>
        <w:tcBorders>
          <w:top w:val="double" w:sz="4" w:space="0" w:color="65ACDC" w:themeColor="accent5"/>
        </w:tcBorders>
      </w:tcPr>
    </w:tblStylePr>
    <w:tblStylePr w:type="firstCol">
      <w:rPr>
        <w:b w:val="0"/>
        <w:bCs/>
      </w:rPr>
    </w:tblStylePr>
    <w:tblStylePr w:type="lastCol">
      <w:rPr>
        <w:b w:val="0"/>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table" w:styleId="GridTable4-Accent6">
    <w:name w:val="Grid Table 4 Accent 6"/>
    <w:basedOn w:val="TableNormal"/>
    <w:uiPriority w:val="49"/>
    <w:rsid w:val="00207AC9"/>
    <w:tblPr>
      <w:tblStyleRowBandSize w:val="1"/>
      <w:tblStyleColBandSize w:val="1"/>
      <w:tblBorders>
        <w:top w:val="single" w:sz="4" w:space="0" w:color="C6C5E5" w:themeColor="accent6" w:themeTint="99"/>
        <w:left w:val="single" w:sz="4" w:space="0" w:color="C6C5E5" w:themeColor="accent6" w:themeTint="99"/>
        <w:bottom w:val="single" w:sz="4" w:space="0" w:color="C6C5E5" w:themeColor="accent6" w:themeTint="99"/>
        <w:right w:val="single" w:sz="4" w:space="0" w:color="C6C5E5" w:themeColor="accent6" w:themeTint="99"/>
        <w:insideH w:val="single" w:sz="4" w:space="0" w:color="C6C5E5" w:themeColor="accent6" w:themeTint="99"/>
        <w:insideV w:val="single" w:sz="4" w:space="0" w:color="C6C5E5" w:themeColor="accent6" w:themeTint="99"/>
      </w:tblBorders>
    </w:tblPr>
    <w:tblStylePr w:type="firstRow">
      <w:rPr>
        <w:b w:val="0"/>
        <w:bCs/>
        <w:color w:val="auto"/>
      </w:rPr>
      <w:tblPr/>
      <w:tcPr>
        <w:tcBorders>
          <w:top w:val="single" w:sz="4" w:space="0" w:color="A2A0D5" w:themeColor="accent6"/>
          <w:left w:val="single" w:sz="4" w:space="0" w:color="A2A0D5" w:themeColor="accent6"/>
          <w:bottom w:val="single" w:sz="4" w:space="0" w:color="A2A0D5" w:themeColor="accent6"/>
          <w:right w:val="single" w:sz="4" w:space="0" w:color="A2A0D5" w:themeColor="accent6"/>
          <w:insideH w:val="nil"/>
          <w:insideV w:val="nil"/>
        </w:tcBorders>
        <w:shd w:val="clear" w:color="auto" w:fill="A2A0D5" w:themeFill="accent6"/>
      </w:tcPr>
    </w:tblStylePr>
    <w:tblStylePr w:type="lastRow">
      <w:rPr>
        <w:b w:val="0"/>
        <w:bCs/>
      </w:rPr>
      <w:tblPr/>
      <w:tcPr>
        <w:tcBorders>
          <w:top w:val="double" w:sz="4" w:space="0" w:color="A2A0D5" w:themeColor="accent6"/>
        </w:tcBorders>
      </w:tcPr>
    </w:tblStylePr>
    <w:tblStylePr w:type="firstCol">
      <w:rPr>
        <w:b w:val="0"/>
        <w:bCs/>
      </w:rPr>
    </w:tblStylePr>
    <w:tblStylePr w:type="lastCol">
      <w:rPr>
        <w:b w:val="0"/>
        <w:bCs/>
      </w:rPr>
    </w:tblStylePr>
    <w:tblStylePr w:type="band1Vert">
      <w:tblPr/>
      <w:tcPr>
        <w:shd w:val="clear" w:color="auto" w:fill="ECEBF6" w:themeFill="accent6" w:themeFillTint="33"/>
      </w:tcPr>
    </w:tblStylePr>
    <w:tblStylePr w:type="band1Horz">
      <w:tblPr/>
      <w:tcPr>
        <w:shd w:val="clear" w:color="auto" w:fill="ECEBF6" w:themeFill="accent6" w:themeFillTint="33"/>
      </w:tcPr>
    </w:tblStylePr>
  </w:style>
  <w:style w:type="table" w:styleId="GridTable5Dark">
    <w:name w:val="Grid Table 5 Dark"/>
    <w:basedOn w:val="TableNormal"/>
    <w:uiPriority w:val="50"/>
    <w:rsid w:val="001330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330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C9EC"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2147" w:themeFill="accent1"/>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2147"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2147" w:themeFill="accent1"/>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2147" w:themeFill="accent1"/>
      </w:tcPr>
    </w:tblStylePr>
    <w:tblStylePr w:type="band1Vert">
      <w:tblPr/>
      <w:tcPr>
        <w:shd w:val="clear" w:color="auto" w:fill="7C94DA" w:themeFill="accent1" w:themeFillTint="66"/>
      </w:tcPr>
    </w:tblStylePr>
    <w:tblStylePr w:type="band1Horz">
      <w:tblPr/>
      <w:tcPr>
        <w:shd w:val="clear" w:color="auto" w:fill="7C94DA" w:themeFill="accent1" w:themeFillTint="66"/>
      </w:tcPr>
    </w:tblStylePr>
  </w:style>
  <w:style w:type="table" w:styleId="GridTable5Dark-Accent2">
    <w:name w:val="Grid Table 5 Dark Accent 2"/>
    <w:basedOn w:val="TableNormal"/>
    <w:uiPriority w:val="50"/>
    <w:rsid w:val="001330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C5DC" w:themeFill="accent2"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1F4D" w:themeFill="accent2"/>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1F4D" w:themeFill="accent2"/>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1F4D" w:themeFill="accent2"/>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1F4D" w:themeFill="accent2"/>
      </w:tcPr>
    </w:tblStylePr>
    <w:tblStylePr w:type="band1Vert">
      <w:tblPr/>
      <w:tcPr>
        <w:shd w:val="clear" w:color="auto" w:fill="DF8BBA" w:themeFill="accent2" w:themeFillTint="66"/>
      </w:tcPr>
    </w:tblStylePr>
    <w:tblStylePr w:type="band1Horz">
      <w:tblPr/>
      <w:tcPr>
        <w:shd w:val="clear" w:color="auto" w:fill="DF8BBA" w:themeFill="accent2" w:themeFillTint="66"/>
      </w:tcPr>
    </w:tblStylePr>
  </w:style>
  <w:style w:type="table" w:styleId="GridTable5Dark-Accent3">
    <w:name w:val="Grid Table 5 Dark Accent 3"/>
    <w:basedOn w:val="TableNormal"/>
    <w:uiPriority w:val="50"/>
    <w:rsid w:val="001330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2ED" w:themeFill="accent3"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C2A8" w:themeFill="accent3"/>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C2A8" w:themeFill="accent3"/>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C2A8" w:themeFill="accent3"/>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C2A8" w:themeFill="accent3"/>
      </w:tcPr>
    </w:tblStylePr>
    <w:tblStylePr w:type="band1Vert">
      <w:tblPr/>
      <w:tcPr>
        <w:shd w:val="clear" w:color="auto" w:fill="EDE6DC" w:themeFill="accent3" w:themeFillTint="66"/>
      </w:tcPr>
    </w:tblStylePr>
    <w:tblStylePr w:type="band1Horz">
      <w:tblPr/>
      <w:tcPr>
        <w:shd w:val="clear" w:color="auto" w:fill="EDE6DC" w:themeFill="accent3" w:themeFillTint="66"/>
      </w:tcPr>
    </w:tblStylePr>
  </w:style>
  <w:style w:type="table" w:styleId="GridTable5Dark-Accent4">
    <w:name w:val="Grid Table 5 Dark Accent 4"/>
    <w:basedOn w:val="TableNormal"/>
    <w:uiPriority w:val="50"/>
    <w:rsid w:val="00207A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CBEB" w:themeFill="accent4" w:themeFillTint="33"/>
    </w:tcPr>
    <w:tblStylePr w:type="firstRow">
      <w:rPr>
        <w:b w:val="0"/>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32B73" w:themeFill="accent4"/>
      </w:tcPr>
    </w:tblStylePr>
    <w:tblStylePr w:type="lastRow">
      <w:rPr>
        <w:b w:val="0"/>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32B73" w:themeFill="accent4"/>
      </w:tcPr>
    </w:tblStylePr>
    <w:tblStylePr w:type="firstCol">
      <w:rPr>
        <w:b w:val="0"/>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32B73" w:themeFill="accent4"/>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32B73" w:themeFill="accent4"/>
      </w:tcPr>
    </w:tblStylePr>
    <w:tblStylePr w:type="band1Vert">
      <w:tblPr/>
      <w:tcPr>
        <w:shd w:val="clear" w:color="auto" w:fill="AD98D8" w:themeFill="accent4" w:themeFillTint="66"/>
      </w:tcPr>
    </w:tblStylePr>
    <w:tblStylePr w:type="band1Horz">
      <w:tblPr/>
      <w:tcPr>
        <w:shd w:val="clear" w:color="auto" w:fill="AD98D8" w:themeFill="accent4" w:themeFillTint="66"/>
      </w:tcPr>
    </w:tblStylePr>
  </w:style>
  <w:style w:type="table" w:styleId="GridTable5Dark-Accent5">
    <w:name w:val="Grid Table 5 Dark Accent 5"/>
    <w:basedOn w:val="TableNormal"/>
    <w:uiPriority w:val="50"/>
    <w:rsid w:val="001330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EF8" w:themeFill="accent5" w:themeFillTint="33"/>
    </w:tcPr>
    <w:tblStylePr w:type="firstRow">
      <w:rPr>
        <w:b w:val="0"/>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ACDC" w:themeFill="accent5"/>
      </w:tcPr>
    </w:tblStylePr>
    <w:tblStylePr w:type="lastRow">
      <w:rPr>
        <w:b w:val="0"/>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ACDC" w:themeFill="accent5"/>
      </w:tcPr>
    </w:tblStylePr>
    <w:tblStylePr w:type="firstCol">
      <w:rPr>
        <w:b w:val="0"/>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ACDC" w:themeFill="accent5"/>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ACDC" w:themeFill="accent5"/>
      </w:tcPr>
    </w:tblStylePr>
    <w:tblStylePr w:type="band1Vert">
      <w:tblPr/>
      <w:tcPr>
        <w:shd w:val="clear" w:color="auto" w:fill="C1DDF1" w:themeFill="accent5" w:themeFillTint="66"/>
      </w:tcPr>
    </w:tblStylePr>
    <w:tblStylePr w:type="band1Horz">
      <w:tblPr/>
      <w:tcPr>
        <w:shd w:val="clear" w:color="auto" w:fill="C1DDF1" w:themeFill="accent5" w:themeFillTint="66"/>
      </w:tcPr>
    </w:tblStylePr>
  </w:style>
  <w:style w:type="table" w:styleId="GridTable5Dark-Accent6">
    <w:name w:val="Grid Table 5 Dark Accent 6"/>
    <w:basedOn w:val="TableNormal"/>
    <w:uiPriority w:val="50"/>
    <w:rsid w:val="001330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BF6" w:themeFill="accent6" w:themeFillTint="33"/>
    </w:tcPr>
    <w:tblStylePr w:type="firstRow">
      <w:rPr>
        <w:b w:val="0"/>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2A0D5" w:themeFill="accent6"/>
      </w:tcPr>
    </w:tblStylePr>
    <w:tblStylePr w:type="lastRow">
      <w:rPr>
        <w:b w:val="0"/>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2A0D5" w:themeFill="accent6"/>
      </w:tcPr>
    </w:tblStylePr>
    <w:tblStylePr w:type="firstCol">
      <w:rPr>
        <w:b w:val="0"/>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2A0D5" w:themeFill="accent6"/>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2A0D5" w:themeFill="accent6"/>
      </w:tcPr>
    </w:tblStylePr>
    <w:tblStylePr w:type="band1Vert">
      <w:tblPr/>
      <w:tcPr>
        <w:shd w:val="clear" w:color="auto" w:fill="D9D8EE" w:themeFill="accent6" w:themeFillTint="66"/>
      </w:tcPr>
    </w:tblStylePr>
    <w:tblStylePr w:type="band1Horz">
      <w:tblPr/>
      <w:tcPr>
        <w:shd w:val="clear" w:color="auto" w:fill="D9D8EE" w:themeFill="accent6" w:themeFillTint="66"/>
      </w:tcPr>
    </w:tblStylePr>
  </w:style>
  <w:style w:type="table" w:styleId="GridTable6Colorful">
    <w:name w:val="Grid Table 6 Colorful"/>
    <w:basedOn w:val="TableNormal"/>
    <w:uiPriority w:val="51"/>
    <w:rsid w:val="00425C90"/>
    <w:rPr>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bCs/>
      </w:rPr>
      <w:tblPr/>
      <w:tcPr>
        <w:tcBorders>
          <w:bottom w:val="single" w:sz="12" w:space="0" w:color="666666" w:themeColor="text1" w:themeTint="99"/>
        </w:tcBorders>
      </w:tcPr>
    </w:tblStylePr>
    <w:tblStylePr w:type="lastRow">
      <w:rPr>
        <w:b w:val="0"/>
        <w:bCs/>
      </w:rPr>
      <w:tblPr/>
      <w:tcPr>
        <w:tcBorders>
          <w:top w:val="double" w:sz="4" w:space="0" w:color="666666" w:themeColor="text1" w:themeTint="99"/>
        </w:tcBorders>
      </w:tcPr>
    </w:tblStylePr>
    <w:tblStylePr w:type="firstCol">
      <w:rPr>
        <w:b w:val="0"/>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5C90"/>
    <w:rPr>
      <w:color w:val="0F1835" w:themeColor="accent1" w:themeShade="BF"/>
    </w:rPr>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insideV w:val="single" w:sz="4" w:space="0" w:color="142147" w:themeColor="accent1"/>
      </w:tblBorders>
    </w:tblPr>
    <w:tblStylePr w:type="firstRow">
      <w:rPr>
        <w:b w:val="0"/>
        <w:bCs/>
      </w:rPr>
      <w:tblPr/>
      <w:tcPr>
        <w:tcBorders>
          <w:bottom w:val="single" w:sz="12" w:space="0" w:color="auto"/>
        </w:tcBorders>
      </w:tcPr>
    </w:tblStylePr>
    <w:tblStylePr w:type="lastRow">
      <w:rPr>
        <w:b w:val="0"/>
        <w:bCs/>
      </w:rPr>
      <w:tblPr/>
      <w:tcPr>
        <w:tcBorders>
          <w:top w:val="double" w:sz="4" w:space="0" w:color="142147" w:themeColor="accent1"/>
        </w:tcBorders>
      </w:tcPr>
    </w:tblStylePr>
    <w:tblStylePr w:type="firstCol">
      <w:rPr>
        <w:b w:val="0"/>
        <w:bCs/>
      </w:rPr>
    </w:tblStylePr>
    <w:tblStylePr w:type="lastCol">
      <w:rPr>
        <w:b w:val="0"/>
        <w:bCs/>
      </w:rPr>
    </w:tblStylePr>
    <w:tblStylePr w:type="band1Vert">
      <w:tblPr/>
      <w:tcPr>
        <w:shd w:val="clear" w:color="auto" w:fill="BDC9EC" w:themeFill="accent1" w:themeFillTint="33"/>
      </w:tcPr>
    </w:tblStylePr>
    <w:tblStylePr w:type="band1Horz">
      <w:tblPr/>
      <w:tcPr>
        <w:shd w:val="clear" w:color="auto" w:fill="BDC9EC" w:themeFill="accent1" w:themeFillTint="33"/>
      </w:tcPr>
    </w:tblStylePr>
  </w:style>
  <w:style w:type="table" w:styleId="GridTable6Colorful-Accent2">
    <w:name w:val="Grid Table 6 Colorful Accent 2"/>
    <w:basedOn w:val="TableNormal"/>
    <w:uiPriority w:val="51"/>
    <w:rsid w:val="00425C90"/>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insideV w:val="single" w:sz="4" w:space="0" w:color="701F4D" w:themeColor="accent2"/>
      </w:tblBorders>
    </w:tblPr>
    <w:tblStylePr w:type="firstRow">
      <w:rPr>
        <w:b w:val="0"/>
        <w:bCs/>
      </w:rPr>
      <w:tblPr/>
      <w:tcPr>
        <w:tcBorders>
          <w:bottom w:val="single" w:sz="12" w:space="0" w:color="701F4D" w:themeColor="accent2"/>
        </w:tcBorders>
      </w:tcPr>
    </w:tblStylePr>
    <w:tblStylePr w:type="lastRow">
      <w:rPr>
        <w:b w:val="0"/>
        <w:bCs/>
      </w:rPr>
      <w:tblPr/>
      <w:tcPr>
        <w:tcBorders>
          <w:top w:val="double" w:sz="4" w:space="0" w:color="701F4D" w:themeColor="accent2"/>
        </w:tcBorders>
      </w:tcPr>
    </w:tblStylePr>
    <w:tblStylePr w:type="firstCol">
      <w:rPr>
        <w:b w:val="0"/>
        <w:bCs/>
      </w:rPr>
    </w:tblStylePr>
    <w:tblStylePr w:type="lastCol">
      <w:rPr>
        <w:b w:val="0"/>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table" w:styleId="GridTable6Colorful-Accent3">
    <w:name w:val="Grid Table 6 Colorful Accent 3"/>
    <w:basedOn w:val="TableNormal"/>
    <w:uiPriority w:val="51"/>
    <w:rsid w:val="00425C90"/>
    <w:rPr>
      <w:color w:val="B49468" w:themeColor="accent3" w:themeShade="BF"/>
    </w:rPr>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insideH w:val="single" w:sz="4" w:space="0" w:color="D4C2A8" w:themeColor="accent3"/>
        <w:insideV w:val="single" w:sz="4" w:space="0" w:color="D4C2A8" w:themeColor="accent3"/>
      </w:tblBorders>
    </w:tblPr>
    <w:tblStylePr w:type="firstRow">
      <w:rPr>
        <w:b w:val="0"/>
        <w:bCs/>
      </w:rPr>
      <w:tblPr/>
      <w:tcPr>
        <w:tcBorders>
          <w:bottom w:val="single" w:sz="12" w:space="0" w:color="D4C2A8" w:themeColor="accent3"/>
        </w:tcBorders>
      </w:tcPr>
    </w:tblStylePr>
    <w:tblStylePr w:type="lastRow">
      <w:rPr>
        <w:b w:val="0"/>
        <w:bCs/>
      </w:rPr>
      <w:tblPr/>
      <w:tcPr>
        <w:tcBorders>
          <w:top w:val="double" w:sz="4" w:space="0" w:color="D4C2A8" w:themeColor="accent3"/>
        </w:tcBorders>
      </w:tcPr>
    </w:tblStylePr>
    <w:tblStylePr w:type="firstCol">
      <w:rPr>
        <w:b w:val="0"/>
        <w:bCs/>
      </w:rPr>
    </w:tblStylePr>
    <w:tblStylePr w:type="lastCol">
      <w:rPr>
        <w:b w:val="0"/>
        <w:bCs/>
      </w:rPr>
    </w:tblStylePr>
    <w:tblStylePr w:type="band1Vert">
      <w:tblPr/>
      <w:tcPr>
        <w:shd w:val="clear" w:color="auto" w:fill="F6F2ED" w:themeFill="accent3" w:themeFillTint="33"/>
      </w:tcPr>
    </w:tblStylePr>
    <w:tblStylePr w:type="band1Horz">
      <w:tblPr/>
      <w:tcPr>
        <w:shd w:val="clear" w:color="auto" w:fill="F6F2ED" w:themeFill="accent3" w:themeFillTint="33"/>
      </w:tcPr>
    </w:tblStylePr>
  </w:style>
  <w:style w:type="table" w:styleId="GridTable6Colorful-Accent4">
    <w:name w:val="Grid Table 6 Colorful Accent 4"/>
    <w:basedOn w:val="TableNormal"/>
    <w:uiPriority w:val="51"/>
    <w:rsid w:val="00425C90"/>
    <w:rPr>
      <w:color w:val="D4C2A8" w:themeColor="accent3"/>
    </w:rPr>
    <w:tblPr>
      <w:tblStyleRowBandSize w:val="1"/>
      <w:tblStyleColBandSize w:val="1"/>
      <w:tblBorders>
        <w:top w:val="single" w:sz="4" w:space="0" w:color="8565C5" w:themeColor="accent4" w:themeTint="99"/>
        <w:left w:val="single" w:sz="4" w:space="0" w:color="8565C5" w:themeColor="accent4" w:themeTint="99"/>
        <w:bottom w:val="single" w:sz="4" w:space="0" w:color="8565C5" w:themeColor="accent4" w:themeTint="99"/>
        <w:right w:val="single" w:sz="4" w:space="0" w:color="8565C5" w:themeColor="accent4" w:themeTint="99"/>
        <w:insideH w:val="single" w:sz="4" w:space="0" w:color="8565C5" w:themeColor="accent4" w:themeTint="99"/>
        <w:insideV w:val="single" w:sz="4" w:space="0" w:color="8565C5" w:themeColor="accent4" w:themeTint="99"/>
      </w:tblBorders>
    </w:tblPr>
    <w:tblStylePr w:type="firstRow">
      <w:rPr>
        <w:b w:val="0"/>
        <w:bCs/>
      </w:rPr>
      <w:tblPr/>
      <w:tcPr>
        <w:tcBorders>
          <w:bottom w:val="single" w:sz="12" w:space="0" w:color="8565C5" w:themeColor="accent4" w:themeTint="99"/>
        </w:tcBorders>
      </w:tcPr>
    </w:tblStylePr>
    <w:tblStylePr w:type="lastRow">
      <w:rPr>
        <w:b w:val="0"/>
        <w:bCs/>
      </w:rPr>
      <w:tblPr/>
      <w:tcPr>
        <w:tcBorders>
          <w:top w:val="double" w:sz="4" w:space="0" w:color="8565C5" w:themeColor="accent4" w:themeTint="99"/>
        </w:tcBorders>
      </w:tcPr>
    </w:tblStylePr>
    <w:tblStylePr w:type="firstCol">
      <w:rPr>
        <w:b w:val="0"/>
        <w:bCs/>
      </w:rPr>
    </w:tblStylePr>
    <w:tblStylePr w:type="lastCol">
      <w:rPr>
        <w:b w:val="0"/>
        <w:bCs/>
        <w:color w:val="D4C2A8" w:themeColor="accent3"/>
      </w:rPr>
    </w:tblStylePr>
    <w:tblStylePr w:type="band1Vert">
      <w:tblPr/>
      <w:tcPr>
        <w:shd w:val="clear" w:color="auto" w:fill="D6CBEB" w:themeFill="accent4" w:themeFillTint="33"/>
      </w:tcPr>
    </w:tblStylePr>
    <w:tblStylePr w:type="band1Horz">
      <w:tblPr/>
      <w:tcPr>
        <w:shd w:val="clear" w:color="auto" w:fill="D6CBEB" w:themeFill="accent4" w:themeFillTint="33"/>
      </w:tcPr>
    </w:tblStylePr>
  </w:style>
  <w:style w:type="table" w:styleId="GridTable6Colorful-Accent5">
    <w:name w:val="Grid Table 6 Colorful Accent 5"/>
    <w:basedOn w:val="TableNormal"/>
    <w:uiPriority w:val="51"/>
    <w:rsid w:val="00425C90"/>
    <w:rPr>
      <w:color w:val="142147" w:themeColor="accent1"/>
    </w:rPr>
    <w:tblPr>
      <w:tblStyleRowBandSize w:val="1"/>
      <w:tblStyleColBandSize w:val="1"/>
      <w:tblBorders>
        <w:top w:val="single" w:sz="4" w:space="0" w:color="A2CDEA" w:themeColor="accent5" w:themeTint="99"/>
        <w:left w:val="single" w:sz="4" w:space="0" w:color="A2CDEA" w:themeColor="accent5" w:themeTint="99"/>
        <w:bottom w:val="single" w:sz="4" w:space="0" w:color="A2CDEA" w:themeColor="accent5" w:themeTint="99"/>
        <w:right w:val="single" w:sz="4" w:space="0" w:color="A2CDEA" w:themeColor="accent5" w:themeTint="99"/>
        <w:insideH w:val="single" w:sz="4" w:space="0" w:color="A2CDEA" w:themeColor="accent5" w:themeTint="99"/>
        <w:insideV w:val="single" w:sz="4" w:space="0" w:color="A2CDEA" w:themeColor="accent5" w:themeTint="99"/>
      </w:tblBorders>
    </w:tblPr>
    <w:tblStylePr w:type="firstRow">
      <w:rPr>
        <w:b w:val="0"/>
        <w:bCs/>
      </w:rPr>
      <w:tblPr/>
      <w:tcPr>
        <w:tcBorders>
          <w:bottom w:val="single" w:sz="12" w:space="0" w:color="A2CDEA" w:themeColor="accent5" w:themeTint="99"/>
        </w:tcBorders>
      </w:tcPr>
    </w:tblStylePr>
    <w:tblStylePr w:type="lastRow">
      <w:rPr>
        <w:b w:val="0"/>
        <w:bCs/>
      </w:rPr>
      <w:tblPr/>
      <w:tcPr>
        <w:tcBorders>
          <w:top w:val="double" w:sz="4" w:space="0" w:color="A2CDEA" w:themeColor="accent5" w:themeTint="99"/>
        </w:tcBorders>
      </w:tcPr>
    </w:tblStylePr>
    <w:tblStylePr w:type="firstCol">
      <w:rPr>
        <w:b w:val="0"/>
        <w:bCs/>
      </w:rPr>
    </w:tblStylePr>
    <w:tblStylePr w:type="lastCol">
      <w:rPr>
        <w:b w:val="0"/>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table" w:styleId="GridTable6Colorful-Accent6">
    <w:name w:val="Grid Table 6 Colorful Accent 6"/>
    <w:basedOn w:val="TableNormal"/>
    <w:uiPriority w:val="51"/>
    <w:rsid w:val="00425C90"/>
    <w:rPr>
      <w:color w:val="701F4D" w:themeColor="accent2"/>
    </w:rPr>
    <w:tblPr>
      <w:tblStyleRowBandSize w:val="1"/>
      <w:tblStyleColBandSize w:val="1"/>
      <w:tblBorders>
        <w:top w:val="single" w:sz="4" w:space="0" w:color="C6C5E5" w:themeColor="accent6" w:themeTint="99"/>
        <w:left w:val="single" w:sz="4" w:space="0" w:color="C6C5E5" w:themeColor="accent6" w:themeTint="99"/>
        <w:bottom w:val="single" w:sz="4" w:space="0" w:color="C6C5E5" w:themeColor="accent6" w:themeTint="99"/>
        <w:right w:val="single" w:sz="4" w:space="0" w:color="C6C5E5" w:themeColor="accent6" w:themeTint="99"/>
        <w:insideH w:val="single" w:sz="4" w:space="0" w:color="C6C5E5" w:themeColor="accent6" w:themeTint="99"/>
        <w:insideV w:val="single" w:sz="4" w:space="0" w:color="C6C5E5" w:themeColor="accent6" w:themeTint="99"/>
      </w:tblBorders>
    </w:tblPr>
    <w:tblStylePr w:type="firstRow">
      <w:rPr>
        <w:b w:val="0"/>
        <w:bCs/>
      </w:rPr>
      <w:tblPr/>
      <w:tcPr>
        <w:tcBorders>
          <w:bottom w:val="single" w:sz="12" w:space="0" w:color="C6C5E5" w:themeColor="accent6" w:themeTint="99"/>
        </w:tcBorders>
      </w:tcPr>
    </w:tblStylePr>
    <w:tblStylePr w:type="lastRow">
      <w:rPr>
        <w:b w:val="0"/>
        <w:bCs/>
      </w:rPr>
      <w:tblPr/>
      <w:tcPr>
        <w:tcBorders>
          <w:top w:val="double" w:sz="4" w:space="0" w:color="C6C5E5" w:themeColor="accent6" w:themeTint="99"/>
        </w:tcBorders>
      </w:tcPr>
    </w:tblStylePr>
    <w:tblStylePr w:type="firstCol">
      <w:rPr>
        <w:b w:val="0"/>
        <w:bCs/>
      </w:rPr>
    </w:tblStylePr>
    <w:tblStylePr w:type="lastCol">
      <w:rPr>
        <w:b w:val="0"/>
        <w:bCs/>
      </w:rPr>
    </w:tblStylePr>
    <w:tblStylePr w:type="band1Vert">
      <w:tblPr/>
      <w:tcPr>
        <w:shd w:val="clear" w:color="auto" w:fill="ECEBF6" w:themeFill="accent6" w:themeFillTint="33"/>
      </w:tcPr>
    </w:tblStylePr>
    <w:tblStylePr w:type="band1Horz">
      <w:tblPr/>
      <w:tcPr>
        <w:shd w:val="clear" w:color="auto" w:fill="ECEBF6" w:themeFill="accent6" w:themeFillTint="33"/>
      </w:tcPr>
    </w:tblStylePr>
  </w:style>
  <w:style w:type="table" w:styleId="ListTable4">
    <w:name w:val="List Table 4"/>
    <w:basedOn w:val="TableNormal"/>
    <w:uiPriority w:val="49"/>
    <w:rsid w:val="00425C9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val="0"/>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val="0"/>
        <w:bCs/>
      </w:rPr>
      <w:tblPr/>
      <w:tcPr>
        <w:tcBorders>
          <w:top w:val="double" w:sz="4" w:space="0" w:color="666666" w:themeColor="text1" w:themeTint="99"/>
        </w:tcBorders>
      </w:tcPr>
    </w:tblStylePr>
    <w:tblStylePr w:type="firstCol">
      <w:rPr>
        <w:b w:val="0"/>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2">
    <w:name w:val="List Table 4 Accent 2"/>
    <w:basedOn w:val="TableNormal"/>
    <w:uiPriority w:val="49"/>
    <w:rsid w:val="002A15DE"/>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tblBorders>
    </w:tblPr>
    <w:tblStylePr w:type="firstRow">
      <w:rPr>
        <w:b w:val="0"/>
        <w:bCs/>
        <w:color w:val="FFFFFF" w:themeColor="background1"/>
      </w:rPr>
      <w:tblPr/>
      <w:tcPr>
        <w:tcBorders>
          <w:top w:val="single" w:sz="4" w:space="0" w:color="701F4D" w:themeColor="accent2"/>
          <w:left w:val="single" w:sz="4" w:space="0" w:color="701F4D" w:themeColor="accent2"/>
          <w:bottom w:val="single" w:sz="4" w:space="0" w:color="701F4D" w:themeColor="accent2"/>
          <w:right w:val="single" w:sz="4" w:space="0" w:color="701F4D" w:themeColor="accent2"/>
          <w:insideH w:val="nil"/>
        </w:tcBorders>
        <w:shd w:val="clear" w:color="auto" w:fill="701F4D" w:themeFill="accent2"/>
      </w:tcPr>
    </w:tblStylePr>
    <w:tblStylePr w:type="lastRow">
      <w:rPr>
        <w:b w:val="0"/>
        <w:bCs/>
      </w:rPr>
      <w:tblPr/>
      <w:tcPr>
        <w:tcBorders>
          <w:top w:val="double" w:sz="4" w:space="0" w:color="CF5298" w:themeColor="accent2" w:themeTint="99"/>
        </w:tcBorders>
      </w:tcPr>
    </w:tblStylePr>
    <w:tblStylePr w:type="firstCol">
      <w:rPr>
        <w:b w:val="0"/>
        <w:bCs/>
      </w:rPr>
    </w:tblStylePr>
    <w:tblStylePr w:type="lastCol">
      <w:rPr>
        <w:b w:val="0"/>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table" w:styleId="ListTable4-Accent3">
    <w:name w:val="List Table 4 Accent 3"/>
    <w:basedOn w:val="TableNormal"/>
    <w:uiPriority w:val="49"/>
    <w:rsid w:val="002A15DE"/>
    <w:tblPr>
      <w:tblStyleRowBandSize w:val="1"/>
      <w:tblStyleColBandSize w:val="1"/>
      <w:tblBorders>
        <w:top w:val="single" w:sz="4" w:space="0" w:color="E5DACA" w:themeColor="accent3" w:themeTint="99"/>
        <w:left w:val="single" w:sz="4" w:space="0" w:color="E5DACA" w:themeColor="accent3" w:themeTint="99"/>
        <w:bottom w:val="single" w:sz="4" w:space="0" w:color="E5DACA" w:themeColor="accent3" w:themeTint="99"/>
        <w:right w:val="single" w:sz="4" w:space="0" w:color="E5DACA" w:themeColor="accent3" w:themeTint="99"/>
        <w:insideH w:val="single" w:sz="4" w:space="0" w:color="E5DACA" w:themeColor="accent3" w:themeTint="99"/>
      </w:tblBorders>
    </w:tblPr>
    <w:tblStylePr w:type="firstRow">
      <w:rPr>
        <w:b w:val="0"/>
        <w:bCs/>
        <w:color w:val="FFFFFF" w:themeColor="background1"/>
      </w:rPr>
      <w:tblPr/>
      <w:tcPr>
        <w:tcBorders>
          <w:top w:val="single" w:sz="4" w:space="0" w:color="D4C2A8" w:themeColor="accent3"/>
          <w:left w:val="single" w:sz="4" w:space="0" w:color="D4C2A8" w:themeColor="accent3"/>
          <w:bottom w:val="single" w:sz="4" w:space="0" w:color="D4C2A8" w:themeColor="accent3"/>
          <w:right w:val="single" w:sz="4" w:space="0" w:color="D4C2A8" w:themeColor="accent3"/>
          <w:insideH w:val="nil"/>
        </w:tcBorders>
        <w:shd w:val="clear" w:color="auto" w:fill="D4C2A8" w:themeFill="accent3"/>
      </w:tcPr>
    </w:tblStylePr>
    <w:tblStylePr w:type="lastRow">
      <w:rPr>
        <w:b w:val="0"/>
        <w:bCs/>
      </w:rPr>
      <w:tblPr/>
      <w:tcPr>
        <w:tcBorders>
          <w:top w:val="double" w:sz="4" w:space="0" w:color="E5DACA" w:themeColor="accent3" w:themeTint="99"/>
        </w:tcBorders>
      </w:tcPr>
    </w:tblStylePr>
    <w:tblStylePr w:type="firstCol">
      <w:rPr>
        <w:b w:val="0"/>
        <w:bCs/>
      </w:rPr>
    </w:tblStylePr>
    <w:tblStylePr w:type="lastCol">
      <w:rPr>
        <w:b w:val="0"/>
        <w:bCs/>
      </w:rPr>
    </w:tblStylePr>
    <w:tblStylePr w:type="band1Vert">
      <w:tblPr/>
      <w:tcPr>
        <w:shd w:val="clear" w:color="auto" w:fill="F6F2ED" w:themeFill="accent3" w:themeFillTint="33"/>
      </w:tcPr>
    </w:tblStylePr>
    <w:tblStylePr w:type="band1Horz">
      <w:tblPr/>
      <w:tcPr>
        <w:shd w:val="clear" w:color="auto" w:fill="F6F2ED" w:themeFill="accent3" w:themeFillTint="33"/>
      </w:tcPr>
    </w:tblStylePr>
  </w:style>
  <w:style w:type="table" w:styleId="ListTable4-Accent4">
    <w:name w:val="List Table 4 Accent 4"/>
    <w:basedOn w:val="TableNormal"/>
    <w:uiPriority w:val="49"/>
    <w:rsid w:val="002A15DE"/>
    <w:tblPr>
      <w:tblStyleRowBandSize w:val="1"/>
      <w:tblStyleColBandSize w:val="1"/>
      <w:tblBorders>
        <w:top w:val="single" w:sz="4" w:space="0" w:color="8565C5" w:themeColor="accent4" w:themeTint="99"/>
        <w:left w:val="single" w:sz="4" w:space="0" w:color="8565C5" w:themeColor="accent4" w:themeTint="99"/>
        <w:bottom w:val="single" w:sz="4" w:space="0" w:color="8565C5" w:themeColor="accent4" w:themeTint="99"/>
        <w:right w:val="single" w:sz="4" w:space="0" w:color="8565C5" w:themeColor="accent4" w:themeTint="99"/>
        <w:insideH w:val="single" w:sz="4" w:space="0" w:color="8565C5" w:themeColor="accent4" w:themeTint="99"/>
      </w:tblBorders>
    </w:tblPr>
    <w:tblStylePr w:type="firstRow">
      <w:rPr>
        <w:b w:val="0"/>
        <w:bCs/>
        <w:color w:val="auto"/>
      </w:rPr>
      <w:tblPr/>
      <w:tcPr>
        <w:tcBorders>
          <w:top w:val="single" w:sz="4" w:space="0" w:color="432B73" w:themeColor="accent4"/>
          <w:left w:val="single" w:sz="4" w:space="0" w:color="432B73" w:themeColor="accent4"/>
          <w:bottom w:val="single" w:sz="4" w:space="0" w:color="432B73" w:themeColor="accent4"/>
          <w:right w:val="single" w:sz="4" w:space="0" w:color="432B73" w:themeColor="accent4"/>
          <w:insideH w:val="nil"/>
        </w:tcBorders>
        <w:shd w:val="clear" w:color="auto" w:fill="432B73" w:themeFill="accent4"/>
      </w:tcPr>
    </w:tblStylePr>
    <w:tblStylePr w:type="lastRow">
      <w:rPr>
        <w:b w:val="0"/>
        <w:bCs/>
      </w:rPr>
      <w:tblPr/>
      <w:tcPr>
        <w:tcBorders>
          <w:top w:val="double" w:sz="4" w:space="0" w:color="8565C5" w:themeColor="accent4" w:themeTint="99"/>
        </w:tcBorders>
      </w:tcPr>
    </w:tblStylePr>
    <w:tblStylePr w:type="firstCol">
      <w:rPr>
        <w:b w:val="0"/>
        <w:bCs/>
      </w:rPr>
    </w:tblStylePr>
    <w:tblStylePr w:type="lastCol">
      <w:rPr>
        <w:b w:val="0"/>
        <w:bCs/>
      </w:rPr>
    </w:tblStylePr>
    <w:tblStylePr w:type="band1Vert">
      <w:tblPr/>
      <w:tcPr>
        <w:shd w:val="clear" w:color="auto" w:fill="D6CBEB" w:themeFill="accent4" w:themeFillTint="33"/>
      </w:tcPr>
    </w:tblStylePr>
    <w:tblStylePr w:type="band1Horz">
      <w:tblPr/>
      <w:tcPr>
        <w:shd w:val="clear" w:color="auto" w:fill="D6CBEB" w:themeFill="accent4" w:themeFillTint="33"/>
      </w:tcPr>
    </w:tblStylePr>
  </w:style>
  <w:style w:type="table" w:styleId="ListTable4-Accent5">
    <w:name w:val="List Table 4 Accent 5"/>
    <w:basedOn w:val="TableNormal"/>
    <w:uiPriority w:val="49"/>
    <w:rsid w:val="002A15DE"/>
    <w:tblPr>
      <w:tblStyleRowBandSize w:val="1"/>
      <w:tblStyleColBandSize w:val="1"/>
      <w:tblBorders>
        <w:top w:val="single" w:sz="4" w:space="0" w:color="A2CDEA" w:themeColor="accent5" w:themeTint="99"/>
        <w:left w:val="single" w:sz="4" w:space="0" w:color="A2CDEA" w:themeColor="accent5" w:themeTint="99"/>
        <w:bottom w:val="single" w:sz="4" w:space="0" w:color="A2CDEA" w:themeColor="accent5" w:themeTint="99"/>
        <w:right w:val="single" w:sz="4" w:space="0" w:color="A2CDEA" w:themeColor="accent5" w:themeTint="99"/>
        <w:insideH w:val="single" w:sz="4" w:space="0" w:color="A2CDEA" w:themeColor="accent5" w:themeTint="99"/>
      </w:tblBorders>
    </w:tblPr>
    <w:tblStylePr w:type="firstRow">
      <w:rPr>
        <w:b w:val="0"/>
        <w:bCs/>
        <w:color w:val="auto"/>
      </w:rPr>
      <w:tblPr/>
      <w:tcPr>
        <w:tcBorders>
          <w:top w:val="single" w:sz="4" w:space="0" w:color="65ACDC" w:themeColor="accent5"/>
          <w:left w:val="single" w:sz="4" w:space="0" w:color="65ACDC" w:themeColor="accent5"/>
          <w:bottom w:val="single" w:sz="4" w:space="0" w:color="65ACDC" w:themeColor="accent5"/>
          <w:right w:val="single" w:sz="4" w:space="0" w:color="65ACDC" w:themeColor="accent5"/>
          <w:insideH w:val="nil"/>
        </w:tcBorders>
        <w:shd w:val="clear" w:color="auto" w:fill="65ACDC" w:themeFill="accent5"/>
      </w:tcPr>
    </w:tblStylePr>
    <w:tblStylePr w:type="lastRow">
      <w:rPr>
        <w:b w:val="0"/>
        <w:bCs/>
      </w:rPr>
      <w:tblPr/>
      <w:tcPr>
        <w:tcBorders>
          <w:top w:val="double" w:sz="4" w:space="0" w:color="A2CDEA" w:themeColor="accent5" w:themeTint="99"/>
        </w:tcBorders>
      </w:tcPr>
    </w:tblStylePr>
    <w:tblStylePr w:type="firstCol">
      <w:rPr>
        <w:b w:val="0"/>
        <w:bCs/>
      </w:rPr>
    </w:tblStylePr>
    <w:tblStylePr w:type="lastCol">
      <w:rPr>
        <w:b w:val="0"/>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table" w:styleId="ListTable4-Accent6">
    <w:name w:val="List Table 4 Accent 6"/>
    <w:basedOn w:val="TableNormal"/>
    <w:uiPriority w:val="49"/>
    <w:rsid w:val="002A15DE"/>
    <w:tblPr>
      <w:tblStyleRowBandSize w:val="1"/>
      <w:tblStyleColBandSize w:val="1"/>
      <w:tblBorders>
        <w:top w:val="single" w:sz="4" w:space="0" w:color="C6C5E5" w:themeColor="accent6" w:themeTint="99"/>
        <w:left w:val="single" w:sz="4" w:space="0" w:color="C6C5E5" w:themeColor="accent6" w:themeTint="99"/>
        <w:bottom w:val="single" w:sz="4" w:space="0" w:color="C6C5E5" w:themeColor="accent6" w:themeTint="99"/>
        <w:right w:val="single" w:sz="4" w:space="0" w:color="C6C5E5" w:themeColor="accent6" w:themeTint="99"/>
        <w:insideH w:val="single" w:sz="4" w:space="0" w:color="C6C5E5" w:themeColor="accent6" w:themeTint="99"/>
      </w:tblBorders>
    </w:tblPr>
    <w:tblStylePr w:type="firstRow">
      <w:rPr>
        <w:b w:val="0"/>
        <w:bCs/>
        <w:color w:val="auto"/>
      </w:rPr>
      <w:tblPr/>
      <w:tcPr>
        <w:tcBorders>
          <w:top w:val="single" w:sz="4" w:space="0" w:color="A2A0D5" w:themeColor="accent6"/>
          <w:left w:val="single" w:sz="4" w:space="0" w:color="A2A0D5" w:themeColor="accent6"/>
          <w:bottom w:val="single" w:sz="4" w:space="0" w:color="A2A0D5" w:themeColor="accent6"/>
          <w:right w:val="single" w:sz="4" w:space="0" w:color="A2A0D5" w:themeColor="accent6"/>
          <w:insideH w:val="nil"/>
        </w:tcBorders>
        <w:shd w:val="clear" w:color="auto" w:fill="A2A0D5" w:themeFill="accent6"/>
      </w:tcPr>
    </w:tblStylePr>
    <w:tblStylePr w:type="lastRow">
      <w:rPr>
        <w:b w:val="0"/>
        <w:bCs/>
      </w:rPr>
      <w:tblPr/>
      <w:tcPr>
        <w:tcBorders>
          <w:top w:val="double" w:sz="4" w:space="0" w:color="C6C5E5" w:themeColor="accent6" w:themeTint="99"/>
        </w:tcBorders>
      </w:tcPr>
    </w:tblStylePr>
    <w:tblStylePr w:type="firstCol">
      <w:rPr>
        <w:b w:val="0"/>
        <w:bCs/>
      </w:rPr>
    </w:tblStylePr>
    <w:tblStylePr w:type="lastCol">
      <w:rPr>
        <w:b w:val="0"/>
        <w:bCs/>
      </w:rPr>
    </w:tblStylePr>
    <w:tblStylePr w:type="band1Vert">
      <w:tblPr/>
      <w:tcPr>
        <w:shd w:val="clear" w:color="auto" w:fill="ECEBF6" w:themeFill="accent6" w:themeFillTint="33"/>
      </w:tcPr>
    </w:tblStylePr>
    <w:tblStylePr w:type="band1Horz">
      <w:tblPr/>
      <w:tcPr>
        <w:shd w:val="clear" w:color="auto" w:fill="ECEBF6" w:themeFill="accent6" w:themeFillTint="33"/>
      </w:tcPr>
    </w:tblStylePr>
  </w:style>
  <w:style w:type="table" w:styleId="ListTable3-Accent6">
    <w:name w:val="List Table 3 Accent 6"/>
    <w:basedOn w:val="TableNormal"/>
    <w:uiPriority w:val="48"/>
    <w:rsid w:val="002A15DE"/>
    <w:tblPr>
      <w:tblStyleRowBandSize w:val="1"/>
      <w:tblStyleColBandSize w:val="1"/>
      <w:tblBorders>
        <w:top w:val="single" w:sz="4" w:space="0" w:color="A2A0D5" w:themeColor="accent6"/>
        <w:left w:val="single" w:sz="4" w:space="0" w:color="A2A0D5" w:themeColor="accent6"/>
        <w:bottom w:val="single" w:sz="4" w:space="0" w:color="A2A0D5" w:themeColor="accent6"/>
        <w:right w:val="single" w:sz="4" w:space="0" w:color="A2A0D5" w:themeColor="accent6"/>
      </w:tblBorders>
    </w:tblPr>
    <w:tblStylePr w:type="firstRow">
      <w:rPr>
        <w:b w:val="0"/>
        <w:bCs/>
        <w:color w:val="auto"/>
      </w:rPr>
      <w:tblPr/>
      <w:tcPr>
        <w:shd w:val="clear" w:color="auto" w:fill="A2A0D5" w:themeFill="accent6"/>
      </w:tcPr>
    </w:tblStylePr>
    <w:tblStylePr w:type="lastRow">
      <w:rPr>
        <w:b/>
        <w:bCs/>
      </w:rPr>
      <w:tblPr/>
      <w:tcPr>
        <w:tcBorders>
          <w:top w:val="double" w:sz="4" w:space="0" w:color="A2A0D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2A0D5" w:themeColor="accent6"/>
          <w:right w:val="single" w:sz="4" w:space="0" w:color="A2A0D5" w:themeColor="accent6"/>
        </w:tcBorders>
      </w:tcPr>
    </w:tblStylePr>
    <w:tblStylePr w:type="band1Horz">
      <w:tblPr/>
      <w:tcPr>
        <w:tcBorders>
          <w:top w:val="single" w:sz="4" w:space="0" w:color="A2A0D5" w:themeColor="accent6"/>
          <w:bottom w:val="single" w:sz="4" w:space="0" w:color="A2A0D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2A0D5" w:themeColor="accent6"/>
          <w:left w:val="nil"/>
        </w:tcBorders>
      </w:tcPr>
    </w:tblStylePr>
    <w:tblStylePr w:type="swCell">
      <w:tblPr/>
      <w:tcPr>
        <w:tcBorders>
          <w:top w:val="double" w:sz="4" w:space="0" w:color="A2A0D5" w:themeColor="accent6"/>
          <w:right w:val="nil"/>
        </w:tcBorders>
      </w:tcPr>
    </w:tblStylePr>
  </w:style>
  <w:style w:type="table" w:styleId="ListTable3-Accent5">
    <w:name w:val="List Table 3 Accent 5"/>
    <w:basedOn w:val="TableNormal"/>
    <w:uiPriority w:val="48"/>
    <w:rsid w:val="002A15DE"/>
    <w:tblPr>
      <w:tblStyleRowBandSize w:val="1"/>
      <w:tblStyleColBandSize w:val="1"/>
      <w:tblBorders>
        <w:top w:val="single" w:sz="4" w:space="0" w:color="65ACDC" w:themeColor="accent5"/>
        <w:left w:val="single" w:sz="4" w:space="0" w:color="65ACDC" w:themeColor="accent5"/>
        <w:bottom w:val="single" w:sz="4" w:space="0" w:color="65ACDC" w:themeColor="accent5"/>
        <w:right w:val="single" w:sz="4" w:space="0" w:color="65ACDC" w:themeColor="accent5"/>
      </w:tblBorders>
    </w:tblPr>
    <w:tblStylePr w:type="firstRow">
      <w:rPr>
        <w:b w:val="0"/>
        <w:bCs/>
        <w:color w:val="auto"/>
      </w:rPr>
      <w:tblPr/>
      <w:tcPr>
        <w:shd w:val="clear" w:color="auto" w:fill="65ACDC" w:themeFill="accent5"/>
      </w:tcPr>
    </w:tblStylePr>
    <w:tblStylePr w:type="lastRow">
      <w:rPr>
        <w:b/>
        <w:bCs/>
      </w:rPr>
      <w:tblPr/>
      <w:tcPr>
        <w:tcBorders>
          <w:top w:val="double" w:sz="4" w:space="0" w:color="65ACD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ACDC" w:themeColor="accent5"/>
          <w:right w:val="single" w:sz="4" w:space="0" w:color="65ACDC" w:themeColor="accent5"/>
        </w:tcBorders>
      </w:tcPr>
    </w:tblStylePr>
    <w:tblStylePr w:type="band1Horz">
      <w:tblPr/>
      <w:tcPr>
        <w:tcBorders>
          <w:top w:val="single" w:sz="4" w:space="0" w:color="65ACDC" w:themeColor="accent5"/>
          <w:bottom w:val="single" w:sz="4" w:space="0" w:color="65ACD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ACDC" w:themeColor="accent5"/>
          <w:left w:val="nil"/>
        </w:tcBorders>
      </w:tcPr>
    </w:tblStylePr>
    <w:tblStylePr w:type="swCell">
      <w:tblPr/>
      <w:tcPr>
        <w:tcBorders>
          <w:top w:val="double" w:sz="4" w:space="0" w:color="65ACDC" w:themeColor="accent5"/>
          <w:right w:val="nil"/>
        </w:tcBorders>
      </w:tcPr>
    </w:tblStylePr>
  </w:style>
  <w:style w:type="table" w:styleId="ListTable3-Accent4">
    <w:name w:val="List Table 3 Accent 4"/>
    <w:basedOn w:val="TableNormal"/>
    <w:uiPriority w:val="48"/>
    <w:rsid w:val="002A15DE"/>
    <w:tblPr>
      <w:tblStyleRowBandSize w:val="1"/>
      <w:tblStyleColBandSize w:val="1"/>
      <w:tblBorders>
        <w:top w:val="single" w:sz="4" w:space="0" w:color="432B73" w:themeColor="accent4"/>
        <w:left w:val="single" w:sz="4" w:space="0" w:color="432B73" w:themeColor="accent4"/>
        <w:bottom w:val="single" w:sz="4" w:space="0" w:color="432B73" w:themeColor="accent4"/>
        <w:right w:val="single" w:sz="4" w:space="0" w:color="432B73" w:themeColor="accent4"/>
      </w:tblBorders>
    </w:tblPr>
    <w:tblStylePr w:type="firstRow">
      <w:rPr>
        <w:b w:val="0"/>
        <w:bCs/>
        <w:color w:val="auto"/>
      </w:rPr>
      <w:tblPr/>
      <w:tcPr>
        <w:shd w:val="clear" w:color="auto" w:fill="432B73" w:themeFill="accent4"/>
      </w:tcPr>
    </w:tblStylePr>
    <w:tblStylePr w:type="lastRow">
      <w:rPr>
        <w:b/>
        <w:bCs/>
      </w:rPr>
      <w:tblPr/>
      <w:tcPr>
        <w:tcBorders>
          <w:top w:val="double" w:sz="4" w:space="0" w:color="432B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32B73" w:themeColor="accent4"/>
          <w:right w:val="single" w:sz="4" w:space="0" w:color="432B73" w:themeColor="accent4"/>
        </w:tcBorders>
      </w:tcPr>
    </w:tblStylePr>
    <w:tblStylePr w:type="band1Horz">
      <w:tblPr/>
      <w:tcPr>
        <w:tcBorders>
          <w:top w:val="single" w:sz="4" w:space="0" w:color="432B73" w:themeColor="accent4"/>
          <w:bottom w:val="single" w:sz="4" w:space="0" w:color="432B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32B73" w:themeColor="accent4"/>
          <w:left w:val="nil"/>
        </w:tcBorders>
      </w:tcPr>
    </w:tblStylePr>
    <w:tblStylePr w:type="swCell">
      <w:tblPr/>
      <w:tcPr>
        <w:tcBorders>
          <w:top w:val="double" w:sz="4" w:space="0" w:color="432B73" w:themeColor="accent4"/>
          <w:right w:val="nil"/>
        </w:tcBorders>
      </w:tcPr>
    </w:tblStylePr>
  </w:style>
  <w:style w:type="table" w:styleId="ListTable3-Accent3">
    <w:name w:val="List Table 3 Accent 3"/>
    <w:basedOn w:val="TableNormal"/>
    <w:uiPriority w:val="48"/>
    <w:rsid w:val="002A15DE"/>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tblBorders>
    </w:tblPr>
    <w:tblStylePr w:type="firstRow">
      <w:rPr>
        <w:b w:val="0"/>
        <w:bCs/>
        <w:color w:val="FFFFFF" w:themeColor="background1"/>
      </w:rPr>
      <w:tblPr/>
      <w:tcPr>
        <w:shd w:val="clear" w:color="auto" w:fill="D4C2A8" w:themeFill="accent3"/>
      </w:tcPr>
    </w:tblStylePr>
    <w:tblStylePr w:type="lastRow">
      <w:rPr>
        <w:b/>
        <w:bCs/>
      </w:rPr>
      <w:tblPr/>
      <w:tcPr>
        <w:tcBorders>
          <w:top w:val="double" w:sz="4" w:space="0" w:color="D4C2A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C2A8" w:themeColor="accent3"/>
          <w:right w:val="single" w:sz="4" w:space="0" w:color="D4C2A8" w:themeColor="accent3"/>
        </w:tcBorders>
      </w:tcPr>
    </w:tblStylePr>
    <w:tblStylePr w:type="band1Horz">
      <w:tblPr/>
      <w:tcPr>
        <w:tcBorders>
          <w:top w:val="single" w:sz="4" w:space="0" w:color="D4C2A8" w:themeColor="accent3"/>
          <w:bottom w:val="single" w:sz="4" w:space="0" w:color="D4C2A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C2A8" w:themeColor="accent3"/>
          <w:left w:val="nil"/>
        </w:tcBorders>
      </w:tcPr>
    </w:tblStylePr>
    <w:tblStylePr w:type="swCell">
      <w:tblPr/>
      <w:tcPr>
        <w:tcBorders>
          <w:top w:val="double" w:sz="4" w:space="0" w:color="D4C2A8" w:themeColor="accent3"/>
          <w:right w:val="nil"/>
        </w:tcBorders>
      </w:tcPr>
    </w:tblStylePr>
  </w:style>
  <w:style w:type="table" w:styleId="ListTable3-Accent2">
    <w:name w:val="List Table 3 Accent 2"/>
    <w:basedOn w:val="TableNormal"/>
    <w:uiPriority w:val="48"/>
    <w:rsid w:val="002A15DE"/>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tblBorders>
    </w:tblPr>
    <w:tblStylePr w:type="firstRow">
      <w:rPr>
        <w:b w:val="0"/>
        <w:bCs/>
        <w:color w:val="FFFFFF" w:themeColor="background1"/>
      </w:rPr>
      <w:tblPr/>
      <w:tcPr>
        <w:shd w:val="clear" w:color="auto" w:fill="701F4D" w:themeFill="accent2"/>
      </w:tcPr>
    </w:tblStylePr>
    <w:tblStylePr w:type="lastRow">
      <w:rPr>
        <w:b/>
        <w:bCs/>
      </w:rPr>
      <w:tblPr/>
      <w:tcPr>
        <w:tcBorders>
          <w:top w:val="double" w:sz="4" w:space="0" w:color="701F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1F4D" w:themeColor="accent2"/>
          <w:right w:val="single" w:sz="4" w:space="0" w:color="701F4D" w:themeColor="accent2"/>
        </w:tcBorders>
      </w:tcPr>
    </w:tblStylePr>
    <w:tblStylePr w:type="band1Horz">
      <w:tblPr/>
      <w:tcPr>
        <w:tcBorders>
          <w:top w:val="single" w:sz="4" w:space="0" w:color="701F4D" w:themeColor="accent2"/>
          <w:bottom w:val="single" w:sz="4" w:space="0" w:color="701F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1F4D" w:themeColor="accent2"/>
          <w:left w:val="nil"/>
        </w:tcBorders>
      </w:tcPr>
    </w:tblStylePr>
    <w:tblStylePr w:type="swCell">
      <w:tblPr/>
      <w:tcPr>
        <w:tcBorders>
          <w:top w:val="double" w:sz="4" w:space="0" w:color="701F4D" w:themeColor="accent2"/>
          <w:right w:val="nil"/>
        </w:tcBorders>
      </w:tcPr>
    </w:tblStylePr>
  </w:style>
  <w:style w:type="table" w:styleId="ListTable3-Accent1">
    <w:name w:val="List Table 3 Accent 1"/>
    <w:basedOn w:val="TableNormal"/>
    <w:uiPriority w:val="48"/>
    <w:rsid w:val="002A15DE"/>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tblBorders>
    </w:tblPr>
    <w:tblStylePr w:type="firstRow">
      <w:rPr>
        <w:b w:val="0"/>
        <w:bCs/>
        <w:color w:val="FFFFFF" w:themeColor="background1"/>
      </w:rPr>
      <w:tblPr/>
      <w:tcPr>
        <w:shd w:val="clear" w:color="auto" w:fill="142147" w:themeFill="accent1"/>
      </w:tcPr>
    </w:tblStylePr>
    <w:tblStylePr w:type="lastRow">
      <w:rPr>
        <w:b/>
        <w:bCs/>
      </w:rPr>
      <w:tblPr/>
      <w:tcPr>
        <w:tcBorders>
          <w:top w:val="double" w:sz="4" w:space="0" w:color="1421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2147" w:themeColor="accent1"/>
          <w:right w:val="single" w:sz="4" w:space="0" w:color="142147" w:themeColor="accent1"/>
        </w:tcBorders>
      </w:tcPr>
    </w:tblStylePr>
    <w:tblStylePr w:type="band1Horz">
      <w:tblPr/>
      <w:tcPr>
        <w:tcBorders>
          <w:top w:val="single" w:sz="4" w:space="0" w:color="142147" w:themeColor="accent1"/>
          <w:bottom w:val="single" w:sz="4" w:space="0" w:color="1421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2147" w:themeColor="accent1"/>
          <w:left w:val="nil"/>
        </w:tcBorders>
      </w:tcPr>
    </w:tblStylePr>
    <w:tblStylePr w:type="swCell">
      <w:tblPr/>
      <w:tcPr>
        <w:tcBorders>
          <w:top w:val="double" w:sz="4" w:space="0" w:color="142147" w:themeColor="accent1"/>
          <w:right w:val="nil"/>
        </w:tcBorders>
      </w:tcPr>
    </w:tblStylePr>
  </w:style>
  <w:style w:type="table" w:styleId="ListTable3">
    <w:name w:val="List Table 3"/>
    <w:basedOn w:val="TableNormal"/>
    <w:uiPriority w:val="48"/>
    <w:rsid w:val="002A15D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val="0"/>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3">
    <w:name w:val="List 3"/>
    <w:basedOn w:val="Normal"/>
    <w:semiHidden/>
    <w:rsid w:val="00DA5F5F"/>
    <w:pPr>
      <w:ind w:left="849" w:hanging="283"/>
      <w:contextualSpacing/>
    </w:pPr>
  </w:style>
  <w:style w:type="paragraph" w:styleId="List4">
    <w:name w:val="List 4"/>
    <w:basedOn w:val="Normal"/>
    <w:semiHidden/>
    <w:rsid w:val="00DA5F5F"/>
    <w:pPr>
      <w:ind w:left="1132" w:hanging="283"/>
      <w:contextualSpacing/>
    </w:pPr>
  </w:style>
  <w:style w:type="paragraph" w:styleId="List5">
    <w:name w:val="List 5"/>
    <w:basedOn w:val="Normal"/>
    <w:semiHidden/>
    <w:rsid w:val="00DA5F5F"/>
    <w:pPr>
      <w:ind w:left="1415" w:hanging="283"/>
      <w:contextualSpacing/>
    </w:pPr>
  </w:style>
  <w:style w:type="paragraph" w:styleId="List">
    <w:name w:val="List"/>
    <w:basedOn w:val="Normal"/>
    <w:semiHidden/>
    <w:rsid w:val="00DA5F5F"/>
    <w:pPr>
      <w:ind w:left="283" w:hanging="283"/>
      <w:contextualSpacing/>
    </w:pPr>
  </w:style>
  <w:style w:type="paragraph" w:styleId="ListBullet">
    <w:name w:val="List Bullet"/>
    <w:basedOn w:val="Normal"/>
    <w:semiHidden/>
    <w:rsid w:val="00DA5F5F"/>
    <w:pPr>
      <w:numPr>
        <w:numId w:val="8"/>
      </w:numPr>
      <w:contextualSpacing/>
    </w:pPr>
  </w:style>
  <w:style w:type="paragraph" w:styleId="ListBullet2">
    <w:name w:val="List Bullet 2"/>
    <w:basedOn w:val="Normal"/>
    <w:semiHidden/>
    <w:rsid w:val="00DA5F5F"/>
    <w:pPr>
      <w:numPr>
        <w:numId w:val="9"/>
      </w:numPr>
      <w:contextualSpacing/>
    </w:pPr>
  </w:style>
  <w:style w:type="paragraph" w:styleId="ListBullet3">
    <w:name w:val="List Bullet 3"/>
    <w:basedOn w:val="Normal"/>
    <w:semiHidden/>
    <w:rsid w:val="00DA5F5F"/>
    <w:pPr>
      <w:numPr>
        <w:numId w:val="10"/>
      </w:numPr>
      <w:contextualSpacing/>
    </w:pPr>
  </w:style>
  <w:style w:type="paragraph" w:styleId="ListBullet4">
    <w:name w:val="List Bullet 4"/>
    <w:basedOn w:val="Normal"/>
    <w:semiHidden/>
    <w:rsid w:val="00DA5F5F"/>
    <w:pPr>
      <w:numPr>
        <w:numId w:val="11"/>
      </w:numPr>
      <w:contextualSpacing/>
    </w:pPr>
  </w:style>
  <w:style w:type="paragraph" w:styleId="ListBullet5">
    <w:name w:val="List Bullet 5"/>
    <w:basedOn w:val="Normal"/>
    <w:semiHidden/>
    <w:rsid w:val="00DA5F5F"/>
    <w:pPr>
      <w:numPr>
        <w:numId w:val="12"/>
      </w:numPr>
      <w:contextualSpacing/>
    </w:pPr>
  </w:style>
  <w:style w:type="paragraph" w:styleId="ListContinue">
    <w:name w:val="List Continue"/>
    <w:basedOn w:val="Normal"/>
    <w:semiHidden/>
    <w:rsid w:val="00DA5F5F"/>
    <w:pPr>
      <w:ind w:left="283"/>
      <w:contextualSpacing/>
    </w:pPr>
  </w:style>
  <w:style w:type="paragraph" w:styleId="ListContinue2">
    <w:name w:val="List Continue 2"/>
    <w:basedOn w:val="Normal"/>
    <w:semiHidden/>
    <w:rsid w:val="00DA5F5F"/>
    <w:pPr>
      <w:ind w:left="566"/>
      <w:contextualSpacing/>
    </w:pPr>
  </w:style>
  <w:style w:type="paragraph" w:styleId="ListContinue3">
    <w:name w:val="List Continue 3"/>
    <w:basedOn w:val="Normal"/>
    <w:semiHidden/>
    <w:rsid w:val="00DA5F5F"/>
    <w:pPr>
      <w:ind w:left="849"/>
      <w:contextualSpacing/>
    </w:pPr>
  </w:style>
  <w:style w:type="paragraph" w:styleId="ListContinue4">
    <w:name w:val="List Continue 4"/>
    <w:basedOn w:val="Normal"/>
    <w:semiHidden/>
    <w:rsid w:val="00DA5F5F"/>
    <w:pPr>
      <w:ind w:left="1132"/>
      <w:contextualSpacing/>
    </w:pPr>
  </w:style>
  <w:style w:type="paragraph" w:styleId="ListContinue5">
    <w:name w:val="List Continue 5"/>
    <w:basedOn w:val="Normal"/>
    <w:semiHidden/>
    <w:rsid w:val="00DA5F5F"/>
    <w:pPr>
      <w:ind w:left="1415"/>
      <w:contextualSpacing/>
    </w:pPr>
  </w:style>
  <w:style w:type="paragraph" w:styleId="ListNumber">
    <w:name w:val="List Number"/>
    <w:basedOn w:val="Normal"/>
    <w:semiHidden/>
    <w:rsid w:val="00DA5F5F"/>
    <w:pPr>
      <w:numPr>
        <w:numId w:val="13"/>
      </w:numPr>
      <w:contextualSpacing/>
    </w:pPr>
  </w:style>
  <w:style w:type="paragraph" w:styleId="ListNumber2">
    <w:name w:val="List Number 2"/>
    <w:basedOn w:val="Normal"/>
    <w:semiHidden/>
    <w:rsid w:val="00DA5F5F"/>
    <w:pPr>
      <w:numPr>
        <w:numId w:val="14"/>
      </w:numPr>
      <w:contextualSpacing/>
    </w:pPr>
  </w:style>
  <w:style w:type="paragraph" w:styleId="ListNumber3">
    <w:name w:val="List Number 3"/>
    <w:basedOn w:val="Normal"/>
    <w:semiHidden/>
    <w:rsid w:val="00DA5F5F"/>
    <w:pPr>
      <w:numPr>
        <w:numId w:val="15"/>
      </w:numPr>
      <w:contextualSpacing/>
    </w:pPr>
  </w:style>
  <w:style w:type="paragraph" w:styleId="ListNumber4">
    <w:name w:val="List Number 4"/>
    <w:basedOn w:val="Normal"/>
    <w:semiHidden/>
    <w:rsid w:val="00DA5F5F"/>
    <w:pPr>
      <w:numPr>
        <w:numId w:val="16"/>
      </w:numPr>
      <w:contextualSpacing/>
    </w:pPr>
  </w:style>
  <w:style w:type="paragraph" w:styleId="ListNumber5">
    <w:name w:val="List Number 5"/>
    <w:basedOn w:val="Normal"/>
    <w:semiHidden/>
    <w:rsid w:val="00DA5F5F"/>
    <w:pPr>
      <w:numPr>
        <w:numId w:val="17"/>
      </w:numPr>
      <w:contextualSpacing/>
    </w:pPr>
  </w:style>
  <w:style w:type="paragraph" w:styleId="MacroText">
    <w:name w:val="macro"/>
    <w:link w:val="MacroTextChar"/>
    <w:semiHidden/>
    <w:rsid w:val="00DA5F5F"/>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B05D5C"/>
    <w:rPr>
      <w:rFonts w:ascii="Consolas" w:hAnsi="Consolas"/>
      <w:sz w:val="20"/>
      <w:szCs w:val="20"/>
    </w:rPr>
  </w:style>
  <w:style w:type="paragraph" w:styleId="BlockText">
    <w:name w:val="Block Text"/>
    <w:basedOn w:val="Normal"/>
    <w:semiHidden/>
    <w:rsid w:val="00DA5F5F"/>
    <w:pPr>
      <w:pBdr>
        <w:top w:val="single" w:sz="2" w:space="10" w:color="142147" w:themeColor="accent1"/>
        <w:left w:val="single" w:sz="2" w:space="10" w:color="142147" w:themeColor="accent1"/>
        <w:bottom w:val="single" w:sz="2" w:space="10" w:color="142147" w:themeColor="accent1"/>
        <w:right w:val="single" w:sz="2" w:space="10" w:color="142147" w:themeColor="accent1"/>
      </w:pBdr>
      <w:ind w:left="1152" w:right="1152"/>
    </w:pPr>
    <w:rPr>
      <w:rFonts w:asciiTheme="minorHAnsi" w:eastAsiaTheme="minorEastAsia" w:hAnsiTheme="minorHAnsi" w:cstheme="minorBidi"/>
      <w:i/>
      <w:iCs/>
      <w:color w:val="142147" w:themeColor="accent1"/>
    </w:rPr>
  </w:style>
  <w:style w:type="paragraph" w:styleId="Caption">
    <w:name w:val="caption"/>
    <w:basedOn w:val="Normal"/>
    <w:next w:val="Normal"/>
    <w:unhideWhenUsed/>
    <w:qFormat/>
    <w:rsid w:val="00DA5F5F"/>
    <w:pPr>
      <w:spacing w:before="0" w:after="200"/>
    </w:pPr>
    <w:rPr>
      <w:i/>
      <w:iCs/>
      <w:color w:val="5F5F5F" w:themeColor="text2"/>
      <w:sz w:val="18"/>
      <w:szCs w:val="18"/>
    </w:rPr>
  </w:style>
  <w:style w:type="paragraph" w:styleId="BodyText2">
    <w:name w:val="Body Text 2"/>
    <w:basedOn w:val="Normal"/>
    <w:link w:val="BodyText2Char"/>
    <w:semiHidden/>
    <w:rsid w:val="00DA5F5F"/>
    <w:pPr>
      <w:spacing w:line="480" w:lineRule="auto"/>
    </w:pPr>
  </w:style>
  <w:style w:type="character" w:customStyle="1" w:styleId="BodyText2Char">
    <w:name w:val="Body Text 2 Char"/>
    <w:basedOn w:val="DefaultParagraphFont"/>
    <w:link w:val="BodyText2"/>
    <w:semiHidden/>
    <w:rsid w:val="00B05D5C"/>
  </w:style>
  <w:style w:type="paragraph" w:styleId="BodyText3">
    <w:name w:val="Body Text 3"/>
    <w:basedOn w:val="Normal"/>
    <w:link w:val="BodyText3Char"/>
    <w:semiHidden/>
    <w:rsid w:val="00DA5F5F"/>
    <w:rPr>
      <w:sz w:val="16"/>
      <w:szCs w:val="16"/>
    </w:rPr>
  </w:style>
  <w:style w:type="character" w:customStyle="1" w:styleId="BodyText3Char">
    <w:name w:val="Body Text 3 Char"/>
    <w:basedOn w:val="DefaultParagraphFont"/>
    <w:link w:val="BodyText3"/>
    <w:semiHidden/>
    <w:rsid w:val="00B05D5C"/>
    <w:rPr>
      <w:sz w:val="16"/>
      <w:szCs w:val="16"/>
    </w:rPr>
  </w:style>
  <w:style w:type="paragraph" w:customStyle="1" w:styleId="KeyPointsHeading">
    <w:name w:val="Key Points Heading"/>
    <w:basedOn w:val="BoxHeading1"/>
    <w:qFormat/>
    <w:rsid w:val="00B7531F"/>
    <w:rPr>
      <w:rFonts w:ascii="Arial Bold" w:hAnsi="Arial Bold"/>
      <w:b/>
      <w:i w:val="0"/>
      <w:caps/>
      <w:color w:val="404040"/>
      <w:sz w:val="24"/>
    </w:rPr>
  </w:style>
  <w:style w:type="paragraph" w:styleId="Index1">
    <w:name w:val="index 1"/>
    <w:basedOn w:val="Normal"/>
    <w:next w:val="Normal"/>
    <w:autoRedefine/>
    <w:semiHidden/>
    <w:rsid w:val="00225987"/>
    <w:pPr>
      <w:spacing w:before="0" w:after="0"/>
      <w:ind w:left="220" w:hanging="220"/>
    </w:pPr>
  </w:style>
  <w:style w:type="paragraph" w:customStyle="1" w:styleId="TableTextLeft">
    <w:name w:val="Table Text Left"/>
    <w:basedOn w:val="Normal"/>
    <w:rsid w:val="00B7531F"/>
    <w:pPr>
      <w:spacing w:before="30" w:after="80"/>
    </w:pPr>
    <w:rPr>
      <w:rFonts w:asciiTheme="minorHAnsi" w:hAnsiTheme="minorHAnsi"/>
      <w:color w:val="000000"/>
      <w:szCs w:val="18"/>
    </w:rPr>
  </w:style>
  <w:style w:type="paragraph" w:customStyle="1" w:styleId="TableColumnHeadingLeft">
    <w:name w:val="Table Column Heading Left"/>
    <w:basedOn w:val="Normal"/>
    <w:rsid w:val="00B7531F"/>
    <w:pPr>
      <w:spacing w:before="60" w:after="60"/>
    </w:pPr>
    <w:rPr>
      <w:rFonts w:asciiTheme="minorHAnsi" w:hAnsiTheme="minorHAnsi"/>
      <w:color w:val="FFFFFF" w:themeColor="background1"/>
      <w:szCs w:val="18"/>
    </w:rPr>
  </w:style>
  <w:style w:type="paragraph" w:customStyle="1" w:styleId="BoxHeading2">
    <w:name w:val="Box Heading 2"/>
    <w:basedOn w:val="BoxHeading1"/>
    <w:next w:val="BoxText"/>
    <w:qFormat/>
    <w:rsid w:val="00EB01D8"/>
    <w:rPr>
      <w:i w:val="0"/>
      <w:iCs/>
      <w:sz w:val="24"/>
      <w:szCs w:val="20"/>
    </w:rPr>
  </w:style>
  <w:style w:type="character" w:customStyle="1" w:styleId="FooterChar">
    <w:name w:val="Footer Char"/>
    <w:basedOn w:val="DefaultParagraphFont"/>
    <w:link w:val="Footer"/>
    <w:uiPriority w:val="99"/>
    <w:rsid w:val="00AA5FC4"/>
    <w:rPr>
      <w:rFonts w:ascii="Georgia" w:hAnsi="Georgia"/>
      <w:color w:val="701F4D" w:themeColor="accent2"/>
      <w14:numForm w14:val="lining"/>
      <w14:numSpacing w14:val="proportional"/>
    </w:rPr>
  </w:style>
  <w:style w:type="table" w:customStyle="1" w:styleId="Style1">
    <w:name w:val="Style1"/>
    <w:basedOn w:val="TableNormal"/>
    <w:uiPriority w:val="99"/>
    <w:rsid w:val="007A7F4D"/>
    <w:pPr>
      <w:spacing w:before="0" w:after="0"/>
    </w:pPr>
    <w:tblPr/>
    <w:tblStylePr w:type="firstRow">
      <w:tblPr/>
      <w:tcPr>
        <w:shd w:val="clear" w:color="auto" w:fill="142147" w:themeFill="accent1"/>
      </w:tcPr>
    </w:tblStylePr>
    <w:tblStylePr w:type="firstCol">
      <w:tblPr/>
      <w:tcPr>
        <w:shd w:val="clear" w:color="auto" w:fill="142147" w:themeFill="accent1"/>
      </w:tcPr>
    </w:tblStylePr>
  </w:style>
  <w:style w:type="character" w:styleId="UnresolvedMention">
    <w:name w:val="Unresolved Mention"/>
    <w:basedOn w:val="DefaultParagraphFont"/>
    <w:uiPriority w:val="99"/>
    <w:semiHidden/>
    <w:rsid w:val="00CB0811"/>
    <w:rPr>
      <w:color w:val="605E5C"/>
      <w:shd w:val="clear" w:color="auto" w:fill="E1DFDD"/>
    </w:rPr>
  </w:style>
  <w:style w:type="character" w:styleId="Emphasis">
    <w:name w:val="Emphasis"/>
    <w:basedOn w:val="DefaultParagraphFont"/>
    <w:uiPriority w:val="20"/>
    <w:rsid w:val="00F73359"/>
    <w:rPr>
      <w:i/>
      <w:iCs/>
    </w:rPr>
  </w:style>
  <w:style w:type="character" w:styleId="Strong">
    <w:name w:val="Strong"/>
    <w:basedOn w:val="DefaultParagraphFont"/>
    <w:qFormat/>
    <w:rsid w:val="00F73359"/>
    <w:rPr>
      <w:b/>
      <w:bCs/>
    </w:rPr>
  </w:style>
  <w:style w:type="paragraph" w:customStyle="1" w:styleId="OutlineNumbered1">
    <w:name w:val="Outline Numbered 1"/>
    <w:basedOn w:val="Normal"/>
    <w:link w:val="OutlineNumbered1Char"/>
    <w:rsid w:val="00BB4866"/>
    <w:pPr>
      <w:numPr>
        <w:numId w:val="1"/>
      </w:numPr>
      <w:tabs>
        <w:tab w:val="num" w:pos="567"/>
      </w:tabs>
      <w:spacing w:before="0" w:after="240" w:line="260" w:lineRule="exact"/>
      <w:jc w:val="both"/>
    </w:pPr>
    <w:rPr>
      <w:rFonts w:ascii="Book Antiqua" w:hAnsi="Book Antiqua"/>
      <w:color w:val="000000"/>
      <w:szCs w:val="20"/>
    </w:rPr>
  </w:style>
  <w:style w:type="character" w:customStyle="1" w:styleId="BulletChar">
    <w:name w:val="Bullet Char"/>
    <w:basedOn w:val="DefaultParagraphFont"/>
    <w:link w:val="Bullet"/>
    <w:locked/>
    <w:rsid w:val="002A0064"/>
  </w:style>
  <w:style w:type="character" w:customStyle="1" w:styleId="OutlineNumbered1Char">
    <w:name w:val="Outline Numbered 1 Char"/>
    <w:basedOn w:val="DefaultParagraphFont"/>
    <w:link w:val="OutlineNumbered1"/>
    <w:locked/>
    <w:rsid w:val="00BB4866"/>
    <w:rPr>
      <w:rFonts w:ascii="Book Antiqua" w:hAnsi="Book Antiqua"/>
      <w:color w:val="000000"/>
      <w:szCs w:val="20"/>
    </w:rPr>
  </w:style>
  <w:style w:type="character" w:styleId="CommentReference">
    <w:name w:val="annotation reference"/>
    <w:basedOn w:val="DefaultParagraphFont"/>
    <w:uiPriority w:val="99"/>
    <w:rsid w:val="00BB4866"/>
    <w:rPr>
      <w:rFonts w:cs="Times New Roman"/>
      <w:sz w:val="16"/>
      <w:szCs w:val="16"/>
    </w:rPr>
  </w:style>
  <w:style w:type="paragraph" w:styleId="CommentText">
    <w:name w:val="annotation text"/>
    <w:basedOn w:val="Normal"/>
    <w:link w:val="CommentTextChar"/>
    <w:uiPriority w:val="99"/>
    <w:rsid w:val="00BB4866"/>
    <w:pPr>
      <w:spacing w:before="0" w:after="240"/>
      <w:jc w:val="both"/>
    </w:pPr>
    <w:rPr>
      <w:rFonts w:ascii="Book Antiqua" w:hAnsi="Book Antiqua"/>
      <w:color w:val="000000"/>
      <w:sz w:val="20"/>
      <w:szCs w:val="20"/>
    </w:rPr>
  </w:style>
  <w:style w:type="character" w:customStyle="1" w:styleId="CommentTextChar">
    <w:name w:val="Comment Text Char"/>
    <w:basedOn w:val="DefaultParagraphFont"/>
    <w:link w:val="CommentText"/>
    <w:uiPriority w:val="99"/>
    <w:rsid w:val="00BB4866"/>
    <w:rPr>
      <w:rFonts w:ascii="Book Antiqua" w:hAnsi="Book Antiqua"/>
      <w:color w:val="000000"/>
      <w:sz w:val="20"/>
      <w:szCs w:val="20"/>
    </w:rPr>
  </w:style>
  <w:style w:type="paragraph" w:styleId="CommentSubject">
    <w:name w:val="annotation subject"/>
    <w:basedOn w:val="CommentText"/>
    <w:next w:val="CommentText"/>
    <w:link w:val="CommentSubjectChar"/>
    <w:semiHidden/>
    <w:rsid w:val="007C0F01"/>
    <w:pPr>
      <w:spacing w:before="120" w:after="120"/>
      <w:jc w:val="left"/>
    </w:pPr>
    <w:rPr>
      <w:rFonts w:ascii="Calibri" w:hAnsi="Calibri"/>
      <w:b/>
      <w:bCs/>
      <w:color w:val="auto"/>
    </w:rPr>
  </w:style>
  <w:style w:type="character" w:customStyle="1" w:styleId="CommentSubjectChar">
    <w:name w:val="Comment Subject Char"/>
    <w:basedOn w:val="CommentTextChar"/>
    <w:link w:val="CommentSubject"/>
    <w:semiHidden/>
    <w:rsid w:val="007C0F01"/>
    <w:rPr>
      <w:rFonts w:ascii="Book Antiqua" w:hAnsi="Book Antiqua"/>
      <w:b/>
      <w:bCs/>
      <w:color w:val="000000"/>
      <w:sz w:val="20"/>
      <w:szCs w:val="20"/>
    </w:rPr>
  </w:style>
  <w:style w:type="numbering" w:customStyle="1" w:styleId="Outlinenumbering">
    <w:name w:val="Outline numbering"/>
    <w:rsid w:val="008C26F7"/>
    <w:pPr>
      <w:numPr>
        <w:numId w:val="18"/>
      </w:numPr>
    </w:pPr>
  </w:style>
  <w:style w:type="character" w:customStyle="1" w:styleId="SingleParagraphChar">
    <w:name w:val="Single Paragraph Char"/>
    <w:basedOn w:val="DefaultParagraphFont"/>
    <w:link w:val="SingleParagraph"/>
    <w:locked/>
    <w:rsid w:val="009939AF"/>
  </w:style>
  <w:style w:type="paragraph" w:customStyle="1" w:styleId="RecommendationText">
    <w:name w:val="Recommendation Text"/>
    <w:basedOn w:val="Normal"/>
    <w:rsid w:val="00CC5D1D"/>
    <w:pPr>
      <w:spacing w:before="0" w:after="240" w:line="260" w:lineRule="exact"/>
      <w:jc w:val="both"/>
    </w:pPr>
    <w:rPr>
      <w:rFonts w:ascii="Book Antiqua" w:hAnsi="Book Antiqua"/>
      <w:color w:val="000000"/>
      <w:szCs w:val="20"/>
    </w:rPr>
  </w:style>
  <w:style w:type="paragraph" w:customStyle="1" w:styleId="OutlineNumbered2">
    <w:name w:val="Outline Numbered 2"/>
    <w:basedOn w:val="Normal"/>
    <w:link w:val="OutlineNumbered2Char"/>
    <w:rsid w:val="00CC5D1D"/>
    <w:pPr>
      <w:numPr>
        <w:ilvl w:val="1"/>
        <w:numId w:val="1"/>
      </w:numPr>
      <w:spacing w:before="0" w:after="240" w:line="260" w:lineRule="exact"/>
      <w:jc w:val="both"/>
    </w:pPr>
    <w:rPr>
      <w:rFonts w:asciiTheme="minorHAnsi" w:hAnsiTheme="minorHAnsi" w:cstheme="minorHAnsi"/>
      <w:color w:val="FFFFFF" w:themeColor="background1"/>
    </w:rPr>
  </w:style>
  <w:style w:type="character" w:customStyle="1" w:styleId="DashChar">
    <w:name w:val="Dash Char"/>
    <w:basedOn w:val="DefaultParagraphFont"/>
    <w:link w:val="Dash"/>
    <w:rsid w:val="00CC5D1D"/>
  </w:style>
  <w:style w:type="character" w:customStyle="1" w:styleId="OutlineNumbered2Char">
    <w:name w:val="Outline Numbered 2 Char"/>
    <w:basedOn w:val="DashChar"/>
    <w:link w:val="OutlineNumbered2"/>
    <w:rsid w:val="00CC5D1D"/>
    <w:rPr>
      <w:rFonts w:asciiTheme="minorHAnsi" w:hAnsiTheme="minorHAnsi" w:cstheme="minorHAnsi"/>
      <w:color w:val="FFFFFF" w:themeColor="background1"/>
    </w:rPr>
  </w:style>
  <w:style w:type="paragraph" w:customStyle="1" w:styleId="OutlineNumbered3">
    <w:name w:val="Outline Numbered 3"/>
    <w:basedOn w:val="Normal"/>
    <w:link w:val="OutlineNumbered3Char"/>
    <w:rsid w:val="00CC5D1D"/>
    <w:pPr>
      <w:numPr>
        <w:ilvl w:val="2"/>
        <w:numId w:val="1"/>
      </w:numPr>
      <w:spacing w:before="0" w:after="240" w:line="260" w:lineRule="exact"/>
      <w:jc w:val="both"/>
    </w:pPr>
    <w:rPr>
      <w:rFonts w:asciiTheme="minorHAnsi" w:hAnsiTheme="minorHAnsi" w:cstheme="minorHAnsi"/>
      <w:color w:val="FFFFFF" w:themeColor="background1"/>
    </w:rPr>
  </w:style>
  <w:style w:type="character" w:customStyle="1" w:styleId="OutlineNumbered3Char">
    <w:name w:val="Outline Numbered 3 Char"/>
    <w:basedOn w:val="DashChar"/>
    <w:link w:val="OutlineNumbered3"/>
    <w:rsid w:val="00CC5D1D"/>
    <w:rPr>
      <w:rFonts w:asciiTheme="minorHAnsi" w:hAnsiTheme="minorHAnsi" w:cstheme="minorHAnsi"/>
      <w:color w:val="FFFFFF" w:themeColor="background1"/>
    </w:rPr>
  </w:style>
  <w:style w:type="character" w:customStyle="1" w:styleId="Heading7Char">
    <w:name w:val="Heading 7 Char"/>
    <w:basedOn w:val="DefaultParagraphFont"/>
    <w:link w:val="Heading7"/>
    <w:locked/>
    <w:rsid w:val="00416EF9"/>
    <w:rPr>
      <w:rFonts w:asciiTheme="minorHAnsi" w:hAnsiTheme="minorHAnsi"/>
      <w:b/>
      <w:color w:val="000000" w:themeColor="text1"/>
      <w:sz w:val="23"/>
      <w:szCs w:val="24"/>
      <w14:numForm w14:val="lining"/>
      <w14:numSpacing w14:val="proportional"/>
    </w:rPr>
  </w:style>
  <w:style w:type="paragraph" w:customStyle="1" w:styleId="Casestudybullet">
    <w:name w:val="Case study bullet"/>
    <w:basedOn w:val="Normal"/>
    <w:qFormat/>
    <w:rsid w:val="00416EF9"/>
    <w:pPr>
      <w:tabs>
        <w:tab w:val="num" w:pos="283"/>
      </w:tabs>
      <w:spacing w:before="0"/>
      <w:ind w:left="284" w:hanging="284"/>
      <w:jc w:val="both"/>
    </w:pPr>
    <w:rPr>
      <w:rFonts w:ascii="Book Antiqua" w:hAnsi="Book Antiqua"/>
      <w:color w:val="000000" w:themeColor="text1"/>
      <w:szCs w:val="20"/>
    </w:rPr>
  </w:style>
  <w:style w:type="paragraph" w:styleId="Revision">
    <w:name w:val="Revision"/>
    <w:hidden/>
    <w:uiPriority w:val="99"/>
    <w:semiHidden/>
    <w:rsid w:val="00D30D84"/>
    <w:pPr>
      <w:spacing w:before="0" w:after="0"/>
    </w:pPr>
  </w:style>
  <w:style w:type="table" w:styleId="ListTable2-Accent2">
    <w:name w:val="List Table 2 Accent 2"/>
    <w:basedOn w:val="TableNormal"/>
    <w:uiPriority w:val="47"/>
    <w:rsid w:val="00D767B0"/>
    <w:pPr>
      <w:spacing w:after="0"/>
    </w:pPr>
    <w:tblPr>
      <w:tblStyleRowBandSize w:val="1"/>
      <w:tblStyleColBandSize w:val="1"/>
      <w:tblBorders>
        <w:top w:val="single" w:sz="4" w:space="0" w:color="CF5298" w:themeColor="accent2" w:themeTint="99"/>
        <w:bottom w:val="single" w:sz="4" w:space="0" w:color="CF5298" w:themeColor="accent2" w:themeTint="99"/>
        <w:insideH w:val="single" w:sz="4" w:space="0" w:color="CF529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character" w:customStyle="1" w:styleId="cf01">
    <w:name w:val="cf01"/>
    <w:basedOn w:val="DefaultParagraphFont"/>
    <w:rsid w:val="00EC07C1"/>
    <w:rPr>
      <w:rFonts w:ascii="Segoe UI" w:hAnsi="Segoe UI" w:cs="Segoe UI" w:hint="default"/>
      <w:sz w:val="18"/>
      <w:szCs w:val="18"/>
    </w:rPr>
  </w:style>
  <w:style w:type="character" w:styleId="Mention">
    <w:name w:val="Mention"/>
    <w:basedOn w:val="DefaultParagraphFont"/>
    <w:uiPriority w:val="99"/>
    <w:semiHidden/>
    <w:rsid w:val="00EC07C1"/>
    <w:rPr>
      <w:color w:val="2B579A"/>
      <w:shd w:val="clear" w:color="auto" w:fill="E1DFDD"/>
    </w:rPr>
  </w:style>
  <w:style w:type="paragraph" w:styleId="Subtitle">
    <w:name w:val="Subtitle"/>
    <w:basedOn w:val="Normal"/>
    <w:next w:val="Normal"/>
    <w:link w:val="SubtitleChar"/>
    <w:semiHidden/>
    <w:qFormat/>
    <w:rsid w:val="002606F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semiHidden/>
    <w:rsid w:val="002606F5"/>
    <w:rPr>
      <w:rFonts w:asciiTheme="minorHAnsi" w:eastAsiaTheme="minorEastAsia" w:hAnsiTheme="minorHAnsi"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1061">
      <w:bodyDiv w:val="1"/>
      <w:marLeft w:val="0"/>
      <w:marRight w:val="0"/>
      <w:marTop w:val="0"/>
      <w:marBottom w:val="0"/>
      <w:divBdr>
        <w:top w:val="none" w:sz="0" w:space="0" w:color="auto"/>
        <w:left w:val="none" w:sz="0" w:space="0" w:color="auto"/>
        <w:bottom w:val="none" w:sz="0" w:space="0" w:color="auto"/>
        <w:right w:val="none" w:sz="0" w:space="0" w:color="auto"/>
      </w:divBdr>
    </w:div>
    <w:div w:id="100103678">
      <w:bodyDiv w:val="1"/>
      <w:marLeft w:val="0"/>
      <w:marRight w:val="0"/>
      <w:marTop w:val="0"/>
      <w:marBottom w:val="0"/>
      <w:divBdr>
        <w:top w:val="none" w:sz="0" w:space="0" w:color="auto"/>
        <w:left w:val="none" w:sz="0" w:space="0" w:color="auto"/>
        <w:bottom w:val="none" w:sz="0" w:space="0" w:color="auto"/>
        <w:right w:val="none" w:sz="0" w:space="0" w:color="auto"/>
      </w:divBdr>
    </w:div>
    <w:div w:id="113449625">
      <w:bodyDiv w:val="1"/>
      <w:marLeft w:val="0"/>
      <w:marRight w:val="0"/>
      <w:marTop w:val="0"/>
      <w:marBottom w:val="0"/>
      <w:divBdr>
        <w:top w:val="none" w:sz="0" w:space="0" w:color="auto"/>
        <w:left w:val="none" w:sz="0" w:space="0" w:color="auto"/>
        <w:bottom w:val="none" w:sz="0" w:space="0" w:color="auto"/>
        <w:right w:val="none" w:sz="0" w:space="0" w:color="auto"/>
      </w:divBdr>
      <w:divsChild>
        <w:div w:id="752816836">
          <w:marLeft w:val="0"/>
          <w:marRight w:val="0"/>
          <w:marTop w:val="0"/>
          <w:marBottom w:val="0"/>
          <w:divBdr>
            <w:top w:val="none" w:sz="0" w:space="0" w:color="auto"/>
            <w:left w:val="none" w:sz="0" w:space="0" w:color="auto"/>
            <w:bottom w:val="none" w:sz="0" w:space="0" w:color="auto"/>
            <w:right w:val="none" w:sz="0" w:space="0" w:color="auto"/>
          </w:divBdr>
        </w:div>
        <w:div w:id="1769504034">
          <w:marLeft w:val="0"/>
          <w:marRight w:val="0"/>
          <w:marTop w:val="0"/>
          <w:marBottom w:val="0"/>
          <w:divBdr>
            <w:top w:val="none" w:sz="0" w:space="0" w:color="auto"/>
            <w:left w:val="none" w:sz="0" w:space="0" w:color="auto"/>
            <w:bottom w:val="none" w:sz="0" w:space="0" w:color="auto"/>
            <w:right w:val="none" w:sz="0" w:space="0" w:color="auto"/>
          </w:divBdr>
        </w:div>
      </w:divsChild>
    </w:div>
    <w:div w:id="170486984">
      <w:bodyDiv w:val="1"/>
      <w:marLeft w:val="0"/>
      <w:marRight w:val="0"/>
      <w:marTop w:val="0"/>
      <w:marBottom w:val="0"/>
      <w:divBdr>
        <w:top w:val="none" w:sz="0" w:space="0" w:color="auto"/>
        <w:left w:val="none" w:sz="0" w:space="0" w:color="auto"/>
        <w:bottom w:val="none" w:sz="0" w:space="0" w:color="auto"/>
        <w:right w:val="none" w:sz="0" w:space="0" w:color="auto"/>
      </w:divBdr>
      <w:divsChild>
        <w:div w:id="1370379240">
          <w:marLeft w:val="0"/>
          <w:marRight w:val="0"/>
          <w:marTop w:val="0"/>
          <w:marBottom w:val="0"/>
          <w:divBdr>
            <w:top w:val="none" w:sz="0" w:space="0" w:color="auto"/>
            <w:left w:val="none" w:sz="0" w:space="0" w:color="auto"/>
            <w:bottom w:val="none" w:sz="0" w:space="0" w:color="auto"/>
            <w:right w:val="none" w:sz="0" w:space="0" w:color="auto"/>
          </w:divBdr>
        </w:div>
        <w:div w:id="1471558098">
          <w:marLeft w:val="0"/>
          <w:marRight w:val="0"/>
          <w:marTop w:val="0"/>
          <w:marBottom w:val="0"/>
          <w:divBdr>
            <w:top w:val="none" w:sz="0" w:space="0" w:color="auto"/>
            <w:left w:val="none" w:sz="0" w:space="0" w:color="auto"/>
            <w:bottom w:val="none" w:sz="0" w:space="0" w:color="auto"/>
            <w:right w:val="none" w:sz="0" w:space="0" w:color="auto"/>
          </w:divBdr>
        </w:div>
      </w:divsChild>
    </w:div>
    <w:div w:id="216010365">
      <w:bodyDiv w:val="1"/>
      <w:marLeft w:val="0"/>
      <w:marRight w:val="0"/>
      <w:marTop w:val="0"/>
      <w:marBottom w:val="0"/>
      <w:divBdr>
        <w:top w:val="none" w:sz="0" w:space="0" w:color="auto"/>
        <w:left w:val="none" w:sz="0" w:space="0" w:color="auto"/>
        <w:bottom w:val="none" w:sz="0" w:space="0" w:color="auto"/>
        <w:right w:val="none" w:sz="0" w:space="0" w:color="auto"/>
      </w:divBdr>
    </w:div>
    <w:div w:id="227155864">
      <w:bodyDiv w:val="1"/>
      <w:marLeft w:val="0"/>
      <w:marRight w:val="0"/>
      <w:marTop w:val="0"/>
      <w:marBottom w:val="0"/>
      <w:divBdr>
        <w:top w:val="none" w:sz="0" w:space="0" w:color="auto"/>
        <w:left w:val="none" w:sz="0" w:space="0" w:color="auto"/>
        <w:bottom w:val="none" w:sz="0" w:space="0" w:color="auto"/>
        <w:right w:val="none" w:sz="0" w:space="0" w:color="auto"/>
      </w:divBdr>
    </w:div>
    <w:div w:id="271789971">
      <w:bodyDiv w:val="1"/>
      <w:marLeft w:val="0"/>
      <w:marRight w:val="0"/>
      <w:marTop w:val="0"/>
      <w:marBottom w:val="0"/>
      <w:divBdr>
        <w:top w:val="none" w:sz="0" w:space="0" w:color="auto"/>
        <w:left w:val="none" w:sz="0" w:space="0" w:color="auto"/>
        <w:bottom w:val="none" w:sz="0" w:space="0" w:color="auto"/>
        <w:right w:val="none" w:sz="0" w:space="0" w:color="auto"/>
      </w:divBdr>
    </w:div>
    <w:div w:id="284966683">
      <w:bodyDiv w:val="1"/>
      <w:marLeft w:val="0"/>
      <w:marRight w:val="0"/>
      <w:marTop w:val="0"/>
      <w:marBottom w:val="0"/>
      <w:divBdr>
        <w:top w:val="none" w:sz="0" w:space="0" w:color="auto"/>
        <w:left w:val="none" w:sz="0" w:space="0" w:color="auto"/>
        <w:bottom w:val="none" w:sz="0" w:space="0" w:color="auto"/>
        <w:right w:val="none" w:sz="0" w:space="0" w:color="auto"/>
      </w:divBdr>
      <w:divsChild>
        <w:div w:id="321272917">
          <w:marLeft w:val="0"/>
          <w:marRight w:val="0"/>
          <w:marTop w:val="0"/>
          <w:marBottom w:val="0"/>
          <w:divBdr>
            <w:top w:val="none" w:sz="0" w:space="0" w:color="auto"/>
            <w:left w:val="none" w:sz="0" w:space="0" w:color="auto"/>
            <w:bottom w:val="none" w:sz="0" w:space="0" w:color="auto"/>
            <w:right w:val="none" w:sz="0" w:space="0" w:color="auto"/>
          </w:divBdr>
        </w:div>
        <w:div w:id="459497442">
          <w:marLeft w:val="0"/>
          <w:marRight w:val="0"/>
          <w:marTop w:val="0"/>
          <w:marBottom w:val="0"/>
          <w:divBdr>
            <w:top w:val="none" w:sz="0" w:space="0" w:color="auto"/>
            <w:left w:val="none" w:sz="0" w:space="0" w:color="auto"/>
            <w:bottom w:val="none" w:sz="0" w:space="0" w:color="auto"/>
            <w:right w:val="none" w:sz="0" w:space="0" w:color="auto"/>
          </w:divBdr>
        </w:div>
        <w:div w:id="2064211098">
          <w:marLeft w:val="0"/>
          <w:marRight w:val="0"/>
          <w:marTop w:val="0"/>
          <w:marBottom w:val="0"/>
          <w:divBdr>
            <w:top w:val="none" w:sz="0" w:space="0" w:color="auto"/>
            <w:left w:val="none" w:sz="0" w:space="0" w:color="auto"/>
            <w:bottom w:val="none" w:sz="0" w:space="0" w:color="auto"/>
            <w:right w:val="none" w:sz="0" w:space="0" w:color="auto"/>
          </w:divBdr>
        </w:div>
      </w:divsChild>
    </w:div>
    <w:div w:id="314064546">
      <w:bodyDiv w:val="1"/>
      <w:marLeft w:val="0"/>
      <w:marRight w:val="0"/>
      <w:marTop w:val="0"/>
      <w:marBottom w:val="0"/>
      <w:divBdr>
        <w:top w:val="none" w:sz="0" w:space="0" w:color="auto"/>
        <w:left w:val="none" w:sz="0" w:space="0" w:color="auto"/>
        <w:bottom w:val="none" w:sz="0" w:space="0" w:color="auto"/>
        <w:right w:val="none" w:sz="0" w:space="0" w:color="auto"/>
      </w:divBdr>
    </w:div>
    <w:div w:id="314382568">
      <w:bodyDiv w:val="1"/>
      <w:marLeft w:val="0"/>
      <w:marRight w:val="0"/>
      <w:marTop w:val="0"/>
      <w:marBottom w:val="0"/>
      <w:divBdr>
        <w:top w:val="none" w:sz="0" w:space="0" w:color="auto"/>
        <w:left w:val="none" w:sz="0" w:space="0" w:color="auto"/>
        <w:bottom w:val="none" w:sz="0" w:space="0" w:color="auto"/>
        <w:right w:val="none" w:sz="0" w:space="0" w:color="auto"/>
      </w:divBdr>
    </w:div>
    <w:div w:id="329067119">
      <w:bodyDiv w:val="1"/>
      <w:marLeft w:val="0"/>
      <w:marRight w:val="0"/>
      <w:marTop w:val="0"/>
      <w:marBottom w:val="0"/>
      <w:divBdr>
        <w:top w:val="none" w:sz="0" w:space="0" w:color="auto"/>
        <w:left w:val="none" w:sz="0" w:space="0" w:color="auto"/>
        <w:bottom w:val="none" w:sz="0" w:space="0" w:color="auto"/>
        <w:right w:val="none" w:sz="0" w:space="0" w:color="auto"/>
      </w:divBdr>
    </w:div>
    <w:div w:id="334966478">
      <w:bodyDiv w:val="1"/>
      <w:marLeft w:val="0"/>
      <w:marRight w:val="0"/>
      <w:marTop w:val="0"/>
      <w:marBottom w:val="0"/>
      <w:divBdr>
        <w:top w:val="none" w:sz="0" w:space="0" w:color="auto"/>
        <w:left w:val="none" w:sz="0" w:space="0" w:color="auto"/>
        <w:bottom w:val="none" w:sz="0" w:space="0" w:color="auto"/>
        <w:right w:val="none" w:sz="0" w:space="0" w:color="auto"/>
      </w:divBdr>
    </w:div>
    <w:div w:id="350183340">
      <w:bodyDiv w:val="1"/>
      <w:marLeft w:val="0"/>
      <w:marRight w:val="0"/>
      <w:marTop w:val="0"/>
      <w:marBottom w:val="0"/>
      <w:divBdr>
        <w:top w:val="none" w:sz="0" w:space="0" w:color="auto"/>
        <w:left w:val="none" w:sz="0" w:space="0" w:color="auto"/>
        <w:bottom w:val="none" w:sz="0" w:space="0" w:color="auto"/>
        <w:right w:val="none" w:sz="0" w:space="0" w:color="auto"/>
      </w:divBdr>
    </w:div>
    <w:div w:id="363018938">
      <w:bodyDiv w:val="1"/>
      <w:marLeft w:val="0"/>
      <w:marRight w:val="0"/>
      <w:marTop w:val="0"/>
      <w:marBottom w:val="0"/>
      <w:divBdr>
        <w:top w:val="none" w:sz="0" w:space="0" w:color="auto"/>
        <w:left w:val="none" w:sz="0" w:space="0" w:color="auto"/>
        <w:bottom w:val="none" w:sz="0" w:space="0" w:color="auto"/>
        <w:right w:val="none" w:sz="0" w:space="0" w:color="auto"/>
      </w:divBdr>
    </w:div>
    <w:div w:id="367532830">
      <w:bodyDiv w:val="1"/>
      <w:marLeft w:val="0"/>
      <w:marRight w:val="0"/>
      <w:marTop w:val="0"/>
      <w:marBottom w:val="0"/>
      <w:divBdr>
        <w:top w:val="none" w:sz="0" w:space="0" w:color="auto"/>
        <w:left w:val="none" w:sz="0" w:space="0" w:color="auto"/>
        <w:bottom w:val="none" w:sz="0" w:space="0" w:color="auto"/>
        <w:right w:val="none" w:sz="0" w:space="0" w:color="auto"/>
      </w:divBdr>
      <w:divsChild>
        <w:div w:id="899292930">
          <w:marLeft w:val="0"/>
          <w:marRight w:val="0"/>
          <w:marTop w:val="0"/>
          <w:marBottom w:val="0"/>
          <w:divBdr>
            <w:top w:val="none" w:sz="0" w:space="0" w:color="auto"/>
            <w:left w:val="none" w:sz="0" w:space="0" w:color="auto"/>
            <w:bottom w:val="none" w:sz="0" w:space="0" w:color="auto"/>
            <w:right w:val="none" w:sz="0" w:space="0" w:color="auto"/>
          </w:divBdr>
        </w:div>
        <w:div w:id="1156414851">
          <w:marLeft w:val="0"/>
          <w:marRight w:val="0"/>
          <w:marTop w:val="0"/>
          <w:marBottom w:val="0"/>
          <w:divBdr>
            <w:top w:val="none" w:sz="0" w:space="0" w:color="auto"/>
            <w:left w:val="none" w:sz="0" w:space="0" w:color="auto"/>
            <w:bottom w:val="none" w:sz="0" w:space="0" w:color="auto"/>
            <w:right w:val="none" w:sz="0" w:space="0" w:color="auto"/>
          </w:divBdr>
        </w:div>
        <w:div w:id="1659269143">
          <w:marLeft w:val="0"/>
          <w:marRight w:val="0"/>
          <w:marTop w:val="0"/>
          <w:marBottom w:val="0"/>
          <w:divBdr>
            <w:top w:val="none" w:sz="0" w:space="0" w:color="auto"/>
            <w:left w:val="none" w:sz="0" w:space="0" w:color="auto"/>
            <w:bottom w:val="none" w:sz="0" w:space="0" w:color="auto"/>
            <w:right w:val="none" w:sz="0" w:space="0" w:color="auto"/>
          </w:divBdr>
        </w:div>
      </w:divsChild>
    </w:div>
    <w:div w:id="375470542">
      <w:bodyDiv w:val="1"/>
      <w:marLeft w:val="0"/>
      <w:marRight w:val="0"/>
      <w:marTop w:val="0"/>
      <w:marBottom w:val="0"/>
      <w:divBdr>
        <w:top w:val="none" w:sz="0" w:space="0" w:color="auto"/>
        <w:left w:val="none" w:sz="0" w:space="0" w:color="auto"/>
        <w:bottom w:val="none" w:sz="0" w:space="0" w:color="auto"/>
        <w:right w:val="none" w:sz="0" w:space="0" w:color="auto"/>
      </w:divBdr>
    </w:div>
    <w:div w:id="387345255">
      <w:bodyDiv w:val="1"/>
      <w:marLeft w:val="0"/>
      <w:marRight w:val="0"/>
      <w:marTop w:val="0"/>
      <w:marBottom w:val="0"/>
      <w:divBdr>
        <w:top w:val="none" w:sz="0" w:space="0" w:color="auto"/>
        <w:left w:val="none" w:sz="0" w:space="0" w:color="auto"/>
        <w:bottom w:val="none" w:sz="0" w:space="0" w:color="auto"/>
        <w:right w:val="none" w:sz="0" w:space="0" w:color="auto"/>
      </w:divBdr>
    </w:div>
    <w:div w:id="562059881">
      <w:bodyDiv w:val="1"/>
      <w:marLeft w:val="0"/>
      <w:marRight w:val="0"/>
      <w:marTop w:val="0"/>
      <w:marBottom w:val="0"/>
      <w:divBdr>
        <w:top w:val="none" w:sz="0" w:space="0" w:color="auto"/>
        <w:left w:val="none" w:sz="0" w:space="0" w:color="auto"/>
        <w:bottom w:val="none" w:sz="0" w:space="0" w:color="auto"/>
        <w:right w:val="none" w:sz="0" w:space="0" w:color="auto"/>
      </w:divBdr>
    </w:div>
    <w:div w:id="573245720">
      <w:bodyDiv w:val="1"/>
      <w:marLeft w:val="0"/>
      <w:marRight w:val="0"/>
      <w:marTop w:val="0"/>
      <w:marBottom w:val="0"/>
      <w:divBdr>
        <w:top w:val="none" w:sz="0" w:space="0" w:color="auto"/>
        <w:left w:val="none" w:sz="0" w:space="0" w:color="auto"/>
        <w:bottom w:val="none" w:sz="0" w:space="0" w:color="auto"/>
        <w:right w:val="none" w:sz="0" w:space="0" w:color="auto"/>
      </w:divBdr>
    </w:div>
    <w:div w:id="673848380">
      <w:bodyDiv w:val="1"/>
      <w:marLeft w:val="0"/>
      <w:marRight w:val="0"/>
      <w:marTop w:val="0"/>
      <w:marBottom w:val="0"/>
      <w:divBdr>
        <w:top w:val="none" w:sz="0" w:space="0" w:color="auto"/>
        <w:left w:val="none" w:sz="0" w:space="0" w:color="auto"/>
        <w:bottom w:val="none" w:sz="0" w:space="0" w:color="auto"/>
        <w:right w:val="none" w:sz="0" w:space="0" w:color="auto"/>
      </w:divBdr>
    </w:div>
    <w:div w:id="830291876">
      <w:bodyDiv w:val="1"/>
      <w:marLeft w:val="0"/>
      <w:marRight w:val="0"/>
      <w:marTop w:val="0"/>
      <w:marBottom w:val="0"/>
      <w:divBdr>
        <w:top w:val="none" w:sz="0" w:space="0" w:color="auto"/>
        <w:left w:val="none" w:sz="0" w:space="0" w:color="auto"/>
        <w:bottom w:val="none" w:sz="0" w:space="0" w:color="auto"/>
        <w:right w:val="none" w:sz="0" w:space="0" w:color="auto"/>
      </w:divBdr>
    </w:div>
    <w:div w:id="830757216">
      <w:bodyDiv w:val="1"/>
      <w:marLeft w:val="0"/>
      <w:marRight w:val="0"/>
      <w:marTop w:val="0"/>
      <w:marBottom w:val="0"/>
      <w:divBdr>
        <w:top w:val="none" w:sz="0" w:space="0" w:color="auto"/>
        <w:left w:val="none" w:sz="0" w:space="0" w:color="auto"/>
        <w:bottom w:val="none" w:sz="0" w:space="0" w:color="auto"/>
        <w:right w:val="none" w:sz="0" w:space="0" w:color="auto"/>
      </w:divBdr>
    </w:div>
    <w:div w:id="859587333">
      <w:bodyDiv w:val="1"/>
      <w:marLeft w:val="0"/>
      <w:marRight w:val="0"/>
      <w:marTop w:val="0"/>
      <w:marBottom w:val="0"/>
      <w:divBdr>
        <w:top w:val="none" w:sz="0" w:space="0" w:color="auto"/>
        <w:left w:val="none" w:sz="0" w:space="0" w:color="auto"/>
        <w:bottom w:val="none" w:sz="0" w:space="0" w:color="auto"/>
        <w:right w:val="none" w:sz="0" w:space="0" w:color="auto"/>
      </w:divBdr>
    </w:div>
    <w:div w:id="966742449">
      <w:bodyDiv w:val="1"/>
      <w:marLeft w:val="0"/>
      <w:marRight w:val="0"/>
      <w:marTop w:val="0"/>
      <w:marBottom w:val="0"/>
      <w:divBdr>
        <w:top w:val="none" w:sz="0" w:space="0" w:color="auto"/>
        <w:left w:val="none" w:sz="0" w:space="0" w:color="auto"/>
        <w:bottom w:val="none" w:sz="0" w:space="0" w:color="auto"/>
        <w:right w:val="none" w:sz="0" w:space="0" w:color="auto"/>
      </w:divBdr>
    </w:div>
    <w:div w:id="1048409140">
      <w:bodyDiv w:val="1"/>
      <w:marLeft w:val="0"/>
      <w:marRight w:val="0"/>
      <w:marTop w:val="0"/>
      <w:marBottom w:val="0"/>
      <w:divBdr>
        <w:top w:val="none" w:sz="0" w:space="0" w:color="auto"/>
        <w:left w:val="none" w:sz="0" w:space="0" w:color="auto"/>
        <w:bottom w:val="none" w:sz="0" w:space="0" w:color="auto"/>
        <w:right w:val="none" w:sz="0" w:space="0" w:color="auto"/>
      </w:divBdr>
    </w:div>
    <w:div w:id="1125006522">
      <w:bodyDiv w:val="1"/>
      <w:marLeft w:val="0"/>
      <w:marRight w:val="0"/>
      <w:marTop w:val="0"/>
      <w:marBottom w:val="0"/>
      <w:divBdr>
        <w:top w:val="none" w:sz="0" w:space="0" w:color="auto"/>
        <w:left w:val="none" w:sz="0" w:space="0" w:color="auto"/>
        <w:bottom w:val="none" w:sz="0" w:space="0" w:color="auto"/>
        <w:right w:val="none" w:sz="0" w:space="0" w:color="auto"/>
      </w:divBdr>
    </w:div>
    <w:div w:id="1275868788">
      <w:bodyDiv w:val="1"/>
      <w:marLeft w:val="0"/>
      <w:marRight w:val="0"/>
      <w:marTop w:val="0"/>
      <w:marBottom w:val="0"/>
      <w:divBdr>
        <w:top w:val="none" w:sz="0" w:space="0" w:color="auto"/>
        <w:left w:val="none" w:sz="0" w:space="0" w:color="auto"/>
        <w:bottom w:val="none" w:sz="0" w:space="0" w:color="auto"/>
        <w:right w:val="none" w:sz="0" w:space="0" w:color="auto"/>
      </w:divBdr>
    </w:div>
    <w:div w:id="1435127737">
      <w:bodyDiv w:val="1"/>
      <w:marLeft w:val="0"/>
      <w:marRight w:val="0"/>
      <w:marTop w:val="0"/>
      <w:marBottom w:val="0"/>
      <w:divBdr>
        <w:top w:val="none" w:sz="0" w:space="0" w:color="auto"/>
        <w:left w:val="none" w:sz="0" w:space="0" w:color="auto"/>
        <w:bottom w:val="none" w:sz="0" w:space="0" w:color="auto"/>
        <w:right w:val="none" w:sz="0" w:space="0" w:color="auto"/>
      </w:divBdr>
    </w:div>
    <w:div w:id="1497529551">
      <w:bodyDiv w:val="1"/>
      <w:marLeft w:val="0"/>
      <w:marRight w:val="0"/>
      <w:marTop w:val="0"/>
      <w:marBottom w:val="0"/>
      <w:divBdr>
        <w:top w:val="none" w:sz="0" w:space="0" w:color="auto"/>
        <w:left w:val="none" w:sz="0" w:space="0" w:color="auto"/>
        <w:bottom w:val="none" w:sz="0" w:space="0" w:color="auto"/>
        <w:right w:val="none" w:sz="0" w:space="0" w:color="auto"/>
      </w:divBdr>
    </w:div>
    <w:div w:id="1532451062">
      <w:bodyDiv w:val="1"/>
      <w:marLeft w:val="0"/>
      <w:marRight w:val="0"/>
      <w:marTop w:val="0"/>
      <w:marBottom w:val="0"/>
      <w:divBdr>
        <w:top w:val="none" w:sz="0" w:space="0" w:color="auto"/>
        <w:left w:val="none" w:sz="0" w:space="0" w:color="auto"/>
        <w:bottom w:val="none" w:sz="0" w:space="0" w:color="auto"/>
        <w:right w:val="none" w:sz="0" w:space="0" w:color="auto"/>
      </w:divBdr>
    </w:div>
    <w:div w:id="1538278282">
      <w:bodyDiv w:val="1"/>
      <w:marLeft w:val="0"/>
      <w:marRight w:val="0"/>
      <w:marTop w:val="0"/>
      <w:marBottom w:val="0"/>
      <w:divBdr>
        <w:top w:val="none" w:sz="0" w:space="0" w:color="auto"/>
        <w:left w:val="none" w:sz="0" w:space="0" w:color="auto"/>
        <w:bottom w:val="none" w:sz="0" w:space="0" w:color="auto"/>
        <w:right w:val="none" w:sz="0" w:space="0" w:color="auto"/>
      </w:divBdr>
    </w:div>
    <w:div w:id="1544711598">
      <w:bodyDiv w:val="1"/>
      <w:marLeft w:val="0"/>
      <w:marRight w:val="0"/>
      <w:marTop w:val="0"/>
      <w:marBottom w:val="0"/>
      <w:divBdr>
        <w:top w:val="none" w:sz="0" w:space="0" w:color="auto"/>
        <w:left w:val="none" w:sz="0" w:space="0" w:color="auto"/>
        <w:bottom w:val="none" w:sz="0" w:space="0" w:color="auto"/>
        <w:right w:val="none" w:sz="0" w:space="0" w:color="auto"/>
      </w:divBdr>
    </w:div>
    <w:div w:id="1577737510">
      <w:bodyDiv w:val="1"/>
      <w:marLeft w:val="0"/>
      <w:marRight w:val="0"/>
      <w:marTop w:val="0"/>
      <w:marBottom w:val="0"/>
      <w:divBdr>
        <w:top w:val="none" w:sz="0" w:space="0" w:color="auto"/>
        <w:left w:val="none" w:sz="0" w:space="0" w:color="auto"/>
        <w:bottom w:val="none" w:sz="0" w:space="0" w:color="auto"/>
        <w:right w:val="none" w:sz="0" w:space="0" w:color="auto"/>
      </w:divBdr>
    </w:div>
    <w:div w:id="1619288114">
      <w:bodyDiv w:val="1"/>
      <w:marLeft w:val="0"/>
      <w:marRight w:val="0"/>
      <w:marTop w:val="0"/>
      <w:marBottom w:val="0"/>
      <w:divBdr>
        <w:top w:val="none" w:sz="0" w:space="0" w:color="auto"/>
        <w:left w:val="none" w:sz="0" w:space="0" w:color="auto"/>
        <w:bottom w:val="none" w:sz="0" w:space="0" w:color="auto"/>
        <w:right w:val="none" w:sz="0" w:space="0" w:color="auto"/>
      </w:divBdr>
    </w:div>
    <w:div w:id="1628974315">
      <w:bodyDiv w:val="1"/>
      <w:marLeft w:val="0"/>
      <w:marRight w:val="0"/>
      <w:marTop w:val="0"/>
      <w:marBottom w:val="0"/>
      <w:divBdr>
        <w:top w:val="none" w:sz="0" w:space="0" w:color="auto"/>
        <w:left w:val="none" w:sz="0" w:space="0" w:color="auto"/>
        <w:bottom w:val="none" w:sz="0" w:space="0" w:color="auto"/>
        <w:right w:val="none" w:sz="0" w:space="0" w:color="auto"/>
      </w:divBdr>
    </w:div>
    <w:div w:id="1659112050">
      <w:bodyDiv w:val="1"/>
      <w:marLeft w:val="0"/>
      <w:marRight w:val="0"/>
      <w:marTop w:val="0"/>
      <w:marBottom w:val="0"/>
      <w:divBdr>
        <w:top w:val="none" w:sz="0" w:space="0" w:color="auto"/>
        <w:left w:val="none" w:sz="0" w:space="0" w:color="auto"/>
        <w:bottom w:val="none" w:sz="0" w:space="0" w:color="auto"/>
        <w:right w:val="none" w:sz="0" w:space="0" w:color="auto"/>
      </w:divBdr>
    </w:div>
    <w:div w:id="1742288604">
      <w:bodyDiv w:val="1"/>
      <w:marLeft w:val="0"/>
      <w:marRight w:val="0"/>
      <w:marTop w:val="0"/>
      <w:marBottom w:val="0"/>
      <w:divBdr>
        <w:top w:val="none" w:sz="0" w:space="0" w:color="auto"/>
        <w:left w:val="none" w:sz="0" w:space="0" w:color="auto"/>
        <w:bottom w:val="none" w:sz="0" w:space="0" w:color="auto"/>
        <w:right w:val="none" w:sz="0" w:space="0" w:color="auto"/>
      </w:divBdr>
    </w:div>
    <w:div w:id="1883637191">
      <w:bodyDiv w:val="1"/>
      <w:marLeft w:val="0"/>
      <w:marRight w:val="0"/>
      <w:marTop w:val="0"/>
      <w:marBottom w:val="0"/>
      <w:divBdr>
        <w:top w:val="none" w:sz="0" w:space="0" w:color="auto"/>
        <w:left w:val="none" w:sz="0" w:space="0" w:color="auto"/>
        <w:bottom w:val="none" w:sz="0" w:space="0" w:color="auto"/>
        <w:right w:val="none" w:sz="0" w:space="0" w:color="auto"/>
      </w:divBdr>
    </w:div>
    <w:div w:id="1886065953">
      <w:bodyDiv w:val="1"/>
      <w:marLeft w:val="0"/>
      <w:marRight w:val="0"/>
      <w:marTop w:val="0"/>
      <w:marBottom w:val="0"/>
      <w:divBdr>
        <w:top w:val="none" w:sz="0" w:space="0" w:color="auto"/>
        <w:left w:val="none" w:sz="0" w:space="0" w:color="auto"/>
        <w:bottom w:val="none" w:sz="0" w:space="0" w:color="auto"/>
        <w:right w:val="none" w:sz="0" w:space="0" w:color="auto"/>
      </w:divBdr>
    </w:div>
    <w:div w:id="1928155096">
      <w:bodyDiv w:val="1"/>
      <w:marLeft w:val="0"/>
      <w:marRight w:val="0"/>
      <w:marTop w:val="0"/>
      <w:marBottom w:val="0"/>
      <w:divBdr>
        <w:top w:val="none" w:sz="0" w:space="0" w:color="auto"/>
        <w:left w:val="none" w:sz="0" w:space="0" w:color="auto"/>
        <w:bottom w:val="none" w:sz="0" w:space="0" w:color="auto"/>
        <w:right w:val="none" w:sz="0" w:space="0" w:color="auto"/>
      </w:divBdr>
    </w:div>
    <w:div w:id="1965383287">
      <w:bodyDiv w:val="1"/>
      <w:marLeft w:val="0"/>
      <w:marRight w:val="0"/>
      <w:marTop w:val="0"/>
      <w:marBottom w:val="0"/>
      <w:divBdr>
        <w:top w:val="none" w:sz="0" w:space="0" w:color="auto"/>
        <w:left w:val="none" w:sz="0" w:space="0" w:color="auto"/>
        <w:bottom w:val="none" w:sz="0" w:space="0" w:color="auto"/>
        <w:right w:val="none" w:sz="0" w:space="0" w:color="auto"/>
      </w:divBdr>
    </w:div>
    <w:div w:id="1975986091">
      <w:bodyDiv w:val="1"/>
      <w:marLeft w:val="0"/>
      <w:marRight w:val="0"/>
      <w:marTop w:val="0"/>
      <w:marBottom w:val="0"/>
      <w:divBdr>
        <w:top w:val="none" w:sz="0" w:space="0" w:color="auto"/>
        <w:left w:val="none" w:sz="0" w:space="0" w:color="auto"/>
        <w:bottom w:val="none" w:sz="0" w:space="0" w:color="auto"/>
        <w:right w:val="none" w:sz="0" w:space="0" w:color="auto"/>
      </w:divBdr>
    </w:div>
    <w:div w:id="2011908209">
      <w:bodyDiv w:val="1"/>
      <w:marLeft w:val="0"/>
      <w:marRight w:val="0"/>
      <w:marTop w:val="0"/>
      <w:marBottom w:val="0"/>
      <w:divBdr>
        <w:top w:val="none" w:sz="0" w:space="0" w:color="auto"/>
        <w:left w:val="none" w:sz="0" w:space="0" w:color="auto"/>
        <w:bottom w:val="none" w:sz="0" w:space="0" w:color="auto"/>
        <w:right w:val="none" w:sz="0" w:space="0" w:color="auto"/>
      </w:divBdr>
    </w:div>
    <w:div w:id="2024281349">
      <w:bodyDiv w:val="1"/>
      <w:marLeft w:val="0"/>
      <w:marRight w:val="0"/>
      <w:marTop w:val="0"/>
      <w:marBottom w:val="0"/>
      <w:divBdr>
        <w:top w:val="none" w:sz="0" w:space="0" w:color="auto"/>
        <w:left w:val="none" w:sz="0" w:space="0" w:color="auto"/>
        <w:bottom w:val="none" w:sz="0" w:space="0" w:color="auto"/>
        <w:right w:val="none" w:sz="0" w:space="0" w:color="auto"/>
      </w:divBdr>
    </w:div>
    <w:div w:id="213444718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pmc.gov.au/government/commonwealth-coat-arms" TargetMode="External"/><Relationship Id="rId26" Type="http://schemas.openxmlformats.org/officeDocument/2006/relationships/image" Target="media/image3.png"/><Relationship Id="rId39" Type="http://schemas.openxmlformats.org/officeDocument/2006/relationships/image" Target="media/image16.png"/><Relationship Id="rId21" Type="http://schemas.openxmlformats.org/officeDocument/2006/relationships/footer" Target="footer4.xml"/><Relationship Id="rId34" Type="http://schemas.openxmlformats.org/officeDocument/2006/relationships/image" Target="media/image11.svg"/><Relationship Id="rId42" Type="http://schemas.openxmlformats.org/officeDocument/2006/relationships/image" Target="media/image19.svg"/><Relationship Id="rId47" Type="http://schemas.openxmlformats.org/officeDocument/2006/relationships/image" Target="media/image24.png"/><Relationship Id="rId50" Type="http://schemas.openxmlformats.org/officeDocument/2006/relationships/image" Target="media/image27.png"/><Relationship Id="rId55" Type="http://schemas.openxmlformats.org/officeDocument/2006/relationships/footer" Target="footer7.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2.wmf"/><Relationship Id="rId29" Type="http://schemas.openxmlformats.org/officeDocument/2006/relationships/image" Target="media/image6.png"/><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svg"/><Relationship Id="rId45" Type="http://schemas.openxmlformats.org/officeDocument/2006/relationships/image" Target="media/image22.png"/><Relationship Id="rId53" Type="http://schemas.openxmlformats.org/officeDocument/2006/relationships/header" Target="header7.xml"/><Relationship Id="rId58" Type="http://schemas.openxmlformats.org/officeDocument/2006/relationships/footer" Target="footer9.xml"/><Relationship Id="rId5"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creativecommons.org/licenses/by/4.0/" TargetMode="External"/><Relationship Id="rId22" Type="http://schemas.openxmlformats.org/officeDocument/2006/relationships/footer" Target="footer5.xml"/><Relationship Id="rId27" Type="http://schemas.openxmlformats.org/officeDocument/2006/relationships/image" Target="media/image4.svg"/><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image" Target="media/image20.png"/><Relationship Id="rId48" Type="http://schemas.openxmlformats.org/officeDocument/2006/relationships/image" Target="media/image25.png"/><Relationship Id="rId56" Type="http://schemas.openxmlformats.org/officeDocument/2006/relationships/footer" Target="footer8.xml"/><Relationship Id="rId8" Type="http://schemas.openxmlformats.org/officeDocument/2006/relationships/header" Target="header1.xml"/><Relationship Id="rId51" Type="http://schemas.openxmlformats.org/officeDocument/2006/relationships/image" Target="media/image28.jpg"/><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creativecommons.org/licenses/by/4.0/" TargetMode="External"/><Relationship Id="rId25" Type="http://schemas.openxmlformats.org/officeDocument/2006/relationships/hyperlink" Target="mailto:media@treasury.gov.au" TargetMode="External"/><Relationship Id="rId33" Type="http://schemas.openxmlformats.org/officeDocument/2006/relationships/image" Target="media/image10.png"/><Relationship Id="rId38" Type="http://schemas.openxmlformats.org/officeDocument/2006/relationships/image" Target="media/image15.svg"/><Relationship Id="rId46" Type="http://schemas.openxmlformats.org/officeDocument/2006/relationships/image" Target="media/image23.png"/><Relationship Id="rId59"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image" Target="media/image18.png"/><Relationship Id="rId54"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reativecommons.org/licenses/by/4.0/legalcode" TargetMode="External"/><Relationship Id="rId23" Type="http://schemas.openxmlformats.org/officeDocument/2006/relationships/header" Target="header6.xml"/><Relationship Id="rId28" Type="http://schemas.openxmlformats.org/officeDocument/2006/relationships/image" Target="media/image5.png"/><Relationship Id="rId36" Type="http://schemas.openxmlformats.org/officeDocument/2006/relationships/image" Target="media/image13.svg"/><Relationship Id="rId49" Type="http://schemas.openxmlformats.org/officeDocument/2006/relationships/image" Target="media/image26.png"/><Relationship Id="rId57" Type="http://schemas.openxmlformats.org/officeDocument/2006/relationships/header" Target="header9.xml"/><Relationship Id="rId10" Type="http://schemas.openxmlformats.org/officeDocument/2006/relationships/footer" Target="footer1.xml"/><Relationship Id="rId31" Type="http://schemas.openxmlformats.org/officeDocument/2006/relationships/image" Target="media/image8.jpeg"/><Relationship Id="rId44" Type="http://schemas.openxmlformats.org/officeDocument/2006/relationships/image" Target="media/image21.svg"/><Relationship Id="rId52" Type="http://schemas.openxmlformats.org/officeDocument/2006/relationships/image" Target="media/image29.jpeg"/><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axboard.gov.au/sites/taxboard.gov.au/files/migrated/DRAFT-voluntary-TTC-AASB-draft-guidance-material.pdf" TargetMode="External"/><Relationship Id="rId2" Type="http://schemas.openxmlformats.org/officeDocument/2006/relationships/hyperlink" Target="https://taxboard.gov.au/sites/taxboard.gov.au/files/migrated/DRAFT-voluntary-TTC-AASB-draft-guidance-material.pdf" TargetMode="External"/><Relationship Id="rId1" Type="http://schemas.openxmlformats.org/officeDocument/2006/relationships/hyperlink" Target="https://taxboard.gov.au/sites/taxboard.gov.au/files/migrated/DRAFT-voluntary-TTC-AASB-draft-guidance-material.pdf" TargetMode="External"/><Relationship Id="rId6" Type="http://schemas.openxmlformats.org/officeDocument/2006/relationships/hyperlink" Target="https://taxboard.gov.au/sites/taxboard.gov.au/files/migrated/DRAFT-voluntary-TTC-AASB-draft-guidance-material.pdf" TargetMode="External"/><Relationship Id="rId5" Type="http://schemas.openxmlformats.org/officeDocument/2006/relationships/hyperlink" Target="https://taxboard.gov.au/sites/taxboard.gov.au/files/migrated/DRAFT-voluntary-TTC-AASB-draft-guidance-material.pdf" TargetMode="External"/><Relationship Id="rId4" Type="http://schemas.openxmlformats.org/officeDocument/2006/relationships/hyperlink" Target="https://taxboard.gov.au/sites/taxboard.gov.au/files/migrated/DRAFT-voluntary-TTC-AASB-draft-guidance-material.pdf" TargetMode="External"/></Relationships>
</file>

<file path=word/_rels/header7.xml.rels><?xml version="1.0" encoding="UTF-8" standalone="yes"?>
<Relationships xmlns="http://schemas.openxmlformats.org/package/2006/relationships"><Relationship Id="rId1" Type="http://schemas.openxmlformats.org/officeDocument/2006/relationships/image" Target="media/image30.png"/></Relationships>
</file>

<file path=word/_rels/header8.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Theme">
  <a:themeElements>
    <a:clrScheme name="Board of Tax">
      <a:dk1>
        <a:sysClr val="windowText" lastClr="000000"/>
      </a:dk1>
      <a:lt1>
        <a:sysClr val="window" lastClr="FFFFFF"/>
      </a:lt1>
      <a:dk2>
        <a:srgbClr val="5F5F5F"/>
      </a:dk2>
      <a:lt2>
        <a:srgbClr val="EEEEEE"/>
      </a:lt2>
      <a:accent1>
        <a:srgbClr val="142147"/>
      </a:accent1>
      <a:accent2>
        <a:srgbClr val="701F4D"/>
      </a:accent2>
      <a:accent3>
        <a:srgbClr val="D4C2A8"/>
      </a:accent3>
      <a:accent4>
        <a:srgbClr val="432B73"/>
      </a:accent4>
      <a:accent5>
        <a:srgbClr val="65ACDC"/>
      </a:accent5>
      <a:accent6>
        <a:srgbClr val="A2A0D5"/>
      </a:accent6>
      <a:hlink>
        <a:srgbClr val="3A6FAF"/>
      </a:hlink>
      <a:folHlink>
        <a:srgbClr val="844D9E"/>
      </a:folHlink>
    </a:clrScheme>
    <a:fontScheme name="Board of Tax">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10121</Words>
  <Characters>60044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Voluntary Tax Transparency Code</vt:lpstr>
    </vt:vector>
  </TitlesOfParts>
  <Company/>
  <LinksUpToDate>false</LinksUpToDate>
  <CharactersWithSpaces>70025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Tax Transparency Code</dc:title>
  <dc:subject>Consolidated version</dc:subject>
  <dc:creator>The Board of Taxation</dc:creator>
  <cp:keywords/>
  <cp:lastModifiedBy/>
  <cp:revision>1</cp:revision>
  <dcterms:created xsi:type="dcterms:W3CDTF">2025-10-24T06:57:00Z</dcterms:created>
  <dcterms:modified xsi:type="dcterms:W3CDTF">2025-10-24T06:58:00Z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2025-10-24T06:58:19Z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2889ee23-2262-44cc-9c27-595d4da01c13</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