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0012700"/>
    <w:bookmarkStart w:id="1" w:name="_Toc178088490"/>
    <w:bookmarkStart w:id="2" w:name="_Toc209006403"/>
    <w:bookmarkStart w:id="3" w:name="_Toc209006579"/>
    <w:p w14:paraId="0881F20C" w14:textId="78E2D5F8" w:rsidR="00E83F26" w:rsidRPr="009C7F1A" w:rsidRDefault="00213FEC" w:rsidP="00A35A2F">
      <w:pPr>
        <w:pStyle w:val="CoverTitleMain"/>
        <w:ind w:right="3402"/>
      </w:pPr>
      <w:sdt>
        <w:sdtPr>
          <w:id w:val="1209766061"/>
          <w:docPartObj>
            <w:docPartGallery w:val="Cover Pages"/>
            <w:docPartUnique/>
          </w:docPartObj>
        </w:sdtPr>
        <w:sdtEndPr/>
        <w:sdtContent>
          <w:r w:rsidR="007739FD">
            <w:rPr>
              <w:noProof/>
              <w14:numForm w14:val="default"/>
              <w14:numSpacing w14:val="default"/>
            </w:rPr>
            <w:drawing>
              <wp:anchor distT="0" distB="0" distL="114300" distR="114300" simplePos="0" relativeHeight="251658240" behindDoc="1" locked="1" layoutInCell="1" allowOverlap="1" wp14:anchorId="5E24F66F" wp14:editId="03A512B6">
                <wp:simplePos x="0" y="0"/>
                <wp:positionH relativeFrom="margin">
                  <wp:posOffset>-720090</wp:posOffset>
                </wp:positionH>
                <wp:positionV relativeFrom="margin">
                  <wp:posOffset>-1259840</wp:posOffset>
                </wp:positionV>
                <wp:extent cx="7562215" cy="10691495"/>
                <wp:effectExtent l="0" t="0" r="63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2215" cy="10691495"/>
                        </a:xfrm>
                        <a:prstGeom prst="rect">
                          <a:avLst/>
                        </a:prstGeom>
                      </pic:spPr>
                    </pic:pic>
                  </a:graphicData>
                </a:graphic>
                <wp14:sizeRelH relativeFrom="page">
                  <wp14:pctWidth>0</wp14:pctWidth>
                </wp14:sizeRelH>
                <wp14:sizeRelV relativeFrom="page">
                  <wp14:pctHeight>0</wp14:pctHeight>
                </wp14:sizeRelV>
              </wp:anchor>
            </w:drawing>
          </w:r>
        </w:sdtContent>
      </w:sdt>
      <w:r w:rsidR="006F27B9">
        <w:t>Annual Report</w:t>
      </w:r>
      <w:r w:rsidR="00A35A2F">
        <w:t xml:space="preserve"> 202</w:t>
      </w:r>
      <w:r w:rsidR="005E61FE">
        <w:t>4</w:t>
      </w:r>
      <w:r w:rsidR="00A35A2F">
        <w:t>–2</w:t>
      </w:r>
      <w:bookmarkEnd w:id="0"/>
      <w:bookmarkEnd w:id="1"/>
      <w:bookmarkEnd w:id="2"/>
      <w:bookmarkEnd w:id="3"/>
      <w:r w:rsidR="005E61FE">
        <w:t>5</w:t>
      </w:r>
    </w:p>
    <w:p w14:paraId="7C2F609E" w14:textId="2FB3F567" w:rsidR="004C2DE1" w:rsidRPr="004C2DE1" w:rsidRDefault="004C2DE1" w:rsidP="004C2DE1">
      <w:pPr>
        <w:pStyle w:val="CoverTitleSub"/>
        <w:jc w:val="both"/>
        <w:sectPr w:rsidR="004C2DE1" w:rsidRPr="004C2DE1" w:rsidSect="00E219B8">
          <w:headerReference w:type="even" r:id="rId8"/>
          <w:footerReference w:type="even" r:id="rId9"/>
          <w:footerReference w:type="default" r:id="rId10"/>
          <w:pgSz w:w="11909" w:h="16834" w:code="9"/>
          <w:pgMar w:top="1985" w:right="1134" w:bottom="1985" w:left="1134" w:header="1134" w:footer="1134" w:gutter="0"/>
          <w:pgNumType w:fmt="lowerRoman" w:start="0"/>
          <w:cols w:space="708"/>
          <w:vAlign w:val="bottom"/>
          <w:titlePg/>
          <w:docGrid w:linePitch="360"/>
        </w:sectPr>
      </w:pPr>
    </w:p>
    <w:p w14:paraId="409A7852" w14:textId="3E50301D" w:rsidR="006F27B9" w:rsidRDefault="006F27B9" w:rsidP="00C275FE">
      <w:pPr>
        <w:spacing w:before="0"/>
      </w:pPr>
      <w:r w:rsidRPr="00661BF0">
        <w:lastRenderedPageBreak/>
        <w:t xml:space="preserve">© Commonwealth of Australia </w:t>
      </w:r>
      <w:r w:rsidRPr="00095CA6">
        <w:t>202</w:t>
      </w:r>
      <w:r w:rsidR="006845AF">
        <w:t>5</w:t>
      </w:r>
    </w:p>
    <w:p w14:paraId="1F4342A3" w14:textId="0B6EBC32" w:rsidR="00BE248C" w:rsidRDefault="00BE248C" w:rsidP="00C275FE">
      <w:pPr>
        <w:spacing w:before="0"/>
      </w:pPr>
      <w:r>
        <w:t>ISSN: 2204-096X</w:t>
      </w:r>
    </w:p>
    <w:p w14:paraId="1E645611" w14:textId="6C04568E" w:rsidR="00153BBF" w:rsidRPr="00086F82" w:rsidRDefault="00153BBF" w:rsidP="00C275FE">
      <w:pPr>
        <w:spacing w:before="0"/>
        <w:rPr>
          <w:rFonts w:cstheme="minorBidi"/>
          <w:sz w:val="24"/>
          <w:szCs w:val="24"/>
        </w:rPr>
      </w:pPr>
      <w:r w:rsidRPr="002F1BC2">
        <w:t>This publication is available for your use under a</w:t>
      </w:r>
      <w:r w:rsidRPr="00476F09">
        <w:rPr>
          <w:rFonts w:cstheme="minorHAnsi"/>
          <w:sz w:val="24"/>
          <w:szCs w:val="24"/>
        </w:rPr>
        <w:t xml:space="preserve"> </w:t>
      </w:r>
      <w:hyperlink r:id="rId11" w:history="1">
        <w:r>
          <w:rPr>
            <w:rStyle w:val="Hyperlink"/>
          </w:rPr>
          <w:t>Creative Commons Attribution 4.0 International</w:t>
        </w:r>
      </w:hyperlink>
      <w:r w:rsidRPr="00476F09">
        <w:rPr>
          <w:rFonts w:cstheme="minorHAnsi"/>
          <w:sz w:val="24"/>
          <w:szCs w:val="24"/>
        </w:rPr>
        <w:t xml:space="preserve"> </w:t>
      </w:r>
      <w:r w:rsidRPr="002F1BC2">
        <w:t xml:space="preserve">licence, with the exception of the Commonwealth Coat of Arms, </w:t>
      </w:r>
      <w:r w:rsidR="0074667B">
        <w:t>t</w:t>
      </w:r>
      <w:r w:rsidRPr="002F1BC2">
        <w:t xml:space="preserve">he </w:t>
      </w:r>
      <w:r>
        <w:t>Board of Taxation</w:t>
      </w:r>
      <w:r w:rsidRPr="002F1BC2">
        <w:t xml:space="preserve">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2" w:history="1">
        <w:r>
          <w:rPr>
            <w:rStyle w:val="Hyperlink"/>
          </w:rPr>
          <w:t>creativecommons.org/licenses/by/4.0/</w:t>
        </w:r>
        <w:proofErr w:type="spellStart"/>
        <w:r>
          <w:rPr>
            <w:rStyle w:val="Hyperlink"/>
          </w:rPr>
          <w:t>legalcode</w:t>
        </w:r>
        <w:proofErr w:type="spellEnd"/>
      </w:hyperlink>
      <w:r w:rsidRPr="00444CDB">
        <w:t>.</w:t>
      </w:r>
      <w:r w:rsidRPr="00D06A21">
        <w:rPr>
          <w:sz w:val="24"/>
          <w:szCs w:val="24"/>
        </w:rPr>
        <w:t xml:space="preserve"> </w:t>
      </w:r>
    </w:p>
    <w:p w14:paraId="21354004" w14:textId="77777777" w:rsidR="0074667B" w:rsidRDefault="0074667B" w:rsidP="00C275FE">
      <w:pPr>
        <w:spacing w:before="0"/>
      </w:pPr>
      <w:r w:rsidRPr="00E56DFB">
        <w:rPr>
          <w:noProof/>
        </w:rPr>
        <w:drawing>
          <wp:inline distT="0" distB="0" distL="0" distR="0" wp14:anchorId="0EFCCE5D" wp14:editId="525EF6C7">
            <wp:extent cx="809625" cy="285750"/>
            <wp:effectExtent l="0" t="0" r="9525" b="0"/>
            <wp:docPr id="3" name="Picture 1" descr="Creative Commons icon&#10;&#10;Creative Commons attribution licence 4.0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reative Commons icon&#10;&#10;Creative Commons attribution licence 4.0 ic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2E5A522" w14:textId="7F06CC9F" w:rsidR="0074667B" w:rsidRPr="006627B4" w:rsidRDefault="0074667B" w:rsidP="00C275FE">
      <w:pPr>
        <w:spacing w:before="0"/>
      </w:pPr>
      <w:r w:rsidRPr="006627B4">
        <w:t xml:space="preserve">Use of </w:t>
      </w:r>
      <w:r w:rsidR="00787B40">
        <w:t>Commonwealth of Australia</w:t>
      </w:r>
      <w:r w:rsidRPr="006627B4">
        <w:t xml:space="preserve"> material under a</w:t>
      </w:r>
      <w:r w:rsidRPr="00476F09">
        <w:rPr>
          <w:rFonts w:cstheme="minorHAnsi"/>
          <w:sz w:val="24"/>
          <w:szCs w:val="24"/>
        </w:rPr>
        <w:t xml:space="preserve"> </w:t>
      </w:r>
      <w:hyperlink r:id="rId14" w:history="1">
        <w:r>
          <w:rPr>
            <w:rStyle w:val="Hyperlink"/>
          </w:rPr>
          <w:t>Creative Commons Attribution 4.0 International</w:t>
        </w:r>
      </w:hyperlink>
      <w:r>
        <w:t xml:space="preserve"> l</w:t>
      </w:r>
      <w:r w:rsidRPr="006627B4">
        <w:t xml:space="preserve">icence requires you to attribute the work (but not in any way that suggests that </w:t>
      </w:r>
      <w:r w:rsidR="00787B40">
        <w:t>the Commonwealth of Australia</w:t>
      </w:r>
      <w:r w:rsidRPr="006627B4">
        <w:t xml:space="preserve"> endorse</w:t>
      </w:r>
      <w:r>
        <w:t>s you or your use of the work).</w:t>
      </w:r>
    </w:p>
    <w:p w14:paraId="783BD6F9" w14:textId="77777777" w:rsidR="00787B40" w:rsidRDefault="00787B40" w:rsidP="00BE248C">
      <w:pPr>
        <w:rPr>
          <w:b/>
          <w:bCs/>
        </w:rPr>
      </w:pPr>
      <w:r w:rsidRPr="00787B40">
        <w:rPr>
          <w:b/>
          <w:bCs/>
        </w:rPr>
        <w:t>Commonwealth of Australia</w:t>
      </w:r>
      <w:r w:rsidR="006F27B9" w:rsidRPr="00787B40">
        <w:rPr>
          <w:b/>
          <w:bCs/>
        </w:rPr>
        <w:t xml:space="preserve"> material used </w:t>
      </w:r>
      <w:r w:rsidR="00FC1B00" w:rsidRPr="00787B40">
        <w:rPr>
          <w:b/>
          <w:bCs/>
        </w:rPr>
        <w:t>‘</w:t>
      </w:r>
      <w:r w:rsidR="006F27B9" w:rsidRPr="00787B40">
        <w:rPr>
          <w:b/>
          <w:bCs/>
        </w:rPr>
        <w:t>as supplied</w:t>
      </w:r>
      <w:r w:rsidR="00FC1B00" w:rsidRPr="00787B40">
        <w:rPr>
          <w:b/>
          <w:bCs/>
        </w:rPr>
        <w:t>’</w:t>
      </w:r>
    </w:p>
    <w:p w14:paraId="05CD50DD" w14:textId="59965B5D" w:rsidR="0074667B" w:rsidRPr="00476F09" w:rsidRDefault="0074667B" w:rsidP="00BE248C">
      <w:pPr>
        <w:spacing w:before="0" w:after="60"/>
      </w:pPr>
      <w:r w:rsidRPr="00476F09">
        <w:t xml:space="preserve">Provided you have not modified or transformed </w:t>
      </w:r>
      <w:r w:rsidR="00787B40">
        <w:t>Commonwealth of Australia</w:t>
      </w:r>
      <w:r w:rsidRPr="00476F09">
        <w:t xml:space="preserve"> material in any way including, for example, by</w:t>
      </w:r>
      <w:r>
        <w:t xml:space="preserve"> </w:t>
      </w:r>
      <w:r w:rsidRPr="0096692D">
        <w:t xml:space="preserve">changing the </w:t>
      </w:r>
      <w:r w:rsidR="00787B40">
        <w:t>Commonwealth of Australia</w:t>
      </w:r>
      <w:r w:rsidRPr="0096692D">
        <w:t xml:space="preserve"> text; calculating percentage changes; graphing or charting data</w:t>
      </w:r>
      <w:r>
        <w:t>;</w:t>
      </w:r>
      <w:r w:rsidRPr="0096692D">
        <w:t xml:space="preserve"> or deriving new statistics from published </w:t>
      </w:r>
      <w:r w:rsidR="00787B40">
        <w:t>Commonwealth of Australia</w:t>
      </w:r>
      <w:r w:rsidRPr="0096692D">
        <w:t xml:space="preserve"> statistics</w:t>
      </w:r>
      <w:r>
        <w:t xml:space="preserve"> </w:t>
      </w:r>
      <w:r>
        <w:rPr>
          <w:rFonts w:cs="Calibri Light"/>
        </w:rPr>
        <w:t>–</w:t>
      </w:r>
      <w:r>
        <w:t xml:space="preserve"> then </w:t>
      </w:r>
      <w:r w:rsidR="00787B40">
        <w:t>the Commonwealth of Australia</w:t>
      </w:r>
      <w:r>
        <w:t xml:space="preserve"> prefers t</w:t>
      </w:r>
      <w:r w:rsidRPr="00476F09">
        <w:t xml:space="preserve">he following attribution: </w:t>
      </w:r>
    </w:p>
    <w:p w14:paraId="58FD3060" w14:textId="6197CE94" w:rsidR="006F27B9" w:rsidRPr="00134FAC" w:rsidRDefault="006F27B9" w:rsidP="00C275FE">
      <w:pPr>
        <w:pStyle w:val="NormalIndent"/>
        <w:spacing w:before="0"/>
        <w:rPr>
          <w:i/>
          <w:iCs/>
        </w:rPr>
      </w:pPr>
      <w:r w:rsidRPr="007127DB">
        <w:t>Source:</w:t>
      </w:r>
      <w:r w:rsidRPr="00134FAC">
        <w:rPr>
          <w:i/>
          <w:iCs/>
        </w:rPr>
        <w:t xml:space="preserve"> The Board of Taxation 202</w:t>
      </w:r>
      <w:r w:rsidR="005E61FE">
        <w:rPr>
          <w:i/>
          <w:iCs/>
        </w:rPr>
        <w:t>4</w:t>
      </w:r>
      <w:r w:rsidRPr="00134FAC">
        <w:rPr>
          <w:i/>
          <w:iCs/>
        </w:rPr>
        <w:t>–2</w:t>
      </w:r>
      <w:r w:rsidR="005E61FE">
        <w:rPr>
          <w:i/>
          <w:iCs/>
        </w:rPr>
        <w:t>5</w:t>
      </w:r>
      <w:r w:rsidRPr="00134FAC">
        <w:rPr>
          <w:i/>
          <w:iCs/>
        </w:rPr>
        <w:t xml:space="preserve"> Annual Report. The Commonwealth of Australia does not necessarily endorse the content of this publication. </w:t>
      </w:r>
    </w:p>
    <w:p w14:paraId="0435CA77" w14:textId="77777777" w:rsidR="006F27B9" w:rsidRPr="00787B40" w:rsidRDefault="006F27B9" w:rsidP="00C275FE">
      <w:pPr>
        <w:rPr>
          <w:b/>
          <w:bCs/>
        </w:rPr>
      </w:pPr>
      <w:r w:rsidRPr="00787B40">
        <w:rPr>
          <w:b/>
          <w:bCs/>
        </w:rPr>
        <w:t>Derivative material</w:t>
      </w:r>
    </w:p>
    <w:p w14:paraId="50E7883C" w14:textId="1D79F837" w:rsidR="0074667B" w:rsidRPr="006627B4" w:rsidRDefault="0074667B" w:rsidP="00BE248C">
      <w:pPr>
        <w:spacing w:before="0" w:after="60"/>
      </w:pPr>
      <w:r w:rsidRPr="006627B4">
        <w:t xml:space="preserve">If you have modified or transformed </w:t>
      </w:r>
      <w:r w:rsidR="00787B40">
        <w:t>Commonwealth of Australia</w:t>
      </w:r>
      <w:r w:rsidRPr="006627B4">
        <w:t xml:space="preserve"> material, or derived new material from those of the </w:t>
      </w:r>
      <w:r w:rsidR="00787B40">
        <w:t>Commonwealth of Australia</w:t>
      </w:r>
      <w:r w:rsidRPr="006627B4">
        <w:t xml:space="preserve"> in any way, then </w:t>
      </w:r>
      <w:r w:rsidR="00787B40">
        <w:t>Commonwealth of Australia</w:t>
      </w:r>
      <w:r w:rsidRPr="006627B4">
        <w:t xml:space="preserve"> prefers the following attribution: </w:t>
      </w:r>
    </w:p>
    <w:p w14:paraId="37377A27" w14:textId="319F5AF9" w:rsidR="006F27B9" w:rsidRPr="00134FAC" w:rsidRDefault="006F27B9" w:rsidP="00C275FE">
      <w:pPr>
        <w:pStyle w:val="NormalIndent"/>
        <w:spacing w:before="0"/>
        <w:rPr>
          <w:i/>
          <w:iCs/>
        </w:rPr>
      </w:pPr>
      <w:r w:rsidRPr="00134FAC">
        <w:rPr>
          <w:i/>
          <w:iCs/>
        </w:rPr>
        <w:t>Based on the Board of Taxation, 202</w:t>
      </w:r>
      <w:r w:rsidR="005E61FE">
        <w:rPr>
          <w:i/>
          <w:iCs/>
        </w:rPr>
        <w:t>4</w:t>
      </w:r>
      <w:r w:rsidRPr="00134FAC">
        <w:rPr>
          <w:i/>
          <w:iCs/>
        </w:rPr>
        <w:t>–2</w:t>
      </w:r>
      <w:r w:rsidR="005E61FE">
        <w:rPr>
          <w:i/>
          <w:iCs/>
        </w:rPr>
        <w:t>5</w:t>
      </w:r>
      <w:r w:rsidRPr="00134FAC">
        <w:rPr>
          <w:i/>
          <w:iCs/>
        </w:rPr>
        <w:t xml:space="preserve"> Annual Report. The Commonwealth of Australia does not necessarily endorse the content of this publication.</w:t>
      </w:r>
    </w:p>
    <w:p w14:paraId="6655F3AC" w14:textId="77777777" w:rsidR="006F27B9" w:rsidRPr="00787B40" w:rsidRDefault="006F27B9" w:rsidP="00C275FE">
      <w:pPr>
        <w:rPr>
          <w:b/>
          <w:bCs/>
        </w:rPr>
      </w:pPr>
      <w:r w:rsidRPr="00787B40">
        <w:rPr>
          <w:b/>
          <w:bCs/>
        </w:rPr>
        <w:t>Use of the Coat of Arms</w:t>
      </w:r>
    </w:p>
    <w:p w14:paraId="0A71EE98" w14:textId="19F8FF19" w:rsidR="006F27B9" w:rsidRPr="006627B4" w:rsidRDefault="006F27B9" w:rsidP="00C275FE">
      <w:pPr>
        <w:spacing w:before="0"/>
      </w:pPr>
      <w:r w:rsidRPr="00820CAF">
        <w:t xml:space="preserve">The terms under which the Coat of Arms can be used are set out on the Department of the Prime Minister and Cabinet website (see </w:t>
      </w:r>
      <w:hyperlink r:id="rId15" w:history="1">
        <w:r>
          <w:rPr>
            <w:rStyle w:val="Hyperlink"/>
          </w:rPr>
          <w:t>https://www.pmc.gov.au/honours</w:t>
        </w:r>
        <w:r w:rsidR="00FC1B00">
          <w:rPr>
            <w:rStyle w:val="Hyperlink"/>
          </w:rPr>
          <w:noBreakHyphen/>
        </w:r>
        <w:r>
          <w:rPr>
            <w:rStyle w:val="Hyperlink"/>
          </w:rPr>
          <w:t>and</w:t>
        </w:r>
        <w:r w:rsidR="00FC1B00">
          <w:rPr>
            <w:rStyle w:val="Hyperlink"/>
          </w:rPr>
          <w:noBreakHyphen/>
        </w:r>
        <w:r>
          <w:rPr>
            <w:rStyle w:val="Hyperlink"/>
          </w:rPr>
          <w:t>symbols/commonwealth</w:t>
        </w:r>
        <w:r w:rsidR="00FC1B00">
          <w:rPr>
            <w:rStyle w:val="Hyperlink"/>
          </w:rPr>
          <w:noBreakHyphen/>
        </w:r>
        <w:r>
          <w:rPr>
            <w:rStyle w:val="Hyperlink"/>
          </w:rPr>
          <w:t>coat</w:t>
        </w:r>
        <w:r w:rsidR="00FC1B00">
          <w:rPr>
            <w:rStyle w:val="Hyperlink"/>
          </w:rPr>
          <w:noBreakHyphen/>
        </w:r>
        <w:r>
          <w:rPr>
            <w:rStyle w:val="Hyperlink"/>
          </w:rPr>
          <w:t>arms</w:t>
        </w:r>
      </w:hyperlink>
      <w:r>
        <w:t>).</w:t>
      </w:r>
    </w:p>
    <w:p w14:paraId="4FDB0047" w14:textId="77777777" w:rsidR="006F27B9" w:rsidRPr="00787B40" w:rsidRDefault="006F27B9" w:rsidP="00C275FE">
      <w:pPr>
        <w:rPr>
          <w:b/>
          <w:bCs/>
        </w:rPr>
      </w:pPr>
      <w:r w:rsidRPr="00787B40">
        <w:rPr>
          <w:b/>
          <w:bCs/>
        </w:rPr>
        <w:t>Other uses</w:t>
      </w:r>
    </w:p>
    <w:p w14:paraId="1FA69370" w14:textId="77777777" w:rsidR="006F27B9" w:rsidRPr="006627B4" w:rsidRDefault="006F27B9" w:rsidP="00BE248C">
      <w:pPr>
        <w:spacing w:before="0" w:after="60"/>
      </w:pPr>
      <w:r>
        <w:t>E</w:t>
      </w:r>
      <w:r w:rsidRPr="006627B4">
        <w:t>nquiries regarding this licence and any other use of this document are welcome at:</w:t>
      </w:r>
    </w:p>
    <w:p w14:paraId="159A166D" w14:textId="2B4B7B34" w:rsidR="00134FAC" w:rsidRDefault="006F27B9" w:rsidP="00C275FE">
      <w:pPr>
        <w:pStyle w:val="NormalIndent"/>
        <w:spacing w:before="0"/>
      </w:pPr>
      <w:r w:rsidRPr="00134FAC">
        <w:t>Manager</w:t>
      </w:r>
      <w:r w:rsidRPr="00134FAC">
        <w:br/>
        <w:t>Media Unit</w:t>
      </w:r>
      <w:r w:rsidRPr="00134FAC">
        <w:br/>
        <w:t>The Treasury</w:t>
      </w:r>
      <w:r w:rsidRPr="00134FAC">
        <w:br/>
        <w:t xml:space="preserve">Langton Crescent </w:t>
      </w:r>
      <w:r w:rsidR="00134FAC">
        <w:br/>
      </w:r>
      <w:r w:rsidR="00730102" w:rsidRPr="00134FAC">
        <w:t>Parkes ACT 2600</w:t>
      </w:r>
      <w:r w:rsidR="00730102" w:rsidRPr="00134FAC">
        <w:br/>
        <w:t>Email</w:t>
      </w:r>
      <w:r w:rsidR="00730102" w:rsidRPr="006627B4">
        <w:t xml:space="preserve">: </w:t>
      </w:r>
      <w:hyperlink r:id="rId16" w:history="1">
        <w:r w:rsidR="00730102">
          <w:rPr>
            <w:rStyle w:val="Hyperlink"/>
          </w:rPr>
          <w:t>media@treasury.gov.au</w:t>
        </w:r>
      </w:hyperlink>
      <w:bookmarkStart w:id="4" w:name="_Hlk135986135"/>
    </w:p>
    <w:p w14:paraId="41CA1A32" w14:textId="77777777" w:rsidR="00787B40" w:rsidRDefault="006F27B9" w:rsidP="00C275FE">
      <w:pPr>
        <w:spacing w:before="0"/>
      </w:pPr>
      <w:r>
        <w:t xml:space="preserve">A copy of this document appears on </w:t>
      </w:r>
      <w:r w:rsidR="0074667B">
        <w:t>t</w:t>
      </w:r>
      <w:r>
        <w:t xml:space="preserve">he Board of Taxation website: </w:t>
      </w:r>
      <w:hyperlink r:id="rId17" w:history="1">
        <w:r w:rsidRPr="00892EB0">
          <w:rPr>
            <w:rStyle w:val="Hyperlink"/>
          </w:rPr>
          <w:t>http://www.taxboard.gov.au</w:t>
        </w:r>
      </w:hyperlink>
      <w:r>
        <w:t>.</w:t>
      </w:r>
      <w:bookmarkEnd w:id="4"/>
    </w:p>
    <w:p w14:paraId="33D6DBC5" w14:textId="04BF8125" w:rsidR="007127DB" w:rsidRPr="00787B40" w:rsidRDefault="0074667B" w:rsidP="00C275FE">
      <w:pPr>
        <w:rPr>
          <w:rStyle w:val="Emphasis"/>
        </w:rPr>
      </w:pPr>
      <w:r w:rsidRPr="00787B40">
        <w:rPr>
          <w:rStyle w:val="Emphasis"/>
        </w:rPr>
        <w:t>In the spirit of reconciliation, the Board of Taxation acknowledges the Traditional Custodians of country throughout Australia and their connections to land, sea and community. We pay our respect to their Elders past and present and extend that respect to all Aboriginal and Torres Strait Islander peoples.</w:t>
      </w:r>
      <w:bookmarkStart w:id="5" w:name="_Toc160012701"/>
      <w:bookmarkStart w:id="6" w:name="_Toc178088491"/>
      <w:bookmarkStart w:id="7" w:name="_Toc209006404"/>
      <w:bookmarkStart w:id="8" w:name="_Toc209006580"/>
    </w:p>
    <w:p w14:paraId="6AD96AC4" w14:textId="38446B58" w:rsidR="006256BA" w:rsidRDefault="006256BA" w:rsidP="007127DB">
      <w:pPr>
        <w:pStyle w:val="ContentsHeading"/>
      </w:pPr>
      <w:r>
        <w:lastRenderedPageBreak/>
        <w:t>Contents</w:t>
      </w:r>
      <w:bookmarkEnd w:id="5"/>
      <w:bookmarkEnd w:id="6"/>
      <w:bookmarkEnd w:id="7"/>
      <w:bookmarkEnd w:id="8"/>
    </w:p>
    <w:p w14:paraId="0DBD319C" w14:textId="063A595F"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r>
        <w:rPr>
          <w:rFonts w:asciiTheme="majorHAnsi" w:hAnsiTheme="majorHAnsi"/>
          <w:smallCaps/>
        </w:rPr>
        <w:fldChar w:fldCharType="begin"/>
      </w:r>
      <w:r>
        <w:rPr>
          <w:rFonts w:asciiTheme="majorHAnsi" w:hAnsiTheme="majorHAnsi"/>
          <w:smallCaps/>
        </w:rPr>
        <w:instrText xml:space="preserve"> TOC \h \z \t "Heading 1,1,Appendix Heading,1,Heading 1 Numbered,1" </w:instrText>
      </w:r>
      <w:r>
        <w:rPr>
          <w:rFonts w:asciiTheme="majorHAnsi" w:hAnsiTheme="majorHAnsi"/>
          <w:smallCaps/>
        </w:rPr>
        <w:fldChar w:fldCharType="separate"/>
      </w:r>
      <w:hyperlink w:anchor="_Toc212631272" w:history="1">
        <w:r w:rsidRPr="00504FB6">
          <w:rPr>
            <w:rStyle w:val="Hyperlink"/>
            <w:noProof/>
          </w:rPr>
          <w:t>2024–25 Board overview</w:t>
        </w:r>
        <w:r>
          <w:rPr>
            <w:noProof/>
            <w:webHidden/>
          </w:rPr>
          <w:tab/>
        </w:r>
        <w:r>
          <w:rPr>
            <w:noProof/>
            <w:webHidden/>
          </w:rPr>
          <w:fldChar w:fldCharType="begin"/>
        </w:r>
        <w:r>
          <w:rPr>
            <w:noProof/>
            <w:webHidden/>
          </w:rPr>
          <w:instrText xml:space="preserve"> PAGEREF _Toc212631272 \h </w:instrText>
        </w:r>
        <w:r>
          <w:rPr>
            <w:noProof/>
            <w:webHidden/>
          </w:rPr>
        </w:r>
        <w:r>
          <w:rPr>
            <w:noProof/>
            <w:webHidden/>
          </w:rPr>
          <w:fldChar w:fldCharType="separate"/>
        </w:r>
        <w:r w:rsidR="00CD0B01">
          <w:rPr>
            <w:noProof/>
            <w:webHidden/>
          </w:rPr>
          <w:t>1</w:t>
        </w:r>
        <w:r>
          <w:rPr>
            <w:noProof/>
            <w:webHidden/>
          </w:rPr>
          <w:fldChar w:fldCharType="end"/>
        </w:r>
      </w:hyperlink>
    </w:p>
    <w:p w14:paraId="2E24EB44" w14:textId="00A6588E"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73" w:history="1">
        <w:r w:rsidRPr="00504FB6">
          <w:rPr>
            <w:rStyle w:val="Hyperlink"/>
            <w:noProof/>
          </w:rPr>
          <w:t>Message from the Acting Chair</w:t>
        </w:r>
        <w:r>
          <w:rPr>
            <w:noProof/>
            <w:webHidden/>
          </w:rPr>
          <w:tab/>
        </w:r>
        <w:r>
          <w:rPr>
            <w:noProof/>
            <w:webHidden/>
          </w:rPr>
          <w:fldChar w:fldCharType="begin"/>
        </w:r>
        <w:r>
          <w:rPr>
            <w:noProof/>
            <w:webHidden/>
          </w:rPr>
          <w:instrText xml:space="preserve"> PAGEREF _Toc212631273 \h </w:instrText>
        </w:r>
        <w:r>
          <w:rPr>
            <w:noProof/>
            <w:webHidden/>
          </w:rPr>
        </w:r>
        <w:r>
          <w:rPr>
            <w:noProof/>
            <w:webHidden/>
          </w:rPr>
          <w:fldChar w:fldCharType="separate"/>
        </w:r>
        <w:r w:rsidR="00CD0B01">
          <w:rPr>
            <w:noProof/>
            <w:webHidden/>
          </w:rPr>
          <w:t>2</w:t>
        </w:r>
        <w:r>
          <w:rPr>
            <w:noProof/>
            <w:webHidden/>
          </w:rPr>
          <w:fldChar w:fldCharType="end"/>
        </w:r>
      </w:hyperlink>
    </w:p>
    <w:p w14:paraId="59624F04" w14:textId="79F1ED5B"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74" w:history="1">
        <w:r w:rsidRPr="00504FB6">
          <w:rPr>
            <w:rStyle w:val="Hyperlink"/>
            <w:noProof/>
          </w:rPr>
          <w:t>Message from the Secretary and Tax Counsel</w:t>
        </w:r>
        <w:r>
          <w:rPr>
            <w:noProof/>
            <w:webHidden/>
          </w:rPr>
          <w:tab/>
        </w:r>
        <w:r>
          <w:rPr>
            <w:noProof/>
            <w:webHidden/>
          </w:rPr>
          <w:fldChar w:fldCharType="begin"/>
        </w:r>
        <w:r>
          <w:rPr>
            <w:noProof/>
            <w:webHidden/>
          </w:rPr>
          <w:instrText xml:space="preserve"> PAGEREF _Toc212631274 \h </w:instrText>
        </w:r>
        <w:r>
          <w:rPr>
            <w:noProof/>
            <w:webHidden/>
          </w:rPr>
        </w:r>
        <w:r>
          <w:rPr>
            <w:noProof/>
            <w:webHidden/>
          </w:rPr>
          <w:fldChar w:fldCharType="separate"/>
        </w:r>
        <w:r w:rsidR="00CD0B01">
          <w:rPr>
            <w:noProof/>
            <w:webHidden/>
          </w:rPr>
          <w:t>4</w:t>
        </w:r>
        <w:r>
          <w:rPr>
            <w:noProof/>
            <w:webHidden/>
          </w:rPr>
          <w:fldChar w:fldCharType="end"/>
        </w:r>
      </w:hyperlink>
    </w:p>
    <w:p w14:paraId="2B7E38F3" w14:textId="13D2AFC9"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75" w:history="1">
        <w:r w:rsidRPr="00504FB6">
          <w:rPr>
            <w:rStyle w:val="Hyperlink"/>
            <w:noProof/>
          </w:rPr>
          <w:t>The Board</w:t>
        </w:r>
        <w:r>
          <w:rPr>
            <w:noProof/>
            <w:webHidden/>
          </w:rPr>
          <w:tab/>
        </w:r>
        <w:r>
          <w:rPr>
            <w:noProof/>
            <w:webHidden/>
          </w:rPr>
          <w:fldChar w:fldCharType="begin"/>
        </w:r>
        <w:r>
          <w:rPr>
            <w:noProof/>
            <w:webHidden/>
          </w:rPr>
          <w:instrText xml:space="preserve"> PAGEREF _Toc212631275 \h </w:instrText>
        </w:r>
        <w:r>
          <w:rPr>
            <w:noProof/>
            <w:webHidden/>
          </w:rPr>
        </w:r>
        <w:r>
          <w:rPr>
            <w:noProof/>
            <w:webHidden/>
          </w:rPr>
          <w:fldChar w:fldCharType="separate"/>
        </w:r>
        <w:r w:rsidR="00CD0B01">
          <w:rPr>
            <w:noProof/>
            <w:webHidden/>
          </w:rPr>
          <w:t>6</w:t>
        </w:r>
        <w:r>
          <w:rPr>
            <w:noProof/>
            <w:webHidden/>
          </w:rPr>
          <w:fldChar w:fldCharType="end"/>
        </w:r>
      </w:hyperlink>
    </w:p>
    <w:p w14:paraId="245B9CB8" w14:textId="0044F8A7"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76" w:history="1">
        <w:r w:rsidRPr="00504FB6">
          <w:rPr>
            <w:rStyle w:val="Hyperlink"/>
            <w:noProof/>
          </w:rPr>
          <w:t>Stakeholder communication and engagement</w:t>
        </w:r>
        <w:r>
          <w:rPr>
            <w:noProof/>
            <w:webHidden/>
          </w:rPr>
          <w:tab/>
        </w:r>
        <w:r>
          <w:rPr>
            <w:noProof/>
            <w:webHidden/>
          </w:rPr>
          <w:fldChar w:fldCharType="begin"/>
        </w:r>
        <w:r>
          <w:rPr>
            <w:noProof/>
            <w:webHidden/>
          </w:rPr>
          <w:instrText xml:space="preserve"> PAGEREF _Toc212631276 \h </w:instrText>
        </w:r>
        <w:r>
          <w:rPr>
            <w:noProof/>
            <w:webHidden/>
          </w:rPr>
        </w:r>
        <w:r>
          <w:rPr>
            <w:noProof/>
            <w:webHidden/>
          </w:rPr>
          <w:fldChar w:fldCharType="separate"/>
        </w:r>
        <w:r w:rsidR="00CD0B01">
          <w:rPr>
            <w:noProof/>
            <w:webHidden/>
          </w:rPr>
          <w:t>11</w:t>
        </w:r>
        <w:r>
          <w:rPr>
            <w:noProof/>
            <w:webHidden/>
          </w:rPr>
          <w:fldChar w:fldCharType="end"/>
        </w:r>
      </w:hyperlink>
    </w:p>
    <w:p w14:paraId="6997FB89" w14:textId="37A7E963"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77" w:history="1">
        <w:r w:rsidRPr="00504FB6">
          <w:rPr>
            <w:rStyle w:val="Hyperlink"/>
            <w:noProof/>
          </w:rPr>
          <w:t>Activities of the Board in 2024–25</w:t>
        </w:r>
        <w:r>
          <w:rPr>
            <w:noProof/>
            <w:webHidden/>
          </w:rPr>
          <w:tab/>
        </w:r>
        <w:r>
          <w:rPr>
            <w:noProof/>
            <w:webHidden/>
          </w:rPr>
          <w:fldChar w:fldCharType="begin"/>
        </w:r>
        <w:r>
          <w:rPr>
            <w:noProof/>
            <w:webHidden/>
          </w:rPr>
          <w:instrText xml:space="preserve"> PAGEREF _Toc212631277 \h </w:instrText>
        </w:r>
        <w:r>
          <w:rPr>
            <w:noProof/>
            <w:webHidden/>
          </w:rPr>
        </w:r>
        <w:r>
          <w:rPr>
            <w:noProof/>
            <w:webHidden/>
          </w:rPr>
          <w:fldChar w:fldCharType="separate"/>
        </w:r>
        <w:r w:rsidR="00CD0B01">
          <w:rPr>
            <w:noProof/>
            <w:webHidden/>
          </w:rPr>
          <w:t>15</w:t>
        </w:r>
        <w:r>
          <w:rPr>
            <w:noProof/>
            <w:webHidden/>
          </w:rPr>
          <w:fldChar w:fldCharType="end"/>
        </w:r>
      </w:hyperlink>
    </w:p>
    <w:p w14:paraId="0699958F" w14:textId="1017FFA2"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78" w:history="1">
        <w:r w:rsidRPr="00504FB6">
          <w:rPr>
            <w:rStyle w:val="Hyperlink"/>
            <w:noProof/>
          </w:rPr>
          <w:t>The year ahead – 2025</w:t>
        </w:r>
        <w:r w:rsidRPr="00504FB6">
          <w:rPr>
            <w:rStyle w:val="Hyperlink"/>
            <w:rFonts w:ascii="Times New Roman" w:hAnsi="Times New Roman"/>
            <w:noProof/>
          </w:rPr>
          <w:t>‍</w:t>
        </w:r>
        <w:r w:rsidRPr="00504FB6">
          <w:rPr>
            <w:rStyle w:val="Hyperlink"/>
            <w:noProof/>
          </w:rPr>
          <w:t>–</w:t>
        </w:r>
        <w:r w:rsidRPr="00504FB6">
          <w:rPr>
            <w:rStyle w:val="Hyperlink"/>
            <w:rFonts w:ascii="Times New Roman" w:hAnsi="Times New Roman"/>
            <w:noProof/>
          </w:rPr>
          <w:t>‍</w:t>
        </w:r>
        <w:r w:rsidRPr="00504FB6">
          <w:rPr>
            <w:rStyle w:val="Hyperlink"/>
            <w:noProof/>
          </w:rPr>
          <w:t>26 reporting year</w:t>
        </w:r>
        <w:r>
          <w:rPr>
            <w:noProof/>
            <w:webHidden/>
          </w:rPr>
          <w:tab/>
        </w:r>
        <w:r>
          <w:rPr>
            <w:noProof/>
            <w:webHidden/>
          </w:rPr>
          <w:fldChar w:fldCharType="begin"/>
        </w:r>
        <w:r>
          <w:rPr>
            <w:noProof/>
            <w:webHidden/>
          </w:rPr>
          <w:instrText xml:space="preserve"> PAGEREF _Toc212631278 \h </w:instrText>
        </w:r>
        <w:r>
          <w:rPr>
            <w:noProof/>
            <w:webHidden/>
          </w:rPr>
        </w:r>
        <w:r>
          <w:rPr>
            <w:noProof/>
            <w:webHidden/>
          </w:rPr>
          <w:fldChar w:fldCharType="separate"/>
        </w:r>
        <w:r w:rsidR="00CD0B01">
          <w:rPr>
            <w:noProof/>
            <w:webHidden/>
          </w:rPr>
          <w:t>19</w:t>
        </w:r>
        <w:r>
          <w:rPr>
            <w:noProof/>
            <w:webHidden/>
          </w:rPr>
          <w:fldChar w:fldCharType="end"/>
        </w:r>
      </w:hyperlink>
    </w:p>
    <w:p w14:paraId="4D0B39CF" w14:textId="110BE230"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79" w:history="1">
        <w:r w:rsidRPr="00504FB6">
          <w:rPr>
            <w:rStyle w:val="Hyperlink"/>
            <w:noProof/>
          </w:rPr>
          <w:t>Appendix A: The Board’s Charter</w:t>
        </w:r>
        <w:r>
          <w:rPr>
            <w:noProof/>
            <w:webHidden/>
          </w:rPr>
          <w:tab/>
        </w:r>
        <w:r>
          <w:rPr>
            <w:noProof/>
            <w:webHidden/>
          </w:rPr>
          <w:fldChar w:fldCharType="begin"/>
        </w:r>
        <w:r>
          <w:rPr>
            <w:noProof/>
            <w:webHidden/>
          </w:rPr>
          <w:instrText xml:space="preserve"> PAGEREF _Toc212631279 \h </w:instrText>
        </w:r>
        <w:r>
          <w:rPr>
            <w:noProof/>
            <w:webHidden/>
          </w:rPr>
        </w:r>
        <w:r>
          <w:rPr>
            <w:noProof/>
            <w:webHidden/>
          </w:rPr>
          <w:fldChar w:fldCharType="separate"/>
        </w:r>
        <w:r w:rsidR="00CD0B01">
          <w:rPr>
            <w:noProof/>
            <w:webHidden/>
          </w:rPr>
          <w:t>20</w:t>
        </w:r>
        <w:r>
          <w:rPr>
            <w:noProof/>
            <w:webHidden/>
          </w:rPr>
          <w:fldChar w:fldCharType="end"/>
        </w:r>
      </w:hyperlink>
    </w:p>
    <w:p w14:paraId="42B59024" w14:textId="2E7845C3"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80" w:history="1">
        <w:r w:rsidRPr="00504FB6">
          <w:rPr>
            <w:rStyle w:val="Hyperlink"/>
            <w:noProof/>
          </w:rPr>
          <w:t>Appendix B: Membership of the Board</w:t>
        </w:r>
        <w:r>
          <w:rPr>
            <w:noProof/>
            <w:webHidden/>
          </w:rPr>
          <w:tab/>
        </w:r>
        <w:r>
          <w:rPr>
            <w:noProof/>
            <w:webHidden/>
          </w:rPr>
          <w:fldChar w:fldCharType="begin"/>
        </w:r>
        <w:r>
          <w:rPr>
            <w:noProof/>
            <w:webHidden/>
          </w:rPr>
          <w:instrText xml:space="preserve"> PAGEREF _Toc212631280 \h </w:instrText>
        </w:r>
        <w:r>
          <w:rPr>
            <w:noProof/>
            <w:webHidden/>
          </w:rPr>
        </w:r>
        <w:r>
          <w:rPr>
            <w:noProof/>
            <w:webHidden/>
          </w:rPr>
          <w:fldChar w:fldCharType="separate"/>
        </w:r>
        <w:r w:rsidR="00CD0B01">
          <w:rPr>
            <w:noProof/>
            <w:webHidden/>
          </w:rPr>
          <w:t>22</w:t>
        </w:r>
        <w:r>
          <w:rPr>
            <w:noProof/>
            <w:webHidden/>
          </w:rPr>
          <w:fldChar w:fldCharType="end"/>
        </w:r>
      </w:hyperlink>
    </w:p>
    <w:p w14:paraId="4A679C07" w14:textId="7A639CEA"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81" w:history="1">
        <w:r w:rsidRPr="00504FB6">
          <w:rPr>
            <w:rStyle w:val="Hyperlink"/>
            <w:noProof/>
          </w:rPr>
          <w:t>Appendix C: Attendance at Board meetings</w:t>
        </w:r>
        <w:r>
          <w:rPr>
            <w:noProof/>
            <w:webHidden/>
          </w:rPr>
          <w:tab/>
        </w:r>
        <w:r>
          <w:rPr>
            <w:noProof/>
            <w:webHidden/>
          </w:rPr>
          <w:fldChar w:fldCharType="begin"/>
        </w:r>
        <w:r>
          <w:rPr>
            <w:noProof/>
            <w:webHidden/>
          </w:rPr>
          <w:instrText xml:space="preserve"> PAGEREF _Toc212631281 \h </w:instrText>
        </w:r>
        <w:r>
          <w:rPr>
            <w:noProof/>
            <w:webHidden/>
          </w:rPr>
        </w:r>
        <w:r>
          <w:rPr>
            <w:noProof/>
            <w:webHidden/>
          </w:rPr>
          <w:fldChar w:fldCharType="separate"/>
        </w:r>
        <w:r w:rsidR="00CD0B01">
          <w:rPr>
            <w:noProof/>
            <w:webHidden/>
          </w:rPr>
          <w:t>23</w:t>
        </w:r>
        <w:r>
          <w:rPr>
            <w:noProof/>
            <w:webHidden/>
          </w:rPr>
          <w:fldChar w:fldCharType="end"/>
        </w:r>
      </w:hyperlink>
    </w:p>
    <w:p w14:paraId="03D9A86A" w14:textId="23925C74"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82" w:history="1">
        <w:r w:rsidRPr="00504FB6">
          <w:rPr>
            <w:rStyle w:val="Hyperlink"/>
            <w:noProof/>
          </w:rPr>
          <w:t>Appendix D: Board Meetings and Stakeholder Events</w:t>
        </w:r>
        <w:r>
          <w:rPr>
            <w:noProof/>
            <w:webHidden/>
          </w:rPr>
          <w:tab/>
        </w:r>
        <w:r>
          <w:rPr>
            <w:noProof/>
            <w:webHidden/>
          </w:rPr>
          <w:fldChar w:fldCharType="begin"/>
        </w:r>
        <w:r>
          <w:rPr>
            <w:noProof/>
            <w:webHidden/>
          </w:rPr>
          <w:instrText xml:space="preserve"> PAGEREF _Toc212631282 \h </w:instrText>
        </w:r>
        <w:r>
          <w:rPr>
            <w:noProof/>
            <w:webHidden/>
          </w:rPr>
        </w:r>
        <w:r>
          <w:rPr>
            <w:noProof/>
            <w:webHidden/>
          </w:rPr>
          <w:fldChar w:fldCharType="separate"/>
        </w:r>
        <w:r w:rsidR="00CD0B01">
          <w:rPr>
            <w:noProof/>
            <w:webHidden/>
          </w:rPr>
          <w:t>24</w:t>
        </w:r>
        <w:r>
          <w:rPr>
            <w:noProof/>
            <w:webHidden/>
          </w:rPr>
          <w:fldChar w:fldCharType="end"/>
        </w:r>
      </w:hyperlink>
    </w:p>
    <w:p w14:paraId="501EA540" w14:textId="0F2E17BC"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83" w:history="1">
        <w:r w:rsidRPr="00504FB6">
          <w:rPr>
            <w:rStyle w:val="Hyperlink"/>
            <w:noProof/>
          </w:rPr>
          <w:t>Appendix E: Financial Statements</w:t>
        </w:r>
        <w:r>
          <w:rPr>
            <w:noProof/>
            <w:webHidden/>
          </w:rPr>
          <w:tab/>
        </w:r>
        <w:r>
          <w:rPr>
            <w:noProof/>
            <w:webHidden/>
          </w:rPr>
          <w:fldChar w:fldCharType="begin"/>
        </w:r>
        <w:r>
          <w:rPr>
            <w:noProof/>
            <w:webHidden/>
          </w:rPr>
          <w:instrText xml:space="preserve"> PAGEREF _Toc212631283 \h </w:instrText>
        </w:r>
        <w:r>
          <w:rPr>
            <w:noProof/>
            <w:webHidden/>
          </w:rPr>
        </w:r>
        <w:r>
          <w:rPr>
            <w:noProof/>
            <w:webHidden/>
          </w:rPr>
          <w:fldChar w:fldCharType="separate"/>
        </w:r>
        <w:r w:rsidR="00CD0B01">
          <w:rPr>
            <w:noProof/>
            <w:webHidden/>
          </w:rPr>
          <w:t>25</w:t>
        </w:r>
        <w:r>
          <w:rPr>
            <w:noProof/>
            <w:webHidden/>
          </w:rPr>
          <w:fldChar w:fldCharType="end"/>
        </w:r>
      </w:hyperlink>
    </w:p>
    <w:p w14:paraId="42B671AD" w14:textId="24263CAA"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84" w:history="1">
        <w:r w:rsidRPr="00504FB6">
          <w:rPr>
            <w:rStyle w:val="Hyperlink"/>
            <w:noProof/>
          </w:rPr>
          <w:t>Contact details</w:t>
        </w:r>
        <w:r>
          <w:rPr>
            <w:noProof/>
            <w:webHidden/>
          </w:rPr>
          <w:tab/>
        </w:r>
        <w:r>
          <w:rPr>
            <w:noProof/>
            <w:webHidden/>
          </w:rPr>
          <w:fldChar w:fldCharType="begin"/>
        </w:r>
        <w:r>
          <w:rPr>
            <w:noProof/>
            <w:webHidden/>
          </w:rPr>
          <w:instrText xml:space="preserve"> PAGEREF _Toc212631284 \h </w:instrText>
        </w:r>
        <w:r>
          <w:rPr>
            <w:noProof/>
            <w:webHidden/>
          </w:rPr>
        </w:r>
        <w:r>
          <w:rPr>
            <w:noProof/>
            <w:webHidden/>
          </w:rPr>
          <w:fldChar w:fldCharType="separate"/>
        </w:r>
        <w:r w:rsidR="00CD0B01">
          <w:rPr>
            <w:noProof/>
            <w:webHidden/>
          </w:rPr>
          <w:t>27</w:t>
        </w:r>
        <w:r>
          <w:rPr>
            <w:noProof/>
            <w:webHidden/>
          </w:rPr>
          <w:fldChar w:fldCharType="end"/>
        </w:r>
      </w:hyperlink>
    </w:p>
    <w:p w14:paraId="6C33C320" w14:textId="07C74CDD" w:rsidR="00000748" w:rsidRDefault="00000748">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631285" w:history="1">
        <w:r w:rsidRPr="00504FB6">
          <w:rPr>
            <w:rStyle w:val="Hyperlink"/>
            <w:noProof/>
          </w:rPr>
          <w:t>Glossary of terms</w:t>
        </w:r>
        <w:r>
          <w:rPr>
            <w:noProof/>
            <w:webHidden/>
          </w:rPr>
          <w:tab/>
        </w:r>
        <w:r>
          <w:rPr>
            <w:noProof/>
            <w:webHidden/>
          </w:rPr>
          <w:fldChar w:fldCharType="begin"/>
        </w:r>
        <w:r>
          <w:rPr>
            <w:noProof/>
            <w:webHidden/>
          </w:rPr>
          <w:instrText xml:space="preserve"> PAGEREF _Toc212631285 \h </w:instrText>
        </w:r>
        <w:r>
          <w:rPr>
            <w:noProof/>
            <w:webHidden/>
          </w:rPr>
        </w:r>
        <w:r>
          <w:rPr>
            <w:noProof/>
            <w:webHidden/>
          </w:rPr>
          <w:fldChar w:fldCharType="separate"/>
        </w:r>
        <w:r w:rsidR="00CD0B01">
          <w:rPr>
            <w:noProof/>
            <w:webHidden/>
          </w:rPr>
          <w:t>28</w:t>
        </w:r>
        <w:r>
          <w:rPr>
            <w:noProof/>
            <w:webHidden/>
          </w:rPr>
          <w:fldChar w:fldCharType="end"/>
        </w:r>
      </w:hyperlink>
    </w:p>
    <w:p w14:paraId="38B25346" w14:textId="18D19531" w:rsidR="006256BA" w:rsidRDefault="00000748">
      <w:pPr>
        <w:sectPr w:rsidR="006256BA" w:rsidSect="00E219B8">
          <w:headerReference w:type="even" r:id="rId18"/>
          <w:headerReference w:type="default" r:id="rId19"/>
          <w:footerReference w:type="even" r:id="rId20"/>
          <w:footerReference w:type="default" r:id="rId21"/>
          <w:headerReference w:type="first" r:id="rId22"/>
          <w:footerReference w:type="first" r:id="rId23"/>
          <w:pgSz w:w="11909" w:h="16834" w:code="9"/>
          <w:pgMar w:top="1985" w:right="1134" w:bottom="1985" w:left="1134" w:header="1134" w:footer="1134" w:gutter="0"/>
          <w:pgNumType w:fmt="lowerRoman"/>
          <w:cols w:space="708"/>
          <w:titlePg/>
          <w:docGrid w:linePitch="360"/>
        </w:sectPr>
      </w:pPr>
      <w:r>
        <w:rPr>
          <w:rFonts w:asciiTheme="majorHAnsi" w:hAnsiTheme="majorHAnsi"/>
          <w:smallCaps/>
          <w:color w:val="142147" w:themeColor="accent1"/>
          <w:sz w:val="24"/>
          <w14:numForm w14:val="lining"/>
          <w14:numSpacing w14:val="proportional"/>
        </w:rPr>
        <w:fldChar w:fldCharType="end"/>
      </w:r>
    </w:p>
    <w:p w14:paraId="2C31653F" w14:textId="7FAE385D" w:rsidR="007D0FA4" w:rsidRPr="00612E0B" w:rsidRDefault="006F27B9" w:rsidP="00E219B8">
      <w:pPr>
        <w:pStyle w:val="Heading1"/>
        <w:spacing w:before="0"/>
      </w:pPr>
      <w:bookmarkStart w:id="9" w:name="_Toc209006405"/>
      <w:bookmarkStart w:id="10" w:name="_Toc212631272"/>
      <w:r w:rsidRPr="00612E0B">
        <w:lastRenderedPageBreak/>
        <w:t>202</w:t>
      </w:r>
      <w:r w:rsidR="00060F2F">
        <w:t>4</w:t>
      </w:r>
      <w:r w:rsidR="00411947" w:rsidRPr="00612E0B">
        <w:t>–</w:t>
      </w:r>
      <w:r w:rsidRPr="00612E0B">
        <w:t>2</w:t>
      </w:r>
      <w:r w:rsidR="00060F2F">
        <w:t>5</w:t>
      </w:r>
      <w:r w:rsidRPr="00612E0B">
        <w:t xml:space="preserve"> Board overview</w:t>
      </w:r>
      <w:bookmarkEnd w:id="9"/>
      <w:bookmarkEnd w:id="10"/>
    </w:p>
    <w:p w14:paraId="0E58F9D8" w14:textId="14605B5E" w:rsidR="00125ED1" w:rsidRPr="00125ED1" w:rsidRDefault="00AB454B" w:rsidP="00125ED1">
      <w:r>
        <w:rPr>
          <w:noProof/>
        </w:rPr>
        <w:drawing>
          <wp:inline distT="0" distB="0" distL="0" distR="0" wp14:anchorId="4585AE54" wp14:editId="59113181">
            <wp:extent cx="6115178" cy="5617210"/>
            <wp:effectExtent l="0" t="0" r="0" b="0"/>
            <wp:docPr id="1795056612" name="Picture 1" descr="2024-25 Board overview infographic which shows the following: &#10;8-9 Board members; 5 private sector and 3 ex-officio members&#10;We welcomed Jenny Wilkinson PSM, incoming Secretary to the Treasury&#10;We farewelled Rosheen Garnon, Chair for 5 years (2020-2025), Board member since 2017 and&#10;Dr Steven Kennedy PSM, outgoing Secretary to the Treasury&#10;&#10;225 signatories to Voluntary Tax Transparency Code as at 30 June 2025&#10;Signatories by size of signatory:&#10;- 185 Large&#10;- 30 Medium&#10;- 8 Small&#10;Signatories by origin of ultimate holding company:&#10;- 171 Australia&#10;- 45 Foreign&#10;- 7 Australian and Foreign dual listed&#10;- 2 undisclosed&#10;&#10;Stakeholder engagement&#10;The Board held 7 formal stakeholder events in the 2024-25 reporting year which included:&#10;- over 60 stakeholders from 50 organisations &#10;&#10;Formal reviews:&#10; - Publication of the Review of Digital Assets and Transactions in Australia available on the Board's website&#10;- Commenced&#10;the redesign of the Board’s&#10;Voluntary Tax Transparency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56612" name="Picture 1" descr="2024-25 Board overview infographic which shows the following: &#10;8-9 Board members; 5 private sector and 3 ex-officio members&#10;We welcomed Jenny Wilkinson PSM, incoming Secretary to the Treasury&#10;We farewelled Rosheen Garnon, Chair for 5 years (2020-2025), Board member since 2017 and&#10;Dr Steven Kennedy PSM, outgoing Secretary to the Treasury&#10;&#10;225 signatories to Voluntary Tax Transparency Code as at 30 June 2025&#10;Signatories by size of signatory:&#10;- 185 Large&#10;- 30 Medium&#10;- 8 Small&#10;Signatories by origin of ultimate holding company:&#10;- 171 Australia&#10;- 45 Foreign&#10;- 7 Australian and Foreign dual listed&#10;- 2 undisclosed&#10;&#10;Stakeholder engagement&#10;The Board held 7 formal stakeholder events in the 2024-25 reporting year which included:&#10;- over 60 stakeholders from 50 organisations &#10;&#10;Formal reviews:&#10; - Publication of the Review of Digital Assets and Transactions in Australia available on the Board's website&#10;- Commenced&#10;the redesign of the Board’s&#10;Voluntary Tax Transparency Code"/>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6115178" cy="5617210"/>
                    </a:xfrm>
                    <a:prstGeom prst="rect">
                      <a:avLst/>
                    </a:prstGeom>
                    <a:noFill/>
                    <a:ln>
                      <a:noFill/>
                    </a:ln>
                  </pic:spPr>
                </pic:pic>
              </a:graphicData>
            </a:graphic>
          </wp:inline>
        </w:drawing>
      </w:r>
    </w:p>
    <w:p w14:paraId="2B776068" w14:textId="7AF7EAD3" w:rsidR="0074624E" w:rsidRPr="00EC66E6" w:rsidRDefault="0074624E" w:rsidP="00EC66E6">
      <w:r>
        <w:br w:type="page"/>
      </w:r>
    </w:p>
    <w:p w14:paraId="6016E7B3" w14:textId="25C39BF2" w:rsidR="001B0BCD" w:rsidRDefault="00C05B99" w:rsidP="00840DE6">
      <w:pPr>
        <w:pStyle w:val="Heading1"/>
      </w:pPr>
      <w:bookmarkStart w:id="11" w:name="_Toc209006406"/>
      <w:bookmarkStart w:id="12" w:name="_Toc212631273"/>
      <w:r w:rsidRPr="007A2E96">
        <w:lastRenderedPageBreak/>
        <w:t>Message</w:t>
      </w:r>
      <w:r w:rsidR="006F27B9" w:rsidRPr="007A2E96">
        <w:t xml:space="preserve"> from the </w:t>
      </w:r>
      <w:r w:rsidR="00BE3E85" w:rsidRPr="007A2E96">
        <w:t xml:space="preserve">Acting </w:t>
      </w:r>
      <w:r w:rsidR="006F27B9" w:rsidRPr="007A2E96">
        <w:t>Chair</w:t>
      </w:r>
      <w:bookmarkEnd w:id="11"/>
      <w:bookmarkEnd w:id="12"/>
    </w:p>
    <w:tbl>
      <w:tblPr>
        <w:tblW w:w="5000" w:type="pct"/>
        <w:shd w:val="clear" w:color="auto" w:fill="F6F2ED" w:themeFill="accent3" w:themeFillTint="33"/>
        <w:tblCellMar>
          <w:top w:w="284" w:type="dxa"/>
          <w:left w:w="454" w:type="dxa"/>
          <w:bottom w:w="397" w:type="dxa"/>
          <w:right w:w="454" w:type="dxa"/>
        </w:tblCellMar>
        <w:tblLook w:val="01E0" w:firstRow="1" w:lastRow="1" w:firstColumn="1" w:lastColumn="1" w:noHBand="0" w:noVBand="0"/>
      </w:tblPr>
      <w:tblGrid>
        <w:gridCol w:w="9641"/>
      </w:tblGrid>
      <w:tr w:rsidR="002037AE" w:rsidRPr="00BD5ED8" w14:paraId="0DBB75CE" w14:textId="77777777" w:rsidTr="771ACB66">
        <w:tc>
          <w:tcPr>
            <w:tcW w:w="5000" w:type="pct"/>
            <w:shd w:val="clear" w:color="auto" w:fill="F6F2ED" w:themeFill="accent3" w:themeFillTint="33"/>
          </w:tcPr>
          <w:p w14:paraId="1AAD07AD" w14:textId="40114339" w:rsidR="002037AE" w:rsidRPr="002037AE" w:rsidRDefault="002037AE" w:rsidP="002037AE">
            <w:pPr>
              <w:pStyle w:val="BoxHeading1"/>
            </w:pPr>
            <w:bookmarkStart w:id="13" w:name="_Hlk209016044"/>
            <w:r>
              <w:rPr>
                <w:noProof/>
              </w:rPr>
              <w:drawing>
                <wp:anchor distT="0" distB="0" distL="114300" distR="114300" simplePos="0" relativeHeight="251658242" behindDoc="0" locked="0" layoutInCell="1" allowOverlap="1" wp14:anchorId="3C630C47" wp14:editId="044FBBEB">
                  <wp:simplePos x="0" y="0"/>
                  <wp:positionH relativeFrom="column">
                    <wp:posOffset>5715</wp:posOffset>
                  </wp:positionH>
                  <wp:positionV relativeFrom="paragraph">
                    <wp:posOffset>69850</wp:posOffset>
                  </wp:positionV>
                  <wp:extent cx="1439545" cy="1439545"/>
                  <wp:effectExtent l="0" t="0" r="8255" b="8255"/>
                  <wp:wrapSquare wrapText="bothSides"/>
                  <wp:docPr id="592111924" name="Picture 592111924" descr="Andew Mills, Acting Chai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11924" name="Picture 592111924" descr="Andew Mills, Acting Chair, Board of Taxation"/>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43954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54B">
              <w:t>Andrew Mills</w:t>
            </w:r>
          </w:p>
          <w:p w14:paraId="140F3752" w14:textId="5257603E" w:rsidR="00C51F57" w:rsidRDefault="00DB22B9" w:rsidP="000F784E">
            <w:pPr>
              <w:pStyle w:val="BoxText"/>
            </w:pPr>
            <w:r>
              <w:t xml:space="preserve">It is a privilege to </w:t>
            </w:r>
            <w:r w:rsidR="00043B09">
              <w:t>present the 2024-25 Annual Report for the Board of Taxation (the Board). This reporting year reflects a period of significant progress</w:t>
            </w:r>
            <w:r w:rsidR="00AB2543">
              <w:t xml:space="preserve"> </w:t>
            </w:r>
            <w:r w:rsidR="00043B09">
              <w:t xml:space="preserve">and transition for </w:t>
            </w:r>
            <w:r w:rsidR="00C51F57">
              <w:t xml:space="preserve">the Board. </w:t>
            </w:r>
          </w:p>
          <w:p w14:paraId="77E1332C" w14:textId="2B8E8934" w:rsidR="00227A4E" w:rsidRDefault="00781516" w:rsidP="000F784E">
            <w:pPr>
              <w:pStyle w:val="BoxText"/>
            </w:pPr>
            <w:r>
              <w:t>At the outset</w:t>
            </w:r>
            <w:r w:rsidR="00902519">
              <w:t xml:space="preserve">, </w:t>
            </w:r>
            <w:r w:rsidR="00C51F57">
              <w:t>I would like to acknowledge</w:t>
            </w:r>
            <w:r w:rsidR="00902519">
              <w:t xml:space="preserve"> </w:t>
            </w:r>
            <w:r w:rsidR="541D5763">
              <w:t xml:space="preserve">and thank </w:t>
            </w:r>
            <w:r w:rsidR="00EB2EE7">
              <w:t xml:space="preserve">our former Chair, </w:t>
            </w:r>
            <w:r w:rsidR="00902519">
              <w:t xml:space="preserve">Mrs Rosheen </w:t>
            </w:r>
            <w:proofErr w:type="spellStart"/>
            <w:r w:rsidR="00902519">
              <w:t>Garnon</w:t>
            </w:r>
            <w:proofErr w:type="spellEnd"/>
            <w:r w:rsidR="00902519">
              <w:t xml:space="preserve">, </w:t>
            </w:r>
            <w:r w:rsidR="002F38BC">
              <w:t>whose leadershi</w:t>
            </w:r>
            <w:r w:rsidR="008850C2">
              <w:t>p,</w:t>
            </w:r>
            <w:r w:rsidR="002F38BC">
              <w:t xml:space="preserve"> </w:t>
            </w:r>
            <w:r w:rsidR="004E7D26">
              <w:t>strategic vision</w:t>
            </w:r>
            <w:r w:rsidR="008850C2">
              <w:t xml:space="preserve"> and dedication</w:t>
            </w:r>
            <w:r w:rsidR="004E7D26">
              <w:t xml:space="preserve"> have </w:t>
            </w:r>
            <w:r w:rsidR="0073131D">
              <w:t xml:space="preserve">made a profound and lasting contribution to the Board. </w:t>
            </w:r>
            <w:r w:rsidR="1EAA3851">
              <w:t xml:space="preserve">Rosheen was a member of the Board from 2017 and held the role as the Chair from 2020 to 31 March 2025. </w:t>
            </w:r>
            <w:r w:rsidR="0715B67A" w:rsidRPr="006012B9">
              <w:t xml:space="preserve">Both as a member of the Board and as Chair, Rosheen contributed to and led </w:t>
            </w:r>
            <w:proofErr w:type="gramStart"/>
            <w:r w:rsidR="0715B67A" w:rsidRPr="006012B9">
              <w:t>a</w:t>
            </w:r>
            <w:r w:rsidR="004D012F">
              <w:t> </w:t>
            </w:r>
            <w:r w:rsidR="0715B67A" w:rsidRPr="006012B9">
              <w:t>number of</w:t>
            </w:r>
            <w:proofErr w:type="gramEnd"/>
            <w:r w:rsidR="0715B67A" w:rsidRPr="006012B9">
              <w:t xml:space="preserve"> significant reviews and</w:t>
            </w:r>
            <w:r w:rsidR="2A7E4CA4" w:rsidRPr="006012B9">
              <w:t xml:space="preserve"> provided disciplined</w:t>
            </w:r>
            <w:r w:rsidR="0CACE00B" w:rsidRPr="006012B9">
              <w:t>,</w:t>
            </w:r>
            <w:r w:rsidR="2A7E4CA4" w:rsidRPr="006012B9">
              <w:t xml:space="preserve"> evidenced based approaches to </w:t>
            </w:r>
            <w:r w:rsidR="07E1BDE1" w:rsidRPr="006012B9">
              <w:t>complex issues</w:t>
            </w:r>
            <w:r w:rsidR="000D4886" w:rsidRPr="006012B9">
              <w:t>.</w:t>
            </w:r>
            <w:r w:rsidR="000D4886">
              <w:t xml:space="preserve"> </w:t>
            </w:r>
            <w:r w:rsidR="7590458F">
              <w:t>Rosheen was</w:t>
            </w:r>
            <w:r w:rsidR="3D867AD8">
              <w:t xml:space="preserve"> highly</w:t>
            </w:r>
            <w:r w:rsidR="7590458F">
              <w:t xml:space="preserve"> collaborative</w:t>
            </w:r>
            <w:r w:rsidR="28A9E529">
              <w:t>, respectful</w:t>
            </w:r>
            <w:r w:rsidR="7590458F">
              <w:t xml:space="preserve"> and supportive </w:t>
            </w:r>
            <w:r w:rsidR="397510BB">
              <w:t xml:space="preserve">in her approach to stakeholders and </w:t>
            </w:r>
            <w:r w:rsidR="716B3F35">
              <w:t xml:space="preserve">to her fellow </w:t>
            </w:r>
            <w:r w:rsidR="79C931CA">
              <w:t xml:space="preserve">members. </w:t>
            </w:r>
            <w:r w:rsidR="0D43ED2D">
              <w:t>Rosheen’s impact will continue to subsist in the ongoing work of the Board.</w:t>
            </w:r>
          </w:p>
          <w:p w14:paraId="5A8A7C04" w14:textId="6C6D9B6D" w:rsidR="00AD0A23" w:rsidRDefault="00227A4E" w:rsidP="000F784E">
            <w:pPr>
              <w:pStyle w:val="BoxText"/>
            </w:pPr>
            <w:r>
              <w:t xml:space="preserve">I would also like to extend my sincere thanks to Dr Julianne Jaques KC who </w:t>
            </w:r>
            <w:r w:rsidR="00BA7C92">
              <w:t xml:space="preserve">led the Board with integrity and </w:t>
            </w:r>
            <w:r w:rsidR="001B05D1">
              <w:t xml:space="preserve">steadiness over the last three months of the reporting period. </w:t>
            </w:r>
            <w:r w:rsidR="004B3570">
              <w:t>Her leadership ensured continuity and focus during th</w:t>
            </w:r>
            <w:r w:rsidR="00AD6A2D">
              <w:t xml:space="preserve">is transitional phase, enabling the Board and </w:t>
            </w:r>
            <w:proofErr w:type="gramStart"/>
            <w:r w:rsidR="00AD6A2D">
              <w:t xml:space="preserve">Secretariat </w:t>
            </w:r>
            <w:r w:rsidR="004D012F">
              <w:t> </w:t>
            </w:r>
            <w:r w:rsidR="00AD6A2D">
              <w:t>sustain</w:t>
            </w:r>
            <w:proofErr w:type="gramEnd"/>
            <w:r w:rsidR="00AD6A2D">
              <w:t xml:space="preserve"> momentum and continue to deliver str</w:t>
            </w:r>
            <w:r w:rsidR="00AB2543">
              <w:t>o</w:t>
            </w:r>
            <w:r w:rsidR="00AD6A2D">
              <w:t xml:space="preserve">ng outcomes. </w:t>
            </w:r>
          </w:p>
          <w:p w14:paraId="745882C1" w14:textId="319C3955" w:rsidR="00B47B53" w:rsidRDefault="00B47B53" w:rsidP="000F784E">
            <w:pPr>
              <w:pStyle w:val="BoxText"/>
            </w:pPr>
            <w:r w:rsidRPr="006012B9">
              <w:t xml:space="preserve">Dr Jaques KC was a member of the Board since </w:t>
            </w:r>
            <w:r w:rsidR="007A4DCF" w:rsidRPr="006012B9">
              <w:t>2017 and</w:t>
            </w:r>
            <w:r w:rsidR="009460AF" w:rsidRPr="006012B9">
              <w:t xml:space="preserve"> held the role as acting Chair from 1</w:t>
            </w:r>
            <w:r w:rsidR="004D012F">
              <w:t> </w:t>
            </w:r>
            <w:r w:rsidR="009460AF" w:rsidRPr="006012B9">
              <w:t>April</w:t>
            </w:r>
            <w:r w:rsidR="004D012F">
              <w:t> </w:t>
            </w:r>
            <w:r w:rsidR="009460AF" w:rsidRPr="006012B9">
              <w:t>2025 until her term end on 30 September 2025.</w:t>
            </w:r>
            <w:r w:rsidR="009460AF">
              <w:t xml:space="preserve"> </w:t>
            </w:r>
            <w:r w:rsidR="28359757">
              <w:t xml:space="preserve">Julianne contributed her extensive knowledge with the Board on many projects and reviews </w:t>
            </w:r>
            <w:r w:rsidR="67A3FC73">
              <w:t>across both large and private business,</w:t>
            </w:r>
            <w:r w:rsidR="004D012F">
              <w:t> </w:t>
            </w:r>
            <w:r w:rsidR="67A3FC73">
              <w:t>c</w:t>
            </w:r>
            <w:r w:rsidR="28359757">
              <w:t xml:space="preserve">harities and </w:t>
            </w:r>
            <w:r w:rsidR="42BB2DE2">
              <w:t>n</w:t>
            </w:r>
            <w:r w:rsidR="28359757">
              <w:t>ot-for-profits</w:t>
            </w:r>
            <w:r w:rsidR="43EE024E">
              <w:t xml:space="preserve">, </w:t>
            </w:r>
            <w:r w:rsidR="28359757">
              <w:t xml:space="preserve">GST </w:t>
            </w:r>
            <w:r w:rsidR="6EE6047A">
              <w:t xml:space="preserve">and most recently on the </w:t>
            </w:r>
            <w:r w:rsidR="28359757">
              <w:t>Taxation of Digital Assets and Transactions</w:t>
            </w:r>
            <w:r w:rsidR="695FCD08">
              <w:t>.</w:t>
            </w:r>
          </w:p>
          <w:p w14:paraId="5EC449D1" w14:textId="6EB1543C" w:rsidR="00B47B53" w:rsidRPr="006012B9" w:rsidRDefault="28359757" w:rsidP="006012B9">
            <w:pPr>
              <w:pStyle w:val="BoxText"/>
            </w:pPr>
            <w:r>
              <w:t>Julianne</w:t>
            </w:r>
            <w:r w:rsidR="78D436C4">
              <w:t>’s</w:t>
            </w:r>
            <w:r>
              <w:t xml:space="preserve"> dedication</w:t>
            </w:r>
            <w:r w:rsidR="29A69D94">
              <w:t>,</w:t>
            </w:r>
            <w:r>
              <w:t xml:space="preserve"> attention to detail</w:t>
            </w:r>
            <w:r w:rsidR="11230934">
              <w:t xml:space="preserve"> a</w:t>
            </w:r>
            <w:r w:rsidR="37A858A6">
              <w:t>nd</w:t>
            </w:r>
            <w:r w:rsidR="11230934">
              <w:t xml:space="preserve"> unique perspective </w:t>
            </w:r>
            <w:r w:rsidR="3424DDFC">
              <w:t>together with</w:t>
            </w:r>
            <w:r>
              <w:t xml:space="preserve"> </w:t>
            </w:r>
            <w:r w:rsidR="0B16F1AF">
              <w:t xml:space="preserve">her </w:t>
            </w:r>
            <w:r>
              <w:t>loyalty and professionalism</w:t>
            </w:r>
            <w:r w:rsidR="09287AA5">
              <w:t xml:space="preserve"> have all been </w:t>
            </w:r>
            <w:r w:rsidR="36864358">
              <w:t>greatly valued by her fellow Board members.</w:t>
            </w:r>
          </w:p>
          <w:p w14:paraId="0F1043DC" w14:textId="7A97DC8B" w:rsidR="00AD6A2D" w:rsidRDefault="219342C3" w:rsidP="000F784E">
            <w:pPr>
              <w:pStyle w:val="BoxText"/>
            </w:pPr>
            <w:r>
              <w:t>The</w:t>
            </w:r>
            <w:r w:rsidR="005130DA">
              <w:t xml:space="preserve"> Board </w:t>
            </w:r>
            <w:r w:rsidR="30E87A60">
              <w:t>is truly thankful to</w:t>
            </w:r>
            <w:r w:rsidR="005130DA">
              <w:t xml:space="preserve"> Rosheen and Julianne for their valuable contributions </w:t>
            </w:r>
            <w:r w:rsidR="7536346F">
              <w:t xml:space="preserve">and </w:t>
            </w:r>
            <w:r w:rsidR="005130DA">
              <w:t>wish</w:t>
            </w:r>
            <w:r w:rsidR="48C4334C">
              <w:t>es</w:t>
            </w:r>
            <w:r w:rsidR="005130DA">
              <w:t xml:space="preserve"> them both the very best for the future. </w:t>
            </w:r>
          </w:p>
          <w:p w14:paraId="7D313515" w14:textId="71F79C0C" w:rsidR="000D4D2A" w:rsidRDefault="000D4D2A" w:rsidP="009563EA">
            <w:pPr>
              <w:pStyle w:val="BoxText"/>
              <w:spacing w:line="259" w:lineRule="auto"/>
            </w:pPr>
            <w:r>
              <w:t xml:space="preserve">Throughout the reporting year, the Board has deepened and diversified our engagement with stakeholders, broadening the range of voices we collaborate with and the forums in which we operate. By fostering more inclusive and meaningful partnerships, the Board has enhanced our ability to </w:t>
            </w:r>
            <w:r w:rsidR="136C4DA6">
              <w:t>identify</w:t>
            </w:r>
            <w:r>
              <w:t xml:space="preserve"> emerging </w:t>
            </w:r>
            <w:r w:rsidR="00F353F6">
              <w:t xml:space="preserve">issues faced by the </w:t>
            </w:r>
            <w:r>
              <w:t>business and tax communitie</w:t>
            </w:r>
            <w:r w:rsidR="00F353F6">
              <w:t>s and deliver insights that reflect their thoughts</w:t>
            </w:r>
            <w:r>
              <w:t xml:space="preserve"> on the Australian tax system. </w:t>
            </w:r>
            <w:r w:rsidR="00F353F6">
              <w:t xml:space="preserve">The Board’s </w:t>
            </w:r>
            <w:r>
              <w:t xml:space="preserve">increased presence and visibility have strengthened </w:t>
            </w:r>
            <w:r w:rsidR="0072599D">
              <w:t>our</w:t>
            </w:r>
            <w:r>
              <w:t xml:space="preserve"> role as a trusted </w:t>
            </w:r>
            <w:r w:rsidR="000D5842">
              <w:t xml:space="preserve">advisor to </w:t>
            </w:r>
            <w:r w:rsidR="003057FA">
              <w:t xml:space="preserve">the Australian </w:t>
            </w:r>
            <w:r w:rsidR="000D5842">
              <w:t>Government</w:t>
            </w:r>
            <w:r>
              <w:t>.</w:t>
            </w:r>
          </w:p>
          <w:p w14:paraId="63CE6F25" w14:textId="647D34F6" w:rsidR="000D4D2A" w:rsidRDefault="00480185" w:rsidP="000D4D2A">
            <w:pPr>
              <w:pStyle w:val="BoxText"/>
            </w:pPr>
            <w:r>
              <w:lastRenderedPageBreak/>
              <w:t>The Board</w:t>
            </w:r>
            <w:r w:rsidR="009B02EA">
              <w:t xml:space="preserve"> achieved significant milestones in relation to its work program during the reporting year. The </w:t>
            </w:r>
            <w:r w:rsidR="003057FA">
              <w:t>g</w:t>
            </w:r>
            <w:r w:rsidR="0032791B">
              <w:t xml:space="preserve">overnment published the Board’s final report for the </w:t>
            </w:r>
            <w:r w:rsidR="0032791B">
              <w:rPr>
                <w:i/>
                <w:iCs/>
              </w:rPr>
              <w:t>Review of Digital Assets and Transactions in Australia</w:t>
            </w:r>
            <w:r w:rsidR="0032791B">
              <w:t xml:space="preserve"> in March 2025</w:t>
            </w:r>
            <w:r w:rsidR="006754E5">
              <w:t xml:space="preserve">. The publication of the report was long anticipated by stakeholders who showed a keen interest in the </w:t>
            </w:r>
            <w:r w:rsidR="003057FA">
              <w:t>g</w:t>
            </w:r>
            <w:r w:rsidR="00F820B8">
              <w:t>overnment’s response to the review. Details of</w:t>
            </w:r>
            <w:r w:rsidR="00982BF9">
              <w:t> </w:t>
            </w:r>
            <w:r w:rsidR="00F820B8">
              <w:t>the outcomes are provided further in the Annual Report, with full details available on the Board’s</w:t>
            </w:r>
            <w:r w:rsidR="00982BF9">
              <w:t> </w:t>
            </w:r>
            <w:r w:rsidR="00F820B8">
              <w:t xml:space="preserve">website. </w:t>
            </w:r>
          </w:p>
          <w:p w14:paraId="247FAE82" w14:textId="4B141AE5" w:rsidR="00AB2543" w:rsidRDefault="00F820B8" w:rsidP="000D4D2A">
            <w:pPr>
              <w:pStyle w:val="BoxText"/>
            </w:pPr>
            <w:r>
              <w:t xml:space="preserve">Additionally, </w:t>
            </w:r>
            <w:r w:rsidR="008801E0">
              <w:t xml:space="preserve">during the reporting period, </w:t>
            </w:r>
            <w:r>
              <w:t xml:space="preserve">the Board </w:t>
            </w:r>
            <w:r w:rsidR="008801E0">
              <w:t xml:space="preserve">reviewed </w:t>
            </w:r>
            <w:r w:rsidR="00AB2543">
              <w:t xml:space="preserve">and redesigned </w:t>
            </w:r>
            <w:r>
              <w:t>the Voluntary Tax Transparency Code (VTTC)</w:t>
            </w:r>
            <w:r w:rsidR="00AB2543">
              <w:t>. The VTTC was d</w:t>
            </w:r>
            <w:r>
              <w:t>eveloped by the Board in 2016</w:t>
            </w:r>
            <w:r w:rsidR="00AB2543">
              <w:t xml:space="preserve"> and at that time was world leading. However, many domestic and global changes in the transparency landscape resulted in the need for a refresh. The Board held public consultations with a diverse range of stakeholders to ensure that the VTTC would remain relevant for the next decade. Such consultation is invaluable and gives me great comfort that our redesign of the VTTC will be welcome and the reports even more useful into the future.</w:t>
            </w:r>
          </w:p>
          <w:p w14:paraId="2424C58A" w14:textId="3265AAF1" w:rsidR="00F820B8" w:rsidRPr="0032791B" w:rsidRDefault="008801E0" w:rsidP="000D4D2A">
            <w:pPr>
              <w:pStyle w:val="BoxText"/>
            </w:pPr>
            <w:r>
              <w:t xml:space="preserve">The Board delivered the redesigned VTTC to the </w:t>
            </w:r>
            <w:r w:rsidR="003057FA">
              <w:t>g</w:t>
            </w:r>
            <w:r>
              <w:t xml:space="preserve">overnment in August 2025 and </w:t>
            </w:r>
            <w:r w:rsidR="00AB2543">
              <w:t xml:space="preserve">we </w:t>
            </w:r>
            <w:r>
              <w:t xml:space="preserve">look forward to it being published in the next reporting period. </w:t>
            </w:r>
          </w:p>
          <w:p w14:paraId="3AFCEA4C" w14:textId="162F1B4D" w:rsidR="005130DA" w:rsidRDefault="000D4D2A" w:rsidP="000D4D2A">
            <w:pPr>
              <w:pStyle w:val="BoxText"/>
            </w:pPr>
            <w:r>
              <w:t xml:space="preserve">As we look forward, our focus remains on transparency, collaboration, and lasting impact—working alongside our stakeholders to deliver meaningful outcomes that stand the test of time. The achievements captured in this report reflect the dedication of </w:t>
            </w:r>
            <w:r w:rsidR="00473A7A">
              <w:t xml:space="preserve">the Board, the Secretariat and our valued stakeholders, working collaboratively towards </w:t>
            </w:r>
            <w:r w:rsidR="00C43DB2" w:rsidRPr="00C43DB2">
              <w:t>improving the design of taxation laws and their operation.</w:t>
            </w:r>
          </w:p>
          <w:p w14:paraId="79C98531" w14:textId="0C489138" w:rsidR="00AD77F6" w:rsidRDefault="004D012F" w:rsidP="000F784E">
            <w:pPr>
              <w:pStyle w:val="BoxText"/>
            </w:pPr>
            <w:r>
              <w:rPr>
                <w:noProof/>
              </w:rPr>
              <w:drawing>
                <wp:inline distT="0" distB="0" distL="0" distR="0" wp14:anchorId="56F7C6D7" wp14:editId="456F7E61">
                  <wp:extent cx="1422400" cy="459827"/>
                  <wp:effectExtent l="0" t="0" r="0" b="0"/>
                  <wp:docPr id="1778232155" name="Picture 3" descr="Andrew Mil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32155" name="Picture 3" descr="Andrew Mills signature"/>
                          <pic:cNvPicPr/>
                        </pic:nvPicPr>
                        <pic:blipFill>
                          <a:blip r:embed="rId26">
                            <a:extLst>
                              <a:ext uri="{28A0092B-C50C-407E-A947-70E740481C1C}">
                                <a14:useLocalDpi xmlns:a14="http://schemas.microsoft.com/office/drawing/2010/main" val="0"/>
                              </a:ext>
                            </a:extLst>
                          </a:blip>
                          <a:stretch>
                            <a:fillRect/>
                          </a:stretch>
                        </pic:blipFill>
                        <pic:spPr>
                          <a:xfrm>
                            <a:off x="0" y="0"/>
                            <a:ext cx="1461201" cy="472370"/>
                          </a:xfrm>
                          <a:prstGeom prst="rect">
                            <a:avLst/>
                          </a:prstGeom>
                        </pic:spPr>
                      </pic:pic>
                    </a:graphicData>
                  </a:graphic>
                </wp:inline>
              </w:drawing>
            </w:r>
          </w:p>
          <w:p w14:paraId="2DCCD08C" w14:textId="65A4508B" w:rsidR="002037AE" w:rsidRPr="000F784E" w:rsidRDefault="007C66C6" w:rsidP="000F784E">
            <w:pPr>
              <w:pStyle w:val="BoxText"/>
            </w:pPr>
            <w:r w:rsidRPr="000F784E">
              <w:t>Andrew Mills</w:t>
            </w:r>
          </w:p>
          <w:p w14:paraId="54607A32" w14:textId="20BFC281" w:rsidR="002037AE" w:rsidRPr="000F784E" w:rsidRDefault="002037AE" w:rsidP="000F784E">
            <w:pPr>
              <w:pStyle w:val="BoxText"/>
              <w:rPr>
                <w:b/>
                <w:bCs/>
              </w:rPr>
            </w:pPr>
            <w:r w:rsidRPr="000F784E">
              <w:rPr>
                <w:b/>
                <w:bCs/>
              </w:rPr>
              <w:t>Acting Chair,</w:t>
            </w:r>
            <w:r w:rsidR="002568B6" w:rsidRPr="000F784E">
              <w:rPr>
                <w:b/>
                <w:bCs/>
              </w:rPr>
              <w:br/>
            </w:r>
            <w:r w:rsidRPr="000F784E">
              <w:rPr>
                <w:b/>
                <w:bCs/>
              </w:rPr>
              <w:t>Board of Taxation</w:t>
            </w:r>
          </w:p>
          <w:p w14:paraId="56EE4434" w14:textId="036A5F39" w:rsidR="002037AE" w:rsidRPr="00257FED" w:rsidRDefault="00353839" w:rsidP="000F784E">
            <w:pPr>
              <w:pStyle w:val="BoxText"/>
            </w:pPr>
            <w:r w:rsidRPr="000F784E">
              <w:t>October</w:t>
            </w:r>
            <w:r w:rsidR="002037AE" w:rsidRPr="000F784E">
              <w:t xml:space="preserve"> 2025</w:t>
            </w:r>
          </w:p>
        </w:tc>
      </w:tr>
      <w:bookmarkEnd w:id="13"/>
    </w:tbl>
    <w:p w14:paraId="7D5318A7" w14:textId="77777777" w:rsidR="00B74FF8" w:rsidRPr="00AC78B5" w:rsidRDefault="00B74FF8" w:rsidP="00AC78B5">
      <w:r>
        <w:lastRenderedPageBreak/>
        <w:br w:type="page"/>
      </w:r>
    </w:p>
    <w:p w14:paraId="188FF573" w14:textId="49772B23" w:rsidR="002F3E00" w:rsidRDefault="0007759D" w:rsidP="00134FAC">
      <w:pPr>
        <w:pStyle w:val="Heading1"/>
      </w:pPr>
      <w:bookmarkStart w:id="14" w:name="_Toc209006407"/>
      <w:bookmarkStart w:id="15" w:name="_Toc212631274"/>
      <w:r>
        <w:lastRenderedPageBreak/>
        <w:t xml:space="preserve">Message </w:t>
      </w:r>
      <w:r w:rsidR="002F3E00" w:rsidRPr="0091064F">
        <w:t xml:space="preserve">from the </w:t>
      </w:r>
      <w:r w:rsidR="0074624E" w:rsidRPr="0091064F">
        <w:t>Secretary and Tax</w:t>
      </w:r>
      <w:r w:rsidR="004D012F">
        <w:t> </w:t>
      </w:r>
      <w:r w:rsidR="0074624E" w:rsidRPr="0091064F">
        <w:t>Counsel</w:t>
      </w:r>
      <w:bookmarkStart w:id="16" w:name="_Hlk209006824"/>
      <w:bookmarkEnd w:id="14"/>
      <w:bookmarkEnd w:id="15"/>
    </w:p>
    <w:tbl>
      <w:tblPr>
        <w:tblW w:w="5000" w:type="pct"/>
        <w:shd w:val="clear" w:color="auto" w:fill="F6F2ED" w:themeFill="accent3" w:themeFillTint="33"/>
        <w:tblCellMar>
          <w:top w:w="284" w:type="dxa"/>
          <w:left w:w="454" w:type="dxa"/>
          <w:bottom w:w="397" w:type="dxa"/>
          <w:right w:w="454" w:type="dxa"/>
        </w:tblCellMar>
        <w:tblLook w:val="01E0" w:firstRow="1" w:lastRow="1" w:firstColumn="1" w:lastColumn="1" w:noHBand="0" w:noVBand="0"/>
      </w:tblPr>
      <w:tblGrid>
        <w:gridCol w:w="9641"/>
      </w:tblGrid>
      <w:tr w:rsidR="00F330FC" w:rsidRPr="00BD5ED8" w14:paraId="005EFFE4" w14:textId="77777777" w:rsidTr="771ACB66">
        <w:tc>
          <w:tcPr>
            <w:tcW w:w="5000" w:type="pct"/>
            <w:shd w:val="clear" w:color="auto" w:fill="F6F2ED" w:themeFill="accent3" w:themeFillTint="33"/>
          </w:tcPr>
          <w:p w14:paraId="3413EFD7" w14:textId="100C8E44" w:rsidR="00F330FC" w:rsidRPr="002037AE" w:rsidRDefault="00F330FC" w:rsidP="00AB452C">
            <w:pPr>
              <w:pStyle w:val="BoxHeading1"/>
            </w:pPr>
            <w:r w:rsidRPr="006E1679">
              <w:rPr>
                <w:noProof/>
              </w:rPr>
              <w:drawing>
                <wp:anchor distT="0" distB="0" distL="114300" distR="114300" simplePos="0" relativeHeight="251658243" behindDoc="0" locked="0" layoutInCell="1" allowOverlap="1" wp14:anchorId="700E97FD" wp14:editId="35F91A60">
                  <wp:simplePos x="0" y="0"/>
                  <wp:positionH relativeFrom="column">
                    <wp:posOffset>2735</wp:posOffset>
                  </wp:positionH>
                  <wp:positionV relativeFrom="paragraph">
                    <wp:posOffset>74735</wp:posOffset>
                  </wp:positionV>
                  <wp:extent cx="1404224" cy="1440000"/>
                  <wp:effectExtent l="0" t="0" r="5715" b="8255"/>
                  <wp:wrapSquare wrapText="bothSides"/>
                  <wp:docPr id="620290481" name="Picture 620290481" descr="Paul Korganow, Secretary and Tax Counsel, Board Secretar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90481" name="Picture 620290481" descr="Paul Korganow, Secretary and Tax Counsel, Board Secretaria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b="-715"/>
                          <a:stretch/>
                        </pic:blipFill>
                        <pic:spPr bwMode="auto">
                          <a:xfrm>
                            <a:off x="0" y="0"/>
                            <a:ext cx="1404224" cy="14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30FC">
              <w:t>Paul Korganow</w:t>
            </w:r>
          </w:p>
          <w:p w14:paraId="0DB4FEC6" w14:textId="7F532CF6" w:rsidR="00301F11" w:rsidRDefault="00301F11" w:rsidP="000F784E">
            <w:pPr>
              <w:pStyle w:val="BoxText"/>
            </w:pPr>
            <w:r>
              <w:t>The 2024</w:t>
            </w:r>
            <w:r w:rsidR="00FC1B00">
              <w:t>–</w:t>
            </w:r>
            <w:r>
              <w:t>25 reporting year has been a busy and productive year for the Board</w:t>
            </w:r>
            <w:r w:rsidR="00F26FCD">
              <w:t>.</w:t>
            </w:r>
            <w:r>
              <w:t xml:space="preserve"> </w:t>
            </w:r>
          </w:p>
          <w:p w14:paraId="0C1EBECE" w14:textId="2EE10958" w:rsidR="007B1C73" w:rsidRDefault="74D9206A" w:rsidP="000F784E">
            <w:pPr>
              <w:pStyle w:val="BoxText"/>
            </w:pPr>
            <w:r>
              <w:t>Th</w:t>
            </w:r>
            <w:r w:rsidR="265106E5">
              <w:t>e</w:t>
            </w:r>
            <w:r w:rsidR="70325E82">
              <w:t xml:space="preserve"> Board and I met with a diverse range of external stakeholders</w:t>
            </w:r>
            <w:r w:rsidR="26467E8F">
              <w:t>.</w:t>
            </w:r>
            <w:r w:rsidR="492F6509">
              <w:t xml:space="preserve"> </w:t>
            </w:r>
            <w:r w:rsidR="26467E8F" w:rsidRPr="00661AED">
              <w:t xml:space="preserve">Consultation is at the forefront of everything we do at the Board. </w:t>
            </w:r>
            <w:r w:rsidR="49BC176D">
              <w:t>The</w:t>
            </w:r>
            <w:r w:rsidR="26467E8F" w:rsidRPr="00661AED">
              <w:t xml:space="preserve"> Board adds value through the ongoing, </w:t>
            </w:r>
            <w:r w:rsidR="5E6ED195" w:rsidRPr="00661AED">
              <w:t>two-way</w:t>
            </w:r>
            <w:r w:rsidR="26467E8F" w:rsidRPr="00661AED">
              <w:t xml:space="preserve"> dialogue </w:t>
            </w:r>
            <w:r w:rsidR="00B6018D">
              <w:t>it</w:t>
            </w:r>
            <w:r w:rsidR="26467E8F" w:rsidRPr="00661AED">
              <w:t xml:space="preserve"> maintain</w:t>
            </w:r>
            <w:r w:rsidR="00B6018D">
              <w:t>s</w:t>
            </w:r>
            <w:r w:rsidR="26467E8F" w:rsidRPr="00661AED">
              <w:t xml:space="preserve"> </w:t>
            </w:r>
            <w:r w:rsidR="26467E8F" w:rsidRPr="000F784E">
              <w:rPr>
                <w:spacing w:val="-3"/>
              </w:rPr>
              <w:t>with stakeholders across industries, the professions, and the</w:t>
            </w:r>
            <w:r w:rsidR="000F784E" w:rsidRPr="000F784E">
              <w:rPr>
                <w:spacing w:val="-3"/>
              </w:rPr>
              <w:t> </w:t>
            </w:r>
            <w:r w:rsidR="26467E8F" w:rsidRPr="000F784E">
              <w:rPr>
                <w:spacing w:val="-3"/>
              </w:rPr>
              <w:t>community.</w:t>
            </w:r>
            <w:r w:rsidR="26467E8F" w:rsidRPr="00661AED">
              <w:t xml:space="preserve"> </w:t>
            </w:r>
          </w:p>
          <w:p w14:paraId="121D1274" w14:textId="1BD9925A" w:rsidR="00702C08" w:rsidRDefault="00702C08" w:rsidP="000F784E">
            <w:pPr>
              <w:pStyle w:val="BoxText"/>
            </w:pPr>
            <w:r>
              <w:t xml:space="preserve">From my perspective, the key highlights for this year </w:t>
            </w:r>
            <w:r w:rsidR="007B1C73">
              <w:t>include</w:t>
            </w:r>
            <w:r>
              <w:t>:</w:t>
            </w:r>
          </w:p>
          <w:p w14:paraId="43DE710E" w14:textId="59DAE4A0" w:rsidR="002F3AF6" w:rsidRDefault="22B7B93F" w:rsidP="000F784E">
            <w:pPr>
              <w:pStyle w:val="BoxBullet"/>
            </w:pPr>
            <w:r w:rsidRPr="005B0182">
              <w:rPr>
                <w:u w:val="single"/>
              </w:rPr>
              <w:t xml:space="preserve">Our </w:t>
            </w:r>
            <w:r w:rsidR="2137D3BC" w:rsidRPr="005B0182">
              <w:rPr>
                <w:u w:val="single"/>
              </w:rPr>
              <w:t>formal s</w:t>
            </w:r>
            <w:r w:rsidR="41269186" w:rsidRPr="005B0182">
              <w:rPr>
                <w:u w:val="single"/>
              </w:rPr>
              <w:t>takeholder engagement</w:t>
            </w:r>
            <w:r w:rsidR="2137D3BC" w:rsidRPr="005B0182">
              <w:rPr>
                <w:u w:val="single"/>
              </w:rPr>
              <w:t xml:space="preserve"> sessions</w:t>
            </w:r>
            <w:r w:rsidR="41269186">
              <w:t xml:space="preserve">: </w:t>
            </w:r>
            <w:r w:rsidR="15DAB258">
              <w:t>We</w:t>
            </w:r>
            <w:r w:rsidR="00FC1B00">
              <w:t>’</w:t>
            </w:r>
            <w:r w:rsidR="15DAB258">
              <w:t>ve</w:t>
            </w:r>
            <w:r w:rsidR="41269186">
              <w:t xml:space="preserve"> host</w:t>
            </w:r>
            <w:r w:rsidR="15DAB258">
              <w:t>ed</w:t>
            </w:r>
            <w:r w:rsidR="41269186">
              <w:t xml:space="preserve"> a series of </w:t>
            </w:r>
            <w:r w:rsidR="00FC1B00">
              <w:noBreakHyphen/>
            </w:r>
            <w:r w:rsidR="007F2C21">
              <w:t>theme-based</w:t>
            </w:r>
            <w:r w:rsidR="41269186">
              <w:t xml:space="preserve"> </w:t>
            </w:r>
            <w:r w:rsidR="7B302286">
              <w:t xml:space="preserve">stakeholder </w:t>
            </w:r>
            <w:r w:rsidR="41269186">
              <w:t xml:space="preserve">events around the country. </w:t>
            </w:r>
            <w:r w:rsidR="4ABD0947">
              <w:t xml:space="preserve">These sessions </w:t>
            </w:r>
            <w:r w:rsidR="0CD885D4">
              <w:t>are a</w:t>
            </w:r>
            <w:r w:rsidR="4ABD0947">
              <w:t xml:space="preserve"> great way to connect with different parts of the business and wider community to hear about current issues and emerging trends. </w:t>
            </w:r>
          </w:p>
          <w:p w14:paraId="04DAFA1A" w14:textId="7C083FA2" w:rsidR="00D23C34" w:rsidRDefault="0088530F" w:rsidP="000F784E">
            <w:pPr>
              <w:pStyle w:val="BoxBullet"/>
              <w:numPr>
                <w:ilvl w:val="0"/>
                <w:numId w:val="0"/>
              </w:numPr>
              <w:ind w:left="284"/>
            </w:pPr>
            <w:r>
              <w:t xml:space="preserve">Stakeholder groups </w:t>
            </w:r>
            <w:r w:rsidR="009C790C">
              <w:t xml:space="preserve">the Board </w:t>
            </w:r>
            <w:r w:rsidR="008D52D6">
              <w:t>engaged with included</w:t>
            </w:r>
            <w:r>
              <w:t xml:space="preserve"> </w:t>
            </w:r>
            <w:r w:rsidR="002B1621">
              <w:t xml:space="preserve">Private </w:t>
            </w:r>
            <w:r w:rsidR="00B74E0F">
              <w:t>Wealth</w:t>
            </w:r>
            <w:r w:rsidR="002B1621">
              <w:t>, Academ</w:t>
            </w:r>
            <w:r w:rsidR="001C3012">
              <w:t>ics</w:t>
            </w:r>
            <w:r w:rsidR="002B1621">
              <w:t>, the</w:t>
            </w:r>
            <w:r w:rsidR="00982BF9">
              <w:t> </w:t>
            </w:r>
            <w:r w:rsidR="00B74E0F">
              <w:t>Oil</w:t>
            </w:r>
            <w:r w:rsidR="00982BF9">
              <w:t> </w:t>
            </w:r>
            <w:r w:rsidR="002B1621">
              <w:t>&amp;</w:t>
            </w:r>
            <w:r w:rsidR="00982BF9">
              <w:t> </w:t>
            </w:r>
            <w:r w:rsidR="002B1621">
              <w:t>Gas industry</w:t>
            </w:r>
            <w:r w:rsidR="00AA394D">
              <w:t xml:space="preserve">, Professional </w:t>
            </w:r>
            <w:r w:rsidR="001C3012">
              <w:t>A</w:t>
            </w:r>
            <w:r w:rsidR="0006679B">
              <w:t>ssociations</w:t>
            </w:r>
            <w:r w:rsidR="00B74E0F">
              <w:t>, Digital Service Providers</w:t>
            </w:r>
            <w:r w:rsidR="0006679B">
              <w:t xml:space="preserve"> and the Superannuation Industry. </w:t>
            </w:r>
            <w:r w:rsidR="00301F11">
              <w:t xml:space="preserve">A highlight of the event schedule was meeting with the Noongar Chamber of Commerce and Industry in Perth who raised awareness about the </w:t>
            </w:r>
            <w:r w:rsidR="00FC2923">
              <w:t>issues</w:t>
            </w:r>
            <w:r w:rsidR="00301F11">
              <w:t xml:space="preserve"> faced by</w:t>
            </w:r>
            <w:r w:rsidR="00982BF9">
              <w:t> </w:t>
            </w:r>
            <w:r w:rsidR="00301F11">
              <w:t xml:space="preserve">indigenous business communities across Western Australia. </w:t>
            </w:r>
            <w:r w:rsidR="00D23C34">
              <w:t xml:space="preserve">What we hear from </w:t>
            </w:r>
            <w:r w:rsidR="00F333B1">
              <w:t>these stakeholder sessions</w:t>
            </w:r>
            <w:r w:rsidR="00D23C34">
              <w:t xml:space="preserve"> informs </w:t>
            </w:r>
            <w:r w:rsidR="00737C1E">
              <w:t>the Board’s</w:t>
            </w:r>
            <w:r w:rsidR="00D23C34">
              <w:t xml:space="preserve"> future work program and allows </w:t>
            </w:r>
            <w:r w:rsidR="00DA2111">
              <w:t>it</w:t>
            </w:r>
            <w:r w:rsidR="00D23C34">
              <w:t xml:space="preserve"> to provide timely</w:t>
            </w:r>
            <w:r w:rsidR="00982BF9">
              <w:t> </w:t>
            </w:r>
            <w:r w:rsidR="00D23C34">
              <w:t xml:space="preserve">feedback to </w:t>
            </w:r>
            <w:r w:rsidR="003057FA">
              <w:t>g</w:t>
            </w:r>
            <w:r w:rsidR="00D23C34">
              <w:t xml:space="preserve">overnment as part of </w:t>
            </w:r>
            <w:r w:rsidR="00E43887">
              <w:t>the Board’s</w:t>
            </w:r>
            <w:r w:rsidR="00D23C34">
              <w:t xml:space="preserve"> role as a trusted advisor.</w:t>
            </w:r>
          </w:p>
          <w:p w14:paraId="0E2C120D" w14:textId="4D440C6D" w:rsidR="000968B2" w:rsidRDefault="000933FB" w:rsidP="000968B2">
            <w:pPr>
              <w:pStyle w:val="BoxBullet"/>
            </w:pPr>
            <w:r>
              <w:rPr>
                <w:u w:val="single"/>
              </w:rPr>
              <w:t xml:space="preserve">Voluntary Tax </w:t>
            </w:r>
            <w:r w:rsidR="002C2B06" w:rsidRPr="00E42ABB">
              <w:rPr>
                <w:u w:val="single"/>
              </w:rPr>
              <w:t>Transparenc</w:t>
            </w:r>
            <w:r w:rsidR="002C2B06" w:rsidRPr="005D2920">
              <w:rPr>
                <w:u w:val="single"/>
              </w:rPr>
              <w:t>y</w:t>
            </w:r>
            <w:r w:rsidR="005D2920" w:rsidRPr="005D2920">
              <w:rPr>
                <w:u w:val="single"/>
              </w:rPr>
              <w:t xml:space="preserve"> </w:t>
            </w:r>
            <w:r w:rsidRPr="005D2920">
              <w:rPr>
                <w:u w:val="single"/>
              </w:rPr>
              <w:t>Code</w:t>
            </w:r>
            <w:r w:rsidR="005D2920">
              <w:t xml:space="preserve">: </w:t>
            </w:r>
            <w:r w:rsidR="003C1B6A">
              <w:t>T</w:t>
            </w:r>
            <w:r w:rsidR="00CE5F1C">
              <w:t>h</w:t>
            </w:r>
            <w:r w:rsidR="00B82497">
              <w:t xml:space="preserve">e </w:t>
            </w:r>
            <w:r w:rsidR="00CE5F1C">
              <w:t xml:space="preserve">Board </w:t>
            </w:r>
            <w:r w:rsidR="00E14774">
              <w:t>commenced a</w:t>
            </w:r>
            <w:r w:rsidR="00CE5F1C">
              <w:t xml:space="preserve"> review of the Voluntary Tax Transparency Code </w:t>
            </w:r>
            <w:r w:rsidR="00F4670D">
              <w:t>(VTTC)</w:t>
            </w:r>
            <w:r w:rsidR="00CE5F1C">
              <w:t xml:space="preserve">. </w:t>
            </w:r>
            <w:r w:rsidR="00E14774">
              <w:t xml:space="preserve">The VTTC </w:t>
            </w:r>
            <w:r w:rsidR="00CF605A">
              <w:t>was developed by the Board in 2016</w:t>
            </w:r>
            <w:r w:rsidR="005B021C">
              <w:t xml:space="preserve">. </w:t>
            </w:r>
            <w:r w:rsidR="00CF605A">
              <w:t>At that time, the</w:t>
            </w:r>
            <w:r w:rsidR="00982BF9">
              <w:t> </w:t>
            </w:r>
            <w:r w:rsidR="00CF605A">
              <w:t xml:space="preserve">VTTC was the most comprehensive and advanced corporate tax transparency measure globally. However, the Australian and global tax transparency landscape has evolved significantly since </w:t>
            </w:r>
            <w:r w:rsidR="00B82783">
              <w:t>2016,</w:t>
            </w:r>
            <w:r w:rsidR="003B6669">
              <w:t xml:space="preserve"> and the Board </w:t>
            </w:r>
            <w:r w:rsidR="00353771">
              <w:t xml:space="preserve">realised that it needed to modernise </w:t>
            </w:r>
            <w:r w:rsidR="00FC6EDB">
              <w:t xml:space="preserve">the VTTC. </w:t>
            </w:r>
            <w:r w:rsidR="00FA0083">
              <w:t>The</w:t>
            </w:r>
            <w:r w:rsidR="00982BF9">
              <w:t> </w:t>
            </w:r>
            <w:r w:rsidR="00FA0083">
              <w:t xml:space="preserve">Board </w:t>
            </w:r>
            <w:r w:rsidR="00E14774">
              <w:t>redesign</w:t>
            </w:r>
            <w:r w:rsidR="003B034F">
              <w:t>ed</w:t>
            </w:r>
            <w:r w:rsidR="00E14774">
              <w:t xml:space="preserve"> the VTTC </w:t>
            </w:r>
            <w:r w:rsidR="003C489B">
              <w:t>(simplify</w:t>
            </w:r>
            <w:r w:rsidR="00DE36A0">
              <w:t>ing</w:t>
            </w:r>
            <w:r w:rsidR="003C489B">
              <w:t xml:space="preserve"> and streamlin</w:t>
            </w:r>
            <w:r w:rsidR="00DE36A0">
              <w:t>ing</w:t>
            </w:r>
            <w:r w:rsidR="003C489B">
              <w:t xml:space="preserve"> </w:t>
            </w:r>
            <w:r w:rsidR="00DE36A0">
              <w:t xml:space="preserve">to reduce </w:t>
            </w:r>
            <w:r w:rsidR="003C489B">
              <w:t>duplication</w:t>
            </w:r>
            <w:r w:rsidR="007C6608">
              <w:t xml:space="preserve"> and compliance burden) </w:t>
            </w:r>
            <w:r w:rsidR="00E14774">
              <w:t>and delivered the finalised product to the Treasurer in August 2025.</w:t>
            </w:r>
            <w:r w:rsidR="003B034F">
              <w:t xml:space="preserve"> </w:t>
            </w:r>
            <w:r w:rsidR="007F2483">
              <w:t>The</w:t>
            </w:r>
            <w:r w:rsidR="00982BF9">
              <w:t> </w:t>
            </w:r>
            <w:r w:rsidR="00CE5F1C">
              <w:t xml:space="preserve">finalised VTTC </w:t>
            </w:r>
            <w:r w:rsidR="00B83378">
              <w:t xml:space="preserve">is expected to be </w:t>
            </w:r>
            <w:r w:rsidR="00CE5F1C">
              <w:t>published in the 2025</w:t>
            </w:r>
            <w:r w:rsidR="000F784E">
              <w:t>–</w:t>
            </w:r>
            <w:r w:rsidR="00CE5F1C">
              <w:t xml:space="preserve">26 reporting period. </w:t>
            </w:r>
          </w:p>
          <w:p w14:paraId="5E9070EC" w14:textId="393C96A5" w:rsidR="00301F11" w:rsidRDefault="000968B2" w:rsidP="000968B2">
            <w:pPr>
              <w:pStyle w:val="BoxBullet"/>
            </w:pPr>
            <w:r w:rsidRPr="000968B2">
              <w:rPr>
                <w:u w:val="single"/>
              </w:rPr>
              <w:t>C</w:t>
            </w:r>
            <w:r w:rsidR="002E663A" w:rsidRPr="000968B2">
              <w:rPr>
                <w:u w:val="single"/>
              </w:rPr>
              <w:t>ommunications and Transparency</w:t>
            </w:r>
            <w:r w:rsidRPr="000968B2">
              <w:rPr>
                <w:u w:val="single"/>
              </w:rPr>
              <w:t>:</w:t>
            </w:r>
            <w:r>
              <w:t xml:space="preserve"> </w:t>
            </w:r>
            <w:r w:rsidR="00E34008">
              <w:t>The Board and I have also found new ways to promote the work of the Board</w:t>
            </w:r>
            <w:r w:rsidR="00EF098A">
              <w:t xml:space="preserve">. </w:t>
            </w:r>
            <w:r w:rsidR="00702476">
              <w:t>In August 2024, I was invited to appear on CPA Australia</w:t>
            </w:r>
            <w:r w:rsidR="00FC1B00">
              <w:t>’</w:t>
            </w:r>
            <w:r w:rsidR="00702476">
              <w:t>s Podcast series where I shared with listeners the role of the Board and the importance of our work.</w:t>
            </w:r>
            <w:r w:rsidR="0052246B">
              <w:t xml:space="preserve"> The</w:t>
            </w:r>
            <w:r w:rsidR="00982BF9">
              <w:t> </w:t>
            </w:r>
            <w:r w:rsidR="0052246B">
              <w:t>Board’s</w:t>
            </w:r>
            <w:r w:rsidR="0015782B">
              <w:t xml:space="preserve"> rebranded newsletter,</w:t>
            </w:r>
            <w:r w:rsidR="00702476">
              <w:t xml:space="preserve"> </w:t>
            </w:r>
            <w:r w:rsidR="00D55748">
              <w:t>‘</w:t>
            </w:r>
            <w:r w:rsidR="0015782B">
              <w:t xml:space="preserve">the </w:t>
            </w:r>
            <w:r w:rsidR="00702476">
              <w:t>Board Bulletin</w:t>
            </w:r>
            <w:r w:rsidR="00D55748">
              <w:t>’</w:t>
            </w:r>
            <w:r w:rsidR="0015782B">
              <w:t>,</w:t>
            </w:r>
            <w:r w:rsidR="00702476">
              <w:t xml:space="preserve"> is </w:t>
            </w:r>
            <w:r w:rsidR="0015782B">
              <w:t xml:space="preserve">also </w:t>
            </w:r>
            <w:r w:rsidR="00702476">
              <w:t>available on the Board</w:t>
            </w:r>
            <w:r w:rsidR="00FC1B00">
              <w:t>’</w:t>
            </w:r>
            <w:r w:rsidR="00702476">
              <w:t>s website</w:t>
            </w:r>
            <w:r w:rsidR="00C008BA">
              <w:t xml:space="preserve"> and shares the themes raised in our formal stakeholder engagements.</w:t>
            </w:r>
          </w:p>
          <w:p w14:paraId="37FD02C8" w14:textId="2C1D5BE9" w:rsidR="00A26386" w:rsidRDefault="00301F11" w:rsidP="000F784E">
            <w:pPr>
              <w:pStyle w:val="BoxBullet"/>
            </w:pPr>
            <w:r w:rsidRPr="00C008BA">
              <w:rPr>
                <w:u w:val="single"/>
              </w:rPr>
              <w:lastRenderedPageBreak/>
              <w:t xml:space="preserve">Publication of the </w:t>
            </w:r>
            <w:r w:rsidR="00D55748">
              <w:rPr>
                <w:u w:val="single"/>
              </w:rPr>
              <w:t>‘</w:t>
            </w:r>
            <w:r w:rsidR="00394816" w:rsidRPr="00C008BA">
              <w:rPr>
                <w:u w:val="single"/>
              </w:rPr>
              <w:t>Crypto</w:t>
            </w:r>
            <w:r w:rsidRPr="00C008BA">
              <w:rPr>
                <w:u w:val="single"/>
              </w:rPr>
              <w:t xml:space="preserve"> </w:t>
            </w:r>
            <w:r w:rsidR="00394816" w:rsidRPr="00C008BA">
              <w:rPr>
                <w:u w:val="single"/>
              </w:rPr>
              <w:t>R</w:t>
            </w:r>
            <w:r w:rsidRPr="00C008BA">
              <w:rPr>
                <w:u w:val="single"/>
              </w:rPr>
              <w:t>eport</w:t>
            </w:r>
            <w:r w:rsidR="00D55748">
              <w:rPr>
                <w:u w:val="single"/>
              </w:rPr>
              <w:t>’</w:t>
            </w:r>
            <w:r w:rsidRPr="00C008BA">
              <w:t>:</w:t>
            </w:r>
            <w:r>
              <w:t xml:space="preserve"> The </w:t>
            </w:r>
            <w:r w:rsidR="003057FA">
              <w:t>g</w:t>
            </w:r>
            <w:r>
              <w:t>overnment publi</w:t>
            </w:r>
            <w:r w:rsidR="0053614A">
              <w:t xml:space="preserve">shed </w:t>
            </w:r>
            <w:r>
              <w:t>the Board</w:t>
            </w:r>
            <w:r w:rsidR="00FC1B00">
              <w:t>’</w:t>
            </w:r>
            <w:r>
              <w:t xml:space="preserve">s review of the taxation of digital assets and transactions in Australia final report, on 21 March 2025. A significant amount of work went into preparing the final report after an extensive consultation process with domestic and international stakeholders. The final report, including the </w:t>
            </w:r>
            <w:r w:rsidR="003057FA">
              <w:t>g</w:t>
            </w:r>
            <w:r>
              <w:t>overnment</w:t>
            </w:r>
            <w:r w:rsidR="00FC1B00">
              <w:t>’</w:t>
            </w:r>
            <w:r>
              <w:t>s response, is available on the Board</w:t>
            </w:r>
            <w:r w:rsidR="00FC1B00">
              <w:t>’</w:t>
            </w:r>
            <w:r>
              <w:t>s website</w:t>
            </w:r>
            <w:r w:rsidR="00376C51">
              <w:t xml:space="preserve"> </w:t>
            </w:r>
          </w:p>
          <w:p w14:paraId="190D9FDE" w14:textId="41200B99" w:rsidR="00301F11" w:rsidRDefault="00301F11" w:rsidP="000F784E">
            <w:pPr>
              <w:pStyle w:val="BoxText"/>
            </w:pPr>
            <w:r>
              <w:t>Lastly, during the later months of the reporting year, we farewelled our former Chair Mrs</w:t>
            </w:r>
            <w:r w:rsidR="000F784E">
              <w:t> </w:t>
            </w:r>
            <w:r>
              <w:t xml:space="preserve">Rosheen </w:t>
            </w:r>
            <w:proofErr w:type="spellStart"/>
            <w:r>
              <w:t>Garnon</w:t>
            </w:r>
            <w:proofErr w:type="spellEnd"/>
            <w:r w:rsidR="004D427C">
              <w:t xml:space="preserve">. </w:t>
            </w:r>
            <w:r>
              <w:t>Rosheen played a significant role in shaping the Board</w:t>
            </w:r>
            <w:r w:rsidR="00FC1B00">
              <w:t>’</w:t>
            </w:r>
            <w:r>
              <w:t>s direction and development of the forward work program and I feel privileged to have been able to work alongside her. Following on from Rosheen</w:t>
            </w:r>
            <w:r w:rsidR="00FC1B00">
              <w:t>’</w:t>
            </w:r>
            <w:r>
              <w:t>s departure, Dr Julianne Jaques KC was appointed as acting Chair from 1 April 2025. Dr Jaques was also a long</w:t>
            </w:r>
            <w:r w:rsidR="00FC1B00">
              <w:noBreakHyphen/>
            </w:r>
            <w:r>
              <w:t>standing member of the Board who first was appointed in 2017. Dr Jaques</w:t>
            </w:r>
            <w:r w:rsidR="00FC1B00">
              <w:t>’</w:t>
            </w:r>
            <w:r>
              <w:t xml:space="preserve"> term ended on 30 September 2025. The Secretariat and I wish both Rosheen and Julianne well in their future endeavours. </w:t>
            </w:r>
          </w:p>
          <w:p w14:paraId="100F7B21" w14:textId="1D30B459" w:rsidR="00BB3D8E" w:rsidRPr="000F784E" w:rsidRDefault="004D012F" w:rsidP="000F784E">
            <w:pPr>
              <w:pStyle w:val="BoxText"/>
            </w:pPr>
            <w:r>
              <w:rPr>
                <w:noProof/>
              </w:rPr>
              <w:drawing>
                <wp:inline distT="0" distB="0" distL="0" distR="0" wp14:anchorId="708369D5" wp14:editId="6EE67E7C">
                  <wp:extent cx="1174750" cy="317952"/>
                  <wp:effectExtent l="0" t="0" r="6350" b="6350"/>
                  <wp:docPr id="1889825519" name="Picture 5" descr="Paul Korganow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25519" name="Picture 5" descr="Paul Korganow signatur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10992" cy="327761"/>
                          </a:xfrm>
                          <a:prstGeom prst="rect">
                            <a:avLst/>
                          </a:prstGeom>
                        </pic:spPr>
                      </pic:pic>
                    </a:graphicData>
                  </a:graphic>
                </wp:inline>
              </w:drawing>
            </w:r>
          </w:p>
          <w:p w14:paraId="1A766A61" w14:textId="2481AAF4" w:rsidR="00F330FC" w:rsidRPr="000F784E" w:rsidRDefault="00F330FC" w:rsidP="000F784E">
            <w:pPr>
              <w:pStyle w:val="BoxText"/>
            </w:pPr>
            <w:r w:rsidRPr="000F784E">
              <w:t>Paul Korganow</w:t>
            </w:r>
          </w:p>
          <w:p w14:paraId="17917E32" w14:textId="6AB3C1CD" w:rsidR="00F330FC" w:rsidRPr="000F784E" w:rsidRDefault="00F330FC" w:rsidP="000F784E">
            <w:pPr>
              <w:pStyle w:val="BoxText"/>
              <w:rPr>
                <w:b/>
                <w:bCs/>
              </w:rPr>
            </w:pPr>
            <w:r w:rsidRPr="000F784E">
              <w:rPr>
                <w:b/>
                <w:bCs/>
              </w:rPr>
              <w:t>Secretary and Tax Counsel,</w:t>
            </w:r>
            <w:r w:rsidR="002568B6" w:rsidRPr="000F784E">
              <w:rPr>
                <w:b/>
                <w:bCs/>
              </w:rPr>
              <w:br/>
            </w:r>
            <w:r w:rsidRPr="000F784E">
              <w:rPr>
                <w:b/>
                <w:bCs/>
              </w:rPr>
              <w:t>Board Secretariat</w:t>
            </w:r>
          </w:p>
          <w:p w14:paraId="37317B96" w14:textId="365A21FA" w:rsidR="00F330FC" w:rsidRPr="00257FED" w:rsidRDefault="0003030A" w:rsidP="000F784E">
            <w:pPr>
              <w:pStyle w:val="BoxText"/>
            </w:pPr>
            <w:r w:rsidRPr="000F784E">
              <w:t>October</w:t>
            </w:r>
            <w:r w:rsidR="00F330FC" w:rsidRPr="000F784E">
              <w:t xml:space="preserve"> 2025</w:t>
            </w:r>
          </w:p>
        </w:tc>
      </w:tr>
      <w:bookmarkEnd w:id="16"/>
    </w:tbl>
    <w:p w14:paraId="00B8D00E" w14:textId="69B53D10" w:rsidR="00316C48" w:rsidRPr="00AC78B5" w:rsidRDefault="00316C48" w:rsidP="00AC78B5">
      <w:r>
        <w:lastRenderedPageBreak/>
        <w:br w:type="page"/>
      </w:r>
    </w:p>
    <w:p w14:paraId="715DAF73" w14:textId="2C8EE375" w:rsidR="002F3E00" w:rsidRDefault="002F3E00" w:rsidP="00D6536E">
      <w:pPr>
        <w:pStyle w:val="Heading1"/>
        <w:spacing w:before="360"/>
      </w:pPr>
      <w:bookmarkStart w:id="17" w:name="_Toc209006408"/>
      <w:bookmarkStart w:id="18" w:name="_Toc212631275"/>
      <w:r w:rsidRPr="00872503">
        <w:lastRenderedPageBreak/>
        <w:t>The</w:t>
      </w:r>
      <w:r>
        <w:t xml:space="preserve"> </w:t>
      </w:r>
      <w:r w:rsidRPr="007965ED">
        <w:t>Board</w:t>
      </w:r>
      <w:bookmarkEnd w:id="17"/>
      <w:bookmarkEnd w:id="18"/>
    </w:p>
    <w:p w14:paraId="3220CA43" w14:textId="1199C502" w:rsidR="002F3E00" w:rsidRDefault="002F3E00" w:rsidP="007965ED">
      <w:r w:rsidRPr="005014BA">
        <w:t>The Board is a non</w:t>
      </w:r>
      <w:r w:rsidR="00FC1B00">
        <w:noBreakHyphen/>
      </w:r>
      <w:r w:rsidRPr="005014BA">
        <w:t xml:space="preserve">statutory advisory body charged with contributing a business and broader community perspective to improving the design of taxation laws and their operation. </w:t>
      </w:r>
    </w:p>
    <w:p w14:paraId="31D84B82" w14:textId="77777777" w:rsidR="00F80B84" w:rsidRDefault="00C91128" w:rsidP="007965ED">
      <w:r>
        <w:t xml:space="preserve">The Treasurer appoints members of the Board from the business and wider community. Private sector members are appointed in their personal capacity. </w:t>
      </w:r>
    </w:p>
    <w:p w14:paraId="2EFC2D01" w14:textId="1EFFCDEF" w:rsidR="002F3E00" w:rsidRDefault="002F3E00" w:rsidP="007965ED">
      <w:r w:rsidRPr="005014BA">
        <w:t>Throughout the 202</w:t>
      </w:r>
      <w:r w:rsidR="00C91128">
        <w:t>4</w:t>
      </w:r>
      <w:r w:rsidRPr="005014BA">
        <w:t>–2</w:t>
      </w:r>
      <w:r w:rsidR="00C91128">
        <w:t>5</w:t>
      </w:r>
      <w:r w:rsidRPr="005014BA">
        <w:t xml:space="preserve"> reporting year, the Board comprised between </w:t>
      </w:r>
      <w:r w:rsidR="00FF389C">
        <w:t xml:space="preserve">eight and </w:t>
      </w:r>
      <w:r w:rsidR="007C1FFE">
        <w:t>nine</w:t>
      </w:r>
      <w:r w:rsidRPr="005014BA">
        <w:rPr>
          <w:rStyle w:val="FootnoteReference"/>
        </w:rPr>
        <w:footnoteReference w:id="2"/>
      </w:r>
      <w:r w:rsidR="00F80B84">
        <w:t xml:space="preserve"> members,</w:t>
      </w:r>
      <w:r w:rsidRPr="005014BA">
        <w:t xml:space="preserve"> including </w:t>
      </w:r>
      <w:r w:rsidR="007C1FFE">
        <w:t>three</w:t>
      </w:r>
      <w:r w:rsidR="007965ED">
        <w:t> </w:t>
      </w:r>
      <w:r w:rsidRPr="771ACB66">
        <w:t>ex</w:t>
      </w:r>
      <w:r w:rsidR="5F60C5FE" w:rsidRPr="771ACB66">
        <w:t xml:space="preserve"> </w:t>
      </w:r>
      <w:r w:rsidRPr="771ACB66">
        <w:t>officio</w:t>
      </w:r>
      <w:r w:rsidRPr="005014BA">
        <w:t xml:space="preserve"> members being the Secretary to the Treasury, the Commissioner of Taxation, and the First</w:t>
      </w:r>
      <w:r w:rsidR="007965ED">
        <w:t> </w:t>
      </w:r>
      <w:r w:rsidRPr="005014BA">
        <w:t xml:space="preserve">Parliamentary Counsel </w:t>
      </w:r>
      <w:r>
        <w:t>with</w:t>
      </w:r>
      <w:r w:rsidRPr="005014BA">
        <w:t xml:space="preserve"> the remaining members drawn from the private sector.</w:t>
      </w:r>
    </w:p>
    <w:p w14:paraId="1B574FD7" w14:textId="565950C0" w:rsidR="002F3E00" w:rsidRPr="005014BA" w:rsidRDefault="002F3E00" w:rsidP="007965ED">
      <w:r w:rsidRPr="005014BA">
        <w:t xml:space="preserve">The Board is supported by a Secretariat which is a group primarily </w:t>
      </w:r>
      <w:r w:rsidR="00872D5D">
        <w:t>employed</w:t>
      </w:r>
      <w:r w:rsidR="00872D5D" w:rsidRPr="005014BA">
        <w:t xml:space="preserve"> </w:t>
      </w:r>
      <w:r w:rsidRPr="005014BA">
        <w:t>by the Treasury and supplemented with secondees from the ATO</w:t>
      </w:r>
      <w:r w:rsidR="00106318">
        <w:t xml:space="preserve">. </w:t>
      </w:r>
      <w:r w:rsidR="00114651">
        <w:t>The Secretary and Tax Counsel (S&amp;TC)</w:t>
      </w:r>
      <w:r w:rsidR="00422DDB">
        <w:t xml:space="preserve"> </w:t>
      </w:r>
      <w:r w:rsidR="00783AB5" w:rsidRPr="006B68DF">
        <w:t>leads</w:t>
      </w:r>
      <w:r w:rsidR="00E93E6C">
        <w:t xml:space="preserve"> </w:t>
      </w:r>
      <w:r w:rsidR="00114651">
        <w:t xml:space="preserve">the Secretariat and works closely with the Chair and the Deputy Secretary of Revenue Group in Treasury. </w:t>
      </w:r>
    </w:p>
    <w:p w14:paraId="7F9EA1BA" w14:textId="5D43C1D4" w:rsidR="002F3E00" w:rsidRPr="00F90855" w:rsidRDefault="002F3E00" w:rsidP="00C96BEA">
      <w:r w:rsidRPr="005014BA">
        <w:t>The Charter, which sets out the Board</w:t>
      </w:r>
      <w:r w:rsidR="00FC1B00">
        <w:t>’</w:t>
      </w:r>
      <w:r w:rsidRPr="005014BA">
        <w:t xml:space="preserve">s mission, governs the operations </w:t>
      </w:r>
      <w:r w:rsidRPr="004945D2">
        <w:t>and functions</w:t>
      </w:r>
      <w:r w:rsidRPr="00697F07">
        <w:t xml:space="preserve"> </w:t>
      </w:r>
      <w:r w:rsidRPr="005014BA">
        <w:t xml:space="preserve">of the Board </w:t>
      </w:r>
      <w:r>
        <w:t xml:space="preserve">as </w:t>
      </w:r>
      <w:r w:rsidRPr="005014BA">
        <w:t xml:space="preserve">set out below. The Charter is </w:t>
      </w:r>
      <w:r>
        <w:t>included</w:t>
      </w:r>
      <w:r w:rsidRPr="005014BA">
        <w:t xml:space="preserve"> at</w:t>
      </w:r>
      <w:r w:rsidR="00F90855">
        <w:t xml:space="preserve"> </w:t>
      </w:r>
      <w:hyperlink w:anchor="Appendix_A" w:history="1">
        <w:r w:rsidR="00D15C77" w:rsidRPr="00C96BEA">
          <w:rPr>
            <w:b/>
            <w:bCs/>
          </w:rPr>
          <w:t>Appendix A: The Board’s Charter</w:t>
        </w:r>
      </w:hyperlink>
      <w:r w:rsidR="00C96BEA">
        <w:rPr>
          <w:b/>
          <w:bCs/>
        </w:rPr>
        <w:t>.</w:t>
      </w:r>
      <w:r w:rsidRPr="00F90855">
        <w:t xml:space="preserve"> </w:t>
      </w:r>
    </w:p>
    <w:p w14:paraId="03AF4660" w14:textId="2CD1BC75" w:rsidR="002F3E00" w:rsidRDefault="002F3E00" w:rsidP="00872503">
      <w:pPr>
        <w:pStyle w:val="Heading2"/>
      </w:pPr>
      <w:bookmarkStart w:id="19" w:name="_Toc149905525"/>
      <w:bookmarkStart w:id="20" w:name="_Toc159253841"/>
      <w:bookmarkStart w:id="21" w:name="_Toc209006586"/>
      <w:r>
        <w:t>The Board</w:t>
      </w:r>
      <w:r w:rsidR="00FC1B00">
        <w:t>’</w:t>
      </w:r>
      <w:r>
        <w:t xml:space="preserve">s mission and </w:t>
      </w:r>
      <w:r w:rsidRPr="00872503">
        <w:t>function</w:t>
      </w:r>
      <w:bookmarkEnd w:id="19"/>
      <w:bookmarkEnd w:id="20"/>
      <w:bookmarkEnd w:id="21"/>
    </w:p>
    <w:p w14:paraId="762B7044" w14:textId="1CE8FEBA" w:rsidR="002F3E00" w:rsidRPr="008628D1" w:rsidRDefault="002F3E00" w:rsidP="002F3E00">
      <w:pPr>
        <w:spacing w:after="200"/>
      </w:pPr>
      <w:r w:rsidRPr="008628D1">
        <w:t xml:space="preserve">The Board provides an independent source of advice to </w:t>
      </w:r>
      <w:r w:rsidR="003057FA">
        <w:t xml:space="preserve">the Australian </w:t>
      </w:r>
      <w:r>
        <w:t>G</w:t>
      </w:r>
      <w:r w:rsidRPr="008628D1">
        <w:t>overnment, from a business and broader community perspective, on taxation matters. In doing so the Board provides advice to the Treasurer and Assistant Treasurer on:</w:t>
      </w:r>
    </w:p>
    <w:p w14:paraId="4E250EFD" w14:textId="399449A2" w:rsidR="002F3E00" w:rsidRPr="008628D1" w:rsidRDefault="002F3E00" w:rsidP="00704EE1">
      <w:pPr>
        <w:pStyle w:val="Bullet"/>
      </w:pPr>
      <w:r w:rsidRPr="008628D1">
        <w:t xml:space="preserve">the quality and effectiveness of tax legislation and the processes for its development, including the processes </w:t>
      </w:r>
      <w:r>
        <w:t>of</w:t>
      </w:r>
      <w:r w:rsidRPr="008628D1">
        <w:t xml:space="preserve"> community consultation and other aspects of tax </w:t>
      </w:r>
      <w:proofErr w:type="gramStart"/>
      <w:r w:rsidRPr="008628D1">
        <w:t>design</w:t>
      </w:r>
      <w:r w:rsidR="005D7470">
        <w:t>;</w:t>
      </w:r>
      <w:proofErr w:type="gramEnd"/>
    </w:p>
    <w:p w14:paraId="7EBCEAD4" w14:textId="23173DE2" w:rsidR="002F3E00" w:rsidRDefault="002F3E00" w:rsidP="00704EE1">
      <w:pPr>
        <w:pStyle w:val="Bullet"/>
      </w:pPr>
      <w:r w:rsidRPr="008628D1">
        <w:t xml:space="preserve">improvements to the general integrity and functioning of the taxation </w:t>
      </w:r>
      <w:proofErr w:type="gramStart"/>
      <w:r w:rsidRPr="008628D1">
        <w:t>system</w:t>
      </w:r>
      <w:r w:rsidR="005D7470">
        <w:t>;</w:t>
      </w:r>
      <w:proofErr w:type="gramEnd"/>
    </w:p>
    <w:p w14:paraId="4338AA53" w14:textId="26E6D55C" w:rsidR="002F3E00" w:rsidRDefault="002F3E00" w:rsidP="00704EE1">
      <w:pPr>
        <w:pStyle w:val="Bullet"/>
      </w:pPr>
      <w:r w:rsidRPr="008628D1">
        <w:t>research and other studies commissioned by the Board on topics approved or referred by the Treasurer</w:t>
      </w:r>
      <w:r w:rsidRPr="003C791E">
        <w:t xml:space="preserve"> </w:t>
      </w:r>
      <w:r>
        <w:t>and/or the Assistant Treasurer</w:t>
      </w:r>
      <w:r w:rsidR="005D7470">
        <w:t>;</w:t>
      </w:r>
      <w:r w:rsidR="002002EC">
        <w:t xml:space="preserve"> and </w:t>
      </w:r>
    </w:p>
    <w:p w14:paraId="5A33204E" w14:textId="77777777" w:rsidR="0074150F" w:rsidRDefault="0074150F" w:rsidP="00704EE1">
      <w:pPr>
        <w:pStyle w:val="Bullet"/>
      </w:pPr>
      <w:r w:rsidRPr="008628D1">
        <w:t>other tax matters referred to the Board by the Treasurer</w:t>
      </w:r>
      <w:r>
        <w:t xml:space="preserve"> and/or the Assistant Treasurer.</w:t>
      </w:r>
    </w:p>
    <w:p w14:paraId="2446C2D5" w14:textId="5C138DE0" w:rsidR="002F3E00" w:rsidRPr="0091064F" w:rsidRDefault="002F3E00" w:rsidP="007127DB">
      <w:pPr>
        <w:rPr>
          <w:b/>
          <w:bCs/>
        </w:rPr>
      </w:pPr>
      <w:r>
        <w:t>The Board</w:t>
      </w:r>
      <w:r w:rsidR="00FC1B00">
        <w:t>’</w:t>
      </w:r>
      <w:r>
        <w:t>s</w:t>
      </w:r>
      <w:r w:rsidRPr="008628D1">
        <w:t xml:space="preserve"> activities during the </w:t>
      </w:r>
      <w:r>
        <w:t>202</w:t>
      </w:r>
      <w:r w:rsidR="00EE2C0F">
        <w:t>4</w:t>
      </w:r>
      <w:r w:rsidR="007965ED">
        <w:t>–</w:t>
      </w:r>
      <w:r>
        <w:t>2</w:t>
      </w:r>
      <w:r w:rsidR="00EE2C0F">
        <w:t>5</w:t>
      </w:r>
      <w:r>
        <w:t xml:space="preserve"> reporting</w:t>
      </w:r>
      <w:r w:rsidRPr="008628D1">
        <w:t xml:space="preserve"> year are </w:t>
      </w:r>
      <w:r w:rsidRPr="00F146D5">
        <w:t>de</w:t>
      </w:r>
      <w:r>
        <w:t>tailed</w:t>
      </w:r>
      <w:r w:rsidRPr="00F146D5">
        <w:t xml:space="preserve"> in</w:t>
      </w:r>
      <w:r w:rsidR="000D61BB">
        <w:t xml:space="preserve"> section:</w:t>
      </w:r>
      <w:r w:rsidR="00AC78DB">
        <w:t xml:space="preserve"> </w:t>
      </w:r>
      <w:r w:rsidR="00CD0B01" w:rsidRPr="00CD0B01">
        <w:rPr>
          <w:b/>
          <w:bCs/>
        </w:rPr>
        <w:t>Activities of the Board in</w:t>
      </w:r>
      <w:r w:rsidR="00CD0B01" w:rsidRPr="00AF13D3">
        <w:t xml:space="preserve"> </w:t>
      </w:r>
      <w:r w:rsidR="00CD0B01" w:rsidRPr="00CD0B01">
        <w:rPr>
          <w:b/>
        </w:rPr>
        <w:t>2024</w:t>
      </w:r>
      <w:r w:rsidR="00CD0B01" w:rsidRPr="00CD0B01">
        <w:rPr>
          <w:b/>
          <w:bCs/>
        </w:rPr>
        <w:t>–2</w:t>
      </w:r>
      <w:r w:rsidR="00EE2C0F">
        <w:rPr>
          <w:b/>
          <w:bCs/>
        </w:rPr>
        <w:t>5</w:t>
      </w:r>
      <w:r w:rsidRPr="0091064F">
        <w:rPr>
          <w:b/>
          <w:bCs/>
        </w:rPr>
        <w:t>.</w:t>
      </w:r>
    </w:p>
    <w:p w14:paraId="1162D270" w14:textId="77777777" w:rsidR="002F3E00" w:rsidRDefault="002F3E00" w:rsidP="00070228">
      <w:pPr>
        <w:pStyle w:val="Heading2"/>
      </w:pPr>
      <w:bookmarkStart w:id="22" w:name="_Toc149905526"/>
      <w:bookmarkStart w:id="23" w:name="_Toc159253842"/>
      <w:bookmarkStart w:id="24" w:name="_Toc209006587"/>
      <w:r w:rsidRPr="00E43020">
        <w:lastRenderedPageBreak/>
        <w:t>Board members</w:t>
      </w:r>
      <w:bookmarkEnd w:id="22"/>
      <w:bookmarkEnd w:id="23"/>
      <w:bookmarkEnd w:id="24"/>
    </w:p>
    <w:p w14:paraId="41124043" w14:textId="77777777" w:rsidR="00717FF8" w:rsidRDefault="00717FF8" w:rsidP="00717FF8">
      <w:pPr>
        <w:pStyle w:val="Heading3"/>
      </w:pPr>
      <w:r>
        <w:t>Changes to Board memberships</w:t>
      </w:r>
    </w:p>
    <w:p w14:paraId="1EDA05A8" w14:textId="16A5A87D" w:rsidR="00935F94" w:rsidRPr="00935F94" w:rsidRDefault="00935F94" w:rsidP="007127DB">
      <w:r>
        <w:t>As of 30 June 2025, the Board was comprised of eight Board members: five private sector and three</w:t>
      </w:r>
      <w:r w:rsidR="000F784E">
        <w:t> </w:t>
      </w:r>
      <w:r w:rsidR="004860EF">
        <w:br/>
      </w:r>
      <w:r>
        <w:t>ex</w:t>
      </w:r>
      <w:r w:rsidR="6FC17975">
        <w:t xml:space="preserve"> </w:t>
      </w:r>
      <w:r>
        <w:t>officio members.</w:t>
      </w:r>
    </w:p>
    <w:p w14:paraId="687EF5FE" w14:textId="3EC71531" w:rsidR="00717FF8" w:rsidRDefault="00717FF8" w:rsidP="00717FF8">
      <w:pPr>
        <w:pStyle w:val="Heading4"/>
      </w:pPr>
      <w:r>
        <w:t>Chair</w:t>
      </w:r>
      <w:r w:rsidR="00FE383E">
        <w:t xml:space="preserve"> of the Board</w:t>
      </w:r>
    </w:p>
    <w:p w14:paraId="627B0EE0" w14:textId="00908803" w:rsidR="00FE383E" w:rsidRDefault="00717FF8" w:rsidP="007127DB">
      <w:r>
        <w:t xml:space="preserve">Mrs Rosheen </w:t>
      </w:r>
      <w:proofErr w:type="spellStart"/>
      <w:r>
        <w:t>Garnon</w:t>
      </w:r>
      <w:r w:rsidR="00FC1B00">
        <w:t>’</w:t>
      </w:r>
      <w:r>
        <w:t>s</w:t>
      </w:r>
      <w:proofErr w:type="spellEnd"/>
      <w:r>
        <w:t xml:space="preserve"> </w:t>
      </w:r>
      <w:r w:rsidR="0080517C">
        <w:t>ro</w:t>
      </w:r>
      <w:r>
        <w:t xml:space="preserve">le as Chair and Board member </w:t>
      </w:r>
      <w:r w:rsidR="0080517C">
        <w:t xml:space="preserve">ceased on </w:t>
      </w:r>
      <w:r>
        <w:t>31 March 2025</w:t>
      </w:r>
      <w:r w:rsidR="0080517C">
        <w:t xml:space="preserve"> following the Treasurer accepting her resignation from the Board</w:t>
      </w:r>
      <w:r>
        <w:t xml:space="preserve">. </w:t>
      </w:r>
    </w:p>
    <w:p w14:paraId="35C5257F" w14:textId="661F0215" w:rsidR="00FE383E" w:rsidRDefault="00FE383E" w:rsidP="007127DB">
      <w:r>
        <w:t xml:space="preserve">Mrs </w:t>
      </w:r>
      <w:proofErr w:type="spellStart"/>
      <w:r>
        <w:t>Garnon</w:t>
      </w:r>
      <w:r w:rsidR="00FC1B00">
        <w:t>’</w:t>
      </w:r>
      <w:r>
        <w:t>s</w:t>
      </w:r>
      <w:proofErr w:type="spellEnd"/>
      <w:r>
        <w:t xml:space="preserve"> resignation letter is available on the Board</w:t>
      </w:r>
      <w:r w:rsidR="00FC1B00">
        <w:t>’</w:t>
      </w:r>
      <w:r>
        <w:t xml:space="preserve">s website and highlights her impressive career with </w:t>
      </w:r>
      <w:r w:rsidR="009045B7">
        <w:t>t</w:t>
      </w:r>
      <w:r>
        <w:t>h</w:t>
      </w:r>
      <w:r w:rsidR="009045B7">
        <w:t>e</w:t>
      </w:r>
      <w:r>
        <w:t xml:space="preserve"> Board</w:t>
      </w:r>
      <w:r w:rsidR="005B34EC">
        <w:t xml:space="preserve">. </w:t>
      </w:r>
    </w:p>
    <w:p w14:paraId="26453652" w14:textId="6571EA86" w:rsidR="00FE383E" w:rsidRDefault="00FE383E" w:rsidP="007127DB">
      <w:pPr>
        <w:rPr>
          <w:rFonts w:eastAsia="Calibri"/>
        </w:rPr>
      </w:pPr>
      <w:r>
        <w:t xml:space="preserve">In response to </w:t>
      </w:r>
      <w:r w:rsidR="00717FF8">
        <w:t xml:space="preserve">Mrs </w:t>
      </w:r>
      <w:proofErr w:type="spellStart"/>
      <w:r w:rsidR="00717FF8">
        <w:t>Garnon</w:t>
      </w:r>
      <w:r w:rsidR="00FC1B00">
        <w:t>’</w:t>
      </w:r>
      <w:r w:rsidR="00717FF8">
        <w:t>s</w:t>
      </w:r>
      <w:proofErr w:type="spellEnd"/>
      <w:r w:rsidR="00717FF8">
        <w:t xml:space="preserve"> resignation</w:t>
      </w:r>
      <w:r>
        <w:t xml:space="preserve">, the Treasurer appointed </w:t>
      </w:r>
      <w:r w:rsidRPr="00CC3334">
        <w:rPr>
          <w:rFonts w:eastAsia="Calibri"/>
        </w:rPr>
        <w:t xml:space="preserve">Dr Julianne Jaques KC </w:t>
      </w:r>
      <w:r>
        <w:rPr>
          <w:rFonts w:eastAsia="Calibri"/>
        </w:rPr>
        <w:t>as acting Chair from 1 April 2025 to</w:t>
      </w:r>
      <w:r w:rsidRPr="00CC3334">
        <w:rPr>
          <w:rFonts w:eastAsia="Calibri"/>
        </w:rPr>
        <w:t xml:space="preserve"> 30</w:t>
      </w:r>
      <w:r>
        <w:rPr>
          <w:rFonts w:eastAsia="Calibri"/>
        </w:rPr>
        <w:t> </w:t>
      </w:r>
      <w:r w:rsidRPr="00CC3334">
        <w:rPr>
          <w:rFonts w:eastAsia="Calibri"/>
        </w:rPr>
        <w:t>September</w:t>
      </w:r>
      <w:r>
        <w:rPr>
          <w:rFonts w:eastAsia="Calibri"/>
        </w:rPr>
        <w:t> </w:t>
      </w:r>
      <w:r w:rsidRPr="00CC3334">
        <w:rPr>
          <w:rFonts w:eastAsia="Calibri"/>
        </w:rPr>
        <w:t>2025</w:t>
      </w:r>
      <w:r>
        <w:rPr>
          <w:rFonts w:eastAsia="Calibri"/>
        </w:rPr>
        <w:t xml:space="preserve">. </w:t>
      </w:r>
    </w:p>
    <w:p w14:paraId="1B4AE34A" w14:textId="3C9A275E" w:rsidR="002E4BD2" w:rsidRDefault="002E4BD2" w:rsidP="002E4BD2">
      <w:pPr>
        <w:pStyle w:val="Heading4"/>
      </w:pPr>
      <w:r>
        <w:t>Board</w:t>
      </w:r>
      <w:r w:rsidR="001F35E5">
        <w:t xml:space="preserve"> member</w:t>
      </w:r>
      <w:r>
        <w:t xml:space="preserve"> </w:t>
      </w:r>
      <w:r w:rsidR="001F35E5">
        <w:t>appointments</w:t>
      </w:r>
    </w:p>
    <w:p w14:paraId="1811B4E5" w14:textId="3A6D239F" w:rsidR="001F35E5" w:rsidRDefault="002E4BD2" w:rsidP="001F35E5">
      <w:r>
        <w:t xml:space="preserve">During the 2024–25 reporting year, the </w:t>
      </w:r>
      <w:r w:rsidR="001F35E5">
        <w:t xml:space="preserve">following </w:t>
      </w:r>
      <w:r>
        <w:t xml:space="preserve">Board </w:t>
      </w:r>
      <w:r w:rsidR="001F35E5">
        <w:t xml:space="preserve">members were </w:t>
      </w:r>
      <w:r w:rsidR="7D09346A">
        <w:t>re</w:t>
      </w:r>
      <w:r w:rsidR="001F35E5">
        <w:t xml:space="preserve">appointed: </w:t>
      </w:r>
    </w:p>
    <w:p w14:paraId="1F20B4D1" w14:textId="2250E357" w:rsidR="002E4BD2" w:rsidRPr="002A71DE" w:rsidRDefault="002E4BD2" w:rsidP="001F35E5">
      <w:pPr>
        <w:pStyle w:val="Bullet"/>
      </w:pPr>
      <w:r>
        <w:t>Mr Ian Kellock was re</w:t>
      </w:r>
      <w:r w:rsidR="00FC1B00">
        <w:noBreakHyphen/>
      </w:r>
      <w:r>
        <w:t>appointed for an additional term from 12 August 2024 to 11 August 2027.</w:t>
      </w:r>
    </w:p>
    <w:p w14:paraId="44C58AF8" w14:textId="4BC778D8" w:rsidR="002E4BD2" w:rsidRPr="002A71DE" w:rsidRDefault="002E4BD2" w:rsidP="002E4BD2">
      <w:pPr>
        <w:pStyle w:val="Bullet"/>
      </w:pPr>
      <w:r>
        <w:t>Ms Andrea Laing was re</w:t>
      </w:r>
      <w:r w:rsidR="00FC1B00">
        <w:noBreakHyphen/>
      </w:r>
      <w:r>
        <w:t xml:space="preserve">appointed for an additional term from 21 January 2025 to 20 October 2027. </w:t>
      </w:r>
    </w:p>
    <w:p w14:paraId="3DBE1361" w14:textId="775BD069" w:rsidR="001F35E5" w:rsidRDefault="001F35E5" w:rsidP="001F35E5">
      <w:pPr>
        <w:pStyle w:val="Heading4"/>
      </w:pPr>
      <w:r>
        <w:t>Ex</w:t>
      </w:r>
      <w:r w:rsidR="3A494CF9">
        <w:t xml:space="preserve"> </w:t>
      </w:r>
      <w:r>
        <w:t>officio members</w:t>
      </w:r>
      <w:r w:rsidR="00BB222B">
        <w:t>hip changes</w:t>
      </w:r>
    </w:p>
    <w:p w14:paraId="7214F631" w14:textId="4F5AEB35" w:rsidR="00602183" w:rsidRDefault="00E06682" w:rsidP="007127DB">
      <w:pPr>
        <w:rPr>
          <w:rFonts w:eastAsia="Calibri"/>
        </w:rPr>
      </w:pPr>
      <w:r w:rsidRPr="00E06682">
        <w:rPr>
          <w:rFonts w:eastAsia="Calibri"/>
        </w:rPr>
        <w:t xml:space="preserve">During the 2024–25 reporting period, Dr Steven Kennedy PSM </w:t>
      </w:r>
      <w:r w:rsidR="0093193C">
        <w:rPr>
          <w:rFonts w:eastAsia="Calibri"/>
        </w:rPr>
        <w:t>was</w:t>
      </w:r>
      <w:r>
        <w:rPr>
          <w:rFonts w:eastAsia="Calibri"/>
        </w:rPr>
        <w:t xml:space="preserve"> the Secretary to the Treasury </w:t>
      </w:r>
      <w:r w:rsidRPr="00E06682">
        <w:rPr>
          <w:rFonts w:eastAsia="Calibri"/>
        </w:rPr>
        <w:t>from 1</w:t>
      </w:r>
      <w:r w:rsidR="000F784E">
        <w:rPr>
          <w:rFonts w:eastAsia="Calibri"/>
        </w:rPr>
        <w:t> </w:t>
      </w:r>
      <w:r w:rsidRPr="00E06682">
        <w:rPr>
          <w:rFonts w:eastAsia="Calibri"/>
        </w:rPr>
        <w:t>July</w:t>
      </w:r>
      <w:r w:rsidR="000F784E">
        <w:rPr>
          <w:rFonts w:eastAsia="Calibri"/>
        </w:rPr>
        <w:t> </w:t>
      </w:r>
      <w:r w:rsidRPr="00E06682">
        <w:rPr>
          <w:rFonts w:eastAsia="Calibri"/>
        </w:rPr>
        <w:t>2024 to 1</w:t>
      </w:r>
      <w:r w:rsidR="00602183">
        <w:rPr>
          <w:rFonts w:eastAsia="Calibri"/>
        </w:rPr>
        <w:t>5</w:t>
      </w:r>
      <w:r w:rsidRPr="00E06682">
        <w:rPr>
          <w:rFonts w:eastAsia="Calibri"/>
        </w:rPr>
        <w:t xml:space="preserve"> June 2025. Ms Jenny Wilkinson PSM was appointed </w:t>
      </w:r>
      <w:r w:rsidRPr="00155B14">
        <w:t>as the 20th Secretary to the Treasury</w:t>
      </w:r>
      <w:r w:rsidRPr="00E06682">
        <w:rPr>
          <w:rFonts w:eastAsia="Calibri"/>
        </w:rPr>
        <w:t xml:space="preserve"> on 16</w:t>
      </w:r>
      <w:r w:rsidR="000F784E">
        <w:rPr>
          <w:rFonts w:eastAsia="Calibri"/>
        </w:rPr>
        <w:t> </w:t>
      </w:r>
      <w:r w:rsidRPr="00E06682">
        <w:rPr>
          <w:rFonts w:eastAsia="Calibri"/>
        </w:rPr>
        <w:t>June</w:t>
      </w:r>
      <w:r w:rsidR="000F784E">
        <w:rPr>
          <w:rFonts w:eastAsia="Calibri"/>
        </w:rPr>
        <w:t> </w:t>
      </w:r>
      <w:r w:rsidRPr="00E06682">
        <w:rPr>
          <w:rFonts w:eastAsia="Calibri"/>
        </w:rPr>
        <w:t>2025.</w:t>
      </w:r>
      <w:r w:rsidRPr="00E06682">
        <w:t xml:space="preserve"> </w:t>
      </w:r>
    </w:p>
    <w:p w14:paraId="1FA29D62" w14:textId="78432C0D" w:rsidR="00994C15" w:rsidRDefault="00E06682">
      <w:r>
        <w:t>As a result of this appointment, Jenny also commenced as an ex</w:t>
      </w:r>
      <w:r w:rsidR="417F5BB8">
        <w:t xml:space="preserve"> </w:t>
      </w:r>
      <w:r>
        <w:t xml:space="preserve">officio member of the Board. </w:t>
      </w:r>
      <w:r w:rsidR="00994C15">
        <w:br w:type="page"/>
      </w:r>
    </w:p>
    <w:p w14:paraId="0FC6DF4B" w14:textId="63345F75" w:rsidR="003C414B" w:rsidRDefault="003C414B" w:rsidP="003C414B">
      <w:pPr>
        <w:pStyle w:val="Heading2"/>
      </w:pPr>
      <w:bookmarkStart w:id="25" w:name="_Toc209006588"/>
      <w:r>
        <w:lastRenderedPageBreak/>
        <w:t>Board membership as of 30</w:t>
      </w:r>
      <w:r w:rsidR="00BF1CBC">
        <w:t> </w:t>
      </w:r>
      <w:r>
        <w:t>June</w:t>
      </w:r>
      <w:r w:rsidR="00BF1CBC">
        <w:t> </w:t>
      </w:r>
      <w:r>
        <w:t>202</w:t>
      </w:r>
      <w:r w:rsidR="00EA7F9F">
        <w:t>5</w:t>
      </w:r>
      <w:bookmarkEnd w:id="25"/>
    </w:p>
    <w:p w14:paraId="082F6CEC" w14:textId="34A3D2B9" w:rsidR="00740842" w:rsidRPr="00EA7F9F" w:rsidRDefault="00740842" w:rsidP="00740842">
      <w:pPr>
        <w:pStyle w:val="Heading3"/>
      </w:pPr>
      <w:r>
        <w:t>Private sector Board members</w:t>
      </w:r>
    </w:p>
    <w:tbl>
      <w:tblPr>
        <w:tblStyle w:val="GridTable5Dark-Accent32"/>
        <w:tblW w:w="5000" w:type="pct"/>
        <w:tblLayout w:type="fixed"/>
        <w:tblLook w:val="0620" w:firstRow="1" w:lastRow="0" w:firstColumn="0" w:lastColumn="0" w:noHBand="1" w:noVBand="1"/>
      </w:tblPr>
      <w:tblGrid>
        <w:gridCol w:w="2268"/>
        <w:gridCol w:w="7373"/>
      </w:tblGrid>
      <w:tr w:rsidR="003F5D73" w:rsidRPr="00453C0B" w14:paraId="4C92C760"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sdt>
            <w:sdtPr>
              <w:id w:val="-1286656193"/>
              <w:picture/>
            </w:sdtPr>
            <w:sdtEndPr/>
            <w:sdtContent>
              <w:p w14:paraId="6224D5AD" w14:textId="77777777" w:rsidR="003F5D73" w:rsidRPr="00453C0B" w:rsidRDefault="003F5D73" w:rsidP="008F1B97">
                <w:pPr>
                  <w:spacing w:before="180" w:after="0"/>
                </w:pPr>
                <w:r w:rsidRPr="00453C0B">
                  <w:rPr>
                    <w:noProof/>
                  </w:rPr>
                  <w:drawing>
                    <wp:inline distT="0" distB="0" distL="0" distR="0" wp14:anchorId="35F79E91" wp14:editId="0CC01681">
                      <wp:extent cx="1080000" cy="1080000"/>
                      <wp:effectExtent l="0" t="0" r="6350" b="6350"/>
                      <wp:docPr id="1236130360" name="Picture 1236130360" descr="Dr Julianne Jaques KC, Board member of the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30360" name="Picture 1236130360" descr="Dr Julianne Jaques KC, Board member of the Board of Taxation"/>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3A262C68" w14:textId="77C1AC0C" w:rsidR="003F5D73" w:rsidRPr="00453C0B" w:rsidRDefault="003F5D73" w:rsidP="008F1B97">
            <w:pPr>
              <w:pStyle w:val="TableHeading1"/>
            </w:pPr>
            <w:r w:rsidRPr="003F5D73">
              <w:t>Dr Julianne Jaques KC</w:t>
            </w:r>
          </w:p>
          <w:p w14:paraId="65827476" w14:textId="4215C609" w:rsidR="003F5D73" w:rsidRDefault="004F59CF" w:rsidP="008F1B97">
            <w:pPr>
              <w:pStyle w:val="TableTextLeft"/>
              <w:rPr>
                <w:bCs w:val="0"/>
              </w:rPr>
            </w:pPr>
            <w:r w:rsidRPr="004F59CF">
              <w:t>Private sector Board member</w:t>
            </w:r>
          </w:p>
          <w:p w14:paraId="58BAB52C" w14:textId="42A9113A" w:rsidR="003F5D73" w:rsidRPr="00767886" w:rsidRDefault="003F5D73" w:rsidP="008F1B97">
            <w:pPr>
              <w:pStyle w:val="TableTextLeft"/>
              <w:rPr>
                <w:b/>
                <w:bCs w:val="0"/>
              </w:rPr>
            </w:pPr>
            <w:r w:rsidRPr="00767886">
              <w:rPr>
                <w:b/>
                <w:bCs w:val="0"/>
              </w:rPr>
              <w:t xml:space="preserve">Term start date: </w:t>
            </w:r>
            <w:r w:rsidR="004F59CF" w:rsidRPr="004F59CF">
              <w:rPr>
                <w:b/>
                <w:bCs w:val="0"/>
              </w:rPr>
              <w:t>1</w:t>
            </w:r>
            <w:r w:rsidR="004F59CF">
              <w:rPr>
                <w:b/>
                <w:bCs w:val="0"/>
              </w:rPr>
              <w:t> </w:t>
            </w:r>
            <w:r w:rsidR="004F59CF" w:rsidRPr="004F59CF">
              <w:rPr>
                <w:b/>
                <w:bCs w:val="0"/>
              </w:rPr>
              <w:t>July</w:t>
            </w:r>
            <w:r w:rsidR="004F59CF">
              <w:rPr>
                <w:b/>
                <w:bCs w:val="0"/>
              </w:rPr>
              <w:t> </w:t>
            </w:r>
            <w:r w:rsidR="004F59CF" w:rsidRPr="004F59CF">
              <w:rPr>
                <w:b/>
                <w:bCs w:val="0"/>
              </w:rPr>
              <w:t>2017</w:t>
            </w:r>
          </w:p>
        </w:tc>
        <w:tc>
          <w:tcPr>
            <w:tcW w:w="3824" w:type="pct"/>
          </w:tcPr>
          <w:p w14:paraId="6052A946" w14:textId="33F997CF" w:rsidR="003F5D73" w:rsidRPr="002A68E9" w:rsidRDefault="003F5D73" w:rsidP="002A68E9">
            <w:r w:rsidRPr="002A68E9">
              <w:rPr>
                <w:noProof/>
              </w:rPr>
              <mc:AlternateContent>
                <mc:Choice Requires="wps">
                  <w:drawing>
                    <wp:anchor distT="0" distB="0" distL="114300" distR="114300" simplePos="0" relativeHeight="251658244" behindDoc="0" locked="0" layoutInCell="1" allowOverlap="1" wp14:anchorId="2ACD5F36" wp14:editId="4BC91032">
                      <wp:simplePos x="0" y="0"/>
                      <wp:positionH relativeFrom="column">
                        <wp:posOffset>-161614</wp:posOffset>
                      </wp:positionH>
                      <wp:positionV relativeFrom="paragraph">
                        <wp:posOffset>113368</wp:posOffset>
                      </wp:positionV>
                      <wp:extent cx="29183" cy="2650787"/>
                      <wp:effectExtent l="0" t="0" r="28575" b="35560"/>
                      <wp:wrapNone/>
                      <wp:docPr id="123339870" name="Straight Connector 1233398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183" cy="2650787"/>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6F3C84" id="Straight Connector 123339870"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8.95pt" to="-10.4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" strokecolor="window" strokeweight=".5pt">
                      <v:stroke joinstyle="miter"/>
                    </v:line>
                  </w:pict>
                </mc:Fallback>
              </mc:AlternateContent>
            </w:r>
            <w:r w:rsidRPr="002A68E9">
              <w:t>Dr Julianne Jaques KC is a barrister at the Victorian Bar specialising in taxation with over 25 </w:t>
            </w:r>
            <w:proofErr w:type="spellStart"/>
            <w:r w:rsidRPr="002A68E9">
              <w:t>years experience</w:t>
            </w:r>
            <w:proofErr w:type="spellEnd"/>
            <w:r w:rsidRPr="002A68E9">
              <w:t xml:space="preserve"> as a taxation professional. She maintains chambers in both Melbourne and Sydney and has appeared in all higher Federal, Victorian and New South Wales courts. </w:t>
            </w:r>
          </w:p>
          <w:p w14:paraId="5E34D5AB" w14:textId="12247BAF" w:rsidR="003F5D73" w:rsidRPr="002A68E9" w:rsidRDefault="003F5D73" w:rsidP="002A68E9">
            <w:r w:rsidRPr="002A68E9">
              <w:t xml:space="preserve">Dr Jaques is a Chartered Accountant and a Chartered Tax Adviser, and in 2020 was awarded Chartered Tax Adviser of the Year by The Tax Institute. Prior to going to the Bar, Julianne worked as a solicitor, Chartered Accountant and ministerial tax adviser. She is a current member of the Independent Parliamentary Expenses Authority (reappointed 1 July 2022) and a former member of the Tax Practitioners Board (2016–2022). </w:t>
            </w:r>
          </w:p>
          <w:p w14:paraId="662C4CFF" w14:textId="6DB6E6F4" w:rsidR="003F5D73" w:rsidRPr="00453C0B" w:rsidRDefault="003F5D73" w:rsidP="00297C35">
            <w:pPr>
              <w:rPr>
                <w:bCs w:val="0"/>
              </w:rPr>
            </w:pPr>
            <w:r w:rsidRPr="002A68E9">
              <w:t>Dr Jaques was appointed as a part time member of the Board from 1 July 2017</w:t>
            </w:r>
            <w:r w:rsidR="00297C35">
              <w:t xml:space="preserve">. </w:t>
            </w:r>
            <w:r w:rsidRPr="002A68E9">
              <w:t>Dr Jaques was Acting Chair of the Board from 11 July 2019 to 10 January 2020</w:t>
            </w:r>
            <w:r w:rsidR="005E25ED">
              <w:t>, and from 1 April 2025 to 30 September 2025.</w:t>
            </w:r>
          </w:p>
        </w:tc>
      </w:tr>
    </w:tbl>
    <w:p w14:paraId="1965FBFF" w14:textId="7B79DEB4" w:rsidR="00202041" w:rsidRDefault="00202041" w:rsidP="00E90517">
      <w:pPr>
        <w:pStyle w:val="SingleParagraph"/>
      </w:pPr>
    </w:p>
    <w:tbl>
      <w:tblPr>
        <w:tblStyle w:val="GridTable5Dark-Accent32"/>
        <w:tblW w:w="5000" w:type="pct"/>
        <w:tblLayout w:type="fixed"/>
        <w:tblLook w:val="0620" w:firstRow="1" w:lastRow="0" w:firstColumn="0" w:lastColumn="0" w:noHBand="1" w:noVBand="1"/>
      </w:tblPr>
      <w:tblGrid>
        <w:gridCol w:w="2268"/>
        <w:gridCol w:w="7373"/>
      </w:tblGrid>
      <w:tr w:rsidR="00202041" w:rsidRPr="00453C0B" w14:paraId="5F314941" w14:textId="77777777" w:rsidTr="00964A52">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bookmarkStart w:id="26" w:name="_Hlk209085786" w:displacedByCustomXml="next"/>
          <w:sdt>
            <w:sdtPr>
              <w:id w:val="1301344276"/>
              <w:picture/>
            </w:sdtPr>
            <w:sdtEndPr/>
            <w:sdtContent>
              <w:p w14:paraId="0F7A7ED4" w14:textId="77777777" w:rsidR="00202041" w:rsidRPr="00453C0B" w:rsidRDefault="00202041" w:rsidP="00964A52">
                <w:pPr>
                  <w:spacing w:before="180" w:after="0"/>
                </w:pPr>
                <w:r w:rsidRPr="00453C0B">
                  <w:rPr>
                    <w:noProof/>
                  </w:rPr>
                  <w:drawing>
                    <wp:inline distT="0" distB="0" distL="0" distR="0" wp14:anchorId="00D4193C" wp14:editId="63D8C55F">
                      <wp:extent cx="1080000" cy="1080000"/>
                      <wp:effectExtent l="0" t="0" r="6350" b="6350"/>
                      <wp:docPr id="1653053067" name="Picture 1653053067" descr="Ian Kellock&#10;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53067" name="Picture 1653053067" descr="Ian Kellock&#10;Board member, Board of Taxation"/>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69604801" w14:textId="77777777" w:rsidR="00202041" w:rsidRPr="00453C0B" w:rsidRDefault="00202041" w:rsidP="00964A52">
            <w:pPr>
              <w:pStyle w:val="TableHeading1"/>
            </w:pPr>
            <w:r w:rsidRPr="004F59CF">
              <w:t>Ian Kellock</w:t>
            </w:r>
          </w:p>
          <w:p w14:paraId="2DB74906" w14:textId="77777777" w:rsidR="00202041" w:rsidRDefault="00202041" w:rsidP="00964A52">
            <w:pPr>
              <w:pStyle w:val="TableTextLeft"/>
              <w:rPr>
                <w:bCs w:val="0"/>
              </w:rPr>
            </w:pPr>
            <w:r w:rsidRPr="004F59CF">
              <w:t>Private sector Board member</w:t>
            </w:r>
          </w:p>
          <w:p w14:paraId="6B792BEA" w14:textId="77777777" w:rsidR="00202041" w:rsidRPr="00767886" w:rsidRDefault="00202041" w:rsidP="00964A52">
            <w:pPr>
              <w:pStyle w:val="TableTextLeft"/>
              <w:rPr>
                <w:b/>
                <w:bCs w:val="0"/>
              </w:rPr>
            </w:pPr>
            <w:r w:rsidRPr="00767886">
              <w:rPr>
                <w:b/>
                <w:bCs w:val="0"/>
              </w:rPr>
              <w:t xml:space="preserve">Term start date: </w:t>
            </w:r>
            <w:r w:rsidRPr="004F59CF">
              <w:rPr>
                <w:b/>
                <w:bCs w:val="0"/>
              </w:rPr>
              <w:t>12</w:t>
            </w:r>
            <w:r>
              <w:rPr>
                <w:b/>
                <w:bCs w:val="0"/>
              </w:rPr>
              <w:t> </w:t>
            </w:r>
            <w:r w:rsidRPr="004F59CF">
              <w:rPr>
                <w:b/>
                <w:bCs w:val="0"/>
              </w:rPr>
              <w:t>May</w:t>
            </w:r>
            <w:r>
              <w:rPr>
                <w:b/>
                <w:bCs w:val="0"/>
              </w:rPr>
              <w:t> </w:t>
            </w:r>
            <w:r w:rsidRPr="004F59CF">
              <w:rPr>
                <w:b/>
                <w:bCs w:val="0"/>
              </w:rPr>
              <w:t>2021</w:t>
            </w:r>
          </w:p>
        </w:tc>
        <w:tc>
          <w:tcPr>
            <w:tcW w:w="3824" w:type="pct"/>
          </w:tcPr>
          <w:p w14:paraId="2296ADD1" w14:textId="2285F655" w:rsidR="00202041" w:rsidRPr="002A68E9" w:rsidRDefault="00202041" w:rsidP="00964A52">
            <w:r w:rsidRPr="002A68E9">
              <w:rPr>
                <w:noProof/>
              </w:rPr>
              <mc:AlternateContent>
                <mc:Choice Requires="wps">
                  <w:drawing>
                    <wp:anchor distT="0" distB="0" distL="114300" distR="114300" simplePos="0" relativeHeight="251658246" behindDoc="0" locked="0" layoutInCell="1" allowOverlap="1" wp14:anchorId="0E18BEA8" wp14:editId="6656FC9C">
                      <wp:simplePos x="0" y="0"/>
                      <wp:positionH relativeFrom="column">
                        <wp:posOffset>-164080</wp:posOffset>
                      </wp:positionH>
                      <wp:positionV relativeFrom="paragraph">
                        <wp:posOffset>111894</wp:posOffset>
                      </wp:positionV>
                      <wp:extent cx="23257" cy="2157211"/>
                      <wp:effectExtent l="0" t="0" r="34290" b="33655"/>
                      <wp:wrapNone/>
                      <wp:docPr id="2088743433" name="Straight Connector 20887434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257" cy="2157211"/>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9186F6" id="Straight Connector 2088743433"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8pt" to="-11.05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" strokecolor="window" strokeweight=".5pt">
                      <v:stroke joinstyle="miter"/>
                    </v:line>
                  </w:pict>
                </mc:Fallback>
              </mc:AlternateContent>
            </w:r>
            <w:r w:rsidRPr="002A68E9">
              <w:t>Mr Kellock is a Tax Partner at Ashurst and has over 25 </w:t>
            </w:r>
            <w:proofErr w:type="spellStart"/>
            <w:r w:rsidRPr="002A68E9">
              <w:t>years experience</w:t>
            </w:r>
            <w:proofErr w:type="spellEnd"/>
            <w:r w:rsidRPr="002A68E9">
              <w:t xml:space="preserve"> as a taxation professional. Mr Kellock</w:t>
            </w:r>
            <w:r w:rsidR="00FC1B00">
              <w:t>’</w:t>
            </w:r>
            <w:r w:rsidRPr="002A68E9">
              <w:t xml:space="preserve">s practice deals with all aspects of Australian income tax, with a focus on mergers and acquisitions transactions in the financial services, healthcare, property, and resources sectors. </w:t>
            </w:r>
          </w:p>
          <w:p w14:paraId="0996DD82" w14:textId="176EC67E" w:rsidR="00202041" w:rsidRPr="002A68E9" w:rsidRDefault="00202041" w:rsidP="00964A52">
            <w:r w:rsidRPr="002A68E9">
              <w:t>Mr Kellock is a Chartered Accountant and a Chartered Tax Adviser. He holds a bachelor</w:t>
            </w:r>
            <w:r w:rsidR="00FC1B00">
              <w:t>’</w:t>
            </w:r>
            <w:r w:rsidRPr="002A68E9">
              <w:t>s degree in law and commerce from the University of Melbourne and a master</w:t>
            </w:r>
            <w:r w:rsidR="00FC1B00">
              <w:t>’</w:t>
            </w:r>
            <w:r w:rsidRPr="002A68E9">
              <w:t xml:space="preserve">s degree in law from Monash University. </w:t>
            </w:r>
          </w:p>
          <w:p w14:paraId="06074010" w14:textId="1420A3B8" w:rsidR="00202041" w:rsidRPr="007F7488" w:rsidRDefault="00202041" w:rsidP="007F7488">
            <w:pPr>
              <w:rPr>
                <w:bCs w:val="0"/>
              </w:rPr>
            </w:pPr>
            <w:r w:rsidRPr="002A68E9">
              <w:t xml:space="preserve">Mr Kellock was appointed as a part time member of the </w:t>
            </w:r>
            <w:r w:rsidR="00366934">
              <w:t xml:space="preserve">Board </w:t>
            </w:r>
            <w:r w:rsidRPr="002A68E9">
              <w:t>from 12 May 2021</w:t>
            </w:r>
            <w:r w:rsidR="00297C35">
              <w:t xml:space="preserve"> and </w:t>
            </w:r>
            <w:r w:rsidR="0048480F">
              <w:t>was re</w:t>
            </w:r>
            <w:r w:rsidR="00FC1B00">
              <w:noBreakHyphen/>
            </w:r>
            <w:r w:rsidR="0048480F">
              <w:t>appointed for an additional term until</w:t>
            </w:r>
            <w:r w:rsidR="007F7488">
              <w:t xml:space="preserve"> 11</w:t>
            </w:r>
            <w:r w:rsidR="0057585D">
              <w:t> </w:t>
            </w:r>
            <w:r w:rsidR="007F7488">
              <w:t>August</w:t>
            </w:r>
            <w:r w:rsidR="0057585D">
              <w:t> </w:t>
            </w:r>
            <w:r w:rsidR="007F7488">
              <w:t>2027.</w:t>
            </w:r>
          </w:p>
        </w:tc>
      </w:tr>
      <w:bookmarkEnd w:id="26"/>
    </w:tbl>
    <w:p w14:paraId="709281BC" w14:textId="54B21420" w:rsidR="005E25ED" w:rsidRDefault="005E25ED" w:rsidP="00E90517">
      <w:pPr>
        <w:pStyle w:val="SingleParagraph"/>
      </w:pPr>
    </w:p>
    <w:tbl>
      <w:tblPr>
        <w:tblStyle w:val="GridTable5Dark-Accent32"/>
        <w:tblW w:w="5000" w:type="pct"/>
        <w:tblLayout w:type="fixed"/>
        <w:tblLook w:val="0620" w:firstRow="1" w:lastRow="0" w:firstColumn="0" w:lastColumn="0" w:noHBand="1" w:noVBand="1"/>
      </w:tblPr>
      <w:tblGrid>
        <w:gridCol w:w="2268"/>
        <w:gridCol w:w="7373"/>
      </w:tblGrid>
      <w:tr w:rsidR="00B0178E" w:rsidRPr="00453C0B" w14:paraId="3DC2CA51" w14:textId="77777777" w:rsidTr="008F1B97">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sdt>
            <w:sdtPr>
              <w:id w:val="-1134718179"/>
              <w:picture/>
            </w:sdtPr>
            <w:sdtEndPr/>
            <w:sdtContent>
              <w:p w14:paraId="0AEC9AF0" w14:textId="77777777" w:rsidR="00B0178E" w:rsidRPr="00453C0B" w:rsidRDefault="00B0178E" w:rsidP="008F1B97">
                <w:pPr>
                  <w:spacing w:before="180" w:after="0"/>
                </w:pPr>
                <w:r w:rsidRPr="00453C0B">
                  <w:rPr>
                    <w:noProof/>
                  </w:rPr>
                  <w:drawing>
                    <wp:inline distT="0" distB="0" distL="0" distR="0" wp14:anchorId="74D861A9" wp14:editId="29383593">
                      <wp:extent cx="1080000" cy="1080000"/>
                      <wp:effectExtent l="0" t="0" r="6350" b="6350"/>
                      <wp:docPr id="102650235" name="Picture 102650235" descr="Andrea Laing&#10;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0235" name="Picture 102650235" descr="Andrea Laing&#10;Board member, Board of Taxation"/>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3200A714" w14:textId="1FD656C6" w:rsidR="00B0178E" w:rsidRPr="00453C0B" w:rsidRDefault="00B0178E" w:rsidP="008F1B97">
            <w:pPr>
              <w:pStyle w:val="TableHeading1"/>
            </w:pPr>
            <w:r w:rsidRPr="00B0178E">
              <w:t>Andrea Laing</w:t>
            </w:r>
          </w:p>
          <w:p w14:paraId="5E168574" w14:textId="77777777" w:rsidR="00B0178E" w:rsidRDefault="00B0178E" w:rsidP="008F1B97">
            <w:pPr>
              <w:pStyle w:val="TableTextLeft"/>
              <w:rPr>
                <w:bCs w:val="0"/>
              </w:rPr>
            </w:pPr>
            <w:r w:rsidRPr="004F59CF">
              <w:t>Private sector Board member</w:t>
            </w:r>
          </w:p>
          <w:p w14:paraId="210A8F28" w14:textId="063FF871" w:rsidR="00B0178E" w:rsidRPr="00767886" w:rsidRDefault="00B0178E" w:rsidP="008F1B97">
            <w:pPr>
              <w:pStyle w:val="TableTextLeft"/>
              <w:rPr>
                <w:b/>
                <w:bCs w:val="0"/>
              </w:rPr>
            </w:pPr>
            <w:r w:rsidRPr="00767886">
              <w:rPr>
                <w:b/>
                <w:bCs w:val="0"/>
              </w:rPr>
              <w:t xml:space="preserve">Term start date: </w:t>
            </w:r>
            <w:r w:rsidR="00333B8F" w:rsidRPr="00333B8F">
              <w:rPr>
                <w:b/>
                <w:bCs w:val="0"/>
              </w:rPr>
              <w:t>21</w:t>
            </w:r>
            <w:r w:rsidR="00333B8F">
              <w:rPr>
                <w:b/>
                <w:bCs w:val="0"/>
              </w:rPr>
              <w:t> </w:t>
            </w:r>
            <w:r w:rsidR="00333B8F" w:rsidRPr="00333B8F">
              <w:rPr>
                <w:b/>
                <w:bCs w:val="0"/>
              </w:rPr>
              <w:t>October</w:t>
            </w:r>
            <w:r w:rsidR="00333B8F">
              <w:rPr>
                <w:b/>
                <w:bCs w:val="0"/>
              </w:rPr>
              <w:t> </w:t>
            </w:r>
            <w:r w:rsidR="00333B8F" w:rsidRPr="00333B8F">
              <w:rPr>
                <w:b/>
                <w:bCs w:val="0"/>
              </w:rPr>
              <w:t>2021</w:t>
            </w:r>
          </w:p>
        </w:tc>
        <w:tc>
          <w:tcPr>
            <w:tcW w:w="3824" w:type="pct"/>
          </w:tcPr>
          <w:p w14:paraId="0530991E" w14:textId="428A9A8E" w:rsidR="00210D8E" w:rsidRPr="002A68E9" w:rsidRDefault="00B0178E" w:rsidP="002A68E9">
            <w:r w:rsidRPr="002A68E9">
              <w:rPr>
                <w:noProof/>
              </w:rPr>
              <mc:AlternateContent>
                <mc:Choice Requires="wps">
                  <w:drawing>
                    <wp:anchor distT="0" distB="0" distL="114300" distR="114300" simplePos="0" relativeHeight="251658245" behindDoc="0" locked="0" layoutInCell="1" allowOverlap="1" wp14:anchorId="0295C9EB" wp14:editId="726CDD28">
                      <wp:simplePos x="0" y="0"/>
                      <wp:positionH relativeFrom="column">
                        <wp:posOffset>-164079</wp:posOffset>
                      </wp:positionH>
                      <wp:positionV relativeFrom="paragraph">
                        <wp:posOffset>111107</wp:posOffset>
                      </wp:positionV>
                      <wp:extent cx="0" cy="2318197"/>
                      <wp:effectExtent l="0" t="0" r="38100" b="25400"/>
                      <wp:wrapNone/>
                      <wp:docPr id="1525143168" name="Straight Connector 1525143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318197"/>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02AF39" id="Straight Connector 1525143168"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75pt" to="-12.9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" strokecolor="window" strokeweight=".5pt">
                      <v:stroke joinstyle="miter"/>
                    </v:line>
                  </w:pict>
                </mc:Fallback>
              </mc:AlternateContent>
            </w:r>
            <w:r w:rsidRPr="002A68E9">
              <w:t>M</w:t>
            </w:r>
            <w:r w:rsidR="00210D8E" w:rsidRPr="002A68E9">
              <w:t>s Laing has many years of experience in taxation, working in the ATO, Chartered Accounting and the extractive/energy industry. She spent more than two decades at Shell in various roles specialising in indirect tax, employment tax and tax policy. Ms Laing was Head of Tax for Shell Australia for five years and led a global project on the tax ramifications of Energy Transition and Climate Change.</w:t>
            </w:r>
          </w:p>
          <w:p w14:paraId="346ED41D" w14:textId="77777777" w:rsidR="00210D8E" w:rsidRPr="002A68E9" w:rsidRDefault="00210D8E" w:rsidP="002A68E9">
            <w:r w:rsidRPr="002A68E9">
              <w:t xml:space="preserve">Ms Laing was a member of the OECD task team that developed International VAT Guidelines published in 2014. She spent four years on the Corporate Tax Association Executive and is a member of Certified Practicing Accountants (CPA) Australia. </w:t>
            </w:r>
          </w:p>
          <w:p w14:paraId="4FEC150A" w14:textId="08910EFD" w:rsidR="00BB222B" w:rsidRDefault="00210D8E" w:rsidP="004F14AF">
            <w:pPr>
              <w:rPr>
                <w:bCs w:val="0"/>
              </w:rPr>
            </w:pPr>
            <w:r w:rsidRPr="002A68E9">
              <w:t>Ms Laing was appointed as a part time member of the Board from 21</w:t>
            </w:r>
            <w:r w:rsidR="00B476D2" w:rsidRPr="002A68E9">
              <w:t> </w:t>
            </w:r>
            <w:r w:rsidRPr="002A68E9">
              <w:t>October</w:t>
            </w:r>
            <w:r w:rsidR="00B476D2" w:rsidRPr="002A68E9">
              <w:t> </w:t>
            </w:r>
            <w:r w:rsidRPr="002A68E9">
              <w:t>2021</w:t>
            </w:r>
            <w:r w:rsidR="004F14AF">
              <w:t xml:space="preserve"> and </w:t>
            </w:r>
            <w:r w:rsidR="00BB222B">
              <w:t>was re</w:t>
            </w:r>
            <w:r w:rsidR="00FC1B00">
              <w:noBreakHyphen/>
            </w:r>
            <w:r w:rsidR="00BB222B">
              <w:t>appointed for an additional term to 20</w:t>
            </w:r>
            <w:r w:rsidR="0057585D">
              <w:t> </w:t>
            </w:r>
            <w:r w:rsidR="00BB222B">
              <w:t xml:space="preserve">October 2027. </w:t>
            </w:r>
          </w:p>
          <w:p w14:paraId="100C2A63" w14:textId="14D687F4" w:rsidR="008F4D35" w:rsidRPr="004F14AF" w:rsidRDefault="008F4D35" w:rsidP="008F4D35">
            <w:pPr>
              <w:pStyle w:val="Bullet"/>
              <w:numPr>
                <w:ilvl w:val="0"/>
                <w:numId w:val="0"/>
              </w:numPr>
              <w:ind w:left="2" w:hanging="2"/>
              <w:rPr>
                <w:bCs w:val="0"/>
              </w:rPr>
            </w:pPr>
            <w:r w:rsidRPr="008F4D35">
              <w:rPr>
                <w:bCs w:val="0"/>
              </w:rPr>
              <w:t xml:space="preserve">On 12 March 2025, Ms Laing </w:t>
            </w:r>
            <w:r w:rsidR="0048480F">
              <w:rPr>
                <w:bCs w:val="0"/>
              </w:rPr>
              <w:t xml:space="preserve">was appointed </w:t>
            </w:r>
            <w:r w:rsidRPr="008F4D35">
              <w:rPr>
                <w:bCs w:val="0"/>
              </w:rPr>
              <w:t>as a part</w:t>
            </w:r>
            <w:r w:rsidR="00FC1B00">
              <w:rPr>
                <w:bCs w:val="0"/>
              </w:rPr>
              <w:noBreakHyphen/>
            </w:r>
            <w:r w:rsidRPr="008F4D35">
              <w:rPr>
                <w:bCs w:val="0"/>
              </w:rPr>
              <w:t>time member of the</w:t>
            </w:r>
            <w:r w:rsidR="0057585D">
              <w:rPr>
                <w:bCs w:val="0"/>
              </w:rPr>
              <w:t> </w:t>
            </w:r>
            <w:r w:rsidRPr="008F4D35">
              <w:rPr>
                <w:bCs w:val="0"/>
              </w:rPr>
              <w:t>National Library of Australia Council, for a 3</w:t>
            </w:r>
            <w:r w:rsidR="00FC1B00">
              <w:rPr>
                <w:bCs w:val="0"/>
              </w:rPr>
              <w:noBreakHyphen/>
            </w:r>
            <w:r w:rsidRPr="008F4D35">
              <w:rPr>
                <w:bCs w:val="0"/>
              </w:rPr>
              <w:t>year term commencing on</w:t>
            </w:r>
            <w:r w:rsidR="0057585D">
              <w:rPr>
                <w:bCs w:val="0"/>
              </w:rPr>
              <w:t> </w:t>
            </w:r>
            <w:r w:rsidRPr="008F4D35">
              <w:rPr>
                <w:bCs w:val="0"/>
              </w:rPr>
              <w:t>4th April 2025.</w:t>
            </w:r>
          </w:p>
        </w:tc>
      </w:tr>
    </w:tbl>
    <w:p w14:paraId="699C7183" w14:textId="1CFDB62B" w:rsidR="00202041" w:rsidRPr="00E90517" w:rsidRDefault="00202041" w:rsidP="00E90517">
      <w:pPr>
        <w:pStyle w:val="SingleParagraph"/>
      </w:pPr>
    </w:p>
    <w:tbl>
      <w:tblPr>
        <w:tblStyle w:val="GridTable5Dark-Accent32"/>
        <w:tblW w:w="5000" w:type="pct"/>
        <w:tblLayout w:type="fixed"/>
        <w:tblLook w:val="0620" w:firstRow="1" w:lastRow="0" w:firstColumn="0" w:lastColumn="0" w:noHBand="1" w:noVBand="1"/>
      </w:tblPr>
      <w:tblGrid>
        <w:gridCol w:w="2268"/>
        <w:gridCol w:w="7373"/>
      </w:tblGrid>
      <w:tr w:rsidR="00202041" w:rsidRPr="00453C0B" w14:paraId="60C9A460" w14:textId="77777777" w:rsidTr="00E90517">
        <w:trPr>
          <w:cnfStyle w:val="100000000000" w:firstRow="1" w:lastRow="0" w:firstColumn="0" w:lastColumn="0" w:oddVBand="0" w:evenVBand="0" w:oddHBand="0" w:evenHBand="0" w:firstRowFirstColumn="0" w:firstRowLastColumn="0" w:lastRowFirstColumn="0" w:lastRowLastColumn="0"/>
          <w:trHeight w:val="18"/>
        </w:trPr>
        <w:tc>
          <w:tcPr>
            <w:tcW w:w="1176" w:type="pct"/>
            <w:hideMark/>
          </w:tcPr>
          <w:bookmarkStart w:id="27" w:name="_Hlk209088886" w:displacedByCustomXml="next"/>
          <w:sdt>
            <w:sdtPr>
              <w:id w:val="-1562712211"/>
              <w:picture/>
            </w:sdtPr>
            <w:sdtEndPr/>
            <w:sdtContent>
              <w:p w14:paraId="4E9034BA" w14:textId="77777777" w:rsidR="00202041" w:rsidRPr="00453C0B" w:rsidRDefault="00202041" w:rsidP="00964A52">
                <w:pPr>
                  <w:spacing w:before="180" w:after="0"/>
                </w:pPr>
                <w:r w:rsidRPr="00453C0B">
                  <w:rPr>
                    <w:noProof/>
                  </w:rPr>
                  <w:drawing>
                    <wp:inline distT="0" distB="0" distL="0" distR="0" wp14:anchorId="32B3F402" wp14:editId="3CA4B13E">
                      <wp:extent cx="1080000" cy="1080000"/>
                      <wp:effectExtent l="0" t="0" r="6350" b="6350"/>
                      <wp:docPr id="515543356" name="Picture 515543356" descr="Andrew Mills&#10;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43356" name="Picture 515543356" descr="Andrew Mills&#10;Board member, Board of Taxation"/>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0D43ABCD" w14:textId="77777777" w:rsidR="00202041" w:rsidRPr="00453C0B" w:rsidRDefault="00202041" w:rsidP="00964A52">
            <w:pPr>
              <w:pStyle w:val="TableHeading1"/>
            </w:pPr>
            <w:r w:rsidRPr="00B476D2">
              <w:t>Andrew Mills</w:t>
            </w:r>
          </w:p>
          <w:p w14:paraId="78227DFC" w14:textId="77777777" w:rsidR="00202041" w:rsidRDefault="00202041" w:rsidP="00964A52">
            <w:pPr>
              <w:pStyle w:val="TableTextLeft"/>
              <w:rPr>
                <w:bCs w:val="0"/>
              </w:rPr>
            </w:pPr>
            <w:r w:rsidRPr="004F59CF">
              <w:t>Private sector Board member</w:t>
            </w:r>
          </w:p>
          <w:p w14:paraId="5E481452" w14:textId="77777777" w:rsidR="00202041" w:rsidRPr="00767886" w:rsidRDefault="00202041" w:rsidP="00964A52">
            <w:pPr>
              <w:pStyle w:val="TableTextLeft"/>
              <w:rPr>
                <w:b/>
                <w:bCs w:val="0"/>
              </w:rPr>
            </w:pPr>
            <w:r w:rsidRPr="00767886">
              <w:rPr>
                <w:b/>
                <w:bCs w:val="0"/>
              </w:rPr>
              <w:t xml:space="preserve">Term start date: </w:t>
            </w:r>
            <w:r w:rsidRPr="00B476D2">
              <w:rPr>
                <w:b/>
                <w:bCs w:val="0"/>
              </w:rPr>
              <w:t>8</w:t>
            </w:r>
            <w:r>
              <w:rPr>
                <w:b/>
                <w:bCs w:val="0"/>
              </w:rPr>
              <w:t> </w:t>
            </w:r>
            <w:r w:rsidRPr="00B476D2">
              <w:rPr>
                <w:b/>
                <w:bCs w:val="0"/>
              </w:rPr>
              <w:t>December</w:t>
            </w:r>
            <w:r>
              <w:rPr>
                <w:b/>
                <w:bCs w:val="0"/>
              </w:rPr>
              <w:t> </w:t>
            </w:r>
            <w:r w:rsidRPr="00B476D2">
              <w:rPr>
                <w:b/>
                <w:bCs w:val="0"/>
              </w:rPr>
              <w:t>2023</w:t>
            </w:r>
          </w:p>
        </w:tc>
        <w:tc>
          <w:tcPr>
            <w:tcW w:w="3824" w:type="pct"/>
          </w:tcPr>
          <w:p w14:paraId="0E407DA9" w14:textId="7D935284" w:rsidR="00202041" w:rsidRPr="00133626" w:rsidRDefault="00202041" w:rsidP="00964A52">
            <w:pPr>
              <w:rPr>
                <w:rFonts w:cs="Calibri"/>
              </w:rPr>
            </w:pPr>
            <w:r w:rsidRPr="00453C0B">
              <w:rPr>
                <w:noProof/>
              </w:rPr>
              <mc:AlternateContent>
                <mc:Choice Requires="wps">
                  <w:drawing>
                    <wp:anchor distT="0" distB="0" distL="114300" distR="114300" simplePos="0" relativeHeight="251658247" behindDoc="0" locked="0" layoutInCell="1" allowOverlap="1" wp14:anchorId="15305A10" wp14:editId="7AFBD6AD">
                      <wp:simplePos x="0" y="0"/>
                      <wp:positionH relativeFrom="column">
                        <wp:posOffset>-164080</wp:posOffset>
                      </wp:positionH>
                      <wp:positionV relativeFrom="paragraph">
                        <wp:posOffset>111598</wp:posOffset>
                      </wp:positionV>
                      <wp:extent cx="0" cy="3779949"/>
                      <wp:effectExtent l="0" t="0" r="38100" b="30480"/>
                      <wp:wrapNone/>
                      <wp:docPr id="1401608606" name="Straight Connector 1401608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79949"/>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B47FCF" id="Straight Connector 1401608606"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8pt" to="-12.9pt,3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" strokecolor="window" strokeweight=".5pt">
                      <v:stroke joinstyle="miter"/>
                    </v:line>
                  </w:pict>
                </mc:Fallback>
              </mc:AlternateContent>
            </w:r>
            <w:r>
              <w:rPr>
                <w:bCs w:val="0"/>
              </w:rPr>
              <w:t xml:space="preserve">Mr </w:t>
            </w:r>
            <w:r w:rsidRPr="00133626">
              <w:rPr>
                <w:rFonts w:cs="Calibri"/>
              </w:rPr>
              <w:t>Mills has over 40 </w:t>
            </w:r>
            <w:proofErr w:type="spellStart"/>
            <w:r w:rsidRPr="00133626">
              <w:rPr>
                <w:rFonts w:cs="Calibri"/>
              </w:rPr>
              <w:t>years experience</w:t>
            </w:r>
            <w:proofErr w:type="spellEnd"/>
            <w:r w:rsidRPr="00133626">
              <w:rPr>
                <w:rFonts w:cs="Calibri"/>
              </w:rPr>
              <w:t xml:space="preserve"> in senior commercial, accounting and legal practice, government and academic roles.</w:t>
            </w:r>
          </w:p>
          <w:p w14:paraId="5B217723" w14:textId="77777777" w:rsidR="00202041" w:rsidRPr="00133626" w:rsidRDefault="00202041" w:rsidP="00964A52">
            <w:pPr>
              <w:rPr>
                <w:rFonts w:cs="Calibri"/>
              </w:rPr>
            </w:pPr>
            <w:r w:rsidRPr="00133626">
              <w:rPr>
                <w:rFonts w:cs="Calibri"/>
              </w:rPr>
              <w:t xml:space="preserve">He is currently Chair of the Financial Reporting Council, Chair of the NSW Independent Planning Commission and a </w:t>
            </w:r>
            <w:r>
              <w:rPr>
                <w:rFonts w:cs="Calibri"/>
              </w:rPr>
              <w:t xml:space="preserve">Principal </w:t>
            </w:r>
            <w:r w:rsidRPr="00133626">
              <w:rPr>
                <w:rFonts w:cs="Calibri"/>
              </w:rPr>
              <w:t>Fellow of the University of Melbourne Law School.</w:t>
            </w:r>
          </w:p>
          <w:p w14:paraId="2DE46324" w14:textId="77777777" w:rsidR="00202041" w:rsidRPr="00133626" w:rsidRDefault="00202041" w:rsidP="00964A52">
            <w:pPr>
              <w:rPr>
                <w:rFonts w:cs="Calibri"/>
              </w:rPr>
            </w:pPr>
            <w:r w:rsidRPr="00133626">
              <w:rPr>
                <w:rFonts w:cs="Calibri"/>
              </w:rPr>
              <w:t>Mr Mills is also a member of the Tax and Transfer Policy Institute Advisory Committee and of the executive committee of the International Fiscal Association, Australia Branch.</w:t>
            </w:r>
          </w:p>
          <w:p w14:paraId="2DBC255C" w14:textId="7EE87E6A" w:rsidR="00202041" w:rsidRPr="00133626" w:rsidRDefault="185B73F4" w:rsidP="00964A52">
            <w:pPr>
              <w:rPr>
                <w:rFonts w:cs="Calibri"/>
              </w:rPr>
            </w:pPr>
            <w:r w:rsidRPr="00133626">
              <w:rPr>
                <w:rFonts w:cs="Calibri"/>
              </w:rPr>
              <w:t xml:space="preserve">Previously, Mr Mills served as Second Commissioner of Taxation at the Australian Taxation Office. He was also a </w:t>
            </w:r>
            <w:proofErr w:type="gramStart"/>
            <w:r w:rsidRPr="00133626">
              <w:rPr>
                <w:rFonts w:cs="Calibri"/>
              </w:rPr>
              <w:t>Director</w:t>
            </w:r>
            <w:proofErr w:type="gramEnd"/>
            <w:r w:rsidR="314A5078" w:rsidRPr="00133626">
              <w:rPr>
                <w:rFonts w:cs="Calibri"/>
              </w:rPr>
              <w:t>-</w:t>
            </w:r>
            <w:r w:rsidR="00FC1B00">
              <w:rPr>
                <w:rFonts w:cs="Calibri"/>
              </w:rPr>
              <w:noBreakHyphen/>
            </w:r>
            <w:r w:rsidRPr="00133626">
              <w:rPr>
                <w:rFonts w:cs="Calibri"/>
              </w:rPr>
              <w:t>Partner at Greenwoods &amp; Freehills for over 20 years.</w:t>
            </w:r>
          </w:p>
          <w:p w14:paraId="25F206A0" w14:textId="21A3ECE9" w:rsidR="00202041" w:rsidRPr="00133626" w:rsidRDefault="185B73F4" w:rsidP="00964A52">
            <w:pPr>
              <w:rPr>
                <w:rFonts w:cs="Calibri"/>
              </w:rPr>
            </w:pPr>
            <w:r w:rsidRPr="771ACB66">
              <w:rPr>
                <w:rFonts w:cs="Calibri"/>
              </w:rPr>
              <w:t xml:space="preserve">Mr Mills has qualifications in business and law. He is a </w:t>
            </w:r>
            <w:r w:rsidR="2919C828" w:rsidRPr="771ACB66">
              <w:rPr>
                <w:rFonts w:cs="Calibri"/>
              </w:rPr>
              <w:t>Fellow of CPA Australia</w:t>
            </w:r>
            <w:r w:rsidRPr="771ACB66">
              <w:rPr>
                <w:rFonts w:cs="Calibri"/>
              </w:rPr>
              <w:t>, a Chartered Tax Adviser (Life), a Graduate</w:t>
            </w:r>
            <w:r w:rsidR="1A2183FB" w:rsidRPr="771ACB66">
              <w:rPr>
                <w:rFonts w:cs="Calibri"/>
              </w:rPr>
              <w:t xml:space="preserve"> Member</w:t>
            </w:r>
            <w:r w:rsidRPr="771ACB66">
              <w:rPr>
                <w:rFonts w:cs="Calibri"/>
              </w:rPr>
              <w:t xml:space="preserve"> of the Australian Institute of Company Directors, a Fellow of the Governance Institute of Australia and a member of the International Fiscal Association.</w:t>
            </w:r>
          </w:p>
          <w:p w14:paraId="50F4F78C" w14:textId="443264CA" w:rsidR="00202041" w:rsidRPr="00453C0B" w:rsidRDefault="00202041" w:rsidP="00964A52">
            <w:pPr>
              <w:rPr>
                <w:bCs w:val="0"/>
              </w:rPr>
            </w:pPr>
            <w:r w:rsidRPr="00E90517">
              <w:rPr>
                <w:rFonts w:cs="Calibri"/>
                <w:spacing w:val="-2"/>
              </w:rPr>
              <w:t>Mr Mills was appointed as a part</w:t>
            </w:r>
            <w:r w:rsidR="00FC1B00" w:rsidRPr="00E90517">
              <w:rPr>
                <w:rFonts w:cs="Calibri"/>
                <w:spacing w:val="-2"/>
              </w:rPr>
              <w:noBreakHyphen/>
            </w:r>
            <w:r w:rsidRPr="00E90517">
              <w:rPr>
                <w:rFonts w:cs="Calibri"/>
                <w:spacing w:val="-2"/>
              </w:rPr>
              <w:t>time Board member from 8 December</w:t>
            </w:r>
            <w:r w:rsidR="00E90517" w:rsidRPr="00E90517">
              <w:rPr>
                <w:rFonts w:cs="Calibri"/>
                <w:spacing w:val="-2"/>
              </w:rPr>
              <w:t> </w:t>
            </w:r>
            <w:r w:rsidRPr="00E90517">
              <w:rPr>
                <w:rFonts w:cs="Calibri"/>
                <w:spacing w:val="-2"/>
              </w:rPr>
              <w:t>2023</w:t>
            </w:r>
            <w:r w:rsidR="00ED3DFB">
              <w:rPr>
                <w:rFonts w:cs="Calibri"/>
              </w:rPr>
              <w:t xml:space="preserve"> and was appointed acting Chair of the Board from 1</w:t>
            </w:r>
            <w:r w:rsidR="00E90517">
              <w:rPr>
                <w:rFonts w:cs="Calibri"/>
              </w:rPr>
              <w:t> </w:t>
            </w:r>
            <w:r w:rsidR="00ED3DFB">
              <w:rPr>
                <w:rFonts w:cs="Calibri"/>
              </w:rPr>
              <w:t>October 2025.</w:t>
            </w:r>
          </w:p>
        </w:tc>
      </w:tr>
    </w:tbl>
    <w:p w14:paraId="2EE74178" w14:textId="77777777" w:rsidR="00E90517" w:rsidRDefault="00E90517" w:rsidP="00E90517">
      <w:pPr>
        <w:pStyle w:val="SingleParagraph"/>
      </w:pPr>
    </w:p>
    <w:tbl>
      <w:tblPr>
        <w:tblStyle w:val="GridTable5Dark-Accent32"/>
        <w:tblW w:w="5000" w:type="pct"/>
        <w:tblLayout w:type="fixed"/>
        <w:tblLook w:val="0620" w:firstRow="1" w:lastRow="0" w:firstColumn="0" w:lastColumn="0" w:noHBand="1" w:noVBand="1"/>
      </w:tblPr>
      <w:tblGrid>
        <w:gridCol w:w="2268"/>
        <w:gridCol w:w="7373"/>
      </w:tblGrid>
      <w:tr w:rsidR="006877BF" w:rsidRPr="00453C0B" w14:paraId="23CE6EDD" w14:textId="77777777" w:rsidTr="00926315">
        <w:trPr>
          <w:cnfStyle w:val="100000000000" w:firstRow="1" w:lastRow="0" w:firstColumn="0" w:lastColumn="0" w:oddVBand="0" w:evenVBand="0" w:oddHBand="0" w:evenHBand="0" w:firstRowFirstColumn="0" w:firstRowLastColumn="0" w:lastRowFirstColumn="0" w:lastRowLastColumn="0"/>
          <w:trHeight w:val="2791"/>
        </w:trPr>
        <w:tc>
          <w:tcPr>
            <w:tcW w:w="1176" w:type="pct"/>
            <w:hideMark/>
          </w:tcPr>
          <w:bookmarkEnd w:id="27" w:displacedByCustomXml="next"/>
          <w:bookmarkStart w:id="28" w:name="_Hlk209089207" w:displacedByCustomXml="next"/>
          <w:sdt>
            <w:sdtPr>
              <w:id w:val="845441551"/>
              <w:picture/>
            </w:sdtPr>
            <w:sdtEndPr/>
            <w:sdtContent>
              <w:p w14:paraId="0CD018FA" w14:textId="77777777" w:rsidR="006877BF" w:rsidRPr="00453C0B" w:rsidRDefault="006877BF" w:rsidP="008F1B97">
                <w:pPr>
                  <w:spacing w:before="180" w:after="0"/>
                </w:pPr>
                <w:r w:rsidRPr="00453C0B">
                  <w:rPr>
                    <w:noProof/>
                  </w:rPr>
                  <w:drawing>
                    <wp:inline distT="0" distB="0" distL="0" distR="0" wp14:anchorId="417FD77F" wp14:editId="484D0DC3">
                      <wp:extent cx="1080000" cy="1080000"/>
                      <wp:effectExtent l="0" t="0" r="6350" b="6350"/>
                      <wp:docPr id="1418409565" name="Picture 1418409565" descr="Judy O'Connell&#10;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09565" name="Picture 1418409565" descr="Judy O'Connell&#10;Board member, Board of Taxation"/>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265AE419" w14:textId="7AF3AD6A" w:rsidR="006877BF" w:rsidRPr="00453C0B" w:rsidRDefault="006877BF" w:rsidP="008F1B97">
            <w:pPr>
              <w:pStyle w:val="TableHeading1"/>
            </w:pPr>
            <w:r w:rsidRPr="006877BF">
              <w:t>Judy O</w:t>
            </w:r>
            <w:r w:rsidR="00FC1B00">
              <w:t>’</w:t>
            </w:r>
            <w:r w:rsidRPr="006877BF">
              <w:t>Connell</w:t>
            </w:r>
          </w:p>
          <w:p w14:paraId="07ED4C2E" w14:textId="77777777" w:rsidR="006877BF" w:rsidRDefault="006877BF" w:rsidP="008F1B97">
            <w:pPr>
              <w:pStyle w:val="TableTextLeft"/>
              <w:rPr>
                <w:bCs w:val="0"/>
              </w:rPr>
            </w:pPr>
            <w:r w:rsidRPr="004F59CF">
              <w:t>Private sector Board member</w:t>
            </w:r>
          </w:p>
          <w:p w14:paraId="359043EC" w14:textId="77777777" w:rsidR="006877BF" w:rsidRPr="00767886" w:rsidRDefault="006877BF" w:rsidP="008F1B97">
            <w:pPr>
              <w:pStyle w:val="TableTextLeft"/>
              <w:rPr>
                <w:b/>
                <w:bCs w:val="0"/>
              </w:rPr>
            </w:pPr>
            <w:r w:rsidRPr="00767886">
              <w:rPr>
                <w:b/>
              </w:rPr>
              <w:t xml:space="preserve">Term start date: </w:t>
            </w:r>
            <w:r w:rsidRPr="00B476D2">
              <w:rPr>
                <w:b/>
              </w:rPr>
              <w:t>8</w:t>
            </w:r>
            <w:r>
              <w:rPr>
                <w:b/>
              </w:rPr>
              <w:t> </w:t>
            </w:r>
            <w:r w:rsidRPr="00B476D2">
              <w:rPr>
                <w:b/>
              </w:rPr>
              <w:t>December</w:t>
            </w:r>
            <w:r>
              <w:rPr>
                <w:b/>
              </w:rPr>
              <w:t> </w:t>
            </w:r>
            <w:r w:rsidRPr="00B476D2">
              <w:rPr>
                <w:b/>
              </w:rPr>
              <w:t>2023</w:t>
            </w:r>
          </w:p>
        </w:tc>
        <w:tc>
          <w:tcPr>
            <w:tcW w:w="3824" w:type="pct"/>
          </w:tcPr>
          <w:p w14:paraId="4672596D" w14:textId="400794D5" w:rsidR="006877BF" w:rsidRPr="00CA3FD7" w:rsidRDefault="006877BF" w:rsidP="00CA3FD7">
            <w:r w:rsidRPr="00CA3FD7">
              <w:rPr>
                <w:noProof/>
              </w:rPr>
              <mc:AlternateContent>
                <mc:Choice Requires="wps">
                  <w:drawing>
                    <wp:anchor distT="0" distB="0" distL="114300" distR="114300" simplePos="0" relativeHeight="251658241" behindDoc="0" locked="0" layoutInCell="1" allowOverlap="1" wp14:anchorId="68E33904" wp14:editId="107B2914">
                      <wp:simplePos x="0" y="0"/>
                      <wp:positionH relativeFrom="column">
                        <wp:posOffset>-164080</wp:posOffset>
                      </wp:positionH>
                      <wp:positionV relativeFrom="paragraph">
                        <wp:posOffset>111107</wp:posOffset>
                      </wp:positionV>
                      <wp:extent cx="0" cy="3960254"/>
                      <wp:effectExtent l="0" t="0" r="38100" b="21590"/>
                      <wp:wrapNone/>
                      <wp:docPr id="1487066904" name="Straight Connector 14870669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960254"/>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1EEE77" id="Straight Connector 148706690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8.75pt" to="-12.9pt,3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" strokecolor="window" strokeweight=".5pt">
                      <v:stroke joinstyle="miter"/>
                    </v:line>
                  </w:pict>
                </mc:Fallback>
              </mc:AlternateContent>
            </w:r>
            <w:r w:rsidRPr="00CA3FD7">
              <w:t>Ms O</w:t>
            </w:r>
            <w:r w:rsidR="00FC1B00">
              <w:t>’</w:t>
            </w:r>
            <w:r w:rsidRPr="00CA3FD7">
              <w:t>Connell has extensive domestic and global experience in tax administration, having worked at the</w:t>
            </w:r>
            <w:r w:rsidR="00A23EFC">
              <w:t xml:space="preserve"> </w:t>
            </w:r>
            <w:r w:rsidRPr="00CA3FD7">
              <w:t>ATO for 35 years.</w:t>
            </w:r>
          </w:p>
          <w:p w14:paraId="2BDD87CF" w14:textId="4C34586B" w:rsidR="006877BF" w:rsidRPr="00CA3FD7" w:rsidRDefault="006877BF" w:rsidP="00CA3FD7">
            <w:r w:rsidRPr="00CA3FD7">
              <w:t xml:space="preserve">She was appointed Assistant Commissioner from 2005 to </w:t>
            </w:r>
            <w:r w:rsidR="006012B9" w:rsidRPr="00CA3FD7">
              <w:t>2016 and</w:t>
            </w:r>
            <w:r w:rsidR="00A23EFC">
              <w:t xml:space="preserve"> </w:t>
            </w:r>
            <w:r w:rsidRPr="00CA3FD7">
              <w:t>was a key executive driving the changes to improve the experience for small business owners when dealing with the ATO.</w:t>
            </w:r>
          </w:p>
          <w:p w14:paraId="6CAFE88A" w14:textId="68808A04" w:rsidR="006877BF" w:rsidRPr="00CA3FD7" w:rsidRDefault="006877BF" w:rsidP="00CA3FD7">
            <w:r w:rsidRPr="00CA3FD7">
              <w:t>Ms O</w:t>
            </w:r>
            <w:r w:rsidR="00FC1B00">
              <w:t>’</w:t>
            </w:r>
            <w:r w:rsidRPr="00CA3FD7">
              <w:t>Connell was the former Victorian Small Business Commissioner between 2016 and 2021.</w:t>
            </w:r>
          </w:p>
          <w:p w14:paraId="3378D5E4" w14:textId="7BC135C4" w:rsidR="006877BF" w:rsidRPr="00CA3FD7" w:rsidRDefault="006877BF" w:rsidP="00CA3FD7">
            <w:r w:rsidRPr="00CA3FD7">
              <w:t>She also worked at the Organisation for Economic Co</w:t>
            </w:r>
            <w:r w:rsidR="00FC1B00">
              <w:noBreakHyphen/>
            </w:r>
            <w:r w:rsidRPr="00CA3FD7">
              <w:t>operation and Development (OECD) in Paris as Head of Unit at the Fiscal Affairs Division, where she led the development of an online international tax dialogue between tax administrations.</w:t>
            </w:r>
          </w:p>
          <w:p w14:paraId="3DB26B10" w14:textId="3D8ADE57" w:rsidR="006877BF" w:rsidRPr="00CA3FD7" w:rsidRDefault="47688034" w:rsidP="00CA3FD7">
            <w:r w:rsidRPr="00CA3FD7">
              <w:t>Ms O</w:t>
            </w:r>
            <w:r w:rsidR="00FC1B00">
              <w:t>’</w:t>
            </w:r>
            <w:r w:rsidRPr="00CA3FD7">
              <w:t>Connell works as a short</w:t>
            </w:r>
            <w:r w:rsidR="00FC1B00">
              <w:noBreakHyphen/>
            </w:r>
            <w:r w:rsidRPr="00CA3FD7">
              <w:t xml:space="preserve">term Tax Expert in the Fiscal Affairs Department of the IMF, providing technical assistance to tax administrations. She has a Bachelor of Economics from </w:t>
            </w:r>
            <w:r w:rsidR="7F19EA02">
              <w:t xml:space="preserve">the University of </w:t>
            </w:r>
            <w:r w:rsidRPr="00CA3FD7">
              <w:t>Melbourne.</w:t>
            </w:r>
          </w:p>
          <w:p w14:paraId="3BE9BE18" w14:textId="2FF36D1C" w:rsidR="006877BF" w:rsidRDefault="006877BF" w:rsidP="00CA3FD7">
            <w:pPr>
              <w:rPr>
                <w:bCs w:val="0"/>
              </w:rPr>
            </w:pPr>
            <w:r w:rsidRPr="00CA3FD7">
              <w:t>Ms O</w:t>
            </w:r>
            <w:r w:rsidR="00FC1B00">
              <w:t>’</w:t>
            </w:r>
            <w:r w:rsidRPr="00CA3FD7">
              <w:t>Connell was appointed as a part</w:t>
            </w:r>
            <w:r w:rsidR="00FC1B00">
              <w:noBreakHyphen/>
            </w:r>
            <w:r w:rsidRPr="00CA3FD7">
              <w:t>time Board member for a three</w:t>
            </w:r>
            <w:r w:rsidR="00FC1B00">
              <w:noBreakHyphen/>
            </w:r>
            <w:r w:rsidRPr="00CA3FD7">
              <w:t>year period from 8 December 2023.</w:t>
            </w:r>
          </w:p>
          <w:p w14:paraId="68912893" w14:textId="24CEE1BC" w:rsidR="00212990" w:rsidRPr="00453C0B" w:rsidRDefault="00212990" w:rsidP="00CA3FD7">
            <w:pPr>
              <w:rPr>
                <w:bCs w:val="0"/>
              </w:rPr>
            </w:pPr>
            <w:r w:rsidRPr="00212990">
              <w:t>On 13 November 2024, Ms O</w:t>
            </w:r>
            <w:r w:rsidR="00FC1B00">
              <w:t>’</w:t>
            </w:r>
            <w:r w:rsidRPr="00212990">
              <w:t>Connell was appointed the independent Lead reviewer for the Statutory Review of the Australian Small Business and Family Enterprise Ombudsman.</w:t>
            </w:r>
          </w:p>
        </w:tc>
      </w:tr>
    </w:tbl>
    <w:bookmarkEnd w:id="28"/>
    <w:p w14:paraId="2377FAA5" w14:textId="69E03D07" w:rsidR="001A0503" w:rsidRDefault="001A0503" w:rsidP="001A0503">
      <w:pPr>
        <w:pStyle w:val="Heading3"/>
      </w:pPr>
      <w:r>
        <w:t>Ex</w:t>
      </w:r>
      <w:r w:rsidR="007022A3">
        <w:t xml:space="preserve"> </w:t>
      </w:r>
      <w:r>
        <w:t>officio members</w:t>
      </w:r>
    </w:p>
    <w:tbl>
      <w:tblPr>
        <w:tblStyle w:val="GridTable5Dark-Accent32"/>
        <w:tblW w:w="5000" w:type="pct"/>
        <w:tblBorders>
          <w:insideH w:val="single" w:sz="4" w:space="0" w:color="FFFFFF" w:themeColor="background1"/>
          <w:insideV w:val="single" w:sz="4" w:space="0" w:color="FFFFFF" w:themeColor="background1"/>
        </w:tblBorders>
        <w:shd w:val="clear" w:color="auto" w:fill="DDE3F5" w:themeFill="accent1" w:themeFillTint="1A"/>
        <w:tblLayout w:type="fixed"/>
        <w:tblLook w:val="0620" w:firstRow="1" w:lastRow="0" w:firstColumn="0" w:lastColumn="0" w:noHBand="1" w:noVBand="1"/>
      </w:tblPr>
      <w:tblGrid>
        <w:gridCol w:w="3213"/>
        <w:gridCol w:w="3214"/>
        <w:gridCol w:w="3214"/>
      </w:tblGrid>
      <w:tr w:rsidR="00513551" w:rsidRPr="00453C0B" w14:paraId="663595DF" w14:textId="0E1A49CB" w:rsidTr="771ACB66">
        <w:trPr>
          <w:cnfStyle w:val="100000000000" w:firstRow="1" w:lastRow="0" w:firstColumn="0" w:lastColumn="0" w:oddVBand="0" w:evenVBand="0" w:oddHBand="0" w:evenHBand="0" w:firstRowFirstColumn="0" w:firstRowLastColumn="0" w:lastRowFirstColumn="0" w:lastRowLastColumn="0"/>
          <w:trHeight w:val="2791"/>
        </w:trPr>
        <w:tc>
          <w:tcPr>
            <w:tcW w:w="166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E3F5" w:themeFill="accent1" w:themeFillTint="1A"/>
            <w:hideMark/>
          </w:tcPr>
          <w:sdt>
            <w:sdtPr>
              <w:id w:val="1064144266"/>
              <w:picture/>
            </w:sdtPr>
            <w:sdtEndPr/>
            <w:sdtContent>
              <w:p w14:paraId="1B8CCA20" w14:textId="77777777" w:rsidR="00513551" w:rsidRPr="00453C0B" w:rsidRDefault="00513551" w:rsidP="00DC268C">
                <w:pPr>
                  <w:spacing w:before="180" w:after="0"/>
                </w:pPr>
                <w:r w:rsidRPr="00453C0B">
                  <w:rPr>
                    <w:noProof/>
                  </w:rPr>
                  <w:drawing>
                    <wp:inline distT="0" distB="0" distL="0" distR="0" wp14:anchorId="30C37609" wp14:editId="13E9AF9B">
                      <wp:extent cx="1080000" cy="1080000"/>
                      <wp:effectExtent l="0" t="0" r="6350" b="6350"/>
                      <wp:docPr id="1044661238" name="Picture 1044661238" descr="Rob Heferen, Commissioner of Taxation, Ex-officio Board mem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1238" name="Picture 1044661238" descr="Rob Heferen, Commissioner of Taxation, Ex-officio Board member&#1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0332F4A9" w14:textId="3BC6DAD9" w:rsidR="00513551" w:rsidRPr="00DC268C" w:rsidRDefault="00513551" w:rsidP="00513551">
            <w:pPr>
              <w:pStyle w:val="TableHeading1"/>
              <w:rPr>
                <w:color w:val="701F4D" w:themeColor="accent2"/>
              </w:rPr>
            </w:pPr>
            <w:r w:rsidRPr="00DC268C">
              <w:rPr>
                <w:noProof/>
                <w:color w:val="701F4D" w:themeColor="accent2"/>
                <w:szCs w:val="34"/>
              </w:rPr>
              <w:t xml:space="preserve">Rob </w:t>
            </w:r>
            <w:r w:rsidR="007221F5">
              <w:rPr>
                <w:noProof/>
                <w:color w:val="701F4D" w:themeColor="accent2"/>
                <w:szCs w:val="34"/>
              </w:rPr>
              <w:br/>
            </w:r>
            <w:r w:rsidRPr="00DC268C">
              <w:rPr>
                <w:noProof/>
                <w:color w:val="701F4D" w:themeColor="accent2"/>
                <w:szCs w:val="34"/>
              </w:rPr>
              <w:t>Heferen</w:t>
            </w:r>
          </w:p>
          <w:p w14:paraId="119EAF7D" w14:textId="0E2D9D09" w:rsidR="007221F5" w:rsidRPr="007221F5" w:rsidRDefault="4887ED96" w:rsidP="00513551">
            <w:pPr>
              <w:pStyle w:val="TableTextLeft"/>
            </w:pPr>
            <w:r w:rsidRPr="00520295">
              <w:t>Commissioner of</w:t>
            </w:r>
            <w:r>
              <w:t> </w:t>
            </w:r>
            <w:r w:rsidRPr="00520295">
              <w:t>Taxation, Ex</w:t>
            </w:r>
            <w:r w:rsidR="0057585D">
              <w:t> </w:t>
            </w:r>
            <w:r w:rsidRPr="00520295">
              <w:t>officio Board member</w:t>
            </w:r>
          </w:p>
          <w:p w14:paraId="4B2771C1" w14:textId="268106D1" w:rsidR="00513551" w:rsidRPr="00767886" w:rsidRDefault="00513551" w:rsidP="00513551">
            <w:pPr>
              <w:pStyle w:val="TableTextLeft"/>
              <w:rPr>
                <w:b/>
                <w:bCs w:val="0"/>
              </w:rPr>
            </w:pPr>
            <w:r w:rsidRPr="007221F5">
              <w:rPr>
                <w:b/>
                <w:bCs w:val="0"/>
              </w:rPr>
              <w:t>Term start date: 1</w:t>
            </w:r>
            <w:r>
              <w:rPr>
                <w:b/>
                <w:bCs w:val="0"/>
              </w:rPr>
              <w:t> March </w:t>
            </w:r>
            <w:r w:rsidRPr="00B476D2">
              <w:rPr>
                <w:b/>
                <w:bCs w:val="0"/>
              </w:rPr>
              <w:t>202</w:t>
            </w:r>
            <w:r>
              <w:rPr>
                <w:b/>
                <w:bCs w:val="0"/>
              </w:rPr>
              <w:t>4</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E3F5" w:themeFill="accent1" w:themeFillTint="1A"/>
          </w:tcPr>
          <w:sdt>
            <w:sdtPr>
              <w:id w:val="1967700183"/>
              <w:picture/>
            </w:sdtPr>
            <w:sdtEndPr/>
            <w:sdtContent>
              <w:p w14:paraId="1896D737" w14:textId="77777777" w:rsidR="00513551" w:rsidRPr="00453C0B" w:rsidRDefault="00513551" w:rsidP="00513551">
                <w:pPr>
                  <w:spacing w:before="180" w:after="0"/>
                </w:pPr>
                <w:r w:rsidRPr="00453C0B">
                  <w:rPr>
                    <w:noProof/>
                  </w:rPr>
                  <w:drawing>
                    <wp:inline distT="0" distB="0" distL="0" distR="0" wp14:anchorId="23067564" wp14:editId="25F5985E">
                      <wp:extent cx="1080000" cy="1080000"/>
                      <wp:effectExtent l="0" t="0" r="6350" b="6350"/>
                      <wp:docPr id="1140917168" name="Picture 1140917168" descr="Jenny Wilkinson PSM, Secretary to the Treasury, Ex-officio Board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17168" name="Picture 1140917168" descr="Jenny Wilkinson PSM, Secretary to the Treasury, Ex-officio Board member"/>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6DCB1F7C" w14:textId="00F5E8F9" w:rsidR="00513551" w:rsidRPr="007221F5" w:rsidRDefault="00513551" w:rsidP="00513551">
            <w:pPr>
              <w:pStyle w:val="TableHeading1"/>
              <w:rPr>
                <w:bCs w:val="0"/>
                <w:noProof/>
                <w:color w:val="701F4D" w:themeColor="accent2"/>
              </w:rPr>
            </w:pPr>
            <w:r w:rsidRPr="00DC268C">
              <w:rPr>
                <w:noProof/>
                <w:color w:val="701F4D" w:themeColor="accent2"/>
              </w:rPr>
              <w:t xml:space="preserve">Jenny </w:t>
            </w:r>
            <w:r w:rsidR="007221F5">
              <w:rPr>
                <w:noProof/>
                <w:color w:val="701F4D" w:themeColor="accent2"/>
              </w:rPr>
              <w:br/>
            </w:r>
            <w:r w:rsidRPr="00DC268C">
              <w:rPr>
                <w:noProof/>
                <w:color w:val="701F4D" w:themeColor="accent2"/>
              </w:rPr>
              <w:t>Wilkinson</w:t>
            </w:r>
            <w:r w:rsidR="0057585D">
              <w:rPr>
                <w:noProof/>
                <w:color w:val="701F4D" w:themeColor="accent2"/>
              </w:rPr>
              <w:t> </w:t>
            </w:r>
            <w:r w:rsidRPr="00DC268C">
              <w:rPr>
                <w:noProof/>
                <w:color w:val="701F4D" w:themeColor="accent2"/>
              </w:rPr>
              <w:t>PSM</w:t>
            </w:r>
          </w:p>
          <w:p w14:paraId="2483D554" w14:textId="11BE305E" w:rsidR="00513551" w:rsidRPr="007221F5" w:rsidRDefault="4887ED96" w:rsidP="00513551">
            <w:pPr>
              <w:pStyle w:val="TableTextLeft"/>
            </w:pPr>
            <w:r w:rsidRPr="00402242">
              <w:t>Secretary to the Treasury, Ex</w:t>
            </w:r>
            <w:r w:rsidR="0057585D">
              <w:t> </w:t>
            </w:r>
            <w:r w:rsidRPr="00402242">
              <w:t>officio Board member</w:t>
            </w:r>
          </w:p>
          <w:p w14:paraId="40E72A08" w14:textId="167124AC" w:rsidR="00513551" w:rsidRPr="007221F5" w:rsidRDefault="00513551" w:rsidP="007221F5">
            <w:pPr>
              <w:pStyle w:val="TableTextLeft"/>
              <w:rPr>
                <w:b/>
                <w:bCs w:val="0"/>
              </w:rPr>
            </w:pPr>
            <w:r w:rsidRPr="007221F5">
              <w:rPr>
                <w:b/>
                <w:bCs w:val="0"/>
              </w:rPr>
              <w:t xml:space="preserve">Term start date: </w:t>
            </w:r>
            <w:r w:rsidRPr="007221F5">
              <w:rPr>
                <w:b/>
                <w:bCs w:val="0"/>
              </w:rPr>
              <w:br/>
              <w:t>16 June 2025</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E3F5" w:themeFill="accent1" w:themeFillTint="1A"/>
          </w:tcPr>
          <w:sdt>
            <w:sdtPr>
              <w:id w:val="-1567865439"/>
              <w:picture/>
            </w:sdtPr>
            <w:sdtEndPr/>
            <w:sdtContent>
              <w:p w14:paraId="4BCB4BDD" w14:textId="77777777" w:rsidR="00513551" w:rsidRPr="00453C0B" w:rsidRDefault="00513551" w:rsidP="00513551">
                <w:pPr>
                  <w:spacing w:before="180" w:after="0"/>
                </w:pPr>
                <w:r w:rsidRPr="00453C0B">
                  <w:rPr>
                    <w:noProof/>
                  </w:rPr>
                  <w:drawing>
                    <wp:inline distT="0" distB="0" distL="0" distR="0" wp14:anchorId="210C1413" wp14:editId="676AEA87">
                      <wp:extent cx="1080000" cy="1080000"/>
                      <wp:effectExtent l="0" t="0" r="6350" b="6350"/>
                      <wp:docPr id="95980878" name="Picture 95980878" descr="Meredith Leigh&#10;First Parliamentary Counsel, Ex-officio Board member, Board of Ta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6350" name="Picture 1500096350" descr="Meredith Leigh&#10;First Parliamentary Counsel, Ex-officio Board member, Board of Taxation"/>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sdtContent>
          </w:sdt>
          <w:p w14:paraId="512A3301" w14:textId="61E98F5A" w:rsidR="00513551" w:rsidRPr="00DC268C" w:rsidRDefault="00513551" w:rsidP="00513551">
            <w:pPr>
              <w:pStyle w:val="TableHeading1"/>
              <w:rPr>
                <w:color w:val="701F4D" w:themeColor="accent2"/>
              </w:rPr>
            </w:pPr>
            <w:r w:rsidRPr="00DC268C">
              <w:rPr>
                <w:noProof/>
                <w:color w:val="701F4D" w:themeColor="accent2"/>
                <w:szCs w:val="34"/>
              </w:rPr>
              <w:t xml:space="preserve">Meredith </w:t>
            </w:r>
            <w:r w:rsidR="007221F5">
              <w:rPr>
                <w:noProof/>
                <w:color w:val="701F4D" w:themeColor="accent2"/>
                <w:szCs w:val="34"/>
              </w:rPr>
              <w:br/>
            </w:r>
            <w:r w:rsidRPr="00DC268C">
              <w:rPr>
                <w:noProof/>
                <w:color w:val="701F4D" w:themeColor="accent2"/>
                <w:szCs w:val="34"/>
              </w:rPr>
              <w:t>Leigh</w:t>
            </w:r>
          </w:p>
          <w:p w14:paraId="5AF37F69" w14:textId="7E50CB45" w:rsidR="00513551" w:rsidRPr="007221F5" w:rsidRDefault="4887ED96" w:rsidP="00513551">
            <w:pPr>
              <w:pStyle w:val="TableTextLeft"/>
            </w:pPr>
            <w:r w:rsidRPr="00BA26C1">
              <w:t>First Parliamentary Counsel, Ex</w:t>
            </w:r>
            <w:r w:rsidR="0057585D">
              <w:t> </w:t>
            </w:r>
            <w:r w:rsidRPr="00BA26C1">
              <w:t>officio Board member</w:t>
            </w:r>
          </w:p>
          <w:p w14:paraId="218DA31A" w14:textId="4A6BB503" w:rsidR="00513551" w:rsidRPr="007221F5" w:rsidRDefault="00513551" w:rsidP="007221F5">
            <w:pPr>
              <w:pStyle w:val="TableTextLeft"/>
              <w:rPr>
                <w:b/>
                <w:bCs w:val="0"/>
              </w:rPr>
            </w:pPr>
            <w:r w:rsidRPr="007221F5">
              <w:rPr>
                <w:b/>
                <w:bCs w:val="0"/>
              </w:rPr>
              <w:t>Term start date: 11 October 2021</w:t>
            </w:r>
          </w:p>
        </w:tc>
      </w:tr>
    </w:tbl>
    <w:p w14:paraId="22A50509" w14:textId="4E2322F1" w:rsidR="002F3E00" w:rsidRPr="007D0FA4" w:rsidRDefault="002F3E00" w:rsidP="00835F65">
      <w:pPr>
        <w:pStyle w:val="Heading1"/>
        <w:spacing w:before="0"/>
      </w:pPr>
      <w:bookmarkStart w:id="29" w:name="_Toc149905528"/>
      <w:bookmarkStart w:id="30" w:name="_Toc209006409"/>
      <w:bookmarkStart w:id="31" w:name="_Toc212631276"/>
      <w:r w:rsidRPr="00093B41">
        <w:lastRenderedPageBreak/>
        <w:t>Stakeholder communication and</w:t>
      </w:r>
      <w:r w:rsidR="009D4CF0" w:rsidRPr="00093B41">
        <w:t xml:space="preserve"> </w:t>
      </w:r>
      <w:r w:rsidRPr="00093B41">
        <w:t>engagement</w:t>
      </w:r>
      <w:bookmarkEnd w:id="29"/>
      <w:bookmarkEnd w:id="30"/>
      <w:bookmarkEnd w:id="31"/>
    </w:p>
    <w:p w14:paraId="579A472C" w14:textId="4DE4C40A" w:rsidR="00D345B8" w:rsidRDefault="002F3E00" w:rsidP="006F268C">
      <w:pPr>
        <w:spacing w:after="200"/>
      </w:pPr>
      <w:r w:rsidRPr="005014BA">
        <w:t>The role of the Board is to be a trusted adviser to the</w:t>
      </w:r>
      <w:r w:rsidR="003057FA">
        <w:t xml:space="preserve"> g</w:t>
      </w:r>
      <w:r w:rsidRPr="005014BA">
        <w:t>overnment</w:t>
      </w:r>
      <w:r w:rsidR="00165F3F">
        <w:t xml:space="preserve">, and to bring a </w:t>
      </w:r>
      <w:r w:rsidR="00CD429F">
        <w:t>business and community perspective on the tax system</w:t>
      </w:r>
      <w:r w:rsidRPr="005014BA">
        <w:t xml:space="preserve">. </w:t>
      </w:r>
      <w:r w:rsidR="00BB1D11" w:rsidRPr="00BB1D11">
        <w:t xml:space="preserve">Our role is to operate as an independent advisory voice, providing </w:t>
      </w:r>
      <w:r w:rsidR="00D22FAD">
        <w:t>an informed and practical</w:t>
      </w:r>
      <w:r w:rsidR="00BB1D11" w:rsidRPr="00BB1D11">
        <w:t xml:space="preserve"> lens to the formulation, administration and implementation of tax laws</w:t>
      </w:r>
      <w:r w:rsidR="00D22FAD">
        <w:t xml:space="preserve">. </w:t>
      </w:r>
    </w:p>
    <w:p w14:paraId="762E0BE3" w14:textId="0E24C3D2" w:rsidR="000D24B0" w:rsidRDefault="00892EDD" w:rsidP="006F268C">
      <w:pPr>
        <w:spacing w:after="200"/>
      </w:pPr>
      <w:r>
        <w:t>During the 202</w:t>
      </w:r>
      <w:r w:rsidR="00895793">
        <w:t>4</w:t>
      </w:r>
      <w:r w:rsidR="00BF2C32">
        <w:t>–</w:t>
      </w:r>
      <w:r>
        <w:t>2</w:t>
      </w:r>
      <w:r w:rsidR="00895793">
        <w:t>5</w:t>
      </w:r>
      <w:r>
        <w:t xml:space="preserve"> reporting year, the Board</w:t>
      </w:r>
      <w:r w:rsidR="00895793">
        <w:t xml:space="preserve"> focused on improving </w:t>
      </w:r>
      <w:r w:rsidR="00611436">
        <w:t xml:space="preserve">our transparency and communications to stakeholders and the broader business community. </w:t>
      </w:r>
      <w:r w:rsidR="00DC7DC1">
        <w:t>We</w:t>
      </w:r>
      <w:r w:rsidR="000D24B0">
        <w:t xml:space="preserve"> </w:t>
      </w:r>
      <w:r w:rsidR="00611436">
        <w:t>increas</w:t>
      </w:r>
      <w:r w:rsidR="000D24B0">
        <w:t>ed</w:t>
      </w:r>
      <w:r w:rsidR="00611436">
        <w:t xml:space="preserve"> </w:t>
      </w:r>
      <w:r w:rsidR="00DC7DC1">
        <w:t xml:space="preserve">our </w:t>
      </w:r>
      <w:r w:rsidR="00611436">
        <w:t xml:space="preserve">digital </w:t>
      </w:r>
      <w:r w:rsidR="00F703CB">
        <w:t>presence</w:t>
      </w:r>
      <w:r w:rsidR="00611436">
        <w:t xml:space="preserve"> through more regular social media posts on LinkedIn, updates to the Board</w:t>
      </w:r>
      <w:r w:rsidR="00FC1B00">
        <w:t>’</w:t>
      </w:r>
      <w:r w:rsidR="00611436">
        <w:t>s website</w:t>
      </w:r>
      <w:r w:rsidR="00F83300">
        <w:t xml:space="preserve">, </w:t>
      </w:r>
      <w:r w:rsidR="00611436">
        <w:t xml:space="preserve">and </w:t>
      </w:r>
      <w:r w:rsidR="006912FC">
        <w:t xml:space="preserve">updated </w:t>
      </w:r>
      <w:r w:rsidR="00F83300">
        <w:t xml:space="preserve">our </w:t>
      </w:r>
      <w:r w:rsidR="00611436">
        <w:t>news</w:t>
      </w:r>
      <w:r w:rsidR="00DD7518">
        <w:t>letter</w:t>
      </w:r>
      <w:r w:rsidR="00885420">
        <w:t xml:space="preserve"> (</w:t>
      </w:r>
      <w:r w:rsidR="00794B99">
        <w:t>now</w:t>
      </w:r>
      <w:r w:rsidR="00FC1B00">
        <w:t> </w:t>
      </w:r>
      <w:r w:rsidR="00794B99">
        <w:t xml:space="preserve">titled </w:t>
      </w:r>
      <w:r w:rsidR="00D55748">
        <w:t>‘</w:t>
      </w:r>
      <w:r w:rsidR="00EB2487">
        <w:t xml:space="preserve">The </w:t>
      </w:r>
      <w:r w:rsidR="00DD7518">
        <w:t>Board</w:t>
      </w:r>
      <w:r w:rsidR="00FC1B00">
        <w:t>’</w:t>
      </w:r>
      <w:r w:rsidR="00EB2487">
        <w:t>s</w:t>
      </w:r>
      <w:r w:rsidR="00DD7518">
        <w:t xml:space="preserve"> Bulletin</w:t>
      </w:r>
      <w:r w:rsidR="00D55748">
        <w:t>’</w:t>
      </w:r>
      <w:r w:rsidR="00DD7518">
        <w:t xml:space="preserve">). </w:t>
      </w:r>
    </w:p>
    <w:p w14:paraId="0B8577E8" w14:textId="66E974E4" w:rsidR="00F703CB" w:rsidRDefault="001B1FFA" w:rsidP="006F268C">
      <w:pPr>
        <w:spacing w:after="200"/>
      </w:pPr>
      <w:r>
        <w:t>At the beginning of the reporting year, t</w:t>
      </w:r>
      <w:r w:rsidR="00F703CB">
        <w:t xml:space="preserve">he S&amp;TC </w:t>
      </w:r>
      <w:r w:rsidR="004227C7">
        <w:t>appeared on the CPA Australia</w:t>
      </w:r>
      <w:r w:rsidR="00FC1B00">
        <w:t>’</w:t>
      </w:r>
      <w:r w:rsidR="004227C7">
        <w:t xml:space="preserve">s podcast series </w:t>
      </w:r>
      <w:r>
        <w:t>where he</w:t>
      </w:r>
      <w:r w:rsidR="000F784E">
        <w:t> </w:t>
      </w:r>
      <w:r>
        <w:t>explained the role of the Board</w:t>
      </w:r>
      <w:r w:rsidR="00802772">
        <w:t xml:space="preserve">, our key focus areas and work program. </w:t>
      </w:r>
      <w:r w:rsidR="00BF50E3">
        <w:t>Other podcast appearances are</w:t>
      </w:r>
      <w:r w:rsidR="000F784E">
        <w:t> </w:t>
      </w:r>
      <w:r w:rsidR="00997EED">
        <w:t>planned</w:t>
      </w:r>
      <w:r w:rsidR="00BF50E3">
        <w:t xml:space="preserve">. </w:t>
      </w:r>
    </w:p>
    <w:p w14:paraId="3518B794" w14:textId="3CA6E3D3" w:rsidR="00E761A8" w:rsidRDefault="00E761A8" w:rsidP="006F268C">
      <w:pPr>
        <w:spacing w:after="200"/>
      </w:pPr>
      <w:r>
        <w:t xml:space="preserve">The latest edition of </w:t>
      </w:r>
      <w:r w:rsidR="00031314">
        <w:t>T</w:t>
      </w:r>
      <w:r>
        <w:t>he Board</w:t>
      </w:r>
      <w:r w:rsidR="00FC1B00">
        <w:t>’</w:t>
      </w:r>
      <w:r>
        <w:t>s Bulletin and more information about the latest Podcast appearances are available on the Board</w:t>
      </w:r>
      <w:r w:rsidR="00FC1B00">
        <w:t>’</w:t>
      </w:r>
      <w:r>
        <w:t xml:space="preserve">s website. </w:t>
      </w:r>
    </w:p>
    <w:p w14:paraId="2D66D8B0" w14:textId="5C418C59" w:rsidR="000F4F37" w:rsidRDefault="003E577D" w:rsidP="006F268C">
      <w:pPr>
        <w:spacing w:after="200"/>
      </w:pPr>
      <w:r>
        <w:t xml:space="preserve">Throughout the reporting year, the Board maintained its new strategy for stakeholder engagement, meeting with numerous stakeholder groups at our regular Board meetings around the country. In addition, the Board held several out of session meetings with the CPA Australia, The Tax Institute and the Corporate Tax Association, to name a few. </w:t>
      </w:r>
      <w:r w:rsidR="00305AC6">
        <w:t xml:space="preserve">These engagements allowed the Board to </w:t>
      </w:r>
      <w:r w:rsidR="00251117">
        <w:t>connect</w:t>
      </w:r>
      <w:r w:rsidR="00305AC6">
        <w:t xml:space="preserve"> with a diverse range of stakeholder groups to </w:t>
      </w:r>
      <w:r w:rsidR="00636249">
        <w:t>hear about current trends and issues impacting their industrie</w:t>
      </w:r>
      <w:r w:rsidR="0090752A">
        <w:t xml:space="preserve">s, and in turn provide </w:t>
      </w:r>
      <w:r w:rsidR="3CBBE7CA">
        <w:t>real-time</w:t>
      </w:r>
      <w:r w:rsidR="002532CF">
        <w:t xml:space="preserve"> advice to the </w:t>
      </w:r>
      <w:r w:rsidR="003057FA">
        <w:t>g</w:t>
      </w:r>
      <w:r w:rsidR="002532CF">
        <w:t xml:space="preserve">overnment </w:t>
      </w:r>
      <w:r w:rsidR="0090752A">
        <w:t>which</w:t>
      </w:r>
      <w:r w:rsidR="00C35189">
        <w:t xml:space="preserve"> helps inform our future work program. </w:t>
      </w:r>
    </w:p>
    <w:p w14:paraId="48204F24" w14:textId="46BC1AAD" w:rsidR="000F784E" w:rsidRDefault="004A3554" w:rsidP="000F784E">
      <w:pPr>
        <w:spacing w:after="200"/>
      </w:pPr>
      <w:r>
        <w:t>The timeline below outlines the Board</w:t>
      </w:r>
      <w:r w:rsidR="00FC1B00">
        <w:t>’</w:t>
      </w:r>
      <w:r>
        <w:t xml:space="preserve">s formal </w:t>
      </w:r>
      <w:r w:rsidR="00E705D2">
        <w:t>stakeholder engagements held during the 2024</w:t>
      </w:r>
      <w:r w:rsidR="000F784E">
        <w:t>–</w:t>
      </w:r>
      <w:r w:rsidR="00E705D2">
        <w:t>25</w:t>
      </w:r>
      <w:r w:rsidR="000F784E">
        <w:t xml:space="preserve"> </w:t>
      </w:r>
      <w:r w:rsidR="00E705D2">
        <w:t xml:space="preserve">reporting year. </w:t>
      </w:r>
    </w:p>
    <w:p w14:paraId="7D4FF7E0" w14:textId="1B668C47" w:rsidR="000F784E" w:rsidRDefault="000F784E" w:rsidP="000F784E">
      <w:pPr>
        <w:pStyle w:val="ChartGraphic"/>
      </w:pPr>
      <w:r>
        <w:rPr>
          <w:noProof/>
        </w:rPr>
        <w:drawing>
          <wp:inline distT="0" distB="0" distL="0" distR="0" wp14:anchorId="15FD917F" wp14:editId="67A2E9F9">
            <wp:extent cx="6119568" cy="1924493"/>
            <wp:effectExtent l="0" t="0" r="0" b="0"/>
            <wp:docPr id="492049942" name="Picture 1" descr="A timeline showing the Board of Taxation's formal stakeholder engagements during the 2024-25 reporting year:&#10;- May 2024, Small Business&#10;- July 2024, Private Wealth&#10;- August 2024, Academics&#10;- September 2024, Oil &amp; Gas Industry&#10;- September 2024, Indigenous Businesses&#10;- October 2024, Digital Service Providers&#10;- February 2025, Professional Associations&#10;- June 2025, Superannuation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49942" name="Picture 1" descr="A timeline showing the Board of Taxation's formal stakeholder engagements during the 2024-25 reporting year:&#10;- May 2024, Small Business&#10;- July 2024, Private Wealth&#10;- August 2024, Academics&#10;- September 2024, Oil &amp; Gas Industry&#10;- September 2024, Indigenous Businesses&#10;- October 2024, Digital Service Providers&#10;- February 2025, Professional Associations&#10;- June 2025, Superannuation Funds"/>
                    <pic:cNvPicPr>
                      <a:picLocks noChangeAspect="1" noChangeArrowheads="1"/>
                    </pic:cNvPicPr>
                  </pic:nvPicPr>
                  <pic:blipFill>
                    <a:blip r:embed="rId36">
                      <a:extLst>
                        <a:ext uri="{96DAC541-7B7A-43D3-8B79-37D633B846F1}">
                          <asvg:svgBlip xmlns:asvg="http://schemas.microsoft.com/office/drawing/2016/SVG/main" r:embed="rId37"/>
                        </a:ext>
                      </a:extLst>
                    </a:blip>
                    <a:srcRect t="13360" b="13360"/>
                    <a:stretch>
                      <a:fillRect/>
                    </a:stretch>
                  </pic:blipFill>
                  <pic:spPr bwMode="auto">
                    <a:xfrm>
                      <a:off x="0" y="0"/>
                      <a:ext cx="6119568" cy="1924493"/>
                    </a:xfrm>
                    <a:prstGeom prst="rect">
                      <a:avLst/>
                    </a:prstGeom>
                    <a:extLst>
                      <a:ext uri="{53640926-AAD7-44D8-BBD7-CCE9431645EC}">
                        <a14:shadowObscured xmlns:a14="http://schemas.microsoft.com/office/drawing/2010/main"/>
                      </a:ext>
                    </a:extLst>
                  </pic:spPr>
                </pic:pic>
              </a:graphicData>
            </a:graphic>
          </wp:inline>
        </w:drawing>
      </w:r>
    </w:p>
    <w:p w14:paraId="3A1C9521" w14:textId="7414AC45" w:rsidR="00093B41" w:rsidRDefault="00093B41" w:rsidP="006F47DA">
      <w:r w:rsidRPr="005014BA">
        <w:lastRenderedPageBreak/>
        <w:t>The Board</w:t>
      </w:r>
      <w:r>
        <w:t xml:space="preserve"> would like to thank </w:t>
      </w:r>
      <w:r w:rsidR="00D41BE5">
        <w:t xml:space="preserve">stakeholders </w:t>
      </w:r>
      <w:r>
        <w:t>who engaged with us over the course of the 202</w:t>
      </w:r>
      <w:r w:rsidR="00F84141">
        <w:t>4</w:t>
      </w:r>
      <w:r>
        <w:t>–2</w:t>
      </w:r>
      <w:r w:rsidR="00F84141">
        <w:t>5</w:t>
      </w:r>
      <w:r>
        <w:t xml:space="preserve"> reporting year. We appreciate stakeholders taking the time to provide insights and share experiences with the Board, which makes a tangible difference in the quality of our discussions, recommendations and overall progress in shaping the future of tax reform in Australia.</w:t>
      </w:r>
    </w:p>
    <w:p w14:paraId="3489FACC" w14:textId="0151F6EB" w:rsidR="003E577D" w:rsidRDefault="003E577D" w:rsidP="003E577D">
      <w:pPr>
        <w:rPr>
          <w:rStyle w:val="Strong"/>
        </w:rPr>
      </w:pPr>
      <w:r>
        <w:t xml:space="preserve">A full list of Stakeholder events hosted by the Board is included at </w:t>
      </w:r>
      <w:hyperlink w:anchor="Appendix_D" w:history="1">
        <w:r w:rsidRPr="007917E1">
          <w:rPr>
            <w:b/>
            <w:bCs/>
          </w:rPr>
          <w:t>Appendix D: Board meetings and stakeholder events</w:t>
        </w:r>
      </w:hyperlink>
      <w:r w:rsidRPr="007917E1">
        <w:t>.</w:t>
      </w:r>
    </w:p>
    <w:p w14:paraId="2A677102" w14:textId="2CEB0A5E" w:rsidR="00EB566E" w:rsidRPr="00EB566E" w:rsidRDefault="002F3E00" w:rsidP="00430BF7">
      <w:pPr>
        <w:pStyle w:val="Heading2"/>
      </w:pPr>
      <w:bookmarkStart w:id="32" w:name="_Toc159253844"/>
      <w:bookmarkStart w:id="33" w:name="_Toc209006590"/>
      <w:r w:rsidRPr="00D63A46" w:rsidDel="00315AA5">
        <w:t>Review consultations</w:t>
      </w:r>
      <w:bookmarkEnd w:id="32"/>
      <w:bookmarkEnd w:id="33"/>
    </w:p>
    <w:p w14:paraId="7E43BB27" w14:textId="640D3140" w:rsidR="00A00E17" w:rsidRDefault="00BE7E0B" w:rsidP="006F47DA">
      <w:pPr>
        <w:pStyle w:val="ChartGraphic"/>
      </w:pPr>
      <w:r>
        <w:rPr>
          <w:noProof/>
        </w:rPr>
        <w:drawing>
          <wp:inline distT="0" distB="0" distL="0" distR="0" wp14:anchorId="242C60EE" wp14:editId="1E49E1A7">
            <wp:extent cx="5310401" cy="2659332"/>
            <wp:effectExtent l="19050" t="19050" r="24130" b="27305"/>
            <wp:docPr id="2084030117" name="Picture 2" descr="A graphic inviting people to 'Have your  say' to the Board of Taxati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30117" name="Picture 2" descr="A graphic inviting people to 'Have your  say' to the Board of Taxation. ">
                      <a:extLst>
                        <a:ext uri="{C183D7F6-B498-43B3-948B-1728B52AA6E4}">
                          <adec:decorative xmlns:adec="http://schemas.microsoft.com/office/drawing/2017/decorative" val="0"/>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43896" cy="2676106"/>
                    </a:xfrm>
                    <a:prstGeom prst="rect">
                      <a:avLst/>
                    </a:prstGeom>
                    <a:noFill/>
                    <a:ln>
                      <a:solidFill>
                        <a:schemeClr val="accent1"/>
                      </a:solidFill>
                    </a:ln>
                  </pic:spPr>
                </pic:pic>
              </a:graphicData>
            </a:graphic>
          </wp:inline>
        </w:drawing>
      </w:r>
    </w:p>
    <w:p w14:paraId="524C7CC3" w14:textId="41BDFD24" w:rsidR="00A00E17" w:rsidRPr="00EB566E" w:rsidRDefault="00A00E17" w:rsidP="00A00E17">
      <w:pPr>
        <w:pStyle w:val="Caption"/>
      </w:pPr>
      <w:r w:rsidRPr="00A00E17">
        <w:t xml:space="preserve">Image: a graphic for </w:t>
      </w:r>
      <w:r w:rsidR="00FC1B00">
        <w:t>‘</w:t>
      </w:r>
      <w:r w:rsidR="00052DF7">
        <w:t>Have your save</w:t>
      </w:r>
      <w:r w:rsidR="00FC1B00">
        <w:t>’</w:t>
      </w:r>
      <w:r w:rsidR="00052DF7">
        <w:t xml:space="preserve"> relating to consultation</w:t>
      </w:r>
      <w:r w:rsidRPr="00A00E17">
        <w:t xml:space="preserve"> for the Board of Taxation. </w:t>
      </w:r>
    </w:p>
    <w:p w14:paraId="6C8C1AFB" w14:textId="4557C476" w:rsidR="00621D7E" w:rsidRDefault="00BD063A" w:rsidP="00840002">
      <w:pPr>
        <w:spacing w:after="200"/>
      </w:pPr>
      <w:r w:rsidRPr="005014BA" w:rsidDel="00315AA5">
        <w:t>During</w:t>
      </w:r>
      <w:r w:rsidR="00033209" w:rsidRPr="005014BA" w:rsidDel="00315AA5">
        <w:t xml:space="preserve"> a review the</w:t>
      </w:r>
      <w:r w:rsidR="00033209" w:rsidDel="00315AA5">
        <w:t xml:space="preserve"> Board</w:t>
      </w:r>
      <w:r w:rsidR="00033209" w:rsidRPr="005014BA" w:rsidDel="00315AA5">
        <w:t xml:space="preserve"> </w:t>
      </w:r>
      <w:r w:rsidR="00840002">
        <w:t>will</w:t>
      </w:r>
      <w:r w:rsidR="00840002" w:rsidRPr="005014BA" w:rsidDel="00315AA5">
        <w:t xml:space="preserve"> </w:t>
      </w:r>
      <w:r w:rsidR="00033209" w:rsidRPr="005014BA" w:rsidDel="00315AA5">
        <w:t xml:space="preserve">canvass stakeholder views </w:t>
      </w:r>
      <w:r w:rsidR="00840002">
        <w:t xml:space="preserve">to inform its work. </w:t>
      </w:r>
      <w:r w:rsidR="0023716A">
        <w:t>Upon commencement</w:t>
      </w:r>
      <w:r w:rsidR="00E01276">
        <w:t xml:space="preserve">, </w:t>
      </w:r>
      <w:r w:rsidR="00E70639">
        <w:t xml:space="preserve">the Board </w:t>
      </w:r>
      <w:r w:rsidR="00EF54C3">
        <w:t>typically</w:t>
      </w:r>
      <w:r w:rsidR="00E70639">
        <w:t xml:space="preserve"> </w:t>
      </w:r>
      <w:r w:rsidR="004B3FCB">
        <w:t>publishes</w:t>
      </w:r>
      <w:r w:rsidR="00E70639">
        <w:t xml:space="preserve"> a consultation paper seeking </w:t>
      </w:r>
      <w:r w:rsidR="00D75FE1">
        <w:t xml:space="preserve">feedback from a broad cross section of stakeholders to help inform its views on the </w:t>
      </w:r>
      <w:proofErr w:type="gramStart"/>
      <w:r w:rsidR="00D75FE1">
        <w:t xml:space="preserve">particular </w:t>
      </w:r>
      <w:r w:rsidR="00220132">
        <w:t>t</w:t>
      </w:r>
      <w:r w:rsidR="008801DA">
        <w:t>erms</w:t>
      </w:r>
      <w:proofErr w:type="gramEnd"/>
      <w:r w:rsidR="008801DA">
        <w:t xml:space="preserve"> of </w:t>
      </w:r>
      <w:r w:rsidR="00220132">
        <w:t>r</w:t>
      </w:r>
      <w:r w:rsidR="00D75FE1">
        <w:t>eference</w:t>
      </w:r>
      <w:r w:rsidR="00BE554D">
        <w:t>. Consultation papers are published on the Board</w:t>
      </w:r>
      <w:r w:rsidR="00FC1B00">
        <w:t>’</w:t>
      </w:r>
      <w:r w:rsidR="00BE554D">
        <w:t>s website and promoted through the Board</w:t>
      </w:r>
      <w:r w:rsidR="00FC1B00">
        <w:t>’</w:t>
      </w:r>
      <w:r w:rsidR="00BE554D">
        <w:t xml:space="preserve">s </w:t>
      </w:r>
      <w:r w:rsidR="00314EBF">
        <w:t>social media platform</w:t>
      </w:r>
      <w:r w:rsidR="007F0A3E">
        <w:t xml:space="preserve"> on</w:t>
      </w:r>
      <w:r w:rsidR="00314EBF">
        <w:t xml:space="preserve"> LinkedIn</w:t>
      </w:r>
      <w:r w:rsidR="007F0A3E">
        <w:t>.</w:t>
      </w:r>
      <w:r w:rsidR="00025A90">
        <w:t xml:space="preserve"> The Board seeks </w:t>
      </w:r>
      <w:r w:rsidR="00065FF9">
        <w:t>feedback through written</w:t>
      </w:r>
      <w:r w:rsidR="00B31470">
        <w:t xml:space="preserve"> submissions </w:t>
      </w:r>
      <w:r w:rsidR="00065FF9">
        <w:t>as well as through</w:t>
      </w:r>
      <w:r w:rsidR="00B31470">
        <w:t xml:space="preserve"> roundtable</w:t>
      </w:r>
      <w:r w:rsidR="00771EA7">
        <w:t xml:space="preserve"> meetings</w:t>
      </w:r>
      <w:r w:rsidR="007C5D19">
        <w:t>, which are open to all interested stakeholders</w:t>
      </w:r>
      <w:r w:rsidR="00DE1E7A">
        <w:t xml:space="preserve">. </w:t>
      </w:r>
    </w:p>
    <w:p w14:paraId="7694A2E1" w14:textId="7800926E" w:rsidR="00F4365A" w:rsidRDefault="00810B57" w:rsidP="00EB566E">
      <w:r>
        <w:t>In addition to the formal consultation process, f</w:t>
      </w:r>
      <w:r w:rsidR="00621D7E">
        <w:t xml:space="preserve">or each </w:t>
      </w:r>
      <w:r w:rsidR="006C11F2">
        <w:t xml:space="preserve">review the </w:t>
      </w:r>
      <w:r w:rsidR="006A4B43">
        <w:t>Secretariat manages a</w:t>
      </w:r>
      <w:r w:rsidR="006C11F2">
        <w:t xml:space="preserve"> functional mailbox, </w:t>
      </w:r>
      <w:r>
        <w:t xml:space="preserve">and interested parties are </w:t>
      </w:r>
      <w:r w:rsidR="00065FF9">
        <w:t>encouraged</w:t>
      </w:r>
      <w:r>
        <w:t xml:space="preserve"> to engage with the Board throughout the course</w:t>
      </w:r>
      <w:r w:rsidR="00E94B13">
        <w:t xml:space="preserve"> </w:t>
      </w:r>
      <w:r>
        <w:t xml:space="preserve">of the review. </w:t>
      </w:r>
      <w:r w:rsidR="00065FF9">
        <w:t>This information is promoted through the Board</w:t>
      </w:r>
      <w:r w:rsidR="00FC1B00">
        <w:t>’</w:t>
      </w:r>
      <w:r w:rsidR="00065FF9">
        <w:t>s website and social media channels.</w:t>
      </w:r>
    </w:p>
    <w:p w14:paraId="36120691" w14:textId="477B7949" w:rsidR="008D08F7" w:rsidRDefault="00A86EAB" w:rsidP="00EB566E">
      <w:r w:rsidRPr="0005242D">
        <w:t xml:space="preserve">To support the Board in addressing the </w:t>
      </w:r>
      <w:r w:rsidR="00152A60">
        <w:t>t</w:t>
      </w:r>
      <w:r w:rsidRPr="0005242D">
        <w:t xml:space="preserve">erms of </w:t>
      </w:r>
      <w:r w:rsidR="00152A60">
        <w:t>r</w:t>
      </w:r>
      <w:r w:rsidRPr="0005242D">
        <w:t xml:space="preserve">eference for </w:t>
      </w:r>
      <w:r w:rsidR="00152A60">
        <w:t>a</w:t>
      </w:r>
      <w:r w:rsidRPr="0005242D">
        <w:t xml:space="preserve"> review, </w:t>
      </w:r>
      <w:r w:rsidR="00B6289C" w:rsidRPr="0005242D">
        <w:t>the</w:t>
      </w:r>
      <w:r w:rsidR="002F3E00" w:rsidRPr="0005242D" w:rsidDel="00315AA5">
        <w:t xml:space="preserve"> Board utilises a working group model. </w:t>
      </w:r>
      <w:r w:rsidR="001717F1" w:rsidRPr="0005242D">
        <w:t>S</w:t>
      </w:r>
      <w:r w:rsidR="002F3E00" w:rsidRPr="0005242D" w:rsidDel="00315AA5">
        <w:t>ubject matter experts</w:t>
      </w:r>
      <w:r w:rsidR="001717F1" w:rsidRPr="0005242D">
        <w:t xml:space="preserve"> are </w:t>
      </w:r>
      <w:r w:rsidR="004E5BD3">
        <w:t xml:space="preserve">generally </w:t>
      </w:r>
      <w:r w:rsidR="001717F1" w:rsidRPr="0005242D">
        <w:t>identified by the Board through the consultation process and invited</w:t>
      </w:r>
      <w:r w:rsidR="002F3E00" w:rsidRPr="0005242D" w:rsidDel="00315AA5">
        <w:t xml:space="preserve"> to become part of the working group for the duration of the review project.</w:t>
      </w:r>
    </w:p>
    <w:p w14:paraId="669F60F6" w14:textId="7DE40C45" w:rsidR="00380243" w:rsidRPr="00CF573F" w:rsidRDefault="00380243" w:rsidP="00CF573F">
      <w:pPr>
        <w:pStyle w:val="Heading2"/>
      </w:pPr>
      <w:bookmarkStart w:id="34" w:name="_Ref150947882"/>
      <w:bookmarkStart w:id="35" w:name="_Toc159253847"/>
      <w:bookmarkStart w:id="36" w:name="_Toc209006593"/>
      <w:r w:rsidRPr="006172B0">
        <w:lastRenderedPageBreak/>
        <w:t xml:space="preserve">Engagement with </w:t>
      </w:r>
      <w:r w:rsidR="008D67A1" w:rsidRPr="006172B0">
        <w:t xml:space="preserve">the </w:t>
      </w:r>
      <w:r w:rsidR="003057FA">
        <w:t xml:space="preserve">Australian </w:t>
      </w:r>
      <w:r w:rsidR="008D67A1" w:rsidRPr="006172B0">
        <w:t>Government, Treasury and</w:t>
      </w:r>
      <w:r w:rsidR="00EB3412" w:rsidRPr="006172B0">
        <w:t> </w:t>
      </w:r>
      <w:r w:rsidR="008D67A1" w:rsidRPr="006172B0">
        <w:t>the</w:t>
      </w:r>
      <w:r w:rsidR="00835F65" w:rsidRPr="006172B0">
        <w:t> </w:t>
      </w:r>
      <w:r w:rsidR="008D67A1" w:rsidRPr="006172B0">
        <w:t>ATO</w:t>
      </w:r>
      <w:bookmarkEnd w:id="34"/>
      <w:bookmarkEnd w:id="35"/>
      <w:bookmarkEnd w:id="36"/>
    </w:p>
    <w:p w14:paraId="7F8842CB" w14:textId="725D4115" w:rsidR="00380243" w:rsidRDefault="00016AA7" w:rsidP="00835F65">
      <w:r>
        <w:t>The Board has continued to embrace its role as a trusted advis</w:t>
      </w:r>
      <w:r w:rsidR="00C44F64">
        <w:t>e</w:t>
      </w:r>
      <w:r>
        <w:t xml:space="preserve">r to </w:t>
      </w:r>
      <w:r w:rsidR="00867351">
        <w:t>g</w:t>
      </w:r>
      <w:r>
        <w:t xml:space="preserve">overnment, Treasury, and </w:t>
      </w:r>
      <w:r w:rsidR="00691BDE">
        <w:t xml:space="preserve">the </w:t>
      </w:r>
      <w:r w:rsidR="00FE21ED">
        <w:t>ATO</w:t>
      </w:r>
      <w:r>
        <w:t xml:space="preserve"> by providing advice throughout the 202</w:t>
      </w:r>
      <w:r w:rsidR="00724A3E">
        <w:t>4</w:t>
      </w:r>
      <w:r w:rsidR="005348C7">
        <w:t>–</w:t>
      </w:r>
      <w:r>
        <w:t>2</w:t>
      </w:r>
      <w:r w:rsidR="00724A3E">
        <w:t>5</w:t>
      </w:r>
      <w:r>
        <w:t xml:space="preserve"> </w:t>
      </w:r>
      <w:r w:rsidR="00152A60">
        <w:t>reporting year</w:t>
      </w:r>
      <w:r w:rsidR="004313E4">
        <w:t>.</w:t>
      </w:r>
    </w:p>
    <w:p w14:paraId="376522CC" w14:textId="7E6E47CC" w:rsidR="00E57D93" w:rsidRPr="006F47DA" w:rsidRDefault="00CC1940" w:rsidP="006F47DA">
      <w:r w:rsidRPr="006F47DA">
        <w:t>Th</w:t>
      </w:r>
      <w:r w:rsidR="00EB0AF0" w:rsidRPr="006F47DA">
        <w:t xml:space="preserve">roughout the </w:t>
      </w:r>
      <w:r w:rsidR="00152A60" w:rsidRPr="006F47DA">
        <w:t>reporting year</w:t>
      </w:r>
      <w:r w:rsidR="00EB0AF0" w:rsidRPr="006F47DA">
        <w:t>, th</w:t>
      </w:r>
      <w:r w:rsidRPr="006F47DA">
        <w:t xml:space="preserve">e Chair </w:t>
      </w:r>
      <w:r w:rsidR="00EB0AF0" w:rsidRPr="006F47DA">
        <w:t>met</w:t>
      </w:r>
      <w:r w:rsidRPr="006F47DA">
        <w:t xml:space="preserve"> with the Treasurer, the Hon Dr Jim Chalmers MP</w:t>
      </w:r>
      <w:r w:rsidR="006B73F2" w:rsidRPr="006F47DA">
        <w:t xml:space="preserve"> and</w:t>
      </w:r>
      <w:r w:rsidRPr="006F47DA">
        <w:t xml:space="preserve"> the </w:t>
      </w:r>
      <w:r w:rsidR="002E38FB" w:rsidRPr="006F47DA">
        <w:t xml:space="preserve">former </w:t>
      </w:r>
      <w:r w:rsidR="00262E05" w:rsidRPr="006F47DA">
        <w:t xml:space="preserve">Assistant Treasurer, the </w:t>
      </w:r>
      <w:r w:rsidRPr="006F47DA">
        <w:t>Hon Stephen Jones MP</w:t>
      </w:r>
      <w:r w:rsidR="002E0966">
        <w:rPr>
          <w:rStyle w:val="FootnoteReference"/>
        </w:rPr>
        <w:footnoteReference w:id="3"/>
      </w:r>
      <w:r w:rsidR="006B73F2" w:rsidRPr="006F47DA">
        <w:t xml:space="preserve"> </w:t>
      </w:r>
      <w:r w:rsidRPr="006F47DA">
        <w:t>to discuss the Board</w:t>
      </w:r>
      <w:r w:rsidR="00FC1B00">
        <w:t>’</w:t>
      </w:r>
      <w:r w:rsidRPr="006F47DA">
        <w:t>s work program and provide advice on the tax issues that</w:t>
      </w:r>
      <w:r w:rsidR="00152A60" w:rsidRPr="006F47DA">
        <w:t xml:space="preserve"> are</w:t>
      </w:r>
      <w:r w:rsidRPr="006F47DA">
        <w:t xml:space="preserve"> important to the business and wider community. </w:t>
      </w:r>
      <w:r w:rsidR="00DC7898" w:rsidRPr="006F47DA">
        <w:t xml:space="preserve">Additionally, </w:t>
      </w:r>
      <w:r w:rsidR="006D1DDD" w:rsidRPr="006F47DA">
        <w:t xml:space="preserve">during the </w:t>
      </w:r>
      <w:r w:rsidR="00152A60" w:rsidRPr="006F47DA">
        <w:t>reporting year</w:t>
      </w:r>
      <w:r w:rsidR="006D1DDD" w:rsidRPr="006F47DA">
        <w:t xml:space="preserve">, </w:t>
      </w:r>
      <w:r w:rsidR="00DC7898" w:rsidRPr="006F47DA">
        <w:t>the</w:t>
      </w:r>
      <w:r w:rsidR="005348C7" w:rsidRPr="006F47DA">
        <w:t> </w:t>
      </w:r>
      <w:r w:rsidR="00DC7898" w:rsidRPr="006F47DA">
        <w:t xml:space="preserve">Chair </w:t>
      </w:r>
      <w:r w:rsidR="00ED36E2" w:rsidRPr="006F47DA">
        <w:t xml:space="preserve">had </w:t>
      </w:r>
      <w:proofErr w:type="gramStart"/>
      <w:r w:rsidR="00ED36E2" w:rsidRPr="006F47DA">
        <w:t>a number of</w:t>
      </w:r>
      <w:proofErr w:type="gramEnd"/>
      <w:r w:rsidR="00ED36E2" w:rsidRPr="006F47DA">
        <w:t xml:space="preserve"> meetings</w:t>
      </w:r>
      <w:r w:rsidR="00DC7898" w:rsidRPr="006F47DA">
        <w:t xml:space="preserve"> with the</w:t>
      </w:r>
      <w:r w:rsidR="006D1DDD" w:rsidRPr="006F47DA">
        <w:t xml:space="preserve"> Commissioner of Taxation, along with other senior ATO and Treasury representatives. </w:t>
      </w:r>
      <w:bookmarkStart w:id="37" w:name="_Toc159253849"/>
      <w:bookmarkStart w:id="38" w:name="_Toc209006594"/>
      <w:r w:rsidR="00E57D93" w:rsidRPr="006F47DA">
        <w:br w:type="page"/>
      </w:r>
    </w:p>
    <w:p w14:paraId="72E4D57C" w14:textId="79832666" w:rsidR="00EB3412" w:rsidRPr="00EB566E" w:rsidRDefault="002F3E00" w:rsidP="00EB3412">
      <w:pPr>
        <w:pStyle w:val="Heading2"/>
      </w:pPr>
      <w:r w:rsidRPr="00AF13D3">
        <w:lastRenderedPageBreak/>
        <w:t>Sounding Board +</w:t>
      </w:r>
      <w:bookmarkEnd w:id="37"/>
      <w:bookmarkEnd w:id="38"/>
    </w:p>
    <w:p w14:paraId="0F81DF68" w14:textId="11C6F7E3" w:rsidR="00B674E9" w:rsidRDefault="002F3E00" w:rsidP="00F36D98">
      <w:r w:rsidRPr="005014BA" w:rsidDel="00CD405B">
        <w:t xml:space="preserve">The Board invites contributions from stakeholders through </w:t>
      </w:r>
      <w:r w:rsidRPr="005014BA">
        <w:t>Sounding Board +</w:t>
      </w:r>
      <w:r w:rsidRPr="005014BA" w:rsidDel="00CD405B">
        <w:t>, a web</w:t>
      </w:r>
      <w:r w:rsidR="00505523">
        <w:t>–</w:t>
      </w:r>
      <w:r w:rsidRPr="005014BA" w:rsidDel="00CD405B">
        <w:t xml:space="preserve">based collaborative platform where stakeholders from the broader community can submit ideas to improve the </w:t>
      </w:r>
      <w:r w:rsidRPr="005014BA">
        <w:t>Australian</w:t>
      </w:r>
      <w:r w:rsidRPr="005014BA" w:rsidDel="00CD405B">
        <w:t xml:space="preserve"> tax</w:t>
      </w:r>
      <w:r w:rsidRPr="005014BA">
        <w:t>ation</w:t>
      </w:r>
      <w:r w:rsidRPr="005014BA" w:rsidDel="00CD405B">
        <w:t xml:space="preserve"> system</w:t>
      </w:r>
      <w:r w:rsidRPr="005014BA">
        <w:t>.</w:t>
      </w:r>
      <w:r>
        <w:rPr>
          <w:rStyle w:val="FootnoteReference"/>
        </w:rPr>
        <w:footnoteReference w:id="4"/>
      </w:r>
      <w:r w:rsidRPr="005014BA">
        <w:t xml:space="preserve"> </w:t>
      </w:r>
      <w:r w:rsidR="00FF3024" w:rsidRPr="005014BA">
        <w:t xml:space="preserve">At each of the regular Board meetings, the Board looks at all new ideas </w:t>
      </w:r>
      <w:r w:rsidR="000D6A2A" w:rsidRPr="00202B87">
        <w:t>submitted</w:t>
      </w:r>
      <w:r w:rsidR="00FF3024" w:rsidRPr="00202B87">
        <w:t xml:space="preserve"> </w:t>
      </w:r>
      <w:r w:rsidR="00FF3024" w:rsidRPr="005014BA">
        <w:t xml:space="preserve">to Sounding Board +. </w:t>
      </w:r>
      <w:r w:rsidR="00B674E9" w:rsidRPr="005014BA">
        <w:t>Where suitable, the Board will advocate a pathway for their implementation via legislative or administrative means</w:t>
      </w:r>
      <w:r w:rsidR="00B674E9">
        <w:t>.</w:t>
      </w:r>
    </w:p>
    <w:p w14:paraId="28677F88" w14:textId="4DECF453" w:rsidR="003743FD" w:rsidRPr="003743FD" w:rsidRDefault="003743FD" w:rsidP="003743FD">
      <w:r w:rsidRPr="005014BA">
        <w:t>Sounding Board +</w:t>
      </w:r>
      <w:r w:rsidRPr="005014BA" w:rsidDel="00CD405B">
        <w:t xml:space="preserve"> </w:t>
      </w:r>
      <w:r w:rsidRPr="003743FD">
        <w:t xml:space="preserve">is not a forum for substantive tax policy proposals (e.g. altering tax rates, changing the tax mix or removing certain types of taxes altogether) or ideas that would require significant changes to the tax system. However, inevitably some ideas of this nature are advanced by the community and accordingly we have included a category for these policy ideas – which remain matters for </w:t>
      </w:r>
      <w:r w:rsidR="003057FA">
        <w:t>g</w:t>
      </w:r>
      <w:r w:rsidRPr="003743FD">
        <w:t>overnment.</w:t>
      </w:r>
    </w:p>
    <w:p w14:paraId="40093DF4" w14:textId="22C2AFD0" w:rsidR="003743FD" w:rsidRDefault="003743FD" w:rsidP="00765A17">
      <w:r w:rsidRPr="003743FD">
        <w:t xml:space="preserve">To make it easier to review the ideas that have been contributed by the community and to better manage community expectations, </w:t>
      </w:r>
      <w:r>
        <w:t>the Board</w:t>
      </w:r>
      <w:r w:rsidRPr="003743FD">
        <w:t xml:space="preserve"> collect</w:t>
      </w:r>
      <w:r>
        <w:t>s</w:t>
      </w:r>
      <w:r w:rsidRPr="003743FD">
        <w:t xml:space="preserve"> ideas on </w:t>
      </w:r>
      <w:r w:rsidRPr="005014BA">
        <w:t>Sounding Board +</w:t>
      </w:r>
      <w:r>
        <w:t xml:space="preserve"> </w:t>
      </w:r>
      <w:r w:rsidRPr="003743FD">
        <w:t xml:space="preserve">under one of five categories. </w:t>
      </w:r>
    </w:p>
    <w:p w14:paraId="50141621" w14:textId="0489563C" w:rsidR="00765A17" w:rsidRPr="003743FD" w:rsidRDefault="00765A17" w:rsidP="00926315">
      <w:pPr>
        <w:pStyle w:val="ChartGraphic"/>
      </w:pPr>
      <w:r>
        <w:rPr>
          <w:noProof/>
        </w:rPr>
        <w:drawing>
          <wp:inline distT="0" distB="0" distL="0" distR="0" wp14:anchorId="73EDEBCA" wp14:editId="18B13AD8">
            <wp:extent cx="5533219" cy="3347085"/>
            <wp:effectExtent l="0" t="0" r="0" b="5715"/>
            <wp:docPr id="1790135618" name="Picture 1" descr="Image outlining the idea categories for the Board of Taxation's Sounding Board+:&#10;- Sweating the small stuff: typos and slip ups&#10;- What were they thinking: clarifying the policy&#10;- Too taxing: reducing red tape&#10;- Can government &#10;fix it: policy improvements&#10;- Tell it to the Tax Office: administrative fi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35618" name="Picture 1" descr="Image outlining the idea categories for the Board of Taxation's Sounding Board+:&#10;- Sweating the small stuff: typos and slip ups&#10;- What were they thinking: clarifying the policy&#10;- Too taxing: reducing red tape&#10;- Can government &#10;fix it: policy improvements&#10;- Tell it to the Tax Office: administrative fixes"/>
                    <pic:cNvPicPr>
                      <a:picLocks noChangeAspect="1" noChangeArrowheads="1"/>
                    </pic:cNvPicPr>
                  </pic:nvPicPr>
                  <pic:blipFill>
                    <a:blip r:embed="rId39">
                      <a:extLst>
                        <a:ext uri="{96DAC541-7B7A-43D3-8B79-37D633B846F1}">
                          <asvg:svgBlip xmlns:asvg="http://schemas.microsoft.com/office/drawing/2016/SVG/main" r:embed="rId40"/>
                        </a:ext>
                      </a:extLst>
                    </a:blip>
                    <a:stretch>
                      <a:fillRect/>
                    </a:stretch>
                  </pic:blipFill>
                  <pic:spPr bwMode="auto">
                    <a:xfrm>
                      <a:off x="0" y="0"/>
                      <a:ext cx="5533219" cy="3347085"/>
                    </a:xfrm>
                    <a:prstGeom prst="rect">
                      <a:avLst/>
                    </a:prstGeom>
                  </pic:spPr>
                </pic:pic>
              </a:graphicData>
            </a:graphic>
          </wp:inline>
        </w:drawing>
      </w:r>
    </w:p>
    <w:p w14:paraId="0265036F" w14:textId="5AC77A47" w:rsidR="007B63C4" w:rsidRDefault="00313680" w:rsidP="00F36D98">
      <w:r>
        <w:t>While</w:t>
      </w:r>
      <w:r w:rsidR="003743FD">
        <w:t xml:space="preserve"> the Board continued to promote the platform through social media and at stakeholder meetings and speaking engagements</w:t>
      </w:r>
      <w:r>
        <w:t xml:space="preserve"> during the reporting year, </w:t>
      </w:r>
      <w:r w:rsidR="0030342E">
        <w:t>the</w:t>
      </w:r>
      <w:r w:rsidR="0030342E" w:rsidRPr="005014BA">
        <w:t xml:space="preserve"> Board </w:t>
      </w:r>
      <w:r w:rsidR="0030342E">
        <w:t xml:space="preserve">is in the process of evaluating the suitability of the </w:t>
      </w:r>
      <w:r w:rsidR="0030342E" w:rsidRPr="005014BA">
        <w:t>Sounding Board +</w:t>
      </w:r>
      <w:r w:rsidR="0030342E">
        <w:t xml:space="preserve"> to collect stakeholder feedback and ideas from the broader tax community. </w:t>
      </w:r>
    </w:p>
    <w:p w14:paraId="496EEC6B" w14:textId="145E9F67" w:rsidR="002F3E00" w:rsidRPr="00026B43" w:rsidRDefault="002F3E00" w:rsidP="00F36D98">
      <w:r w:rsidRPr="005014BA">
        <w:t>Ideas for taxation system improvement can be submitted via Sounding Board +</w:t>
      </w:r>
      <w:r w:rsidR="00313680">
        <w:t xml:space="preserve"> on the Board</w:t>
      </w:r>
      <w:r w:rsidR="00FC1B00">
        <w:t>’</w:t>
      </w:r>
      <w:r w:rsidR="00313680">
        <w:t>s website.</w:t>
      </w:r>
    </w:p>
    <w:p w14:paraId="796D3771" w14:textId="6FB4B50E" w:rsidR="00E95862" w:rsidRPr="00E95862" w:rsidRDefault="00901C66" w:rsidP="0031220C">
      <w:pPr>
        <w:pStyle w:val="Heading1"/>
      </w:pPr>
      <w:bookmarkStart w:id="39" w:name="_Ref150950427"/>
      <w:bookmarkStart w:id="40" w:name="_Toc209006410"/>
      <w:bookmarkStart w:id="41" w:name="_Toc212631277"/>
      <w:r w:rsidRPr="00AF13D3">
        <w:lastRenderedPageBreak/>
        <w:t>Activities of the Board in 202</w:t>
      </w:r>
      <w:r w:rsidR="00072FB1" w:rsidRPr="00AF13D3">
        <w:t>4</w:t>
      </w:r>
      <w:r w:rsidR="0024114E" w:rsidRPr="00AF13D3">
        <w:t>–</w:t>
      </w:r>
      <w:r w:rsidRPr="00AF13D3">
        <w:t>2</w:t>
      </w:r>
      <w:bookmarkEnd w:id="39"/>
      <w:bookmarkEnd w:id="40"/>
      <w:r w:rsidR="00072FB1" w:rsidRPr="00AF13D3">
        <w:t>5</w:t>
      </w:r>
      <w:bookmarkStart w:id="42" w:name="_Toc149905530"/>
      <w:bookmarkEnd w:id="41"/>
    </w:p>
    <w:p w14:paraId="50FA79CD" w14:textId="297378C7" w:rsidR="00FB6EA2" w:rsidRPr="0024114E" w:rsidRDefault="00E82BEE" w:rsidP="0031220C">
      <w:pPr>
        <w:pStyle w:val="Heading2"/>
        <w:spacing w:before="120"/>
      </w:pPr>
      <w:bookmarkStart w:id="43" w:name="_Ref150943725"/>
      <w:bookmarkStart w:id="44" w:name="_Ref160099060"/>
      <w:bookmarkStart w:id="45" w:name="_Toc209006596"/>
      <w:bookmarkStart w:id="46" w:name="_Toc149905531"/>
      <w:bookmarkStart w:id="47" w:name="_Ref150856772"/>
      <w:bookmarkStart w:id="48" w:name="_Toc159253852"/>
      <w:bookmarkEnd w:id="42"/>
      <w:r>
        <w:t xml:space="preserve">Announced publication of </w:t>
      </w:r>
      <w:r w:rsidR="00FB6EA2">
        <w:t>review/project</w:t>
      </w:r>
      <w:bookmarkEnd w:id="43"/>
      <w:bookmarkEnd w:id="44"/>
      <w:bookmarkEnd w:id="45"/>
      <w:r w:rsidR="00A0152E">
        <w:t xml:space="preserve"> reports</w:t>
      </w:r>
    </w:p>
    <w:p w14:paraId="26CBFB7B" w14:textId="37BBA6E2" w:rsidR="002F3E00" w:rsidRDefault="002F3E00" w:rsidP="0024114E">
      <w:pPr>
        <w:pStyle w:val="Heading3"/>
      </w:pPr>
      <w:bookmarkStart w:id="49" w:name="_Ref160098996"/>
      <w:bookmarkEnd w:id="46"/>
      <w:bookmarkEnd w:id="47"/>
      <w:bookmarkEnd w:id="48"/>
      <w:r>
        <w:t xml:space="preserve">Review of the </w:t>
      </w:r>
      <w:r w:rsidR="006609F1">
        <w:t>T</w:t>
      </w:r>
      <w:r>
        <w:t xml:space="preserve">ax </w:t>
      </w:r>
      <w:r w:rsidR="006609F1">
        <w:t>T</w:t>
      </w:r>
      <w:r>
        <w:t xml:space="preserve">reatment of </w:t>
      </w:r>
      <w:r w:rsidR="006609F1">
        <w:t>D</w:t>
      </w:r>
      <w:r>
        <w:t xml:space="preserve">igital </w:t>
      </w:r>
      <w:r w:rsidR="00DB00C6">
        <w:t>A</w:t>
      </w:r>
      <w:r>
        <w:t xml:space="preserve">ssets and </w:t>
      </w:r>
      <w:r w:rsidR="00DB00C6">
        <w:t>T</w:t>
      </w:r>
      <w:r>
        <w:t>ransactions in</w:t>
      </w:r>
      <w:r w:rsidR="0024114E">
        <w:t> </w:t>
      </w:r>
      <w:r>
        <w:t>Australia</w:t>
      </w:r>
      <w:bookmarkEnd w:id="49"/>
    </w:p>
    <w:p w14:paraId="7A7B6A2F" w14:textId="1665F6FC" w:rsidR="002F3E00" w:rsidRPr="005014BA" w:rsidRDefault="002F3E00" w:rsidP="002F3E00">
      <w:pPr>
        <w:spacing w:after="200"/>
      </w:pPr>
      <w:r w:rsidRPr="005014BA">
        <w:t xml:space="preserve">On 21 March 2022, the former </w:t>
      </w:r>
      <w:r w:rsidR="0010706A">
        <w:t>g</w:t>
      </w:r>
      <w:r w:rsidRPr="005014BA">
        <w:t xml:space="preserve">overnment released the Terms of Reference for a review of the </w:t>
      </w:r>
      <w:r w:rsidR="00BB7CFB">
        <w:t>t</w:t>
      </w:r>
      <w:r w:rsidRPr="005014BA">
        <w:t>axation</w:t>
      </w:r>
      <w:r>
        <w:t xml:space="preserve"> treatment</w:t>
      </w:r>
      <w:r w:rsidRPr="005014BA">
        <w:t xml:space="preserve"> of </w:t>
      </w:r>
      <w:r>
        <w:t>d</w:t>
      </w:r>
      <w:r w:rsidRPr="005014BA">
        <w:t xml:space="preserve">igital </w:t>
      </w:r>
      <w:r>
        <w:t>a</w:t>
      </w:r>
      <w:r w:rsidRPr="005014BA">
        <w:t xml:space="preserve">ssets (crypto assets) and </w:t>
      </w:r>
      <w:r>
        <w:t>t</w:t>
      </w:r>
      <w:r w:rsidRPr="005014BA">
        <w:t>ransactions in Australia</w:t>
      </w:r>
      <w:r w:rsidR="00FA72AC">
        <w:t>,</w:t>
      </w:r>
      <w:r w:rsidRPr="005014BA">
        <w:t xml:space="preserve"> which were confirmed by the </w:t>
      </w:r>
      <w:r w:rsidR="002C5149">
        <w:t xml:space="preserve">current </w:t>
      </w:r>
      <w:r w:rsidR="003057FA">
        <w:t>g</w:t>
      </w:r>
      <w:r w:rsidRPr="005014BA">
        <w:t>overnment in August 2022</w:t>
      </w:r>
      <w:r>
        <w:t>.</w:t>
      </w:r>
    </w:p>
    <w:p w14:paraId="6BA583DF" w14:textId="1E299C75" w:rsidR="002F3E00" w:rsidRDefault="002F3E00" w:rsidP="002F3E00">
      <w:pPr>
        <w:spacing w:after="200"/>
      </w:pPr>
      <w:r w:rsidRPr="00316C6A">
        <w:t>The purpose of th</w:t>
      </w:r>
      <w:r>
        <w:t>e</w:t>
      </w:r>
      <w:r w:rsidRPr="00316C6A">
        <w:t xml:space="preserve"> review</w:t>
      </w:r>
      <w:r w:rsidR="00657F8A">
        <w:t xml:space="preserve"> was </w:t>
      </w:r>
      <w:r w:rsidRPr="00316C6A">
        <w:t xml:space="preserve">to consider the appropriate framework for the taxation of digital assets and transactions. The review </w:t>
      </w:r>
      <w:r w:rsidRPr="003C693A">
        <w:t>analyse</w:t>
      </w:r>
      <w:r w:rsidR="00BB3812" w:rsidRPr="003C693A">
        <w:t>d</w:t>
      </w:r>
      <w:r w:rsidRPr="00316C6A">
        <w:t xml:space="preserve"> the characteristics of digital assets and transactions in the market, </w:t>
      </w:r>
      <w:r w:rsidR="00374C16">
        <w:t xml:space="preserve">their </w:t>
      </w:r>
      <w:r w:rsidRPr="00316C6A">
        <w:t>Australia</w:t>
      </w:r>
      <w:r w:rsidR="00FC1B00">
        <w:t>’</w:t>
      </w:r>
      <w:r w:rsidRPr="00316C6A">
        <w:t xml:space="preserve">s tax treatment, investor awareness of that treatment, the international experience in the taxation of these assets and whether any changes to Australian taxation laws and/or their administration </w:t>
      </w:r>
      <w:r w:rsidR="002D6A2C">
        <w:t>w</w:t>
      </w:r>
      <w:r w:rsidRPr="00316C6A">
        <w:t>e</w:t>
      </w:r>
      <w:r w:rsidR="002D6A2C">
        <w:t>re</w:t>
      </w:r>
      <w:r w:rsidRPr="00316C6A">
        <w:t xml:space="preserve"> required. </w:t>
      </w:r>
    </w:p>
    <w:p w14:paraId="117AADC4" w14:textId="77777777" w:rsidR="006066F3" w:rsidRPr="006066F3" w:rsidRDefault="006066F3" w:rsidP="006066F3">
      <w:pPr>
        <w:spacing w:after="200"/>
      </w:pPr>
      <w:r w:rsidRPr="006066F3">
        <w:t>The Board held consultations throughout September 2022 attended by representatives from:</w:t>
      </w:r>
    </w:p>
    <w:p w14:paraId="2A68EB4E" w14:textId="77777777" w:rsidR="006066F3" w:rsidRPr="006066F3" w:rsidRDefault="006066F3" w:rsidP="00446FDF">
      <w:pPr>
        <w:pStyle w:val="Bullet"/>
      </w:pPr>
      <w:r w:rsidRPr="006066F3">
        <w:t>the tax profession</w:t>
      </w:r>
    </w:p>
    <w:p w14:paraId="1617E488" w14:textId="77777777" w:rsidR="006066F3" w:rsidRPr="006066F3" w:rsidRDefault="006066F3" w:rsidP="00446FDF">
      <w:pPr>
        <w:pStyle w:val="Bullet"/>
      </w:pPr>
      <w:r w:rsidRPr="006066F3">
        <w:t>academia</w:t>
      </w:r>
    </w:p>
    <w:p w14:paraId="2DA6FD0A" w14:textId="77777777" w:rsidR="006066F3" w:rsidRPr="006066F3" w:rsidRDefault="006066F3" w:rsidP="00446FDF">
      <w:pPr>
        <w:pStyle w:val="Bullet"/>
      </w:pPr>
      <w:r w:rsidRPr="006066F3">
        <w:t>crypto exchanges and platforms</w:t>
      </w:r>
    </w:p>
    <w:p w14:paraId="7A4634FB" w14:textId="77777777" w:rsidR="006066F3" w:rsidRPr="006066F3" w:rsidRDefault="006066F3" w:rsidP="00446FDF">
      <w:pPr>
        <w:pStyle w:val="Bullet"/>
      </w:pPr>
      <w:r w:rsidRPr="006066F3">
        <w:t>software providers</w:t>
      </w:r>
    </w:p>
    <w:p w14:paraId="726B84E8" w14:textId="77777777" w:rsidR="006066F3" w:rsidRPr="006066F3" w:rsidRDefault="006066F3" w:rsidP="00446FDF">
      <w:pPr>
        <w:pStyle w:val="Bullet"/>
      </w:pPr>
      <w:r w:rsidRPr="006066F3">
        <w:t>retail and wholesale investors.</w:t>
      </w:r>
    </w:p>
    <w:p w14:paraId="21D69EB6" w14:textId="77777777" w:rsidR="006066F3" w:rsidRPr="006066F3" w:rsidRDefault="006066F3" w:rsidP="006066F3">
      <w:pPr>
        <w:spacing w:after="200"/>
      </w:pPr>
      <w:r w:rsidRPr="006066F3">
        <w:t>Following the initial public consultation process, the Board undertook extensive consultation in Australia and with international revenue authorities.</w:t>
      </w:r>
    </w:p>
    <w:p w14:paraId="7FD2499E" w14:textId="60C0EB6D" w:rsidR="002F3E00" w:rsidRDefault="002F3E00" w:rsidP="0024114E">
      <w:pPr>
        <w:rPr>
          <w:spacing w:val="-2"/>
        </w:rPr>
      </w:pPr>
      <w:r w:rsidRPr="0024114E">
        <w:rPr>
          <w:spacing w:val="-2"/>
        </w:rPr>
        <w:t>The</w:t>
      </w:r>
      <w:r w:rsidR="00F37ACE">
        <w:rPr>
          <w:spacing w:val="-2"/>
        </w:rPr>
        <w:t xml:space="preserve"> Board delivered its</w:t>
      </w:r>
      <w:r w:rsidR="00C32D43">
        <w:rPr>
          <w:spacing w:val="-2"/>
        </w:rPr>
        <w:t xml:space="preserve"> </w:t>
      </w:r>
      <w:r w:rsidR="00446FDF">
        <w:rPr>
          <w:spacing w:val="-2"/>
        </w:rPr>
        <w:t>289</w:t>
      </w:r>
      <w:r w:rsidR="00FC1B00">
        <w:rPr>
          <w:spacing w:val="-2"/>
        </w:rPr>
        <w:noBreakHyphen/>
      </w:r>
      <w:r w:rsidR="00446FDF">
        <w:rPr>
          <w:spacing w:val="-2"/>
        </w:rPr>
        <w:t>page</w:t>
      </w:r>
      <w:r w:rsidR="00BB2C96">
        <w:rPr>
          <w:spacing w:val="-2"/>
        </w:rPr>
        <w:t xml:space="preserve"> </w:t>
      </w:r>
      <w:r w:rsidR="00510628">
        <w:rPr>
          <w:spacing w:val="-2"/>
        </w:rPr>
        <w:t>final</w:t>
      </w:r>
      <w:r w:rsidRPr="0024114E">
        <w:rPr>
          <w:spacing w:val="-2"/>
        </w:rPr>
        <w:t xml:space="preserve"> report to </w:t>
      </w:r>
      <w:r w:rsidR="003057FA">
        <w:rPr>
          <w:spacing w:val="-2"/>
        </w:rPr>
        <w:t>g</w:t>
      </w:r>
      <w:r w:rsidRPr="0024114E">
        <w:rPr>
          <w:spacing w:val="-2"/>
        </w:rPr>
        <w:t xml:space="preserve">overnment </w:t>
      </w:r>
      <w:r w:rsidR="00F37ACE">
        <w:rPr>
          <w:spacing w:val="-2"/>
        </w:rPr>
        <w:t>o</w:t>
      </w:r>
      <w:r w:rsidR="00326C00">
        <w:rPr>
          <w:spacing w:val="-2"/>
        </w:rPr>
        <w:t>n</w:t>
      </w:r>
      <w:r w:rsidR="005B5E0D">
        <w:rPr>
          <w:spacing w:val="-2"/>
        </w:rPr>
        <w:t xml:space="preserve"> </w:t>
      </w:r>
      <w:r w:rsidR="00F37ACE">
        <w:rPr>
          <w:spacing w:val="-2"/>
        </w:rPr>
        <w:t>23</w:t>
      </w:r>
      <w:r w:rsidR="00BB507F">
        <w:rPr>
          <w:spacing w:val="-2"/>
        </w:rPr>
        <w:t> </w:t>
      </w:r>
      <w:r w:rsidR="00BB2C96">
        <w:rPr>
          <w:spacing w:val="-2"/>
        </w:rPr>
        <w:t>February</w:t>
      </w:r>
      <w:r w:rsidR="00BB507F">
        <w:rPr>
          <w:spacing w:val="-2"/>
        </w:rPr>
        <w:t> </w:t>
      </w:r>
      <w:r w:rsidR="00BB2C96">
        <w:rPr>
          <w:spacing w:val="-2"/>
        </w:rPr>
        <w:t>2024</w:t>
      </w:r>
      <w:r w:rsidR="001D5A50">
        <w:rPr>
          <w:spacing w:val="-2"/>
        </w:rPr>
        <w:t>.</w:t>
      </w:r>
    </w:p>
    <w:p w14:paraId="685BA1A9" w14:textId="6414922E" w:rsidR="00E57D93" w:rsidRDefault="00204598">
      <w:pPr>
        <w:rPr>
          <w:spacing w:val="-2"/>
        </w:rPr>
      </w:pPr>
      <w:r>
        <w:rPr>
          <w:spacing w:val="-2"/>
        </w:rPr>
        <w:t xml:space="preserve">On </w:t>
      </w:r>
      <w:r w:rsidR="006066F3">
        <w:rPr>
          <w:spacing w:val="-2"/>
        </w:rPr>
        <w:t xml:space="preserve">21 March 2025, the </w:t>
      </w:r>
      <w:r w:rsidR="003057FA">
        <w:rPr>
          <w:spacing w:val="-2"/>
        </w:rPr>
        <w:t>g</w:t>
      </w:r>
      <w:r w:rsidR="006066F3">
        <w:rPr>
          <w:spacing w:val="-2"/>
        </w:rPr>
        <w:t xml:space="preserve">overnment </w:t>
      </w:r>
      <w:r w:rsidR="00FE3A1B" w:rsidRPr="00FE3A1B">
        <w:rPr>
          <w:spacing w:val="-2"/>
        </w:rPr>
        <w:t>announced the publication of the</w:t>
      </w:r>
      <w:r w:rsidR="00FE3A1B">
        <w:rPr>
          <w:spacing w:val="-2"/>
        </w:rPr>
        <w:t xml:space="preserve"> final report. </w:t>
      </w:r>
      <w:r w:rsidR="00E57D93">
        <w:rPr>
          <w:spacing w:val="-2"/>
        </w:rPr>
        <w:br w:type="page"/>
      </w:r>
    </w:p>
    <w:p w14:paraId="55CE7568" w14:textId="5CF61A4B" w:rsidR="00E14D6D" w:rsidRPr="00E14D6D" w:rsidRDefault="00E14D6D" w:rsidP="00E14D6D">
      <w:pPr>
        <w:rPr>
          <w:spacing w:val="-2"/>
        </w:rPr>
      </w:pPr>
      <w:r w:rsidRPr="00E14D6D">
        <w:rPr>
          <w:spacing w:val="-2"/>
        </w:rPr>
        <w:lastRenderedPageBreak/>
        <w:t xml:space="preserve">The Board reached four broad </w:t>
      </w:r>
      <w:bookmarkStart w:id="50" w:name="_Hlk193803591"/>
      <w:r w:rsidRPr="00E14D6D">
        <w:rPr>
          <w:spacing w:val="-2"/>
        </w:rPr>
        <w:t xml:space="preserve">conclusions: </w:t>
      </w:r>
    </w:p>
    <w:bookmarkEnd w:id="50"/>
    <w:p w14:paraId="6C7B00BA" w14:textId="3FE955C6" w:rsidR="00E14D6D" w:rsidRPr="00E14D6D" w:rsidRDefault="00E14D6D" w:rsidP="00C65B60">
      <w:pPr>
        <w:pStyle w:val="Bullet"/>
      </w:pPr>
      <w:r w:rsidRPr="00E14D6D">
        <w:t>The taxation of crypto assets and transactions can generally be accommodated by Australia</w:t>
      </w:r>
      <w:r w:rsidR="00FC1B00">
        <w:t>’</w:t>
      </w:r>
      <w:r w:rsidRPr="00E14D6D">
        <w:t>s current taxation law. </w:t>
      </w:r>
    </w:p>
    <w:p w14:paraId="45D7D9A1" w14:textId="7CA80152" w:rsidR="00E14D6D" w:rsidRPr="00E14D6D" w:rsidRDefault="00E14D6D" w:rsidP="00C65B60">
      <w:pPr>
        <w:pStyle w:val="Bullet"/>
      </w:pPr>
      <w:r w:rsidRPr="00E14D6D">
        <w:t>New legislation to deal with the taxation of crypto asset transactions should not be introduced at this time. </w:t>
      </w:r>
    </w:p>
    <w:p w14:paraId="04C4CB49" w14:textId="77ECBD9B" w:rsidR="00E14D6D" w:rsidRPr="00E14D6D" w:rsidRDefault="00E14D6D" w:rsidP="00C65B60">
      <w:pPr>
        <w:pStyle w:val="Bullet"/>
      </w:pPr>
      <w:r w:rsidRPr="00E14D6D">
        <w:t>At the present time, any uncertainties about how the taxation law applies to crypto assets and transactions are best managed administratively by taxpayers and the ATO working cooperatively within the current law. </w:t>
      </w:r>
    </w:p>
    <w:p w14:paraId="0CB7622D" w14:textId="660B9665" w:rsidR="00E14D6D" w:rsidRPr="00E14D6D" w:rsidRDefault="00E14D6D" w:rsidP="00C65B60">
      <w:pPr>
        <w:pStyle w:val="Bullet"/>
      </w:pPr>
      <w:r w:rsidRPr="00E14D6D">
        <w:t>In some areas, taxpayers require more comprehensive information and guidance (including examples and case studies) from the ATO upon which they can rely to ensure that their tax disclosures will be acceptable to the ATO. </w:t>
      </w:r>
    </w:p>
    <w:p w14:paraId="723E03BA" w14:textId="77777777" w:rsidR="00E14D6D" w:rsidRPr="00252AE3" w:rsidRDefault="00E14D6D" w:rsidP="000F784E">
      <w:pPr>
        <w:pStyle w:val="Dash"/>
      </w:pPr>
      <w:r>
        <w:t>In response, t</w:t>
      </w:r>
      <w:r w:rsidRPr="00B96BFA">
        <w:t>he ATO has agreed to form a bespoke and time limited crypto working group which will consult with industry and tax professionals to develop a package of publicly available crypto tax advice</w:t>
      </w:r>
      <w:r w:rsidRPr="00252AE3">
        <w:t xml:space="preserve">. </w:t>
      </w:r>
    </w:p>
    <w:p w14:paraId="5FCC89FC" w14:textId="5021FD4A" w:rsidR="00E14D6D" w:rsidRDefault="00E14D6D" w:rsidP="00E14D6D">
      <w:pPr>
        <w:rPr>
          <w:spacing w:val="-2"/>
        </w:rPr>
      </w:pPr>
      <w:r>
        <w:rPr>
          <w:rFonts w:asciiTheme="minorHAnsi" w:hAnsiTheme="minorHAnsi" w:cstheme="minorHAnsi"/>
        </w:rPr>
        <w:t>These four conclusions are supported by 29 recommendations and 20 observations.</w:t>
      </w:r>
    </w:p>
    <w:p w14:paraId="453A913F" w14:textId="1671C159" w:rsidR="00C65B60" w:rsidRDefault="00C65B60" w:rsidP="00C65B60">
      <w:pPr>
        <w:rPr>
          <w:spacing w:val="-2"/>
        </w:rPr>
      </w:pPr>
      <w:r w:rsidRPr="004C3107">
        <w:rPr>
          <w:spacing w:val="-2"/>
        </w:rPr>
        <w:t xml:space="preserve">The </w:t>
      </w:r>
      <w:r w:rsidR="003057FA">
        <w:rPr>
          <w:spacing w:val="-2"/>
        </w:rPr>
        <w:t>g</w:t>
      </w:r>
      <w:r w:rsidRPr="004C3107">
        <w:rPr>
          <w:spacing w:val="-2"/>
        </w:rPr>
        <w:t>overnment</w:t>
      </w:r>
      <w:r w:rsidR="00FC1B00">
        <w:rPr>
          <w:spacing w:val="-2"/>
        </w:rPr>
        <w:t>’</w:t>
      </w:r>
      <w:r w:rsidRPr="004C3107">
        <w:rPr>
          <w:spacing w:val="-2"/>
        </w:rPr>
        <w:t xml:space="preserve">s response addresses the recommendations directed at the </w:t>
      </w:r>
      <w:r w:rsidR="003057FA">
        <w:rPr>
          <w:spacing w:val="-2"/>
        </w:rPr>
        <w:t>g</w:t>
      </w:r>
      <w:r w:rsidRPr="004C3107">
        <w:rPr>
          <w:spacing w:val="-2"/>
        </w:rPr>
        <w:t>overnment. The remainder of the recommendations are directed to the Australian Taxation Office (ATO) as the administrator of Australia</w:t>
      </w:r>
      <w:r w:rsidR="00FC1B00">
        <w:rPr>
          <w:spacing w:val="-2"/>
        </w:rPr>
        <w:t>’</w:t>
      </w:r>
      <w:r w:rsidRPr="004C3107">
        <w:rPr>
          <w:spacing w:val="-2"/>
        </w:rPr>
        <w:t xml:space="preserve">s taxation laws. </w:t>
      </w:r>
    </w:p>
    <w:p w14:paraId="5730D9A0" w14:textId="25132DEE" w:rsidR="00446FDF" w:rsidRDefault="00FE3A1B" w:rsidP="0024114E">
      <w:pPr>
        <w:rPr>
          <w:spacing w:val="-2"/>
        </w:rPr>
      </w:pPr>
      <w:r>
        <w:rPr>
          <w:spacing w:val="-2"/>
        </w:rPr>
        <w:t xml:space="preserve">The </w:t>
      </w:r>
      <w:r w:rsidR="003057FA">
        <w:rPr>
          <w:spacing w:val="-2"/>
        </w:rPr>
        <w:t>g</w:t>
      </w:r>
      <w:r>
        <w:rPr>
          <w:spacing w:val="-2"/>
        </w:rPr>
        <w:t xml:space="preserve">overnment </w:t>
      </w:r>
      <w:r w:rsidR="00166753">
        <w:rPr>
          <w:spacing w:val="-2"/>
        </w:rPr>
        <w:t xml:space="preserve">full </w:t>
      </w:r>
      <w:r>
        <w:rPr>
          <w:spacing w:val="-2"/>
        </w:rPr>
        <w:t>response</w:t>
      </w:r>
      <w:r w:rsidR="004C3107">
        <w:rPr>
          <w:spacing w:val="-2"/>
        </w:rPr>
        <w:t xml:space="preserve"> is</w:t>
      </w:r>
      <w:r>
        <w:rPr>
          <w:spacing w:val="-2"/>
        </w:rPr>
        <w:t xml:space="preserve"> available on the Treasury</w:t>
      </w:r>
      <w:r w:rsidR="00FC1B00">
        <w:rPr>
          <w:spacing w:val="-2"/>
        </w:rPr>
        <w:t>’</w:t>
      </w:r>
      <w:r>
        <w:rPr>
          <w:spacing w:val="-2"/>
        </w:rPr>
        <w:t xml:space="preserve">s </w:t>
      </w:r>
      <w:r w:rsidR="00724A3E">
        <w:rPr>
          <w:spacing w:val="-2"/>
        </w:rPr>
        <w:t>website</w:t>
      </w:r>
      <w:r w:rsidR="00166753">
        <w:rPr>
          <w:spacing w:val="-2"/>
        </w:rPr>
        <w:t>.</w:t>
      </w:r>
    </w:p>
    <w:p w14:paraId="686666DA" w14:textId="73DA4526" w:rsidR="00467092" w:rsidRDefault="00E83446" w:rsidP="0024114E">
      <w:pPr>
        <w:pStyle w:val="Heading2"/>
      </w:pPr>
      <w:r>
        <w:t>New</w:t>
      </w:r>
      <w:r w:rsidR="00467092">
        <w:t xml:space="preserve"> formal reviews/projects</w:t>
      </w:r>
    </w:p>
    <w:p w14:paraId="4E3DF41F" w14:textId="77777777" w:rsidR="00467092" w:rsidRDefault="00467092" w:rsidP="00467092">
      <w:pPr>
        <w:pStyle w:val="Heading3"/>
      </w:pPr>
      <w:r>
        <w:t>Redesign of the Voluntary Tax Transparency Code</w:t>
      </w:r>
    </w:p>
    <w:p w14:paraId="6A34BCDD" w14:textId="38B280B4" w:rsidR="009B6080" w:rsidRPr="009B6080" w:rsidRDefault="009B6080" w:rsidP="009B6080">
      <w:r>
        <w:t>The Board</w:t>
      </w:r>
      <w:r w:rsidR="00ED54B9">
        <w:t>, at the government</w:t>
      </w:r>
      <w:r w:rsidR="00FC1B00">
        <w:t>’</w:t>
      </w:r>
      <w:r w:rsidR="00ED54B9">
        <w:t xml:space="preserve">s request, developed the </w:t>
      </w:r>
      <w:r w:rsidR="00ED54B9" w:rsidRPr="00F81A74">
        <w:t>Voluntary Tax Transparency Code (VTTC)</w:t>
      </w:r>
      <w:r w:rsidR="00B74C0B">
        <w:t xml:space="preserve">, in 2016. More </w:t>
      </w:r>
      <w:r w:rsidR="008430CB">
        <w:t xml:space="preserve">background </w:t>
      </w:r>
      <w:r w:rsidR="00B74C0B">
        <w:t>about the VTTC</w:t>
      </w:r>
      <w:r w:rsidR="008430CB">
        <w:t xml:space="preserve"> and its operation</w:t>
      </w:r>
      <w:r w:rsidR="00B74C0B">
        <w:t xml:space="preserve"> </w:t>
      </w:r>
      <w:r w:rsidR="008430CB">
        <w:t xml:space="preserve">are detailed </w:t>
      </w:r>
      <w:r w:rsidR="00F90E15">
        <w:t xml:space="preserve">on the </w:t>
      </w:r>
      <w:hyperlink r:id="rId41" w:history="1">
        <w:r w:rsidR="00F90E15" w:rsidRPr="00604C46">
          <w:rPr>
            <w:rStyle w:val="Hyperlink"/>
          </w:rPr>
          <w:t>Board’s websit</w:t>
        </w:r>
        <w:r w:rsidR="0057352C" w:rsidRPr="00604C46">
          <w:rPr>
            <w:rStyle w:val="Hyperlink"/>
          </w:rPr>
          <w:t>e</w:t>
        </w:r>
      </w:hyperlink>
      <w:r w:rsidR="00202487">
        <w:t xml:space="preserve"> and in the section below about the Board’s ongoing work.</w:t>
      </w:r>
    </w:p>
    <w:p w14:paraId="76C05E67" w14:textId="7F0D86AE" w:rsidR="004E1BA7" w:rsidRPr="004E1BA7" w:rsidRDefault="00467092" w:rsidP="00E46807">
      <w:r w:rsidRPr="00F81A74">
        <w:t xml:space="preserve">In August 2024, </w:t>
      </w:r>
      <w:r w:rsidR="000A7034" w:rsidRPr="000A7034">
        <w:t>the Treasurer tasked the Board with reviewing the</w:t>
      </w:r>
      <w:r w:rsidR="000A7034">
        <w:t xml:space="preserve"> </w:t>
      </w:r>
      <w:r w:rsidRPr="00F81A74">
        <w:t>Voluntary Tax Transparency Code (VTTC)</w:t>
      </w:r>
      <w:r w:rsidR="004E1BA7">
        <w:t xml:space="preserve">. </w:t>
      </w:r>
      <w:r w:rsidR="004E1BA7" w:rsidRPr="004E1BA7">
        <w:t>The review includes how to</w:t>
      </w:r>
      <w:r w:rsidR="00E46807">
        <w:t xml:space="preserve"> s</w:t>
      </w:r>
      <w:r w:rsidR="004E1BA7" w:rsidRPr="004E1BA7">
        <w:t>upplement policy developments in global tax transparency</w:t>
      </w:r>
      <w:r w:rsidR="00E46807">
        <w:t xml:space="preserve"> and e</w:t>
      </w:r>
      <w:r w:rsidR="004E1BA7" w:rsidRPr="004E1BA7">
        <w:t>ncourage best practice tax transparency reporting for business.</w:t>
      </w:r>
    </w:p>
    <w:p w14:paraId="4CF29E3D" w14:textId="5AD82E78" w:rsidR="004E1BA7" w:rsidRPr="004E1BA7" w:rsidRDefault="004E1BA7" w:rsidP="004E1BA7">
      <w:r w:rsidRPr="004E1BA7">
        <w:t>The Board set up a working group to undertake the review</w:t>
      </w:r>
      <w:r w:rsidR="00E46807">
        <w:t xml:space="preserve"> and</w:t>
      </w:r>
      <w:r w:rsidRPr="004E1BA7">
        <w:t xml:space="preserve"> appointed </w:t>
      </w:r>
      <w:r w:rsidR="00955C4E">
        <w:t xml:space="preserve">Board </w:t>
      </w:r>
      <w:r w:rsidRPr="004E1BA7">
        <w:t>members Andrew Mills and Andrea Laing to oversee this work.</w:t>
      </w:r>
    </w:p>
    <w:p w14:paraId="12AD57B7" w14:textId="24058A55" w:rsidR="004E1BA7" w:rsidRPr="004E1BA7" w:rsidRDefault="00510706" w:rsidP="00750829">
      <w:r>
        <w:lastRenderedPageBreak/>
        <w:t xml:space="preserve">Phase one of the review involved the </w:t>
      </w:r>
      <w:r w:rsidR="004E1BA7" w:rsidRPr="00750829">
        <w:t xml:space="preserve">Board </w:t>
      </w:r>
      <w:r>
        <w:t xml:space="preserve">hosting </w:t>
      </w:r>
      <w:r w:rsidR="004E1BA7" w:rsidRPr="00750829">
        <w:t>targeted consultation from August to October 2024</w:t>
      </w:r>
      <w:r w:rsidR="00E46807" w:rsidRPr="00750829">
        <w:t xml:space="preserve">, </w:t>
      </w:r>
      <w:r>
        <w:t>to</w:t>
      </w:r>
      <w:r w:rsidR="000F784E">
        <w:t> </w:t>
      </w:r>
      <w:r w:rsidR="00E46807" w:rsidRPr="00750829">
        <w:t>engag</w:t>
      </w:r>
      <w:r>
        <w:t>e</w:t>
      </w:r>
      <w:r w:rsidR="00E46807" w:rsidRPr="00750829">
        <w:t xml:space="preserve"> with a range of stakeholders</w:t>
      </w:r>
      <w:r w:rsidR="004E1BA7" w:rsidRPr="00750829">
        <w:t xml:space="preserve"> includ</w:t>
      </w:r>
      <w:r w:rsidR="00537746" w:rsidRPr="00750829">
        <w:t>ing</w:t>
      </w:r>
      <w:r w:rsidR="00E46807" w:rsidRPr="00750829">
        <w:t>:</w:t>
      </w:r>
    </w:p>
    <w:p w14:paraId="1F0ABAE2" w14:textId="77777777" w:rsidR="004E1BA7" w:rsidRPr="004E1BA7" w:rsidRDefault="004E1BA7" w:rsidP="004E1BA7">
      <w:pPr>
        <w:pStyle w:val="Bullet"/>
      </w:pPr>
      <w:r w:rsidRPr="004E1BA7">
        <w:t>large business</w:t>
      </w:r>
    </w:p>
    <w:p w14:paraId="79B03ACD" w14:textId="4237B8DA" w:rsidR="004E1BA7" w:rsidRPr="004E1BA7" w:rsidRDefault="004E1BA7" w:rsidP="004E1BA7">
      <w:pPr>
        <w:pStyle w:val="Bullet"/>
      </w:pPr>
      <w:r w:rsidRPr="004E1BA7">
        <w:t>professional</w:t>
      </w:r>
      <w:r w:rsidR="00006364">
        <w:t xml:space="preserve"> and industry</w:t>
      </w:r>
      <w:r w:rsidRPr="004E1BA7">
        <w:t xml:space="preserve"> bodies</w:t>
      </w:r>
    </w:p>
    <w:p w14:paraId="78CCCE58" w14:textId="77777777" w:rsidR="004E1BA7" w:rsidRPr="004E1BA7" w:rsidRDefault="004E1BA7" w:rsidP="004E1BA7">
      <w:pPr>
        <w:pStyle w:val="Bullet"/>
      </w:pPr>
      <w:r w:rsidRPr="004E1BA7">
        <w:t>investor and finance groups</w:t>
      </w:r>
    </w:p>
    <w:p w14:paraId="6414FA2E" w14:textId="77777777" w:rsidR="004E1BA7" w:rsidRPr="004E1BA7" w:rsidRDefault="004E1BA7" w:rsidP="004E1BA7">
      <w:pPr>
        <w:pStyle w:val="Bullet"/>
      </w:pPr>
      <w:r w:rsidRPr="004E1BA7">
        <w:t>advisors</w:t>
      </w:r>
    </w:p>
    <w:p w14:paraId="13CEAC6D" w14:textId="77777777" w:rsidR="004E1BA7" w:rsidRPr="004E1BA7" w:rsidRDefault="004E1BA7" w:rsidP="004E1BA7">
      <w:pPr>
        <w:pStyle w:val="Bullet"/>
      </w:pPr>
      <w:r w:rsidRPr="004E1BA7">
        <w:t>academics</w:t>
      </w:r>
    </w:p>
    <w:p w14:paraId="7AB992C8" w14:textId="77777777" w:rsidR="004E1BA7" w:rsidRPr="004E1BA7" w:rsidRDefault="004E1BA7" w:rsidP="004E1BA7">
      <w:pPr>
        <w:pStyle w:val="Bullet"/>
      </w:pPr>
      <w:r w:rsidRPr="004E1BA7">
        <w:t>civil society groups</w:t>
      </w:r>
    </w:p>
    <w:p w14:paraId="3C4103E8" w14:textId="77777777" w:rsidR="004E1BA7" w:rsidRPr="004E1BA7" w:rsidRDefault="004E1BA7" w:rsidP="004E1BA7">
      <w:pPr>
        <w:pStyle w:val="Bullet"/>
      </w:pPr>
      <w:r w:rsidRPr="004E1BA7">
        <w:t>government bodies.</w:t>
      </w:r>
    </w:p>
    <w:p w14:paraId="3C2634AE" w14:textId="77777777" w:rsidR="00763D83" w:rsidRDefault="00763D83" w:rsidP="006F47DA">
      <w:r w:rsidRPr="00963577">
        <w:t xml:space="preserve">The Board </w:t>
      </w:r>
      <w:r>
        <w:t xml:space="preserve">heard from stakeholders that the VTTC continues to play an important role in encouraging greater tax transparency and promoting community confidence in the tax system. </w:t>
      </w:r>
    </w:p>
    <w:p w14:paraId="20BFBF72" w14:textId="77777777" w:rsidR="00763D83" w:rsidRPr="00963577" w:rsidRDefault="00763D83" w:rsidP="006F47DA">
      <w:r>
        <w:t xml:space="preserve">The Board </w:t>
      </w:r>
      <w:r w:rsidRPr="00963577">
        <w:t>concluded that the VTTC should be simplified and updated</w:t>
      </w:r>
      <w:r>
        <w:t xml:space="preserve"> to minimise duplication with other tax transparency regimes</w:t>
      </w:r>
      <w:r w:rsidRPr="00963577">
        <w:t xml:space="preserve">. This helps align with policy developments. </w:t>
      </w:r>
    </w:p>
    <w:p w14:paraId="5121C6E4" w14:textId="59B817CF" w:rsidR="00D37ED2" w:rsidRDefault="003B7A54" w:rsidP="006F47DA">
      <w:r>
        <w:t xml:space="preserve">In January 2025, the Board commenced </w:t>
      </w:r>
      <w:r w:rsidR="007C7E66">
        <w:t xml:space="preserve">phase two of the review to </w:t>
      </w:r>
      <w:r>
        <w:t xml:space="preserve">redesign the VTTC. </w:t>
      </w:r>
      <w:r w:rsidR="00D37ED2">
        <w:t xml:space="preserve">In June 2025, the Board published the draft redesigned VTTC for public consultation. A consultation guide was published </w:t>
      </w:r>
      <w:r w:rsidR="00166E3E">
        <w:t>on the Board</w:t>
      </w:r>
      <w:r w:rsidR="00FC1B00">
        <w:t>’</w:t>
      </w:r>
      <w:r w:rsidR="00166E3E">
        <w:t xml:space="preserve">s website </w:t>
      </w:r>
      <w:r w:rsidR="00D37ED2">
        <w:t xml:space="preserve">which posed </w:t>
      </w:r>
      <w:proofErr w:type="gramStart"/>
      <w:r w:rsidR="00D37ED2">
        <w:t>a number of</w:t>
      </w:r>
      <w:proofErr w:type="gramEnd"/>
      <w:r w:rsidR="00D37ED2">
        <w:t xml:space="preserve"> questions for </w:t>
      </w:r>
      <w:r w:rsidR="00166E3E">
        <w:t>stakeholders</w:t>
      </w:r>
      <w:r w:rsidR="00D37ED2">
        <w:t xml:space="preserve"> to consider</w:t>
      </w:r>
      <w:r w:rsidR="00166E3E">
        <w:t>.</w:t>
      </w:r>
    </w:p>
    <w:p w14:paraId="0754A894" w14:textId="77777777" w:rsidR="0073649C" w:rsidRDefault="00D56602" w:rsidP="00D37ED2">
      <w:r>
        <w:t xml:space="preserve">Submissions </w:t>
      </w:r>
      <w:r w:rsidR="00166E3E">
        <w:t>to the re</w:t>
      </w:r>
      <w:r w:rsidR="00796B90">
        <w:t>design of the VTTC c</w:t>
      </w:r>
      <w:r>
        <w:t xml:space="preserve">losed on </w:t>
      </w:r>
      <w:r w:rsidR="007B078A">
        <w:t>11 July 2025</w:t>
      </w:r>
      <w:r w:rsidR="00796B90">
        <w:t xml:space="preserve">. </w:t>
      </w:r>
    </w:p>
    <w:p w14:paraId="6866D422" w14:textId="16C7BAC4" w:rsidR="00D56602" w:rsidRDefault="00796B90" w:rsidP="00D37ED2">
      <w:r>
        <w:t xml:space="preserve">The findings from the review </w:t>
      </w:r>
      <w:r w:rsidR="00B31504">
        <w:t xml:space="preserve">were presented to the government in the next reporting period. </w:t>
      </w:r>
    </w:p>
    <w:p w14:paraId="3F0C6511" w14:textId="363F22FB" w:rsidR="00467092" w:rsidRPr="00893C63" w:rsidRDefault="00467092" w:rsidP="00467092">
      <w:r w:rsidRPr="00893C63">
        <w:t>The Board thanks all stakeholders who were involved in the consultation</w:t>
      </w:r>
      <w:r w:rsidR="007C7E66">
        <w:t xml:space="preserve"> process</w:t>
      </w:r>
      <w:r w:rsidR="008D10D2">
        <w:t>es</w:t>
      </w:r>
      <w:r w:rsidR="007C7E66">
        <w:t xml:space="preserve"> for the initial review and redesign phases</w:t>
      </w:r>
      <w:r w:rsidR="00F67658">
        <w:t>.</w:t>
      </w:r>
    </w:p>
    <w:p w14:paraId="1CFFB8BE" w14:textId="544EA6EB" w:rsidR="002F3E00" w:rsidRDefault="002F3E00" w:rsidP="0024114E">
      <w:pPr>
        <w:pStyle w:val="Heading2"/>
      </w:pPr>
      <w:r>
        <w:t xml:space="preserve">Other </w:t>
      </w:r>
      <w:r w:rsidRPr="0024114E">
        <w:t>ongoing</w:t>
      </w:r>
      <w:r>
        <w:t xml:space="preserve"> work</w:t>
      </w:r>
    </w:p>
    <w:p w14:paraId="2C1B9AF0" w14:textId="3DAE838F" w:rsidR="00FD2212" w:rsidRDefault="006E11D1" w:rsidP="00C8560D">
      <w:pPr>
        <w:pStyle w:val="Heading3"/>
      </w:pPr>
      <w:bookmarkStart w:id="51" w:name="_Ref150943605"/>
      <w:r>
        <w:t>Trusted advis</w:t>
      </w:r>
      <w:r w:rsidR="00B80FB1">
        <w:t>o</w:t>
      </w:r>
      <w:r>
        <w:t xml:space="preserve">r to Treasury </w:t>
      </w:r>
      <w:r w:rsidRPr="0024114E">
        <w:t>and</w:t>
      </w:r>
      <w:r>
        <w:t xml:space="preserve"> the ATO</w:t>
      </w:r>
      <w:bookmarkEnd w:id="51"/>
    </w:p>
    <w:p w14:paraId="6D738394" w14:textId="6BD5B895" w:rsidR="00BA232D" w:rsidRDefault="0045200E" w:rsidP="0024114E">
      <w:r>
        <w:t xml:space="preserve">The Board has continued to embrace its role as a trusted </w:t>
      </w:r>
      <w:r w:rsidRPr="00B80FB1">
        <w:t>advis</w:t>
      </w:r>
      <w:r w:rsidR="00A9616A" w:rsidRPr="00B80FB1">
        <w:t>o</w:t>
      </w:r>
      <w:r w:rsidR="00A9616A">
        <w:t>r</w:t>
      </w:r>
      <w:r>
        <w:t xml:space="preserve"> to </w:t>
      </w:r>
      <w:r w:rsidR="003057FA">
        <w:t>g</w:t>
      </w:r>
      <w:r>
        <w:t xml:space="preserve">overnment, the Treasury, and the </w:t>
      </w:r>
      <w:r w:rsidR="00152A60">
        <w:t>ATO</w:t>
      </w:r>
      <w:r w:rsidR="005348C7">
        <w:t> </w:t>
      </w:r>
      <w:r>
        <w:t>by providing regular ad hoc advice throughout the year</w:t>
      </w:r>
      <w:r w:rsidR="00DE1E7A">
        <w:t xml:space="preserve">. </w:t>
      </w:r>
    </w:p>
    <w:p w14:paraId="2E2557C6" w14:textId="25DACE7C" w:rsidR="005E2B9A" w:rsidRDefault="0045200E" w:rsidP="00E76A6F">
      <w:r>
        <w:t>During the 202</w:t>
      </w:r>
      <w:r w:rsidR="00115E43">
        <w:t>4</w:t>
      </w:r>
      <w:r w:rsidR="0024114E">
        <w:t>–</w:t>
      </w:r>
      <w:r>
        <w:t>2</w:t>
      </w:r>
      <w:r w:rsidR="00115E43">
        <w:t>5</w:t>
      </w:r>
      <w:r>
        <w:t xml:space="preserve"> year the Board was pleased to support Treasury</w:t>
      </w:r>
      <w:r w:rsidR="00BF004D">
        <w:t xml:space="preserve"> and the ATO</w:t>
      </w:r>
      <w:r>
        <w:t xml:space="preserve"> </w:t>
      </w:r>
      <w:r w:rsidR="005D3937">
        <w:t>by providing consultation and feedback in relation to</w:t>
      </w:r>
      <w:r w:rsidR="00BA6215">
        <w:t xml:space="preserve"> </w:t>
      </w:r>
      <w:proofErr w:type="gramStart"/>
      <w:r w:rsidR="00BF004D">
        <w:t>a number of</w:t>
      </w:r>
      <w:proofErr w:type="gramEnd"/>
      <w:r w:rsidR="00BF004D">
        <w:t xml:space="preserve"> </w:t>
      </w:r>
      <w:r w:rsidR="00E76A6F">
        <w:t>tax and administrati</w:t>
      </w:r>
      <w:r w:rsidR="009877CA">
        <w:t>ve</w:t>
      </w:r>
      <w:r w:rsidR="00E76A6F">
        <w:t xml:space="preserve"> measures and guidance products. </w:t>
      </w:r>
    </w:p>
    <w:p w14:paraId="1D81E696" w14:textId="2379EB4F" w:rsidR="002F3E00" w:rsidRDefault="00495EE7" w:rsidP="0024114E">
      <w:pPr>
        <w:pStyle w:val="Heading3"/>
      </w:pPr>
      <w:r>
        <w:lastRenderedPageBreak/>
        <w:t xml:space="preserve">Voluntary </w:t>
      </w:r>
      <w:r w:rsidR="002F3E00">
        <w:t xml:space="preserve">Tax </w:t>
      </w:r>
      <w:r w:rsidR="002F3E00" w:rsidRPr="0024114E">
        <w:t>Transparency</w:t>
      </w:r>
      <w:r w:rsidR="002F3E00">
        <w:t xml:space="preserve"> Code and Register</w:t>
      </w:r>
    </w:p>
    <w:p w14:paraId="48D077F9" w14:textId="5ECF63EB" w:rsidR="002F3E00" w:rsidRDefault="002F3E00" w:rsidP="0024114E">
      <w:r w:rsidRPr="005014BA">
        <w:t xml:space="preserve">The </w:t>
      </w:r>
      <w:r w:rsidR="00513E39">
        <w:t>VTTC</w:t>
      </w:r>
      <w:r w:rsidRPr="005014BA">
        <w:t xml:space="preserve"> is a </w:t>
      </w:r>
      <w:r w:rsidR="003C5C3C">
        <w:t>Board developed</w:t>
      </w:r>
      <w:r w:rsidRPr="005014BA">
        <w:t xml:space="preserve"> set of principles and minimum standards to guide disclosure of tax information by businesses</w:t>
      </w:r>
      <w:r w:rsidR="00685BDB">
        <w:t>. The VTTC encourages taxpayers to publicly disclose information regarding their tax affairs to promote community confidence that they are paying their fair share of tax and not engaging in aggressive tax avoidance behaviours</w:t>
      </w:r>
      <w:r w:rsidR="00604C46">
        <w:t>.</w:t>
      </w:r>
      <w:r w:rsidR="00877B60">
        <w:t xml:space="preserve"> </w:t>
      </w:r>
      <w:r w:rsidRPr="005014BA">
        <w:t xml:space="preserve">The Board is responsible for maintaining the register of signatories to the </w:t>
      </w:r>
      <w:r w:rsidR="000B50FC">
        <w:t>VTTC</w:t>
      </w:r>
      <w:r w:rsidRPr="005014BA">
        <w:t xml:space="preserve">. </w:t>
      </w:r>
    </w:p>
    <w:p w14:paraId="5253A2A0" w14:textId="18A23C70" w:rsidR="009715B1" w:rsidRDefault="000C4E06" w:rsidP="0024114E">
      <w:r w:rsidRPr="001E6E72">
        <w:t xml:space="preserve">There </w:t>
      </w:r>
      <w:r w:rsidR="007F24BD" w:rsidRPr="001E6E72">
        <w:t>were 2</w:t>
      </w:r>
      <w:r w:rsidR="00D75822">
        <w:t>25</w:t>
      </w:r>
      <w:r w:rsidR="007F24BD" w:rsidRPr="001E6E72">
        <w:t xml:space="preserve"> signatories to the </w:t>
      </w:r>
      <w:r w:rsidR="00EE1E7D">
        <w:t>V</w:t>
      </w:r>
      <w:r w:rsidR="007F24BD" w:rsidRPr="001E6E72">
        <w:t xml:space="preserve">TTC as </w:t>
      </w:r>
      <w:r w:rsidR="00E3117E" w:rsidRPr="001E6E72">
        <w:t>of</w:t>
      </w:r>
      <w:r w:rsidR="007F24BD" w:rsidRPr="001E6E72">
        <w:t xml:space="preserve"> 30 June 202</w:t>
      </w:r>
      <w:r w:rsidR="00D75822">
        <w:t>5</w:t>
      </w:r>
      <w:r w:rsidR="00536717" w:rsidRPr="001E6E72">
        <w:t xml:space="preserve">, an increase of </w:t>
      </w:r>
      <w:r w:rsidR="00D75822">
        <w:t>6</w:t>
      </w:r>
      <w:r w:rsidR="00536717" w:rsidRPr="001E6E72">
        <w:t xml:space="preserve"> from the 2</w:t>
      </w:r>
      <w:r w:rsidR="00490302" w:rsidRPr="001E6E72">
        <w:t>1</w:t>
      </w:r>
      <w:r w:rsidR="00D75822">
        <w:t>9</w:t>
      </w:r>
      <w:r w:rsidR="00536717" w:rsidRPr="001E6E72">
        <w:t xml:space="preserve"> reported in the Board</w:t>
      </w:r>
      <w:r w:rsidR="00FC1B00">
        <w:t>’</w:t>
      </w:r>
      <w:r w:rsidR="00536717" w:rsidRPr="001E6E72">
        <w:t>s 202</w:t>
      </w:r>
      <w:r w:rsidR="00D75822">
        <w:t>3</w:t>
      </w:r>
      <w:r w:rsidR="00E910D5" w:rsidRPr="001E6E72">
        <w:t>–</w:t>
      </w:r>
      <w:r w:rsidR="00536717" w:rsidRPr="001E6E72">
        <w:t>2</w:t>
      </w:r>
      <w:r w:rsidR="00D75822">
        <w:t>4</w:t>
      </w:r>
      <w:r w:rsidR="00536717" w:rsidRPr="001E6E72">
        <w:t xml:space="preserve"> Annual Report</w:t>
      </w:r>
      <w:r w:rsidR="00944E55" w:rsidRPr="001E6E72">
        <w:t>. Of these</w:t>
      </w:r>
      <w:r w:rsidR="00221BAC" w:rsidRPr="001E6E72">
        <w:t xml:space="preserve"> 2</w:t>
      </w:r>
      <w:r w:rsidR="00D75822">
        <w:t>25</w:t>
      </w:r>
      <w:r w:rsidR="00221BAC" w:rsidRPr="001E6E72">
        <w:t xml:space="preserve"> signatories</w:t>
      </w:r>
      <w:r w:rsidR="00944E55" w:rsidRPr="00163E45">
        <w:t xml:space="preserve">, </w:t>
      </w:r>
      <w:r w:rsidR="00686D3C" w:rsidRPr="00163E45">
        <w:t>2</w:t>
      </w:r>
      <w:r w:rsidR="00163E45" w:rsidRPr="00163E45">
        <w:t>23</w:t>
      </w:r>
      <w:r w:rsidR="00A373D1" w:rsidRPr="00163E45">
        <w:t xml:space="preserve"> signatories had notified </w:t>
      </w:r>
      <w:r w:rsidR="002524EA" w:rsidRPr="00163E45">
        <w:t xml:space="preserve">of at least one published report </w:t>
      </w:r>
      <w:r w:rsidR="007A78B0" w:rsidRPr="00163E45">
        <w:t xml:space="preserve">as </w:t>
      </w:r>
      <w:r w:rsidR="00E3117E" w:rsidRPr="00163E45">
        <w:t>of</w:t>
      </w:r>
      <w:r w:rsidR="002524EA" w:rsidRPr="00163E45">
        <w:t xml:space="preserve"> 30</w:t>
      </w:r>
      <w:r w:rsidR="00FB6E3E" w:rsidRPr="00163E45">
        <w:t> </w:t>
      </w:r>
      <w:r w:rsidR="002524EA" w:rsidRPr="00163E45">
        <w:t>June</w:t>
      </w:r>
      <w:r w:rsidR="00FB6E3E" w:rsidRPr="00163E45">
        <w:t> </w:t>
      </w:r>
      <w:r w:rsidR="005F59E0" w:rsidRPr="00163E45">
        <w:t>202</w:t>
      </w:r>
      <w:r w:rsidR="00CC6A8D" w:rsidRPr="00163E45">
        <w:t>5</w:t>
      </w:r>
      <w:r w:rsidR="005F59E0" w:rsidRPr="00163E45">
        <w:t>.</w:t>
      </w:r>
      <w:r w:rsidR="005F59E0">
        <w:t xml:space="preserve"> </w:t>
      </w:r>
    </w:p>
    <w:p w14:paraId="4A5B83BF" w14:textId="378D9D0B" w:rsidR="000F784E" w:rsidRDefault="001279A8" w:rsidP="00E0750B">
      <w:pPr>
        <w:sectPr w:rsidR="000F784E" w:rsidSect="001121C6">
          <w:headerReference w:type="even" r:id="rId42"/>
          <w:headerReference w:type="default" r:id="rId43"/>
          <w:footerReference w:type="even" r:id="rId44"/>
          <w:footerReference w:type="default" r:id="rId45"/>
          <w:headerReference w:type="first" r:id="rId46"/>
          <w:footerReference w:type="first" r:id="rId47"/>
          <w:type w:val="continuous"/>
          <w:pgSz w:w="11909" w:h="16834" w:code="9"/>
          <w:pgMar w:top="2268" w:right="1134" w:bottom="1985" w:left="1134" w:header="1134" w:footer="1134" w:gutter="0"/>
          <w:pgNumType w:start="1"/>
          <w:cols w:space="708"/>
          <w:docGrid w:linePitch="360"/>
        </w:sectPr>
      </w:pPr>
      <w:r w:rsidRPr="00182490">
        <w:t>As reported in the ATO</w:t>
      </w:r>
      <w:r w:rsidR="00FC1B00">
        <w:t>’</w:t>
      </w:r>
      <w:r w:rsidR="00C3586B" w:rsidRPr="00182490">
        <w:t>s</w:t>
      </w:r>
      <w:r w:rsidRPr="00182490">
        <w:t xml:space="preserve"> </w:t>
      </w:r>
      <w:r w:rsidR="00C760C5" w:rsidRPr="00182490">
        <w:t xml:space="preserve">Voluntary Tax Transparency statistics for </w:t>
      </w:r>
      <w:r w:rsidR="00C2359D" w:rsidRPr="00182490">
        <w:t>30 June 202</w:t>
      </w:r>
      <w:r w:rsidR="0019015A">
        <w:t>5</w:t>
      </w:r>
      <w:r w:rsidR="00C2359D" w:rsidRPr="00182490">
        <w:t>, the 2</w:t>
      </w:r>
      <w:r w:rsidR="0019015A">
        <w:t>25</w:t>
      </w:r>
      <w:r w:rsidR="00C2359D" w:rsidRPr="00182490">
        <w:t xml:space="preserve"> signatories </w:t>
      </w:r>
      <w:r w:rsidR="00DB711A" w:rsidRPr="00182490">
        <w:t xml:space="preserve">are represented </w:t>
      </w:r>
      <w:r w:rsidR="00376018" w:rsidRPr="00182490">
        <w:t>as follows</w:t>
      </w:r>
      <w:r w:rsidR="00DB711A" w:rsidRPr="00182490">
        <w:t>:</w:t>
      </w:r>
      <w:r w:rsidR="00990537" w:rsidRPr="00182490">
        <w:rPr>
          <w:rStyle w:val="FootnoteReference"/>
        </w:rPr>
        <w:footnoteReference w:id="5"/>
      </w:r>
    </w:p>
    <w:p w14:paraId="5A1B45F5" w14:textId="4BA50FB7" w:rsidR="000F784E" w:rsidRDefault="000F784E" w:rsidP="000F784E">
      <w:pPr>
        <w:pStyle w:val="TableHeading1"/>
      </w:pPr>
      <w:bookmarkStart w:id="52" w:name="_Toc149905534"/>
      <w:r>
        <w:t>Signatories by size of signatory:</w:t>
      </w:r>
    </w:p>
    <w:tbl>
      <w:tblPr>
        <w:tblStyle w:val="ListTable3-Accent1"/>
        <w:tblW w:w="5000" w:type="pct"/>
        <w:tblBorders>
          <w:top w:val="single" w:sz="2" w:space="0" w:color="701F4D" w:themeColor="accent2"/>
          <w:left w:val="none" w:sz="0" w:space="0" w:color="auto"/>
          <w:bottom w:val="single" w:sz="2" w:space="0" w:color="701F4D" w:themeColor="accent2"/>
          <w:right w:val="none" w:sz="0" w:space="0" w:color="auto"/>
          <w:insideH w:val="single" w:sz="2" w:space="0" w:color="701F4D" w:themeColor="accent2"/>
        </w:tblBorders>
        <w:tblCellMar>
          <w:top w:w="57" w:type="dxa"/>
          <w:bottom w:w="57" w:type="dxa"/>
          <w:right w:w="113" w:type="dxa"/>
        </w:tblCellMar>
        <w:tblLook w:val="04A0" w:firstRow="1" w:lastRow="0" w:firstColumn="1" w:lastColumn="0" w:noHBand="0" w:noVBand="1"/>
      </w:tblPr>
      <w:tblGrid>
        <w:gridCol w:w="2384"/>
        <w:gridCol w:w="982"/>
        <w:gridCol w:w="1227"/>
      </w:tblGrid>
      <w:tr w:rsidR="00591892" w:rsidRPr="00E0750B" w14:paraId="26115369" w14:textId="77777777" w:rsidTr="00591892">
        <w:trPr>
          <w:cnfStyle w:val="100000000000" w:firstRow="1" w:lastRow="0" w:firstColumn="0" w:lastColumn="0" w:oddVBand="0" w:evenVBand="0" w:oddHBand="0" w:evenHBand="0" w:firstRowFirstColumn="0" w:firstRowLastColumn="0" w:lastRowFirstColumn="0" w:lastRowLastColumn="0"/>
          <w:trHeight w:val="79"/>
        </w:trPr>
        <w:tc>
          <w:tcPr>
            <w:cnfStyle w:val="001000000100" w:firstRow="0" w:lastRow="0" w:firstColumn="1" w:lastColumn="0" w:oddVBand="0" w:evenVBand="0" w:oddHBand="0" w:evenHBand="0" w:firstRowFirstColumn="1" w:firstRowLastColumn="0" w:lastRowFirstColumn="0" w:lastRowLastColumn="0"/>
            <w:tcW w:w="2324" w:type="dxa"/>
            <w:tcBorders>
              <w:top w:val="nil"/>
              <w:bottom w:val="single" w:sz="4" w:space="0" w:color="701F4D" w:themeColor="accent2"/>
            </w:tcBorders>
            <w:shd w:val="clear" w:color="auto" w:fill="701F4D" w:themeFill="accent2"/>
            <w:vAlign w:val="center"/>
          </w:tcPr>
          <w:p w14:paraId="72EE208A" w14:textId="3B57A90A" w:rsidR="000F784E" w:rsidRPr="000F784E" w:rsidRDefault="000F784E" w:rsidP="000F784E">
            <w:pPr>
              <w:pStyle w:val="TableHeaderCellLeft"/>
            </w:pPr>
            <w:r w:rsidRPr="000F784E">
              <w:t>Size of signatory</w:t>
            </w:r>
          </w:p>
        </w:tc>
        <w:tc>
          <w:tcPr>
            <w:tcW w:w="957" w:type="dxa"/>
            <w:tcBorders>
              <w:top w:val="nil"/>
              <w:bottom w:val="single" w:sz="4" w:space="0" w:color="701F4D" w:themeColor="accent2"/>
            </w:tcBorders>
            <w:shd w:val="clear" w:color="auto" w:fill="701F4D" w:themeFill="accent2"/>
            <w:vAlign w:val="center"/>
          </w:tcPr>
          <w:p w14:paraId="3463456B" w14:textId="77777777" w:rsidR="000F784E" w:rsidRPr="000F784E" w:rsidRDefault="000F784E" w:rsidP="000F784E">
            <w:pPr>
              <w:pStyle w:val="TableHeaderCellRight"/>
              <w:cnfStyle w:val="100000000000" w:firstRow="1" w:lastRow="0" w:firstColumn="0" w:lastColumn="0" w:oddVBand="0" w:evenVBand="0" w:oddHBand="0" w:evenHBand="0" w:firstRowFirstColumn="0" w:firstRowLastColumn="0" w:lastRowFirstColumn="0" w:lastRowLastColumn="0"/>
            </w:pPr>
            <w:r w:rsidRPr="000F784E">
              <w:t>Number</w:t>
            </w:r>
          </w:p>
        </w:tc>
        <w:tc>
          <w:tcPr>
            <w:tcW w:w="1196" w:type="dxa"/>
            <w:tcBorders>
              <w:top w:val="nil"/>
              <w:bottom w:val="single" w:sz="4" w:space="0" w:color="701F4D" w:themeColor="accent2"/>
            </w:tcBorders>
            <w:shd w:val="clear" w:color="auto" w:fill="701F4D" w:themeFill="accent2"/>
            <w:vAlign w:val="center"/>
          </w:tcPr>
          <w:p w14:paraId="5F6AFA4D" w14:textId="77777777" w:rsidR="000F784E" w:rsidRPr="000F784E" w:rsidRDefault="000F784E" w:rsidP="000F784E">
            <w:pPr>
              <w:pStyle w:val="TableHeaderCellRight"/>
              <w:cnfStyle w:val="100000000000" w:firstRow="1" w:lastRow="0" w:firstColumn="0" w:lastColumn="0" w:oddVBand="0" w:evenVBand="0" w:oddHBand="0" w:evenHBand="0" w:firstRowFirstColumn="0" w:firstRowLastColumn="0" w:lastRowFirstColumn="0" w:lastRowLastColumn="0"/>
            </w:pPr>
            <w:r w:rsidRPr="000F784E">
              <w:t>Percentage</w:t>
            </w:r>
          </w:p>
        </w:tc>
      </w:tr>
      <w:tr w:rsidR="00591892" w:rsidRPr="00E0750B" w14:paraId="7D345343" w14:textId="77777777" w:rsidTr="0059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701F4D" w:themeColor="accent2"/>
              <w:bottom w:val="single" w:sz="4" w:space="0" w:color="701F4D" w:themeColor="accent2"/>
            </w:tcBorders>
            <w:shd w:val="clear" w:color="auto" w:fill="F6F2ED" w:themeFill="accent3" w:themeFillTint="33"/>
            <w:vAlign w:val="center"/>
          </w:tcPr>
          <w:p w14:paraId="01B9AB28" w14:textId="77777777" w:rsidR="000F784E" w:rsidRPr="009501BA" w:rsidRDefault="000F784E" w:rsidP="009B6643">
            <w:pPr>
              <w:pStyle w:val="TableBodyCellLeft"/>
            </w:pPr>
            <w:r w:rsidRPr="009501BA">
              <w:t>Large</w:t>
            </w:r>
          </w:p>
        </w:tc>
        <w:tc>
          <w:tcPr>
            <w:tcW w:w="957" w:type="dxa"/>
            <w:tcBorders>
              <w:top w:val="single" w:sz="4" w:space="0" w:color="701F4D" w:themeColor="accent2"/>
              <w:bottom w:val="single" w:sz="4" w:space="0" w:color="701F4D" w:themeColor="accent2"/>
            </w:tcBorders>
            <w:vAlign w:val="center"/>
          </w:tcPr>
          <w:p w14:paraId="4AE7BFFF" w14:textId="77777777" w:rsidR="000F784E" w:rsidRPr="009501BA" w:rsidRDefault="000F784E" w:rsidP="009B6643">
            <w:pPr>
              <w:pStyle w:val="TableBodyCellRight"/>
              <w:cnfStyle w:val="000000100000" w:firstRow="0" w:lastRow="0" w:firstColumn="0" w:lastColumn="0" w:oddVBand="0" w:evenVBand="0" w:oddHBand="1" w:evenHBand="0" w:firstRowFirstColumn="0" w:firstRowLastColumn="0" w:lastRowFirstColumn="0" w:lastRowLastColumn="0"/>
            </w:pPr>
            <w:r w:rsidRPr="009501BA">
              <w:t>1</w:t>
            </w:r>
            <w:r>
              <w:t>85</w:t>
            </w:r>
          </w:p>
        </w:tc>
        <w:tc>
          <w:tcPr>
            <w:tcW w:w="1196" w:type="dxa"/>
            <w:tcBorders>
              <w:top w:val="single" w:sz="4" w:space="0" w:color="701F4D" w:themeColor="accent2"/>
              <w:bottom w:val="single" w:sz="4" w:space="0" w:color="701F4D" w:themeColor="accent2"/>
            </w:tcBorders>
            <w:vAlign w:val="center"/>
          </w:tcPr>
          <w:p w14:paraId="37BD88C2" w14:textId="77777777" w:rsidR="000F784E" w:rsidRPr="009501BA" w:rsidRDefault="000F784E" w:rsidP="009B6643">
            <w:pPr>
              <w:pStyle w:val="TableBodyCellRight"/>
              <w:cnfStyle w:val="000000100000" w:firstRow="0" w:lastRow="0" w:firstColumn="0" w:lastColumn="0" w:oddVBand="0" w:evenVBand="0" w:oddHBand="1" w:evenHBand="0" w:firstRowFirstColumn="0" w:firstRowLastColumn="0" w:lastRowFirstColumn="0" w:lastRowLastColumn="0"/>
            </w:pPr>
            <w:r w:rsidRPr="009501BA">
              <w:t>8</w:t>
            </w:r>
            <w:r>
              <w:t>3</w:t>
            </w:r>
            <w:r w:rsidRPr="009501BA">
              <w:t>%</w:t>
            </w:r>
          </w:p>
        </w:tc>
      </w:tr>
      <w:tr w:rsidR="00591892" w:rsidRPr="00E0750B" w14:paraId="53CDF4A9" w14:textId="77777777" w:rsidTr="00591892">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701F4D" w:themeColor="accent2"/>
              <w:bottom w:val="single" w:sz="4" w:space="0" w:color="701F4D" w:themeColor="accent2"/>
            </w:tcBorders>
            <w:shd w:val="clear" w:color="auto" w:fill="F6F2ED" w:themeFill="accent3" w:themeFillTint="33"/>
            <w:vAlign w:val="center"/>
          </w:tcPr>
          <w:p w14:paraId="5B6B3AE8" w14:textId="77777777" w:rsidR="000F784E" w:rsidRPr="009501BA" w:rsidRDefault="000F784E" w:rsidP="009B6643">
            <w:pPr>
              <w:pStyle w:val="TableBodyCellLeft"/>
            </w:pPr>
            <w:r w:rsidRPr="009501BA">
              <w:t>Medium</w:t>
            </w:r>
          </w:p>
        </w:tc>
        <w:tc>
          <w:tcPr>
            <w:tcW w:w="957" w:type="dxa"/>
            <w:tcBorders>
              <w:top w:val="single" w:sz="4" w:space="0" w:color="701F4D" w:themeColor="accent2"/>
              <w:bottom w:val="single" w:sz="4" w:space="0" w:color="701F4D" w:themeColor="accent2"/>
            </w:tcBorders>
            <w:vAlign w:val="center"/>
          </w:tcPr>
          <w:p w14:paraId="3BBFC301" w14:textId="77777777" w:rsidR="000F784E" w:rsidRPr="009501BA" w:rsidRDefault="000F784E" w:rsidP="009B6643">
            <w:pPr>
              <w:pStyle w:val="TableBodyCellRight"/>
              <w:cnfStyle w:val="000000000000" w:firstRow="0" w:lastRow="0" w:firstColumn="0" w:lastColumn="0" w:oddVBand="0" w:evenVBand="0" w:oddHBand="0" w:evenHBand="0" w:firstRowFirstColumn="0" w:firstRowLastColumn="0" w:lastRowFirstColumn="0" w:lastRowLastColumn="0"/>
            </w:pPr>
            <w:r w:rsidRPr="009501BA">
              <w:t>3</w:t>
            </w:r>
            <w:r>
              <w:t>0</w:t>
            </w:r>
          </w:p>
        </w:tc>
        <w:tc>
          <w:tcPr>
            <w:tcW w:w="1196" w:type="dxa"/>
            <w:tcBorders>
              <w:top w:val="single" w:sz="4" w:space="0" w:color="701F4D" w:themeColor="accent2"/>
              <w:bottom w:val="single" w:sz="4" w:space="0" w:color="701F4D" w:themeColor="accent2"/>
            </w:tcBorders>
            <w:vAlign w:val="center"/>
          </w:tcPr>
          <w:p w14:paraId="46A8C658" w14:textId="77777777" w:rsidR="000F784E" w:rsidRPr="009501BA" w:rsidRDefault="000F784E" w:rsidP="009B6643">
            <w:pPr>
              <w:pStyle w:val="TableBodyCellRight"/>
              <w:cnfStyle w:val="000000000000" w:firstRow="0" w:lastRow="0" w:firstColumn="0" w:lastColumn="0" w:oddVBand="0" w:evenVBand="0" w:oddHBand="0" w:evenHBand="0" w:firstRowFirstColumn="0" w:firstRowLastColumn="0" w:lastRowFirstColumn="0" w:lastRowLastColumn="0"/>
            </w:pPr>
            <w:r w:rsidRPr="009501BA">
              <w:t>1</w:t>
            </w:r>
            <w:r>
              <w:t>3</w:t>
            </w:r>
            <w:r w:rsidRPr="009501BA">
              <w:t>%</w:t>
            </w:r>
          </w:p>
        </w:tc>
      </w:tr>
      <w:tr w:rsidR="00591892" w:rsidRPr="00E0750B" w14:paraId="1D2C9233" w14:textId="77777777" w:rsidTr="0059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Borders>
              <w:top w:val="single" w:sz="4" w:space="0" w:color="701F4D" w:themeColor="accent2"/>
              <w:bottom w:val="single" w:sz="8" w:space="0" w:color="701F4D" w:themeColor="accent2"/>
            </w:tcBorders>
            <w:shd w:val="clear" w:color="auto" w:fill="F6F2ED" w:themeFill="accent3" w:themeFillTint="33"/>
            <w:vAlign w:val="center"/>
          </w:tcPr>
          <w:p w14:paraId="1F2FD74E" w14:textId="77777777" w:rsidR="000F784E" w:rsidRPr="009501BA" w:rsidRDefault="000F784E" w:rsidP="009B6643">
            <w:pPr>
              <w:pStyle w:val="TableBodyCellLeft"/>
            </w:pPr>
            <w:r w:rsidRPr="009501BA">
              <w:t>Small</w:t>
            </w:r>
          </w:p>
        </w:tc>
        <w:tc>
          <w:tcPr>
            <w:tcW w:w="957" w:type="dxa"/>
            <w:tcBorders>
              <w:top w:val="single" w:sz="4" w:space="0" w:color="701F4D" w:themeColor="accent2"/>
              <w:bottom w:val="single" w:sz="8" w:space="0" w:color="701F4D" w:themeColor="accent2"/>
            </w:tcBorders>
            <w:vAlign w:val="center"/>
          </w:tcPr>
          <w:p w14:paraId="096391FF" w14:textId="77777777" w:rsidR="000F784E" w:rsidRPr="009501BA" w:rsidRDefault="000F784E" w:rsidP="009B6643">
            <w:pPr>
              <w:pStyle w:val="TableBodyCellRight"/>
              <w:cnfStyle w:val="000000100000" w:firstRow="0" w:lastRow="0" w:firstColumn="0" w:lastColumn="0" w:oddVBand="0" w:evenVBand="0" w:oddHBand="1" w:evenHBand="0" w:firstRowFirstColumn="0" w:firstRowLastColumn="0" w:lastRowFirstColumn="0" w:lastRowLastColumn="0"/>
            </w:pPr>
            <w:r w:rsidRPr="009501BA">
              <w:t>8</w:t>
            </w:r>
          </w:p>
        </w:tc>
        <w:tc>
          <w:tcPr>
            <w:tcW w:w="1196" w:type="dxa"/>
            <w:tcBorders>
              <w:top w:val="single" w:sz="4" w:space="0" w:color="701F4D" w:themeColor="accent2"/>
              <w:bottom w:val="single" w:sz="8" w:space="0" w:color="701F4D" w:themeColor="accent2"/>
            </w:tcBorders>
            <w:vAlign w:val="center"/>
          </w:tcPr>
          <w:p w14:paraId="4BE4A220" w14:textId="77777777" w:rsidR="000F784E" w:rsidRPr="009501BA" w:rsidRDefault="000F784E" w:rsidP="009B6643">
            <w:pPr>
              <w:pStyle w:val="TableBodyCellRight"/>
              <w:cnfStyle w:val="000000100000" w:firstRow="0" w:lastRow="0" w:firstColumn="0" w:lastColumn="0" w:oddVBand="0" w:evenVBand="0" w:oddHBand="1" w:evenHBand="0" w:firstRowFirstColumn="0" w:firstRowLastColumn="0" w:lastRowFirstColumn="0" w:lastRowLastColumn="0"/>
            </w:pPr>
            <w:r w:rsidRPr="009501BA">
              <w:t>4%</w:t>
            </w:r>
          </w:p>
        </w:tc>
      </w:tr>
    </w:tbl>
    <w:p w14:paraId="2FF6B71D" w14:textId="47B8D08E" w:rsidR="000F784E" w:rsidRDefault="000F784E" w:rsidP="000F784E">
      <w:pPr>
        <w:pStyle w:val="TableHeading1"/>
      </w:pPr>
      <w:r>
        <w:t>Signatories by origin of ultimate holding company:</w:t>
      </w:r>
    </w:p>
    <w:tbl>
      <w:tblPr>
        <w:tblStyle w:val="ListTable3-Accent1"/>
        <w:tblW w:w="5000" w:type="pct"/>
        <w:tblBorders>
          <w:top w:val="single" w:sz="2" w:space="0" w:color="701F4D" w:themeColor="accent2"/>
          <w:left w:val="none" w:sz="0" w:space="0" w:color="auto"/>
          <w:bottom w:val="single" w:sz="2" w:space="0" w:color="701F4D" w:themeColor="accent2"/>
          <w:right w:val="none" w:sz="0" w:space="0" w:color="auto"/>
          <w:insideH w:val="single" w:sz="2" w:space="0" w:color="701F4D" w:themeColor="accent2"/>
        </w:tblBorders>
        <w:tblCellMar>
          <w:top w:w="57" w:type="dxa"/>
          <w:bottom w:w="57" w:type="dxa"/>
          <w:right w:w="113" w:type="dxa"/>
        </w:tblCellMar>
        <w:tblLook w:val="04A0" w:firstRow="1" w:lastRow="0" w:firstColumn="1" w:lastColumn="0" w:noHBand="0" w:noVBand="1"/>
      </w:tblPr>
      <w:tblGrid>
        <w:gridCol w:w="2440"/>
        <w:gridCol w:w="957"/>
        <w:gridCol w:w="1196"/>
      </w:tblGrid>
      <w:tr w:rsidR="000F784E" w:rsidRPr="00E0750B" w14:paraId="6CA1D092" w14:textId="77777777" w:rsidTr="005918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1" w:type="dxa"/>
            <w:tcBorders>
              <w:top w:val="nil"/>
              <w:bottom w:val="single" w:sz="4" w:space="0" w:color="701F4D" w:themeColor="accent2"/>
            </w:tcBorders>
            <w:shd w:val="clear" w:color="auto" w:fill="701F4D" w:themeFill="accent2"/>
            <w:vAlign w:val="center"/>
          </w:tcPr>
          <w:p w14:paraId="53AAA3A9" w14:textId="6318077E" w:rsidR="000F784E" w:rsidRPr="000F784E" w:rsidRDefault="000F784E" w:rsidP="000F784E">
            <w:pPr>
              <w:pStyle w:val="TableHeaderCellLeft"/>
            </w:pPr>
            <w:r w:rsidRPr="000F784E">
              <w:t>Origin of ultimate holding company</w:t>
            </w:r>
          </w:p>
        </w:tc>
        <w:tc>
          <w:tcPr>
            <w:tcW w:w="957" w:type="dxa"/>
            <w:tcBorders>
              <w:top w:val="nil"/>
              <w:bottom w:val="single" w:sz="4" w:space="0" w:color="701F4D" w:themeColor="accent2"/>
            </w:tcBorders>
            <w:shd w:val="clear" w:color="auto" w:fill="701F4D" w:themeFill="accent2"/>
            <w:vAlign w:val="center"/>
          </w:tcPr>
          <w:p w14:paraId="54557863" w14:textId="77777777" w:rsidR="000F784E" w:rsidRPr="000F784E" w:rsidRDefault="000F784E" w:rsidP="000F784E">
            <w:pPr>
              <w:pStyle w:val="TableHeaderCellRight"/>
              <w:cnfStyle w:val="100000000000" w:firstRow="1" w:lastRow="0" w:firstColumn="0" w:lastColumn="0" w:oddVBand="0" w:evenVBand="0" w:oddHBand="0" w:evenHBand="0" w:firstRowFirstColumn="0" w:firstRowLastColumn="0" w:lastRowFirstColumn="0" w:lastRowLastColumn="0"/>
            </w:pPr>
            <w:r w:rsidRPr="000F784E">
              <w:t>Number</w:t>
            </w:r>
          </w:p>
        </w:tc>
        <w:tc>
          <w:tcPr>
            <w:tcW w:w="1196" w:type="dxa"/>
            <w:tcBorders>
              <w:top w:val="nil"/>
              <w:bottom w:val="single" w:sz="4" w:space="0" w:color="701F4D" w:themeColor="accent2"/>
            </w:tcBorders>
            <w:shd w:val="clear" w:color="auto" w:fill="701F4D" w:themeFill="accent2"/>
            <w:vAlign w:val="center"/>
          </w:tcPr>
          <w:p w14:paraId="6DF860AD" w14:textId="77777777" w:rsidR="000F784E" w:rsidRPr="000F784E" w:rsidRDefault="000F784E" w:rsidP="000F784E">
            <w:pPr>
              <w:pStyle w:val="TableHeaderCellRight"/>
              <w:cnfStyle w:val="100000000000" w:firstRow="1" w:lastRow="0" w:firstColumn="0" w:lastColumn="0" w:oddVBand="0" w:evenVBand="0" w:oddHBand="0" w:evenHBand="0" w:firstRowFirstColumn="0" w:firstRowLastColumn="0" w:lastRowFirstColumn="0" w:lastRowLastColumn="0"/>
            </w:pPr>
            <w:r w:rsidRPr="000F784E">
              <w:t>Percentage</w:t>
            </w:r>
          </w:p>
        </w:tc>
      </w:tr>
      <w:tr w:rsidR="000F784E" w:rsidRPr="00E0750B" w14:paraId="767385F2" w14:textId="77777777" w:rsidTr="0059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701F4D" w:themeColor="accent2"/>
              <w:bottom w:val="single" w:sz="4" w:space="0" w:color="701F4D" w:themeColor="accent2"/>
            </w:tcBorders>
            <w:shd w:val="clear" w:color="auto" w:fill="F6F2ED" w:themeFill="accent3" w:themeFillTint="33"/>
            <w:vAlign w:val="center"/>
          </w:tcPr>
          <w:p w14:paraId="16CB5778" w14:textId="77777777" w:rsidR="000F784E" w:rsidRPr="000A63B0" w:rsidRDefault="000F784E" w:rsidP="009B6643">
            <w:pPr>
              <w:pStyle w:val="TableBodyCellLeft"/>
            </w:pPr>
            <w:r w:rsidRPr="000A63B0">
              <w:t>Australia</w:t>
            </w:r>
          </w:p>
        </w:tc>
        <w:tc>
          <w:tcPr>
            <w:tcW w:w="957" w:type="dxa"/>
            <w:tcBorders>
              <w:top w:val="single" w:sz="4" w:space="0" w:color="701F4D" w:themeColor="accent2"/>
              <w:bottom w:val="single" w:sz="4" w:space="0" w:color="701F4D" w:themeColor="accent2"/>
            </w:tcBorders>
            <w:vAlign w:val="center"/>
          </w:tcPr>
          <w:p w14:paraId="11E755C3" w14:textId="77777777" w:rsidR="000F784E" w:rsidRPr="009501BA" w:rsidRDefault="000F784E" w:rsidP="009B6643">
            <w:pPr>
              <w:pStyle w:val="TableBodyCellRight"/>
              <w:cnfStyle w:val="000000100000" w:firstRow="0" w:lastRow="0" w:firstColumn="0" w:lastColumn="0" w:oddVBand="0" w:evenVBand="0" w:oddHBand="1" w:evenHBand="0" w:firstRowFirstColumn="0" w:firstRowLastColumn="0" w:lastRowFirstColumn="0" w:lastRowLastColumn="0"/>
            </w:pPr>
            <w:r w:rsidRPr="009501BA">
              <w:t>1</w:t>
            </w:r>
            <w:r>
              <w:t>71</w:t>
            </w:r>
          </w:p>
        </w:tc>
        <w:tc>
          <w:tcPr>
            <w:tcW w:w="1196" w:type="dxa"/>
            <w:tcBorders>
              <w:top w:val="single" w:sz="4" w:space="0" w:color="701F4D" w:themeColor="accent2"/>
              <w:bottom w:val="single" w:sz="4" w:space="0" w:color="701F4D" w:themeColor="accent2"/>
            </w:tcBorders>
            <w:vAlign w:val="center"/>
          </w:tcPr>
          <w:p w14:paraId="72D1D209" w14:textId="77777777" w:rsidR="000F784E" w:rsidRPr="009501BA" w:rsidRDefault="000F784E" w:rsidP="009B6643">
            <w:pPr>
              <w:pStyle w:val="TableBodyCellRight"/>
              <w:cnfStyle w:val="000000100000" w:firstRow="0" w:lastRow="0" w:firstColumn="0" w:lastColumn="0" w:oddVBand="0" w:evenVBand="0" w:oddHBand="1" w:evenHBand="0" w:firstRowFirstColumn="0" w:firstRowLastColumn="0" w:lastRowFirstColumn="0" w:lastRowLastColumn="0"/>
            </w:pPr>
            <w:r w:rsidRPr="009501BA">
              <w:t>7</w:t>
            </w:r>
            <w:r>
              <w:t>6</w:t>
            </w:r>
            <w:r w:rsidRPr="009501BA">
              <w:t>%</w:t>
            </w:r>
          </w:p>
        </w:tc>
      </w:tr>
      <w:tr w:rsidR="000F784E" w:rsidRPr="00E0750B" w14:paraId="1D29B632" w14:textId="77777777" w:rsidTr="00591892">
        <w:trPr>
          <w:trHeight w:val="27"/>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701F4D" w:themeColor="accent2"/>
              <w:bottom w:val="single" w:sz="4" w:space="0" w:color="701F4D" w:themeColor="accent2"/>
            </w:tcBorders>
            <w:shd w:val="clear" w:color="auto" w:fill="F6F2ED" w:themeFill="accent3" w:themeFillTint="33"/>
            <w:vAlign w:val="center"/>
          </w:tcPr>
          <w:p w14:paraId="48E69DA8" w14:textId="77777777" w:rsidR="000F784E" w:rsidRPr="000A63B0" w:rsidRDefault="000F784E" w:rsidP="009B6643">
            <w:pPr>
              <w:pStyle w:val="TableBodyCellLeft"/>
            </w:pPr>
            <w:r w:rsidRPr="000A63B0">
              <w:t>Foreign</w:t>
            </w:r>
          </w:p>
        </w:tc>
        <w:tc>
          <w:tcPr>
            <w:tcW w:w="957" w:type="dxa"/>
            <w:tcBorders>
              <w:top w:val="single" w:sz="4" w:space="0" w:color="701F4D" w:themeColor="accent2"/>
              <w:bottom w:val="single" w:sz="4" w:space="0" w:color="701F4D" w:themeColor="accent2"/>
            </w:tcBorders>
            <w:vAlign w:val="center"/>
          </w:tcPr>
          <w:p w14:paraId="523B22E7" w14:textId="77777777" w:rsidR="000F784E" w:rsidRPr="009501BA" w:rsidRDefault="000F784E" w:rsidP="009B6643">
            <w:pPr>
              <w:pStyle w:val="TableBodyCellRight"/>
              <w:cnfStyle w:val="000000000000" w:firstRow="0" w:lastRow="0" w:firstColumn="0" w:lastColumn="0" w:oddVBand="0" w:evenVBand="0" w:oddHBand="0" w:evenHBand="0" w:firstRowFirstColumn="0" w:firstRowLastColumn="0" w:lastRowFirstColumn="0" w:lastRowLastColumn="0"/>
            </w:pPr>
            <w:r w:rsidRPr="009501BA">
              <w:t>4</w:t>
            </w:r>
            <w:r>
              <w:t>5</w:t>
            </w:r>
          </w:p>
        </w:tc>
        <w:tc>
          <w:tcPr>
            <w:tcW w:w="1196" w:type="dxa"/>
            <w:tcBorders>
              <w:top w:val="single" w:sz="4" w:space="0" w:color="701F4D" w:themeColor="accent2"/>
              <w:bottom w:val="single" w:sz="4" w:space="0" w:color="701F4D" w:themeColor="accent2"/>
            </w:tcBorders>
            <w:vAlign w:val="center"/>
          </w:tcPr>
          <w:p w14:paraId="41B6CED6" w14:textId="77777777" w:rsidR="000F784E" w:rsidRPr="009501BA" w:rsidRDefault="000F784E" w:rsidP="009B6643">
            <w:pPr>
              <w:pStyle w:val="TableBodyCellRight"/>
              <w:cnfStyle w:val="000000000000" w:firstRow="0" w:lastRow="0" w:firstColumn="0" w:lastColumn="0" w:oddVBand="0" w:evenVBand="0" w:oddHBand="0" w:evenHBand="0" w:firstRowFirstColumn="0" w:firstRowLastColumn="0" w:lastRowFirstColumn="0" w:lastRowLastColumn="0"/>
            </w:pPr>
            <w:r w:rsidRPr="009501BA">
              <w:t>20%</w:t>
            </w:r>
          </w:p>
        </w:tc>
      </w:tr>
      <w:tr w:rsidR="000F784E" w:rsidRPr="00E0750B" w14:paraId="41EE6C41" w14:textId="77777777" w:rsidTr="00591892">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701F4D" w:themeColor="accent2"/>
              <w:bottom w:val="single" w:sz="4" w:space="0" w:color="701F4D" w:themeColor="accent2"/>
            </w:tcBorders>
            <w:shd w:val="clear" w:color="auto" w:fill="F6F2ED" w:themeFill="accent3" w:themeFillTint="33"/>
            <w:vAlign w:val="center"/>
          </w:tcPr>
          <w:p w14:paraId="643F5675" w14:textId="05947B5F" w:rsidR="000F784E" w:rsidRPr="000A63B0" w:rsidRDefault="000F784E" w:rsidP="009B6643">
            <w:pPr>
              <w:pStyle w:val="TableBodyCellLeft"/>
              <w:rPr>
                <w:spacing w:val="-6"/>
              </w:rPr>
            </w:pPr>
            <w:r w:rsidRPr="000A63B0">
              <w:rPr>
                <w:spacing w:val="-6"/>
              </w:rPr>
              <w:t>Australia &amp; Foreign dual</w:t>
            </w:r>
            <w:r>
              <w:rPr>
                <w:spacing w:val="-6"/>
              </w:rPr>
              <w:t> </w:t>
            </w:r>
            <w:r w:rsidRPr="000A63B0">
              <w:rPr>
                <w:spacing w:val="-6"/>
              </w:rPr>
              <w:t>listed</w:t>
            </w:r>
          </w:p>
        </w:tc>
        <w:tc>
          <w:tcPr>
            <w:tcW w:w="957" w:type="dxa"/>
            <w:tcBorders>
              <w:top w:val="single" w:sz="4" w:space="0" w:color="701F4D" w:themeColor="accent2"/>
              <w:bottom w:val="single" w:sz="4" w:space="0" w:color="701F4D" w:themeColor="accent2"/>
            </w:tcBorders>
            <w:vAlign w:val="center"/>
          </w:tcPr>
          <w:p w14:paraId="6CE4AC7B" w14:textId="77777777" w:rsidR="000F784E" w:rsidRPr="009501BA" w:rsidRDefault="000F784E" w:rsidP="009B6643">
            <w:pPr>
              <w:pStyle w:val="TableBodyCellRight"/>
              <w:cnfStyle w:val="000000100000" w:firstRow="0" w:lastRow="0" w:firstColumn="0" w:lastColumn="0" w:oddVBand="0" w:evenVBand="0" w:oddHBand="1" w:evenHBand="0" w:firstRowFirstColumn="0" w:firstRowLastColumn="0" w:lastRowFirstColumn="0" w:lastRowLastColumn="0"/>
            </w:pPr>
            <w:r>
              <w:t>7</w:t>
            </w:r>
          </w:p>
        </w:tc>
        <w:tc>
          <w:tcPr>
            <w:tcW w:w="1196" w:type="dxa"/>
            <w:tcBorders>
              <w:top w:val="single" w:sz="4" w:space="0" w:color="701F4D" w:themeColor="accent2"/>
              <w:bottom w:val="single" w:sz="4" w:space="0" w:color="701F4D" w:themeColor="accent2"/>
            </w:tcBorders>
            <w:vAlign w:val="center"/>
          </w:tcPr>
          <w:p w14:paraId="1BB9CCB1" w14:textId="77777777" w:rsidR="000F784E" w:rsidRPr="009501BA" w:rsidRDefault="000F784E" w:rsidP="009B6643">
            <w:pPr>
              <w:pStyle w:val="TableBodyCellRight"/>
              <w:cnfStyle w:val="000000100000" w:firstRow="0" w:lastRow="0" w:firstColumn="0" w:lastColumn="0" w:oddVBand="0" w:evenVBand="0" w:oddHBand="1" w:evenHBand="0" w:firstRowFirstColumn="0" w:firstRowLastColumn="0" w:lastRowFirstColumn="0" w:lastRowLastColumn="0"/>
            </w:pPr>
            <w:r>
              <w:t>3</w:t>
            </w:r>
            <w:r w:rsidRPr="009501BA">
              <w:t>%</w:t>
            </w:r>
          </w:p>
        </w:tc>
      </w:tr>
      <w:tr w:rsidR="000F784E" w:rsidRPr="00E0750B" w14:paraId="614AA9BB" w14:textId="77777777" w:rsidTr="00591892">
        <w:trPr>
          <w:trHeight w:val="212"/>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701F4D" w:themeColor="accent2"/>
              <w:bottom w:val="single" w:sz="8" w:space="0" w:color="701F4D" w:themeColor="accent2"/>
            </w:tcBorders>
            <w:shd w:val="clear" w:color="auto" w:fill="F6F2ED" w:themeFill="accent3" w:themeFillTint="33"/>
            <w:vAlign w:val="center"/>
          </w:tcPr>
          <w:p w14:paraId="72BBDE2A" w14:textId="77777777" w:rsidR="000F784E" w:rsidRPr="000A63B0" w:rsidRDefault="000F784E" w:rsidP="009B6643">
            <w:pPr>
              <w:pStyle w:val="TableBodyCellLeft"/>
              <w:rPr>
                <w:spacing w:val="-6"/>
              </w:rPr>
            </w:pPr>
            <w:r>
              <w:rPr>
                <w:spacing w:val="-6"/>
              </w:rPr>
              <w:t>Undisclosed</w:t>
            </w:r>
          </w:p>
        </w:tc>
        <w:tc>
          <w:tcPr>
            <w:tcW w:w="957" w:type="dxa"/>
            <w:tcBorders>
              <w:top w:val="single" w:sz="4" w:space="0" w:color="701F4D" w:themeColor="accent2"/>
              <w:bottom w:val="single" w:sz="8" w:space="0" w:color="701F4D" w:themeColor="accent2"/>
            </w:tcBorders>
            <w:vAlign w:val="center"/>
          </w:tcPr>
          <w:p w14:paraId="2C46E852" w14:textId="77777777" w:rsidR="000F784E" w:rsidRDefault="000F784E" w:rsidP="009B6643">
            <w:pPr>
              <w:pStyle w:val="TableBodyCellRight"/>
              <w:cnfStyle w:val="000000000000" w:firstRow="0" w:lastRow="0" w:firstColumn="0" w:lastColumn="0" w:oddVBand="0" w:evenVBand="0" w:oddHBand="0" w:evenHBand="0" w:firstRowFirstColumn="0" w:firstRowLastColumn="0" w:lastRowFirstColumn="0" w:lastRowLastColumn="0"/>
            </w:pPr>
            <w:r>
              <w:t>2</w:t>
            </w:r>
          </w:p>
        </w:tc>
        <w:tc>
          <w:tcPr>
            <w:tcW w:w="1196" w:type="dxa"/>
            <w:tcBorders>
              <w:top w:val="single" w:sz="4" w:space="0" w:color="701F4D" w:themeColor="accent2"/>
              <w:bottom w:val="single" w:sz="8" w:space="0" w:color="701F4D" w:themeColor="accent2"/>
            </w:tcBorders>
            <w:vAlign w:val="center"/>
          </w:tcPr>
          <w:p w14:paraId="374B5D64" w14:textId="77777777" w:rsidR="000F784E" w:rsidRDefault="000F784E" w:rsidP="009B6643">
            <w:pPr>
              <w:pStyle w:val="TableBodyCellRight"/>
              <w:cnfStyle w:val="000000000000" w:firstRow="0" w:lastRow="0" w:firstColumn="0" w:lastColumn="0" w:oddVBand="0" w:evenVBand="0" w:oddHBand="0" w:evenHBand="0" w:firstRowFirstColumn="0" w:firstRowLastColumn="0" w:lastRowFirstColumn="0" w:lastRowLastColumn="0"/>
            </w:pPr>
            <w:r>
              <w:t>1%</w:t>
            </w:r>
          </w:p>
        </w:tc>
      </w:tr>
    </w:tbl>
    <w:p w14:paraId="5C4A16B5" w14:textId="77777777" w:rsidR="000F784E" w:rsidRDefault="000F784E" w:rsidP="005D5124">
      <w:pPr>
        <w:sectPr w:rsidR="000F784E" w:rsidSect="00591892">
          <w:type w:val="continuous"/>
          <w:pgSz w:w="11909" w:h="16834" w:code="9"/>
          <w:pgMar w:top="2268" w:right="1134" w:bottom="1985" w:left="1134" w:header="1134" w:footer="1134" w:gutter="0"/>
          <w:cols w:num="2" w:space="454"/>
          <w:docGrid w:linePitch="360"/>
        </w:sectPr>
      </w:pPr>
    </w:p>
    <w:p w14:paraId="26EE1C65" w14:textId="20117DFE" w:rsidR="00FE7A25" w:rsidRPr="005D5124" w:rsidRDefault="00FE7A25" w:rsidP="005D5124">
      <w:r>
        <w:br w:type="page"/>
      </w:r>
    </w:p>
    <w:p w14:paraId="57C16872" w14:textId="6DDC9150" w:rsidR="00591892" w:rsidRPr="00591892" w:rsidRDefault="00591892" w:rsidP="00591892">
      <w:pPr>
        <w:pStyle w:val="Heading1"/>
      </w:pPr>
      <w:bookmarkStart w:id="53" w:name="_Toc212631278"/>
      <w:bookmarkEnd w:id="52"/>
      <w:r w:rsidRPr="00591892">
        <w:lastRenderedPageBreak/>
        <w:t>The year ahead –</w:t>
      </w:r>
      <w:r w:rsidR="00311B55">
        <w:t xml:space="preserve"> </w:t>
      </w:r>
      <w:r w:rsidRPr="00591892">
        <w:t>2025</w:t>
      </w:r>
      <w:r w:rsidR="00E85747">
        <w:t>‍</w:t>
      </w:r>
      <w:r w:rsidRPr="00591892">
        <w:t>–</w:t>
      </w:r>
      <w:r w:rsidR="00E85747">
        <w:t>‍</w:t>
      </w:r>
      <w:r w:rsidRPr="00E85747">
        <w:t>26</w:t>
      </w:r>
      <w:r w:rsidR="00E85747">
        <w:t> </w:t>
      </w:r>
      <w:r w:rsidRPr="00E85747">
        <w:t>reporting</w:t>
      </w:r>
      <w:r w:rsidRPr="00591892">
        <w:t> year</w:t>
      </w:r>
      <w:bookmarkEnd w:id="53"/>
    </w:p>
    <w:p w14:paraId="2B589164" w14:textId="4AC753B7" w:rsidR="001C37CE" w:rsidRDefault="00BE52F8" w:rsidP="00036758">
      <w:r>
        <w:t>The 202</w:t>
      </w:r>
      <w:r w:rsidR="0065162F">
        <w:t>5</w:t>
      </w:r>
      <w:r w:rsidR="00663D21">
        <w:t>–</w:t>
      </w:r>
      <w:r>
        <w:t>2</w:t>
      </w:r>
      <w:r w:rsidR="0065162F">
        <w:t>6</w:t>
      </w:r>
      <w:r>
        <w:t xml:space="preserve"> reporting year </w:t>
      </w:r>
      <w:r w:rsidR="006B5E24">
        <w:t xml:space="preserve">presents an </w:t>
      </w:r>
      <w:r w:rsidR="00637DF0">
        <w:t xml:space="preserve">important opportunity for growth and connection for the Board. We will </w:t>
      </w:r>
      <w:r w:rsidR="008D386A">
        <w:t xml:space="preserve">focus on </w:t>
      </w:r>
      <w:r w:rsidR="00637DF0">
        <w:t>strengthen</w:t>
      </w:r>
      <w:r w:rsidR="008D386A">
        <w:t>ing</w:t>
      </w:r>
      <w:r w:rsidR="00637DF0">
        <w:t xml:space="preserve"> our </w:t>
      </w:r>
      <w:r w:rsidR="008D386A">
        <w:t xml:space="preserve">engagement with stakeholders, </w:t>
      </w:r>
      <w:r w:rsidR="001C37CE">
        <w:t>ensuring</w:t>
      </w:r>
      <w:r w:rsidR="008D386A">
        <w:t xml:space="preserve"> their </w:t>
      </w:r>
      <w:r w:rsidR="001C37CE">
        <w:t>perspectives</w:t>
      </w:r>
      <w:r w:rsidR="008D386A">
        <w:t xml:space="preserve"> </w:t>
      </w:r>
      <w:r w:rsidR="001C37CE">
        <w:t xml:space="preserve">continue to shape the advice we provide government </w:t>
      </w:r>
      <w:r w:rsidR="00F31A5B">
        <w:t xml:space="preserve">and guide our priorities. </w:t>
      </w:r>
    </w:p>
    <w:p w14:paraId="0310D603" w14:textId="31467E2A" w:rsidR="00320186" w:rsidRDefault="00F31A5B" w:rsidP="00036758">
      <w:r>
        <w:t>The re</w:t>
      </w:r>
      <w:r w:rsidR="00494371">
        <w:t>designed VTTC</w:t>
      </w:r>
      <w:r w:rsidR="00E23DBB">
        <w:t xml:space="preserve"> </w:t>
      </w:r>
      <w:r w:rsidR="00163E45">
        <w:t xml:space="preserve">to </w:t>
      </w:r>
      <w:r w:rsidR="00F30CBE">
        <w:t>is expected to be announced by the government</w:t>
      </w:r>
      <w:r w:rsidR="00E23DBB">
        <w:t xml:space="preserve"> during the </w:t>
      </w:r>
      <w:r w:rsidR="00F30CBE">
        <w:t>2025</w:t>
      </w:r>
      <w:r w:rsidR="00FC1B00">
        <w:t>–</w:t>
      </w:r>
      <w:r w:rsidR="00F30CBE">
        <w:t xml:space="preserve">26 reporting year </w:t>
      </w:r>
      <w:r w:rsidR="00C54E2A">
        <w:t>and</w:t>
      </w:r>
      <w:r w:rsidR="00E23DBB">
        <w:t xml:space="preserve"> </w:t>
      </w:r>
      <w:r w:rsidR="00163E45">
        <w:t xml:space="preserve">will </w:t>
      </w:r>
      <w:r w:rsidR="00E23DBB">
        <w:t>provide a clear fo</w:t>
      </w:r>
      <w:r w:rsidR="001146FE">
        <w:t xml:space="preserve">undation for corporates wishing to </w:t>
      </w:r>
      <w:r w:rsidR="005A5B2B">
        <w:t>provide</w:t>
      </w:r>
      <w:r w:rsidR="0089692A">
        <w:t xml:space="preserve"> a comprehensive explanation of their tax affairs, build public trust </w:t>
      </w:r>
      <w:r w:rsidR="004D6F72">
        <w:t xml:space="preserve">via good governance </w:t>
      </w:r>
      <w:r w:rsidR="0089692A">
        <w:t>and strengthen investor confidence</w:t>
      </w:r>
      <w:r w:rsidR="004D6F72">
        <w:t xml:space="preserve">. </w:t>
      </w:r>
    </w:p>
    <w:p w14:paraId="520DFEF9" w14:textId="309F57C9" w:rsidR="004D6F72" w:rsidRDefault="004D6F72" w:rsidP="00036758">
      <w:r>
        <w:t xml:space="preserve">The Board is committed to </w:t>
      </w:r>
      <w:r w:rsidR="006C366A" w:rsidRPr="00CE323A">
        <w:t>monitoring international and domestic tax transparency, and to revisiting the VTTC in the future to ensure its continued relevance.</w:t>
      </w:r>
    </w:p>
    <w:p w14:paraId="7B94643F" w14:textId="043564ED" w:rsidR="00AE1A95" w:rsidRDefault="00320186" w:rsidP="00036758">
      <w:r>
        <w:t>In September 2025, the government announced t</w:t>
      </w:r>
      <w:r w:rsidR="00E67365">
        <w:t xml:space="preserve">hat </w:t>
      </w:r>
      <w:r>
        <w:t xml:space="preserve">the Board will undertake a red tape reduction review to </w:t>
      </w:r>
      <w:r w:rsidR="00F535FC" w:rsidRPr="00F535FC">
        <w:t xml:space="preserve">help ease the compliance burden on </w:t>
      </w:r>
      <w:r w:rsidR="00CB6488" w:rsidRPr="00F535FC">
        <w:t>businesses</w:t>
      </w:r>
      <w:r w:rsidR="00CB6488">
        <w:t xml:space="preserve"> and</w:t>
      </w:r>
      <w:r w:rsidR="00F535FC" w:rsidRPr="00F535FC">
        <w:t xml:space="preserve"> make our economy more productive.</w:t>
      </w:r>
      <w:r w:rsidR="00F535FC">
        <w:t xml:space="preserve"> </w:t>
      </w:r>
    </w:p>
    <w:p w14:paraId="187389D2" w14:textId="4B71D47F" w:rsidR="00AC0104" w:rsidRDefault="00AE1A95" w:rsidP="00036758">
      <w:r>
        <w:t>As part of the review, t</w:t>
      </w:r>
      <w:r w:rsidR="004919CC">
        <w:t xml:space="preserve">he Board </w:t>
      </w:r>
      <w:r w:rsidR="007732BD">
        <w:t>has been requested to</w:t>
      </w:r>
      <w:r w:rsidR="004919CC">
        <w:t xml:space="preserve"> </w:t>
      </w:r>
      <w:r w:rsidR="004919CC" w:rsidRPr="004919CC">
        <w:t>engage with the business community to identify areas of business tax law and administration where there are opportunities for red tape reduction that are substantial, material, measurable and directly support productivity.</w:t>
      </w:r>
      <w:r w:rsidR="004919CC">
        <w:t xml:space="preserve"> </w:t>
      </w:r>
    </w:p>
    <w:p w14:paraId="27481C8D" w14:textId="6852B5D7" w:rsidR="00175C81" w:rsidRDefault="00175C81" w:rsidP="00175C81">
      <w:r w:rsidRPr="00175C81">
        <w:t>The Board will consult with a wide range of stakeholder</w:t>
      </w:r>
      <w:r>
        <w:t>s to</w:t>
      </w:r>
      <w:r w:rsidRPr="00175C81">
        <w:t xml:space="preserve"> help the Board understand where the impacts of compliance and regulation on business taxpayers could possibly be reduced through changes in business tax law and administration.</w:t>
      </w:r>
    </w:p>
    <w:p w14:paraId="37B22ABF" w14:textId="612590CA" w:rsidR="00175C81" w:rsidRPr="00175C81" w:rsidRDefault="00175C81" w:rsidP="00175C81">
      <w:r>
        <w:t>More information on the review is available on the Board</w:t>
      </w:r>
      <w:r w:rsidR="00FC1B00">
        <w:t>’</w:t>
      </w:r>
      <w:r>
        <w:t xml:space="preserve">s website. </w:t>
      </w:r>
    </w:p>
    <w:p w14:paraId="162338EC" w14:textId="0437518C" w:rsidR="00F90855" w:rsidRPr="00F90855" w:rsidRDefault="00494371" w:rsidP="00F90855">
      <w:r>
        <w:t xml:space="preserve">The red tape reduction review along with the redesigned VTTC </w:t>
      </w:r>
      <w:r w:rsidR="002765A4">
        <w:t xml:space="preserve">mark an exciting chapter for the Board as we build stronger relationships, </w:t>
      </w:r>
      <w:r w:rsidR="003F4F6C">
        <w:t>reinforce trust and continue to deliver real time advice to the government.</w:t>
      </w:r>
      <w:bookmarkStart w:id="54" w:name="_Toc149905535"/>
      <w:bookmarkStart w:id="55" w:name="_Ref158727428"/>
      <w:bookmarkStart w:id="56" w:name="_Toc209006412"/>
    </w:p>
    <w:p w14:paraId="21E97127" w14:textId="39CA04B4" w:rsidR="00036758" w:rsidRDefault="00036758" w:rsidP="00F90855">
      <w:pPr>
        <w:pStyle w:val="Heading1"/>
      </w:pPr>
      <w:bookmarkStart w:id="57" w:name="Appendix_A"/>
      <w:bookmarkStart w:id="58" w:name="_Toc212631279"/>
      <w:bookmarkEnd w:id="57"/>
      <w:r>
        <w:lastRenderedPageBreak/>
        <w:t>Appendix A: The Board</w:t>
      </w:r>
      <w:r w:rsidR="00FC1B00">
        <w:t>’</w:t>
      </w:r>
      <w:r>
        <w:t>s Charter</w:t>
      </w:r>
      <w:bookmarkEnd w:id="54"/>
      <w:bookmarkEnd w:id="55"/>
      <w:bookmarkEnd w:id="56"/>
      <w:bookmarkEnd w:id="58"/>
    </w:p>
    <w:p w14:paraId="13A6A4EF" w14:textId="025EC2EB" w:rsidR="00036758" w:rsidRDefault="00036758" w:rsidP="00DD011F">
      <w:pPr>
        <w:pStyle w:val="Heading2"/>
      </w:pPr>
      <w:bookmarkStart w:id="59" w:name="_Toc149905536"/>
      <w:bookmarkStart w:id="60" w:name="_Toc159253857"/>
      <w:bookmarkStart w:id="61" w:name="_Toc209006600"/>
      <w:r>
        <w:t xml:space="preserve">The </w:t>
      </w:r>
      <w:r w:rsidRPr="00DD011F">
        <w:t>Charter</w:t>
      </w:r>
      <w:bookmarkEnd w:id="59"/>
      <w:bookmarkEnd w:id="60"/>
      <w:bookmarkEnd w:id="61"/>
    </w:p>
    <w:p w14:paraId="7B122E67" w14:textId="77777777" w:rsidR="00036758" w:rsidRPr="00DD011F" w:rsidRDefault="00036758" w:rsidP="00DD011F">
      <w:pPr>
        <w:pStyle w:val="Heading3"/>
      </w:pPr>
      <w:r>
        <w:t>Mission</w:t>
      </w:r>
    </w:p>
    <w:p w14:paraId="038B0D7F" w14:textId="01172405" w:rsidR="00036758" w:rsidRDefault="00036758" w:rsidP="00DD011F">
      <w:r>
        <w:t xml:space="preserve">Recognising the </w:t>
      </w:r>
      <w:r w:rsidR="003057FA">
        <w:t>g</w:t>
      </w:r>
      <w:r>
        <w:t>overnment</w:t>
      </w:r>
      <w:r w:rsidR="00FC1B00">
        <w:t>’</w:t>
      </w:r>
      <w:r>
        <w:t>s responsibility for determining taxation policy and the statutory roles of the Commissioner of Taxation and the Inspector General of Taxation, the Board</w:t>
      </w:r>
      <w:r w:rsidR="00FC1B00">
        <w:t>’</w:t>
      </w:r>
      <w:r>
        <w:t>s mission is to contribute a business and broader community perspective to improving the design of taxation laws and their operation.</w:t>
      </w:r>
    </w:p>
    <w:p w14:paraId="08918028" w14:textId="77777777" w:rsidR="00036758" w:rsidRDefault="00036758" w:rsidP="00036758">
      <w:pPr>
        <w:pStyle w:val="Heading3"/>
      </w:pPr>
      <w:r>
        <w:t>Membership</w:t>
      </w:r>
    </w:p>
    <w:p w14:paraId="50EE28CA" w14:textId="7805E593" w:rsidR="00036758" w:rsidRDefault="00036758" w:rsidP="00DD011F">
      <w:r>
        <w:t xml:space="preserve">Members of the Board will be appointed by the Treasurer, for a term of up to </w:t>
      </w:r>
      <w:r w:rsidR="00311B55">
        <w:t>three</w:t>
      </w:r>
      <w:r>
        <w:t xml:space="preserve"> years, in their personal capacity. It is expected that members will be appointed from within the business and wider community having regard to their ability to contribute at the highest level to the development of the taxation system. The Chair will be appointed by the Treasurer from among these members of the Board. If the Treasurer decides to appoint a Deputy Chair, he or she will also be appointed from among these members of the Board. Members may be re</w:t>
      </w:r>
      <w:r w:rsidR="00FC1B00">
        <w:noBreakHyphen/>
      </w:r>
      <w:r>
        <w:t>appointed.</w:t>
      </w:r>
    </w:p>
    <w:p w14:paraId="5B9FB84E" w14:textId="60C84AF6" w:rsidR="00036758" w:rsidRDefault="00036758" w:rsidP="00DD011F">
      <w:r>
        <w:t xml:space="preserve">In addition, the Secretary to the Department of the Treasury, the Commissioner of Taxation and the </w:t>
      </w:r>
      <w:r w:rsidR="00311B55">
        <w:br/>
      </w:r>
      <w:r>
        <w:t>First Parliamentary Counsel will also be members of the Board. Each may be represented by a delegate.</w:t>
      </w:r>
    </w:p>
    <w:p w14:paraId="196E69E5" w14:textId="77777777" w:rsidR="00036758" w:rsidRDefault="00036758" w:rsidP="00DD011F">
      <w:pPr>
        <w:pStyle w:val="Heading3"/>
      </w:pPr>
      <w:r w:rsidRPr="00DD011F">
        <w:t>Function</w:t>
      </w:r>
    </w:p>
    <w:p w14:paraId="3BE13CB3" w14:textId="77777777" w:rsidR="00036758" w:rsidRDefault="00036758" w:rsidP="00DD011F">
      <w:r>
        <w:t>The Board will provide advice to the Treasurer on:</w:t>
      </w:r>
    </w:p>
    <w:p w14:paraId="4AE275F2" w14:textId="66C11147" w:rsidR="00036758" w:rsidRDefault="00036758" w:rsidP="00DD011F">
      <w:pPr>
        <w:pStyle w:val="Bullet"/>
      </w:pPr>
      <w:r>
        <w:t>the quality and effectiveness of taxation legislation and the processes for its development, including the</w:t>
      </w:r>
      <w:r w:rsidR="000F784E">
        <w:t> </w:t>
      </w:r>
      <w:r>
        <w:t>processes of community consultation and other aspects of taxation design</w:t>
      </w:r>
    </w:p>
    <w:p w14:paraId="0BC93772" w14:textId="6D4B8EBA" w:rsidR="00036758" w:rsidRDefault="00036758" w:rsidP="00DD011F">
      <w:pPr>
        <w:pStyle w:val="Bullet"/>
      </w:pPr>
      <w:r>
        <w:t>improvements to the general integrity and functioning of the taxation system</w:t>
      </w:r>
    </w:p>
    <w:p w14:paraId="3A1F3E4B" w14:textId="773762AF" w:rsidR="00036758" w:rsidRDefault="00036758" w:rsidP="00DD011F">
      <w:pPr>
        <w:pStyle w:val="Bullet"/>
      </w:pPr>
      <w:r>
        <w:t>research and other studies commissioned by the Board on topics approved or referred by the Treasurer</w:t>
      </w:r>
    </w:p>
    <w:p w14:paraId="77EA904E" w14:textId="77777777" w:rsidR="00036758" w:rsidRDefault="00036758" w:rsidP="00DD011F">
      <w:pPr>
        <w:pStyle w:val="Bullet"/>
      </w:pPr>
      <w:r>
        <w:t>other taxation matters referred to the Board by the Treasurer.</w:t>
      </w:r>
    </w:p>
    <w:p w14:paraId="7CAEF05A" w14:textId="77777777" w:rsidR="00036758" w:rsidRDefault="00036758" w:rsidP="00DD011F">
      <w:pPr>
        <w:pStyle w:val="Heading3"/>
      </w:pPr>
      <w:r>
        <w:lastRenderedPageBreak/>
        <w:t>Relationship to other boards and bodies</w:t>
      </w:r>
    </w:p>
    <w:p w14:paraId="5E479BD0" w14:textId="6FCD78E7" w:rsidR="00036758" w:rsidRDefault="00036758" w:rsidP="00DD011F">
      <w:r>
        <w:t xml:space="preserve">From time to time the </w:t>
      </w:r>
      <w:r w:rsidR="003057FA">
        <w:t>g</w:t>
      </w:r>
      <w:r>
        <w:t>overnment or the Treasurer may establish other boards or bodies with set terms of</w:t>
      </w:r>
      <w:r w:rsidR="000F784E">
        <w:t> </w:t>
      </w:r>
      <w:r>
        <w:t xml:space="preserve">reference to advise on aspects of the taxation law. The Treasurer will advise the Board on a </w:t>
      </w:r>
      <w:r w:rsidR="0CF61607" w:rsidRPr="1FE0D6BA">
        <w:t>case</w:t>
      </w:r>
      <w:r w:rsidR="00FC1B00">
        <w:noBreakHyphen/>
      </w:r>
      <w:r>
        <w:t>by</w:t>
      </w:r>
      <w:r w:rsidR="00FC1B00">
        <w:noBreakHyphen/>
      </w:r>
      <w:r>
        <w:t>case basis of its responsibilities, if any, in respect of issues covered by other boards and bodies.</w:t>
      </w:r>
    </w:p>
    <w:p w14:paraId="7C3162C9" w14:textId="1880D32F" w:rsidR="00036758" w:rsidRDefault="00036758" w:rsidP="00DD011F">
      <w:pPr>
        <w:pStyle w:val="Heading3"/>
      </w:pPr>
      <w:r>
        <w:t>Report</w:t>
      </w:r>
      <w:r w:rsidR="4817A6B5">
        <w:t xml:space="preserve"> </w:t>
      </w:r>
    </w:p>
    <w:p w14:paraId="0DA7AC43" w14:textId="77777777" w:rsidR="00036758" w:rsidRDefault="00036758" w:rsidP="00DD011F">
      <w:r>
        <w:t xml:space="preserve">The Chair of the Board will report to the Treasurer, at least annually, on the operation of the Board during </w:t>
      </w:r>
      <w:r w:rsidRPr="00DD011F">
        <w:t>the year.</w:t>
      </w:r>
    </w:p>
    <w:p w14:paraId="748847E6" w14:textId="77777777" w:rsidR="00036758" w:rsidRDefault="00036758" w:rsidP="00036758">
      <w:pPr>
        <w:pStyle w:val="Heading3"/>
      </w:pPr>
      <w:r>
        <w:t>Secretariat</w:t>
      </w:r>
    </w:p>
    <w:p w14:paraId="2B3B4049" w14:textId="77777777" w:rsidR="00036758" w:rsidRDefault="00036758" w:rsidP="00DD011F">
      <w:r>
        <w:t>The Board will be supported by a Secretariat provided by the Treasury who may engage secondees from the private sector or other government agencies to fill certain roles.</w:t>
      </w:r>
    </w:p>
    <w:p w14:paraId="1B1E0292" w14:textId="77777777" w:rsidR="00036758" w:rsidRDefault="00036758" w:rsidP="00DD011F">
      <w:pPr>
        <w:pStyle w:val="Heading3"/>
      </w:pPr>
      <w:r w:rsidRPr="00DD011F">
        <w:t>Other</w:t>
      </w:r>
    </w:p>
    <w:p w14:paraId="69554A8B" w14:textId="1223D6D4" w:rsidR="00036758" w:rsidRDefault="00036758" w:rsidP="00DD011F">
      <w:r>
        <w:t>Members will meet regularly during the year as determined by the Board</w:t>
      </w:r>
      <w:r w:rsidR="00FC1B00">
        <w:t>’</w:t>
      </w:r>
      <w:r>
        <w:t>s work program and priorities.</w:t>
      </w:r>
    </w:p>
    <w:p w14:paraId="0819967C" w14:textId="483AD2F6" w:rsidR="00036758" w:rsidRDefault="00036758" w:rsidP="00DD011F">
      <w:r>
        <w:t>Non</w:t>
      </w:r>
      <w:r w:rsidR="00FC1B00">
        <w:noBreakHyphen/>
      </w:r>
      <w:r>
        <w:t>government members will receive remuneration and allowances to cover travelling and other expenses, at rates in accordance with Remuneration Tribunal determinations for part time public offices.</w:t>
      </w:r>
    </w:p>
    <w:p w14:paraId="422E496F" w14:textId="38A432C0" w:rsidR="00036758" w:rsidRDefault="00036758" w:rsidP="00036758">
      <w:r>
        <w:t xml:space="preserve">The </w:t>
      </w:r>
      <w:r w:rsidR="003057FA">
        <w:t>g</w:t>
      </w:r>
      <w:r>
        <w:t>overnment will determine an annual budget allocation for the Board.</w:t>
      </w:r>
      <w:r>
        <w:br w:type="page"/>
      </w:r>
    </w:p>
    <w:p w14:paraId="04C3EDE9" w14:textId="77777777" w:rsidR="00036758" w:rsidRPr="00F41AB1" w:rsidRDefault="00036758" w:rsidP="000B246A">
      <w:pPr>
        <w:pStyle w:val="Heading1"/>
        <w:spacing w:before="0"/>
      </w:pPr>
      <w:bookmarkStart w:id="62" w:name="_Toc149905537"/>
      <w:bookmarkStart w:id="63" w:name="_Toc209006413"/>
      <w:bookmarkStart w:id="64" w:name="_Toc212631280"/>
      <w:r>
        <w:lastRenderedPageBreak/>
        <w:t xml:space="preserve">Appendix B: Membership of the </w:t>
      </w:r>
      <w:r w:rsidRPr="00DD011F">
        <w:t>Board</w:t>
      </w:r>
      <w:bookmarkEnd w:id="62"/>
      <w:bookmarkEnd w:id="63"/>
      <w:bookmarkEnd w:id="64"/>
    </w:p>
    <w:p w14:paraId="6B8ABB2A" w14:textId="77777777" w:rsidR="00036758" w:rsidRDefault="00036758" w:rsidP="00036758">
      <w:pPr>
        <w:pStyle w:val="Heading2"/>
      </w:pPr>
      <w:bookmarkStart w:id="65" w:name="_Toc149905538"/>
      <w:bookmarkStart w:id="66" w:name="_Toc159253859"/>
      <w:bookmarkStart w:id="67" w:name="_Toc209006602"/>
      <w:r>
        <w:t>Terms of Board members</w:t>
      </w:r>
      <w:bookmarkEnd w:id="65"/>
      <w:bookmarkEnd w:id="66"/>
      <w:bookmarkEnd w:id="67"/>
    </w:p>
    <w:p w14:paraId="443B2AF3" w14:textId="22E30F7F" w:rsidR="00036758" w:rsidRDefault="00036758" w:rsidP="00036758">
      <w:r>
        <w:t>The terms of members of the Board during the 202</w:t>
      </w:r>
      <w:r w:rsidR="00F30CBE">
        <w:t>4</w:t>
      </w:r>
      <w:r w:rsidR="005348C7">
        <w:t>–</w:t>
      </w:r>
      <w:r>
        <w:t>2</w:t>
      </w:r>
      <w:r w:rsidR="00F30CBE">
        <w:t>5</w:t>
      </w:r>
      <w:r>
        <w:t xml:space="preserve"> year are set out in the following table.</w:t>
      </w:r>
    </w:p>
    <w:p w14:paraId="2CEB8D50" w14:textId="77777777" w:rsidR="00036758" w:rsidRDefault="00036758" w:rsidP="00F6614B">
      <w:pPr>
        <w:pStyle w:val="TableHeading1"/>
      </w:pPr>
      <w:r>
        <w:t>Table 1: Terms of Board members</w:t>
      </w:r>
    </w:p>
    <w:tbl>
      <w:tblPr>
        <w:tblStyle w:val="ListTable3-Accent1"/>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bottom w:w="57" w:type="dxa"/>
        </w:tblCellMar>
        <w:tblLook w:val="04A0" w:firstRow="1" w:lastRow="0" w:firstColumn="1" w:lastColumn="0" w:noHBand="0" w:noVBand="1"/>
      </w:tblPr>
      <w:tblGrid>
        <w:gridCol w:w="3214"/>
        <w:gridCol w:w="3213"/>
        <w:gridCol w:w="3214"/>
      </w:tblGrid>
      <w:tr w:rsidR="00044314" w:rsidRPr="004247AA" w14:paraId="2EA3A29D" w14:textId="77777777" w:rsidTr="000429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14" w:type="dxa"/>
          </w:tcPr>
          <w:p w14:paraId="6398F227" w14:textId="77777777" w:rsidR="00036758" w:rsidRPr="00F04C7B" w:rsidRDefault="00036758" w:rsidP="00647DF1">
            <w:pPr>
              <w:pStyle w:val="TableHeaderCellLeft"/>
            </w:pPr>
            <w:r>
              <w:t>Member</w:t>
            </w:r>
          </w:p>
        </w:tc>
        <w:tc>
          <w:tcPr>
            <w:tcW w:w="3213" w:type="dxa"/>
            <w:tcBorders>
              <w:bottom w:val="nil"/>
            </w:tcBorders>
          </w:tcPr>
          <w:p w14:paraId="7D8EB5EE" w14:textId="77777777" w:rsidR="00036758" w:rsidRPr="00F04C7B" w:rsidRDefault="00036758" w:rsidP="00647DF1">
            <w:pPr>
              <w:pStyle w:val="TableHeaderCellLeft"/>
              <w:cnfStyle w:val="100000000000" w:firstRow="1" w:lastRow="0" w:firstColumn="0" w:lastColumn="0" w:oddVBand="0" w:evenVBand="0" w:oddHBand="0" w:evenHBand="0" w:firstRowFirstColumn="0" w:firstRowLastColumn="0" w:lastRowFirstColumn="0" w:lastRowLastColumn="0"/>
            </w:pPr>
            <w:r>
              <w:t>Initial term commenced</w:t>
            </w:r>
          </w:p>
        </w:tc>
        <w:tc>
          <w:tcPr>
            <w:tcW w:w="3214" w:type="dxa"/>
            <w:tcBorders>
              <w:bottom w:val="nil"/>
            </w:tcBorders>
          </w:tcPr>
          <w:p w14:paraId="66E65DA6" w14:textId="77777777" w:rsidR="00036758" w:rsidRPr="00F04C7B" w:rsidRDefault="00036758" w:rsidP="00647DF1">
            <w:pPr>
              <w:pStyle w:val="TableHeaderCellLeft"/>
              <w:cnfStyle w:val="100000000000" w:firstRow="1" w:lastRow="0" w:firstColumn="0" w:lastColumn="0" w:oddVBand="0" w:evenVBand="0" w:oddHBand="0" w:evenHBand="0" w:firstRowFirstColumn="0" w:firstRowLastColumn="0" w:lastRowFirstColumn="0" w:lastRowLastColumn="0"/>
            </w:pPr>
            <w:r>
              <w:t>Term expires/ceased</w:t>
            </w:r>
          </w:p>
        </w:tc>
      </w:tr>
      <w:tr w:rsidR="00036758" w14:paraId="4C9799E2" w14:textId="77777777" w:rsidTr="00042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Borders>
              <w:top w:val="nil"/>
            </w:tcBorders>
            <w:shd w:val="clear" w:color="auto" w:fill="F6F2ED" w:themeFill="accent3" w:themeFillTint="33"/>
          </w:tcPr>
          <w:p w14:paraId="56A23DCC" w14:textId="590F7858" w:rsidR="00036758" w:rsidRDefault="00036758" w:rsidP="00647DF1">
            <w:pPr>
              <w:pStyle w:val="TableBodyCellLeft"/>
            </w:pPr>
            <w:r>
              <w:t xml:space="preserve">Rosheen </w:t>
            </w:r>
            <w:proofErr w:type="spellStart"/>
            <w:r>
              <w:t>Garnon</w:t>
            </w:r>
            <w:proofErr w:type="spellEnd"/>
            <w:r>
              <w:t>, Chair</w:t>
            </w:r>
            <w:r w:rsidR="004322E1" w:rsidRPr="003A3F3C">
              <w:rPr>
                <w:vertAlign w:val="superscript"/>
                <w:lang w:val="fr-FR"/>
              </w:rPr>
              <w:t>(a)</w:t>
            </w:r>
          </w:p>
        </w:tc>
        <w:tc>
          <w:tcPr>
            <w:tcW w:w="3213" w:type="dxa"/>
            <w:tcBorders>
              <w:top w:val="nil"/>
            </w:tcBorders>
            <w:vAlign w:val="center"/>
          </w:tcPr>
          <w:p w14:paraId="29299001" w14:textId="77777777"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26</w:t>
            </w:r>
            <w:r>
              <w:t> March </w:t>
            </w:r>
            <w:r w:rsidRPr="00E56C9E">
              <w:t>2020</w:t>
            </w:r>
          </w:p>
        </w:tc>
        <w:tc>
          <w:tcPr>
            <w:tcW w:w="3214" w:type="dxa"/>
            <w:tcBorders>
              <w:top w:val="nil"/>
            </w:tcBorders>
            <w:vAlign w:val="center"/>
          </w:tcPr>
          <w:p w14:paraId="3A86487C" w14:textId="4352C2FF" w:rsidR="00036758" w:rsidRDefault="009E52ED" w:rsidP="00647DF1">
            <w:pPr>
              <w:pStyle w:val="TableBodyCellLeft"/>
              <w:cnfStyle w:val="000000100000" w:firstRow="0" w:lastRow="0" w:firstColumn="0" w:lastColumn="0" w:oddVBand="0" w:evenVBand="0" w:oddHBand="1" w:evenHBand="0" w:firstRowFirstColumn="0" w:firstRowLastColumn="0" w:lastRowFirstColumn="0" w:lastRowLastColumn="0"/>
            </w:pPr>
            <w:r>
              <w:t>31 March 2025</w:t>
            </w:r>
          </w:p>
        </w:tc>
      </w:tr>
      <w:tr w:rsidR="00036758" w14:paraId="44D059A7" w14:textId="77777777" w:rsidTr="00042927">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142147" w:themeColor="accent1"/>
              <w:bottom w:val="single" w:sz="4" w:space="0" w:color="142147" w:themeColor="accent1"/>
            </w:tcBorders>
            <w:shd w:val="clear" w:color="auto" w:fill="F6F2ED" w:themeFill="accent3" w:themeFillTint="33"/>
          </w:tcPr>
          <w:p w14:paraId="6EF74EF6" w14:textId="6E4F163A" w:rsidR="00036758" w:rsidRPr="003A3F3C" w:rsidRDefault="00036758" w:rsidP="00647DF1">
            <w:pPr>
              <w:pStyle w:val="TableBodyCellLeft"/>
              <w:rPr>
                <w:lang w:val="fr-FR"/>
              </w:rPr>
            </w:pPr>
            <w:r w:rsidRPr="003A3F3C">
              <w:rPr>
                <w:lang w:val="fr-FR"/>
              </w:rPr>
              <w:t>Dr Julianne Jaques KC</w:t>
            </w:r>
            <w:r w:rsidR="004322E1" w:rsidRPr="00E87607">
              <w:rPr>
                <w:vertAlign w:val="superscript"/>
              </w:rPr>
              <w:t>(</w:t>
            </w:r>
            <w:r w:rsidR="004322E1">
              <w:rPr>
                <w:vertAlign w:val="superscript"/>
              </w:rPr>
              <w:t>b</w:t>
            </w:r>
            <w:r w:rsidR="004322E1" w:rsidRPr="00E87607">
              <w:rPr>
                <w:vertAlign w:val="superscript"/>
              </w:rPr>
              <w:t>)</w:t>
            </w:r>
          </w:p>
        </w:tc>
        <w:tc>
          <w:tcPr>
            <w:tcW w:w="3213" w:type="dxa"/>
            <w:tcBorders>
              <w:top w:val="single" w:sz="4" w:space="0" w:color="142147" w:themeColor="accent1"/>
              <w:bottom w:val="single" w:sz="4" w:space="0" w:color="142147" w:themeColor="accent1"/>
            </w:tcBorders>
            <w:vAlign w:val="center"/>
          </w:tcPr>
          <w:p w14:paraId="209D27BC" w14:textId="77777777"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1</w:t>
            </w:r>
            <w:r>
              <w:t> July </w:t>
            </w:r>
            <w:r w:rsidRPr="00E56C9E">
              <w:t>2017</w:t>
            </w:r>
          </w:p>
        </w:tc>
        <w:tc>
          <w:tcPr>
            <w:tcW w:w="3214" w:type="dxa"/>
            <w:tcBorders>
              <w:top w:val="single" w:sz="4" w:space="0" w:color="142147" w:themeColor="accent1"/>
              <w:bottom w:val="single" w:sz="4" w:space="0" w:color="142147" w:themeColor="accent1"/>
            </w:tcBorders>
            <w:vAlign w:val="center"/>
          </w:tcPr>
          <w:p w14:paraId="480A0E38" w14:textId="0EBD7D40"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30</w:t>
            </w:r>
            <w:r w:rsidR="00F51054">
              <w:t xml:space="preserve"> September 2025</w:t>
            </w:r>
          </w:p>
        </w:tc>
      </w:tr>
      <w:tr w:rsidR="00036758" w14:paraId="09855C02" w14:textId="77777777" w:rsidTr="00042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shd w:val="clear" w:color="auto" w:fill="F6F2ED" w:themeFill="accent3" w:themeFillTint="33"/>
          </w:tcPr>
          <w:p w14:paraId="080C374F" w14:textId="557DF874" w:rsidR="00036758" w:rsidRDefault="00036758" w:rsidP="00647DF1">
            <w:pPr>
              <w:pStyle w:val="TableBodyCellLeft"/>
            </w:pPr>
            <w:r>
              <w:t>Ian Kellock</w:t>
            </w:r>
            <w:r w:rsidR="009B1107" w:rsidRPr="00E87607">
              <w:rPr>
                <w:vertAlign w:val="superscript"/>
              </w:rPr>
              <w:t>(</w:t>
            </w:r>
            <w:r w:rsidR="009B1107">
              <w:rPr>
                <w:vertAlign w:val="superscript"/>
              </w:rPr>
              <w:t>c</w:t>
            </w:r>
            <w:r w:rsidR="009B1107" w:rsidRPr="00E87607">
              <w:rPr>
                <w:vertAlign w:val="superscript"/>
              </w:rPr>
              <w:t>)</w:t>
            </w:r>
          </w:p>
        </w:tc>
        <w:tc>
          <w:tcPr>
            <w:tcW w:w="3213" w:type="dxa"/>
            <w:vAlign w:val="center"/>
          </w:tcPr>
          <w:p w14:paraId="57B28ACB" w14:textId="75E77F4A"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12</w:t>
            </w:r>
            <w:r>
              <w:t> May </w:t>
            </w:r>
            <w:r w:rsidRPr="00E56C9E">
              <w:t>202</w:t>
            </w:r>
            <w:r w:rsidR="00B3622C">
              <w:t>1</w:t>
            </w:r>
          </w:p>
        </w:tc>
        <w:tc>
          <w:tcPr>
            <w:tcW w:w="3214" w:type="dxa"/>
            <w:vAlign w:val="center"/>
          </w:tcPr>
          <w:p w14:paraId="77837751" w14:textId="01696959" w:rsidR="00036758" w:rsidRDefault="00036758" w:rsidP="00647DF1">
            <w:pPr>
              <w:pStyle w:val="TableBodyCellLeft"/>
              <w:cnfStyle w:val="000000100000" w:firstRow="0" w:lastRow="0" w:firstColumn="0" w:lastColumn="0" w:oddVBand="0" w:evenVBand="0" w:oddHBand="1" w:evenHBand="0" w:firstRowFirstColumn="0" w:firstRowLastColumn="0" w:lastRowFirstColumn="0" w:lastRowLastColumn="0"/>
            </w:pPr>
            <w:r w:rsidRPr="00E56C9E">
              <w:t>11</w:t>
            </w:r>
            <w:r>
              <w:t> </w:t>
            </w:r>
            <w:r w:rsidR="00886E33" w:rsidRPr="00754C00">
              <w:t>August</w:t>
            </w:r>
            <w:r>
              <w:t> </w:t>
            </w:r>
            <w:r w:rsidRPr="00E56C9E">
              <w:t>202</w:t>
            </w:r>
            <w:r w:rsidR="00886E33">
              <w:t>7</w:t>
            </w:r>
          </w:p>
        </w:tc>
      </w:tr>
      <w:tr w:rsidR="00036758" w14:paraId="09AC6BFF" w14:textId="77777777" w:rsidTr="00042927">
        <w:tc>
          <w:tcPr>
            <w:cnfStyle w:val="001000000000" w:firstRow="0" w:lastRow="0" w:firstColumn="1" w:lastColumn="0" w:oddVBand="0" w:evenVBand="0" w:oddHBand="0" w:evenHBand="0" w:firstRowFirstColumn="0" w:firstRowLastColumn="0" w:lastRowFirstColumn="0" w:lastRowLastColumn="0"/>
            <w:tcW w:w="3214" w:type="dxa"/>
            <w:shd w:val="clear" w:color="auto" w:fill="F6F2ED" w:themeFill="accent3" w:themeFillTint="33"/>
          </w:tcPr>
          <w:p w14:paraId="6BC88633" w14:textId="4A413D5A" w:rsidR="00036758" w:rsidRDefault="00036758" w:rsidP="00647DF1">
            <w:pPr>
              <w:pStyle w:val="TableBodyCellLeft"/>
            </w:pPr>
            <w:r>
              <w:t>Andrea Laing</w:t>
            </w:r>
            <w:r w:rsidR="009B1107" w:rsidRPr="00E87607">
              <w:rPr>
                <w:vertAlign w:val="superscript"/>
              </w:rPr>
              <w:t>(</w:t>
            </w:r>
            <w:r w:rsidR="009B1107">
              <w:rPr>
                <w:vertAlign w:val="superscript"/>
              </w:rPr>
              <w:t>d</w:t>
            </w:r>
            <w:r w:rsidR="009B1107" w:rsidRPr="00E87607">
              <w:rPr>
                <w:vertAlign w:val="superscript"/>
              </w:rPr>
              <w:t>)</w:t>
            </w:r>
          </w:p>
        </w:tc>
        <w:tc>
          <w:tcPr>
            <w:tcW w:w="3213" w:type="dxa"/>
            <w:vAlign w:val="center"/>
          </w:tcPr>
          <w:p w14:paraId="06D13A75" w14:textId="77777777"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t>21 October 2021</w:t>
            </w:r>
          </w:p>
        </w:tc>
        <w:tc>
          <w:tcPr>
            <w:tcW w:w="3214" w:type="dxa"/>
            <w:vAlign w:val="center"/>
          </w:tcPr>
          <w:p w14:paraId="23BC4B96" w14:textId="7DB74093"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t>2</w:t>
            </w:r>
            <w:r w:rsidR="005B3B56">
              <w:t>0</w:t>
            </w:r>
            <w:r>
              <w:t> October 202</w:t>
            </w:r>
            <w:r w:rsidR="005B3B56">
              <w:t>7</w:t>
            </w:r>
          </w:p>
        </w:tc>
      </w:tr>
      <w:tr w:rsidR="00043FF7" w14:paraId="7C9DF2E2" w14:textId="77777777" w:rsidTr="00042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shd w:val="clear" w:color="auto" w:fill="F6F2ED" w:themeFill="accent3" w:themeFillTint="33"/>
          </w:tcPr>
          <w:p w14:paraId="48B8AA6F" w14:textId="44CAE248" w:rsidR="00043FF7" w:rsidRDefault="00043FF7" w:rsidP="00647DF1">
            <w:pPr>
              <w:pStyle w:val="TableBodyCellLeft"/>
            </w:pPr>
            <w:r>
              <w:t>Andrew Mills</w:t>
            </w:r>
          </w:p>
        </w:tc>
        <w:tc>
          <w:tcPr>
            <w:tcW w:w="3213" w:type="dxa"/>
            <w:vAlign w:val="center"/>
          </w:tcPr>
          <w:p w14:paraId="6F6F50BE" w14:textId="0CAEDFBF" w:rsidR="00043FF7" w:rsidRPr="00E56C9E" w:rsidRDefault="00845477" w:rsidP="00647DF1">
            <w:pPr>
              <w:pStyle w:val="TableBodyCellLeft"/>
              <w:cnfStyle w:val="000000100000" w:firstRow="0" w:lastRow="0" w:firstColumn="0" w:lastColumn="0" w:oddVBand="0" w:evenVBand="0" w:oddHBand="1" w:evenHBand="0" w:firstRowFirstColumn="0" w:firstRowLastColumn="0" w:lastRowFirstColumn="0" w:lastRowLastColumn="0"/>
            </w:pPr>
            <w:r>
              <w:t>8 December 2023</w:t>
            </w:r>
          </w:p>
        </w:tc>
        <w:tc>
          <w:tcPr>
            <w:tcW w:w="3214" w:type="dxa"/>
            <w:vAlign w:val="center"/>
          </w:tcPr>
          <w:p w14:paraId="1C7982DC" w14:textId="591B4A7D" w:rsidR="00043FF7" w:rsidRPr="00E56C9E" w:rsidRDefault="00845477" w:rsidP="00647DF1">
            <w:pPr>
              <w:pStyle w:val="TableBodyCellLeft"/>
              <w:cnfStyle w:val="000000100000" w:firstRow="0" w:lastRow="0" w:firstColumn="0" w:lastColumn="0" w:oddVBand="0" w:evenVBand="0" w:oddHBand="1" w:evenHBand="0" w:firstRowFirstColumn="0" w:firstRowLastColumn="0" w:lastRowFirstColumn="0" w:lastRowLastColumn="0"/>
            </w:pPr>
            <w:r>
              <w:t>7 December 2026</w:t>
            </w:r>
          </w:p>
        </w:tc>
      </w:tr>
      <w:tr w:rsidR="00043FF7" w14:paraId="7B3C95A9" w14:textId="77777777" w:rsidTr="00042927">
        <w:tc>
          <w:tcPr>
            <w:cnfStyle w:val="001000000000" w:firstRow="0" w:lastRow="0" w:firstColumn="1" w:lastColumn="0" w:oddVBand="0" w:evenVBand="0" w:oddHBand="0" w:evenHBand="0" w:firstRowFirstColumn="0" w:firstRowLastColumn="0" w:lastRowFirstColumn="0" w:lastRowLastColumn="0"/>
            <w:tcW w:w="3214" w:type="dxa"/>
            <w:shd w:val="clear" w:color="auto" w:fill="F6F2ED" w:themeFill="accent3" w:themeFillTint="33"/>
          </w:tcPr>
          <w:p w14:paraId="1CDE57BD" w14:textId="71243259" w:rsidR="00043FF7" w:rsidRDefault="00043FF7" w:rsidP="00647DF1">
            <w:pPr>
              <w:pStyle w:val="TableBodyCellLeft"/>
            </w:pPr>
            <w:r>
              <w:t>Judy O</w:t>
            </w:r>
            <w:r w:rsidR="00FC1B00">
              <w:t>’</w:t>
            </w:r>
            <w:r>
              <w:t>Connell</w:t>
            </w:r>
          </w:p>
        </w:tc>
        <w:tc>
          <w:tcPr>
            <w:tcW w:w="3213" w:type="dxa"/>
            <w:vAlign w:val="center"/>
          </w:tcPr>
          <w:p w14:paraId="18D8B78B" w14:textId="1D2E273D" w:rsidR="00043FF7" w:rsidRPr="00E56C9E" w:rsidRDefault="00845477" w:rsidP="00647DF1">
            <w:pPr>
              <w:pStyle w:val="TableBodyCellLeft"/>
              <w:cnfStyle w:val="000000000000" w:firstRow="0" w:lastRow="0" w:firstColumn="0" w:lastColumn="0" w:oddVBand="0" w:evenVBand="0" w:oddHBand="0" w:evenHBand="0" w:firstRowFirstColumn="0" w:firstRowLastColumn="0" w:lastRowFirstColumn="0" w:lastRowLastColumn="0"/>
            </w:pPr>
            <w:r>
              <w:t>8 December 2023</w:t>
            </w:r>
          </w:p>
        </w:tc>
        <w:tc>
          <w:tcPr>
            <w:tcW w:w="3214" w:type="dxa"/>
            <w:vAlign w:val="center"/>
          </w:tcPr>
          <w:p w14:paraId="4D0606B8" w14:textId="21B0E8C4" w:rsidR="00043FF7" w:rsidRPr="00E56C9E" w:rsidRDefault="00845477" w:rsidP="00647DF1">
            <w:pPr>
              <w:pStyle w:val="TableBodyCellLeft"/>
              <w:cnfStyle w:val="000000000000" w:firstRow="0" w:lastRow="0" w:firstColumn="0" w:lastColumn="0" w:oddVBand="0" w:evenVBand="0" w:oddHBand="0" w:evenHBand="0" w:firstRowFirstColumn="0" w:firstRowLastColumn="0" w:lastRowFirstColumn="0" w:lastRowLastColumn="0"/>
            </w:pPr>
            <w:r>
              <w:t>7 December 2026</w:t>
            </w:r>
          </w:p>
        </w:tc>
      </w:tr>
      <w:tr w:rsidR="008819DD" w14:paraId="56AECC0E" w14:textId="77777777" w:rsidTr="00042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shd w:val="clear" w:color="auto" w:fill="F6F2ED" w:themeFill="accent3" w:themeFillTint="33"/>
          </w:tcPr>
          <w:p w14:paraId="0FC17EE1" w14:textId="28BE34BA" w:rsidR="008819DD" w:rsidRDefault="008819DD" w:rsidP="00647DF1">
            <w:pPr>
              <w:pStyle w:val="TableBodyCellLeft"/>
            </w:pPr>
            <w:r>
              <w:t xml:space="preserve">Rob </w:t>
            </w:r>
            <w:proofErr w:type="spellStart"/>
            <w:r>
              <w:t>Heferen</w:t>
            </w:r>
            <w:proofErr w:type="spellEnd"/>
          </w:p>
        </w:tc>
        <w:tc>
          <w:tcPr>
            <w:tcW w:w="3213" w:type="dxa"/>
            <w:vAlign w:val="center"/>
          </w:tcPr>
          <w:p w14:paraId="0D2D3138" w14:textId="0C3A3D3E" w:rsidR="008819DD" w:rsidRPr="00E56C9E" w:rsidRDefault="00442628" w:rsidP="00647DF1">
            <w:pPr>
              <w:pStyle w:val="TableBodyCellLeft"/>
              <w:cnfStyle w:val="000000100000" w:firstRow="0" w:lastRow="0" w:firstColumn="0" w:lastColumn="0" w:oddVBand="0" w:evenVBand="0" w:oddHBand="1" w:evenHBand="0" w:firstRowFirstColumn="0" w:firstRowLastColumn="0" w:lastRowFirstColumn="0" w:lastRowLastColumn="0"/>
            </w:pPr>
            <w:r>
              <w:t>1 March 2024</w:t>
            </w:r>
          </w:p>
        </w:tc>
        <w:tc>
          <w:tcPr>
            <w:tcW w:w="3214" w:type="dxa"/>
            <w:vAlign w:val="center"/>
          </w:tcPr>
          <w:p w14:paraId="19C5DCA8" w14:textId="42923C7E" w:rsidR="008819DD" w:rsidRPr="00E56C9E" w:rsidRDefault="00442628" w:rsidP="00647DF1">
            <w:pPr>
              <w:pStyle w:val="TableBodyCellLeft"/>
              <w:cnfStyle w:val="000000100000" w:firstRow="0" w:lastRow="0" w:firstColumn="0" w:lastColumn="0" w:oddVBand="0" w:evenVBand="0" w:oddHBand="1" w:evenHBand="0" w:firstRowFirstColumn="0" w:firstRowLastColumn="0" w:lastRowFirstColumn="0" w:lastRowLastColumn="0"/>
            </w:pPr>
            <w:r>
              <w:t>Ex</w:t>
            </w:r>
            <w:r w:rsidR="004860EF">
              <w:t xml:space="preserve"> </w:t>
            </w:r>
            <w:r w:rsidR="005B5E0D">
              <w:t>o</w:t>
            </w:r>
            <w:r>
              <w:t>fficio</w:t>
            </w:r>
          </w:p>
        </w:tc>
      </w:tr>
      <w:tr w:rsidR="00036758" w14:paraId="127B34D3" w14:textId="77777777" w:rsidTr="00042927">
        <w:tc>
          <w:tcPr>
            <w:cnfStyle w:val="001000000000" w:firstRow="0" w:lastRow="0" w:firstColumn="1" w:lastColumn="0" w:oddVBand="0" w:evenVBand="0" w:oddHBand="0" w:evenHBand="0" w:firstRowFirstColumn="0" w:firstRowLastColumn="0" w:lastRowFirstColumn="0" w:lastRowLastColumn="0"/>
            <w:tcW w:w="3214" w:type="dxa"/>
            <w:shd w:val="clear" w:color="auto" w:fill="F6F2ED" w:themeFill="accent3" w:themeFillTint="33"/>
          </w:tcPr>
          <w:p w14:paraId="3F4585D4" w14:textId="3C2104FE" w:rsidR="00036758" w:rsidRDefault="00036758" w:rsidP="00647DF1">
            <w:pPr>
              <w:pStyle w:val="TableBodyCellLeft"/>
            </w:pPr>
            <w:r>
              <w:t>Dr Steven Kennedy PSM</w:t>
            </w:r>
            <w:r w:rsidR="001F4A8C" w:rsidRPr="00E87607">
              <w:rPr>
                <w:vertAlign w:val="superscript"/>
              </w:rPr>
              <w:t>(</w:t>
            </w:r>
            <w:r w:rsidR="005B3B56">
              <w:rPr>
                <w:vertAlign w:val="superscript"/>
              </w:rPr>
              <w:t>e</w:t>
            </w:r>
            <w:r w:rsidR="001F4A8C" w:rsidRPr="00E87607">
              <w:rPr>
                <w:vertAlign w:val="superscript"/>
              </w:rPr>
              <w:t>)</w:t>
            </w:r>
          </w:p>
        </w:tc>
        <w:tc>
          <w:tcPr>
            <w:tcW w:w="3213" w:type="dxa"/>
            <w:vAlign w:val="center"/>
          </w:tcPr>
          <w:p w14:paraId="692BFE34" w14:textId="77777777"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2</w:t>
            </w:r>
            <w:r>
              <w:t> September </w:t>
            </w:r>
            <w:r w:rsidRPr="00E56C9E">
              <w:t>2019</w:t>
            </w:r>
          </w:p>
        </w:tc>
        <w:tc>
          <w:tcPr>
            <w:tcW w:w="3214" w:type="dxa"/>
            <w:vAlign w:val="center"/>
          </w:tcPr>
          <w:p w14:paraId="57C3ED80" w14:textId="683F3F9B"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Ex</w:t>
            </w:r>
            <w:r w:rsidR="004860EF">
              <w:t xml:space="preserve"> </w:t>
            </w:r>
            <w:r w:rsidRPr="00E56C9E">
              <w:t>officio</w:t>
            </w:r>
            <w:r w:rsidR="009E52ED">
              <w:t xml:space="preserve"> – 16 June 2025</w:t>
            </w:r>
          </w:p>
        </w:tc>
      </w:tr>
      <w:tr w:rsidR="00042927" w14:paraId="72BC0F74" w14:textId="77777777" w:rsidTr="000429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shd w:val="clear" w:color="auto" w:fill="F6F2ED" w:themeFill="accent3" w:themeFillTint="33"/>
          </w:tcPr>
          <w:p w14:paraId="56E27771" w14:textId="00A2EDA8" w:rsidR="00042927" w:rsidRDefault="00B034D2" w:rsidP="00647DF1">
            <w:pPr>
              <w:pStyle w:val="TableBodyCellLeft"/>
            </w:pPr>
            <w:r>
              <w:t>Jenny Wilkinson</w:t>
            </w:r>
            <w:r w:rsidR="001F4A8C">
              <w:t xml:space="preserve"> </w:t>
            </w:r>
            <w:r>
              <w:t>PSM</w:t>
            </w:r>
            <w:r w:rsidR="001F4A8C" w:rsidRPr="00E87607">
              <w:rPr>
                <w:vertAlign w:val="superscript"/>
              </w:rPr>
              <w:t>(</w:t>
            </w:r>
            <w:r w:rsidR="005B3B56">
              <w:rPr>
                <w:vertAlign w:val="superscript"/>
              </w:rPr>
              <w:t>f</w:t>
            </w:r>
            <w:r w:rsidR="001F4A8C" w:rsidRPr="00E87607">
              <w:rPr>
                <w:vertAlign w:val="superscript"/>
              </w:rPr>
              <w:t>)</w:t>
            </w:r>
          </w:p>
        </w:tc>
        <w:tc>
          <w:tcPr>
            <w:tcW w:w="3213" w:type="dxa"/>
            <w:vAlign w:val="center"/>
          </w:tcPr>
          <w:p w14:paraId="490D08FC" w14:textId="10F5E536" w:rsidR="00042927" w:rsidRPr="00E56C9E" w:rsidRDefault="00A20E17" w:rsidP="00647DF1">
            <w:pPr>
              <w:pStyle w:val="TableBodyCellLeft"/>
              <w:cnfStyle w:val="000000100000" w:firstRow="0" w:lastRow="0" w:firstColumn="0" w:lastColumn="0" w:oddVBand="0" w:evenVBand="0" w:oddHBand="1" w:evenHBand="0" w:firstRowFirstColumn="0" w:firstRowLastColumn="0" w:lastRowFirstColumn="0" w:lastRowLastColumn="0"/>
            </w:pPr>
            <w:r>
              <w:t>16 June 2025</w:t>
            </w:r>
          </w:p>
        </w:tc>
        <w:tc>
          <w:tcPr>
            <w:tcW w:w="3214" w:type="dxa"/>
            <w:vAlign w:val="center"/>
          </w:tcPr>
          <w:p w14:paraId="141E8AB5" w14:textId="7B61D8BD" w:rsidR="00042927" w:rsidRPr="00E56C9E" w:rsidRDefault="00A20E17" w:rsidP="00647DF1">
            <w:pPr>
              <w:pStyle w:val="TableBodyCellLeft"/>
              <w:cnfStyle w:val="000000100000" w:firstRow="0" w:lastRow="0" w:firstColumn="0" w:lastColumn="0" w:oddVBand="0" w:evenVBand="0" w:oddHBand="1" w:evenHBand="0" w:firstRowFirstColumn="0" w:firstRowLastColumn="0" w:lastRowFirstColumn="0" w:lastRowLastColumn="0"/>
            </w:pPr>
            <w:r>
              <w:t>Ex</w:t>
            </w:r>
            <w:r w:rsidR="004860EF">
              <w:t xml:space="preserve"> </w:t>
            </w:r>
            <w:r>
              <w:t>officio</w:t>
            </w:r>
          </w:p>
        </w:tc>
      </w:tr>
      <w:tr w:rsidR="00036758" w14:paraId="7AFF43A9" w14:textId="77777777" w:rsidTr="00042927">
        <w:tc>
          <w:tcPr>
            <w:cnfStyle w:val="001000000000" w:firstRow="0" w:lastRow="0" w:firstColumn="1" w:lastColumn="0" w:oddVBand="0" w:evenVBand="0" w:oddHBand="0" w:evenHBand="0" w:firstRowFirstColumn="0" w:firstRowLastColumn="0" w:lastRowFirstColumn="0" w:lastRowLastColumn="0"/>
            <w:tcW w:w="3214" w:type="dxa"/>
            <w:tcBorders>
              <w:bottom w:val="single" w:sz="8" w:space="0" w:color="142147" w:themeColor="accent1"/>
            </w:tcBorders>
            <w:shd w:val="clear" w:color="auto" w:fill="F6F2ED" w:themeFill="accent3" w:themeFillTint="33"/>
          </w:tcPr>
          <w:p w14:paraId="1BA636A8" w14:textId="77777777" w:rsidR="00036758" w:rsidRDefault="00036758" w:rsidP="00647DF1">
            <w:pPr>
              <w:pStyle w:val="TableBodyCellLeft"/>
            </w:pPr>
            <w:r>
              <w:t>Meredith Leigh</w:t>
            </w:r>
          </w:p>
        </w:tc>
        <w:tc>
          <w:tcPr>
            <w:tcW w:w="3213" w:type="dxa"/>
            <w:tcBorders>
              <w:bottom w:val="single" w:sz="8" w:space="0" w:color="142147" w:themeColor="accent1"/>
            </w:tcBorders>
            <w:vAlign w:val="center"/>
          </w:tcPr>
          <w:p w14:paraId="528B80C1" w14:textId="77777777"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t>11 October 2021</w:t>
            </w:r>
          </w:p>
        </w:tc>
        <w:tc>
          <w:tcPr>
            <w:tcW w:w="3214" w:type="dxa"/>
            <w:tcBorders>
              <w:bottom w:val="single" w:sz="8" w:space="0" w:color="142147" w:themeColor="accent1"/>
            </w:tcBorders>
            <w:vAlign w:val="center"/>
          </w:tcPr>
          <w:p w14:paraId="4CD74F05" w14:textId="60BE0A6B" w:rsidR="00036758" w:rsidRDefault="00036758" w:rsidP="00647DF1">
            <w:pPr>
              <w:pStyle w:val="TableBodyCellLeft"/>
              <w:cnfStyle w:val="000000000000" w:firstRow="0" w:lastRow="0" w:firstColumn="0" w:lastColumn="0" w:oddVBand="0" w:evenVBand="0" w:oddHBand="0" w:evenHBand="0" w:firstRowFirstColumn="0" w:firstRowLastColumn="0" w:lastRowFirstColumn="0" w:lastRowLastColumn="0"/>
            </w:pPr>
            <w:r w:rsidRPr="00E56C9E">
              <w:t>Ex</w:t>
            </w:r>
            <w:r w:rsidR="004860EF">
              <w:t xml:space="preserve"> </w:t>
            </w:r>
            <w:r w:rsidRPr="00E56C9E">
              <w:t>officio</w:t>
            </w:r>
          </w:p>
        </w:tc>
      </w:tr>
    </w:tbl>
    <w:p w14:paraId="2DD3AA39" w14:textId="1C7E2524" w:rsidR="00036758" w:rsidRPr="00F6614B" w:rsidRDefault="00A20E17" w:rsidP="000F784E">
      <w:pPr>
        <w:pStyle w:val="Notealpha"/>
        <w:ind w:left="357" w:hanging="357"/>
      </w:pPr>
      <w:r>
        <w:t xml:space="preserve">Mrs Rosheen </w:t>
      </w:r>
      <w:proofErr w:type="spellStart"/>
      <w:r>
        <w:t>Garnon</w:t>
      </w:r>
      <w:proofErr w:type="spellEnd"/>
      <w:r w:rsidR="009E52ED">
        <w:t xml:space="preserve"> </w:t>
      </w:r>
      <w:r w:rsidR="008F45EC">
        <w:t>term as</w:t>
      </w:r>
      <w:r w:rsidR="009E52ED">
        <w:t xml:space="preserve"> Chair and Board member </w:t>
      </w:r>
      <w:r w:rsidR="008F45EC">
        <w:t xml:space="preserve">ceased </w:t>
      </w:r>
      <w:r w:rsidR="00133600">
        <w:t xml:space="preserve">on </w:t>
      </w:r>
      <w:r w:rsidR="009E52ED">
        <w:t>31 March</w:t>
      </w:r>
      <w:r w:rsidR="00F51054" w:rsidRPr="00F6614B">
        <w:t xml:space="preserve"> 2025</w:t>
      </w:r>
      <w:r w:rsidR="008F45EC">
        <w:t xml:space="preserve"> following the Treasurer accepting her </w:t>
      </w:r>
      <w:r w:rsidR="008F45EC" w:rsidRPr="000F784E">
        <w:t>resignation</w:t>
      </w:r>
      <w:r w:rsidR="008F45EC">
        <w:t>.</w:t>
      </w:r>
    </w:p>
    <w:p w14:paraId="12817B88" w14:textId="5F0F08F3" w:rsidR="004322E1" w:rsidRDefault="004322E1" w:rsidP="000F784E">
      <w:pPr>
        <w:pStyle w:val="Notealpha"/>
        <w:ind w:left="357" w:hanging="357"/>
      </w:pPr>
      <w:r>
        <w:t>Dr Julianne Jaques KC was appointed as acting Chair from 1 April 2025 to 30 September 2025.</w:t>
      </w:r>
    </w:p>
    <w:p w14:paraId="1F30B271" w14:textId="1856956F" w:rsidR="009B1107" w:rsidRDefault="009B1107" w:rsidP="000F784E">
      <w:pPr>
        <w:pStyle w:val="Notealpha"/>
        <w:ind w:left="357" w:hanging="357"/>
      </w:pPr>
      <w:r>
        <w:t>Ian Kellock was re</w:t>
      </w:r>
      <w:r w:rsidR="00FC1B00">
        <w:noBreakHyphen/>
      </w:r>
      <w:r>
        <w:t>appointed for an additional term to 11 August 2027.</w:t>
      </w:r>
    </w:p>
    <w:p w14:paraId="64A1CCB2" w14:textId="04926F72" w:rsidR="009B1107" w:rsidRDefault="005B3B56" w:rsidP="000F784E">
      <w:pPr>
        <w:pStyle w:val="Notealpha"/>
        <w:ind w:left="357" w:hanging="357"/>
      </w:pPr>
      <w:r>
        <w:t>Andrea Laing was re</w:t>
      </w:r>
      <w:r w:rsidR="00FC1B00">
        <w:noBreakHyphen/>
      </w:r>
      <w:r>
        <w:t>appointed for an additional term to 20 October 2027.</w:t>
      </w:r>
    </w:p>
    <w:p w14:paraId="2C36220D" w14:textId="732729E7" w:rsidR="00036758" w:rsidRDefault="00754AA9" w:rsidP="000F784E">
      <w:pPr>
        <w:pStyle w:val="Notealpha"/>
        <w:ind w:left="357" w:hanging="357"/>
      </w:pPr>
      <w:r>
        <w:t xml:space="preserve">Dr Steven Kennedy PSM occupied the role of Secretary to the Treasury from 2 September </w:t>
      </w:r>
      <w:r w:rsidR="00C56556">
        <w:t>2019</w:t>
      </w:r>
      <w:r>
        <w:t xml:space="preserve"> until 16 June 2025</w:t>
      </w:r>
      <w:r w:rsidR="00442628">
        <w:t>.</w:t>
      </w:r>
    </w:p>
    <w:p w14:paraId="7E5F7283" w14:textId="50F6AF62" w:rsidR="007A5DC8" w:rsidRPr="00F6614B" w:rsidRDefault="004322E1" w:rsidP="000F784E">
      <w:pPr>
        <w:pStyle w:val="Notealpha"/>
        <w:ind w:left="357" w:hanging="357"/>
      </w:pPr>
      <w:r>
        <w:t>Jenny Wilkson PSM was appointed as the 20</w:t>
      </w:r>
      <w:r w:rsidRPr="009262D8">
        <w:rPr>
          <w:vertAlign w:val="superscript"/>
        </w:rPr>
        <w:t>th</w:t>
      </w:r>
      <w:r>
        <w:t xml:space="preserve"> Secretary to the Treasury on 16 June 2025 and</w:t>
      </w:r>
      <w:r w:rsidR="00E929CB">
        <w:t xml:space="preserve"> as a result also</w:t>
      </w:r>
      <w:r>
        <w:t xml:space="preserve"> </w:t>
      </w:r>
      <w:r w:rsidR="00E929CB">
        <w:t xml:space="preserve">became </w:t>
      </w:r>
      <w:r>
        <w:t>an ex</w:t>
      </w:r>
      <w:r w:rsidR="004860EF">
        <w:t xml:space="preserve"> </w:t>
      </w:r>
      <w:r>
        <w:t xml:space="preserve">officio member of the </w:t>
      </w:r>
      <w:r w:rsidR="00E929CB">
        <w:t>Board.</w:t>
      </w:r>
    </w:p>
    <w:p w14:paraId="33C5224B" w14:textId="77777777" w:rsidR="00036758" w:rsidRDefault="00036758">
      <w:r>
        <w:br w:type="page"/>
      </w:r>
    </w:p>
    <w:p w14:paraId="00C82060" w14:textId="77777777" w:rsidR="004C4363" w:rsidRPr="00FC0C6C" w:rsidRDefault="00C4491D" w:rsidP="004C4363">
      <w:pPr>
        <w:pStyle w:val="Heading1"/>
      </w:pPr>
      <w:bookmarkStart w:id="68" w:name="_Toc209006414"/>
      <w:bookmarkStart w:id="69" w:name="_Toc212631281"/>
      <w:r>
        <w:lastRenderedPageBreak/>
        <w:t xml:space="preserve">Appendix C: </w:t>
      </w:r>
      <w:r w:rsidR="004C4363" w:rsidRPr="00FC0C6C">
        <w:t>Attendance at</w:t>
      </w:r>
      <w:r w:rsidR="004C4363">
        <w:t> </w:t>
      </w:r>
      <w:r w:rsidR="004C4363" w:rsidRPr="00FC0C6C">
        <w:t>Board</w:t>
      </w:r>
      <w:r w:rsidR="004C4363">
        <w:t> </w:t>
      </w:r>
      <w:r w:rsidR="004C4363" w:rsidRPr="00FC0C6C">
        <w:t>meetings</w:t>
      </w:r>
      <w:bookmarkEnd w:id="68"/>
      <w:bookmarkEnd w:id="69"/>
    </w:p>
    <w:p w14:paraId="188EAF16" w14:textId="2A297F76" w:rsidR="004C4363" w:rsidRDefault="004C4363" w:rsidP="004C4363">
      <w:pPr>
        <w:pStyle w:val="TableHeading1"/>
      </w:pPr>
      <w:r>
        <w:t xml:space="preserve"> Table </w:t>
      </w:r>
      <w:r w:rsidR="00273418">
        <w:t>2</w:t>
      </w:r>
      <w:r>
        <w:t>: Attendance at Board meetings, 202</w:t>
      </w:r>
      <w:r w:rsidR="00A20555">
        <w:t>4</w:t>
      </w:r>
      <w:r>
        <w:t>–2</w:t>
      </w:r>
      <w:r w:rsidR="00A20555">
        <w:t>5</w:t>
      </w:r>
    </w:p>
    <w:tbl>
      <w:tblPr>
        <w:tblStyle w:val="ListTable3-Accent1"/>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bottom w:w="57" w:type="dxa"/>
        </w:tblCellMar>
        <w:tblLook w:val="04A0" w:firstRow="1" w:lastRow="0" w:firstColumn="1" w:lastColumn="0" w:noHBand="0" w:noVBand="1"/>
      </w:tblPr>
      <w:tblGrid>
        <w:gridCol w:w="2838"/>
        <w:gridCol w:w="3589"/>
        <w:gridCol w:w="3214"/>
      </w:tblGrid>
      <w:tr w:rsidR="00DA443C" w14:paraId="1CBC479A" w14:textId="77777777" w:rsidTr="009F22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8" w:type="dxa"/>
          </w:tcPr>
          <w:p w14:paraId="34DF98EA" w14:textId="77777777" w:rsidR="004C4363" w:rsidRPr="007938CC" w:rsidRDefault="004C4363" w:rsidP="00FC612B">
            <w:pPr>
              <w:pStyle w:val="TableHeaderCellLeft"/>
            </w:pPr>
            <w:r w:rsidRPr="007938CC">
              <w:t>Member</w:t>
            </w:r>
          </w:p>
        </w:tc>
        <w:tc>
          <w:tcPr>
            <w:tcW w:w="3589" w:type="dxa"/>
            <w:tcBorders>
              <w:bottom w:val="nil"/>
            </w:tcBorders>
          </w:tcPr>
          <w:p w14:paraId="00FA17A6" w14:textId="77777777" w:rsidR="004C4363" w:rsidRPr="007938CC" w:rsidRDefault="004C4363" w:rsidP="00FC612B">
            <w:pPr>
              <w:pStyle w:val="TableHeaderCellLeft"/>
              <w:cnfStyle w:val="100000000000" w:firstRow="1" w:lastRow="0" w:firstColumn="0" w:lastColumn="0" w:oddVBand="0" w:evenVBand="0" w:oddHBand="0" w:evenHBand="0" w:firstRowFirstColumn="0" w:firstRowLastColumn="0" w:lastRowFirstColumn="0" w:lastRowLastColumn="0"/>
            </w:pPr>
            <w:r w:rsidRPr="007938CC">
              <w:t>Number of meetings eligible to attend</w:t>
            </w:r>
          </w:p>
        </w:tc>
        <w:tc>
          <w:tcPr>
            <w:tcW w:w="3214" w:type="dxa"/>
            <w:tcBorders>
              <w:bottom w:val="nil"/>
            </w:tcBorders>
          </w:tcPr>
          <w:p w14:paraId="1569F3D7" w14:textId="77777777" w:rsidR="004C4363" w:rsidRPr="007938CC" w:rsidRDefault="004C4363" w:rsidP="00FC612B">
            <w:pPr>
              <w:pStyle w:val="TableHeaderCellLeft"/>
              <w:cnfStyle w:val="100000000000" w:firstRow="1" w:lastRow="0" w:firstColumn="0" w:lastColumn="0" w:oddVBand="0" w:evenVBand="0" w:oddHBand="0" w:evenHBand="0" w:firstRowFirstColumn="0" w:firstRowLastColumn="0" w:lastRowFirstColumn="0" w:lastRowLastColumn="0"/>
            </w:pPr>
            <w:r w:rsidRPr="007938CC">
              <w:t>Number of meetings attended</w:t>
            </w:r>
          </w:p>
        </w:tc>
      </w:tr>
      <w:tr w:rsidR="004C4363" w14:paraId="60F47F57" w14:textId="77777777" w:rsidTr="009F2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Borders>
              <w:top w:val="nil"/>
            </w:tcBorders>
            <w:shd w:val="clear" w:color="auto" w:fill="F6F2ED" w:themeFill="accent3" w:themeFillTint="33"/>
            <w:vAlign w:val="center"/>
          </w:tcPr>
          <w:p w14:paraId="7E13A706" w14:textId="257959B2" w:rsidR="004C4363" w:rsidRDefault="004C4363" w:rsidP="00FC612B">
            <w:pPr>
              <w:pStyle w:val="TableBodyCellLeft"/>
            </w:pPr>
            <w:r w:rsidRPr="00655E8B">
              <w:t xml:space="preserve">Rosheen </w:t>
            </w:r>
            <w:proofErr w:type="spellStart"/>
            <w:r w:rsidRPr="00655E8B">
              <w:t>Garnon</w:t>
            </w:r>
            <w:proofErr w:type="spellEnd"/>
            <w:r>
              <w:t>, Chair</w:t>
            </w:r>
            <w:r w:rsidR="009F2282" w:rsidRPr="00ED24C0">
              <w:rPr>
                <w:vertAlign w:val="superscript"/>
              </w:rPr>
              <w:t>(</w:t>
            </w:r>
            <w:r w:rsidR="009F2282">
              <w:rPr>
                <w:vertAlign w:val="superscript"/>
              </w:rPr>
              <w:t>a</w:t>
            </w:r>
            <w:r w:rsidR="009F2282" w:rsidRPr="00ED24C0">
              <w:rPr>
                <w:vertAlign w:val="superscript"/>
              </w:rPr>
              <w:t>)</w:t>
            </w:r>
          </w:p>
        </w:tc>
        <w:tc>
          <w:tcPr>
            <w:tcW w:w="3589" w:type="dxa"/>
            <w:tcBorders>
              <w:top w:val="nil"/>
            </w:tcBorders>
            <w:vAlign w:val="center"/>
          </w:tcPr>
          <w:p w14:paraId="52FB8757" w14:textId="1BD7029A" w:rsidR="004C4363" w:rsidRDefault="00335C50" w:rsidP="00FC612B">
            <w:pPr>
              <w:pStyle w:val="TableBodyCellLeft"/>
              <w:cnfStyle w:val="000000100000" w:firstRow="0" w:lastRow="0" w:firstColumn="0" w:lastColumn="0" w:oddVBand="0" w:evenVBand="0" w:oddHBand="1" w:evenHBand="0" w:firstRowFirstColumn="0" w:firstRowLastColumn="0" w:lastRowFirstColumn="0" w:lastRowLastColumn="0"/>
            </w:pPr>
            <w:r>
              <w:t>5</w:t>
            </w:r>
          </w:p>
        </w:tc>
        <w:tc>
          <w:tcPr>
            <w:tcW w:w="3214" w:type="dxa"/>
            <w:tcBorders>
              <w:top w:val="nil"/>
            </w:tcBorders>
            <w:vAlign w:val="center"/>
          </w:tcPr>
          <w:p w14:paraId="1683FFAE" w14:textId="1DF7D166" w:rsidR="004C4363" w:rsidRDefault="00335C50" w:rsidP="00FC612B">
            <w:pPr>
              <w:pStyle w:val="TableBodyCellLeft"/>
              <w:cnfStyle w:val="000000100000" w:firstRow="0" w:lastRow="0" w:firstColumn="0" w:lastColumn="0" w:oddVBand="0" w:evenVBand="0" w:oddHBand="1" w:evenHBand="0" w:firstRowFirstColumn="0" w:firstRowLastColumn="0" w:lastRowFirstColumn="0" w:lastRowLastColumn="0"/>
            </w:pPr>
            <w:r>
              <w:t>4</w:t>
            </w:r>
          </w:p>
        </w:tc>
      </w:tr>
      <w:tr w:rsidR="004C4363" w14:paraId="27F78907" w14:textId="77777777" w:rsidTr="009F2282">
        <w:tc>
          <w:tcPr>
            <w:cnfStyle w:val="001000000000" w:firstRow="0" w:lastRow="0" w:firstColumn="1" w:lastColumn="0" w:oddVBand="0" w:evenVBand="0" w:oddHBand="0" w:evenHBand="0" w:firstRowFirstColumn="0" w:firstRowLastColumn="0" w:lastRowFirstColumn="0" w:lastRowLastColumn="0"/>
            <w:tcW w:w="2838" w:type="dxa"/>
            <w:tcBorders>
              <w:top w:val="single" w:sz="4" w:space="0" w:color="142147" w:themeColor="accent1"/>
              <w:bottom w:val="single" w:sz="4" w:space="0" w:color="142147" w:themeColor="accent1"/>
            </w:tcBorders>
            <w:shd w:val="clear" w:color="auto" w:fill="F6F2ED" w:themeFill="accent3" w:themeFillTint="33"/>
            <w:vAlign w:val="center"/>
          </w:tcPr>
          <w:p w14:paraId="1EC6113D" w14:textId="77777777" w:rsidR="004C4363" w:rsidRDefault="004C4363" w:rsidP="00FC612B">
            <w:pPr>
              <w:pStyle w:val="TableBodyCellLeft"/>
            </w:pPr>
            <w:r w:rsidRPr="00655E8B">
              <w:t>Dr Julianne Jaques</w:t>
            </w:r>
            <w:r>
              <w:t xml:space="preserve"> KC</w:t>
            </w:r>
          </w:p>
        </w:tc>
        <w:tc>
          <w:tcPr>
            <w:tcW w:w="3589" w:type="dxa"/>
            <w:tcBorders>
              <w:top w:val="single" w:sz="4" w:space="0" w:color="142147" w:themeColor="accent1"/>
              <w:bottom w:val="single" w:sz="4" w:space="0" w:color="142147" w:themeColor="accent1"/>
            </w:tcBorders>
            <w:vAlign w:val="center"/>
          </w:tcPr>
          <w:p w14:paraId="2F900277"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c>
          <w:tcPr>
            <w:tcW w:w="3214" w:type="dxa"/>
            <w:tcBorders>
              <w:top w:val="single" w:sz="4" w:space="0" w:color="142147" w:themeColor="accent1"/>
              <w:bottom w:val="single" w:sz="4" w:space="0" w:color="142147" w:themeColor="accent1"/>
            </w:tcBorders>
            <w:vAlign w:val="center"/>
          </w:tcPr>
          <w:p w14:paraId="42BB56A3"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r>
      <w:tr w:rsidR="004C4363" w14:paraId="2FFD27B0" w14:textId="77777777" w:rsidTr="009F2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shd w:val="clear" w:color="auto" w:fill="F6F2ED" w:themeFill="accent3" w:themeFillTint="33"/>
            <w:vAlign w:val="center"/>
          </w:tcPr>
          <w:p w14:paraId="5E5094E7" w14:textId="77777777" w:rsidR="004C4363" w:rsidRDefault="004C4363" w:rsidP="00FC612B">
            <w:pPr>
              <w:pStyle w:val="TableBodyCellLeft"/>
            </w:pPr>
            <w:r w:rsidRPr="00655E8B">
              <w:t>Ian Kellock</w:t>
            </w:r>
          </w:p>
        </w:tc>
        <w:tc>
          <w:tcPr>
            <w:tcW w:w="3589" w:type="dxa"/>
            <w:vAlign w:val="center"/>
          </w:tcPr>
          <w:p w14:paraId="546D4712"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c>
          <w:tcPr>
            <w:tcW w:w="3214" w:type="dxa"/>
            <w:vAlign w:val="center"/>
          </w:tcPr>
          <w:p w14:paraId="7F4C5F9E" w14:textId="77777777" w:rsidR="004C4363" w:rsidRDefault="004C4363"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r>
      <w:tr w:rsidR="004C4363" w14:paraId="6812D596" w14:textId="77777777" w:rsidTr="009F2282">
        <w:tc>
          <w:tcPr>
            <w:cnfStyle w:val="001000000000" w:firstRow="0" w:lastRow="0" w:firstColumn="1" w:lastColumn="0" w:oddVBand="0" w:evenVBand="0" w:oddHBand="0" w:evenHBand="0" w:firstRowFirstColumn="0" w:firstRowLastColumn="0" w:lastRowFirstColumn="0" w:lastRowLastColumn="0"/>
            <w:tcW w:w="2838" w:type="dxa"/>
            <w:shd w:val="clear" w:color="auto" w:fill="F6F2ED" w:themeFill="accent3" w:themeFillTint="33"/>
            <w:vAlign w:val="center"/>
          </w:tcPr>
          <w:p w14:paraId="1DE84502" w14:textId="77777777" w:rsidR="004C4363" w:rsidRDefault="004C4363" w:rsidP="00FC612B">
            <w:pPr>
              <w:pStyle w:val="TableBodyCellLeft"/>
            </w:pPr>
            <w:r w:rsidRPr="0061442E">
              <w:t>Andrea Laing</w:t>
            </w:r>
          </w:p>
        </w:tc>
        <w:tc>
          <w:tcPr>
            <w:tcW w:w="3589" w:type="dxa"/>
            <w:vAlign w:val="center"/>
          </w:tcPr>
          <w:p w14:paraId="72AC2ECC"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c>
          <w:tcPr>
            <w:tcW w:w="3214" w:type="dxa"/>
            <w:vAlign w:val="center"/>
          </w:tcPr>
          <w:p w14:paraId="528C367A" w14:textId="575E7795" w:rsidR="004C4363" w:rsidRDefault="009F2282" w:rsidP="00FC612B">
            <w:pPr>
              <w:pStyle w:val="TableBodyCellLeft"/>
              <w:cnfStyle w:val="000000000000" w:firstRow="0" w:lastRow="0" w:firstColumn="0" w:lastColumn="0" w:oddVBand="0" w:evenVBand="0" w:oddHBand="0" w:evenHBand="0" w:firstRowFirstColumn="0" w:firstRowLastColumn="0" w:lastRowFirstColumn="0" w:lastRowLastColumn="0"/>
            </w:pPr>
            <w:r>
              <w:t>6</w:t>
            </w:r>
          </w:p>
        </w:tc>
      </w:tr>
      <w:tr w:rsidR="004C4363" w14:paraId="5DB956B6" w14:textId="77777777" w:rsidTr="009F2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shd w:val="clear" w:color="auto" w:fill="F6F2ED" w:themeFill="accent3" w:themeFillTint="33"/>
            <w:vAlign w:val="center"/>
          </w:tcPr>
          <w:p w14:paraId="62F2B634" w14:textId="6CF56C25" w:rsidR="004C4363" w:rsidRPr="00655E8B" w:rsidRDefault="004C4363" w:rsidP="00FC612B">
            <w:pPr>
              <w:pStyle w:val="TableBodyCellLeft"/>
            </w:pPr>
            <w:r>
              <w:t>Andrew Mills</w:t>
            </w:r>
          </w:p>
        </w:tc>
        <w:tc>
          <w:tcPr>
            <w:tcW w:w="3589" w:type="dxa"/>
            <w:vAlign w:val="center"/>
          </w:tcPr>
          <w:p w14:paraId="1444DF81" w14:textId="2C994BC7" w:rsidR="004C4363" w:rsidRDefault="009F2282"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c>
          <w:tcPr>
            <w:tcW w:w="3214" w:type="dxa"/>
            <w:vAlign w:val="center"/>
          </w:tcPr>
          <w:p w14:paraId="313F1FF2" w14:textId="4FF6FF34" w:rsidR="004C4363" w:rsidRDefault="009F2282"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r>
      <w:tr w:rsidR="004C4363" w14:paraId="530937D1" w14:textId="77777777" w:rsidTr="009F2282">
        <w:tc>
          <w:tcPr>
            <w:cnfStyle w:val="001000000000" w:firstRow="0" w:lastRow="0" w:firstColumn="1" w:lastColumn="0" w:oddVBand="0" w:evenVBand="0" w:oddHBand="0" w:evenHBand="0" w:firstRowFirstColumn="0" w:firstRowLastColumn="0" w:lastRowFirstColumn="0" w:lastRowLastColumn="0"/>
            <w:tcW w:w="2838" w:type="dxa"/>
            <w:shd w:val="clear" w:color="auto" w:fill="F6F2ED" w:themeFill="accent3" w:themeFillTint="33"/>
            <w:vAlign w:val="center"/>
          </w:tcPr>
          <w:p w14:paraId="2A406F1E" w14:textId="374D8ACB" w:rsidR="004C4363" w:rsidRDefault="004C4363" w:rsidP="00FC612B">
            <w:pPr>
              <w:pStyle w:val="TableBodyCellLeft"/>
            </w:pPr>
            <w:r>
              <w:t>Judy O</w:t>
            </w:r>
            <w:r w:rsidR="00FC1B00">
              <w:t>’</w:t>
            </w:r>
            <w:r>
              <w:t>Connell</w:t>
            </w:r>
          </w:p>
        </w:tc>
        <w:tc>
          <w:tcPr>
            <w:tcW w:w="3589" w:type="dxa"/>
            <w:vAlign w:val="center"/>
          </w:tcPr>
          <w:p w14:paraId="04F39410" w14:textId="40A2C0BB" w:rsidR="004C4363" w:rsidRDefault="00653065"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c>
          <w:tcPr>
            <w:tcW w:w="3214" w:type="dxa"/>
            <w:vAlign w:val="center"/>
          </w:tcPr>
          <w:p w14:paraId="0F83EC34" w14:textId="7E6071FA" w:rsidR="004C4363" w:rsidRDefault="00653065" w:rsidP="00FC612B">
            <w:pPr>
              <w:pStyle w:val="TableBodyCellLeft"/>
              <w:cnfStyle w:val="000000000000" w:firstRow="0" w:lastRow="0" w:firstColumn="0" w:lastColumn="0" w:oddVBand="0" w:evenVBand="0" w:oddHBand="0" w:evenHBand="0" w:firstRowFirstColumn="0" w:firstRowLastColumn="0" w:lastRowFirstColumn="0" w:lastRowLastColumn="0"/>
            </w:pPr>
            <w:r>
              <w:t>6</w:t>
            </w:r>
          </w:p>
        </w:tc>
      </w:tr>
      <w:tr w:rsidR="004C4363" w14:paraId="60722449" w14:textId="77777777" w:rsidTr="009F2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shd w:val="clear" w:color="auto" w:fill="F6F2ED" w:themeFill="accent3" w:themeFillTint="33"/>
            <w:vAlign w:val="center"/>
          </w:tcPr>
          <w:p w14:paraId="70132335" w14:textId="3A2EC9D4" w:rsidR="004C4363" w:rsidRPr="00655E8B" w:rsidRDefault="004C4363" w:rsidP="00FC612B">
            <w:pPr>
              <w:pStyle w:val="TableBodyCellLeft"/>
            </w:pPr>
            <w:r>
              <w:t xml:space="preserve">Rob </w:t>
            </w:r>
            <w:proofErr w:type="spellStart"/>
            <w:proofErr w:type="gramStart"/>
            <w:r>
              <w:t>Heferen</w:t>
            </w:r>
            <w:proofErr w:type="spellEnd"/>
            <w:r w:rsidR="00574A4B" w:rsidRPr="00ED24C0">
              <w:rPr>
                <w:vertAlign w:val="superscript"/>
              </w:rPr>
              <w:t>(</w:t>
            </w:r>
            <w:proofErr w:type="gramEnd"/>
            <w:r w:rsidR="00574A4B">
              <w:rPr>
                <w:vertAlign w:val="superscript"/>
              </w:rPr>
              <w:t>#</w:t>
            </w:r>
            <w:r w:rsidR="00574A4B" w:rsidRPr="00ED24C0">
              <w:rPr>
                <w:vertAlign w:val="superscript"/>
              </w:rPr>
              <w:t>)</w:t>
            </w:r>
          </w:p>
        </w:tc>
        <w:tc>
          <w:tcPr>
            <w:tcW w:w="3589" w:type="dxa"/>
            <w:vAlign w:val="center"/>
          </w:tcPr>
          <w:p w14:paraId="293A962D" w14:textId="418E04CF" w:rsidR="004C4363" w:rsidRDefault="00F00B77" w:rsidP="00FC612B">
            <w:pPr>
              <w:pStyle w:val="TableBodyCellLeft"/>
              <w:cnfStyle w:val="000000100000" w:firstRow="0" w:lastRow="0" w:firstColumn="0" w:lastColumn="0" w:oddVBand="0" w:evenVBand="0" w:oddHBand="1" w:evenHBand="0" w:firstRowFirstColumn="0" w:firstRowLastColumn="0" w:lastRowFirstColumn="0" w:lastRowLastColumn="0"/>
            </w:pPr>
            <w:r>
              <w:t>7</w:t>
            </w:r>
          </w:p>
        </w:tc>
        <w:tc>
          <w:tcPr>
            <w:tcW w:w="3214" w:type="dxa"/>
            <w:vAlign w:val="center"/>
          </w:tcPr>
          <w:p w14:paraId="47A001CE" w14:textId="1FA11C37" w:rsidR="004C4363" w:rsidRDefault="00A20555" w:rsidP="00FC612B">
            <w:pPr>
              <w:pStyle w:val="TableBodyCellLeft"/>
              <w:cnfStyle w:val="000000100000" w:firstRow="0" w:lastRow="0" w:firstColumn="0" w:lastColumn="0" w:oddVBand="0" w:evenVBand="0" w:oddHBand="1" w:evenHBand="0" w:firstRowFirstColumn="0" w:firstRowLastColumn="0" w:lastRowFirstColumn="0" w:lastRowLastColumn="0"/>
            </w:pPr>
            <w:r>
              <w:t>7 –</w:t>
            </w:r>
            <w:r w:rsidR="00574A4B">
              <w:t xml:space="preserve"> including</w:t>
            </w:r>
            <w:r>
              <w:t xml:space="preserve"> via delegate</w:t>
            </w:r>
          </w:p>
        </w:tc>
      </w:tr>
      <w:tr w:rsidR="004C4363" w14:paraId="14D4A8E5" w14:textId="77777777" w:rsidTr="009F2282">
        <w:tc>
          <w:tcPr>
            <w:cnfStyle w:val="001000000000" w:firstRow="0" w:lastRow="0" w:firstColumn="1" w:lastColumn="0" w:oddVBand="0" w:evenVBand="0" w:oddHBand="0" w:evenHBand="0" w:firstRowFirstColumn="0" w:firstRowLastColumn="0" w:lastRowFirstColumn="0" w:lastRowLastColumn="0"/>
            <w:tcW w:w="2838" w:type="dxa"/>
            <w:shd w:val="clear" w:color="auto" w:fill="F6F2ED" w:themeFill="accent3" w:themeFillTint="33"/>
            <w:vAlign w:val="center"/>
          </w:tcPr>
          <w:p w14:paraId="15E6E64E" w14:textId="77777777" w:rsidR="004C4363" w:rsidRPr="00655E8B" w:rsidRDefault="004C4363" w:rsidP="00FC612B">
            <w:pPr>
              <w:pStyle w:val="TableBodyCellLeft"/>
            </w:pPr>
            <w:r w:rsidRPr="00655E8B">
              <w:t>Dr Steven Kennedy</w:t>
            </w:r>
            <w:r>
              <w:t xml:space="preserve"> </w:t>
            </w:r>
            <w:proofErr w:type="gramStart"/>
            <w:r>
              <w:t>PSM</w:t>
            </w:r>
            <w:r w:rsidRPr="00ED24C0">
              <w:rPr>
                <w:vertAlign w:val="superscript"/>
              </w:rPr>
              <w:t>(</w:t>
            </w:r>
            <w:proofErr w:type="gramEnd"/>
            <w:r>
              <w:rPr>
                <w:vertAlign w:val="superscript"/>
              </w:rPr>
              <w:t>#</w:t>
            </w:r>
            <w:r w:rsidRPr="00ED24C0">
              <w:rPr>
                <w:vertAlign w:val="superscript"/>
              </w:rPr>
              <w:t>)</w:t>
            </w:r>
          </w:p>
        </w:tc>
        <w:tc>
          <w:tcPr>
            <w:tcW w:w="3589" w:type="dxa"/>
            <w:vAlign w:val="center"/>
          </w:tcPr>
          <w:p w14:paraId="561DF362"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c>
          <w:tcPr>
            <w:tcW w:w="3214" w:type="dxa"/>
            <w:vAlign w:val="center"/>
          </w:tcPr>
          <w:p w14:paraId="560EE784" w14:textId="3D80C79B"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 xml:space="preserve">7 – </w:t>
            </w:r>
            <w:r w:rsidR="00574A4B">
              <w:t xml:space="preserve">including </w:t>
            </w:r>
            <w:r>
              <w:t>via delegate</w:t>
            </w:r>
          </w:p>
        </w:tc>
      </w:tr>
      <w:tr w:rsidR="00697D66" w14:paraId="686CFD86" w14:textId="77777777" w:rsidTr="009F2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shd w:val="clear" w:color="auto" w:fill="F6F2ED" w:themeFill="accent3" w:themeFillTint="33"/>
            <w:vAlign w:val="center"/>
          </w:tcPr>
          <w:p w14:paraId="6435BD16" w14:textId="248358CE" w:rsidR="00697D66" w:rsidRPr="00655E8B" w:rsidRDefault="00697D66" w:rsidP="00FC612B">
            <w:pPr>
              <w:pStyle w:val="TableBodyCellLeft"/>
            </w:pPr>
            <w:r>
              <w:t>Jenny Wilkinson PSM</w:t>
            </w:r>
            <w:r w:rsidR="00653065" w:rsidRPr="00ED24C0">
              <w:rPr>
                <w:vertAlign w:val="superscript"/>
              </w:rPr>
              <w:t>(</w:t>
            </w:r>
            <w:r w:rsidR="00653065">
              <w:rPr>
                <w:vertAlign w:val="superscript"/>
              </w:rPr>
              <w:t>b</w:t>
            </w:r>
            <w:proofErr w:type="gramStart"/>
            <w:r w:rsidR="00653065" w:rsidRPr="00ED24C0">
              <w:rPr>
                <w:vertAlign w:val="superscript"/>
              </w:rPr>
              <w:t>)</w:t>
            </w:r>
            <w:r w:rsidRPr="00ED24C0">
              <w:rPr>
                <w:vertAlign w:val="superscript"/>
              </w:rPr>
              <w:t>(</w:t>
            </w:r>
            <w:proofErr w:type="gramEnd"/>
            <w:r>
              <w:rPr>
                <w:vertAlign w:val="superscript"/>
              </w:rPr>
              <w:t>#</w:t>
            </w:r>
            <w:r w:rsidRPr="00ED24C0">
              <w:rPr>
                <w:vertAlign w:val="superscript"/>
              </w:rPr>
              <w:t>)</w:t>
            </w:r>
          </w:p>
        </w:tc>
        <w:tc>
          <w:tcPr>
            <w:tcW w:w="3589" w:type="dxa"/>
            <w:vAlign w:val="center"/>
          </w:tcPr>
          <w:p w14:paraId="7CA3E05C" w14:textId="06568D99" w:rsidR="00697D66" w:rsidRDefault="00F00B77" w:rsidP="00FC612B">
            <w:pPr>
              <w:pStyle w:val="TableBodyCellLeft"/>
              <w:cnfStyle w:val="000000100000" w:firstRow="0" w:lastRow="0" w:firstColumn="0" w:lastColumn="0" w:oddVBand="0" w:evenVBand="0" w:oddHBand="1" w:evenHBand="0" w:firstRowFirstColumn="0" w:firstRowLastColumn="0" w:lastRowFirstColumn="0" w:lastRowLastColumn="0"/>
            </w:pPr>
            <w:r>
              <w:t>0</w:t>
            </w:r>
          </w:p>
        </w:tc>
        <w:tc>
          <w:tcPr>
            <w:tcW w:w="3214" w:type="dxa"/>
            <w:vAlign w:val="center"/>
          </w:tcPr>
          <w:p w14:paraId="35E334CA" w14:textId="02E0F72C" w:rsidR="00697D66" w:rsidRDefault="00F00B77" w:rsidP="00FC612B">
            <w:pPr>
              <w:pStyle w:val="TableBodyCellLeft"/>
              <w:cnfStyle w:val="000000100000" w:firstRow="0" w:lastRow="0" w:firstColumn="0" w:lastColumn="0" w:oddVBand="0" w:evenVBand="0" w:oddHBand="1" w:evenHBand="0" w:firstRowFirstColumn="0" w:firstRowLastColumn="0" w:lastRowFirstColumn="0" w:lastRowLastColumn="0"/>
            </w:pPr>
            <w:r>
              <w:t>0</w:t>
            </w:r>
          </w:p>
        </w:tc>
      </w:tr>
      <w:tr w:rsidR="004C4363" w14:paraId="62FC68CD" w14:textId="77777777" w:rsidTr="009F2282">
        <w:tc>
          <w:tcPr>
            <w:cnfStyle w:val="001000000000" w:firstRow="0" w:lastRow="0" w:firstColumn="1" w:lastColumn="0" w:oddVBand="0" w:evenVBand="0" w:oddHBand="0" w:evenHBand="0" w:firstRowFirstColumn="0" w:firstRowLastColumn="0" w:lastRowFirstColumn="0" w:lastRowLastColumn="0"/>
            <w:tcW w:w="2838" w:type="dxa"/>
            <w:tcBorders>
              <w:bottom w:val="single" w:sz="8" w:space="0" w:color="142147" w:themeColor="accent1"/>
            </w:tcBorders>
            <w:shd w:val="clear" w:color="auto" w:fill="F6F2ED" w:themeFill="accent3" w:themeFillTint="33"/>
            <w:vAlign w:val="center"/>
          </w:tcPr>
          <w:p w14:paraId="3D6008EC" w14:textId="44C6CA70" w:rsidR="004C4363" w:rsidRPr="00655E8B" w:rsidRDefault="004C4363" w:rsidP="00FC612B">
            <w:pPr>
              <w:pStyle w:val="TableBodyCellLeft"/>
            </w:pPr>
            <w:r w:rsidRPr="00C2752A">
              <w:t xml:space="preserve">Meredith </w:t>
            </w:r>
            <w:proofErr w:type="gramStart"/>
            <w:r w:rsidRPr="00C2752A">
              <w:t>Leigh</w:t>
            </w:r>
            <w:r w:rsidR="00697D66" w:rsidRPr="00ED24C0">
              <w:rPr>
                <w:vertAlign w:val="superscript"/>
              </w:rPr>
              <w:t>(</w:t>
            </w:r>
            <w:proofErr w:type="gramEnd"/>
            <w:r w:rsidR="00697D66">
              <w:rPr>
                <w:vertAlign w:val="superscript"/>
              </w:rPr>
              <w:t>#</w:t>
            </w:r>
            <w:r w:rsidR="00697D66" w:rsidRPr="00ED24C0">
              <w:rPr>
                <w:vertAlign w:val="superscript"/>
              </w:rPr>
              <w:t>)</w:t>
            </w:r>
          </w:p>
        </w:tc>
        <w:tc>
          <w:tcPr>
            <w:tcW w:w="3589" w:type="dxa"/>
            <w:tcBorders>
              <w:bottom w:val="single" w:sz="8" w:space="0" w:color="142147" w:themeColor="accent1"/>
            </w:tcBorders>
            <w:vAlign w:val="center"/>
          </w:tcPr>
          <w:p w14:paraId="28431443" w14:textId="77777777" w:rsidR="004C4363" w:rsidRDefault="004C4363" w:rsidP="00FC612B">
            <w:pPr>
              <w:pStyle w:val="TableBodyCellLeft"/>
              <w:cnfStyle w:val="000000000000" w:firstRow="0" w:lastRow="0" w:firstColumn="0" w:lastColumn="0" w:oddVBand="0" w:evenVBand="0" w:oddHBand="0" w:evenHBand="0" w:firstRowFirstColumn="0" w:firstRowLastColumn="0" w:lastRowFirstColumn="0" w:lastRowLastColumn="0"/>
            </w:pPr>
            <w:r>
              <w:t>7</w:t>
            </w:r>
          </w:p>
        </w:tc>
        <w:tc>
          <w:tcPr>
            <w:tcW w:w="3214" w:type="dxa"/>
            <w:tcBorders>
              <w:bottom w:val="single" w:sz="8" w:space="0" w:color="142147" w:themeColor="accent1"/>
            </w:tcBorders>
            <w:vAlign w:val="center"/>
          </w:tcPr>
          <w:p w14:paraId="306D0F9B" w14:textId="7218B03C" w:rsidR="004C4363" w:rsidRDefault="00591892" w:rsidP="00591892">
            <w:pPr>
              <w:pStyle w:val="TableBodyCellLeft"/>
              <w:jc w:val="both"/>
              <w:cnfStyle w:val="000000000000" w:firstRow="0" w:lastRow="0" w:firstColumn="0" w:lastColumn="0" w:oddVBand="0" w:evenVBand="0" w:oddHBand="0" w:evenHBand="0" w:firstRowFirstColumn="0" w:firstRowLastColumn="0" w:lastRowFirstColumn="0" w:lastRowLastColumn="0"/>
            </w:pPr>
            <w:r>
              <w:t xml:space="preserve">7 </w:t>
            </w:r>
            <w:r w:rsidR="00F00B77">
              <w:t xml:space="preserve">– </w:t>
            </w:r>
            <w:r w:rsidR="00574A4B">
              <w:t xml:space="preserve">including </w:t>
            </w:r>
            <w:r w:rsidR="00F00B77">
              <w:t>via delegate</w:t>
            </w:r>
          </w:p>
        </w:tc>
      </w:tr>
    </w:tbl>
    <w:p w14:paraId="29699779" w14:textId="45B27C05" w:rsidR="000F784E" w:rsidRDefault="00653065" w:rsidP="000F784E">
      <w:pPr>
        <w:pStyle w:val="Notealpha"/>
        <w:numPr>
          <w:ilvl w:val="0"/>
          <w:numId w:val="19"/>
        </w:numPr>
      </w:pPr>
      <w:r>
        <w:t xml:space="preserve">Rosheen </w:t>
      </w:r>
      <w:proofErr w:type="spellStart"/>
      <w:r>
        <w:t>Garnon</w:t>
      </w:r>
      <w:r w:rsidR="00FC1B00">
        <w:t>’</w:t>
      </w:r>
      <w:r>
        <w:t>s</w:t>
      </w:r>
      <w:proofErr w:type="spellEnd"/>
      <w:r>
        <w:t xml:space="preserve"> role as Chair and Board member ceased on 31 March 2025, following the Treasurer</w:t>
      </w:r>
      <w:r w:rsidR="00FC1B00">
        <w:t>’</w:t>
      </w:r>
      <w:r>
        <w:t xml:space="preserve">s acceptance of her </w:t>
      </w:r>
      <w:r w:rsidRPr="000F784E">
        <w:t>resignation</w:t>
      </w:r>
    </w:p>
    <w:p w14:paraId="6C712213" w14:textId="7D39B1DE" w:rsidR="004C4363" w:rsidRDefault="00653065" w:rsidP="000F784E">
      <w:pPr>
        <w:pStyle w:val="Notealpha"/>
        <w:numPr>
          <w:ilvl w:val="0"/>
          <w:numId w:val="19"/>
        </w:numPr>
        <w:spacing w:after="0"/>
      </w:pPr>
      <w:r>
        <w:t>Jenny Wilkinson</w:t>
      </w:r>
      <w:r w:rsidR="00302091">
        <w:t xml:space="preserve"> commenced as Secretary to the Treasury on 16 June 2025. </w:t>
      </w:r>
    </w:p>
    <w:p w14:paraId="4B353367" w14:textId="51F76120" w:rsidR="004C4363" w:rsidRPr="001A4C28" w:rsidRDefault="004C4363" w:rsidP="000F784E">
      <w:pPr>
        <w:pStyle w:val="Note"/>
        <w:ind w:left="357" w:hanging="357"/>
      </w:pPr>
      <w:r>
        <w:t>(#)</w:t>
      </w:r>
      <w:r w:rsidR="0086698D">
        <w:t xml:space="preserve"> </w:t>
      </w:r>
      <w:r w:rsidR="0005412B">
        <w:tab/>
      </w:r>
      <w:r w:rsidRPr="001A4C28">
        <w:t>The Board</w:t>
      </w:r>
      <w:r w:rsidR="00FC1B00">
        <w:t>’</w:t>
      </w:r>
      <w:r w:rsidRPr="001A4C28">
        <w:t>s Charter allows for ex</w:t>
      </w:r>
      <w:r w:rsidR="004860EF">
        <w:t xml:space="preserve"> </w:t>
      </w:r>
      <w:r w:rsidRPr="001A4C28">
        <w:t>officio members of the Board to be represented by a delegate at Board meetings</w:t>
      </w:r>
      <w:r>
        <w:t xml:space="preserve">. </w:t>
      </w:r>
    </w:p>
    <w:p w14:paraId="5301E40A" w14:textId="062E02BA" w:rsidR="008E2DA1" w:rsidRDefault="008E2DA1">
      <w:r>
        <w:br w:type="page"/>
      </w:r>
    </w:p>
    <w:p w14:paraId="2E43D5CD" w14:textId="61BF5DE9" w:rsidR="00C4491D" w:rsidRDefault="004C4363" w:rsidP="00C4491D">
      <w:pPr>
        <w:pStyle w:val="Heading1"/>
      </w:pPr>
      <w:bookmarkStart w:id="70" w:name="Appendix_D"/>
      <w:bookmarkStart w:id="71" w:name="_Toc209006415"/>
      <w:bookmarkStart w:id="72" w:name="_Toc212631282"/>
      <w:bookmarkEnd w:id="70"/>
      <w:r>
        <w:lastRenderedPageBreak/>
        <w:t xml:space="preserve">Appendix D: </w:t>
      </w:r>
      <w:r w:rsidR="00C4491D">
        <w:t>Board Meetings and Stakeholder Events</w:t>
      </w:r>
      <w:bookmarkStart w:id="73" w:name="_Toc149905539"/>
      <w:bookmarkEnd w:id="71"/>
      <w:bookmarkEnd w:id="72"/>
    </w:p>
    <w:p w14:paraId="0C39C9CC" w14:textId="77777777" w:rsidR="00422B63" w:rsidRDefault="00C4491D" w:rsidP="00C4491D">
      <w:r>
        <w:t xml:space="preserve">The Board met </w:t>
      </w:r>
      <w:r w:rsidR="00273418">
        <w:t>seven</w:t>
      </w:r>
      <w:r>
        <w:t xml:space="preserve"> times in the 202</w:t>
      </w:r>
      <w:r w:rsidR="00B90E41">
        <w:t>4</w:t>
      </w:r>
      <w:r w:rsidR="00416251">
        <w:t>–</w:t>
      </w:r>
      <w:r>
        <w:t>2</w:t>
      </w:r>
      <w:r w:rsidR="00B90E41">
        <w:t>5</w:t>
      </w:r>
      <w:r>
        <w:t xml:space="preserve"> reporting year in locations throughout Australia.</w:t>
      </w:r>
      <w:r w:rsidR="00262F10">
        <w:t xml:space="preserve"> </w:t>
      </w:r>
    </w:p>
    <w:p w14:paraId="396A107B" w14:textId="7C3EB1D9" w:rsidR="00C4491D" w:rsidRDefault="00F0514E" w:rsidP="00C4491D">
      <w:r>
        <w:t>Mostly, t</w:t>
      </w:r>
      <w:r w:rsidR="00C4491D">
        <w:t>he</w:t>
      </w:r>
      <w:r w:rsidR="002752D8">
        <w:t> </w:t>
      </w:r>
      <w:r w:rsidR="00C4491D">
        <w:t>Board</w:t>
      </w:r>
      <w:r w:rsidR="002752D8">
        <w:t> </w:t>
      </w:r>
      <w:r w:rsidR="00C4491D">
        <w:t>hosted Stakeholder events in conjunction with these Board meetings</w:t>
      </w:r>
      <w:r w:rsidR="00422B63">
        <w:t xml:space="preserve">, aside from two occasions in August and September. </w:t>
      </w:r>
    </w:p>
    <w:p w14:paraId="32997B0B" w14:textId="331B4172" w:rsidR="00037D61" w:rsidRDefault="00037D61" w:rsidP="00037D61">
      <w:pPr>
        <w:pStyle w:val="TableHeading1"/>
      </w:pPr>
      <w:r>
        <w:t>Table 3: Board meetings</w:t>
      </w:r>
      <w:r w:rsidR="008D5566">
        <w:t xml:space="preserve"> and stakeholder events</w:t>
      </w:r>
      <w:r>
        <w:t>, 202</w:t>
      </w:r>
      <w:r w:rsidR="00441679">
        <w:t>4</w:t>
      </w:r>
      <w:r>
        <w:t>–2</w:t>
      </w:r>
      <w:r w:rsidR="00441679">
        <w:t>5</w:t>
      </w:r>
    </w:p>
    <w:tbl>
      <w:tblPr>
        <w:tblStyle w:val="ListTable3-Accent1"/>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bottom w:w="57" w:type="dxa"/>
        </w:tblCellMar>
        <w:tblLook w:val="04A0" w:firstRow="1" w:lastRow="0" w:firstColumn="1" w:lastColumn="0" w:noHBand="0" w:noVBand="1"/>
      </w:tblPr>
      <w:tblGrid>
        <w:gridCol w:w="2096"/>
        <w:gridCol w:w="3343"/>
        <w:gridCol w:w="2093"/>
        <w:gridCol w:w="2109"/>
      </w:tblGrid>
      <w:tr w:rsidR="001756BD" w14:paraId="40DB28B3" w14:textId="29BBFB66" w:rsidTr="001756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4" w:type="dxa"/>
            <w:vAlign w:val="center"/>
          </w:tcPr>
          <w:p w14:paraId="4BA50C36" w14:textId="7A8A6C88" w:rsidR="000F3036" w:rsidRPr="008133E0" w:rsidRDefault="000F3036" w:rsidP="008F1B97">
            <w:pPr>
              <w:pStyle w:val="TableHeaderCellLeft"/>
            </w:pPr>
            <w:r>
              <w:t>Date</w:t>
            </w:r>
          </w:p>
        </w:tc>
        <w:tc>
          <w:tcPr>
            <w:tcW w:w="3405" w:type="dxa"/>
            <w:tcBorders>
              <w:bottom w:val="nil"/>
            </w:tcBorders>
            <w:vAlign w:val="center"/>
          </w:tcPr>
          <w:p w14:paraId="15D25387" w14:textId="6F806D83" w:rsidR="000F3036" w:rsidRPr="008133E0" w:rsidRDefault="000F3036" w:rsidP="008F1B97">
            <w:pPr>
              <w:pStyle w:val="TableHeaderCellLeft"/>
              <w:cnfStyle w:val="100000000000" w:firstRow="1" w:lastRow="0" w:firstColumn="0" w:lastColumn="0" w:oddVBand="0" w:evenVBand="0" w:oddHBand="0" w:evenHBand="0" w:firstRowFirstColumn="0" w:firstRowLastColumn="0" w:lastRowFirstColumn="0" w:lastRowLastColumn="0"/>
            </w:pPr>
            <w:r>
              <w:t>Location</w:t>
            </w:r>
          </w:p>
        </w:tc>
        <w:tc>
          <w:tcPr>
            <w:tcW w:w="2126" w:type="dxa"/>
            <w:tcBorders>
              <w:bottom w:val="nil"/>
            </w:tcBorders>
          </w:tcPr>
          <w:p w14:paraId="79C4C376" w14:textId="087B321C" w:rsidR="000F3036" w:rsidRDefault="000F3036" w:rsidP="008F1B97">
            <w:pPr>
              <w:pStyle w:val="TableHeaderCellLeft"/>
              <w:cnfStyle w:val="100000000000" w:firstRow="1" w:lastRow="0" w:firstColumn="0" w:lastColumn="0" w:oddVBand="0" w:evenVBand="0" w:oddHBand="0" w:evenHBand="0" w:firstRowFirstColumn="0" w:firstRowLastColumn="0" w:lastRowFirstColumn="0" w:lastRowLastColumn="0"/>
            </w:pPr>
            <w:r>
              <w:t>Board Meeting</w:t>
            </w:r>
          </w:p>
        </w:tc>
        <w:tc>
          <w:tcPr>
            <w:tcW w:w="2126" w:type="dxa"/>
            <w:tcBorders>
              <w:bottom w:val="nil"/>
            </w:tcBorders>
          </w:tcPr>
          <w:p w14:paraId="2BA83DE4" w14:textId="1D845BDC" w:rsidR="000F3036" w:rsidRDefault="000F3036" w:rsidP="008F1B97">
            <w:pPr>
              <w:pStyle w:val="TableHeaderCellLeft"/>
              <w:cnfStyle w:val="100000000000" w:firstRow="1" w:lastRow="0" w:firstColumn="0" w:lastColumn="0" w:oddVBand="0" w:evenVBand="0" w:oddHBand="0" w:evenHBand="0" w:firstRowFirstColumn="0" w:firstRowLastColumn="0" w:lastRowFirstColumn="0" w:lastRowLastColumn="0"/>
            </w:pPr>
            <w:r>
              <w:t>Stakeholder event</w:t>
            </w:r>
          </w:p>
        </w:tc>
      </w:tr>
      <w:tr w:rsidR="001756BD" w14:paraId="0833C31C" w14:textId="705B1264" w:rsidTr="00175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Borders>
              <w:top w:val="nil"/>
            </w:tcBorders>
            <w:shd w:val="clear" w:color="auto" w:fill="F6F2ED" w:themeFill="accent3" w:themeFillTint="33"/>
            <w:vAlign w:val="center"/>
          </w:tcPr>
          <w:p w14:paraId="32B53FE2" w14:textId="4409CE27" w:rsidR="000F3036" w:rsidRDefault="000F3036" w:rsidP="008F1B97">
            <w:pPr>
              <w:pStyle w:val="TableBodyCellLeft"/>
            </w:pPr>
            <w:r w:rsidRPr="000E599E">
              <w:t>2</w:t>
            </w:r>
            <w:r>
              <w:t>6 July 2024</w:t>
            </w:r>
          </w:p>
        </w:tc>
        <w:tc>
          <w:tcPr>
            <w:tcW w:w="3405" w:type="dxa"/>
            <w:tcBorders>
              <w:top w:val="nil"/>
            </w:tcBorders>
            <w:vAlign w:val="center"/>
          </w:tcPr>
          <w:p w14:paraId="6E60874F" w14:textId="24710216"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pPr>
            <w:r>
              <w:t xml:space="preserve">ATO </w:t>
            </w:r>
            <w:r>
              <w:br/>
              <w:t>Franklin Street, Adelaide, SA</w:t>
            </w:r>
            <w:r>
              <w:rPr>
                <w:lang w:val="en-US"/>
              </w:rPr>
              <w:t xml:space="preserve"> </w:t>
            </w:r>
          </w:p>
        </w:tc>
        <w:tc>
          <w:tcPr>
            <w:tcW w:w="2126" w:type="dxa"/>
            <w:tcBorders>
              <w:top w:val="nil"/>
            </w:tcBorders>
          </w:tcPr>
          <w:p w14:paraId="50FBBB82" w14:textId="25359DA2"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2126" w:type="dxa"/>
            <w:tcBorders>
              <w:top w:val="nil"/>
            </w:tcBorders>
          </w:tcPr>
          <w:p w14:paraId="70DD79DD" w14:textId="61CB57FF"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rPr>
                <w:lang w:val="en-US"/>
              </w:rPr>
              <w:t>Private Wealth</w:t>
            </w:r>
          </w:p>
        </w:tc>
      </w:tr>
      <w:tr w:rsidR="001756BD" w14:paraId="428D5B8B" w14:textId="77777777" w:rsidTr="00A66285">
        <w:tc>
          <w:tcPr>
            <w:cnfStyle w:val="001000000000" w:firstRow="0" w:lastRow="0" w:firstColumn="1" w:lastColumn="0" w:oddVBand="0" w:evenVBand="0" w:oddHBand="0" w:evenHBand="0" w:firstRowFirstColumn="0" w:firstRowLastColumn="0" w:lastRowFirstColumn="0" w:lastRowLastColumn="0"/>
            <w:tcW w:w="2124" w:type="dxa"/>
            <w:tcBorders>
              <w:top w:val="nil"/>
              <w:bottom w:val="single" w:sz="4" w:space="0" w:color="142147" w:themeColor="accent1"/>
            </w:tcBorders>
            <w:shd w:val="clear" w:color="auto" w:fill="F6F2ED" w:themeFill="accent3" w:themeFillTint="33"/>
            <w:vAlign w:val="center"/>
          </w:tcPr>
          <w:p w14:paraId="3EE0C812" w14:textId="4E914C34" w:rsidR="000F3036" w:rsidRPr="000E599E" w:rsidRDefault="000F3036" w:rsidP="003F5ECB">
            <w:pPr>
              <w:pStyle w:val="TableBodyCellLeft"/>
            </w:pPr>
            <w:r>
              <w:t>14 August 2024</w:t>
            </w:r>
          </w:p>
        </w:tc>
        <w:tc>
          <w:tcPr>
            <w:tcW w:w="3405" w:type="dxa"/>
            <w:tcBorders>
              <w:top w:val="nil"/>
            </w:tcBorders>
            <w:vAlign w:val="center"/>
          </w:tcPr>
          <w:p w14:paraId="2B60EB95" w14:textId="0941E9A4"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pPr>
            <w:r>
              <w:t>Treasury,</w:t>
            </w:r>
          </w:p>
          <w:p w14:paraId="50682445" w14:textId="289C2E97"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pPr>
            <w:r>
              <w:t>Kent Street, Sydney, NSW</w:t>
            </w:r>
          </w:p>
        </w:tc>
        <w:tc>
          <w:tcPr>
            <w:tcW w:w="2126" w:type="dxa"/>
            <w:tcBorders>
              <w:top w:val="nil"/>
            </w:tcBorders>
          </w:tcPr>
          <w:p w14:paraId="267D6C44" w14:textId="22D615C3"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rPr>
                <w:lang w:val="en-US"/>
              </w:rPr>
              <w:t>No</w:t>
            </w:r>
          </w:p>
        </w:tc>
        <w:tc>
          <w:tcPr>
            <w:tcW w:w="2126" w:type="dxa"/>
            <w:tcBorders>
              <w:top w:val="nil"/>
            </w:tcBorders>
          </w:tcPr>
          <w:p w14:paraId="46443AB7" w14:textId="5867F060"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rPr>
                <w:lang w:val="en-US"/>
              </w:rPr>
              <w:t>Academics</w:t>
            </w:r>
          </w:p>
        </w:tc>
      </w:tr>
      <w:tr w:rsidR="001756BD" w14:paraId="418D59C6" w14:textId="7B991715" w:rsidTr="00A66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Borders>
              <w:bottom w:val="single" w:sz="4" w:space="0" w:color="auto"/>
            </w:tcBorders>
            <w:shd w:val="clear" w:color="auto" w:fill="F6F2ED" w:themeFill="accent3" w:themeFillTint="33"/>
            <w:vAlign w:val="center"/>
          </w:tcPr>
          <w:p w14:paraId="44D0C1BE" w14:textId="7AF483C7" w:rsidR="000F3036" w:rsidRDefault="000F3036" w:rsidP="008F1B97">
            <w:pPr>
              <w:pStyle w:val="TableBodyCellLeft"/>
            </w:pPr>
            <w:r>
              <w:t>5 September 2024</w:t>
            </w:r>
          </w:p>
        </w:tc>
        <w:tc>
          <w:tcPr>
            <w:tcW w:w="3405" w:type="dxa"/>
            <w:vAlign w:val="center"/>
          </w:tcPr>
          <w:p w14:paraId="2B6F6C90" w14:textId="5A70DF56"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pPr>
            <w:r>
              <w:t>Host venue: Stakeholder event</w:t>
            </w:r>
            <w:r>
              <w:br/>
              <w:t>5 September 2025</w:t>
            </w:r>
          </w:p>
          <w:p w14:paraId="4E2B6A06" w14:textId="76160E88"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pPr>
            <w:r>
              <w:t>Noongar Chamber of Commerce and Industry (NCCI)</w:t>
            </w:r>
          </w:p>
          <w:p w14:paraId="17A5752F" w14:textId="3D3D5C5E"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pPr>
            <w:r w:rsidRPr="007932A8">
              <w:t>St Georges Terrace, Perth</w:t>
            </w:r>
            <w:r>
              <w:t>,</w:t>
            </w:r>
            <w:r w:rsidRPr="007932A8">
              <w:t xml:space="preserve"> WA</w:t>
            </w:r>
          </w:p>
        </w:tc>
        <w:tc>
          <w:tcPr>
            <w:tcW w:w="2126" w:type="dxa"/>
          </w:tcPr>
          <w:p w14:paraId="7612A4E2" w14:textId="2992FED5" w:rsidR="000F3036" w:rsidRDefault="00F8021D"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rPr>
                <w:lang w:val="en-US"/>
              </w:rPr>
              <w:t>No</w:t>
            </w:r>
          </w:p>
        </w:tc>
        <w:tc>
          <w:tcPr>
            <w:tcW w:w="2126" w:type="dxa"/>
          </w:tcPr>
          <w:p w14:paraId="3B176DF3" w14:textId="2E9A71F6"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rPr>
                <w:lang w:val="en-US"/>
              </w:rPr>
              <w:t>Indigenous Businesses</w:t>
            </w:r>
          </w:p>
        </w:tc>
      </w:tr>
      <w:tr w:rsidR="001756BD" w14:paraId="3E6CDAA8" w14:textId="77777777" w:rsidTr="00A66285">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auto"/>
              <w:bottom w:val="single" w:sz="4" w:space="0" w:color="142147" w:themeColor="accent1"/>
            </w:tcBorders>
            <w:shd w:val="clear" w:color="auto" w:fill="F6F2ED" w:themeFill="accent3" w:themeFillTint="33"/>
            <w:vAlign w:val="center"/>
          </w:tcPr>
          <w:p w14:paraId="6FF530F3" w14:textId="283191EE" w:rsidR="000F3036" w:rsidRDefault="00A66285" w:rsidP="008F1B97">
            <w:pPr>
              <w:pStyle w:val="TableBodyCellLeft"/>
            </w:pPr>
            <w:r>
              <w:t>6 September 2024</w:t>
            </w:r>
          </w:p>
        </w:tc>
        <w:tc>
          <w:tcPr>
            <w:tcW w:w="3405" w:type="dxa"/>
            <w:tcBorders>
              <w:top w:val="single" w:sz="4" w:space="0" w:color="142147" w:themeColor="accent1"/>
              <w:bottom w:val="single" w:sz="4" w:space="0" w:color="142147" w:themeColor="accent1"/>
            </w:tcBorders>
            <w:vAlign w:val="center"/>
          </w:tcPr>
          <w:p w14:paraId="2C63BAA3" w14:textId="4F8F20DC"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pPr>
            <w:r>
              <w:t>Host venue: Board meeting</w:t>
            </w:r>
            <w:r>
              <w:br/>
              <w:t>6 September 2025</w:t>
            </w:r>
            <w:r>
              <w:br/>
              <w:t xml:space="preserve">Chartered Accountant Australia and </w:t>
            </w:r>
            <w:r>
              <w:br/>
              <w:t>New Zealand (CA ANZ)</w:t>
            </w:r>
            <w:r>
              <w:br/>
              <w:t>Mill Street, Perth, WA</w:t>
            </w:r>
          </w:p>
        </w:tc>
        <w:tc>
          <w:tcPr>
            <w:tcW w:w="2126" w:type="dxa"/>
            <w:tcBorders>
              <w:top w:val="single" w:sz="4" w:space="0" w:color="142147" w:themeColor="accent1"/>
              <w:bottom w:val="single" w:sz="4" w:space="0" w:color="142147" w:themeColor="accent1"/>
            </w:tcBorders>
          </w:tcPr>
          <w:p w14:paraId="591828BA" w14:textId="39141E29" w:rsidR="000F3036" w:rsidRDefault="00F8021D"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2126" w:type="dxa"/>
            <w:tcBorders>
              <w:top w:val="single" w:sz="4" w:space="0" w:color="142147" w:themeColor="accent1"/>
              <w:bottom w:val="single" w:sz="4" w:space="0" w:color="142147" w:themeColor="accent1"/>
            </w:tcBorders>
          </w:tcPr>
          <w:p w14:paraId="08FBC979" w14:textId="1EE883E2"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rPr>
                <w:lang w:val="en-US"/>
              </w:rPr>
              <w:t>Oil &amp; Gas Industry</w:t>
            </w:r>
          </w:p>
        </w:tc>
      </w:tr>
      <w:tr w:rsidR="001756BD" w14:paraId="77224852" w14:textId="0CE1DDB8" w:rsidTr="00175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shd w:val="clear" w:color="auto" w:fill="F6F2ED" w:themeFill="accent3" w:themeFillTint="33"/>
            <w:vAlign w:val="center"/>
          </w:tcPr>
          <w:p w14:paraId="66B9E8A1" w14:textId="57111A28" w:rsidR="000F3036" w:rsidRDefault="000F3036" w:rsidP="008F1B97">
            <w:pPr>
              <w:pStyle w:val="TableBodyCellLeft"/>
            </w:pPr>
            <w:r>
              <w:t>25 October 2024</w:t>
            </w:r>
          </w:p>
        </w:tc>
        <w:tc>
          <w:tcPr>
            <w:tcW w:w="3405" w:type="dxa"/>
            <w:vAlign w:val="center"/>
          </w:tcPr>
          <w:p w14:paraId="051E5151" w14:textId="24C39A3C"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pPr>
            <w:r>
              <w:t>ATO</w:t>
            </w:r>
            <w:r>
              <w:br/>
              <w:t>Elizabeth Street, Brisbane QLD</w:t>
            </w:r>
          </w:p>
        </w:tc>
        <w:tc>
          <w:tcPr>
            <w:tcW w:w="2126" w:type="dxa"/>
          </w:tcPr>
          <w:p w14:paraId="5F22AA43" w14:textId="705573B0" w:rsidR="000F3036" w:rsidRDefault="00F8021D" w:rsidP="008F1B97">
            <w:pPr>
              <w:pStyle w:val="TableBodyCellLeft"/>
              <w:cnfStyle w:val="000000100000" w:firstRow="0" w:lastRow="0" w:firstColumn="0" w:lastColumn="0" w:oddVBand="0" w:evenVBand="0" w:oddHBand="1" w:evenHBand="0" w:firstRowFirstColumn="0" w:firstRowLastColumn="0" w:lastRowFirstColumn="0" w:lastRowLastColumn="0"/>
            </w:pPr>
            <w:r>
              <w:t>Yes</w:t>
            </w:r>
          </w:p>
        </w:tc>
        <w:tc>
          <w:tcPr>
            <w:tcW w:w="2126" w:type="dxa"/>
          </w:tcPr>
          <w:p w14:paraId="50039889" w14:textId="5BEE46E5"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t>Digital Service Providers</w:t>
            </w:r>
          </w:p>
        </w:tc>
      </w:tr>
      <w:tr w:rsidR="001756BD" w14:paraId="7CE36304" w14:textId="34FF9E8E" w:rsidTr="001756BD">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142147" w:themeColor="accent1"/>
              <w:bottom w:val="single" w:sz="4" w:space="0" w:color="142147" w:themeColor="accent1"/>
            </w:tcBorders>
            <w:shd w:val="clear" w:color="auto" w:fill="F6F2ED" w:themeFill="accent3" w:themeFillTint="33"/>
            <w:vAlign w:val="center"/>
          </w:tcPr>
          <w:p w14:paraId="793D5EF5" w14:textId="7BEC35F7" w:rsidR="000F3036" w:rsidRDefault="000F3036" w:rsidP="008F1B97">
            <w:pPr>
              <w:pStyle w:val="TableBodyCellLeft"/>
            </w:pPr>
            <w:r>
              <w:t>6 December 2024</w:t>
            </w:r>
          </w:p>
        </w:tc>
        <w:tc>
          <w:tcPr>
            <w:tcW w:w="3405" w:type="dxa"/>
            <w:tcBorders>
              <w:top w:val="single" w:sz="4" w:space="0" w:color="142147" w:themeColor="accent1"/>
              <w:bottom w:val="single" w:sz="4" w:space="0" w:color="142147" w:themeColor="accent1"/>
            </w:tcBorders>
            <w:vAlign w:val="center"/>
          </w:tcPr>
          <w:p w14:paraId="4270CFDF" w14:textId="04C75807"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pPr>
            <w:r>
              <w:rPr>
                <w:lang w:val="en-US"/>
              </w:rPr>
              <w:t xml:space="preserve">Treasury </w:t>
            </w:r>
            <w:r>
              <w:rPr>
                <w:lang w:val="en-US"/>
              </w:rPr>
              <w:br/>
              <w:t>Collins Street, Melbourne, VIC</w:t>
            </w:r>
          </w:p>
        </w:tc>
        <w:tc>
          <w:tcPr>
            <w:tcW w:w="2126" w:type="dxa"/>
            <w:tcBorders>
              <w:top w:val="single" w:sz="4" w:space="0" w:color="142147" w:themeColor="accent1"/>
              <w:bottom w:val="single" w:sz="4" w:space="0" w:color="142147" w:themeColor="accent1"/>
            </w:tcBorders>
          </w:tcPr>
          <w:p w14:paraId="10A6F540" w14:textId="1DF0B90D" w:rsidR="000F3036" w:rsidRDefault="00F8021D"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2126" w:type="dxa"/>
            <w:tcBorders>
              <w:top w:val="single" w:sz="4" w:space="0" w:color="142147" w:themeColor="accent1"/>
              <w:bottom w:val="single" w:sz="4" w:space="0" w:color="142147" w:themeColor="accent1"/>
            </w:tcBorders>
          </w:tcPr>
          <w:p w14:paraId="4D727ECF" w14:textId="31908765"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rPr>
                <w:lang w:val="en-US"/>
              </w:rPr>
              <w:t>No stakeholder event held</w:t>
            </w:r>
          </w:p>
        </w:tc>
      </w:tr>
      <w:tr w:rsidR="001756BD" w14:paraId="680FCA7D" w14:textId="3C77A124" w:rsidTr="00175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shd w:val="clear" w:color="auto" w:fill="F6F2ED" w:themeFill="accent3" w:themeFillTint="33"/>
            <w:vAlign w:val="center"/>
          </w:tcPr>
          <w:p w14:paraId="3A5A9BD2" w14:textId="4961E5E8" w:rsidR="000F3036" w:rsidRDefault="000F3036" w:rsidP="008F1B97">
            <w:pPr>
              <w:pStyle w:val="TableBodyCellLeft"/>
            </w:pPr>
            <w:r>
              <w:t>7 February 2025</w:t>
            </w:r>
          </w:p>
        </w:tc>
        <w:tc>
          <w:tcPr>
            <w:tcW w:w="3405" w:type="dxa"/>
            <w:vAlign w:val="center"/>
          </w:tcPr>
          <w:p w14:paraId="41189B6F" w14:textId="6E2CD73C"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pPr>
            <w:r>
              <w:t>Treasury</w:t>
            </w:r>
            <w:r>
              <w:br/>
              <w:t>Collins Street, Melbourne, VIC</w:t>
            </w:r>
            <w:r>
              <w:rPr>
                <w:lang w:val="en-US"/>
              </w:rPr>
              <w:t xml:space="preserve"> </w:t>
            </w:r>
          </w:p>
        </w:tc>
        <w:tc>
          <w:tcPr>
            <w:tcW w:w="2126" w:type="dxa"/>
          </w:tcPr>
          <w:p w14:paraId="106EC691" w14:textId="0BCF80EC" w:rsidR="000F3036" w:rsidRDefault="00F8021D" w:rsidP="008F1B97">
            <w:pPr>
              <w:pStyle w:val="TableBodyCellLeft"/>
              <w:cnfStyle w:val="000000100000" w:firstRow="0" w:lastRow="0" w:firstColumn="0" w:lastColumn="0" w:oddVBand="0" w:evenVBand="0" w:oddHBand="1" w:evenHBand="0" w:firstRowFirstColumn="0" w:firstRowLastColumn="0" w:lastRowFirstColumn="0" w:lastRowLastColumn="0"/>
            </w:pPr>
            <w:r>
              <w:t>Yes</w:t>
            </w:r>
          </w:p>
        </w:tc>
        <w:tc>
          <w:tcPr>
            <w:tcW w:w="2126" w:type="dxa"/>
          </w:tcPr>
          <w:p w14:paraId="546DC907" w14:textId="17AE2FDC"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t>Professional Associations</w:t>
            </w:r>
          </w:p>
        </w:tc>
      </w:tr>
      <w:tr w:rsidR="001756BD" w14:paraId="03243199" w14:textId="12C6016A" w:rsidTr="001756BD">
        <w:tc>
          <w:tcPr>
            <w:cnfStyle w:val="001000000000" w:firstRow="0" w:lastRow="0" w:firstColumn="1" w:lastColumn="0" w:oddVBand="0" w:evenVBand="0" w:oddHBand="0" w:evenHBand="0" w:firstRowFirstColumn="0" w:firstRowLastColumn="0" w:lastRowFirstColumn="0" w:lastRowLastColumn="0"/>
            <w:tcW w:w="2124" w:type="dxa"/>
            <w:tcBorders>
              <w:top w:val="single" w:sz="4" w:space="0" w:color="142147" w:themeColor="accent1"/>
              <w:bottom w:val="single" w:sz="4" w:space="0" w:color="142147" w:themeColor="accent1"/>
            </w:tcBorders>
            <w:shd w:val="clear" w:color="auto" w:fill="F6F2ED" w:themeFill="accent3" w:themeFillTint="33"/>
            <w:vAlign w:val="center"/>
          </w:tcPr>
          <w:p w14:paraId="40D7FD18" w14:textId="6E457CCE" w:rsidR="000F3036" w:rsidRDefault="000F3036" w:rsidP="008F1B97">
            <w:pPr>
              <w:pStyle w:val="TableBodyCellLeft"/>
            </w:pPr>
            <w:r>
              <w:t>1</w:t>
            </w:r>
            <w:r w:rsidR="00FC1B00">
              <w:noBreakHyphen/>
            </w:r>
            <w:r>
              <w:t>2 May 2025</w:t>
            </w:r>
          </w:p>
        </w:tc>
        <w:tc>
          <w:tcPr>
            <w:tcW w:w="3405" w:type="dxa"/>
            <w:tcBorders>
              <w:top w:val="single" w:sz="4" w:space="0" w:color="142147" w:themeColor="accent1"/>
              <w:bottom w:val="single" w:sz="4" w:space="0" w:color="142147" w:themeColor="accent1"/>
            </w:tcBorders>
            <w:vAlign w:val="center"/>
          </w:tcPr>
          <w:p w14:paraId="391559D6" w14:textId="6CF6FECD"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pPr>
            <w:r>
              <w:t xml:space="preserve">Treasury </w:t>
            </w:r>
            <w:r>
              <w:br/>
              <w:t>Langton Crescent, Parkes, ACT</w:t>
            </w:r>
          </w:p>
        </w:tc>
        <w:tc>
          <w:tcPr>
            <w:tcW w:w="2126" w:type="dxa"/>
            <w:tcBorders>
              <w:top w:val="single" w:sz="4" w:space="0" w:color="142147" w:themeColor="accent1"/>
              <w:bottom w:val="single" w:sz="4" w:space="0" w:color="142147" w:themeColor="accent1"/>
            </w:tcBorders>
          </w:tcPr>
          <w:p w14:paraId="7B947D43" w14:textId="31EFBE6A" w:rsidR="000F3036" w:rsidRDefault="00F8021D" w:rsidP="008F1B97">
            <w:pPr>
              <w:pStyle w:val="TableBodyCellLeft"/>
              <w:cnfStyle w:val="000000000000" w:firstRow="0" w:lastRow="0" w:firstColumn="0" w:lastColumn="0" w:oddVBand="0" w:evenVBand="0" w:oddHBand="0" w:evenHBand="0" w:firstRowFirstColumn="0" w:firstRowLastColumn="0" w:lastRowFirstColumn="0" w:lastRowLastColumn="0"/>
            </w:pPr>
            <w:r>
              <w:t>Yes</w:t>
            </w:r>
          </w:p>
        </w:tc>
        <w:tc>
          <w:tcPr>
            <w:tcW w:w="2126" w:type="dxa"/>
            <w:tcBorders>
              <w:top w:val="single" w:sz="4" w:space="0" w:color="142147" w:themeColor="accent1"/>
              <w:bottom w:val="single" w:sz="4" w:space="0" w:color="142147" w:themeColor="accent1"/>
            </w:tcBorders>
          </w:tcPr>
          <w:p w14:paraId="5130FA40" w14:textId="4AA6C9B2" w:rsidR="000F3036" w:rsidRDefault="000F3036" w:rsidP="008F1B97">
            <w:pPr>
              <w:pStyle w:val="TableBodyCellLeft"/>
              <w:cnfStyle w:val="000000000000" w:firstRow="0" w:lastRow="0" w:firstColumn="0" w:lastColumn="0" w:oddVBand="0" w:evenVBand="0" w:oddHBand="0" w:evenHBand="0" w:firstRowFirstColumn="0" w:firstRowLastColumn="0" w:lastRowFirstColumn="0" w:lastRowLastColumn="0"/>
              <w:rPr>
                <w:lang w:val="en-US"/>
              </w:rPr>
            </w:pPr>
            <w:r>
              <w:t>No stakeholder event held</w:t>
            </w:r>
          </w:p>
        </w:tc>
      </w:tr>
      <w:tr w:rsidR="001756BD" w14:paraId="5B8754F5" w14:textId="5EFD52AC" w:rsidTr="00175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shd w:val="clear" w:color="auto" w:fill="F6F2ED" w:themeFill="accent3" w:themeFillTint="33"/>
            <w:vAlign w:val="center"/>
          </w:tcPr>
          <w:p w14:paraId="1E8F7FAB" w14:textId="3DE7864F" w:rsidR="000F3036" w:rsidRDefault="000F3036" w:rsidP="008F1B97">
            <w:pPr>
              <w:pStyle w:val="TableBodyCellLeft"/>
            </w:pPr>
            <w:r>
              <w:t>13 June 2025</w:t>
            </w:r>
          </w:p>
        </w:tc>
        <w:tc>
          <w:tcPr>
            <w:tcW w:w="3405" w:type="dxa"/>
            <w:vAlign w:val="center"/>
          </w:tcPr>
          <w:p w14:paraId="022188BC" w14:textId="0C9BD231"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pPr>
            <w:r>
              <w:t>Treasury</w:t>
            </w:r>
            <w:r>
              <w:br/>
              <w:t>Collins Street, Melbourne, VIC</w:t>
            </w:r>
          </w:p>
        </w:tc>
        <w:tc>
          <w:tcPr>
            <w:tcW w:w="2126" w:type="dxa"/>
          </w:tcPr>
          <w:p w14:paraId="25FB41E8" w14:textId="1621BEFF" w:rsidR="000F3036" w:rsidRDefault="00F8021D"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rPr>
                <w:lang w:val="en-US"/>
              </w:rPr>
              <w:t>Yes</w:t>
            </w:r>
          </w:p>
        </w:tc>
        <w:tc>
          <w:tcPr>
            <w:tcW w:w="2126" w:type="dxa"/>
          </w:tcPr>
          <w:p w14:paraId="37598021" w14:textId="61C03698" w:rsidR="000F3036" w:rsidRDefault="000F3036" w:rsidP="008F1B97">
            <w:pPr>
              <w:pStyle w:val="TableBodyCellLeft"/>
              <w:cnfStyle w:val="000000100000" w:firstRow="0" w:lastRow="0" w:firstColumn="0" w:lastColumn="0" w:oddVBand="0" w:evenVBand="0" w:oddHBand="1" w:evenHBand="0" w:firstRowFirstColumn="0" w:firstRowLastColumn="0" w:lastRowFirstColumn="0" w:lastRowLastColumn="0"/>
              <w:rPr>
                <w:lang w:val="en-US"/>
              </w:rPr>
            </w:pPr>
            <w:r>
              <w:rPr>
                <w:lang w:val="en-US"/>
              </w:rPr>
              <w:t>Superannuation Funds</w:t>
            </w:r>
          </w:p>
        </w:tc>
      </w:tr>
    </w:tbl>
    <w:p w14:paraId="2B36647C" w14:textId="77777777" w:rsidR="00C4491D" w:rsidRPr="002F4A51" w:rsidRDefault="00C4491D" w:rsidP="002F4A51">
      <w:r>
        <w:br w:type="page"/>
      </w:r>
    </w:p>
    <w:p w14:paraId="7126FAD5" w14:textId="1AC959B2" w:rsidR="00036758" w:rsidRDefault="00036758" w:rsidP="00036758">
      <w:pPr>
        <w:pStyle w:val="Heading1"/>
      </w:pPr>
      <w:bookmarkStart w:id="74" w:name="_Toc149905544"/>
      <w:bookmarkStart w:id="75" w:name="_Toc209006417"/>
      <w:bookmarkStart w:id="76" w:name="_Toc212631283"/>
      <w:bookmarkEnd w:id="73"/>
      <w:r>
        <w:lastRenderedPageBreak/>
        <w:t xml:space="preserve">Appendix </w:t>
      </w:r>
      <w:r w:rsidR="00C14A0A">
        <w:t>E</w:t>
      </w:r>
      <w:r>
        <w:t>: Financial Statements</w:t>
      </w:r>
      <w:bookmarkEnd w:id="74"/>
      <w:bookmarkEnd w:id="75"/>
      <w:bookmarkEnd w:id="76"/>
    </w:p>
    <w:p w14:paraId="4DAE578D" w14:textId="43EDA4C0" w:rsidR="00527FF7" w:rsidRPr="004E0A23" w:rsidRDefault="00036758" w:rsidP="000F784E">
      <w:pPr>
        <w:pStyle w:val="TableHeading1"/>
      </w:pPr>
      <w:r>
        <w:t xml:space="preserve">Table </w:t>
      </w:r>
      <w:r w:rsidR="00926315">
        <w:t>4</w:t>
      </w:r>
      <w:r>
        <w:t xml:space="preserve">: </w:t>
      </w:r>
      <w:r w:rsidRPr="000F784E">
        <w:t>Revenue</w:t>
      </w:r>
      <w:r>
        <w:t xml:space="preserve">, </w:t>
      </w:r>
      <w:r w:rsidR="00344AE7">
        <w:t>expenses,</w:t>
      </w:r>
      <w:r>
        <w:t xml:space="preserve"> and operating result</w:t>
      </w:r>
    </w:p>
    <w:tbl>
      <w:tblPr>
        <w:tblW w:w="5000" w:type="pct"/>
        <w:tblCellMar>
          <w:left w:w="113" w:type="dxa"/>
          <w:right w:w="113" w:type="dxa"/>
        </w:tblCellMar>
        <w:tblLook w:val="0020" w:firstRow="1" w:lastRow="0" w:firstColumn="0" w:lastColumn="0" w:noHBand="0" w:noVBand="0"/>
      </w:tblPr>
      <w:tblGrid>
        <w:gridCol w:w="6163"/>
        <w:gridCol w:w="1739"/>
        <w:gridCol w:w="1739"/>
      </w:tblGrid>
      <w:tr w:rsidR="005A44A2" w:rsidRPr="00DB185C" w14:paraId="33570C80" w14:textId="77777777" w:rsidTr="005A44A2">
        <w:trPr>
          <w:trHeight w:val="99"/>
        </w:trPr>
        <w:tc>
          <w:tcPr>
            <w:tcW w:w="3196" w:type="pct"/>
            <w:tcBorders>
              <w:top w:val="single" w:sz="4" w:space="0" w:color="000080"/>
            </w:tcBorders>
            <w:shd w:val="clear" w:color="auto" w:fill="701F4D" w:themeFill="accent2"/>
            <w:tcMar>
              <w:left w:w="108" w:type="dxa"/>
              <w:right w:w="108" w:type="dxa"/>
            </w:tcMar>
            <w:vAlign w:val="center"/>
          </w:tcPr>
          <w:p w14:paraId="39B9C0BD" w14:textId="16B283BC" w:rsidR="005A44A2" w:rsidRPr="00DB185C" w:rsidRDefault="005A44A2" w:rsidP="000F784E">
            <w:pPr>
              <w:pStyle w:val="TableHeaderCellLeft"/>
              <w:jc w:val="right"/>
              <w:rPr>
                <w:bCs/>
                <w:color w:val="FFFFFF" w:themeColor="background1"/>
              </w:rPr>
            </w:pPr>
          </w:p>
        </w:tc>
        <w:tc>
          <w:tcPr>
            <w:tcW w:w="902" w:type="pct"/>
            <w:tcBorders>
              <w:top w:val="single" w:sz="4" w:space="0" w:color="000080"/>
            </w:tcBorders>
            <w:shd w:val="clear" w:color="auto" w:fill="701F4D" w:themeFill="accent2"/>
          </w:tcPr>
          <w:p w14:paraId="2623ED1A" w14:textId="5EF942A0" w:rsidR="005A44A2" w:rsidRPr="000F784E" w:rsidRDefault="005A44A2" w:rsidP="005A44A2">
            <w:pPr>
              <w:pStyle w:val="TableHeaderCellRight"/>
              <w:rPr>
                <w:color w:val="FFFFFF" w:themeColor="background1"/>
              </w:rPr>
            </w:pPr>
            <w:r w:rsidRPr="000F784E">
              <w:rPr>
                <w:color w:val="FFFFFF" w:themeColor="background1"/>
              </w:rPr>
              <w:t>2023</w:t>
            </w:r>
            <w:r>
              <w:rPr>
                <w:color w:val="FFFFFF" w:themeColor="background1"/>
              </w:rPr>
              <w:t>–</w:t>
            </w:r>
            <w:r w:rsidRPr="000F784E">
              <w:rPr>
                <w:color w:val="FFFFFF" w:themeColor="background1"/>
              </w:rPr>
              <w:t>24</w:t>
            </w:r>
            <w:r>
              <w:rPr>
                <w:color w:val="FFFFFF" w:themeColor="background1"/>
              </w:rPr>
              <w:br/>
            </w:r>
            <w:r w:rsidRPr="000F784E">
              <w:rPr>
                <w:color w:val="FFFFFF" w:themeColor="background1"/>
              </w:rPr>
              <w:t>$</w:t>
            </w:r>
          </w:p>
        </w:tc>
        <w:tc>
          <w:tcPr>
            <w:tcW w:w="902" w:type="pct"/>
            <w:tcBorders>
              <w:top w:val="single" w:sz="4" w:space="0" w:color="000080"/>
            </w:tcBorders>
            <w:shd w:val="clear" w:color="auto" w:fill="701F4D" w:themeFill="accent2"/>
          </w:tcPr>
          <w:p w14:paraId="4B4BBB23" w14:textId="1FC2FC17" w:rsidR="005A44A2" w:rsidRPr="000F784E" w:rsidRDefault="005A44A2" w:rsidP="005A44A2">
            <w:pPr>
              <w:pStyle w:val="TableHeaderCellRight"/>
              <w:rPr>
                <w:color w:val="FFFFFF" w:themeColor="background1"/>
              </w:rPr>
            </w:pPr>
            <w:r w:rsidRPr="000F784E">
              <w:rPr>
                <w:color w:val="FFFFFF" w:themeColor="background1"/>
              </w:rPr>
              <w:t>2024</w:t>
            </w:r>
            <w:r>
              <w:rPr>
                <w:color w:val="FFFFFF" w:themeColor="background1"/>
              </w:rPr>
              <w:t>–</w:t>
            </w:r>
            <w:r w:rsidRPr="000F784E">
              <w:rPr>
                <w:color w:val="FFFFFF" w:themeColor="background1"/>
              </w:rPr>
              <w:t>25</w:t>
            </w:r>
            <w:r>
              <w:rPr>
                <w:color w:val="FFFFFF" w:themeColor="background1"/>
              </w:rPr>
              <w:br/>
            </w:r>
            <w:r w:rsidRPr="000F784E">
              <w:rPr>
                <w:color w:val="FFFFFF" w:themeColor="background1"/>
              </w:rPr>
              <w:t>$</w:t>
            </w:r>
          </w:p>
        </w:tc>
      </w:tr>
      <w:tr w:rsidR="00625A6A" w:rsidRPr="004E0A23" w14:paraId="40779363" w14:textId="77777777" w:rsidTr="005A44A2">
        <w:trPr>
          <w:trHeight w:val="340"/>
        </w:trPr>
        <w:tc>
          <w:tcPr>
            <w:tcW w:w="3196" w:type="pct"/>
            <w:tcBorders>
              <w:bottom w:val="single" w:sz="4" w:space="0" w:color="701F4D" w:themeColor="accent2"/>
            </w:tcBorders>
            <w:tcMar>
              <w:left w:w="108" w:type="dxa"/>
              <w:right w:w="108" w:type="dxa"/>
            </w:tcMar>
            <w:vAlign w:val="center"/>
          </w:tcPr>
          <w:p w14:paraId="295B7B4B" w14:textId="77777777" w:rsidR="00625A6A" w:rsidRPr="004E0A23" w:rsidRDefault="00625A6A" w:rsidP="00964A52">
            <w:pPr>
              <w:pStyle w:val="TableTextLeft"/>
              <w:rPr>
                <w:rStyle w:val="Bold"/>
              </w:rPr>
            </w:pPr>
            <w:r>
              <w:rPr>
                <w:rFonts w:cs="Arial"/>
                <w:b/>
                <w:bCs/>
              </w:rPr>
              <w:t>Revenue</w:t>
            </w:r>
          </w:p>
        </w:tc>
        <w:tc>
          <w:tcPr>
            <w:tcW w:w="902" w:type="pct"/>
            <w:tcBorders>
              <w:bottom w:val="single" w:sz="4" w:space="0" w:color="701F4D" w:themeColor="accent2"/>
            </w:tcBorders>
            <w:vAlign w:val="center"/>
          </w:tcPr>
          <w:p w14:paraId="3595AF4F" w14:textId="77777777" w:rsidR="00625A6A" w:rsidRPr="004E0A23" w:rsidRDefault="00625A6A" w:rsidP="000F784E">
            <w:pPr>
              <w:pStyle w:val="TableTextRight"/>
              <w:rPr>
                <w:rFonts w:ascii="Helvetica" w:hAnsi="Helvetica" w:cs="Arial"/>
                <w:snapToGrid w:val="0"/>
                <w:lang w:eastAsia="en-US"/>
              </w:rPr>
            </w:pPr>
          </w:p>
        </w:tc>
        <w:tc>
          <w:tcPr>
            <w:tcW w:w="902" w:type="pct"/>
            <w:tcBorders>
              <w:bottom w:val="single" w:sz="4" w:space="0" w:color="701F4D" w:themeColor="accent2"/>
            </w:tcBorders>
            <w:shd w:val="clear" w:color="auto" w:fill="F6F2ED" w:themeFill="accent3" w:themeFillTint="33"/>
            <w:vAlign w:val="center"/>
          </w:tcPr>
          <w:p w14:paraId="4A7332FB" w14:textId="77777777" w:rsidR="00625A6A" w:rsidRPr="004E0A23" w:rsidRDefault="00625A6A" w:rsidP="000F784E">
            <w:pPr>
              <w:pStyle w:val="TableTextRight"/>
              <w:rPr>
                <w:rFonts w:ascii="Helvetica" w:hAnsi="Helvetica" w:cs="Arial"/>
                <w:snapToGrid w:val="0"/>
                <w:lang w:eastAsia="en-US"/>
              </w:rPr>
            </w:pPr>
          </w:p>
        </w:tc>
      </w:tr>
      <w:tr w:rsidR="00625A6A" w:rsidRPr="004E0A23" w14:paraId="612F1170"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465E0C64" w14:textId="3DF18231" w:rsidR="00625A6A" w:rsidRPr="004E0A23" w:rsidRDefault="00625A6A" w:rsidP="000F784E">
            <w:pPr>
              <w:pStyle w:val="TableBodyCellLeftIndented"/>
            </w:pPr>
            <w:r>
              <w:t>Revenue – Department of the Treasury budget allocation</w:t>
            </w:r>
          </w:p>
        </w:tc>
        <w:tc>
          <w:tcPr>
            <w:tcW w:w="902" w:type="pct"/>
            <w:tcBorders>
              <w:top w:val="single" w:sz="4" w:space="0" w:color="701F4D" w:themeColor="accent2"/>
              <w:bottom w:val="single" w:sz="4" w:space="0" w:color="701F4D" w:themeColor="accent2"/>
            </w:tcBorders>
            <w:vAlign w:val="center"/>
          </w:tcPr>
          <w:p w14:paraId="210E207C" w14:textId="77777777" w:rsidR="00625A6A" w:rsidRPr="001121C6" w:rsidRDefault="00625A6A" w:rsidP="001121C6">
            <w:pPr>
              <w:pStyle w:val="TableTextRight"/>
            </w:pPr>
            <w:r w:rsidRPr="001121C6">
              <w:t>1,270,678</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36010BD1" w14:textId="77777777" w:rsidR="00625A6A" w:rsidRPr="001121C6" w:rsidRDefault="00625A6A" w:rsidP="001121C6">
            <w:pPr>
              <w:pStyle w:val="TableTextRight"/>
            </w:pPr>
            <w:r w:rsidRPr="001121C6">
              <w:t>1,530,864</w:t>
            </w:r>
          </w:p>
        </w:tc>
      </w:tr>
      <w:tr w:rsidR="00625A6A" w:rsidRPr="000961FC" w14:paraId="4C2EB9FE"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65BCDE96" w14:textId="1D5D8A1A" w:rsidR="00625A6A" w:rsidRPr="004E0A23" w:rsidRDefault="00625A6A" w:rsidP="000F784E">
            <w:pPr>
              <w:pStyle w:val="TableBodyCellLeftIndented"/>
            </w:pPr>
            <w:r>
              <w:t>Revenue</w:t>
            </w:r>
            <w:r w:rsidR="00FC1B00">
              <w:t xml:space="preserve"> – </w:t>
            </w:r>
            <w:r>
              <w:t>Other</w:t>
            </w:r>
          </w:p>
        </w:tc>
        <w:tc>
          <w:tcPr>
            <w:tcW w:w="902" w:type="pct"/>
            <w:tcBorders>
              <w:top w:val="single" w:sz="4" w:space="0" w:color="701F4D" w:themeColor="accent2"/>
              <w:bottom w:val="single" w:sz="4" w:space="0" w:color="701F4D" w:themeColor="accent2"/>
            </w:tcBorders>
            <w:vAlign w:val="center"/>
          </w:tcPr>
          <w:p w14:paraId="19B405B9" w14:textId="77777777" w:rsidR="00625A6A" w:rsidRPr="001121C6" w:rsidRDefault="00625A6A" w:rsidP="001121C6">
            <w:pPr>
              <w:pStyle w:val="TableTextRight"/>
            </w:pPr>
            <w:r w:rsidRPr="001121C6">
              <w:t>192,525</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2A4C4CE5" w14:textId="77777777" w:rsidR="00625A6A" w:rsidRPr="001121C6" w:rsidRDefault="00625A6A" w:rsidP="001121C6">
            <w:pPr>
              <w:pStyle w:val="TableTextRight"/>
            </w:pPr>
            <w:r w:rsidRPr="001121C6">
              <w:t>148,370</w:t>
            </w:r>
          </w:p>
        </w:tc>
      </w:tr>
      <w:tr w:rsidR="00625A6A" w:rsidRPr="000961FC" w14:paraId="4846A206" w14:textId="77777777" w:rsidTr="001121C6">
        <w:trPr>
          <w:trHeight w:val="6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37A22615" w14:textId="77777777" w:rsidR="00625A6A" w:rsidRPr="004E0A23" w:rsidRDefault="00625A6A" w:rsidP="00964A52">
            <w:pPr>
              <w:pStyle w:val="TableTextLeft"/>
              <w:rPr>
                <w:rStyle w:val="Bold"/>
              </w:rPr>
            </w:pPr>
            <w:r>
              <w:rPr>
                <w:rFonts w:cs="Arial"/>
                <w:b/>
                <w:bCs/>
              </w:rPr>
              <w:t>Total revenue</w:t>
            </w:r>
          </w:p>
        </w:tc>
        <w:tc>
          <w:tcPr>
            <w:tcW w:w="902" w:type="pct"/>
            <w:tcBorders>
              <w:top w:val="single" w:sz="4" w:space="0" w:color="701F4D" w:themeColor="accent2"/>
              <w:bottom w:val="single" w:sz="4" w:space="0" w:color="701F4D" w:themeColor="accent2"/>
            </w:tcBorders>
            <w:vAlign w:val="center"/>
          </w:tcPr>
          <w:p w14:paraId="629BC12E" w14:textId="77777777" w:rsidR="00625A6A" w:rsidRPr="001121C6" w:rsidRDefault="00625A6A" w:rsidP="001121C6">
            <w:pPr>
              <w:pStyle w:val="TableTextRight"/>
              <w:rPr>
                <w:b/>
                <w:bCs/>
              </w:rPr>
            </w:pPr>
            <w:r w:rsidRPr="001121C6">
              <w:rPr>
                <w:b/>
                <w:bCs/>
              </w:rPr>
              <w:t>1,463,203</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0C4EDB7A" w14:textId="77777777" w:rsidR="00625A6A" w:rsidRPr="001121C6" w:rsidRDefault="00625A6A" w:rsidP="001121C6">
            <w:pPr>
              <w:pStyle w:val="TableTextRight"/>
              <w:rPr>
                <w:rFonts w:cs="Arial"/>
                <w:b/>
                <w:bCs/>
                <w:snapToGrid w:val="0"/>
                <w:lang w:eastAsia="en-US"/>
              </w:rPr>
            </w:pPr>
            <w:r w:rsidRPr="001121C6">
              <w:rPr>
                <w:b/>
                <w:bCs/>
              </w:rPr>
              <w:t>1,679,233</w:t>
            </w:r>
          </w:p>
        </w:tc>
      </w:tr>
      <w:tr w:rsidR="00625A6A" w:rsidRPr="004E0A23" w14:paraId="6A087FA2" w14:textId="77777777" w:rsidTr="001121C6">
        <w:trPr>
          <w:trHeight w:val="6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58C29DB0" w14:textId="77777777" w:rsidR="00625A6A" w:rsidRPr="004E0A23" w:rsidRDefault="00625A6A" w:rsidP="00964A52">
            <w:pPr>
              <w:pStyle w:val="TableTextLeft"/>
              <w:rPr>
                <w:rStyle w:val="Bold"/>
              </w:rPr>
            </w:pPr>
            <w:r>
              <w:rPr>
                <w:rFonts w:cs="Arial"/>
                <w:b/>
                <w:bCs/>
              </w:rPr>
              <w:t>Expenses</w:t>
            </w:r>
          </w:p>
        </w:tc>
        <w:tc>
          <w:tcPr>
            <w:tcW w:w="902" w:type="pct"/>
            <w:tcBorders>
              <w:top w:val="single" w:sz="4" w:space="0" w:color="701F4D" w:themeColor="accent2"/>
              <w:bottom w:val="single" w:sz="4" w:space="0" w:color="701F4D" w:themeColor="accent2"/>
            </w:tcBorders>
            <w:vAlign w:val="center"/>
          </w:tcPr>
          <w:p w14:paraId="3D285D27" w14:textId="77777777" w:rsidR="00625A6A" w:rsidRPr="004E0A23" w:rsidRDefault="00625A6A" w:rsidP="000F784E">
            <w:pPr>
              <w:pStyle w:val="FootnoteText"/>
              <w:jc w:val="right"/>
              <w:rPr>
                <w:rFonts w:ascii="Helvetica" w:hAnsi="Helvetica" w:cs="Arial"/>
                <w:snapToGrid w:val="0"/>
                <w:lang w:eastAsia="en-US"/>
              </w:rPr>
            </w:pP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508A7071" w14:textId="77777777" w:rsidR="00625A6A" w:rsidRPr="004E0A23" w:rsidRDefault="00625A6A" w:rsidP="000F784E">
            <w:pPr>
              <w:pStyle w:val="FootnoteText"/>
              <w:jc w:val="right"/>
              <w:rPr>
                <w:rFonts w:ascii="Helvetica" w:hAnsi="Helvetica" w:cs="Arial"/>
                <w:snapToGrid w:val="0"/>
                <w:lang w:eastAsia="en-US"/>
              </w:rPr>
            </w:pPr>
          </w:p>
        </w:tc>
      </w:tr>
      <w:tr w:rsidR="00625A6A" w:rsidRPr="004E0A23" w14:paraId="5CEE740C"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631548DC" w14:textId="77777777" w:rsidR="00625A6A" w:rsidRPr="000F784E" w:rsidRDefault="00625A6A" w:rsidP="000F784E">
            <w:pPr>
              <w:pStyle w:val="TableTextLeft"/>
              <w:rPr>
                <w:b/>
                <w:bCs/>
                <w:i/>
                <w:iCs/>
              </w:rPr>
            </w:pPr>
            <w:r w:rsidRPr="000F784E">
              <w:rPr>
                <w:b/>
                <w:bCs/>
                <w:i/>
                <w:iCs/>
              </w:rPr>
              <w:t>Employee expenses</w:t>
            </w:r>
          </w:p>
        </w:tc>
        <w:tc>
          <w:tcPr>
            <w:tcW w:w="902" w:type="pct"/>
            <w:tcBorders>
              <w:top w:val="single" w:sz="4" w:space="0" w:color="701F4D" w:themeColor="accent2"/>
              <w:bottom w:val="single" w:sz="4" w:space="0" w:color="701F4D" w:themeColor="accent2"/>
            </w:tcBorders>
            <w:vAlign w:val="center"/>
          </w:tcPr>
          <w:p w14:paraId="4299060D" w14:textId="77777777" w:rsidR="00625A6A" w:rsidRPr="004E0A23" w:rsidRDefault="00625A6A" w:rsidP="000F784E">
            <w:pPr>
              <w:pStyle w:val="FootnoteText"/>
              <w:jc w:val="right"/>
              <w:rPr>
                <w:rFonts w:ascii="Helvetica" w:hAnsi="Helvetica" w:cs="Arial"/>
                <w:snapToGrid w:val="0"/>
                <w:lang w:eastAsia="en-US"/>
              </w:rPr>
            </w:pP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0389EA4E" w14:textId="77777777" w:rsidR="00625A6A" w:rsidRPr="004E0A23" w:rsidRDefault="00625A6A" w:rsidP="000F784E">
            <w:pPr>
              <w:pStyle w:val="FootnoteText"/>
              <w:jc w:val="right"/>
              <w:rPr>
                <w:rFonts w:ascii="Helvetica" w:hAnsi="Helvetica" w:cs="Arial"/>
                <w:snapToGrid w:val="0"/>
                <w:lang w:eastAsia="en-US"/>
              </w:rPr>
            </w:pPr>
          </w:p>
        </w:tc>
      </w:tr>
      <w:tr w:rsidR="00625A6A" w:rsidRPr="004E0A23" w14:paraId="774BF59E"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42E6D5AA" w14:textId="77777777" w:rsidR="00625A6A" w:rsidRPr="004E0A23" w:rsidRDefault="00625A6A" w:rsidP="000F784E">
            <w:pPr>
              <w:pStyle w:val="TableBodyCellLeftIndented"/>
            </w:pPr>
            <w:r>
              <w:t>Wages</w:t>
            </w:r>
          </w:p>
        </w:tc>
        <w:tc>
          <w:tcPr>
            <w:tcW w:w="902" w:type="pct"/>
            <w:tcBorders>
              <w:top w:val="single" w:sz="4" w:space="0" w:color="701F4D" w:themeColor="accent2"/>
              <w:bottom w:val="single" w:sz="4" w:space="0" w:color="701F4D" w:themeColor="accent2"/>
            </w:tcBorders>
            <w:vAlign w:val="center"/>
          </w:tcPr>
          <w:p w14:paraId="2C9FA46A" w14:textId="77777777" w:rsidR="00625A6A" w:rsidRDefault="00625A6A" w:rsidP="001121C6">
            <w:pPr>
              <w:pStyle w:val="TableTextRight"/>
            </w:pPr>
            <w:r>
              <w:t>504,166</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03733F31" w14:textId="77777777" w:rsidR="00625A6A" w:rsidRDefault="00625A6A" w:rsidP="001121C6">
            <w:pPr>
              <w:pStyle w:val="TableTextRight"/>
              <w:rPr>
                <w:rFonts w:cs="Arial"/>
                <w:snapToGrid w:val="0"/>
                <w:lang w:eastAsia="en-US"/>
              </w:rPr>
            </w:pPr>
            <w:r>
              <w:t>575,332</w:t>
            </w:r>
          </w:p>
        </w:tc>
      </w:tr>
      <w:tr w:rsidR="00625A6A" w:rsidRPr="004E0A23" w14:paraId="3022D9FA"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381A9ECB" w14:textId="77777777" w:rsidR="00625A6A" w:rsidRPr="004E0A23" w:rsidRDefault="00625A6A" w:rsidP="000F784E">
            <w:pPr>
              <w:pStyle w:val="TableBodyCellLeftIndented"/>
            </w:pPr>
            <w:r>
              <w:t>Superannuation</w:t>
            </w:r>
          </w:p>
        </w:tc>
        <w:tc>
          <w:tcPr>
            <w:tcW w:w="902" w:type="pct"/>
            <w:tcBorders>
              <w:top w:val="single" w:sz="4" w:space="0" w:color="701F4D" w:themeColor="accent2"/>
              <w:bottom w:val="single" w:sz="4" w:space="0" w:color="701F4D" w:themeColor="accent2"/>
            </w:tcBorders>
            <w:vAlign w:val="center"/>
          </w:tcPr>
          <w:p w14:paraId="704A96E7" w14:textId="77777777" w:rsidR="00625A6A" w:rsidRDefault="00625A6A" w:rsidP="001121C6">
            <w:pPr>
              <w:pStyle w:val="TableTextRight"/>
            </w:pPr>
            <w:r>
              <w:t>144,074</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788C0EDB" w14:textId="77777777" w:rsidR="00625A6A" w:rsidRDefault="00625A6A" w:rsidP="001121C6">
            <w:pPr>
              <w:pStyle w:val="TableTextRight"/>
              <w:rPr>
                <w:rFonts w:cs="Arial"/>
                <w:snapToGrid w:val="0"/>
                <w:lang w:eastAsia="en-US"/>
              </w:rPr>
            </w:pPr>
            <w:r>
              <w:t>153,161</w:t>
            </w:r>
          </w:p>
        </w:tc>
      </w:tr>
      <w:tr w:rsidR="00625A6A" w:rsidRPr="004E0A23" w14:paraId="59A47E34"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44110D62" w14:textId="77777777" w:rsidR="00625A6A" w:rsidRPr="004E0A23" w:rsidRDefault="00625A6A" w:rsidP="000F784E">
            <w:pPr>
              <w:pStyle w:val="TableBodyCellLeftIndented"/>
            </w:pPr>
            <w:r>
              <w:t>Other employee expenses</w:t>
            </w:r>
          </w:p>
        </w:tc>
        <w:tc>
          <w:tcPr>
            <w:tcW w:w="902" w:type="pct"/>
            <w:tcBorders>
              <w:top w:val="single" w:sz="4" w:space="0" w:color="701F4D" w:themeColor="accent2"/>
              <w:bottom w:val="single" w:sz="4" w:space="0" w:color="701F4D" w:themeColor="accent2"/>
            </w:tcBorders>
            <w:vAlign w:val="center"/>
          </w:tcPr>
          <w:p w14:paraId="5D3B3FF7" w14:textId="77777777" w:rsidR="00625A6A" w:rsidRDefault="00625A6A" w:rsidP="001121C6">
            <w:pPr>
              <w:pStyle w:val="TableTextRight"/>
            </w:pPr>
            <w:r>
              <w:t>507,667</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4511DEFE" w14:textId="77777777" w:rsidR="00625A6A" w:rsidRDefault="00625A6A" w:rsidP="001121C6">
            <w:pPr>
              <w:pStyle w:val="TableTextRight"/>
              <w:rPr>
                <w:rFonts w:cs="Arial"/>
                <w:snapToGrid w:val="0"/>
                <w:lang w:eastAsia="en-US"/>
              </w:rPr>
            </w:pPr>
            <w:r>
              <w:t>493,067</w:t>
            </w:r>
          </w:p>
        </w:tc>
      </w:tr>
      <w:tr w:rsidR="00625A6A" w:rsidRPr="00EF3EEF" w14:paraId="1FA09030"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168A791E" w14:textId="77777777" w:rsidR="00625A6A" w:rsidRPr="00EF3EEF" w:rsidRDefault="00625A6A" w:rsidP="00964A52">
            <w:pPr>
              <w:pStyle w:val="TableTextLeft"/>
              <w:rPr>
                <w:b/>
                <w:i/>
              </w:rPr>
            </w:pPr>
            <w:r>
              <w:rPr>
                <w:rFonts w:cs="Arial"/>
                <w:b/>
                <w:bCs/>
                <w:i/>
                <w:iCs/>
              </w:rPr>
              <w:t>Total employee expenses</w:t>
            </w:r>
          </w:p>
        </w:tc>
        <w:tc>
          <w:tcPr>
            <w:tcW w:w="902" w:type="pct"/>
            <w:tcBorders>
              <w:top w:val="single" w:sz="4" w:space="0" w:color="701F4D" w:themeColor="accent2"/>
              <w:bottom w:val="single" w:sz="4" w:space="0" w:color="701F4D" w:themeColor="accent2"/>
            </w:tcBorders>
            <w:vAlign w:val="center"/>
          </w:tcPr>
          <w:p w14:paraId="595540C6" w14:textId="77777777" w:rsidR="00625A6A" w:rsidRPr="001121C6" w:rsidRDefault="00625A6A" w:rsidP="001121C6">
            <w:pPr>
              <w:pStyle w:val="TableTextRight"/>
              <w:rPr>
                <w:b/>
                <w:bCs/>
                <w:i/>
                <w:iCs/>
              </w:rPr>
            </w:pPr>
            <w:r w:rsidRPr="001121C6">
              <w:rPr>
                <w:b/>
                <w:bCs/>
                <w:i/>
                <w:iCs/>
              </w:rPr>
              <w:t>1,155,907</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36A2D3B5" w14:textId="77777777" w:rsidR="00625A6A" w:rsidRPr="001121C6" w:rsidRDefault="00625A6A" w:rsidP="001121C6">
            <w:pPr>
              <w:pStyle w:val="TableTextRight"/>
              <w:rPr>
                <w:rFonts w:cs="Arial"/>
                <w:b/>
                <w:bCs/>
                <w:i/>
                <w:iCs/>
                <w:snapToGrid w:val="0"/>
                <w:lang w:eastAsia="en-US"/>
              </w:rPr>
            </w:pPr>
            <w:r w:rsidRPr="001121C6">
              <w:rPr>
                <w:b/>
                <w:bCs/>
                <w:i/>
                <w:iCs/>
              </w:rPr>
              <w:t>1,221,559</w:t>
            </w:r>
          </w:p>
        </w:tc>
      </w:tr>
      <w:tr w:rsidR="00625A6A" w:rsidRPr="004E0A23" w14:paraId="068214BA"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6DC83536" w14:textId="77777777" w:rsidR="00625A6A" w:rsidRPr="000F784E" w:rsidRDefault="00625A6A" w:rsidP="000F784E">
            <w:pPr>
              <w:pStyle w:val="TableTextLeft"/>
              <w:rPr>
                <w:b/>
                <w:bCs/>
                <w:i/>
                <w:iCs/>
              </w:rPr>
            </w:pPr>
            <w:r w:rsidRPr="000F784E">
              <w:rPr>
                <w:b/>
                <w:bCs/>
                <w:i/>
                <w:iCs/>
              </w:rPr>
              <w:t>Other expenses</w:t>
            </w:r>
          </w:p>
        </w:tc>
        <w:tc>
          <w:tcPr>
            <w:tcW w:w="902" w:type="pct"/>
            <w:tcBorders>
              <w:top w:val="single" w:sz="4" w:space="0" w:color="701F4D" w:themeColor="accent2"/>
              <w:bottom w:val="single" w:sz="4" w:space="0" w:color="701F4D" w:themeColor="accent2"/>
            </w:tcBorders>
            <w:vAlign w:val="center"/>
          </w:tcPr>
          <w:p w14:paraId="34AE462A" w14:textId="77777777" w:rsidR="00625A6A" w:rsidRPr="004E0A23" w:rsidRDefault="00625A6A" w:rsidP="000F784E">
            <w:pPr>
              <w:pStyle w:val="FootnoteText"/>
              <w:jc w:val="right"/>
              <w:rPr>
                <w:rFonts w:ascii="Arial" w:hAnsi="Arial" w:cs="Arial"/>
                <w:snapToGrid w:val="0"/>
                <w:lang w:eastAsia="en-US"/>
              </w:rPr>
            </w:pP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1CC68251" w14:textId="77777777" w:rsidR="00625A6A" w:rsidRPr="004E0A23" w:rsidRDefault="00625A6A" w:rsidP="000F784E">
            <w:pPr>
              <w:pStyle w:val="FootnoteText"/>
              <w:jc w:val="right"/>
              <w:rPr>
                <w:rFonts w:ascii="Arial" w:hAnsi="Arial" w:cs="Arial"/>
                <w:snapToGrid w:val="0"/>
                <w:lang w:eastAsia="en-US"/>
              </w:rPr>
            </w:pPr>
          </w:p>
        </w:tc>
      </w:tr>
      <w:tr w:rsidR="00625A6A" w:rsidRPr="004E0A23" w14:paraId="4FBBF41B"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4761D8FE" w14:textId="5E64DBFD" w:rsidR="00625A6A" w:rsidRPr="004E0A23" w:rsidRDefault="00625A6A" w:rsidP="000F784E">
            <w:pPr>
              <w:pStyle w:val="TableBodyCellLeftIndented"/>
            </w:pPr>
            <w:r>
              <w:t>Travel</w:t>
            </w:r>
            <w:r w:rsidR="00C70D73" w:rsidRPr="00ED24C0">
              <w:rPr>
                <w:vertAlign w:val="superscript"/>
              </w:rPr>
              <w:t>(</w:t>
            </w:r>
            <w:r w:rsidR="00C70D73">
              <w:rPr>
                <w:vertAlign w:val="superscript"/>
              </w:rPr>
              <w:t>a</w:t>
            </w:r>
            <w:r w:rsidR="00C70D73" w:rsidRPr="00ED24C0">
              <w:rPr>
                <w:vertAlign w:val="superscript"/>
              </w:rPr>
              <w:t>)</w:t>
            </w:r>
          </w:p>
        </w:tc>
        <w:tc>
          <w:tcPr>
            <w:tcW w:w="902" w:type="pct"/>
            <w:tcBorders>
              <w:top w:val="single" w:sz="4" w:space="0" w:color="701F4D" w:themeColor="accent2"/>
              <w:bottom w:val="single" w:sz="4" w:space="0" w:color="701F4D" w:themeColor="accent2"/>
            </w:tcBorders>
            <w:vAlign w:val="center"/>
          </w:tcPr>
          <w:p w14:paraId="0FCE75AC" w14:textId="77777777" w:rsidR="00625A6A" w:rsidRDefault="00625A6A" w:rsidP="001121C6">
            <w:pPr>
              <w:pStyle w:val="TableTextRight"/>
            </w:pPr>
            <w:r>
              <w:t>60,962</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7E850273" w14:textId="77777777" w:rsidR="00625A6A" w:rsidRDefault="00625A6A" w:rsidP="001121C6">
            <w:pPr>
              <w:pStyle w:val="TableTextRight"/>
            </w:pPr>
            <w:r>
              <w:t>112,811</w:t>
            </w:r>
          </w:p>
        </w:tc>
      </w:tr>
      <w:tr w:rsidR="00625A6A" w:rsidRPr="004E0A23" w14:paraId="7E897589"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7890933C" w14:textId="77777777" w:rsidR="00625A6A" w:rsidRPr="004E0A23" w:rsidRDefault="00625A6A" w:rsidP="000F784E">
            <w:pPr>
              <w:pStyle w:val="TableBodyCellLeftIndented"/>
            </w:pPr>
            <w:r>
              <w:t>Conferences and training</w:t>
            </w:r>
          </w:p>
        </w:tc>
        <w:tc>
          <w:tcPr>
            <w:tcW w:w="902" w:type="pct"/>
            <w:tcBorders>
              <w:top w:val="single" w:sz="4" w:space="0" w:color="701F4D" w:themeColor="accent2"/>
              <w:bottom w:val="single" w:sz="4" w:space="0" w:color="701F4D" w:themeColor="accent2"/>
            </w:tcBorders>
            <w:vAlign w:val="center"/>
          </w:tcPr>
          <w:p w14:paraId="5D6D666C" w14:textId="77777777" w:rsidR="00625A6A" w:rsidRDefault="00625A6A" w:rsidP="001121C6">
            <w:pPr>
              <w:pStyle w:val="TableTextRight"/>
            </w:pPr>
            <w:r>
              <w:t>3,550</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48FF205D" w14:textId="77777777" w:rsidR="00625A6A" w:rsidRDefault="00625A6A" w:rsidP="001121C6">
            <w:pPr>
              <w:pStyle w:val="TableTextRight"/>
            </w:pPr>
            <w:r>
              <w:t>3,942</w:t>
            </w:r>
          </w:p>
        </w:tc>
      </w:tr>
      <w:tr w:rsidR="00625A6A" w:rsidRPr="00467060" w14:paraId="4831F7C1"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7A6EFC3B" w14:textId="6BD1D379" w:rsidR="00625A6A" w:rsidRPr="004E0A23" w:rsidRDefault="00625A6A" w:rsidP="000F784E">
            <w:pPr>
              <w:pStyle w:val="TableBodyCellLeftIndented"/>
            </w:pPr>
            <w:r>
              <w:t>Seconded Employees</w:t>
            </w:r>
            <w:r w:rsidR="00DC1943" w:rsidRPr="00ED24C0">
              <w:rPr>
                <w:vertAlign w:val="superscript"/>
              </w:rPr>
              <w:t>(</w:t>
            </w:r>
            <w:r w:rsidR="00DC1943">
              <w:rPr>
                <w:vertAlign w:val="superscript"/>
              </w:rPr>
              <w:t>b</w:t>
            </w:r>
            <w:r w:rsidR="00DC1943" w:rsidRPr="00ED24C0">
              <w:rPr>
                <w:vertAlign w:val="superscript"/>
              </w:rPr>
              <w:t>)</w:t>
            </w:r>
          </w:p>
        </w:tc>
        <w:tc>
          <w:tcPr>
            <w:tcW w:w="902" w:type="pct"/>
            <w:tcBorders>
              <w:top w:val="single" w:sz="4" w:space="0" w:color="701F4D" w:themeColor="accent2"/>
              <w:bottom w:val="single" w:sz="4" w:space="0" w:color="701F4D" w:themeColor="accent2"/>
            </w:tcBorders>
            <w:vAlign w:val="center"/>
          </w:tcPr>
          <w:p w14:paraId="0ECF6031" w14:textId="77777777" w:rsidR="00625A6A" w:rsidRPr="009544E7" w:rsidRDefault="00625A6A" w:rsidP="001121C6">
            <w:pPr>
              <w:pStyle w:val="TableTextRight"/>
            </w:pPr>
            <w:r w:rsidRPr="000961FC">
              <w:t>228,470</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44A9FBE9" w14:textId="77777777" w:rsidR="00625A6A" w:rsidRDefault="00625A6A" w:rsidP="001121C6">
            <w:pPr>
              <w:pStyle w:val="TableTextRight"/>
            </w:pPr>
            <w:r>
              <w:t>340</w:t>
            </w:r>
            <w:r w:rsidRPr="009544E7">
              <w:t>,</w:t>
            </w:r>
            <w:r>
              <w:t>448</w:t>
            </w:r>
          </w:p>
        </w:tc>
      </w:tr>
      <w:tr w:rsidR="00625A6A" w:rsidRPr="004E0A23" w14:paraId="7162EEF6"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3FFA8659" w14:textId="77777777" w:rsidR="00625A6A" w:rsidRPr="004E0A23" w:rsidRDefault="00625A6A" w:rsidP="000F784E">
            <w:pPr>
              <w:pStyle w:val="TableBodyCellLeftIndented"/>
            </w:pPr>
            <w:r>
              <w:t>Office supplies</w:t>
            </w:r>
          </w:p>
        </w:tc>
        <w:tc>
          <w:tcPr>
            <w:tcW w:w="902" w:type="pct"/>
            <w:tcBorders>
              <w:top w:val="single" w:sz="4" w:space="0" w:color="701F4D" w:themeColor="accent2"/>
              <w:bottom w:val="single" w:sz="4" w:space="0" w:color="701F4D" w:themeColor="accent2"/>
            </w:tcBorders>
            <w:vAlign w:val="center"/>
          </w:tcPr>
          <w:p w14:paraId="0900D901" w14:textId="77777777" w:rsidR="00625A6A" w:rsidRDefault="00625A6A" w:rsidP="001121C6">
            <w:pPr>
              <w:pStyle w:val="TableTextRight"/>
            </w:pPr>
            <w:r w:rsidRPr="000961FC">
              <w:rPr>
                <w:rFonts w:cs="Arial"/>
                <w:snapToGrid w:val="0"/>
              </w:rPr>
              <w:t>432</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0091B895" w14:textId="3A002D91" w:rsidR="00625A6A" w:rsidRDefault="00FC1B00" w:rsidP="001121C6">
            <w:pPr>
              <w:pStyle w:val="TableTextRight"/>
              <w:rPr>
                <w:rFonts w:cs="Arial"/>
                <w:snapToGrid w:val="0"/>
                <w:lang w:eastAsia="en-US"/>
              </w:rPr>
            </w:pPr>
            <w:r>
              <w:noBreakHyphen/>
            </w:r>
          </w:p>
        </w:tc>
      </w:tr>
      <w:tr w:rsidR="00625A6A" w:rsidRPr="004E0A23" w14:paraId="5655ACCF"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7B765477" w14:textId="77777777" w:rsidR="00625A6A" w:rsidRPr="004E0A23" w:rsidRDefault="00625A6A" w:rsidP="000F784E">
            <w:pPr>
              <w:pStyle w:val="TableBodyCellLeftIndented"/>
            </w:pPr>
            <w:r>
              <w:t>Other supplier expenses</w:t>
            </w:r>
          </w:p>
        </w:tc>
        <w:tc>
          <w:tcPr>
            <w:tcW w:w="902" w:type="pct"/>
            <w:tcBorders>
              <w:top w:val="single" w:sz="4" w:space="0" w:color="701F4D" w:themeColor="accent2"/>
              <w:bottom w:val="single" w:sz="4" w:space="0" w:color="701F4D" w:themeColor="accent2"/>
            </w:tcBorders>
            <w:vAlign w:val="center"/>
          </w:tcPr>
          <w:p w14:paraId="059363C7" w14:textId="77777777" w:rsidR="00625A6A" w:rsidRDefault="00625A6A" w:rsidP="001121C6">
            <w:pPr>
              <w:pStyle w:val="TableTextRight"/>
            </w:pPr>
            <w:r w:rsidRPr="000961FC">
              <w:t>13,881</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0267773A" w14:textId="77777777" w:rsidR="00625A6A" w:rsidRDefault="00625A6A" w:rsidP="001121C6">
            <w:pPr>
              <w:pStyle w:val="TableTextRight"/>
              <w:rPr>
                <w:rFonts w:cs="Arial"/>
                <w:snapToGrid w:val="0"/>
                <w:lang w:eastAsia="en-US"/>
              </w:rPr>
            </w:pPr>
            <w:r>
              <w:t>473</w:t>
            </w:r>
          </w:p>
        </w:tc>
      </w:tr>
      <w:tr w:rsidR="00625A6A" w:rsidRPr="00EF3EEF" w14:paraId="3A92C8BE"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2FD358A5" w14:textId="77777777" w:rsidR="00625A6A" w:rsidRPr="00EF3EEF" w:rsidRDefault="00625A6A" w:rsidP="00964A52">
            <w:pPr>
              <w:pStyle w:val="TableTextLeft"/>
              <w:rPr>
                <w:b/>
                <w:i/>
              </w:rPr>
            </w:pPr>
            <w:r>
              <w:rPr>
                <w:rFonts w:cs="Arial"/>
                <w:b/>
                <w:bCs/>
                <w:i/>
                <w:iCs/>
              </w:rPr>
              <w:t>Total operating expenses</w:t>
            </w:r>
          </w:p>
        </w:tc>
        <w:tc>
          <w:tcPr>
            <w:tcW w:w="902" w:type="pct"/>
            <w:tcBorders>
              <w:top w:val="single" w:sz="4" w:space="0" w:color="701F4D" w:themeColor="accent2"/>
              <w:bottom w:val="single" w:sz="4" w:space="0" w:color="701F4D" w:themeColor="accent2"/>
            </w:tcBorders>
            <w:vAlign w:val="center"/>
          </w:tcPr>
          <w:p w14:paraId="59FC7B72" w14:textId="77777777" w:rsidR="00625A6A" w:rsidRPr="001121C6" w:rsidRDefault="00625A6A" w:rsidP="001121C6">
            <w:pPr>
              <w:pStyle w:val="TableTextRight"/>
              <w:rPr>
                <w:b/>
                <w:bCs/>
                <w:i/>
                <w:iCs/>
              </w:rPr>
            </w:pPr>
            <w:r w:rsidRPr="001121C6">
              <w:rPr>
                <w:b/>
                <w:bCs/>
                <w:i/>
                <w:iCs/>
              </w:rPr>
              <w:t>307,296</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4618A585" w14:textId="77777777" w:rsidR="00625A6A" w:rsidRPr="001121C6" w:rsidRDefault="00625A6A" w:rsidP="001121C6">
            <w:pPr>
              <w:pStyle w:val="TableTextRight"/>
              <w:rPr>
                <w:b/>
                <w:bCs/>
                <w:i/>
                <w:iCs/>
              </w:rPr>
            </w:pPr>
            <w:r w:rsidRPr="001121C6">
              <w:rPr>
                <w:b/>
                <w:bCs/>
                <w:i/>
                <w:iCs/>
              </w:rPr>
              <w:t>457,674</w:t>
            </w:r>
          </w:p>
        </w:tc>
      </w:tr>
      <w:tr w:rsidR="00625A6A" w:rsidRPr="004E0A23" w14:paraId="564B8D1B"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2C2BEA4E" w14:textId="77777777" w:rsidR="00625A6A" w:rsidRPr="004E0A23" w:rsidRDefault="00625A6A" w:rsidP="00964A52">
            <w:pPr>
              <w:pStyle w:val="TableTextLeft"/>
              <w:rPr>
                <w:rStyle w:val="Bold"/>
              </w:rPr>
            </w:pPr>
            <w:r>
              <w:rPr>
                <w:rFonts w:cs="Arial"/>
                <w:b/>
                <w:bCs/>
              </w:rPr>
              <w:t>Total expenses</w:t>
            </w:r>
          </w:p>
        </w:tc>
        <w:tc>
          <w:tcPr>
            <w:tcW w:w="902" w:type="pct"/>
            <w:tcBorders>
              <w:top w:val="single" w:sz="4" w:space="0" w:color="701F4D" w:themeColor="accent2"/>
              <w:bottom w:val="single" w:sz="4" w:space="0" w:color="701F4D" w:themeColor="accent2"/>
            </w:tcBorders>
            <w:vAlign w:val="center"/>
          </w:tcPr>
          <w:p w14:paraId="2BC87E8A" w14:textId="77777777" w:rsidR="00625A6A" w:rsidRPr="001121C6" w:rsidRDefault="00625A6A" w:rsidP="001121C6">
            <w:pPr>
              <w:pStyle w:val="TableTextRight"/>
              <w:rPr>
                <w:b/>
                <w:bCs/>
              </w:rPr>
            </w:pPr>
            <w:r w:rsidRPr="001121C6">
              <w:rPr>
                <w:b/>
                <w:bCs/>
              </w:rPr>
              <w:t>1,463,203</w:t>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45AB438F" w14:textId="77777777" w:rsidR="00625A6A" w:rsidRPr="001121C6" w:rsidRDefault="00625A6A" w:rsidP="001121C6">
            <w:pPr>
              <w:pStyle w:val="TableTextRight"/>
              <w:rPr>
                <w:b/>
                <w:bCs/>
              </w:rPr>
            </w:pPr>
            <w:r w:rsidRPr="001121C6">
              <w:rPr>
                <w:b/>
                <w:bCs/>
              </w:rPr>
              <w:t>1,679,233</w:t>
            </w:r>
          </w:p>
        </w:tc>
      </w:tr>
      <w:tr w:rsidR="00625A6A" w:rsidRPr="00EE3B04" w14:paraId="12EDAC88" w14:textId="77777777" w:rsidTr="005A44A2">
        <w:trPr>
          <w:trHeight w:val="340"/>
        </w:trPr>
        <w:tc>
          <w:tcPr>
            <w:tcW w:w="3196" w:type="pct"/>
            <w:tcBorders>
              <w:top w:val="single" w:sz="4" w:space="0" w:color="701F4D" w:themeColor="accent2"/>
              <w:bottom w:val="single" w:sz="4" w:space="0" w:color="701F4D" w:themeColor="accent2"/>
            </w:tcBorders>
            <w:tcMar>
              <w:left w:w="108" w:type="dxa"/>
              <w:right w:w="108" w:type="dxa"/>
            </w:tcMar>
            <w:vAlign w:val="center"/>
          </w:tcPr>
          <w:p w14:paraId="2B711B94" w14:textId="77777777" w:rsidR="00625A6A" w:rsidRPr="004E0A23" w:rsidRDefault="00625A6A" w:rsidP="00964A52">
            <w:pPr>
              <w:pStyle w:val="TableTextLeft"/>
              <w:rPr>
                <w:rStyle w:val="Bold"/>
              </w:rPr>
            </w:pPr>
            <w:r>
              <w:rPr>
                <w:rFonts w:cs="Arial"/>
                <w:b/>
                <w:bCs/>
              </w:rPr>
              <w:t>Operating surplus</w:t>
            </w:r>
          </w:p>
        </w:tc>
        <w:tc>
          <w:tcPr>
            <w:tcW w:w="902" w:type="pct"/>
            <w:tcBorders>
              <w:top w:val="single" w:sz="4" w:space="0" w:color="701F4D" w:themeColor="accent2"/>
              <w:bottom w:val="single" w:sz="4" w:space="0" w:color="701F4D" w:themeColor="accent2"/>
            </w:tcBorders>
            <w:vAlign w:val="center"/>
          </w:tcPr>
          <w:p w14:paraId="2D3BBD48" w14:textId="57C549F6" w:rsidR="00625A6A" w:rsidRDefault="00FC1B00" w:rsidP="000F784E">
            <w:pPr>
              <w:pStyle w:val="TableTextRight"/>
              <w:rPr>
                <w:rFonts w:ascii="Helvetica" w:hAnsi="Helvetica" w:cs="Helvetica"/>
                <w:b/>
                <w:bCs/>
              </w:rPr>
            </w:pPr>
            <w:r>
              <w:rPr>
                <w:rFonts w:ascii="Helvetica" w:hAnsi="Helvetica" w:cs="Helvetica"/>
                <w:b/>
                <w:bCs/>
              </w:rPr>
              <w:noBreakHyphen/>
            </w:r>
          </w:p>
        </w:tc>
        <w:tc>
          <w:tcPr>
            <w:tcW w:w="902" w:type="pct"/>
            <w:tcBorders>
              <w:top w:val="single" w:sz="4" w:space="0" w:color="701F4D" w:themeColor="accent2"/>
              <w:bottom w:val="single" w:sz="4" w:space="0" w:color="701F4D" w:themeColor="accent2"/>
            </w:tcBorders>
            <w:shd w:val="clear" w:color="auto" w:fill="F6F2ED" w:themeFill="accent3" w:themeFillTint="33"/>
            <w:vAlign w:val="center"/>
          </w:tcPr>
          <w:p w14:paraId="67D935B1" w14:textId="63E5FCC3" w:rsidR="00625A6A" w:rsidRDefault="00FC1B00" w:rsidP="000F784E">
            <w:pPr>
              <w:pStyle w:val="TableTextRight"/>
              <w:rPr>
                <w:rFonts w:ascii="Helvetica" w:hAnsi="Helvetica" w:cs="Helvetica"/>
                <w:b/>
                <w:bCs/>
              </w:rPr>
            </w:pPr>
            <w:r>
              <w:rPr>
                <w:rFonts w:ascii="Helvetica" w:hAnsi="Helvetica" w:cs="Helvetica"/>
                <w:b/>
                <w:bCs/>
              </w:rPr>
              <w:noBreakHyphen/>
            </w:r>
          </w:p>
        </w:tc>
      </w:tr>
    </w:tbl>
    <w:p w14:paraId="0AEC526C" w14:textId="50E47F00" w:rsidR="00FB3C10" w:rsidRPr="00971CEB" w:rsidRDefault="00FB3C10" w:rsidP="00971CEB">
      <w:pPr>
        <w:pStyle w:val="Note"/>
        <w:rPr>
          <w:b/>
          <w:bCs/>
        </w:rPr>
      </w:pPr>
      <w:r w:rsidRPr="00971CEB">
        <w:rPr>
          <w:b/>
          <w:bCs/>
        </w:rPr>
        <w:t>Notes the Financial Statements</w:t>
      </w:r>
    </w:p>
    <w:p w14:paraId="2722BF85" w14:textId="0FC9A716" w:rsidR="00FB3C10" w:rsidRDefault="00C70D73" w:rsidP="000F784E">
      <w:pPr>
        <w:pStyle w:val="Notealpha"/>
        <w:numPr>
          <w:ilvl w:val="0"/>
          <w:numId w:val="20"/>
        </w:numPr>
      </w:pPr>
      <w:r w:rsidRPr="00E77626">
        <w:t>During the 202</w:t>
      </w:r>
      <w:r>
        <w:t>4</w:t>
      </w:r>
      <w:r w:rsidRPr="00E77626">
        <w:t>–2</w:t>
      </w:r>
      <w:r>
        <w:t>5</w:t>
      </w:r>
      <w:r w:rsidRPr="00E77626">
        <w:t xml:space="preserve"> reporting year, the Board </w:t>
      </w:r>
      <w:r>
        <w:t>held seven Board meetings, all in</w:t>
      </w:r>
      <w:r w:rsidR="00FC1B00">
        <w:noBreakHyphen/>
      </w:r>
      <w:r>
        <w:t xml:space="preserve">person. These meetings were hosted in Adelaide, Perth, </w:t>
      </w:r>
      <w:r w:rsidRPr="000F784E">
        <w:t>Canberra</w:t>
      </w:r>
      <w:r>
        <w:t xml:space="preserve">, and Melbourne (Table 3 refers). </w:t>
      </w:r>
      <w:r w:rsidR="0042356D">
        <w:t>This</w:t>
      </w:r>
      <w:r w:rsidR="00690E02">
        <w:t xml:space="preserve"> resulted in a</w:t>
      </w:r>
      <w:r>
        <w:t>n increase</w:t>
      </w:r>
      <w:r w:rsidR="00690E02">
        <w:t xml:space="preserve"> of travel costs in comparison to the 202</w:t>
      </w:r>
      <w:r>
        <w:t>3</w:t>
      </w:r>
      <w:r w:rsidR="00416251">
        <w:t>–</w:t>
      </w:r>
      <w:r w:rsidR="00690E02">
        <w:t>2</w:t>
      </w:r>
      <w:r>
        <w:t>4</w:t>
      </w:r>
      <w:r w:rsidR="00690E02">
        <w:t xml:space="preserve"> reporting year where the Board held </w:t>
      </w:r>
      <w:r>
        <w:t>two virtual meetings and five in</w:t>
      </w:r>
      <w:r w:rsidR="00FC1B00">
        <w:noBreakHyphen/>
      </w:r>
      <w:r>
        <w:t>person meetings. These five meetings were hosted in Canberra, Sydney and Melbourne.</w:t>
      </w:r>
    </w:p>
    <w:p w14:paraId="4DE7E7AB" w14:textId="2FD8DFE2" w:rsidR="00F160AF" w:rsidRDefault="00DC1943" w:rsidP="000F784E">
      <w:pPr>
        <w:pStyle w:val="Notealpha"/>
        <w:numPr>
          <w:ilvl w:val="0"/>
          <w:numId w:val="20"/>
        </w:numPr>
      </w:pPr>
      <w:r>
        <w:t xml:space="preserve">The </w:t>
      </w:r>
      <w:r w:rsidRPr="000F784E">
        <w:t>increase</w:t>
      </w:r>
      <w:r>
        <w:t xml:space="preserve"> in seconded employees</w:t>
      </w:r>
      <w:r w:rsidR="00607093">
        <w:t xml:space="preserve"> expenses</w:t>
      </w:r>
      <w:r>
        <w:t xml:space="preserve"> in the 2024</w:t>
      </w:r>
      <w:r w:rsidR="00FC1B00">
        <w:noBreakHyphen/>
      </w:r>
      <w:r>
        <w:t xml:space="preserve">25 reporting year relates to </w:t>
      </w:r>
      <w:r w:rsidR="00C542FE">
        <w:t xml:space="preserve">an increase in secondee employees to </w:t>
      </w:r>
      <w:r>
        <w:t>the Secretariat</w:t>
      </w:r>
      <w:r w:rsidR="00C542FE">
        <w:t xml:space="preserve"> </w:t>
      </w:r>
      <w:r w:rsidR="00607093">
        <w:t xml:space="preserve">in comparison to the </w:t>
      </w:r>
      <w:r w:rsidR="00C542FE">
        <w:t>2023</w:t>
      </w:r>
      <w:r w:rsidR="00FC1B00">
        <w:noBreakHyphen/>
      </w:r>
      <w:r w:rsidR="00C542FE">
        <w:t xml:space="preserve">24 year where </w:t>
      </w:r>
      <w:r w:rsidR="00F160AF">
        <w:t>seconded employees</w:t>
      </w:r>
      <w:r w:rsidR="00FC1B00">
        <w:t>’</w:t>
      </w:r>
      <w:r w:rsidR="00F160AF">
        <w:t xml:space="preserve"> contracts ended during </w:t>
      </w:r>
      <w:r w:rsidR="00607093">
        <w:t>the prior period.</w:t>
      </w:r>
    </w:p>
    <w:p w14:paraId="4BA4F262" w14:textId="77777777" w:rsidR="00F160AF" w:rsidRDefault="00F160AF">
      <w:pPr>
        <w:rPr>
          <w:rFonts w:asciiTheme="majorHAnsi" w:hAnsiTheme="majorHAnsi" w:cs="Arial"/>
          <w:color w:val="142147"/>
          <w:kern w:val="32"/>
          <w:sz w:val="26"/>
          <w:szCs w:val="26"/>
          <w14:numForm w14:val="lining"/>
          <w14:numSpacing w14:val="proportional"/>
        </w:rPr>
      </w:pPr>
      <w:r>
        <w:br w:type="page"/>
      </w:r>
    </w:p>
    <w:p w14:paraId="57B82FDF" w14:textId="43BB54B5" w:rsidR="00036758" w:rsidRDefault="00036758" w:rsidP="00976452">
      <w:pPr>
        <w:pStyle w:val="TableHeading1"/>
      </w:pPr>
      <w:r w:rsidRPr="00527FF7">
        <w:lastRenderedPageBreak/>
        <w:t xml:space="preserve">Table </w:t>
      </w:r>
      <w:r w:rsidR="00926315">
        <w:t>5</w:t>
      </w:r>
      <w:r w:rsidRPr="00527FF7">
        <w:t>: Remuneration</w:t>
      </w:r>
      <w:r>
        <w:t xml:space="preserve"> paid to non</w:t>
      </w:r>
      <w:r w:rsidR="00FC1B00">
        <w:noBreakHyphen/>
      </w:r>
      <w:r>
        <w:t>government Board members</w:t>
      </w:r>
    </w:p>
    <w:tbl>
      <w:tblPr>
        <w:tblStyle w:val="ListTable3-Accent1"/>
        <w:tblW w:w="5000" w:type="pct"/>
        <w:tblBorders>
          <w:top w:val="single" w:sz="2" w:space="0" w:color="701F4D" w:themeColor="accent2"/>
          <w:left w:val="none" w:sz="0" w:space="0" w:color="auto"/>
          <w:bottom w:val="single" w:sz="2" w:space="0" w:color="701F4D" w:themeColor="accent2"/>
          <w:right w:val="none" w:sz="0" w:space="0" w:color="auto"/>
          <w:insideH w:val="single" w:sz="2" w:space="0" w:color="701F4D" w:themeColor="accent2"/>
        </w:tblBorders>
        <w:tblCellMar>
          <w:top w:w="57" w:type="dxa"/>
          <w:bottom w:w="57" w:type="dxa"/>
        </w:tblCellMar>
        <w:tblLook w:val="04A0" w:firstRow="1" w:lastRow="0" w:firstColumn="1" w:lastColumn="0" w:noHBand="0" w:noVBand="1"/>
      </w:tblPr>
      <w:tblGrid>
        <w:gridCol w:w="7238"/>
        <w:gridCol w:w="2403"/>
      </w:tblGrid>
      <w:tr w:rsidR="006A3162" w14:paraId="0C841248" w14:textId="77777777" w:rsidTr="000F78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0" w:type="dxa"/>
            <w:shd w:val="clear" w:color="auto" w:fill="701F4D" w:themeFill="accent2"/>
          </w:tcPr>
          <w:p w14:paraId="60F40A6D" w14:textId="4F5A8119" w:rsidR="006A3162" w:rsidRDefault="006A3162" w:rsidP="00FC612B">
            <w:pPr>
              <w:pStyle w:val="TableHeaderCellLeft"/>
            </w:pPr>
            <w:r>
              <w:t>Board members 202</w:t>
            </w:r>
            <w:r w:rsidR="00EA1058">
              <w:t>4</w:t>
            </w:r>
            <w:r>
              <w:t>–2</w:t>
            </w:r>
            <w:r w:rsidR="00EA1058">
              <w:t>5</w:t>
            </w:r>
          </w:p>
        </w:tc>
        <w:tc>
          <w:tcPr>
            <w:tcW w:w="2401" w:type="dxa"/>
            <w:tcBorders>
              <w:bottom w:val="nil"/>
            </w:tcBorders>
            <w:shd w:val="clear" w:color="auto" w:fill="701F4D" w:themeFill="accent2"/>
          </w:tcPr>
          <w:p w14:paraId="0D40DDA7" w14:textId="77777777" w:rsidR="006A3162" w:rsidRDefault="006A3162" w:rsidP="00FC612B">
            <w:pPr>
              <w:pStyle w:val="TableHeaderCellRight"/>
              <w:cnfStyle w:val="100000000000" w:firstRow="1" w:lastRow="0" w:firstColumn="0" w:lastColumn="0" w:oddVBand="0" w:evenVBand="0" w:oddHBand="0" w:evenHBand="0" w:firstRowFirstColumn="0" w:firstRowLastColumn="0" w:lastRowFirstColumn="0" w:lastRowLastColumn="0"/>
            </w:pPr>
            <w:r>
              <w:t>$</w:t>
            </w:r>
          </w:p>
        </w:tc>
      </w:tr>
      <w:tr w:rsidR="009C734A" w14:paraId="24EC7C49" w14:textId="77777777" w:rsidTr="000F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nil"/>
              <w:bottom w:val="single" w:sz="8" w:space="0" w:color="701F4D" w:themeColor="accent2"/>
            </w:tcBorders>
          </w:tcPr>
          <w:p w14:paraId="41BE19FD" w14:textId="77777777" w:rsidR="006A3162" w:rsidRDefault="006A3162" w:rsidP="00FC612B">
            <w:pPr>
              <w:pStyle w:val="TableBodyCellLeft"/>
            </w:pPr>
            <w:r>
              <w:t>Total*</w:t>
            </w:r>
          </w:p>
        </w:tc>
        <w:tc>
          <w:tcPr>
            <w:tcW w:w="2401" w:type="dxa"/>
            <w:tcBorders>
              <w:top w:val="nil"/>
              <w:bottom w:val="single" w:sz="8" w:space="0" w:color="701F4D" w:themeColor="accent2"/>
            </w:tcBorders>
            <w:shd w:val="clear" w:color="auto" w:fill="F6F2ED" w:themeFill="accent3" w:themeFillTint="33"/>
          </w:tcPr>
          <w:p w14:paraId="34F7E3D7" w14:textId="37B246ED" w:rsidR="006A3162" w:rsidRPr="001453D9" w:rsidRDefault="00DD151B" w:rsidP="00FC612B">
            <w:pPr>
              <w:pStyle w:val="TableBodyCellRight"/>
              <w:cnfStyle w:val="000000100000" w:firstRow="0" w:lastRow="0" w:firstColumn="0" w:lastColumn="0" w:oddVBand="0" w:evenVBand="0" w:oddHBand="1" w:evenHBand="0" w:firstRowFirstColumn="0" w:firstRowLastColumn="0" w:lastRowFirstColumn="0" w:lastRowLastColumn="0"/>
              <w:rPr>
                <w:b/>
                <w:bCs/>
              </w:rPr>
            </w:pPr>
            <w:r>
              <w:rPr>
                <w:b/>
                <w:bCs/>
              </w:rPr>
              <w:t>4</w:t>
            </w:r>
            <w:r w:rsidR="00DB185C">
              <w:rPr>
                <w:b/>
                <w:bCs/>
              </w:rPr>
              <w:t>67</w:t>
            </w:r>
            <w:r>
              <w:rPr>
                <w:b/>
                <w:bCs/>
              </w:rPr>
              <w:t>,</w:t>
            </w:r>
            <w:r w:rsidR="00DB185C">
              <w:rPr>
                <w:b/>
                <w:bCs/>
              </w:rPr>
              <w:t>781</w:t>
            </w:r>
          </w:p>
        </w:tc>
      </w:tr>
    </w:tbl>
    <w:p w14:paraId="1F68B372" w14:textId="6F8701DD" w:rsidR="006A3162" w:rsidRDefault="006A3162" w:rsidP="001C029F">
      <w:pPr>
        <w:pStyle w:val="Note"/>
      </w:pPr>
      <w:r w:rsidRPr="003A29AA">
        <w:t>*Total remuneration</w:t>
      </w:r>
      <w:r w:rsidRPr="000151F9">
        <w:t xml:space="preserve"> paid to non</w:t>
      </w:r>
      <w:r w:rsidR="00FC1B00">
        <w:noBreakHyphen/>
      </w:r>
      <w:r w:rsidRPr="000151F9">
        <w:t>government Board members, 202</w:t>
      </w:r>
      <w:r w:rsidR="00EA1058">
        <w:t>4</w:t>
      </w:r>
      <w:r>
        <w:t>–</w:t>
      </w:r>
      <w:r w:rsidRPr="000151F9">
        <w:t>2</w:t>
      </w:r>
      <w:r w:rsidR="00EA1058">
        <w:t>5</w:t>
      </w:r>
      <w:r>
        <w:t xml:space="preserve"> includes allowances and superannuation guarantee.</w:t>
      </w:r>
    </w:p>
    <w:p w14:paraId="4DB2F9D8" w14:textId="77777777" w:rsidR="00975AC3" w:rsidRPr="000A75E4" w:rsidRDefault="00975AC3" w:rsidP="000A75E4">
      <w:bookmarkStart w:id="77" w:name="_Toc149905545"/>
      <w:r>
        <w:br w:type="page"/>
      </w:r>
    </w:p>
    <w:p w14:paraId="530565CC" w14:textId="6A3350E3" w:rsidR="007F3561" w:rsidRDefault="007F3561" w:rsidP="007F3561">
      <w:pPr>
        <w:pStyle w:val="Heading1"/>
      </w:pPr>
      <w:bookmarkStart w:id="78" w:name="_Toc209006418"/>
      <w:bookmarkStart w:id="79" w:name="_Toc212631284"/>
      <w:r>
        <w:lastRenderedPageBreak/>
        <w:t xml:space="preserve">Contact </w:t>
      </w:r>
      <w:r w:rsidRPr="000D6A1F">
        <w:t>details</w:t>
      </w:r>
      <w:bookmarkEnd w:id="77"/>
      <w:bookmarkEnd w:id="78"/>
      <w:bookmarkEnd w:id="79"/>
    </w:p>
    <w:p w14:paraId="111F1263" w14:textId="77777777" w:rsidR="007F3561" w:rsidRPr="005F7575" w:rsidRDefault="007F3561" w:rsidP="00FC293F">
      <w:r w:rsidRPr="005F7575">
        <w:t>Inquiries regarding this report may be directed to:</w:t>
      </w:r>
    </w:p>
    <w:p w14:paraId="03337634" w14:textId="17322A68" w:rsidR="007F3561" w:rsidRDefault="007F3561" w:rsidP="000F784E">
      <w:pPr>
        <w:pStyle w:val="NormalIndent"/>
      </w:pPr>
      <w:r w:rsidRPr="000F784E">
        <w:rPr>
          <w:b/>
          <w:bCs/>
        </w:rPr>
        <w:t>Board Of Taxation Secretariat</w:t>
      </w:r>
      <w:r w:rsidR="000F784E">
        <w:br/>
      </w:r>
      <w:r w:rsidRPr="005F7575">
        <w:t xml:space="preserve">C/O </w:t>
      </w:r>
      <w:r>
        <w:t>–</w:t>
      </w:r>
      <w:r w:rsidRPr="005F7575">
        <w:t xml:space="preserve"> The Treasury</w:t>
      </w:r>
      <w:r w:rsidR="000F784E">
        <w:br/>
      </w:r>
      <w:r w:rsidRPr="005F7575">
        <w:t>Langton Crescent</w:t>
      </w:r>
      <w:r w:rsidR="000F784E">
        <w:br/>
      </w:r>
      <w:r w:rsidRPr="005F7575">
        <w:t>Parkes ACT 2600</w:t>
      </w:r>
      <w:r w:rsidR="000F784E">
        <w:br/>
      </w:r>
      <w:r w:rsidRPr="005F7575">
        <w:t>Email</w:t>
      </w:r>
      <w:r>
        <w:t xml:space="preserve">: </w:t>
      </w:r>
      <w:hyperlink r:id="rId48" w:history="1">
        <w:r w:rsidR="00161AC8" w:rsidRPr="008A0EC7">
          <w:rPr>
            <w:rStyle w:val="Hyperlink"/>
          </w:rPr>
          <w:t>taxboard@taxboard.gov.au</w:t>
        </w:r>
      </w:hyperlink>
    </w:p>
    <w:p w14:paraId="684A4C2E" w14:textId="77777777" w:rsidR="007F3561" w:rsidRDefault="007F3561" w:rsidP="00FC293F">
      <w:r>
        <w:br w:type="page"/>
      </w:r>
    </w:p>
    <w:p w14:paraId="05596FC3" w14:textId="77777777" w:rsidR="007F3561" w:rsidRPr="00174FA5" w:rsidRDefault="007F3561" w:rsidP="007F3561">
      <w:pPr>
        <w:pStyle w:val="Heading1"/>
      </w:pPr>
      <w:bookmarkStart w:id="80" w:name="_Toc149905546"/>
      <w:bookmarkStart w:id="81" w:name="_Toc209006419"/>
      <w:bookmarkStart w:id="82" w:name="_Toc212631285"/>
      <w:r w:rsidRPr="001D7081">
        <w:lastRenderedPageBreak/>
        <w:t>Glossary</w:t>
      </w:r>
      <w:r>
        <w:t xml:space="preserve"> of terms</w:t>
      </w:r>
      <w:bookmarkEnd w:id="80"/>
      <w:bookmarkEnd w:id="81"/>
      <w:bookmarkEnd w:id="82"/>
    </w:p>
    <w:p w14:paraId="5321374C" w14:textId="77777777" w:rsidR="007F3561" w:rsidRDefault="007F3561" w:rsidP="007F3561">
      <w:pPr>
        <w:spacing w:after="240"/>
      </w:pPr>
      <w:r>
        <w:t xml:space="preserve">The following abbreviations </w:t>
      </w:r>
      <w:r w:rsidRPr="00417C25">
        <w:t>and</w:t>
      </w:r>
      <w:r>
        <w:t xml:space="preserve"> acronyms are used throughout this report.</w:t>
      </w:r>
    </w:p>
    <w:tbl>
      <w:tblPr>
        <w:tblStyle w:val="ListTable3-Accent2"/>
        <w:tblW w:w="5000" w:type="pct"/>
        <w:tblBorders>
          <w:top w:val="single" w:sz="2" w:space="0" w:color="142147" w:themeColor="accent1"/>
          <w:left w:val="none" w:sz="0" w:space="0" w:color="auto"/>
          <w:bottom w:val="single" w:sz="2" w:space="0" w:color="142147" w:themeColor="accent1"/>
          <w:right w:val="none" w:sz="0" w:space="0" w:color="auto"/>
          <w:insideH w:val="single" w:sz="2" w:space="0" w:color="142147" w:themeColor="accent1"/>
        </w:tblBorders>
        <w:tblCellMar>
          <w:top w:w="57" w:type="dxa"/>
          <w:left w:w="142" w:type="dxa"/>
          <w:bottom w:w="57" w:type="dxa"/>
          <w:right w:w="142" w:type="dxa"/>
        </w:tblCellMar>
        <w:tblLook w:val="04A0" w:firstRow="1" w:lastRow="0" w:firstColumn="1" w:lastColumn="0" w:noHBand="0" w:noVBand="1"/>
      </w:tblPr>
      <w:tblGrid>
        <w:gridCol w:w="2410"/>
        <w:gridCol w:w="7231"/>
      </w:tblGrid>
      <w:tr w:rsidR="007A72F2" w:rsidRPr="00174FA5" w14:paraId="6211C93C" w14:textId="77777777" w:rsidTr="00FC612B">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250" w:type="pct"/>
            <w:shd w:val="clear" w:color="auto" w:fill="142147" w:themeFill="accent1"/>
            <w:vAlign w:val="center"/>
          </w:tcPr>
          <w:p w14:paraId="3B892F6D" w14:textId="77777777" w:rsidR="007A72F2" w:rsidRPr="00365D1B" w:rsidRDefault="007A72F2" w:rsidP="00FC612B">
            <w:pPr>
              <w:pStyle w:val="TableHeaderCellLeft"/>
              <w:spacing w:before="20" w:after="20"/>
            </w:pPr>
            <w:r w:rsidRPr="00365D1B">
              <w:t>Abbreviation</w:t>
            </w:r>
          </w:p>
        </w:tc>
        <w:tc>
          <w:tcPr>
            <w:tcW w:w="3750" w:type="pct"/>
            <w:tcBorders>
              <w:bottom w:val="nil"/>
            </w:tcBorders>
            <w:shd w:val="clear" w:color="auto" w:fill="142147" w:themeFill="accent1"/>
            <w:vAlign w:val="center"/>
          </w:tcPr>
          <w:p w14:paraId="18ED48E2" w14:textId="77777777" w:rsidR="007A72F2" w:rsidRPr="00174FA5" w:rsidRDefault="007A72F2" w:rsidP="00FC612B">
            <w:pPr>
              <w:pStyle w:val="TableHeaderCellLeft"/>
              <w:spacing w:before="20" w:after="20"/>
              <w:cnfStyle w:val="100000000000" w:firstRow="1" w:lastRow="0" w:firstColumn="0" w:lastColumn="0" w:oddVBand="0" w:evenVBand="0" w:oddHBand="0" w:evenHBand="0" w:firstRowFirstColumn="0" w:firstRowLastColumn="0" w:lastRowFirstColumn="0" w:lastRowLastColumn="0"/>
            </w:pPr>
            <w:r w:rsidRPr="00174FA5">
              <w:t>Definition</w:t>
            </w:r>
          </w:p>
        </w:tc>
      </w:tr>
      <w:tr w:rsidR="007A72F2" w:rsidRPr="00174FA5" w14:paraId="18074D98"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nil"/>
              <w:bottom w:val="single" w:sz="4" w:space="0" w:color="142147" w:themeColor="accent1"/>
            </w:tcBorders>
            <w:shd w:val="clear" w:color="auto" w:fill="F6F2ED" w:themeFill="accent3" w:themeFillTint="33"/>
            <w:vAlign w:val="center"/>
          </w:tcPr>
          <w:p w14:paraId="62D798CB" w14:textId="77777777" w:rsidR="007A72F2" w:rsidRPr="00935ED2" w:rsidRDefault="007A72F2" w:rsidP="00FC612B">
            <w:pPr>
              <w:pStyle w:val="TableBodyCellLeft"/>
            </w:pPr>
            <w:r>
              <w:t>Ashurst</w:t>
            </w:r>
          </w:p>
        </w:tc>
        <w:tc>
          <w:tcPr>
            <w:tcW w:w="3750" w:type="pct"/>
            <w:tcBorders>
              <w:top w:val="nil"/>
              <w:bottom w:val="single" w:sz="4" w:space="0" w:color="142147" w:themeColor="accent1"/>
            </w:tcBorders>
            <w:vAlign w:val="center"/>
          </w:tcPr>
          <w:p w14:paraId="040D9484"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t>Ashurst Australia</w:t>
            </w:r>
          </w:p>
        </w:tc>
      </w:tr>
      <w:tr w:rsidR="007A72F2" w:rsidRPr="00174FA5" w14:paraId="56E09F38"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6B387830" w14:textId="77777777" w:rsidR="007A72F2" w:rsidRPr="00935ED2" w:rsidRDefault="007A72F2" w:rsidP="00FC612B">
            <w:pPr>
              <w:pStyle w:val="TableBodyCellLeft"/>
            </w:pPr>
            <w:r w:rsidRPr="00F9643E">
              <w:t>ATO</w:t>
            </w:r>
          </w:p>
        </w:tc>
        <w:tc>
          <w:tcPr>
            <w:tcW w:w="3750" w:type="pct"/>
            <w:tcBorders>
              <w:top w:val="single" w:sz="4" w:space="0" w:color="142147" w:themeColor="accent1"/>
              <w:bottom w:val="single" w:sz="4" w:space="0" w:color="142147" w:themeColor="accent1"/>
            </w:tcBorders>
            <w:vAlign w:val="center"/>
          </w:tcPr>
          <w:p w14:paraId="7067BD93" w14:textId="77777777"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rsidRPr="00FA70F5">
              <w:t>Australian Taxation Office</w:t>
            </w:r>
          </w:p>
        </w:tc>
      </w:tr>
      <w:tr w:rsidR="007A72F2" w:rsidRPr="00174FA5" w14:paraId="7C676C23"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5AC2B75D" w14:textId="77777777" w:rsidR="007A72F2" w:rsidRPr="00935ED2" w:rsidRDefault="007A72F2" w:rsidP="00FC612B">
            <w:pPr>
              <w:pStyle w:val="TableBodyCellLeft"/>
            </w:pPr>
            <w:r>
              <w:t>T</w:t>
            </w:r>
            <w:r w:rsidRPr="00F9643E">
              <w:t>he Board</w:t>
            </w:r>
          </w:p>
        </w:tc>
        <w:tc>
          <w:tcPr>
            <w:tcW w:w="3750" w:type="pct"/>
            <w:tcBorders>
              <w:top w:val="single" w:sz="4" w:space="0" w:color="142147" w:themeColor="accent1"/>
              <w:bottom w:val="single" w:sz="4" w:space="0" w:color="142147" w:themeColor="accent1"/>
            </w:tcBorders>
            <w:vAlign w:val="center"/>
          </w:tcPr>
          <w:p w14:paraId="7B015003"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rsidRPr="00FA70F5">
              <w:t>The Board of Taxation</w:t>
            </w:r>
          </w:p>
        </w:tc>
      </w:tr>
      <w:tr w:rsidR="00942D50" w:rsidRPr="00174FA5" w14:paraId="456EF1F3"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1DEAAF48" w14:textId="0E19E52A" w:rsidR="00942D50" w:rsidRDefault="00942D50" w:rsidP="00FC612B">
            <w:pPr>
              <w:pStyle w:val="TableBodyCellLeft"/>
            </w:pPr>
            <w:r>
              <w:t>CA ANZ</w:t>
            </w:r>
          </w:p>
        </w:tc>
        <w:tc>
          <w:tcPr>
            <w:tcW w:w="3750" w:type="pct"/>
            <w:tcBorders>
              <w:top w:val="single" w:sz="4" w:space="0" w:color="142147" w:themeColor="accent1"/>
              <w:bottom w:val="single" w:sz="4" w:space="0" w:color="142147" w:themeColor="accent1"/>
            </w:tcBorders>
            <w:vAlign w:val="center"/>
          </w:tcPr>
          <w:p w14:paraId="4F533040" w14:textId="4BE5198F" w:rsidR="00942D50" w:rsidRDefault="00942D50" w:rsidP="00FC612B">
            <w:pPr>
              <w:pStyle w:val="TableBodyCellLeft"/>
              <w:cnfStyle w:val="000000000000" w:firstRow="0" w:lastRow="0" w:firstColumn="0" w:lastColumn="0" w:oddVBand="0" w:evenVBand="0" w:oddHBand="0" w:evenHBand="0" w:firstRowFirstColumn="0" w:firstRowLastColumn="0" w:lastRowFirstColumn="0" w:lastRowLastColumn="0"/>
            </w:pPr>
            <w:r>
              <w:t xml:space="preserve">Chartered Accountants Australia and New Zealand </w:t>
            </w:r>
          </w:p>
        </w:tc>
      </w:tr>
      <w:tr w:rsidR="007A72F2" w:rsidRPr="00174FA5" w14:paraId="6907FA14"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4D162189" w14:textId="77777777" w:rsidR="007A72F2" w:rsidRPr="00935ED2" w:rsidRDefault="007A72F2" w:rsidP="00FC612B">
            <w:pPr>
              <w:pStyle w:val="TableBodyCellLeft"/>
            </w:pPr>
            <w:r>
              <w:t xml:space="preserve">CPA </w:t>
            </w:r>
          </w:p>
        </w:tc>
        <w:tc>
          <w:tcPr>
            <w:tcW w:w="3750" w:type="pct"/>
            <w:tcBorders>
              <w:top w:val="single" w:sz="4" w:space="0" w:color="142147" w:themeColor="accent1"/>
              <w:bottom w:val="single" w:sz="4" w:space="0" w:color="142147" w:themeColor="accent1"/>
            </w:tcBorders>
            <w:vAlign w:val="center"/>
          </w:tcPr>
          <w:p w14:paraId="65117024"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t>Certified Practicing Accountant</w:t>
            </w:r>
          </w:p>
        </w:tc>
      </w:tr>
      <w:tr w:rsidR="007A72F2" w:rsidRPr="00174FA5" w14:paraId="71182C8D"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7211CBC5" w14:textId="77777777" w:rsidR="007A72F2" w:rsidRPr="00935ED2" w:rsidRDefault="007A72F2" w:rsidP="00FC612B">
            <w:pPr>
              <w:pStyle w:val="TableBodyCellLeft"/>
            </w:pPr>
            <w:r>
              <w:t>CTA</w:t>
            </w:r>
          </w:p>
        </w:tc>
        <w:tc>
          <w:tcPr>
            <w:tcW w:w="3750" w:type="pct"/>
            <w:tcBorders>
              <w:top w:val="single" w:sz="4" w:space="0" w:color="142147" w:themeColor="accent1"/>
              <w:bottom w:val="single" w:sz="4" w:space="0" w:color="142147" w:themeColor="accent1"/>
            </w:tcBorders>
            <w:vAlign w:val="center"/>
          </w:tcPr>
          <w:p w14:paraId="2FC34418" w14:textId="77777777"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 xml:space="preserve">Corporate Tax Association </w:t>
            </w:r>
          </w:p>
        </w:tc>
      </w:tr>
      <w:tr w:rsidR="007A72F2" w:rsidRPr="00174FA5" w14:paraId="6D81845A"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47720346" w14:textId="70AF5E4D" w:rsidR="007A72F2" w:rsidRPr="00935ED2" w:rsidRDefault="009B6C24" w:rsidP="00FC612B">
            <w:pPr>
              <w:pStyle w:val="TableBodyCellLeft"/>
            </w:pPr>
            <w:r>
              <w:t>DAO</w:t>
            </w:r>
          </w:p>
        </w:tc>
        <w:tc>
          <w:tcPr>
            <w:tcW w:w="3750" w:type="pct"/>
            <w:tcBorders>
              <w:top w:val="single" w:sz="4" w:space="0" w:color="142147" w:themeColor="accent1"/>
              <w:bottom w:val="single" w:sz="4" w:space="0" w:color="142147" w:themeColor="accent1"/>
            </w:tcBorders>
            <w:vAlign w:val="center"/>
          </w:tcPr>
          <w:p w14:paraId="7BF47D8D" w14:textId="393CDD00" w:rsidR="007A72F2" w:rsidRPr="00174FA5" w:rsidRDefault="009B6C24" w:rsidP="00FC612B">
            <w:pPr>
              <w:pStyle w:val="TableBodyCellLeft"/>
              <w:cnfStyle w:val="000000100000" w:firstRow="0" w:lastRow="0" w:firstColumn="0" w:lastColumn="0" w:oddVBand="0" w:evenVBand="0" w:oddHBand="1" w:evenHBand="0" w:firstRowFirstColumn="0" w:firstRowLastColumn="0" w:lastRowFirstColumn="0" w:lastRowLastColumn="0"/>
            </w:pPr>
            <w:r w:rsidRPr="005D44CD">
              <w:rPr>
                <w:spacing w:val="-2"/>
              </w:rPr>
              <w:t>Decentralised Autonomous Organisations</w:t>
            </w:r>
          </w:p>
        </w:tc>
      </w:tr>
      <w:tr w:rsidR="009B6C24" w:rsidRPr="00174FA5" w14:paraId="05B086AA"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2D27A33D" w14:textId="6863CCDC" w:rsidR="009B6C24" w:rsidRDefault="009B6C24" w:rsidP="00FC612B">
            <w:pPr>
              <w:pStyle w:val="TableBodyCellLeft"/>
            </w:pPr>
            <w:r w:rsidRPr="005D44CD">
              <w:rPr>
                <w:spacing w:val="-2"/>
              </w:rPr>
              <w:t>DeFi</w:t>
            </w:r>
          </w:p>
        </w:tc>
        <w:tc>
          <w:tcPr>
            <w:tcW w:w="3750" w:type="pct"/>
            <w:tcBorders>
              <w:top w:val="single" w:sz="4" w:space="0" w:color="142147" w:themeColor="accent1"/>
              <w:bottom w:val="single" w:sz="4" w:space="0" w:color="142147" w:themeColor="accent1"/>
            </w:tcBorders>
            <w:vAlign w:val="center"/>
          </w:tcPr>
          <w:p w14:paraId="64AE16E0" w14:textId="4DDCC9B4" w:rsidR="009B6C24" w:rsidRPr="005D44CD" w:rsidRDefault="009B6C24" w:rsidP="00FC612B">
            <w:pPr>
              <w:pStyle w:val="TableBodyCellLeft"/>
              <w:cnfStyle w:val="000000000000" w:firstRow="0" w:lastRow="0" w:firstColumn="0" w:lastColumn="0" w:oddVBand="0" w:evenVBand="0" w:oddHBand="0" w:evenHBand="0" w:firstRowFirstColumn="0" w:firstRowLastColumn="0" w:lastRowFirstColumn="0" w:lastRowLastColumn="0"/>
              <w:rPr>
                <w:spacing w:val="-2"/>
              </w:rPr>
            </w:pPr>
            <w:r w:rsidRPr="005D44CD">
              <w:rPr>
                <w:spacing w:val="-2"/>
              </w:rPr>
              <w:t>Decentralised Finance</w:t>
            </w:r>
          </w:p>
        </w:tc>
      </w:tr>
      <w:tr w:rsidR="009B6C24" w:rsidRPr="00174FA5" w14:paraId="35A38BF5"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6FD9F019" w14:textId="53D9366D" w:rsidR="009B6C24" w:rsidRDefault="009B6C24" w:rsidP="00FC612B">
            <w:pPr>
              <w:pStyle w:val="TableBodyCellLeft"/>
            </w:pPr>
            <w:proofErr w:type="spellStart"/>
            <w:r w:rsidRPr="005D44CD">
              <w:rPr>
                <w:spacing w:val="-2"/>
              </w:rPr>
              <w:t>GameFi</w:t>
            </w:r>
            <w:proofErr w:type="spellEnd"/>
          </w:p>
        </w:tc>
        <w:tc>
          <w:tcPr>
            <w:tcW w:w="3750" w:type="pct"/>
            <w:tcBorders>
              <w:top w:val="single" w:sz="4" w:space="0" w:color="142147" w:themeColor="accent1"/>
              <w:bottom w:val="single" w:sz="4" w:space="0" w:color="142147" w:themeColor="accent1"/>
            </w:tcBorders>
            <w:vAlign w:val="center"/>
          </w:tcPr>
          <w:p w14:paraId="16DCF4AF" w14:textId="75E14DC1" w:rsidR="009B6C24" w:rsidRDefault="009B6C24" w:rsidP="00FC612B">
            <w:pPr>
              <w:pStyle w:val="TableBodyCellLeft"/>
              <w:cnfStyle w:val="000000100000" w:firstRow="0" w:lastRow="0" w:firstColumn="0" w:lastColumn="0" w:oddVBand="0" w:evenVBand="0" w:oddHBand="1" w:evenHBand="0" w:firstRowFirstColumn="0" w:firstRowLastColumn="0" w:lastRowFirstColumn="0" w:lastRowLastColumn="0"/>
            </w:pPr>
            <w:r w:rsidRPr="005D44CD">
              <w:rPr>
                <w:spacing w:val="-2"/>
              </w:rPr>
              <w:t>Gaming Finance</w:t>
            </w:r>
          </w:p>
        </w:tc>
      </w:tr>
      <w:tr w:rsidR="007A72F2" w:rsidRPr="00174FA5" w14:paraId="4E08EFCC"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7FFAD831" w14:textId="77777777" w:rsidR="007A72F2" w:rsidRPr="00935ED2" w:rsidRDefault="007A72F2" w:rsidP="00FC612B">
            <w:pPr>
              <w:pStyle w:val="TableBodyCellLeft"/>
            </w:pPr>
            <w:r>
              <w:t>GST</w:t>
            </w:r>
          </w:p>
        </w:tc>
        <w:tc>
          <w:tcPr>
            <w:tcW w:w="3750" w:type="pct"/>
            <w:tcBorders>
              <w:top w:val="single" w:sz="4" w:space="0" w:color="142147" w:themeColor="accent1"/>
              <w:bottom w:val="single" w:sz="4" w:space="0" w:color="142147" w:themeColor="accent1"/>
            </w:tcBorders>
            <w:vAlign w:val="center"/>
          </w:tcPr>
          <w:p w14:paraId="5544DE17" w14:textId="77777777"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Goods and Services Tax</w:t>
            </w:r>
          </w:p>
        </w:tc>
      </w:tr>
      <w:tr w:rsidR="007A72F2" w:rsidRPr="00174FA5" w14:paraId="673D0016"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47E43DF9" w14:textId="77777777" w:rsidR="007A72F2" w:rsidRDefault="007A72F2" w:rsidP="00FC612B">
            <w:pPr>
              <w:pStyle w:val="TableBodyCellLeft"/>
            </w:pPr>
            <w:r>
              <w:t>Hon</w:t>
            </w:r>
          </w:p>
        </w:tc>
        <w:tc>
          <w:tcPr>
            <w:tcW w:w="3750" w:type="pct"/>
            <w:tcBorders>
              <w:top w:val="single" w:sz="4" w:space="0" w:color="142147" w:themeColor="accent1"/>
              <w:bottom w:val="single" w:sz="4" w:space="0" w:color="142147" w:themeColor="accent1"/>
            </w:tcBorders>
            <w:vAlign w:val="center"/>
          </w:tcPr>
          <w:p w14:paraId="1A2A63A2" w14:textId="77777777" w:rsidR="007A72F2"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t xml:space="preserve">Honourable </w:t>
            </w:r>
          </w:p>
        </w:tc>
      </w:tr>
      <w:tr w:rsidR="007A72F2" w:rsidRPr="00174FA5" w14:paraId="58DD4A2F"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2A393BB6" w14:textId="77777777" w:rsidR="007A72F2" w:rsidRDefault="007A72F2" w:rsidP="00FC612B">
            <w:pPr>
              <w:pStyle w:val="TableBodyCellLeft"/>
            </w:pPr>
            <w:r>
              <w:t>IMF</w:t>
            </w:r>
          </w:p>
        </w:tc>
        <w:tc>
          <w:tcPr>
            <w:tcW w:w="3750" w:type="pct"/>
            <w:tcBorders>
              <w:top w:val="single" w:sz="4" w:space="0" w:color="142147" w:themeColor="accent1"/>
              <w:bottom w:val="single" w:sz="4" w:space="0" w:color="142147" w:themeColor="accent1"/>
            </w:tcBorders>
            <w:vAlign w:val="center"/>
          </w:tcPr>
          <w:p w14:paraId="70B48849" w14:textId="413E5D6C" w:rsidR="007A72F2" w:rsidRDefault="00901A77" w:rsidP="00FC612B">
            <w:pPr>
              <w:pStyle w:val="TableBodyCellLeft"/>
              <w:cnfStyle w:val="000000000000" w:firstRow="0" w:lastRow="0" w:firstColumn="0" w:lastColumn="0" w:oddVBand="0" w:evenVBand="0" w:oddHBand="0" w:evenHBand="0" w:firstRowFirstColumn="0" w:firstRowLastColumn="0" w:lastRowFirstColumn="0" w:lastRowLastColumn="0"/>
            </w:pPr>
            <w:r>
              <w:t>International Monetary Fund</w:t>
            </w:r>
          </w:p>
        </w:tc>
      </w:tr>
      <w:tr w:rsidR="007A72F2" w:rsidRPr="00174FA5" w14:paraId="3ABD21C5"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3C73DC0B" w14:textId="77777777" w:rsidR="007A72F2" w:rsidRPr="00935ED2" w:rsidRDefault="007A72F2" w:rsidP="00FC612B">
            <w:pPr>
              <w:pStyle w:val="TableBodyCellLeft"/>
            </w:pPr>
            <w:r>
              <w:t>KC</w:t>
            </w:r>
          </w:p>
        </w:tc>
        <w:tc>
          <w:tcPr>
            <w:tcW w:w="3750" w:type="pct"/>
            <w:tcBorders>
              <w:top w:val="single" w:sz="4" w:space="0" w:color="142147" w:themeColor="accent1"/>
              <w:bottom w:val="single" w:sz="4" w:space="0" w:color="142147" w:themeColor="accent1"/>
            </w:tcBorders>
            <w:vAlign w:val="center"/>
          </w:tcPr>
          <w:p w14:paraId="43CD6C36" w14:textId="7809EF0F"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t>King</w:t>
            </w:r>
            <w:r w:rsidR="00FC1B00">
              <w:t>’</w:t>
            </w:r>
            <w:r>
              <w:t>s Counsel</w:t>
            </w:r>
          </w:p>
        </w:tc>
      </w:tr>
      <w:tr w:rsidR="007A72F2" w:rsidRPr="00174FA5" w14:paraId="765F7093"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092D40A8" w14:textId="77777777" w:rsidR="007A72F2" w:rsidRDefault="007A72F2" w:rsidP="00FC612B">
            <w:pPr>
              <w:pStyle w:val="TableBodyCellLeft"/>
            </w:pPr>
            <w:r>
              <w:t>LBSG</w:t>
            </w:r>
          </w:p>
        </w:tc>
        <w:tc>
          <w:tcPr>
            <w:tcW w:w="3750" w:type="pct"/>
            <w:tcBorders>
              <w:top w:val="single" w:sz="4" w:space="0" w:color="142147" w:themeColor="accent1"/>
              <w:bottom w:val="single" w:sz="4" w:space="0" w:color="142147" w:themeColor="accent1"/>
            </w:tcBorders>
            <w:vAlign w:val="center"/>
          </w:tcPr>
          <w:p w14:paraId="281630EB" w14:textId="77777777" w:rsidR="007A72F2" w:rsidRPr="00951224"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Large Business Stewardship Group</w:t>
            </w:r>
          </w:p>
        </w:tc>
      </w:tr>
      <w:tr w:rsidR="007A72F2" w:rsidRPr="00174FA5" w14:paraId="6E5164A3"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466EA300" w14:textId="77777777" w:rsidR="007A72F2" w:rsidRDefault="007A72F2" w:rsidP="00FC612B">
            <w:pPr>
              <w:pStyle w:val="TableBodyCellLeft"/>
            </w:pPr>
            <w:r>
              <w:t>MP</w:t>
            </w:r>
          </w:p>
        </w:tc>
        <w:tc>
          <w:tcPr>
            <w:tcW w:w="3750" w:type="pct"/>
            <w:tcBorders>
              <w:top w:val="single" w:sz="4" w:space="0" w:color="142147" w:themeColor="accent1"/>
              <w:bottom w:val="single" w:sz="4" w:space="0" w:color="142147" w:themeColor="accent1"/>
            </w:tcBorders>
            <w:vAlign w:val="center"/>
          </w:tcPr>
          <w:p w14:paraId="1D700A8C" w14:textId="2B049942" w:rsidR="007A72F2" w:rsidRPr="00951224" w:rsidRDefault="003801EF" w:rsidP="00FC612B">
            <w:pPr>
              <w:pStyle w:val="TableBodyCellLeft"/>
              <w:cnfStyle w:val="000000100000" w:firstRow="0" w:lastRow="0" w:firstColumn="0" w:lastColumn="0" w:oddVBand="0" w:evenVBand="0" w:oddHBand="1" w:evenHBand="0" w:firstRowFirstColumn="0" w:firstRowLastColumn="0" w:lastRowFirstColumn="0" w:lastRowLastColumn="0"/>
            </w:pPr>
            <w:r>
              <w:t>Member of Parliament</w:t>
            </w:r>
          </w:p>
        </w:tc>
      </w:tr>
      <w:tr w:rsidR="00942D50" w:rsidRPr="00174FA5" w14:paraId="48C6929C"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069197D0" w14:textId="5D3E7F96" w:rsidR="00942D50" w:rsidRDefault="00942D50" w:rsidP="00FC612B">
            <w:pPr>
              <w:pStyle w:val="TableBodyCellLeft"/>
            </w:pPr>
            <w:r>
              <w:t>NCCI</w:t>
            </w:r>
          </w:p>
        </w:tc>
        <w:tc>
          <w:tcPr>
            <w:tcW w:w="3750" w:type="pct"/>
            <w:tcBorders>
              <w:top w:val="single" w:sz="4" w:space="0" w:color="142147" w:themeColor="accent1"/>
              <w:bottom w:val="single" w:sz="4" w:space="0" w:color="142147" w:themeColor="accent1"/>
            </w:tcBorders>
            <w:vAlign w:val="center"/>
          </w:tcPr>
          <w:p w14:paraId="1A79ABF5" w14:textId="0B99E8C3" w:rsidR="00942D50" w:rsidRDefault="00942D50" w:rsidP="00FC612B">
            <w:pPr>
              <w:pStyle w:val="TableBodyCellLeft"/>
              <w:cnfStyle w:val="000000000000" w:firstRow="0" w:lastRow="0" w:firstColumn="0" w:lastColumn="0" w:oddVBand="0" w:evenVBand="0" w:oddHBand="0" w:evenHBand="0" w:firstRowFirstColumn="0" w:firstRowLastColumn="0" w:lastRowFirstColumn="0" w:lastRowLastColumn="0"/>
            </w:pPr>
            <w:r>
              <w:t>Noongar Chamber of Commerce and Industry</w:t>
            </w:r>
          </w:p>
        </w:tc>
      </w:tr>
      <w:tr w:rsidR="009B6C24" w:rsidRPr="00174FA5" w14:paraId="604F12B9"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0E55999A" w14:textId="603B6982" w:rsidR="009B6C24" w:rsidRDefault="009B6C24" w:rsidP="00FC612B">
            <w:pPr>
              <w:pStyle w:val="TableBodyCellLeft"/>
            </w:pPr>
            <w:r w:rsidRPr="005D44CD">
              <w:rPr>
                <w:spacing w:val="-2"/>
              </w:rPr>
              <w:t>NFTs</w:t>
            </w:r>
          </w:p>
        </w:tc>
        <w:tc>
          <w:tcPr>
            <w:tcW w:w="3750" w:type="pct"/>
            <w:tcBorders>
              <w:top w:val="single" w:sz="4" w:space="0" w:color="142147" w:themeColor="accent1"/>
              <w:bottom w:val="single" w:sz="4" w:space="0" w:color="142147" w:themeColor="accent1"/>
            </w:tcBorders>
            <w:vAlign w:val="center"/>
          </w:tcPr>
          <w:p w14:paraId="04F2590E" w14:textId="4AF80B6F" w:rsidR="009B6C24" w:rsidRDefault="009B6C24" w:rsidP="00FC612B">
            <w:pPr>
              <w:pStyle w:val="TableBodyCellLeft"/>
              <w:cnfStyle w:val="000000100000" w:firstRow="0" w:lastRow="0" w:firstColumn="0" w:lastColumn="0" w:oddVBand="0" w:evenVBand="0" w:oddHBand="1" w:evenHBand="0" w:firstRowFirstColumn="0" w:firstRowLastColumn="0" w:lastRowFirstColumn="0" w:lastRowLastColumn="0"/>
            </w:pPr>
            <w:r w:rsidRPr="005D44CD">
              <w:rPr>
                <w:spacing w:val="-2"/>
              </w:rPr>
              <w:t>Non</w:t>
            </w:r>
            <w:r w:rsidR="00FC1B00">
              <w:rPr>
                <w:spacing w:val="-2"/>
              </w:rPr>
              <w:noBreakHyphen/>
            </w:r>
            <w:r w:rsidRPr="005D44CD">
              <w:rPr>
                <w:spacing w:val="-2"/>
              </w:rPr>
              <w:t>Fungible Tokens</w:t>
            </w:r>
          </w:p>
        </w:tc>
      </w:tr>
      <w:tr w:rsidR="007A72F2" w:rsidRPr="00174FA5" w14:paraId="195001E0"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2053E5CD" w14:textId="77777777" w:rsidR="007A72F2" w:rsidRPr="00935ED2" w:rsidRDefault="007A72F2" w:rsidP="00FC612B">
            <w:pPr>
              <w:pStyle w:val="TableBodyCellLeft"/>
            </w:pPr>
            <w:r w:rsidRPr="00F9643E">
              <w:t>OECD</w:t>
            </w:r>
          </w:p>
        </w:tc>
        <w:tc>
          <w:tcPr>
            <w:tcW w:w="3750" w:type="pct"/>
            <w:tcBorders>
              <w:top w:val="single" w:sz="4" w:space="0" w:color="142147" w:themeColor="accent1"/>
              <w:bottom w:val="single" w:sz="4" w:space="0" w:color="142147" w:themeColor="accent1"/>
            </w:tcBorders>
            <w:vAlign w:val="center"/>
          </w:tcPr>
          <w:p w14:paraId="4DA3A078" w14:textId="0A49C6D1" w:rsidR="007A72F2" w:rsidRPr="00174FA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rsidRPr="00FA70F5">
              <w:t>Organisation for Economic Co</w:t>
            </w:r>
            <w:r w:rsidR="00FC1B00">
              <w:noBreakHyphen/>
            </w:r>
            <w:r w:rsidRPr="00FA70F5">
              <w:t>operation and Development</w:t>
            </w:r>
          </w:p>
        </w:tc>
      </w:tr>
      <w:tr w:rsidR="007A72F2" w:rsidRPr="00174FA5" w14:paraId="6E74C06D"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2D649F88" w14:textId="77777777" w:rsidR="007A72F2" w:rsidRPr="00935ED2" w:rsidRDefault="007A72F2" w:rsidP="00FC612B">
            <w:pPr>
              <w:pStyle w:val="TableBodyCellLeft"/>
            </w:pPr>
            <w:r w:rsidRPr="00F9643E">
              <w:t>OPC</w:t>
            </w:r>
          </w:p>
        </w:tc>
        <w:tc>
          <w:tcPr>
            <w:tcW w:w="3750" w:type="pct"/>
            <w:tcBorders>
              <w:top w:val="single" w:sz="4" w:space="0" w:color="142147" w:themeColor="accent1"/>
              <w:bottom w:val="single" w:sz="4" w:space="0" w:color="142147" w:themeColor="accent1"/>
            </w:tcBorders>
            <w:vAlign w:val="center"/>
          </w:tcPr>
          <w:p w14:paraId="0848DDE1" w14:textId="77777777" w:rsidR="007A72F2" w:rsidRPr="00174FA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rsidRPr="00FA70F5">
              <w:t>Office of Parliamentary Counsel</w:t>
            </w:r>
          </w:p>
        </w:tc>
      </w:tr>
      <w:tr w:rsidR="007A72F2" w:rsidRPr="00174FA5" w14:paraId="210F822A"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332D1BA3" w14:textId="77777777" w:rsidR="007A72F2" w:rsidRPr="00F9643E" w:rsidRDefault="007A72F2" w:rsidP="00FC612B">
            <w:pPr>
              <w:pStyle w:val="TableBodyCellLeft"/>
            </w:pPr>
            <w:r w:rsidRPr="00F9643E">
              <w:t>PSM</w:t>
            </w:r>
          </w:p>
        </w:tc>
        <w:tc>
          <w:tcPr>
            <w:tcW w:w="3750" w:type="pct"/>
            <w:tcBorders>
              <w:top w:val="single" w:sz="4" w:space="0" w:color="142147" w:themeColor="accent1"/>
              <w:bottom w:val="single" w:sz="4" w:space="0" w:color="142147" w:themeColor="accent1"/>
            </w:tcBorders>
            <w:vAlign w:val="center"/>
          </w:tcPr>
          <w:p w14:paraId="648A19E0" w14:textId="77777777" w:rsidR="007A72F2" w:rsidRPr="00FA70F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rsidRPr="00FA70F5">
              <w:t>Public Service Medal</w:t>
            </w:r>
          </w:p>
        </w:tc>
      </w:tr>
      <w:tr w:rsidR="007A72F2" w:rsidRPr="00174FA5" w14:paraId="2EBADA06" w14:textId="77777777" w:rsidTr="00FC612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4" w:space="0" w:color="142147" w:themeColor="accent1"/>
            </w:tcBorders>
            <w:shd w:val="clear" w:color="auto" w:fill="F6F2ED" w:themeFill="accent3" w:themeFillTint="33"/>
            <w:vAlign w:val="center"/>
          </w:tcPr>
          <w:p w14:paraId="6B014C4A" w14:textId="77777777" w:rsidR="007A72F2" w:rsidRPr="00F9643E" w:rsidRDefault="007A72F2" w:rsidP="00FC612B">
            <w:pPr>
              <w:pStyle w:val="TableBodyCellLeft"/>
            </w:pPr>
            <w:r>
              <w:t>S&amp;TC</w:t>
            </w:r>
          </w:p>
        </w:tc>
        <w:tc>
          <w:tcPr>
            <w:tcW w:w="3750" w:type="pct"/>
            <w:tcBorders>
              <w:top w:val="single" w:sz="4" w:space="0" w:color="142147" w:themeColor="accent1"/>
              <w:bottom w:val="single" w:sz="4" w:space="0" w:color="142147" w:themeColor="accent1"/>
            </w:tcBorders>
            <w:vAlign w:val="center"/>
          </w:tcPr>
          <w:p w14:paraId="2BD89437" w14:textId="77777777" w:rsidR="007A72F2" w:rsidRPr="00FA70F5" w:rsidRDefault="007A72F2" w:rsidP="00FC612B">
            <w:pPr>
              <w:pStyle w:val="TableBodyCellLeft"/>
              <w:cnfStyle w:val="000000100000" w:firstRow="0" w:lastRow="0" w:firstColumn="0" w:lastColumn="0" w:oddVBand="0" w:evenVBand="0" w:oddHBand="1" w:evenHBand="0" w:firstRowFirstColumn="0" w:firstRowLastColumn="0" w:lastRowFirstColumn="0" w:lastRowLastColumn="0"/>
            </w:pPr>
            <w:r>
              <w:t>Secretary and Tax Counsel</w:t>
            </w:r>
          </w:p>
        </w:tc>
      </w:tr>
      <w:tr w:rsidR="007A72F2" w:rsidRPr="00174FA5" w14:paraId="10D7FBEC" w14:textId="77777777" w:rsidTr="00FC612B">
        <w:trPr>
          <w:trHeight w:val="289"/>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142147" w:themeColor="accent1"/>
              <w:bottom w:val="single" w:sz="8" w:space="0" w:color="142147" w:themeColor="accent1"/>
            </w:tcBorders>
            <w:shd w:val="clear" w:color="auto" w:fill="F6F2ED" w:themeFill="accent3" w:themeFillTint="33"/>
            <w:vAlign w:val="center"/>
          </w:tcPr>
          <w:p w14:paraId="697F1249" w14:textId="77777777" w:rsidR="007A72F2" w:rsidRPr="00F9643E" w:rsidRDefault="007A72F2" w:rsidP="00FC612B">
            <w:pPr>
              <w:pStyle w:val="TableBodyCellLeft"/>
            </w:pPr>
            <w:r>
              <w:t>VTTC</w:t>
            </w:r>
          </w:p>
        </w:tc>
        <w:tc>
          <w:tcPr>
            <w:tcW w:w="3750" w:type="pct"/>
            <w:tcBorders>
              <w:top w:val="single" w:sz="4" w:space="0" w:color="142147" w:themeColor="accent1"/>
              <w:bottom w:val="single" w:sz="8" w:space="0" w:color="142147" w:themeColor="accent1"/>
            </w:tcBorders>
            <w:vAlign w:val="center"/>
          </w:tcPr>
          <w:p w14:paraId="4AED68BD" w14:textId="77777777" w:rsidR="007A72F2" w:rsidRPr="00FA70F5" w:rsidRDefault="007A72F2" w:rsidP="00FC612B">
            <w:pPr>
              <w:pStyle w:val="TableBodyCellLeft"/>
              <w:cnfStyle w:val="000000000000" w:firstRow="0" w:lastRow="0" w:firstColumn="0" w:lastColumn="0" w:oddVBand="0" w:evenVBand="0" w:oddHBand="0" w:evenHBand="0" w:firstRowFirstColumn="0" w:firstRowLastColumn="0" w:lastRowFirstColumn="0" w:lastRowLastColumn="0"/>
            </w:pPr>
            <w:r>
              <w:t>Voluntary Tax Transparency Code</w:t>
            </w:r>
          </w:p>
        </w:tc>
      </w:tr>
    </w:tbl>
    <w:p w14:paraId="06C5679F" w14:textId="665BA357" w:rsidR="00036758" w:rsidRPr="006F27B9" w:rsidRDefault="00036758" w:rsidP="009B6C24"/>
    <w:sectPr w:rsidR="00036758" w:rsidRPr="006F27B9" w:rsidSect="000F784E">
      <w:type w:val="continuous"/>
      <w:pgSz w:w="11909" w:h="16834" w:code="9"/>
      <w:pgMar w:top="1985" w:right="1134" w:bottom="198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5DE3" w14:textId="77777777" w:rsidR="00EE0479" w:rsidRDefault="00EE0479">
      <w:r>
        <w:separator/>
      </w:r>
    </w:p>
  </w:endnote>
  <w:endnote w:type="continuationSeparator" w:id="0">
    <w:p w14:paraId="58EA6A46" w14:textId="77777777" w:rsidR="00EE0479" w:rsidRDefault="00EE0479">
      <w:r>
        <w:continuationSeparator/>
      </w:r>
    </w:p>
  </w:endnote>
  <w:endnote w:type="continuationNotice" w:id="1">
    <w:p w14:paraId="630118C0" w14:textId="77777777" w:rsidR="00EE0479" w:rsidRDefault="00EE04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2D8F" w14:textId="77777777" w:rsidR="00D3340C" w:rsidRDefault="00D3340C">
    <w:pPr>
      <w:pStyle w:val="FooterEven"/>
      <w:rPr>
        <w:rStyle w:val="PageNumber"/>
      </w:rPr>
    </w:pPr>
    <w:r>
      <w:t xml:space="preserve">Page </w:t>
    </w:r>
    <w:r w:rsidR="00841199">
      <w:rPr>
        <w:rStyle w:val="PageNumber"/>
      </w:rPr>
      <w:fldChar w:fldCharType="begin"/>
    </w:r>
    <w:r>
      <w:rPr>
        <w:rStyle w:val="PageNumber"/>
      </w:rPr>
      <w:instrText xml:space="preserve"> PAGE </w:instrText>
    </w:r>
    <w:r w:rsidR="00841199">
      <w:rPr>
        <w:rStyle w:val="PageNumber"/>
      </w:rPr>
      <w:fldChar w:fldCharType="separate"/>
    </w:r>
    <w:r w:rsidR="00A43962">
      <w:rPr>
        <w:rStyle w:val="PageNumber"/>
        <w:noProof/>
      </w:rPr>
      <w:t>2</w:t>
    </w:r>
    <w:r w:rsidR="0084119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5C6A" w14:textId="77777777" w:rsidR="00D3340C" w:rsidRDefault="00D3340C">
    <w:pPr>
      <w:pStyle w:val="FooterOdd"/>
      <w:rPr>
        <w:rStyle w:val="PageNumber"/>
      </w:rPr>
    </w:pPr>
    <w:r>
      <w:t xml:space="preserve">Page </w:t>
    </w:r>
    <w:r w:rsidR="00841199">
      <w:rPr>
        <w:rStyle w:val="PageNumber"/>
      </w:rPr>
      <w:fldChar w:fldCharType="begin"/>
    </w:r>
    <w:r>
      <w:rPr>
        <w:rStyle w:val="PageNumber"/>
      </w:rPr>
      <w:instrText xml:space="preserve"> PAGE </w:instrText>
    </w:r>
    <w:r w:rsidR="00841199">
      <w:rPr>
        <w:rStyle w:val="PageNumber"/>
      </w:rPr>
      <w:fldChar w:fldCharType="separate"/>
    </w:r>
    <w:r w:rsidR="006256BA">
      <w:rPr>
        <w:rStyle w:val="PageNumber"/>
        <w:noProof/>
      </w:rPr>
      <w:t>3</w:t>
    </w:r>
    <w:r w:rsidR="0084119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A596" w14:textId="20269A29" w:rsidR="00D23941" w:rsidRDefault="00111646" w:rsidP="00411947">
    <w:pPr>
      <w:pStyle w:val="FooterEven"/>
      <w:rPr>
        <w:noProof/>
      </w:rPr>
    </w:pPr>
    <w:r>
      <w:t xml:space="preserve">Page </w:t>
    </w:r>
    <w:r>
      <w:fldChar w:fldCharType="begin"/>
    </w:r>
    <w:r>
      <w:instrText xml:space="preserve"> PAGE  \* Arabic  \* MERGEFORMAT </w:instrText>
    </w:r>
    <w:r>
      <w:fldChar w:fldCharType="separate"/>
    </w:r>
    <w:r>
      <w:rPr>
        <w:noProof/>
      </w:rPr>
      <w:t>2</w:t>
    </w:r>
    <w:r>
      <w:rPr>
        <w:noProof/>
      </w:rPr>
      <w:fldChar w:fldCharType="end"/>
    </w:r>
    <w:r>
      <w:rPr>
        <w:noProof/>
      </w:rPr>
      <w:tab/>
    </w:r>
    <w:fldSimple w:instr="STYLEREF  &quot;Heading 1&quot;  \* MERGEFORMAT">
      <w:r w:rsidR="00CD0B01">
        <w:rPr>
          <w:noProof/>
        </w:rPr>
        <w:t>2024–25 Board overview</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B23D" w14:textId="7D7E1E17" w:rsidR="00CD2944" w:rsidRDefault="009370F8" w:rsidP="00684B34">
    <w:pPr>
      <w:pStyle w:val="FooterOdd"/>
    </w:pPr>
    <w:fldSimple w:instr="STYLEREF  &quot;Heading 1&quot;  \* MERGEFORMAT">
      <w:r w:rsidR="00213FEC">
        <w:rPr>
          <w:noProof/>
        </w:rPr>
        <w:t>2024–25 Board overview</w:t>
      </w:r>
    </w:fldSimple>
    <w:r w:rsidR="00677AAC" w:rsidRPr="00111646">
      <w:tab/>
    </w:r>
    <w:r w:rsidR="006256BA" w:rsidRPr="00111646">
      <w:t xml:space="preserve">Page </w:t>
    </w:r>
    <w:r w:rsidR="006256BA" w:rsidRPr="00111646">
      <w:fldChar w:fldCharType="begin"/>
    </w:r>
    <w:r w:rsidR="006256BA" w:rsidRPr="00111646">
      <w:instrText xml:space="preserve"> PAGE   \* MERGEFORMAT </w:instrText>
    </w:r>
    <w:r w:rsidR="006256BA" w:rsidRPr="00111646">
      <w:fldChar w:fldCharType="separate"/>
    </w:r>
    <w:r w:rsidR="00522E34" w:rsidRPr="00111646">
      <w:t>14</w:t>
    </w:r>
    <w:r w:rsidR="006256BA" w:rsidRPr="0011164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9EEE" w14:textId="0074F796" w:rsidR="00D23941" w:rsidRDefault="005E0DC1" w:rsidP="00411947">
    <w:pPr>
      <w:pStyle w:val="FooterOdd"/>
    </w:pPr>
    <w:r w:rsidRPr="00912467">
      <w:t>Page</w:t>
    </w:r>
    <w:r>
      <w:t xml:space="preserve"> </w:t>
    </w:r>
    <w:r w:rsidR="00FE7652">
      <w:fldChar w:fldCharType="begin"/>
    </w:r>
    <w:r w:rsidR="00FE7652">
      <w:instrText xml:space="preserve"> PAGE  \* roman </w:instrText>
    </w:r>
    <w:r w:rsidR="00FE7652">
      <w:fldChar w:fldCharType="separate"/>
    </w:r>
    <w:r w:rsidR="00FE7652">
      <w:rPr>
        <w:noProof/>
      </w:rPr>
      <w:t>iii</w:t>
    </w:r>
    <w:r w:rsidR="00FE765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A96" w14:textId="577B6170" w:rsidR="00D23941" w:rsidRDefault="001D6A8A" w:rsidP="00411947">
    <w:pPr>
      <w:pStyle w:val="FooterEven"/>
      <w:rPr>
        <w:noProof/>
      </w:rPr>
    </w:pPr>
    <w:r w:rsidRPr="001D6A8A">
      <w:t>Page</w:t>
    </w:r>
    <w:r>
      <w:t xml:space="preserve"> </w:t>
    </w:r>
    <w:r>
      <w:fldChar w:fldCharType="begin"/>
    </w:r>
    <w:r>
      <w:instrText xml:space="preserve"> PAGE  \* Arabic  \* MERGEFORMAT </w:instrText>
    </w:r>
    <w:r>
      <w:fldChar w:fldCharType="separate"/>
    </w:r>
    <w:r>
      <w:rPr>
        <w:noProof/>
      </w:rPr>
      <w:t>2</w:t>
    </w:r>
    <w:r>
      <w:rPr>
        <w:noProof/>
      </w:rPr>
      <w:fldChar w:fldCharType="end"/>
    </w:r>
    <w:r>
      <w:rPr>
        <w:noProof/>
      </w:rPr>
      <w:tab/>
    </w:r>
    <w:fldSimple w:instr="STYLEREF  &quot;Heading 1&quot;  \* MERGEFORMAT">
      <w:r w:rsidR="00CD0B01">
        <w:rPr>
          <w:noProof/>
        </w:rPr>
        <w:t>2024–25 Board overview</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26BE" w14:textId="5FA4ED8C" w:rsidR="00D23941" w:rsidRDefault="009370F8" w:rsidP="00411947">
    <w:pPr>
      <w:pStyle w:val="FooterOdd"/>
    </w:pPr>
    <w:fldSimple w:instr="STYLEREF  &quot;Heading 1&quot;  \* MERGEFORMAT">
      <w:r w:rsidR="00213FEC">
        <w:rPr>
          <w:noProof/>
        </w:rPr>
        <w:t>Activities of the Board in 2024–25</w:t>
      </w:r>
    </w:fldSimple>
    <w:r w:rsidR="00AD3E35">
      <w:tab/>
    </w:r>
    <w:r w:rsidR="771ACB66">
      <w:t xml:space="preserve">Page </w:t>
    </w:r>
    <w:r w:rsidR="00AD3E35">
      <w:fldChar w:fldCharType="begin"/>
    </w:r>
    <w:r w:rsidR="00AD3E35">
      <w:instrText xml:space="preserve"> PAGE   \* MERGEFORMAT </w:instrText>
    </w:r>
    <w:r w:rsidR="00AD3E35">
      <w:fldChar w:fldCharType="separate"/>
    </w:r>
    <w:r w:rsidR="771ACB66">
      <w:t>14</w:t>
    </w:r>
    <w:r w:rsidR="00AD3E35">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21D9" w14:textId="77777777" w:rsidR="001D6A8A" w:rsidRDefault="001D6A8A" w:rsidP="005E0DC1">
    <w:pPr>
      <w:pStyle w:val="FooterOdd"/>
    </w:pPr>
    <w:r w:rsidRPr="00912467">
      <w:t>Page</w:t>
    </w:r>
    <w:r>
      <w:t xml:space="preserve"> </w:t>
    </w:r>
    <w:r>
      <w:fldChar w:fldCharType="begin"/>
    </w:r>
    <w:r>
      <w:instrText xml:space="preserve"> PAGE  \* Arabic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2DF5" w14:textId="77777777" w:rsidR="00EE0479" w:rsidRDefault="00EE0479">
      <w:r>
        <w:separator/>
      </w:r>
    </w:p>
  </w:footnote>
  <w:footnote w:type="continuationSeparator" w:id="0">
    <w:p w14:paraId="695A22D9" w14:textId="77777777" w:rsidR="00EE0479" w:rsidRDefault="00EE0479">
      <w:r>
        <w:continuationSeparator/>
      </w:r>
    </w:p>
  </w:footnote>
  <w:footnote w:type="continuationNotice" w:id="1">
    <w:p w14:paraId="599C5753" w14:textId="77777777" w:rsidR="00EE0479" w:rsidRDefault="00EE0479">
      <w:pPr>
        <w:spacing w:before="0" w:after="0"/>
      </w:pPr>
    </w:p>
  </w:footnote>
  <w:footnote w:id="2">
    <w:p w14:paraId="3BFBF8CD" w14:textId="67AD9A7B" w:rsidR="002F3E00" w:rsidRPr="00704EE1" w:rsidRDefault="00360869" w:rsidP="00704EE1">
      <w:pPr>
        <w:pStyle w:val="FootnoteText"/>
      </w:pPr>
      <w:r w:rsidRPr="00360869">
        <w:rPr>
          <w:rStyle w:val="FootnoteReference"/>
          <w:sz w:val="18"/>
          <w:szCs w:val="18"/>
          <w:vertAlign w:val="baseline"/>
        </w:rPr>
        <w:footnoteRef/>
      </w:r>
      <w:r w:rsidR="002F3E00" w:rsidRPr="00704EE1">
        <w:t xml:space="preserve"> </w:t>
      </w:r>
      <w:r w:rsidR="002F3E00" w:rsidRPr="00704EE1">
        <w:tab/>
        <w:t xml:space="preserve">The Board had </w:t>
      </w:r>
      <w:r w:rsidR="0009773B">
        <w:t>nine</w:t>
      </w:r>
      <w:r w:rsidR="002F3E00" w:rsidRPr="00704EE1">
        <w:t xml:space="preserve"> members during the period </w:t>
      </w:r>
      <w:r w:rsidR="002751DE">
        <w:t>from</w:t>
      </w:r>
      <w:r w:rsidR="00B45907">
        <w:t xml:space="preserve"> </w:t>
      </w:r>
      <w:r w:rsidR="00E428BA">
        <w:t>1 July 202</w:t>
      </w:r>
      <w:r w:rsidR="0009773B">
        <w:t>4</w:t>
      </w:r>
      <w:r w:rsidR="00E428BA">
        <w:t xml:space="preserve"> to </w:t>
      </w:r>
      <w:r w:rsidR="0009773B">
        <w:t>3</w:t>
      </w:r>
      <w:r w:rsidR="00B45907">
        <w:t>1</w:t>
      </w:r>
      <w:r w:rsidR="0009773B">
        <w:t xml:space="preserve"> March</w:t>
      </w:r>
      <w:r w:rsidR="00B45907">
        <w:t xml:space="preserve"> 202</w:t>
      </w:r>
      <w:r w:rsidR="0009773B">
        <w:t>5</w:t>
      </w:r>
      <w:r w:rsidR="00E50FAC">
        <w:t xml:space="preserve"> when M</w:t>
      </w:r>
      <w:r w:rsidR="002856B1">
        <w:t>r</w:t>
      </w:r>
      <w:r w:rsidR="00E50FAC">
        <w:t>s</w:t>
      </w:r>
      <w:r w:rsidR="0009773B">
        <w:t xml:space="preserve"> Rosheen Garnon resigned from as </w:t>
      </w:r>
      <w:r w:rsidR="00B3235E">
        <w:t xml:space="preserve">Chair and </w:t>
      </w:r>
      <w:r w:rsidR="0009773B">
        <w:t>Board member</w:t>
      </w:r>
      <w:r w:rsidR="00B3235E">
        <w:t xml:space="preserve">. </w:t>
      </w:r>
      <w:r w:rsidR="00C20F96">
        <w:t xml:space="preserve">From 1 April 2025 to 30 June 2025, </w:t>
      </w:r>
      <w:r w:rsidR="00365A87">
        <w:t>there were eight</w:t>
      </w:r>
      <w:r w:rsidR="00C20F96">
        <w:t xml:space="preserve"> B</w:t>
      </w:r>
      <w:r w:rsidR="002F3E00" w:rsidRPr="00704EE1">
        <w:t>oard member</w:t>
      </w:r>
      <w:r w:rsidR="00365A87">
        <w:t>s.</w:t>
      </w:r>
    </w:p>
  </w:footnote>
  <w:footnote w:id="3">
    <w:p w14:paraId="67C55B49" w14:textId="725F2B99" w:rsidR="002E0966" w:rsidRDefault="002E0966">
      <w:pPr>
        <w:pStyle w:val="FootnoteText"/>
      </w:pPr>
      <w:r>
        <w:rPr>
          <w:rStyle w:val="FootnoteReference"/>
        </w:rPr>
        <w:footnoteRef/>
      </w:r>
      <w:r>
        <w:t xml:space="preserve"> </w:t>
      </w:r>
      <w:r w:rsidRPr="001463A2">
        <w:rPr>
          <w:rStyle w:val="FootnoteReference"/>
          <w:sz w:val="18"/>
          <w:szCs w:val="18"/>
          <w:vertAlign w:val="baseline"/>
        </w:rPr>
        <w:t xml:space="preserve">The Hon Stephen Jones was the Assistant Treasurer </w:t>
      </w:r>
      <w:r>
        <w:rPr>
          <w:rStyle w:val="FootnoteReference"/>
          <w:sz w:val="18"/>
          <w:szCs w:val="18"/>
          <w:vertAlign w:val="baseline"/>
        </w:rPr>
        <w:t>f</w:t>
      </w:r>
      <w:r>
        <w:t>rom 1 June 2022 to 13 May 2025</w:t>
      </w:r>
      <w:r w:rsidRPr="001463A2">
        <w:rPr>
          <w:rStyle w:val="FootnoteReference"/>
          <w:sz w:val="18"/>
          <w:szCs w:val="18"/>
          <w:vertAlign w:val="baseline"/>
        </w:rPr>
        <w:t>.</w:t>
      </w:r>
    </w:p>
  </w:footnote>
  <w:footnote w:id="4">
    <w:p w14:paraId="15A6B1D8" w14:textId="6A30D509" w:rsidR="002F3E00" w:rsidRPr="005B4FC0" w:rsidRDefault="00360869" w:rsidP="000F784E">
      <w:pPr>
        <w:pStyle w:val="FootnoteText"/>
      </w:pPr>
      <w:r w:rsidRPr="00360869">
        <w:rPr>
          <w:rStyle w:val="FootnoteReference"/>
          <w:sz w:val="18"/>
          <w:szCs w:val="18"/>
          <w:vertAlign w:val="baseline"/>
        </w:rPr>
        <w:footnoteRef/>
      </w:r>
      <w:r w:rsidR="002F3E00" w:rsidRPr="003E4A03">
        <w:rPr>
          <w:rStyle w:val="FootnoteReference"/>
          <w:sz w:val="18"/>
          <w:szCs w:val="18"/>
          <w:vertAlign w:val="baseline"/>
        </w:rPr>
        <w:t xml:space="preserve"> </w:t>
      </w:r>
      <w:r w:rsidR="005B4FC0" w:rsidRPr="003E4A03">
        <w:rPr>
          <w:rStyle w:val="FootnoteReference"/>
          <w:sz w:val="18"/>
          <w:szCs w:val="18"/>
          <w:vertAlign w:val="baseline"/>
        </w:rPr>
        <w:tab/>
      </w:r>
      <w:r w:rsidR="002F3E00" w:rsidRPr="003E4A03">
        <w:rPr>
          <w:rStyle w:val="FootnoteReference"/>
          <w:sz w:val="18"/>
          <w:szCs w:val="18"/>
          <w:vertAlign w:val="baseline"/>
        </w:rPr>
        <w:t xml:space="preserve">Sounding Board + website: </w:t>
      </w:r>
      <w:hyperlink r:id="rId1" w:history="1">
        <w:r w:rsidR="002F3E00" w:rsidRPr="003E4A03">
          <w:rPr>
            <w:rStyle w:val="Hyperlink"/>
          </w:rPr>
          <w:t>https://taxboard.gov.au/sounding</w:t>
        </w:r>
        <w:r w:rsidR="00FC1B00">
          <w:rPr>
            <w:rStyle w:val="Hyperlink"/>
          </w:rPr>
          <w:noBreakHyphen/>
        </w:r>
        <w:r w:rsidR="002F3E00" w:rsidRPr="003E4A03">
          <w:rPr>
            <w:rStyle w:val="Hyperlink"/>
          </w:rPr>
          <w:t>board</w:t>
        </w:r>
        <w:r w:rsidR="00FC1B00">
          <w:rPr>
            <w:rStyle w:val="Hyperlink"/>
          </w:rPr>
          <w:noBreakHyphen/>
        </w:r>
        <w:r w:rsidR="002F3E00" w:rsidRPr="003E4A03">
          <w:rPr>
            <w:rStyle w:val="Hyperlink"/>
          </w:rPr>
          <w:t>plus</w:t>
        </w:r>
      </w:hyperlink>
    </w:p>
  </w:footnote>
  <w:footnote w:id="5">
    <w:p w14:paraId="0D7420D2" w14:textId="63ABDEE9" w:rsidR="00990537" w:rsidRPr="0096043B" w:rsidRDefault="00360869" w:rsidP="0096043B">
      <w:pPr>
        <w:pStyle w:val="FootnoteText"/>
      </w:pPr>
      <w:r w:rsidRPr="00360869">
        <w:footnoteRef/>
      </w:r>
      <w:r w:rsidR="0096043B" w:rsidRPr="005B4FC0">
        <w:tab/>
      </w:r>
      <w:r w:rsidR="00FC1B00">
        <w:t>‘</w:t>
      </w:r>
      <w:hyperlink r:id="rId2" w:history="1">
        <w:r w:rsidR="00D53EEB" w:rsidRPr="005B4FC0">
          <w:t>Voluntary Tax Transparency Code</w:t>
        </w:r>
      </w:hyperlink>
      <w:r w:rsidR="00FC1B00">
        <w:t>‘</w:t>
      </w:r>
      <w:r w:rsidR="009F3B91" w:rsidRPr="0096043B">
        <w:t>, Australian Government data.gov.au (Web Page, online 30 June 202</w:t>
      </w:r>
      <w:r w:rsidR="0019015A">
        <w:t>5</w:t>
      </w:r>
      <w:r w:rsidR="009F3B91" w:rsidRPr="0096043B">
        <w:t>)</w:t>
      </w:r>
      <w:r w:rsidR="00A51417" w:rsidRPr="0096043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C272" w14:textId="68A0D4F6" w:rsidR="00D3340C" w:rsidRDefault="00D3340C">
    <w:pPr>
      <w:pStyle w:val="HeaderEven"/>
    </w:pPr>
    <w:r>
      <w:t>Chapter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4802" w14:textId="3B02FE75" w:rsidR="006256BA" w:rsidRDefault="006256BA">
    <w:pPr>
      <w:framePr w:wrap="around" w:hAnchor="page" w:x="14460" w:yAlign="top" w:anchorLock="1"/>
      <w:textDirection w:val="tbRl"/>
      <w:rPr>
        <w:rStyle w:val="FramedHeader"/>
      </w:rPr>
    </w:pPr>
    <w:r>
      <w:rPr>
        <w:rStyle w:val="FramedHeader"/>
      </w:rPr>
      <w:t>Publication Title</w:t>
    </w:r>
  </w:p>
  <w:p w14:paraId="22219198" w14:textId="17162603" w:rsidR="00CD2944" w:rsidRDefault="006256BA" w:rsidP="00411947">
    <w:pPr>
      <w:pStyle w:val="HeaderEven"/>
    </w:pPr>
    <w:r>
      <w:t>Publication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F443" w14:textId="77777777" w:rsidR="00CD2944" w:rsidRDefault="00CD29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F996" w14:textId="5DBED52C" w:rsidR="00CD2944" w:rsidRPr="002634E0" w:rsidRDefault="00CD2944" w:rsidP="002634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894E" w14:textId="32DCCD9F" w:rsidR="001D6A8A" w:rsidRDefault="001D6A8A">
    <w:pPr>
      <w:framePr w:wrap="around" w:hAnchor="page" w:x="14460" w:yAlign="top" w:anchorLock="1"/>
      <w:textDirection w:val="tbRl"/>
      <w:rPr>
        <w:rStyle w:val="FramedHeader"/>
      </w:rPr>
    </w:pPr>
    <w:r>
      <w:rPr>
        <w:rStyle w:val="FramedHeader"/>
      </w:rPr>
      <w:t>Publication Title</w:t>
    </w:r>
  </w:p>
  <w:p w14:paraId="78EA1B65" w14:textId="39395B62" w:rsidR="001D6A8A" w:rsidRPr="005E0DC1" w:rsidRDefault="00CD0B01" w:rsidP="0067738D">
    <w:pPr>
      <w:pStyle w:val="HeaderEven"/>
    </w:pPr>
    <w:fldSimple w:instr="STYLEREF  &quot;Cover Title Main&quot;  \* MERGEFORMAT">
      <w:r>
        <w:rPr>
          <w:noProof/>
        </w:rPr>
        <w:t>Annual Report 2024–25</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1DD6" w14:textId="3D5ADA33" w:rsidR="001D6A8A" w:rsidRPr="00411947" w:rsidRDefault="00A77B02" w:rsidP="00A77B02">
    <w:pPr>
      <w:pStyle w:val="HeaderOdd"/>
    </w:pPr>
    <w:r w:rsidRPr="005E0DC1">
      <w:rPr>
        <w:noProof/>
      </w:rPr>
      <w:drawing>
        <wp:anchor distT="0" distB="0" distL="114300" distR="114300" simplePos="0" relativeHeight="251658240" behindDoc="1" locked="1" layoutInCell="1" allowOverlap="1" wp14:anchorId="59A5C749" wp14:editId="47DB1835">
          <wp:simplePos x="904875" y="800100"/>
          <wp:positionH relativeFrom="page">
            <wp:align>center</wp:align>
          </wp:positionH>
          <wp:positionV relativeFrom="page">
            <wp:align>top</wp:align>
          </wp:positionV>
          <wp:extent cx="7559675" cy="1258570"/>
          <wp:effectExtent l="0" t="0" r="3175" b="0"/>
          <wp:wrapNone/>
          <wp:docPr id="2016188339" name="Picture 2016188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fldSimple w:instr="STYLEREF  &quot;Cover Title Main&quot;  \* MERGEFORMAT">
      <w:r w:rsidR="00213FEC">
        <w:rPr>
          <w:noProof/>
        </w:rPr>
        <w:t>Annual Report 2024–25</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194" w14:textId="5927448D" w:rsidR="00622D85" w:rsidRPr="002634E0" w:rsidRDefault="00622D85" w:rsidP="00263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68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E3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42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66FB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B0D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87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4CD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86F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5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8045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B92"/>
    <w:multiLevelType w:val="multilevel"/>
    <w:tmpl w:val="F720083A"/>
    <w:lvl w:ilvl="0">
      <w:start w:val="1"/>
      <w:numFmt w:val="decimal"/>
      <w:lvlRestart w:val="0"/>
      <w:suff w:val="nothing"/>
      <w:lvlText w:val="%1"/>
      <w:lvlJc w:val="left"/>
      <w:pPr>
        <w:ind w:left="0" w:firstLine="0"/>
      </w:pPr>
      <w:rPr>
        <w:rFonts w:hint="default"/>
        <w:b w:val="0"/>
        <w:i w:val="0"/>
        <w:color w:val="000000"/>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1" w15:restartNumberingAfterBreak="0">
    <w:nsid w:val="10C21F48"/>
    <w:multiLevelType w:val="singleLevel"/>
    <w:tmpl w:val="F0B87A5C"/>
    <w:name w:val="Case study bullet List"/>
    <w:lvl w:ilvl="0">
      <w:start w:val="1"/>
      <w:numFmt w:val="bullet"/>
      <w:lvlRestart w:val="0"/>
      <w:lvlText w:val="•"/>
      <w:lvlJc w:val="left"/>
      <w:pPr>
        <w:tabs>
          <w:tab w:val="num" w:pos="283"/>
        </w:tabs>
        <w:ind w:left="283" w:hanging="283"/>
      </w:pPr>
      <w:rPr>
        <w:rFonts w:ascii="Book Antiqua" w:hAnsi="Book Antiqua"/>
        <w:b w:val="0"/>
        <w:i w:val="0"/>
        <w:color w:val="000080"/>
        <w:sz w:val="16"/>
      </w:rPr>
    </w:lvl>
  </w:abstractNum>
  <w:abstractNum w:abstractNumId="12" w15:restartNumberingAfterBreak="0">
    <w:nsid w:val="142753B0"/>
    <w:multiLevelType w:val="multilevel"/>
    <w:tmpl w:val="93B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A4E0E"/>
    <w:multiLevelType w:val="multilevel"/>
    <w:tmpl w:val="6B2272A8"/>
    <w:name w:val="BoTStandardBulletedList"/>
    <w:lvl w:ilvl="0">
      <w:start w:val="1"/>
      <w:numFmt w:val="bullet"/>
      <w:lvlRestart w:val="0"/>
      <w:lvlText w:val="•"/>
      <w:lvlJc w:val="left"/>
      <w:pPr>
        <w:tabs>
          <w:tab w:val="num" w:pos="567"/>
        </w:tabs>
        <w:ind w:left="567" w:hanging="567"/>
      </w:pPr>
      <w:rPr>
        <w:rFonts w:ascii="Times New Roman" w:hAnsi="Times New Roman" w:cs="Times New Roman"/>
        <w:b w:val="0"/>
        <w:i w:val="0"/>
      </w:rPr>
    </w:lvl>
    <w:lvl w:ilvl="1">
      <w:start w:val="1"/>
      <w:numFmt w:val="bullet"/>
      <w:lvlText w:val="–"/>
      <w:lvlJc w:val="left"/>
      <w:pPr>
        <w:tabs>
          <w:tab w:val="num" w:pos="1134"/>
        </w:tabs>
        <w:ind w:left="1134" w:hanging="567"/>
      </w:pPr>
      <w:rPr>
        <w:rFonts w:ascii="Times New Roman" w:hAnsi="Times New Roman" w:cs="Times New Roman"/>
        <w:b w:val="0"/>
        <w:i w:val="0"/>
      </w:rPr>
    </w:lvl>
    <w:lvl w:ilvl="2">
      <w:start w:val="1"/>
      <w:numFmt w:val="bullet"/>
      <w:lvlText w:val=":"/>
      <w:lvlJc w:val="left"/>
      <w:pPr>
        <w:tabs>
          <w:tab w:val="num" w:pos="1701"/>
        </w:tabs>
        <w:ind w:left="1701" w:hanging="567"/>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C960FD"/>
    <w:multiLevelType w:val="multilevel"/>
    <w:tmpl w:val="0CAC953E"/>
    <w:name w:val="OneLevelNumberedParagraphList"/>
    <w:lvl w:ilvl="0">
      <w:start w:val="1"/>
      <w:numFmt w:val="decimal"/>
      <w:lvlRestart w:val="0"/>
      <w:lvlText w:val="%1."/>
      <w:lvlJc w:val="left"/>
      <w:pPr>
        <w:tabs>
          <w:tab w:val="num" w:pos="567"/>
        </w:tabs>
        <w:ind w:left="567" w:hanging="567"/>
      </w:pPr>
      <w:rPr>
        <w:rFonts w:asciiTheme="minorHAnsi" w:hAnsiTheme="minorHAnsi" w:cs="Times New Roman" w:hint="default"/>
        <w:b w:val="0"/>
        <w:i w:val="0"/>
        <w:color w:val="00000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6" w15:restartNumberingAfterBreak="0">
    <w:nsid w:val="2028679D"/>
    <w:multiLevelType w:val="hybridMultilevel"/>
    <w:tmpl w:val="F5D6D12C"/>
    <w:lvl w:ilvl="0" w:tplc="D0E6A3D0">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FF002D"/>
    <w:multiLevelType w:val="multilevel"/>
    <w:tmpl w:val="721AB7AE"/>
    <w:lvl w:ilvl="0">
      <w:start w:val="1"/>
      <w:numFmt w:val="decimal"/>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851"/>
        </w:tabs>
        <w:ind w:left="1418" w:hanging="851"/>
      </w:pPr>
      <w:rPr>
        <w:rFonts w:hint="default"/>
        <w:b w:val="0"/>
        <w:i w:val="0"/>
        <w:color w:val="000000"/>
      </w:rPr>
    </w:lvl>
    <w:lvl w:ilvl="3">
      <w:start w:val="1"/>
      <w:numFmt w:val="decimal"/>
      <w:lvlText w:val="%1.%2.%3.%4"/>
      <w:lvlJc w:val="left"/>
      <w:pPr>
        <w:tabs>
          <w:tab w:val="num" w:pos="1134"/>
        </w:tabs>
        <w:ind w:left="2552" w:hanging="1134"/>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8" w15:restartNumberingAfterBreak="0">
    <w:nsid w:val="244237C5"/>
    <w:multiLevelType w:val="multilevel"/>
    <w:tmpl w:val="F0BE3518"/>
    <w:name w:val="StandardNumberedList"/>
    <w:lvl w:ilvl="0">
      <w:start w:val="1"/>
      <w:numFmt w:val="decimal"/>
      <w:lvlRestart w:val="0"/>
      <w:pStyle w:val="NumberedList1"/>
      <w:lvlText w:val="%1."/>
      <w:lvlJc w:val="left"/>
      <w:pPr>
        <w:tabs>
          <w:tab w:val="num" w:pos="567"/>
        </w:tabs>
        <w:ind w:left="567" w:hanging="567"/>
      </w:pPr>
      <w:rPr>
        <w:b w:val="0"/>
        <w:i w:val="0"/>
      </w:rPr>
    </w:lvl>
    <w:lvl w:ilvl="1">
      <w:start w:val="1"/>
      <w:numFmt w:val="decimal"/>
      <w:pStyle w:val="NumberedList11"/>
      <w:lvlText w:val="%1.%2."/>
      <w:lvlJc w:val="left"/>
      <w:pPr>
        <w:tabs>
          <w:tab w:val="num" w:pos="1134"/>
        </w:tabs>
        <w:ind w:left="1134" w:hanging="567"/>
      </w:pPr>
      <w:rPr>
        <w:b w:val="0"/>
        <w:i w:val="0"/>
      </w:rPr>
    </w:lvl>
    <w:lvl w:ilvl="2">
      <w:start w:val="1"/>
      <w:numFmt w:val="decimal"/>
      <w:pStyle w:val="NumberedList111"/>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7440C8B"/>
    <w:multiLevelType w:val="multilevel"/>
    <w:tmpl w:val="1A2A19BE"/>
    <w:name w:val="NewParagraphList"/>
    <w:lvl w:ilvl="0">
      <w:start w:val="1"/>
      <w:numFmt w:val="decimal"/>
      <w:lvlRestart w:val="0"/>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0" w15:restartNumberingAfterBreak="0">
    <w:nsid w:val="293042B6"/>
    <w:multiLevelType w:val="hybridMultilevel"/>
    <w:tmpl w:val="AF7E10C8"/>
    <w:lvl w:ilvl="0" w:tplc="4286996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665DFA"/>
    <w:multiLevelType w:val="singleLevel"/>
    <w:tmpl w:val="C0868FF0"/>
    <w:name w:val="RecommendationAlphaList"/>
    <w:lvl w:ilvl="0">
      <w:start w:val="1"/>
      <w:numFmt w:val="lowerLetter"/>
      <w:pStyle w:val="AlphaParagraph"/>
      <w:lvlText w:val="(%1)"/>
      <w:lvlJc w:val="left"/>
      <w:pPr>
        <w:ind w:left="360" w:hanging="360"/>
      </w:pPr>
      <w:rPr>
        <w:rFonts w:ascii="Calibri" w:hAnsi="Calibri" w:cs="Times New Roman" w:hint="default"/>
        <w:b w:val="0"/>
        <w:i w:val="0"/>
        <w:color w:val="auto"/>
        <w:sz w:val="22"/>
      </w:rPr>
    </w:lvl>
  </w:abstractNum>
  <w:abstractNum w:abstractNumId="22" w15:restartNumberingAfterBreak="0">
    <w:nsid w:val="2EAA61CE"/>
    <w:multiLevelType w:val="multilevel"/>
    <w:tmpl w:val="F1F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77770F"/>
    <w:multiLevelType w:val="multilevel"/>
    <w:tmpl w:val="71CABCBA"/>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30835B52"/>
    <w:multiLevelType w:val="multilevel"/>
    <w:tmpl w:val="2E16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167172"/>
    <w:multiLevelType w:val="hybridMultilevel"/>
    <w:tmpl w:val="1734853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3700C6"/>
    <w:multiLevelType w:val="multilevel"/>
    <w:tmpl w:val="91921BC0"/>
    <w:lvl w:ilvl="0">
      <w:start w:val="1"/>
      <w:numFmt w:val="decimal"/>
      <w:pStyle w:val="NumberedParagraph1"/>
      <w:lvlText w:val="%1"/>
      <w:lvlJc w:val="left"/>
      <w:pPr>
        <w:ind w:left="567" w:hanging="567"/>
      </w:pPr>
      <w:rPr>
        <w:rFonts w:asciiTheme="minorHAnsi" w:hAnsiTheme="minorHAnsi" w:hint="default"/>
        <w:b w:val="0"/>
        <w:i w:val="0"/>
        <w:vanish w:val="0"/>
        <w:sz w:val="22"/>
      </w:rPr>
    </w:lvl>
    <w:lvl w:ilvl="1">
      <w:start w:val="1"/>
      <w:numFmt w:val="decimal"/>
      <w:pStyle w:val="NumberedParagraph11"/>
      <w:lvlText w:val="%1.%2"/>
      <w:lvlJc w:val="left"/>
      <w:pPr>
        <w:ind w:left="567" w:hanging="567"/>
      </w:pPr>
      <w:rPr>
        <w:rFonts w:hint="default"/>
        <w:b w:val="0"/>
        <w:i w:val="0"/>
      </w:rPr>
    </w:lvl>
    <w:lvl w:ilvl="2">
      <w:start w:val="1"/>
      <w:numFmt w:val="decimal"/>
      <w:pStyle w:val="NumberedParagraph111"/>
      <w:lvlText w:val="%1.%2.%3"/>
      <w:lvlJc w:val="left"/>
      <w:pPr>
        <w:ind w:left="567" w:hanging="567"/>
      </w:pPr>
      <w:rPr>
        <w:rFonts w:hint="default"/>
        <w:b w:val="0"/>
        <w:i w:val="0"/>
      </w:rPr>
    </w:lvl>
    <w:lvl w:ilvl="3">
      <w:start w:val="1"/>
      <w:numFmt w:val="lowerLetter"/>
      <w:pStyle w:val="NumberedParagraphalpha"/>
      <w:lvlText w:val="(%4)"/>
      <w:lvlJc w:val="left"/>
      <w:pPr>
        <w:ind w:left="1134" w:hanging="567"/>
      </w:pPr>
      <w:rPr>
        <w:rFonts w:hint="default"/>
        <w:b w:val="0"/>
        <w:i w:val="0"/>
      </w:rPr>
    </w:lvl>
    <w:lvl w:ilvl="4">
      <w:start w:val="1"/>
      <w:numFmt w:val="decimal"/>
      <w:pStyle w:val="NumberedParagraphnumbers"/>
      <w:lvlText w:val="(%5)"/>
      <w:lvlJc w:val="left"/>
      <w:pPr>
        <w:ind w:left="1134" w:hanging="567"/>
      </w:pPr>
      <w:rPr>
        <w:rFonts w:hint="default"/>
        <w:b w:val="0"/>
        <w:i w:val="0"/>
      </w:rPr>
    </w:lvl>
    <w:lvl w:ilvl="5">
      <w:start w:val="1"/>
      <w:numFmt w:val="lowerRoman"/>
      <w:pStyle w:val="NumberedParagraphroman"/>
      <w:lvlText w:val="(%6)"/>
      <w:lvlJc w:val="left"/>
      <w:pPr>
        <w:ind w:left="1134" w:hanging="567"/>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15:restartNumberingAfterBreak="0">
    <w:nsid w:val="470A060D"/>
    <w:multiLevelType w:val="singleLevel"/>
    <w:tmpl w:val="7DD26AF0"/>
    <w:lvl w:ilvl="0">
      <w:start w:val="1"/>
      <w:numFmt w:val="lowerLetter"/>
      <w:lvlText w:val="(%1)"/>
      <w:lvlJc w:val="left"/>
      <w:pPr>
        <w:ind w:left="360" w:hanging="360"/>
      </w:pPr>
      <w:rPr>
        <w:rFonts w:ascii="Calibri" w:hAnsi="Calibri" w:cs="Times New Roman" w:hint="default"/>
        <w:b w:val="0"/>
        <w:i w:val="0"/>
        <w:color w:val="auto"/>
      </w:rPr>
    </w:lvl>
  </w:abstractNum>
  <w:abstractNum w:abstractNumId="29" w15:restartNumberingAfterBreak="0">
    <w:nsid w:val="4CE06931"/>
    <w:multiLevelType w:val="singleLevel"/>
    <w:tmpl w:val="4BF4570C"/>
    <w:lvl w:ilvl="0">
      <w:start w:val="1"/>
      <w:numFmt w:val="lowerLetter"/>
      <w:pStyle w:val="Notealpha"/>
      <w:lvlText w:val="%1)"/>
      <w:lvlJc w:val="left"/>
      <w:pPr>
        <w:ind w:left="360" w:hanging="360"/>
      </w:pPr>
      <w:rPr>
        <w:rFonts w:hint="default"/>
        <w:b w:val="0"/>
        <w:i w:val="0"/>
        <w:color w:val="000000"/>
        <w:sz w:val="16"/>
      </w:rPr>
    </w:lvl>
  </w:abstractNum>
  <w:abstractNum w:abstractNumId="30" w15:restartNumberingAfterBreak="0">
    <w:nsid w:val="4DCF3A8E"/>
    <w:multiLevelType w:val="singleLevel"/>
    <w:tmpl w:val="00087A28"/>
    <w:name w:val="Roman numeral list"/>
    <w:lvl w:ilvl="0">
      <w:start w:val="1"/>
      <w:numFmt w:val="lowerRoman"/>
      <w:lvlRestart w:val="0"/>
      <w:pStyle w:val="Romannumeral"/>
      <w:lvlText w:val="(%1)"/>
      <w:lvlJc w:val="left"/>
      <w:pPr>
        <w:tabs>
          <w:tab w:val="num" w:pos="1134"/>
        </w:tabs>
        <w:ind w:left="1134" w:hanging="567"/>
      </w:pPr>
      <w:rPr>
        <w:b w:val="0"/>
        <w:i w:val="0"/>
        <w:color w:val="000000"/>
      </w:rPr>
    </w:lvl>
  </w:abstractNum>
  <w:abstractNum w:abstractNumId="31" w15:restartNumberingAfterBreak="0">
    <w:nsid w:val="51196E57"/>
    <w:multiLevelType w:val="multilevel"/>
    <w:tmpl w:val="B2E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D4B0B"/>
    <w:multiLevelType w:val="hybridMultilevel"/>
    <w:tmpl w:val="466C0638"/>
    <w:lvl w:ilvl="0" w:tplc="64348868">
      <w:start w:val="1"/>
      <w:numFmt w:val="bullet"/>
      <w:lvlText w:val="-"/>
      <w:lvlJc w:val="left"/>
      <w:pPr>
        <w:ind w:left="720" w:hanging="360"/>
      </w:pPr>
      <w:rPr>
        <w:rFonts w:ascii="Calibri" w:hAnsi="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101827"/>
    <w:multiLevelType w:val="multilevel"/>
    <w:tmpl w:val="5C8E20D0"/>
    <w:name w:val="BoxBulletedList"/>
    <w:lvl w:ilvl="0">
      <w:start w:val="1"/>
      <w:numFmt w:val="bullet"/>
      <w:pStyle w:val="BoxBullet"/>
      <w:lvlText w:val="•"/>
      <w:lvlJc w:val="left"/>
      <w:pPr>
        <w:ind w:left="284" w:hanging="284"/>
      </w:pPr>
      <w:rPr>
        <w:rFonts w:ascii="Segoe UI" w:hAnsi="Segoe U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xDash"/>
      <w:lvlText w:val="–"/>
      <w:lvlJc w:val="left"/>
      <w:pPr>
        <w:tabs>
          <w:tab w:val="num" w:pos="567"/>
        </w:tabs>
        <w:ind w:left="568" w:hanging="284"/>
      </w:pPr>
      <w:rPr>
        <w:rFonts w:hint="default"/>
        <w:b w:val="0"/>
        <w:i w:val="0"/>
      </w:rPr>
    </w:lvl>
    <w:lvl w:ilvl="2">
      <w:start w:val="1"/>
      <w:numFmt w:val="bullet"/>
      <w:pStyle w:val="BoxDoubleDo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abstractNum w:abstractNumId="34"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5" w15:restartNumberingAfterBreak="0">
    <w:nsid w:val="662442AE"/>
    <w:multiLevelType w:val="singleLevel"/>
    <w:tmpl w:val="A87ABB18"/>
    <w:lvl w:ilvl="0">
      <w:start w:val="1"/>
      <w:numFmt w:val="lowerRoman"/>
      <w:lvlRestart w:val="0"/>
      <w:lvlText w:val="(%1)"/>
      <w:lvlJc w:val="left"/>
      <w:pPr>
        <w:tabs>
          <w:tab w:val="num" w:pos="567"/>
        </w:tabs>
        <w:ind w:left="0" w:firstLine="0"/>
      </w:pPr>
      <w:rPr>
        <w:rFonts w:ascii="Times New Roman" w:hAnsi="Times New Roman" w:cs="Times New Roman"/>
        <w:b w:val="0"/>
        <w:i w:val="0"/>
        <w:color w:val="000000"/>
      </w:rPr>
    </w:lvl>
  </w:abstractNum>
  <w:abstractNum w:abstractNumId="36" w15:restartNumberingAfterBreak="0">
    <w:nsid w:val="6E9A4EBB"/>
    <w:multiLevelType w:val="hybridMultilevel"/>
    <w:tmpl w:val="8F0C5940"/>
    <w:lvl w:ilvl="0" w:tplc="CEB6C30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5A12A2"/>
    <w:multiLevelType w:val="hybridMultilevel"/>
    <w:tmpl w:val="D5B2C2E6"/>
    <w:lvl w:ilvl="0" w:tplc="4AF02EDA">
      <w:start w:val="1"/>
      <w:numFmt w:val="bullet"/>
      <w:lvlText w:val=":"/>
      <w:lvlJc w:val="left"/>
      <w:pPr>
        <w:ind w:left="720" w:hanging="360"/>
      </w:pPr>
      <w:rPr>
        <w:rFonts w:ascii="Calibri" w:hAnsi="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408905">
    <w:abstractNumId w:val="18"/>
  </w:num>
  <w:num w:numId="2" w16cid:durableId="982851464">
    <w:abstractNumId w:val="21"/>
  </w:num>
  <w:num w:numId="3" w16cid:durableId="1114134390">
    <w:abstractNumId w:val="29"/>
  </w:num>
  <w:num w:numId="4" w16cid:durableId="1722971660">
    <w:abstractNumId w:val="33"/>
  </w:num>
  <w:num w:numId="5" w16cid:durableId="1784569137">
    <w:abstractNumId w:val="30"/>
  </w:num>
  <w:num w:numId="6" w16cid:durableId="744259204">
    <w:abstractNumId w:val="27"/>
  </w:num>
  <w:num w:numId="7" w16cid:durableId="1293096655">
    <w:abstractNumId w:val="25"/>
  </w:num>
  <w:num w:numId="8" w16cid:durableId="866067138">
    <w:abstractNumId w:val="23"/>
  </w:num>
  <w:num w:numId="9" w16cid:durableId="1231381608">
    <w:abstractNumId w:val="9"/>
  </w:num>
  <w:num w:numId="10" w16cid:durableId="1435131293">
    <w:abstractNumId w:val="7"/>
  </w:num>
  <w:num w:numId="11" w16cid:durableId="977760185">
    <w:abstractNumId w:val="6"/>
  </w:num>
  <w:num w:numId="12" w16cid:durableId="1864050206">
    <w:abstractNumId w:val="5"/>
  </w:num>
  <w:num w:numId="13" w16cid:durableId="1043403270">
    <w:abstractNumId w:val="4"/>
  </w:num>
  <w:num w:numId="14" w16cid:durableId="1530412670">
    <w:abstractNumId w:val="8"/>
  </w:num>
  <w:num w:numId="15" w16cid:durableId="1661618011">
    <w:abstractNumId w:val="3"/>
  </w:num>
  <w:num w:numId="16" w16cid:durableId="1373652150">
    <w:abstractNumId w:val="2"/>
  </w:num>
  <w:num w:numId="17" w16cid:durableId="1278172958">
    <w:abstractNumId w:val="1"/>
  </w:num>
  <w:num w:numId="18" w16cid:durableId="1586955393">
    <w:abstractNumId w:val="0"/>
  </w:num>
  <w:num w:numId="19" w16cid:durableId="1271468444">
    <w:abstractNumId w:val="29"/>
    <w:lvlOverride w:ilvl="0">
      <w:startOverride w:val="1"/>
    </w:lvlOverride>
  </w:num>
  <w:num w:numId="20" w16cid:durableId="52001873">
    <w:abstractNumId w:val="29"/>
    <w:lvlOverride w:ilvl="0">
      <w:startOverride w:val="1"/>
    </w:lvlOverride>
  </w:num>
  <w:num w:numId="21" w16cid:durableId="2087918745">
    <w:abstractNumId w:val="22"/>
  </w:num>
  <w:num w:numId="22" w16cid:durableId="2055815139">
    <w:abstractNumId w:val="12"/>
  </w:num>
  <w:num w:numId="23" w16cid:durableId="1485009928">
    <w:abstractNumId w:val="24"/>
  </w:num>
  <w:num w:numId="24" w16cid:durableId="1875801531">
    <w:abstractNumId w:val="31"/>
  </w:num>
  <w:num w:numId="25" w16cid:durableId="767118030">
    <w:abstractNumId w:val="26"/>
  </w:num>
  <w:num w:numId="26" w16cid:durableId="1043020558">
    <w:abstractNumId w:val="14"/>
  </w:num>
  <w:num w:numId="27" w16cid:durableId="465584620">
    <w:abstractNumId w:val="15"/>
  </w:num>
  <w:num w:numId="28" w16cid:durableId="1988051516">
    <w:abstractNumId w:val="28"/>
  </w:num>
  <w:num w:numId="29" w16cid:durableId="544752425">
    <w:abstractNumId w:val="35"/>
  </w:num>
  <w:num w:numId="30" w16cid:durableId="2021270453">
    <w:abstractNumId w:val="11"/>
  </w:num>
  <w:num w:numId="31" w16cid:durableId="1459106374">
    <w:abstractNumId w:val="10"/>
  </w:num>
  <w:num w:numId="32" w16cid:durableId="163060655">
    <w:abstractNumId w:val="34"/>
  </w:num>
  <w:num w:numId="33" w16cid:durableId="1615557831">
    <w:abstractNumId w:val="17"/>
  </w:num>
  <w:num w:numId="34" w16cid:durableId="439109307">
    <w:abstractNumId w:val="36"/>
  </w:num>
  <w:num w:numId="35" w16cid:durableId="1364671709">
    <w:abstractNumId w:val="32"/>
  </w:num>
  <w:num w:numId="36" w16cid:durableId="1842045373">
    <w:abstractNumId w:val="37"/>
  </w:num>
  <w:num w:numId="37" w16cid:durableId="281880946">
    <w:abstractNumId w:val="20"/>
  </w:num>
  <w:num w:numId="38" w16cid:durableId="1699771984">
    <w:abstractNumId w:val="25"/>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9" w16cid:durableId="151541447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3NTQ0szQ1NjA3tDRR0lEKTi0uzszPAykwrAUAujZzFCwAAAA="/>
    <w:docVar w:name="FOIClassificationInHeader" w:val="False"/>
    <w:docVar w:name="SecurityClassificationInHeader" w:val="False"/>
    <w:docVar w:name="SecurityDLMInHeader" w:val="False"/>
  </w:docVars>
  <w:rsids>
    <w:rsidRoot w:val="00080C5D"/>
    <w:rsid w:val="00000748"/>
    <w:rsid w:val="00000A47"/>
    <w:rsid w:val="00000CE0"/>
    <w:rsid w:val="000023C4"/>
    <w:rsid w:val="00002D1A"/>
    <w:rsid w:val="000031D5"/>
    <w:rsid w:val="00003A0D"/>
    <w:rsid w:val="000044D0"/>
    <w:rsid w:val="000047FE"/>
    <w:rsid w:val="00005665"/>
    <w:rsid w:val="000058D9"/>
    <w:rsid w:val="0000629E"/>
    <w:rsid w:val="00006364"/>
    <w:rsid w:val="000063F1"/>
    <w:rsid w:val="00006AC8"/>
    <w:rsid w:val="00007A75"/>
    <w:rsid w:val="0001070A"/>
    <w:rsid w:val="0001128F"/>
    <w:rsid w:val="00013B1C"/>
    <w:rsid w:val="0001545C"/>
    <w:rsid w:val="00015591"/>
    <w:rsid w:val="0001584B"/>
    <w:rsid w:val="00015CE8"/>
    <w:rsid w:val="00015E36"/>
    <w:rsid w:val="00016AA7"/>
    <w:rsid w:val="00016D41"/>
    <w:rsid w:val="00016E5B"/>
    <w:rsid w:val="0001710C"/>
    <w:rsid w:val="00017AA6"/>
    <w:rsid w:val="00017E3B"/>
    <w:rsid w:val="000200E9"/>
    <w:rsid w:val="00020AF7"/>
    <w:rsid w:val="00020CBF"/>
    <w:rsid w:val="00020F3E"/>
    <w:rsid w:val="00021043"/>
    <w:rsid w:val="00021708"/>
    <w:rsid w:val="00021D73"/>
    <w:rsid w:val="000221A2"/>
    <w:rsid w:val="00022499"/>
    <w:rsid w:val="000227EE"/>
    <w:rsid w:val="000229E5"/>
    <w:rsid w:val="00022F04"/>
    <w:rsid w:val="00023033"/>
    <w:rsid w:val="000244B0"/>
    <w:rsid w:val="0002472C"/>
    <w:rsid w:val="00024831"/>
    <w:rsid w:val="0002497D"/>
    <w:rsid w:val="00025A90"/>
    <w:rsid w:val="00026A89"/>
    <w:rsid w:val="00026BA2"/>
    <w:rsid w:val="0002750E"/>
    <w:rsid w:val="00027519"/>
    <w:rsid w:val="00027673"/>
    <w:rsid w:val="000277CE"/>
    <w:rsid w:val="00027A47"/>
    <w:rsid w:val="00030196"/>
    <w:rsid w:val="0003030A"/>
    <w:rsid w:val="00031314"/>
    <w:rsid w:val="00031389"/>
    <w:rsid w:val="000319C4"/>
    <w:rsid w:val="00031AE8"/>
    <w:rsid w:val="00031D00"/>
    <w:rsid w:val="00031E2B"/>
    <w:rsid w:val="00031E96"/>
    <w:rsid w:val="000324D0"/>
    <w:rsid w:val="00033209"/>
    <w:rsid w:val="00033413"/>
    <w:rsid w:val="0003400F"/>
    <w:rsid w:val="00034875"/>
    <w:rsid w:val="0003577A"/>
    <w:rsid w:val="000361AA"/>
    <w:rsid w:val="000361B1"/>
    <w:rsid w:val="000362A6"/>
    <w:rsid w:val="00036758"/>
    <w:rsid w:val="00036938"/>
    <w:rsid w:val="00036BA7"/>
    <w:rsid w:val="00036D94"/>
    <w:rsid w:val="000370DC"/>
    <w:rsid w:val="0003731A"/>
    <w:rsid w:val="0003749A"/>
    <w:rsid w:val="0003759C"/>
    <w:rsid w:val="000375CE"/>
    <w:rsid w:val="00037AC8"/>
    <w:rsid w:val="00037B8A"/>
    <w:rsid w:val="00037D61"/>
    <w:rsid w:val="00037F49"/>
    <w:rsid w:val="000400BD"/>
    <w:rsid w:val="0004022E"/>
    <w:rsid w:val="00040693"/>
    <w:rsid w:val="00041252"/>
    <w:rsid w:val="00042890"/>
    <w:rsid w:val="00042927"/>
    <w:rsid w:val="00042B2C"/>
    <w:rsid w:val="00042E54"/>
    <w:rsid w:val="0004321C"/>
    <w:rsid w:val="00043AF2"/>
    <w:rsid w:val="00043B09"/>
    <w:rsid w:val="00043B0F"/>
    <w:rsid w:val="00043FF7"/>
    <w:rsid w:val="00044314"/>
    <w:rsid w:val="000446C8"/>
    <w:rsid w:val="00044A90"/>
    <w:rsid w:val="0004513B"/>
    <w:rsid w:val="000452FB"/>
    <w:rsid w:val="0004569F"/>
    <w:rsid w:val="00045804"/>
    <w:rsid w:val="00046249"/>
    <w:rsid w:val="00046706"/>
    <w:rsid w:val="00046EC5"/>
    <w:rsid w:val="00046FF4"/>
    <w:rsid w:val="00047CE9"/>
    <w:rsid w:val="00050EC0"/>
    <w:rsid w:val="0005238E"/>
    <w:rsid w:val="0005242D"/>
    <w:rsid w:val="00052AC9"/>
    <w:rsid w:val="00052DF7"/>
    <w:rsid w:val="00053244"/>
    <w:rsid w:val="00053BF7"/>
    <w:rsid w:val="00053F19"/>
    <w:rsid w:val="0005412B"/>
    <w:rsid w:val="000547A6"/>
    <w:rsid w:val="00054A06"/>
    <w:rsid w:val="00054E96"/>
    <w:rsid w:val="00055E02"/>
    <w:rsid w:val="00056B7E"/>
    <w:rsid w:val="0006030C"/>
    <w:rsid w:val="00060A38"/>
    <w:rsid w:val="00060F2F"/>
    <w:rsid w:val="0006137D"/>
    <w:rsid w:val="000615BA"/>
    <w:rsid w:val="0006166B"/>
    <w:rsid w:val="00061CFF"/>
    <w:rsid w:val="00061D4A"/>
    <w:rsid w:val="00062314"/>
    <w:rsid w:val="000623D5"/>
    <w:rsid w:val="000637F9"/>
    <w:rsid w:val="00063D60"/>
    <w:rsid w:val="000644E8"/>
    <w:rsid w:val="000650A2"/>
    <w:rsid w:val="00065363"/>
    <w:rsid w:val="000653D0"/>
    <w:rsid w:val="000653E8"/>
    <w:rsid w:val="0006547E"/>
    <w:rsid w:val="000658E4"/>
    <w:rsid w:val="00065E41"/>
    <w:rsid w:val="00065FF9"/>
    <w:rsid w:val="0006679B"/>
    <w:rsid w:val="00066CCE"/>
    <w:rsid w:val="00067EED"/>
    <w:rsid w:val="00070228"/>
    <w:rsid w:val="00070563"/>
    <w:rsid w:val="0007098F"/>
    <w:rsid w:val="00070F5B"/>
    <w:rsid w:val="00071BEF"/>
    <w:rsid w:val="000722B0"/>
    <w:rsid w:val="000727D5"/>
    <w:rsid w:val="000729C6"/>
    <w:rsid w:val="00072FB1"/>
    <w:rsid w:val="00072FDA"/>
    <w:rsid w:val="00073092"/>
    <w:rsid w:val="00073385"/>
    <w:rsid w:val="00073C96"/>
    <w:rsid w:val="000747EA"/>
    <w:rsid w:val="00074B1B"/>
    <w:rsid w:val="00074D1B"/>
    <w:rsid w:val="00075BE1"/>
    <w:rsid w:val="00077094"/>
    <w:rsid w:val="0007759D"/>
    <w:rsid w:val="0008009E"/>
    <w:rsid w:val="000807C5"/>
    <w:rsid w:val="00080B28"/>
    <w:rsid w:val="00080B69"/>
    <w:rsid w:val="00080C5D"/>
    <w:rsid w:val="00081456"/>
    <w:rsid w:val="000817B2"/>
    <w:rsid w:val="00081AD2"/>
    <w:rsid w:val="00081F97"/>
    <w:rsid w:val="00082250"/>
    <w:rsid w:val="0008243C"/>
    <w:rsid w:val="00082AFE"/>
    <w:rsid w:val="00084C5C"/>
    <w:rsid w:val="0008512F"/>
    <w:rsid w:val="0008548C"/>
    <w:rsid w:val="0008640A"/>
    <w:rsid w:val="000866C8"/>
    <w:rsid w:val="00086A70"/>
    <w:rsid w:val="00086DB1"/>
    <w:rsid w:val="00086EA5"/>
    <w:rsid w:val="00087817"/>
    <w:rsid w:val="00087C70"/>
    <w:rsid w:val="00090DF9"/>
    <w:rsid w:val="00090F8E"/>
    <w:rsid w:val="00091760"/>
    <w:rsid w:val="000919A4"/>
    <w:rsid w:val="00091C2A"/>
    <w:rsid w:val="000933FB"/>
    <w:rsid w:val="0009352C"/>
    <w:rsid w:val="00093B41"/>
    <w:rsid w:val="00093F1D"/>
    <w:rsid w:val="0009407E"/>
    <w:rsid w:val="0009596D"/>
    <w:rsid w:val="00095DC9"/>
    <w:rsid w:val="000966E1"/>
    <w:rsid w:val="000968B2"/>
    <w:rsid w:val="00096B15"/>
    <w:rsid w:val="00096BC6"/>
    <w:rsid w:val="0009723F"/>
    <w:rsid w:val="000976ED"/>
    <w:rsid w:val="0009773B"/>
    <w:rsid w:val="000A0916"/>
    <w:rsid w:val="000A18FC"/>
    <w:rsid w:val="000A2831"/>
    <w:rsid w:val="000A2E5B"/>
    <w:rsid w:val="000A33B1"/>
    <w:rsid w:val="000A38C9"/>
    <w:rsid w:val="000A3B11"/>
    <w:rsid w:val="000A4466"/>
    <w:rsid w:val="000A4471"/>
    <w:rsid w:val="000A448D"/>
    <w:rsid w:val="000A4A85"/>
    <w:rsid w:val="000A4C69"/>
    <w:rsid w:val="000A4CCC"/>
    <w:rsid w:val="000A546A"/>
    <w:rsid w:val="000A63B0"/>
    <w:rsid w:val="000A7034"/>
    <w:rsid w:val="000A75E4"/>
    <w:rsid w:val="000A7B19"/>
    <w:rsid w:val="000A7D56"/>
    <w:rsid w:val="000B0836"/>
    <w:rsid w:val="000B14FE"/>
    <w:rsid w:val="000B246A"/>
    <w:rsid w:val="000B2F53"/>
    <w:rsid w:val="000B36A5"/>
    <w:rsid w:val="000B38FC"/>
    <w:rsid w:val="000B424E"/>
    <w:rsid w:val="000B4783"/>
    <w:rsid w:val="000B50FC"/>
    <w:rsid w:val="000B548C"/>
    <w:rsid w:val="000B58B8"/>
    <w:rsid w:val="000B598F"/>
    <w:rsid w:val="000B5A29"/>
    <w:rsid w:val="000B5EA9"/>
    <w:rsid w:val="000B628E"/>
    <w:rsid w:val="000B7B40"/>
    <w:rsid w:val="000B7D35"/>
    <w:rsid w:val="000B7E0B"/>
    <w:rsid w:val="000C0B22"/>
    <w:rsid w:val="000C181C"/>
    <w:rsid w:val="000C27CD"/>
    <w:rsid w:val="000C2F0B"/>
    <w:rsid w:val="000C2F2A"/>
    <w:rsid w:val="000C3859"/>
    <w:rsid w:val="000C3B3A"/>
    <w:rsid w:val="000C4C0A"/>
    <w:rsid w:val="000C4E06"/>
    <w:rsid w:val="000C51FC"/>
    <w:rsid w:val="000C5C71"/>
    <w:rsid w:val="000C68A0"/>
    <w:rsid w:val="000C6AAD"/>
    <w:rsid w:val="000C7974"/>
    <w:rsid w:val="000C7A55"/>
    <w:rsid w:val="000C7C7E"/>
    <w:rsid w:val="000D05BA"/>
    <w:rsid w:val="000D0708"/>
    <w:rsid w:val="000D07E0"/>
    <w:rsid w:val="000D18BE"/>
    <w:rsid w:val="000D1FB0"/>
    <w:rsid w:val="000D24B0"/>
    <w:rsid w:val="000D3929"/>
    <w:rsid w:val="000D4886"/>
    <w:rsid w:val="000D4D2A"/>
    <w:rsid w:val="000D5842"/>
    <w:rsid w:val="000D5B7B"/>
    <w:rsid w:val="000D61BB"/>
    <w:rsid w:val="000D6A2A"/>
    <w:rsid w:val="000D7D21"/>
    <w:rsid w:val="000E0400"/>
    <w:rsid w:val="000E199E"/>
    <w:rsid w:val="000E2264"/>
    <w:rsid w:val="000E226A"/>
    <w:rsid w:val="000E262D"/>
    <w:rsid w:val="000E273F"/>
    <w:rsid w:val="000E290E"/>
    <w:rsid w:val="000E2D3A"/>
    <w:rsid w:val="000E2F7A"/>
    <w:rsid w:val="000E4562"/>
    <w:rsid w:val="000E4B4C"/>
    <w:rsid w:val="000E599E"/>
    <w:rsid w:val="000E59A8"/>
    <w:rsid w:val="000E5CD9"/>
    <w:rsid w:val="000E624D"/>
    <w:rsid w:val="000E662E"/>
    <w:rsid w:val="000E664E"/>
    <w:rsid w:val="000E66AF"/>
    <w:rsid w:val="000E71FD"/>
    <w:rsid w:val="000E775B"/>
    <w:rsid w:val="000F0594"/>
    <w:rsid w:val="000F0890"/>
    <w:rsid w:val="000F0BB3"/>
    <w:rsid w:val="000F1199"/>
    <w:rsid w:val="000F15E0"/>
    <w:rsid w:val="000F181E"/>
    <w:rsid w:val="000F2F78"/>
    <w:rsid w:val="000F3036"/>
    <w:rsid w:val="000F3F30"/>
    <w:rsid w:val="000F44E1"/>
    <w:rsid w:val="000F4660"/>
    <w:rsid w:val="000F46AD"/>
    <w:rsid w:val="000F4F06"/>
    <w:rsid w:val="000F4F37"/>
    <w:rsid w:val="000F507F"/>
    <w:rsid w:val="000F5093"/>
    <w:rsid w:val="000F50F5"/>
    <w:rsid w:val="000F53D2"/>
    <w:rsid w:val="000F5A3C"/>
    <w:rsid w:val="000F5C28"/>
    <w:rsid w:val="000F5F44"/>
    <w:rsid w:val="000F6896"/>
    <w:rsid w:val="000F6E46"/>
    <w:rsid w:val="000F784E"/>
    <w:rsid w:val="001005B9"/>
    <w:rsid w:val="001016BB"/>
    <w:rsid w:val="00101717"/>
    <w:rsid w:val="00101792"/>
    <w:rsid w:val="00101F15"/>
    <w:rsid w:val="001028AC"/>
    <w:rsid w:val="001028D8"/>
    <w:rsid w:val="00102D0B"/>
    <w:rsid w:val="00103004"/>
    <w:rsid w:val="0010317B"/>
    <w:rsid w:val="00103B5B"/>
    <w:rsid w:val="00104519"/>
    <w:rsid w:val="001048CD"/>
    <w:rsid w:val="001048F1"/>
    <w:rsid w:val="00105666"/>
    <w:rsid w:val="00105D17"/>
    <w:rsid w:val="00106318"/>
    <w:rsid w:val="001067A0"/>
    <w:rsid w:val="001067C6"/>
    <w:rsid w:val="00106EE8"/>
    <w:rsid w:val="0010706A"/>
    <w:rsid w:val="0010744D"/>
    <w:rsid w:val="0010754B"/>
    <w:rsid w:val="0011010E"/>
    <w:rsid w:val="001105E1"/>
    <w:rsid w:val="0011097F"/>
    <w:rsid w:val="0011105C"/>
    <w:rsid w:val="00111646"/>
    <w:rsid w:val="001121C6"/>
    <w:rsid w:val="0011234D"/>
    <w:rsid w:val="0011306B"/>
    <w:rsid w:val="001133A3"/>
    <w:rsid w:val="00114342"/>
    <w:rsid w:val="00114651"/>
    <w:rsid w:val="001146FE"/>
    <w:rsid w:val="00115E43"/>
    <w:rsid w:val="00116DB4"/>
    <w:rsid w:val="00117011"/>
    <w:rsid w:val="00117388"/>
    <w:rsid w:val="0011773E"/>
    <w:rsid w:val="001200E8"/>
    <w:rsid w:val="001200FD"/>
    <w:rsid w:val="00120CE3"/>
    <w:rsid w:val="0012118B"/>
    <w:rsid w:val="001215F9"/>
    <w:rsid w:val="00121CCD"/>
    <w:rsid w:val="0012257C"/>
    <w:rsid w:val="00123B78"/>
    <w:rsid w:val="00123D5B"/>
    <w:rsid w:val="00123E1E"/>
    <w:rsid w:val="00124728"/>
    <w:rsid w:val="00124F89"/>
    <w:rsid w:val="001251F3"/>
    <w:rsid w:val="0012587B"/>
    <w:rsid w:val="00125ED1"/>
    <w:rsid w:val="00126D52"/>
    <w:rsid w:val="001270E5"/>
    <w:rsid w:val="0012779A"/>
    <w:rsid w:val="001279A8"/>
    <w:rsid w:val="00130576"/>
    <w:rsid w:val="00130D30"/>
    <w:rsid w:val="00130ECC"/>
    <w:rsid w:val="001325DF"/>
    <w:rsid w:val="001326BB"/>
    <w:rsid w:val="00132936"/>
    <w:rsid w:val="0013296C"/>
    <w:rsid w:val="001330D5"/>
    <w:rsid w:val="00133214"/>
    <w:rsid w:val="0013339C"/>
    <w:rsid w:val="00133538"/>
    <w:rsid w:val="00133600"/>
    <w:rsid w:val="00133626"/>
    <w:rsid w:val="0013389D"/>
    <w:rsid w:val="001338B0"/>
    <w:rsid w:val="00133FD1"/>
    <w:rsid w:val="00134030"/>
    <w:rsid w:val="0013416C"/>
    <w:rsid w:val="001343FA"/>
    <w:rsid w:val="001346CA"/>
    <w:rsid w:val="00134DF2"/>
    <w:rsid w:val="00134FAC"/>
    <w:rsid w:val="0013514E"/>
    <w:rsid w:val="0013542D"/>
    <w:rsid w:val="00135969"/>
    <w:rsid w:val="001360EE"/>
    <w:rsid w:val="00137340"/>
    <w:rsid w:val="0014029E"/>
    <w:rsid w:val="00140955"/>
    <w:rsid w:val="00140BD3"/>
    <w:rsid w:val="00141AB6"/>
    <w:rsid w:val="001429ED"/>
    <w:rsid w:val="00142A3D"/>
    <w:rsid w:val="00142D4B"/>
    <w:rsid w:val="0014336A"/>
    <w:rsid w:val="00143725"/>
    <w:rsid w:val="001437AF"/>
    <w:rsid w:val="00144494"/>
    <w:rsid w:val="0014453E"/>
    <w:rsid w:val="00144A98"/>
    <w:rsid w:val="00144CCC"/>
    <w:rsid w:val="001450EE"/>
    <w:rsid w:val="001451E2"/>
    <w:rsid w:val="001453D9"/>
    <w:rsid w:val="001453E5"/>
    <w:rsid w:val="00145889"/>
    <w:rsid w:val="00145CE9"/>
    <w:rsid w:val="001463A2"/>
    <w:rsid w:val="0014708B"/>
    <w:rsid w:val="001479E1"/>
    <w:rsid w:val="00147D77"/>
    <w:rsid w:val="0015011C"/>
    <w:rsid w:val="001503B8"/>
    <w:rsid w:val="00152001"/>
    <w:rsid w:val="001524F0"/>
    <w:rsid w:val="00152A60"/>
    <w:rsid w:val="00152A80"/>
    <w:rsid w:val="00153BBF"/>
    <w:rsid w:val="00153DD1"/>
    <w:rsid w:val="00154D49"/>
    <w:rsid w:val="00154DC1"/>
    <w:rsid w:val="00155071"/>
    <w:rsid w:val="001554F0"/>
    <w:rsid w:val="001558FB"/>
    <w:rsid w:val="00155C36"/>
    <w:rsid w:val="00156E34"/>
    <w:rsid w:val="00156FC3"/>
    <w:rsid w:val="00157690"/>
    <w:rsid w:val="00157776"/>
    <w:rsid w:val="0015782B"/>
    <w:rsid w:val="0016065C"/>
    <w:rsid w:val="00160A2C"/>
    <w:rsid w:val="00160ABA"/>
    <w:rsid w:val="001611F4"/>
    <w:rsid w:val="0016197D"/>
    <w:rsid w:val="00161AC8"/>
    <w:rsid w:val="00162D8A"/>
    <w:rsid w:val="001635C5"/>
    <w:rsid w:val="0016368D"/>
    <w:rsid w:val="00163E45"/>
    <w:rsid w:val="0016452A"/>
    <w:rsid w:val="00164B39"/>
    <w:rsid w:val="00164ECC"/>
    <w:rsid w:val="00165037"/>
    <w:rsid w:val="00165E22"/>
    <w:rsid w:val="00165F3F"/>
    <w:rsid w:val="00166753"/>
    <w:rsid w:val="00166E3E"/>
    <w:rsid w:val="00167061"/>
    <w:rsid w:val="00167068"/>
    <w:rsid w:val="00167A4F"/>
    <w:rsid w:val="00167EE9"/>
    <w:rsid w:val="001704CB"/>
    <w:rsid w:val="001717F1"/>
    <w:rsid w:val="00171FD7"/>
    <w:rsid w:val="001720DD"/>
    <w:rsid w:val="00172DFF"/>
    <w:rsid w:val="00173814"/>
    <w:rsid w:val="00173C49"/>
    <w:rsid w:val="00173CB5"/>
    <w:rsid w:val="00174E54"/>
    <w:rsid w:val="0017501E"/>
    <w:rsid w:val="00175145"/>
    <w:rsid w:val="001756BD"/>
    <w:rsid w:val="00175C81"/>
    <w:rsid w:val="0017624F"/>
    <w:rsid w:val="0017747D"/>
    <w:rsid w:val="001775FD"/>
    <w:rsid w:val="00177BA4"/>
    <w:rsid w:val="001807C4"/>
    <w:rsid w:val="00180CD0"/>
    <w:rsid w:val="001814F9"/>
    <w:rsid w:val="0018183E"/>
    <w:rsid w:val="00181886"/>
    <w:rsid w:val="00181D8A"/>
    <w:rsid w:val="00181F12"/>
    <w:rsid w:val="001820C5"/>
    <w:rsid w:val="00182490"/>
    <w:rsid w:val="00182C9D"/>
    <w:rsid w:val="00183998"/>
    <w:rsid w:val="00183A4A"/>
    <w:rsid w:val="00183BBE"/>
    <w:rsid w:val="00183C89"/>
    <w:rsid w:val="0018426A"/>
    <w:rsid w:val="0018487A"/>
    <w:rsid w:val="001850C5"/>
    <w:rsid w:val="00185789"/>
    <w:rsid w:val="00185CEC"/>
    <w:rsid w:val="00185D61"/>
    <w:rsid w:val="0018603B"/>
    <w:rsid w:val="001862CF"/>
    <w:rsid w:val="00186A9A"/>
    <w:rsid w:val="0019015A"/>
    <w:rsid w:val="001905B4"/>
    <w:rsid w:val="00190FE3"/>
    <w:rsid w:val="0019187F"/>
    <w:rsid w:val="00191905"/>
    <w:rsid w:val="0019295D"/>
    <w:rsid w:val="00193885"/>
    <w:rsid w:val="00193F2E"/>
    <w:rsid w:val="0019411F"/>
    <w:rsid w:val="0019439E"/>
    <w:rsid w:val="00194B0B"/>
    <w:rsid w:val="00194C19"/>
    <w:rsid w:val="00194CF6"/>
    <w:rsid w:val="00195193"/>
    <w:rsid w:val="00195C61"/>
    <w:rsid w:val="00195D66"/>
    <w:rsid w:val="00196369"/>
    <w:rsid w:val="00196521"/>
    <w:rsid w:val="001966F9"/>
    <w:rsid w:val="00196DD9"/>
    <w:rsid w:val="001975E2"/>
    <w:rsid w:val="00197835"/>
    <w:rsid w:val="001A0215"/>
    <w:rsid w:val="001A0503"/>
    <w:rsid w:val="001A0741"/>
    <w:rsid w:val="001A10DA"/>
    <w:rsid w:val="001A24D8"/>
    <w:rsid w:val="001A2B44"/>
    <w:rsid w:val="001A37BD"/>
    <w:rsid w:val="001A460E"/>
    <w:rsid w:val="001A4BA2"/>
    <w:rsid w:val="001A55CF"/>
    <w:rsid w:val="001A6659"/>
    <w:rsid w:val="001A6DFA"/>
    <w:rsid w:val="001A7276"/>
    <w:rsid w:val="001A798B"/>
    <w:rsid w:val="001A7CBB"/>
    <w:rsid w:val="001A7DDC"/>
    <w:rsid w:val="001A7F00"/>
    <w:rsid w:val="001B05D1"/>
    <w:rsid w:val="001B0601"/>
    <w:rsid w:val="001B07C3"/>
    <w:rsid w:val="001B08D8"/>
    <w:rsid w:val="001B09AE"/>
    <w:rsid w:val="001B0BCD"/>
    <w:rsid w:val="001B18F8"/>
    <w:rsid w:val="001B1F43"/>
    <w:rsid w:val="001B1FFA"/>
    <w:rsid w:val="001B25C9"/>
    <w:rsid w:val="001B2892"/>
    <w:rsid w:val="001B2B5A"/>
    <w:rsid w:val="001B4096"/>
    <w:rsid w:val="001B49A1"/>
    <w:rsid w:val="001B506E"/>
    <w:rsid w:val="001B52BD"/>
    <w:rsid w:val="001B52FD"/>
    <w:rsid w:val="001B56AD"/>
    <w:rsid w:val="001B67FD"/>
    <w:rsid w:val="001B6B69"/>
    <w:rsid w:val="001B799F"/>
    <w:rsid w:val="001C0227"/>
    <w:rsid w:val="001C029F"/>
    <w:rsid w:val="001C0362"/>
    <w:rsid w:val="001C0BBE"/>
    <w:rsid w:val="001C1167"/>
    <w:rsid w:val="001C12A4"/>
    <w:rsid w:val="001C1321"/>
    <w:rsid w:val="001C3012"/>
    <w:rsid w:val="001C329B"/>
    <w:rsid w:val="001C37CE"/>
    <w:rsid w:val="001C4CB3"/>
    <w:rsid w:val="001C500A"/>
    <w:rsid w:val="001C599C"/>
    <w:rsid w:val="001C5DFD"/>
    <w:rsid w:val="001C5F80"/>
    <w:rsid w:val="001C69A8"/>
    <w:rsid w:val="001C7841"/>
    <w:rsid w:val="001C7C9C"/>
    <w:rsid w:val="001D0783"/>
    <w:rsid w:val="001D0EAF"/>
    <w:rsid w:val="001D0EF2"/>
    <w:rsid w:val="001D10A0"/>
    <w:rsid w:val="001D18A2"/>
    <w:rsid w:val="001D298C"/>
    <w:rsid w:val="001D2DCF"/>
    <w:rsid w:val="001D3014"/>
    <w:rsid w:val="001D580D"/>
    <w:rsid w:val="001D5A50"/>
    <w:rsid w:val="001D5CCF"/>
    <w:rsid w:val="001D6298"/>
    <w:rsid w:val="001D6A8A"/>
    <w:rsid w:val="001D6D38"/>
    <w:rsid w:val="001D6EBE"/>
    <w:rsid w:val="001D7081"/>
    <w:rsid w:val="001D741E"/>
    <w:rsid w:val="001E01F9"/>
    <w:rsid w:val="001E031C"/>
    <w:rsid w:val="001E053C"/>
    <w:rsid w:val="001E0633"/>
    <w:rsid w:val="001E0C3B"/>
    <w:rsid w:val="001E185E"/>
    <w:rsid w:val="001E19A7"/>
    <w:rsid w:val="001E1BAF"/>
    <w:rsid w:val="001E1E23"/>
    <w:rsid w:val="001E1FEF"/>
    <w:rsid w:val="001E246E"/>
    <w:rsid w:val="001E2AB6"/>
    <w:rsid w:val="001E31CB"/>
    <w:rsid w:val="001E395A"/>
    <w:rsid w:val="001E39BE"/>
    <w:rsid w:val="001E3B61"/>
    <w:rsid w:val="001E3E0B"/>
    <w:rsid w:val="001E41E6"/>
    <w:rsid w:val="001E4B54"/>
    <w:rsid w:val="001E4C1D"/>
    <w:rsid w:val="001E4D40"/>
    <w:rsid w:val="001E53B4"/>
    <w:rsid w:val="001E685C"/>
    <w:rsid w:val="001E6D10"/>
    <w:rsid w:val="001E6E72"/>
    <w:rsid w:val="001E7019"/>
    <w:rsid w:val="001F0205"/>
    <w:rsid w:val="001F03BF"/>
    <w:rsid w:val="001F054B"/>
    <w:rsid w:val="001F117B"/>
    <w:rsid w:val="001F1EC1"/>
    <w:rsid w:val="001F2FAD"/>
    <w:rsid w:val="001F32DC"/>
    <w:rsid w:val="001F35E5"/>
    <w:rsid w:val="001F3917"/>
    <w:rsid w:val="001F3E0F"/>
    <w:rsid w:val="001F3EC2"/>
    <w:rsid w:val="001F4658"/>
    <w:rsid w:val="001F4A8C"/>
    <w:rsid w:val="001F4B81"/>
    <w:rsid w:val="001F50D7"/>
    <w:rsid w:val="001F55A7"/>
    <w:rsid w:val="001F5EDD"/>
    <w:rsid w:val="001F6098"/>
    <w:rsid w:val="001F6DC6"/>
    <w:rsid w:val="001F782D"/>
    <w:rsid w:val="001F7E21"/>
    <w:rsid w:val="001F7E9C"/>
    <w:rsid w:val="002002EC"/>
    <w:rsid w:val="00201209"/>
    <w:rsid w:val="00201685"/>
    <w:rsid w:val="00201E10"/>
    <w:rsid w:val="00202041"/>
    <w:rsid w:val="00202487"/>
    <w:rsid w:val="00202B87"/>
    <w:rsid w:val="002037AE"/>
    <w:rsid w:val="00203D6C"/>
    <w:rsid w:val="00204598"/>
    <w:rsid w:val="002053F7"/>
    <w:rsid w:val="00206297"/>
    <w:rsid w:val="00206BC4"/>
    <w:rsid w:val="00206C41"/>
    <w:rsid w:val="00206DCA"/>
    <w:rsid w:val="002073A7"/>
    <w:rsid w:val="00207AC9"/>
    <w:rsid w:val="00207CFE"/>
    <w:rsid w:val="0021087E"/>
    <w:rsid w:val="00210BB1"/>
    <w:rsid w:val="00210D8E"/>
    <w:rsid w:val="00211755"/>
    <w:rsid w:val="00211A90"/>
    <w:rsid w:val="00211C81"/>
    <w:rsid w:val="00211DC0"/>
    <w:rsid w:val="00211E5C"/>
    <w:rsid w:val="00212990"/>
    <w:rsid w:val="00213128"/>
    <w:rsid w:val="002134E8"/>
    <w:rsid w:val="00213FEC"/>
    <w:rsid w:val="002142A7"/>
    <w:rsid w:val="002142D8"/>
    <w:rsid w:val="00214A3B"/>
    <w:rsid w:val="00216275"/>
    <w:rsid w:val="00216488"/>
    <w:rsid w:val="00216833"/>
    <w:rsid w:val="00216985"/>
    <w:rsid w:val="002177AE"/>
    <w:rsid w:val="00220132"/>
    <w:rsid w:val="00220212"/>
    <w:rsid w:val="00220452"/>
    <w:rsid w:val="0022085C"/>
    <w:rsid w:val="002209BC"/>
    <w:rsid w:val="00220BFA"/>
    <w:rsid w:val="0022192B"/>
    <w:rsid w:val="00221BAC"/>
    <w:rsid w:val="00221C13"/>
    <w:rsid w:val="00222162"/>
    <w:rsid w:val="002225B8"/>
    <w:rsid w:val="00222878"/>
    <w:rsid w:val="00222C39"/>
    <w:rsid w:val="0022381B"/>
    <w:rsid w:val="00223DB5"/>
    <w:rsid w:val="0022453E"/>
    <w:rsid w:val="00224D5D"/>
    <w:rsid w:val="00225545"/>
    <w:rsid w:val="00225987"/>
    <w:rsid w:val="002266AA"/>
    <w:rsid w:val="00226A6F"/>
    <w:rsid w:val="002277FA"/>
    <w:rsid w:val="00227A4E"/>
    <w:rsid w:val="00230E26"/>
    <w:rsid w:val="00230FCF"/>
    <w:rsid w:val="00231520"/>
    <w:rsid w:val="0023383E"/>
    <w:rsid w:val="00234BB3"/>
    <w:rsid w:val="00235525"/>
    <w:rsid w:val="002357A3"/>
    <w:rsid w:val="00235E36"/>
    <w:rsid w:val="00235ED1"/>
    <w:rsid w:val="002367C2"/>
    <w:rsid w:val="0023716A"/>
    <w:rsid w:val="0023727B"/>
    <w:rsid w:val="00237479"/>
    <w:rsid w:val="00237EEF"/>
    <w:rsid w:val="002401D6"/>
    <w:rsid w:val="002402B3"/>
    <w:rsid w:val="002406C4"/>
    <w:rsid w:val="00240DA6"/>
    <w:rsid w:val="00240DDE"/>
    <w:rsid w:val="0024114E"/>
    <w:rsid w:val="00241232"/>
    <w:rsid w:val="002413CB"/>
    <w:rsid w:val="0024231A"/>
    <w:rsid w:val="002426E0"/>
    <w:rsid w:val="00242FE8"/>
    <w:rsid w:val="00243396"/>
    <w:rsid w:val="002433F6"/>
    <w:rsid w:val="00243761"/>
    <w:rsid w:val="00243AC7"/>
    <w:rsid w:val="00243ED1"/>
    <w:rsid w:val="002444BA"/>
    <w:rsid w:val="002450B1"/>
    <w:rsid w:val="00246175"/>
    <w:rsid w:val="0024679C"/>
    <w:rsid w:val="00246A60"/>
    <w:rsid w:val="0024762B"/>
    <w:rsid w:val="00247900"/>
    <w:rsid w:val="00250125"/>
    <w:rsid w:val="00250495"/>
    <w:rsid w:val="002509EC"/>
    <w:rsid w:val="00251117"/>
    <w:rsid w:val="00251526"/>
    <w:rsid w:val="0025173B"/>
    <w:rsid w:val="002519E7"/>
    <w:rsid w:val="00251B24"/>
    <w:rsid w:val="002524EA"/>
    <w:rsid w:val="00252E25"/>
    <w:rsid w:val="00252FDC"/>
    <w:rsid w:val="002532CF"/>
    <w:rsid w:val="002537D2"/>
    <w:rsid w:val="002538FE"/>
    <w:rsid w:val="00253FD3"/>
    <w:rsid w:val="00254391"/>
    <w:rsid w:val="002543B2"/>
    <w:rsid w:val="00255D68"/>
    <w:rsid w:val="00255E31"/>
    <w:rsid w:val="00255FA9"/>
    <w:rsid w:val="00256158"/>
    <w:rsid w:val="002568B6"/>
    <w:rsid w:val="00256DC9"/>
    <w:rsid w:val="002576DC"/>
    <w:rsid w:val="002577C5"/>
    <w:rsid w:val="002577ED"/>
    <w:rsid w:val="00257836"/>
    <w:rsid w:val="00257BB4"/>
    <w:rsid w:val="00257BDE"/>
    <w:rsid w:val="00257D87"/>
    <w:rsid w:val="00257FED"/>
    <w:rsid w:val="00260259"/>
    <w:rsid w:val="00260D92"/>
    <w:rsid w:val="002619DA"/>
    <w:rsid w:val="00261CCF"/>
    <w:rsid w:val="00262E05"/>
    <w:rsid w:val="00262F10"/>
    <w:rsid w:val="002634E0"/>
    <w:rsid w:val="00263B2E"/>
    <w:rsid w:val="00263FBC"/>
    <w:rsid w:val="00264168"/>
    <w:rsid w:val="0026457F"/>
    <w:rsid w:val="002647DE"/>
    <w:rsid w:val="00264DC0"/>
    <w:rsid w:val="002655AE"/>
    <w:rsid w:val="0026560D"/>
    <w:rsid w:val="00265701"/>
    <w:rsid w:val="00265F68"/>
    <w:rsid w:val="00265FD4"/>
    <w:rsid w:val="002663D4"/>
    <w:rsid w:val="00266742"/>
    <w:rsid w:val="00266840"/>
    <w:rsid w:val="002668BE"/>
    <w:rsid w:val="00267295"/>
    <w:rsid w:val="00267677"/>
    <w:rsid w:val="00267FB0"/>
    <w:rsid w:val="0027017E"/>
    <w:rsid w:val="00270408"/>
    <w:rsid w:val="002706F6"/>
    <w:rsid w:val="002708BE"/>
    <w:rsid w:val="00270BDD"/>
    <w:rsid w:val="00270FB3"/>
    <w:rsid w:val="0027117C"/>
    <w:rsid w:val="002714E5"/>
    <w:rsid w:val="002719B0"/>
    <w:rsid w:val="00271F6A"/>
    <w:rsid w:val="00272BAD"/>
    <w:rsid w:val="00272C9A"/>
    <w:rsid w:val="00272F94"/>
    <w:rsid w:val="00273418"/>
    <w:rsid w:val="00274437"/>
    <w:rsid w:val="00274C3E"/>
    <w:rsid w:val="00274D82"/>
    <w:rsid w:val="002751DE"/>
    <w:rsid w:val="002752D8"/>
    <w:rsid w:val="00275761"/>
    <w:rsid w:val="00275FC6"/>
    <w:rsid w:val="00275FD0"/>
    <w:rsid w:val="002765A4"/>
    <w:rsid w:val="0027704C"/>
    <w:rsid w:val="0027727B"/>
    <w:rsid w:val="0027730C"/>
    <w:rsid w:val="0028049F"/>
    <w:rsid w:val="00281527"/>
    <w:rsid w:val="0028175C"/>
    <w:rsid w:val="002823F1"/>
    <w:rsid w:val="0028252E"/>
    <w:rsid w:val="00284567"/>
    <w:rsid w:val="00284F92"/>
    <w:rsid w:val="002851B1"/>
    <w:rsid w:val="002856B1"/>
    <w:rsid w:val="00285B1B"/>
    <w:rsid w:val="0028632C"/>
    <w:rsid w:val="0028634E"/>
    <w:rsid w:val="00287773"/>
    <w:rsid w:val="00287832"/>
    <w:rsid w:val="002901D5"/>
    <w:rsid w:val="0029028A"/>
    <w:rsid w:val="00290717"/>
    <w:rsid w:val="00291458"/>
    <w:rsid w:val="0029147E"/>
    <w:rsid w:val="00291C1B"/>
    <w:rsid w:val="00292036"/>
    <w:rsid w:val="002920EA"/>
    <w:rsid w:val="00292491"/>
    <w:rsid w:val="002924E0"/>
    <w:rsid w:val="0029290A"/>
    <w:rsid w:val="00292977"/>
    <w:rsid w:val="00292D93"/>
    <w:rsid w:val="002930C3"/>
    <w:rsid w:val="0029313C"/>
    <w:rsid w:val="002932FC"/>
    <w:rsid w:val="00293F25"/>
    <w:rsid w:val="00294B56"/>
    <w:rsid w:val="002959E4"/>
    <w:rsid w:val="0029607D"/>
    <w:rsid w:val="002962B2"/>
    <w:rsid w:val="00296CAE"/>
    <w:rsid w:val="00297A44"/>
    <w:rsid w:val="00297C35"/>
    <w:rsid w:val="002A07CB"/>
    <w:rsid w:val="002A15DE"/>
    <w:rsid w:val="002A232E"/>
    <w:rsid w:val="002A2581"/>
    <w:rsid w:val="002A2AF8"/>
    <w:rsid w:val="002A31D3"/>
    <w:rsid w:val="002A3575"/>
    <w:rsid w:val="002A37EC"/>
    <w:rsid w:val="002A3994"/>
    <w:rsid w:val="002A3B5C"/>
    <w:rsid w:val="002A4144"/>
    <w:rsid w:val="002A6696"/>
    <w:rsid w:val="002A68E9"/>
    <w:rsid w:val="002A69A3"/>
    <w:rsid w:val="002A6DD4"/>
    <w:rsid w:val="002A6F30"/>
    <w:rsid w:val="002A71DE"/>
    <w:rsid w:val="002A7409"/>
    <w:rsid w:val="002A7CB4"/>
    <w:rsid w:val="002B0CE1"/>
    <w:rsid w:val="002B13D7"/>
    <w:rsid w:val="002B1434"/>
    <w:rsid w:val="002B1621"/>
    <w:rsid w:val="002B1906"/>
    <w:rsid w:val="002B1A59"/>
    <w:rsid w:val="002B1CC7"/>
    <w:rsid w:val="002B30E1"/>
    <w:rsid w:val="002B32D6"/>
    <w:rsid w:val="002B349D"/>
    <w:rsid w:val="002B36A8"/>
    <w:rsid w:val="002B3AE0"/>
    <w:rsid w:val="002B3D82"/>
    <w:rsid w:val="002B41DF"/>
    <w:rsid w:val="002B47B8"/>
    <w:rsid w:val="002B51A3"/>
    <w:rsid w:val="002B5BF5"/>
    <w:rsid w:val="002B5C1A"/>
    <w:rsid w:val="002B5D26"/>
    <w:rsid w:val="002B6AB3"/>
    <w:rsid w:val="002B77BB"/>
    <w:rsid w:val="002C1134"/>
    <w:rsid w:val="002C141A"/>
    <w:rsid w:val="002C1426"/>
    <w:rsid w:val="002C18EB"/>
    <w:rsid w:val="002C2B06"/>
    <w:rsid w:val="002C2BB6"/>
    <w:rsid w:val="002C35FB"/>
    <w:rsid w:val="002C369E"/>
    <w:rsid w:val="002C36DC"/>
    <w:rsid w:val="002C3B14"/>
    <w:rsid w:val="002C433D"/>
    <w:rsid w:val="002C4861"/>
    <w:rsid w:val="002C5149"/>
    <w:rsid w:val="002C572B"/>
    <w:rsid w:val="002C59AC"/>
    <w:rsid w:val="002C5B56"/>
    <w:rsid w:val="002C6659"/>
    <w:rsid w:val="002C76F0"/>
    <w:rsid w:val="002C7FEA"/>
    <w:rsid w:val="002D02B0"/>
    <w:rsid w:val="002D09D3"/>
    <w:rsid w:val="002D2B46"/>
    <w:rsid w:val="002D308F"/>
    <w:rsid w:val="002D33B2"/>
    <w:rsid w:val="002D3453"/>
    <w:rsid w:val="002D36AF"/>
    <w:rsid w:val="002D49E3"/>
    <w:rsid w:val="002D4C0C"/>
    <w:rsid w:val="002D4FB2"/>
    <w:rsid w:val="002D5122"/>
    <w:rsid w:val="002D5DFC"/>
    <w:rsid w:val="002D6003"/>
    <w:rsid w:val="002D63A5"/>
    <w:rsid w:val="002D6A2C"/>
    <w:rsid w:val="002D6B07"/>
    <w:rsid w:val="002E0874"/>
    <w:rsid w:val="002E0966"/>
    <w:rsid w:val="002E0D9E"/>
    <w:rsid w:val="002E1390"/>
    <w:rsid w:val="002E22F9"/>
    <w:rsid w:val="002E2EEE"/>
    <w:rsid w:val="002E3079"/>
    <w:rsid w:val="002E38FB"/>
    <w:rsid w:val="002E39A8"/>
    <w:rsid w:val="002E3A9B"/>
    <w:rsid w:val="002E3CD1"/>
    <w:rsid w:val="002E3CF8"/>
    <w:rsid w:val="002E4BD2"/>
    <w:rsid w:val="002E4E69"/>
    <w:rsid w:val="002E4EE0"/>
    <w:rsid w:val="002E6458"/>
    <w:rsid w:val="002E663A"/>
    <w:rsid w:val="002E752A"/>
    <w:rsid w:val="002E7809"/>
    <w:rsid w:val="002F11F9"/>
    <w:rsid w:val="002F1557"/>
    <w:rsid w:val="002F20BB"/>
    <w:rsid w:val="002F2117"/>
    <w:rsid w:val="002F2289"/>
    <w:rsid w:val="002F27A2"/>
    <w:rsid w:val="002F28EE"/>
    <w:rsid w:val="002F2E1B"/>
    <w:rsid w:val="002F30EC"/>
    <w:rsid w:val="002F36E2"/>
    <w:rsid w:val="002F3851"/>
    <w:rsid w:val="002F38A8"/>
    <w:rsid w:val="002F38BC"/>
    <w:rsid w:val="002F3AF6"/>
    <w:rsid w:val="002F3E00"/>
    <w:rsid w:val="002F46E5"/>
    <w:rsid w:val="002F47CF"/>
    <w:rsid w:val="002F4A51"/>
    <w:rsid w:val="002F4EA9"/>
    <w:rsid w:val="002F5712"/>
    <w:rsid w:val="002F5C2B"/>
    <w:rsid w:val="002F5D0E"/>
    <w:rsid w:val="002F6A21"/>
    <w:rsid w:val="002F6B3B"/>
    <w:rsid w:val="002F700C"/>
    <w:rsid w:val="002F706C"/>
    <w:rsid w:val="003001C5"/>
    <w:rsid w:val="0030119E"/>
    <w:rsid w:val="00301335"/>
    <w:rsid w:val="003016AD"/>
    <w:rsid w:val="00301C3F"/>
    <w:rsid w:val="00301F11"/>
    <w:rsid w:val="00302091"/>
    <w:rsid w:val="00302391"/>
    <w:rsid w:val="0030247D"/>
    <w:rsid w:val="0030342E"/>
    <w:rsid w:val="003039D1"/>
    <w:rsid w:val="00303EC6"/>
    <w:rsid w:val="003049B4"/>
    <w:rsid w:val="003057FA"/>
    <w:rsid w:val="00305AC6"/>
    <w:rsid w:val="00305FCE"/>
    <w:rsid w:val="003067B2"/>
    <w:rsid w:val="003067D7"/>
    <w:rsid w:val="0030680A"/>
    <w:rsid w:val="00307613"/>
    <w:rsid w:val="00307C08"/>
    <w:rsid w:val="00310139"/>
    <w:rsid w:val="003101F6"/>
    <w:rsid w:val="00310D27"/>
    <w:rsid w:val="003110F1"/>
    <w:rsid w:val="003115A3"/>
    <w:rsid w:val="00311726"/>
    <w:rsid w:val="00311B55"/>
    <w:rsid w:val="00311C67"/>
    <w:rsid w:val="00311D33"/>
    <w:rsid w:val="00311EF0"/>
    <w:rsid w:val="0031220C"/>
    <w:rsid w:val="00312963"/>
    <w:rsid w:val="00312C65"/>
    <w:rsid w:val="00312E7F"/>
    <w:rsid w:val="00313680"/>
    <w:rsid w:val="0031398D"/>
    <w:rsid w:val="003139D7"/>
    <w:rsid w:val="00313BB5"/>
    <w:rsid w:val="003148D0"/>
    <w:rsid w:val="00314E8E"/>
    <w:rsid w:val="00314EBF"/>
    <w:rsid w:val="00315AA5"/>
    <w:rsid w:val="003162F5"/>
    <w:rsid w:val="00316528"/>
    <w:rsid w:val="00316C48"/>
    <w:rsid w:val="003175C2"/>
    <w:rsid w:val="00320186"/>
    <w:rsid w:val="00320307"/>
    <w:rsid w:val="00320330"/>
    <w:rsid w:val="00320953"/>
    <w:rsid w:val="00321086"/>
    <w:rsid w:val="00321093"/>
    <w:rsid w:val="003211F8"/>
    <w:rsid w:val="0032297C"/>
    <w:rsid w:val="0032350C"/>
    <w:rsid w:val="00323D84"/>
    <w:rsid w:val="003247A2"/>
    <w:rsid w:val="00324CDB"/>
    <w:rsid w:val="003254B4"/>
    <w:rsid w:val="00325656"/>
    <w:rsid w:val="003259C2"/>
    <w:rsid w:val="00325D65"/>
    <w:rsid w:val="00326C00"/>
    <w:rsid w:val="00327181"/>
    <w:rsid w:val="0032780B"/>
    <w:rsid w:val="0032791B"/>
    <w:rsid w:val="00327C3D"/>
    <w:rsid w:val="0033155B"/>
    <w:rsid w:val="00332116"/>
    <w:rsid w:val="00333B8F"/>
    <w:rsid w:val="003352C9"/>
    <w:rsid w:val="00335C50"/>
    <w:rsid w:val="00335DFF"/>
    <w:rsid w:val="00336FA8"/>
    <w:rsid w:val="00337888"/>
    <w:rsid w:val="0033796D"/>
    <w:rsid w:val="00337AF3"/>
    <w:rsid w:val="00337C75"/>
    <w:rsid w:val="00337EE9"/>
    <w:rsid w:val="00340164"/>
    <w:rsid w:val="00340351"/>
    <w:rsid w:val="00340A3A"/>
    <w:rsid w:val="00340D52"/>
    <w:rsid w:val="00340FB9"/>
    <w:rsid w:val="00341030"/>
    <w:rsid w:val="003433F1"/>
    <w:rsid w:val="00343840"/>
    <w:rsid w:val="003439F8"/>
    <w:rsid w:val="00343FE0"/>
    <w:rsid w:val="00344AE7"/>
    <w:rsid w:val="003471C6"/>
    <w:rsid w:val="003475EA"/>
    <w:rsid w:val="00350455"/>
    <w:rsid w:val="003505E0"/>
    <w:rsid w:val="00350A50"/>
    <w:rsid w:val="00350C2D"/>
    <w:rsid w:val="00351639"/>
    <w:rsid w:val="00351F12"/>
    <w:rsid w:val="00352795"/>
    <w:rsid w:val="00352F50"/>
    <w:rsid w:val="00352F78"/>
    <w:rsid w:val="00352F87"/>
    <w:rsid w:val="00353359"/>
    <w:rsid w:val="00353771"/>
    <w:rsid w:val="00353839"/>
    <w:rsid w:val="003544A4"/>
    <w:rsid w:val="00354E2C"/>
    <w:rsid w:val="00354FA1"/>
    <w:rsid w:val="003553F1"/>
    <w:rsid w:val="0035559F"/>
    <w:rsid w:val="00355B8C"/>
    <w:rsid w:val="00355C5F"/>
    <w:rsid w:val="00355C76"/>
    <w:rsid w:val="00355FE9"/>
    <w:rsid w:val="003565A0"/>
    <w:rsid w:val="00356A2B"/>
    <w:rsid w:val="00356AF7"/>
    <w:rsid w:val="003571EA"/>
    <w:rsid w:val="00357609"/>
    <w:rsid w:val="00357C92"/>
    <w:rsid w:val="00360869"/>
    <w:rsid w:val="00360E1B"/>
    <w:rsid w:val="00360F5E"/>
    <w:rsid w:val="0036155C"/>
    <w:rsid w:val="003621B5"/>
    <w:rsid w:val="00362925"/>
    <w:rsid w:val="00362C28"/>
    <w:rsid w:val="00362D00"/>
    <w:rsid w:val="0036337B"/>
    <w:rsid w:val="003647A0"/>
    <w:rsid w:val="00364A52"/>
    <w:rsid w:val="00364DC6"/>
    <w:rsid w:val="003652DF"/>
    <w:rsid w:val="003657EB"/>
    <w:rsid w:val="00365A87"/>
    <w:rsid w:val="0036616A"/>
    <w:rsid w:val="00366934"/>
    <w:rsid w:val="00366E59"/>
    <w:rsid w:val="003670ED"/>
    <w:rsid w:val="0037029C"/>
    <w:rsid w:val="0037058F"/>
    <w:rsid w:val="00370927"/>
    <w:rsid w:val="00370E1B"/>
    <w:rsid w:val="00370E5C"/>
    <w:rsid w:val="0037181A"/>
    <w:rsid w:val="00372291"/>
    <w:rsid w:val="00373F29"/>
    <w:rsid w:val="003740E6"/>
    <w:rsid w:val="003743FD"/>
    <w:rsid w:val="00374C16"/>
    <w:rsid w:val="00374D4E"/>
    <w:rsid w:val="003754E1"/>
    <w:rsid w:val="00375BAF"/>
    <w:rsid w:val="00375C85"/>
    <w:rsid w:val="00376018"/>
    <w:rsid w:val="00376458"/>
    <w:rsid w:val="00376470"/>
    <w:rsid w:val="003765AD"/>
    <w:rsid w:val="00376C51"/>
    <w:rsid w:val="0037768F"/>
    <w:rsid w:val="00377D8C"/>
    <w:rsid w:val="00377DA0"/>
    <w:rsid w:val="00377FBD"/>
    <w:rsid w:val="00380024"/>
    <w:rsid w:val="003801EF"/>
    <w:rsid w:val="00380243"/>
    <w:rsid w:val="00380938"/>
    <w:rsid w:val="00381043"/>
    <w:rsid w:val="0038161A"/>
    <w:rsid w:val="003818A6"/>
    <w:rsid w:val="00381D18"/>
    <w:rsid w:val="0038224D"/>
    <w:rsid w:val="003827E3"/>
    <w:rsid w:val="0038290F"/>
    <w:rsid w:val="00382944"/>
    <w:rsid w:val="00382FDD"/>
    <w:rsid w:val="00383F38"/>
    <w:rsid w:val="00385635"/>
    <w:rsid w:val="003859B7"/>
    <w:rsid w:val="00385A4D"/>
    <w:rsid w:val="00385B77"/>
    <w:rsid w:val="00385CBA"/>
    <w:rsid w:val="0038653E"/>
    <w:rsid w:val="003870DF"/>
    <w:rsid w:val="003873DD"/>
    <w:rsid w:val="00387F5F"/>
    <w:rsid w:val="00391184"/>
    <w:rsid w:val="003915D6"/>
    <w:rsid w:val="00392CC9"/>
    <w:rsid w:val="00393308"/>
    <w:rsid w:val="0039330E"/>
    <w:rsid w:val="0039392E"/>
    <w:rsid w:val="00393AC8"/>
    <w:rsid w:val="00393D14"/>
    <w:rsid w:val="00394071"/>
    <w:rsid w:val="00394816"/>
    <w:rsid w:val="00394831"/>
    <w:rsid w:val="00394AFD"/>
    <w:rsid w:val="00397547"/>
    <w:rsid w:val="00397BFA"/>
    <w:rsid w:val="003A0375"/>
    <w:rsid w:val="003A05AB"/>
    <w:rsid w:val="003A0D11"/>
    <w:rsid w:val="003A1182"/>
    <w:rsid w:val="003A1877"/>
    <w:rsid w:val="003A1A57"/>
    <w:rsid w:val="003A2984"/>
    <w:rsid w:val="003A31B5"/>
    <w:rsid w:val="003A3C1F"/>
    <w:rsid w:val="003A3F3C"/>
    <w:rsid w:val="003A42D0"/>
    <w:rsid w:val="003A469D"/>
    <w:rsid w:val="003A4875"/>
    <w:rsid w:val="003A4968"/>
    <w:rsid w:val="003A5201"/>
    <w:rsid w:val="003A58CB"/>
    <w:rsid w:val="003A5C02"/>
    <w:rsid w:val="003A634D"/>
    <w:rsid w:val="003A7308"/>
    <w:rsid w:val="003A753A"/>
    <w:rsid w:val="003A755A"/>
    <w:rsid w:val="003A761F"/>
    <w:rsid w:val="003B026A"/>
    <w:rsid w:val="003B034F"/>
    <w:rsid w:val="003B0C45"/>
    <w:rsid w:val="003B0D7A"/>
    <w:rsid w:val="003B0E9E"/>
    <w:rsid w:val="003B1554"/>
    <w:rsid w:val="003B1AA5"/>
    <w:rsid w:val="003B2643"/>
    <w:rsid w:val="003B266C"/>
    <w:rsid w:val="003B2C3F"/>
    <w:rsid w:val="003B2C5A"/>
    <w:rsid w:val="003B3F7A"/>
    <w:rsid w:val="003B4317"/>
    <w:rsid w:val="003B483B"/>
    <w:rsid w:val="003B483C"/>
    <w:rsid w:val="003B4936"/>
    <w:rsid w:val="003B5F08"/>
    <w:rsid w:val="003B6222"/>
    <w:rsid w:val="003B6669"/>
    <w:rsid w:val="003B786C"/>
    <w:rsid w:val="003B7A54"/>
    <w:rsid w:val="003C038E"/>
    <w:rsid w:val="003C0A54"/>
    <w:rsid w:val="003C0AF2"/>
    <w:rsid w:val="003C1B6A"/>
    <w:rsid w:val="003C220F"/>
    <w:rsid w:val="003C26D6"/>
    <w:rsid w:val="003C2CCD"/>
    <w:rsid w:val="003C33F9"/>
    <w:rsid w:val="003C3AA5"/>
    <w:rsid w:val="003C414B"/>
    <w:rsid w:val="003C489B"/>
    <w:rsid w:val="003C5C3C"/>
    <w:rsid w:val="003C6861"/>
    <w:rsid w:val="003C68F6"/>
    <w:rsid w:val="003C6915"/>
    <w:rsid w:val="003C693A"/>
    <w:rsid w:val="003C75FA"/>
    <w:rsid w:val="003D01F2"/>
    <w:rsid w:val="003D071A"/>
    <w:rsid w:val="003D10C1"/>
    <w:rsid w:val="003D1845"/>
    <w:rsid w:val="003D2A23"/>
    <w:rsid w:val="003D3595"/>
    <w:rsid w:val="003D3FC2"/>
    <w:rsid w:val="003D50E1"/>
    <w:rsid w:val="003D57A6"/>
    <w:rsid w:val="003D58CD"/>
    <w:rsid w:val="003D5E59"/>
    <w:rsid w:val="003D61CD"/>
    <w:rsid w:val="003D65C3"/>
    <w:rsid w:val="003D7A65"/>
    <w:rsid w:val="003E0318"/>
    <w:rsid w:val="003E067A"/>
    <w:rsid w:val="003E0FBA"/>
    <w:rsid w:val="003E1638"/>
    <w:rsid w:val="003E19A9"/>
    <w:rsid w:val="003E1E97"/>
    <w:rsid w:val="003E22F9"/>
    <w:rsid w:val="003E2BEF"/>
    <w:rsid w:val="003E3A05"/>
    <w:rsid w:val="003E3BD2"/>
    <w:rsid w:val="003E3E70"/>
    <w:rsid w:val="003E4717"/>
    <w:rsid w:val="003E4A03"/>
    <w:rsid w:val="003E4FC4"/>
    <w:rsid w:val="003E570E"/>
    <w:rsid w:val="003E577D"/>
    <w:rsid w:val="003E5C14"/>
    <w:rsid w:val="003E63A8"/>
    <w:rsid w:val="003E657F"/>
    <w:rsid w:val="003E68C7"/>
    <w:rsid w:val="003E6AE7"/>
    <w:rsid w:val="003E6C63"/>
    <w:rsid w:val="003E6DDE"/>
    <w:rsid w:val="003E707E"/>
    <w:rsid w:val="003E73B9"/>
    <w:rsid w:val="003E7E1E"/>
    <w:rsid w:val="003F0766"/>
    <w:rsid w:val="003F19DF"/>
    <w:rsid w:val="003F1A5B"/>
    <w:rsid w:val="003F1BA0"/>
    <w:rsid w:val="003F1D68"/>
    <w:rsid w:val="003F20B1"/>
    <w:rsid w:val="003F2268"/>
    <w:rsid w:val="003F2C30"/>
    <w:rsid w:val="003F4F6C"/>
    <w:rsid w:val="003F530F"/>
    <w:rsid w:val="003F54F6"/>
    <w:rsid w:val="003F575E"/>
    <w:rsid w:val="003F5D73"/>
    <w:rsid w:val="003F5E0A"/>
    <w:rsid w:val="003F5ECB"/>
    <w:rsid w:val="003F62B6"/>
    <w:rsid w:val="003F6DF0"/>
    <w:rsid w:val="003F76AC"/>
    <w:rsid w:val="0040031C"/>
    <w:rsid w:val="00400A81"/>
    <w:rsid w:val="00400A84"/>
    <w:rsid w:val="00402242"/>
    <w:rsid w:val="00402258"/>
    <w:rsid w:val="004040BC"/>
    <w:rsid w:val="00405BCB"/>
    <w:rsid w:val="00407341"/>
    <w:rsid w:val="00410390"/>
    <w:rsid w:val="0041073D"/>
    <w:rsid w:val="00410812"/>
    <w:rsid w:val="004114C2"/>
    <w:rsid w:val="00411947"/>
    <w:rsid w:val="004121E8"/>
    <w:rsid w:val="004127CC"/>
    <w:rsid w:val="004129DB"/>
    <w:rsid w:val="004129F8"/>
    <w:rsid w:val="00412C86"/>
    <w:rsid w:val="0041363E"/>
    <w:rsid w:val="0041373D"/>
    <w:rsid w:val="00414BD5"/>
    <w:rsid w:val="00414D36"/>
    <w:rsid w:val="00416251"/>
    <w:rsid w:val="004165F3"/>
    <w:rsid w:val="00416FBD"/>
    <w:rsid w:val="00417C25"/>
    <w:rsid w:val="00417D2A"/>
    <w:rsid w:val="00420460"/>
    <w:rsid w:val="00420768"/>
    <w:rsid w:val="00420E78"/>
    <w:rsid w:val="004210C1"/>
    <w:rsid w:val="00421333"/>
    <w:rsid w:val="00421ECE"/>
    <w:rsid w:val="004227C7"/>
    <w:rsid w:val="004228D3"/>
    <w:rsid w:val="00422B63"/>
    <w:rsid w:val="00422DDB"/>
    <w:rsid w:val="004231B4"/>
    <w:rsid w:val="0042335A"/>
    <w:rsid w:val="0042356D"/>
    <w:rsid w:val="00424096"/>
    <w:rsid w:val="00424679"/>
    <w:rsid w:val="004247AA"/>
    <w:rsid w:val="00424965"/>
    <w:rsid w:val="00424A26"/>
    <w:rsid w:val="00424AD1"/>
    <w:rsid w:val="00425786"/>
    <w:rsid w:val="00425C90"/>
    <w:rsid w:val="004263E8"/>
    <w:rsid w:val="00426E61"/>
    <w:rsid w:val="004272DA"/>
    <w:rsid w:val="00427E68"/>
    <w:rsid w:val="004300F3"/>
    <w:rsid w:val="004304A5"/>
    <w:rsid w:val="004306D0"/>
    <w:rsid w:val="00430B55"/>
    <w:rsid w:val="00430BF7"/>
    <w:rsid w:val="00430D51"/>
    <w:rsid w:val="004313E4"/>
    <w:rsid w:val="00432060"/>
    <w:rsid w:val="00432149"/>
    <w:rsid w:val="004322E1"/>
    <w:rsid w:val="0043262A"/>
    <w:rsid w:val="004326F5"/>
    <w:rsid w:val="00432AA7"/>
    <w:rsid w:val="00433329"/>
    <w:rsid w:val="0043518D"/>
    <w:rsid w:val="00435423"/>
    <w:rsid w:val="00436219"/>
    <w:rsid w:val="00436282"/>
    <w:rsid w:val="00436A19"/>
    <w:rsid w:val="00436C9E"/>
    <w:rsid w:val="00436DC3"/>
    <w:rsid w:val="00436F1E"/>
    <w:rsid w:val="0043713D"/>
    <w:rsid w:val="004374EB"/>
    <w:rsid w:val="00437706"/>
    <w:rsid w:val="00441679"/>
    <w:rsid w:val="00442628"/>
    <w:rsid w:val="00442745"/>
    <w:rsid w:val="0044327D"/>
    <w:rsid w:val="00443657"/>
    <w:rsid w:val="00443750"/>
    <w:rsid w:val="00443D84"/>
    <w:rsid w:val="00444728"/>
    <w:rsid w:val="00444B94"/>
    <w:rsid w:val="004455F1"/>
    <w:rsid w:val="00445A12"/>
    <w:rsid w:val="00446783"/>
    <w:rsid w:val="00446FDF"/>
    <w:rsid w:val="004505E1"/>
    <w:rsid w:val="004509B8"/>
    <w:rsid w:val="00450AD2"/>
    <w:rsid w:val="0045111C"/>
    <w:rsid w:val="0045172F"/>
    <w:rsid w:val="0045192A"/>
    <w:rsid w:val="00451B92"/>
    <w:rsid w:val="0045200E"/>
    <w:rsid w:val="004520AB"/>
    <w:rsid w:val="00452698"/>
    <w:rsid w:val="0045387A"/>
    <w:rsid w:val="00453C0B"/>
    <w:rsid w:val="00454A4C"/>
    <w:rsid w:val="00455E44"/>
    <w:rsid w:val="00456DC8"/>
    <w:rsid w:val="00457510"/>
    <w:rsid w:val="00457853"/>
    <w:rsid w:val="00457B8A"/>
    <w:rsid w:val="00457BCB"/>
    <w:rsid w:val="00460190"/>
    <w:rsid w:val="00460BD8"/>
    <w:rsid w:val="004615F0"/>
    <w:rsid w:val="004624EA"/>
    <w:rsid w:val="00462939"/>
    <w:rsid w:val="004632A2"/>
    <w:rsid w:val="00464A80"/>
    <w:rsid w:val="00464D61"/>
    <w:rsid w:val="00465125"/>
    <w:rsid w:val="00465426"/>
    <w:rsid w:val="00465C81"/>
    <w:rsid w:val="00466A66"/>
    <w:rsid w:val="00466C67"/>
    <w:rsid w:val="00466DEF"/>
    <w:rsid w:val="00466E9B"/>
    <w:rsid w:val="00466F72"/>
    <w:rsid w:val="00467092"/>
    <w:rsid w:val="0046750D"/>
    <w:rsid w:val="004702FB"/>
    <w:rsid w:val="004713E8"/>
    <w:rsid w:val="00471696"/>
    <w:rsid w:val="004718F6"/>
    <w:rsid w:val="00471FB6"/>
    <w:rsid w:val="004722D0"/>
    <w:rsid w:val="00472B7B"/>
    <w:rsid w:val="00473447"/>
    <w:rsid w:val="00473A7A"/>
    <w:rsid w:val="00474152"/>
    <w:rsid w:val="0047484E"/>
    <w:rsid w:val="00475799"/>
    <w:rsid w:val="00476DA7"/>
    <w:rsid w:val="004771E8"/>
    <w:rsid w:val="00477DDE"/>
    <w:rsid w:val="00477FAB"/>
    <w:rsid w:val="00480185"/>
    <w:rsid w:val="0048093F"/>
    <w:rsid w:val="004813EE"/>
    <w:rsid w:val="00481B33"/>
    <w:rsid w:val="004821D1"/>
    <w:rsid w:val="00482A43"/>
    <w:rsid w:val="004832A8"/>
    <w:rsid w:val="00483578"/>
    <w:rsid w:val="00483B2B"/>
    <w:rsid w:val="0048480F"/>
    <w:rsid w:val="00484C6A"/>
    <w:rsid w:val="00484CAA"/>
    <w:rsid w:val="004854A5"/>
    <w:rsid w:val="00485E7D"/>
    <w:rsid w:val="004860EF"/>
    <w:rsid w:val="0048656D"/>
    <w:rsid w:val="00486666"/>
    <w:rsid w:val="00490302"/>
    <w:rsid w:val="00490623"/>
    <w:rsid w:val="00490652"/>
    <w:rsid w:val="004909C9"/>
    <w:rsid w:val="00491257"/>
    <w:rsid w:val="004919CC"/>
    <w:rsid w:val="00491AD4"/>
    <w:rsid w:val="00492042"/>
    <w:rsid w:val="00492F32"/>
    <w:rsid w:val="00493508"/>
    <w:rsid w:val="00493751"/>
    <w:rsid w:val="004942B9"/>
    <w:rsid w:val="00494371"/>
    <w:rsid w:val="004955A7"/>
    <w:rsid w:val="00495640"/>
    <w:rsid w:val="00495AE7"/>
    <w:rsid w:val="00495EE7"/>
    <w:rsid w:val="00495F43"/>
    <w:rsid w:val="00496050"/>
    <w:rsid w:val="00496502"/>
    <w:rsid w:val="00496F26"/>
    <w:rsid w:val="004973F2"/>
    <w:rsid w:val="00497576"/>
    <w:rsid w:val="004977A5"/>
    <w:rsid w:val="004A0756"/>
    <w:rsid w:val="004A07F8"/>
    <w:rsid w:val="004A0B5C"/>
    <w:rsid w:val="004A213D"/>
    <w:rsid w:val="004A22C8"/>
    <w:rsid w:val="004A34C9"/>
    <w:rsid w:val="004A3554"/>
    <w:rsid w:val="004A35C8"/>
    <w:rsid w:val="004A3620"/>
    <w:rsid w:val="004A4EF9"/>
    <w:rsid w:val="004A50A4"/>
    <w:rsid w:val="004A5D34"/>
    <w:rsid w:val="004A5D88"/>
    <w:rsid w:val="004A6012"/>
    <w:rsid w:val="004A66BE"/>
    <w:rsid w:val="004A71C3"/>
    <w:rsid w:val="004B02EF"/>
    <w:rsid w:val="004B0A86"/>
    <w:rsid w:val="004B0E35"/>
    <w:rsid w:val="004B1E60"/>
    <w:rsid w:val="004B23FA"/>
    <w:rsid w:val="004B2603"/>
    <w:rsid w:val="004B2B6A"/>
    <w:rsid w:val="004B2D21"/>
    <w:rsid w:val="004B2E12"/>
    <w:rsid w:val="004B2F9A"/>
    <w:rsid w:val="004B3570"/>
    <w:rsid w:val="004B374F"/>
    <w:rsid w:val="004B3899"/>
    <w:rsid w:val="004B3E56"/>
    <w:rsid w:val="004B3FCB"/>
    <w:rsid w:val="004B42C7"/>
    <w:rsid w:val="004B4B1A"/>
    <w:rsid w:val="004B61C6"/>
    <w:rsid w:val="004B68A2"/>
    <w:rsid w:val="004B6F89"/>
    <w:rsid w:val="004C0BEC"/>
    <w:rsid w:val="004C1BCF"/>
    <w:rsid w:val="004C1C10"/>
    <w:rsid w:val="004C28D0"/>
    <w:rsid w:val="004C2DE1"/>
    <w:rsid w:val="004C2E2B"/>
    <w:rsid w:val="004C3107"/>
    <w:rsid w:val="004C3189"/>
    <w:rsid w:val="004C37E8"/>
    <w:rsid w:val="004C381B"/>
    <w:rsid w:val="004C386D"/>
    <w:rsid w:val="004C4363"/>
    <w:rsid w:val="004C46B7"/>
    <w:rsid w:val="004C4900"/>
    <w:rsid w:val="004C5313"/>
    <w:rsid w:val="004C566E"/>
    <w:rsid w:val="004C57D6"/>
    <w:rsid w:val="004C680F"/>
    <w:rsid w:val="004C6947"/>
    <w:rsid w:val="004C7B7E"/>
    <w:rsid w:val="004D012F"/>
    <w:rsid w:val="004D0E3D"/>
    <w:rsid w:val="004D112B"/>
    <w:rsid w:val="004D27E4"/>
    <w:rsid w:val="004D280F"/>
    <w:rsid w:val="004D2A01"/>
    <w:rsid w:val="004D2D12"/>
    <w:rsid w:val="004D397A"/>
    <w:rsid w:val="004D427C"/>
    <w:rsid w:val="004D4AB3"/>
    <w:rsid w:val="004D53D5"/>
    <w:rsid w:val="004D597E"/>
    <w:rsid w:val="004D5AF5"/>
    <w:rsid w:val="004D638C"/>
    <w:rsid w:val="004D6A22"/>
    <w:rsid w:val="004D6F72"/>
    <w:rsid w:val="004D7906"/>
    <w:rsid w:val="004D7B3E"/>
    <w:rsid w:val="004E0001"/>
    <w:rsid w:val="004E02D2"/>
    <w:rsid w:val="004E048C"/>
    <w:rsid w:val="004E0B6B"/>
    <w:rsid w:val="004E0FA9"/>
    <w:rsid w:val="004E14BF"/>
    <w:rsid w:val="004E17BC"/>
    <w:rsid w:val="004E1831"/>
    <w:rsid w:val="004E1BA7"/>
    <w:rsid w:val="004E22A1"/>
    <w:rsid w:val="004E2C14"/>
    <w:rsid w:val="004E34FA"/>
    <w:rsid w:val="004E3A53"/>
    <w:rsid w:val="004E3E21"/>
    <w:rsid w:val="004E44F3"/>
    <w:rsid w:val="004E5ADF"/>
    <w:rsid w:val="004E5BD3"/>
    <w:rsid w:val="004E6E4C"/>
    <w:rsid w:val="004E7359"/>
    <w:rsid w:val="004E7606"/>
    <w:rsid w:val="004E7CDB"/>
    <w:rsid w:val="004E7D26"/>
    <w:rsid w:val="004E7FF6"/>
    <w:rsid w:val="004F057E"/>
    <w:rsid w:val="004F0F2A"/>
    <w:rsid w:val="004F1221"/>
    <w:rsid w:val="004F149E"/>
    <w:rsid w:val="004F14AF"/>
    <w:rsid w:val="004F1670"/>
    <w:rsid w:val="004F173E"/>
    <w:rsid w:val="004F1871"/>
    <w:rsid w:val="004F3C55"/>
    <w:rsid w:val="004F3DAF"/>
    <w:rsid w:val="004F45F1"/>
    <w:rsid w:val="004F4680"/>
    <w:rsid w:val="004F4AC7"/>
    <w:rsid w:val="004F5992"/>
    <w:rsid w:val="004F59CF"/>
    <w:rsid w:val="004F5A4F"/>
    <w:rsid w:val="004F65F8"/>
    <w:rsid w:val="004F72B7"/>
    <w:rsid w:val="00501490"/>
    <w:rsid w:val="005028B0"/>
    <w:rsid w:val="00503383"/>
    <w:rsid w:val="00503455"/>
    <w:rsid w:val="005037AA"/>
    <w:rsid w:val="00503826"/>
    <w:rsid w:val="00503DF8"/>
    <w:rsid w:val="0050487E"/>
    <w:rsid w:val="005049CE"/>
    <w:rsid w:val="00504B18"/>
    <w:rsid w:val="00505523"/>
    <w:rsid w:val="0050553B"/>
    <w:rsid w:val="005058B1"/>
    <w:rsid w:val="0050590C"/>
    <w:rsid w:val="00505F95"/>
    <w:rsid w:val="00506A1C"/>
    <w:rsid w:val="00507339"/>
    <w:rsid w:val="0051023E"/>
    <w:rsid w:val="00510628"/>
    <w:rsid w:val="00510646"/>
    <w:rsid w:val="00510706"/>
    <w:rsid w:val="00511844"/>
    <w:rsid w:val="005130DA"/>
    <w:rsid w:val="00513551"/>
    <w:rsid w:val="00513E39"/>
    <w:rsid w:val="00513FE5"/>
    <w:rsid w:val="005140F7"/>
    <w:rsid w:val="005145C5"/>
    <w:rsid w:val="00514E5C"/>
    <w:rsid w:val="00516933"/>
    <w:rsid w:val="0051702D"/>
    <w:rsid w:val="00517491"/>
    <w:rsid w:val="00520295"/>
    <w:rsid w:val="00520574"/>
    <w:rsid w:val="0052062D"/>
    <w:rsid w:val="00522429"/>
    <w:rsid w:val="0052246B"/>
    <w:rsid w:val="005226DF"/>
    <w:rsid w:val="00522740"/>
    <w:rsid w:val="0052274F"/>
    <w:rsid w:val="00522824"/>
    <w:rsid w:val="00522E34"/>
    <w:rsid w:val="005231CE"/>
    <w:rsid w:val="00523A4B"/>
    <w:rsid w:val="00523BEE"/>
    <w:rsid w:val="00524378"/>
    <w:rsid w:val="005260AE"/>
    <w:rsid w:val="00526470"/>
    <w:rsid w:val="0052756C"/>
    <w:rsid w:val="0052759C"/>
    <w:rsid w:val="00527FF7"/>
    <w:rsid w:val="0053178F"/>
    <w:rsid w:val="00531F6E"/>
    <w:rsid w:val="0053204B"/>
    <w:rsid w:val="0053226F"/>
    <w:rsid w:val="00532DF3"/>
    <w:rsid w:val="00533F73"/>
    <w:rsid w:val="005342B1"/>
    <w:rsid w:val="00534450"/>
    <w:rsid w:val="005348C7"/>
    <w:rsid w:val="00535B1C"/>
    <w:rsid w:val="00535B86"/>
    <w:rsid w:val="0053614A"/>
    <w:rsid w:val="005361D1"/>
    <w:rsid w:val="00536717"/>
    <w:rsid w:val="005368B1"/>
    <w:rsid w:val="00536FBE"/>
    <w:rsid w:val="0053728E"/>
    <w:rsid w:val="00537311"/>
    <w:rsid w:val="00537746"/>
    <w:rsid w:val="00537D67"/>
    <w:rsid w:val="00537E8E"/>
    <w:rsid w:val="00540E50"/>
    <w:rsid w:val="00540F89"/>
    <w:rsid w:val="00541EF3"/>
    <w:rsid w:val="005440BC"/>
    <w:rsid w:val="00544104"/>
    <w:rsid w:val="005441A8"/>
    <w:rsid w:val="00544265"/>
    <w:rsid w:val="00545687"/>
    <w:rsid w:val="005460BD"/>
    <w:rsid w:val="005465AC"/>
    <w:rsid w:val="00546B63"/>
    <w:rsid w:val="00546C08"/>
    <w:rsid w:val="00547920"/>
    <w:rsid w:val="005500DE"/>
    <w:rsid w:val="00550B96"/>
    <w:rsid w:val="00551035"/>
    <w:rsid w:val="00552771"/>
    <w:rsid w:val="005529D0"/>
    <w:rsid w:val="005529E3"/>
    <w:rsid w:val="005530EB"/>
    <w:rsid w:val="005532C6"/>
    <w:rsid w:val="00553B1E"/>
    <w:rsid w:val="00554629"/>
    <w:rsid w:val="00554B45"/>
    <w:rsid w:val="00554D31"/>
    <w:rsid w:val="00555465"/>
    <w:rsid w:val="00557335"/>
    <w:rsid w:val="00557F99"/>
    <w:rsid w:val="00560506"/>
    <w:rsid w:val="0056079C"/>
    <w:rsid w:val="00560B01"/>
    <w:rsid w:val="00561360"/>
    <w:rsid w:val="00561595"/>
    <w:rsid w:val="005616DA"/>
    <w:rsid w:val="00563021"/>
    <w:rsid w:val="0056326A"/>
    <w:rsid w:val="00563732"/>
    <w:rsid w:val="0056418C"/>
    <w:rsid w:val="0056477C"/>
    <w:rsid w:val="00564864"/>
    <w:rsid w:val="0056489D"/>
    <w:rsid w:val="00564EEE"/>
    <w:rsid w:val="00565C8F"/>
    <w:rsid w:val="00565E05"/>
    <w:rsid w:val="00566027"/>
    <w:rsid w:val="005662BD"/>
    <w:rsid w:val="005662E0"/>
    <w:rsid w:val="00566A67"/>
    <w:rsid w:val="00566B61"/>
    <w:rsid w:val="005674D5"/>
    <w:rsid w:val="00567A93"/>
    <w:rsid w:val="00570DC0"/>
    <w:rsid w:val="00571373"/>
    <w:rsid w:val="00571D95"/>
    <w:rsid w:val="00571ECE"/>
    <w:rsid w:val="00571F19"/>
    <w:rsid w:val="00572E36"/>
    <w:rsid w:val="0057352C"/>
    <w:rsid w:val="00573F65"/>
    <w:rsid w:val="00574675"/>
    <w:rsid w:val="005746E5"/>
    <w:rsid w:val="00574A08"/>
    <w:rsid w:val="00574A4B"/>
    <w:rsid w:val="00574B22"/>
    <w:rsid w:val="00575099"/>
    <w:rsid w:val="00575477"/>
    <w:rsid w:val="00575479"/>
    <w:rsid w:val="005755B9"/>
    <w:rsid w:val="0057585D"/>
    <w:rsid w:val="00580265"/>
    <w:rsid w:val="005809B9"/>
    <w:rsid w:val="00581085"/>
    <w:rsid w:val="005820B5"/>
    <w:rsid w:val="005820DA"/>
    <w:rsid w:val="005821C3"/>
    <w:rsid w:val="00582969"/>
    <w:rsid w:val="00582B4B"/>
    <w:rsid w:val="00583B2F"/>
    <w:rsid w:val="00583C24"/>
    <w:rsid w:val="0058466F"/>
    <w:rsid w:val="005849A7"/>
    <w:rsid w:val="005849F6"/>
    <w:rsid w:val="0058636E"/>
    <w:rsid w:val="00586EB3"/>
    <w:rsid w:val="00587A2F"/>
    <w:rsid w:val="00587D72"/>
    <w:rsid w:val="00587D7B"/>
    <w:rsid w:val="0059069B"/>
    <w:rsid w:val="005909DB"/>
    <w:rsid w:val="00591892"/>
    <w:rsid w:val="00591E16"/>
    <w:rsid w:val="0059214F"/>
    <w:rsid w:val="0059249E"/>
    <w:rsid w:val="005929C7"/>
    <w:rsid w:val="00592E0B"/>
    <w:rsid w:val="00593451"/>
    <w:rsid w:val="00594A69"/>
    <w:rsid w:val="00594E88"/>
    <w:rsid w:val="0059506A"/>
    <w:rsid w:val="005957BB"/>
    <w:rsid w:val="0059683B"/>
    <w:rsid w:val="00596DEA"/>
    <w:rsid w:val="00596F9E"/>
    <w:rsid w:val="0059733F"/>
    <w:rsid w:val="005977B8"/>
    <w:rsid w:val="005A0725"/>
    <w:rsid w:val="005A0B1C"/>
    <w:rsid w:val="005A1391"/>
    <w:rsid w:val="005A1655"/>
    <w:rsid w:val="005A18AA"/>
    <w:rsid w:val="005A23DA"/>
    <w:rsid w:val="005A2AD4"/>
    <w:rsid w:val="005A44A2"/>
    <w:rsid w:val="005A4988"/>
    <w:rsid w:val="005A4B56"/>
    <w:rsid w:val="005A52CF"/>
    <w:rsid w:val="005A5B2B"/>
    <w:rsid w:val="005A5C72"/>
    <w:rsid w:val="005A662E"/>
    <w:rsid w:val="005A6A92"/>
    <w:rsid w:val="005A7490"/>
    <w:rsid w:val="005A78AD"/>
    <w:rsid w:val="005B0182"/>
    <w:rsid w:val="005B021C"/>
    <w:rsid w:val="005B0463"/>
    <w:rsid w:val="005B0A24"/>
    <w:rsid w:val="005B0BB2"/>
    <w:rsid w:val="005B0F34"/>
    <w:rsid w:val="005B1004"/>
    <w:rsid w:val="005B1412"/>
    <w:rsid w:val="005B1A22"/>
    <w:rsid w:val="005B213E"/>
    <w:rsid w:val="005B3336"/>
    <w:rsid w:val="005B34EC"/>
    <w:rsid w:val="005B36F6"/>
    <w:rsid w:val="005B3B56"/>
    <w:rsid w:val="005B3BCC"/>
    <w:rsid w:val="005B3EEF"/>
    <w:rsid w:val="005B40DC"/>
    <w:rsid w:val="005B436B"/>
    <w:rsid w:val="005B47DC"/>
    <w:rsid w:val="005B4852"/>
    <w:rsid w:val="005B498C"/>
    <w:rsid w:val="005B4D64"/>
    <w:rsid w:val="005B4FC0"/>
    <w:rsid w:val="005B5848"/>
    <w:rsid w:val="005B5E0D"/>
    <w:rsid w:val="005B64AA"/>
    <w:rsid w:val="005B6639"/>
    <w:rsid w:val="005B79ED"/>
    <w:rsid w:val="005C1321"/>
    <w:rsid w:val="005C1856"/>
    <w:rsid w:val="005C1B9F"/>
    <w:rsid w:val="005C23C0"/>
    <w:rsid w:val="005C30D6"/>
    <w:rsid w:val="005C3125"/>
    <w:rsid w:val="005C31CB"/>
    <w:rsid w:val="005C3214"/>
    <w:rsid w:val="005C35CD"/>
    <w:rsid w:val="005C3A01"/>
    <w:rsid w:val="005C3F58"/>
    <w:rsid w:val="005C47CE"/>
    <w:rsid w:val="005C4C24"/>
    <w:rsid w:val="005C4EE9"/>
    <w:rsid w:val="005C4F9E"/>
    <w:rsid w:val="005C53E0"/>
    <w:rsid w:val="005C58E7"/>
    <w:rsid w:val="005C662F"/>
    <w:rsid w:val="005C732E"/>
    <w:rsid w:val="005C7465"/>
    <w:rsid w:val="005C7B6D"/>
    <w:rsid w:val="005C7D8D"/>
    <w:rsid w:val="005D0CB5"/>
    <w:rsid w:val="005D114E"/>
    <w:rsid w:val="005D199C"/>
    <w:rsid w:val="005D1CDA"/>
    <w:rsid w:val="005D2582"/>
    <w:rsid w:val="005D2920"/>
    <w:rsid w:val="005D3293"/>
    <w:rsid w:val="005D35F7"/>
    <w:rsid w:val="005D3937"/>
    <w:rsid w:val="005D3E16"/>
    <w:rsid w:val="005D43DB"/>
    <w:rsid w:val="005D44CD"/>
    <w:rsid w:val="005D4866"/>
    <w:rsid w:val="005D4B98"/>
    <w:rsid w:val="005D5124"/>
    <w:rsid w:val="005D6530"/>
    <w:rsid w:val="005D6948"/>
    <w:rsid w:val="005D69AC"/>
    <w:rsid w:val="005D7470"/>
    <w:rsid w:val="005D7B40"/>
    <w:rsid w:val="005D7F00"/>
    <w:rsid w:val="005E0302"/>
    <w:rsid w:val="005E0DC1"/>
    <w:rsid w:val="005E1022"/>
    <w:rsid w:val="005E1D16"/>
    <w:rsid w:val="005E250B"/>
    <w:rsid w:val="005E2536"/>
    <w:rsid w:val="005E25ED"/>
    <w:rsid w:val="005E2A65"/>
    <w:rsid w:val="005E2B9A"/>
    <w:rsid w:val="005E40E3"/>
    <w:rsid w:val="005E4808"/>
    <w:rsid w:val="005E4978"/>
    <w:rsid w:val="005E4DB3"/>
    <w:rsid w:val="005E5500"/>
    <w:rsid w:val="005E5CDB"/>
    <w:rsid w:val="005E60A4"/>
    <w:rsid w:val="005E61FE"/>
    <w:rsid w:val="005E65E3"/>
    <w:rsid w:val="005E6B40"/>
    <w:rsid w:val="005E6C01"/>
    <w:rsid w:val="005E6C06"/>
    <w:rsid w:val="005E6D40"/>
    <w:rsid w:val="005E7167"/>
    <w:rsid w:val="005E7706"/>
    <w:rsid w:val="005F02C4"/>
    <w:rsid w:val="005F0478"/>
    <w:rsid w:val="005F09BA"/>
    <w:rsid w:val="005F126D"/>
    <w:rsid w:val="005F12B5"/>
    <w:rsid w:val="005F133F"/>
    <w:rsid w:val="005F15A7"/>
    <w:rsid w:val="005F25BF"/>
    <w:rsid w:val="005F25C2"/>
    <w:rsid w:val="005F2983"/>
    <w:rsid w:val="005F2B27"/>
    <w:rsid w:val="005F39D5"/>
    <w:rsid w:val="005F39FE"/>
    <w:rsid w:val="005F4A59"/>
    <w:rsid w:val="005F566A"/>
    <w:rsid w:val="005F571B"/>
    <w:rsid w:val="005F59E0"/>
    <w:rsid w:val="005F5A88"/>
    <w:rsid w:val="005F5B51"/>
    <w:rsid w:val="005F5BE9"/>
    <w:rsid w:val="005F63DD"/>
    <w:rsid w:val="005F647D"/>
    <w:rsid w:val="005F6AF2"/>
    <w:rsid w:val="005F7726"/>
    <w:rsid w:val="00600243"/>
    <w:rsid w:val="006002A4"/>
    <w:rsid w:val="00601202"/>
    <w:rsid w:val="006012B4"/>
    <w:rsid w:val="006012B9"/>
    <w:rsid w:val="006013D1"/>
    <w:rsid w:val="00601649"/>
    <w:rsid w:val="0060196D"/>
    <w:rsid w:val="00602048"/>
    <w:rsid w:val="00602183"/>
    <w:rsid w:val="00602FE4"/>
    <w:rsid w:val="00603952"/>
    <w:rsid w:val="006044D3"/>
    <w:rsid w:val="0060471C"/>
    <w:rsid w:val="00604909"/>
    <w:rsid w:val="00604C46"/>
    <w:rsid w:val="00604F3C"/>
    <w:rsid w:val="00605FCE"/>
    <w:rsid w:val="006066F3"/>
    <w:rsid w:val="0060670C"/>
    <w:rsid w:val="006068CA"/>
    <w:rsid w:val="00606D31"/>
    <w:rsid w:val="00606DCF"/>
    <w:rsid w:val="00607093"/>
    <w:rsid w:val="006072F0"/>
    <w:rsid w:val="00607338"/>
    <w:rsid w:val="006074CA"/>
    <w:rsid w:val="00607705"/>
    <w:rsid w:val="00607C74"/>
    <w:rsid w:val="00607E7B"/>
    <w:rsid w:val="00607EE7"/>
    <w:rsid w:val="0061081F"/>
    <w:rsid w:val="006109FE"/>
    <w:rsid w:val="00610CDD"/>
    <w:rsid w:val="00610D9F"/>
    <w:rsid w:val="00611436"/>
    <w:rsid w:val="006116E4"/>
    <w:rsid w:val="00611E1F"/>
    <w:rsid w:val="00612104"/>
    <w:rsid w:val="0061216E"/>
    <w:rsid w:val="00612753"/>
    <w:rsid w:val="00612BDB"/>
    <w:rsid w:val="00612E0B"/>
    <w:rsid w:val="006133E3"/>
    <w:rsid w:val="00613775"/>
    <w:rsid w:val="00614138"/>
    <w:rsid w:val="00614915"/>
    <w:rsid w:val="00614E54"/>
    <w:rsid w:val="00615847"/>
    <w:rsid w:val="00615E7B"/>
    <w:rsid w:val="00616125"/>
    <w:rsid w:val="006162F6"/>
    <w:rsid w:val="0061651E"/>
    <w:rsid w:val="00616AD5"/>
    <w:rsid w:val="006172B0"/>
    <w:rsid w:val="0061765B"/>
    <w:rsid w:val="006179BB"/>
    <w:rsid w:val="006202EF"/>
    <w:rsid w:val="00621546"/>
    <w:rsid w:val="00621D7E"/>
    <w:rsid w:val="00622D85"/>
    <w:rsid w:val="00622E20"/>
    <w:rsid w:val="00625669"/>
    <w:rsid w:val="006256BA"/>
    <w:rsid w:val="0062593C"/>
    <w:rsid w:val="00625A6A"/>
    <w:rsid w:val="00625B2A"/>
    <w:rsid w:val="00625DA8"/>
    <w:rsid w:val="006268FB"/>
    <w:rsid w:val="006275D2"/>
    <w:rsid w:val="00630637"/>
    <w:rsid w:val="00630CF5"/>
    <w:rsid w:val="0063131A"/>
    <w:rsid w:val="006314A4"/>
    <w:rsid w:val="00631603"/>
    <w:rsid w:val="00631924"/>
    <w:rsid w:val="00631DCB"/>
    <w:rsid w:val="00632457"/>
    <w:rsid w:val="00632598"/>
    <w:rsid w:val="00632CED"/>
    <w:rsid w:val="00632CF6"/>
    <w:rsid w:val="00633425"/>
    <w:rsid w:val="0063413F"/>
    <w:rsid w:val="006343F9"/>
    <w:rsid w:val="00634459"/>
    <w:rsid w:val="00634665"/>
    <w:rsid w:val="006346F5"/>
    <w:rsid w:val="0063508C"/>
    <w:rsid w:val="00635916"/>
    <w:rsid w:val="00635935"/>
    <w:rsid w:val="00636249"/>
    <w:rsid w:val="00637159"/>
    <w:rsid w:val="00637215"/>
    <w:rsid w:val="006376BE"/>
    <w:rsid w:val="00637DF0"/>
    <w:rsid w:val="00637F74"/>
    <w:rsid w:val="00640036"/>
    <w:rsid w:val="00640BD6"/>
    <w:rsid w:val="00641071"/>
    <w:rsid w:val="00641F52"/>
    <w:rsid w:val="00642989"/>
    <w:rsid w:val="00642A9E"/>
    <w:rsid w:val="0064308B"/>
    <w:rsid w:val="00645EC2"/>
    <w:rsid w:val="006461AB"/>
    <w:rsid w:val="006461B0"/>
    <w:rsid w:val="006472A2"/>
    <w:rsid w:val="00647DF1"/>
    <w:rsid w:val="00650A6C"/>
    <w:rsid w:val="0065162F"/>
    <w:rsid w:val="00651876"/>
    <w:rsid w:val="0065241A"/>
    <w:rsid w:val="0065258B"/>
    <w:rsid w:val="00652756"/>
    <w:rsid w:val="00652DF2"/>
    <w:rsid w:val="00653061"/>
    <w:rsid w:val="00653065"/>
    <w:rsid w:val="006532B6"/>
    <w:rsid w:val="006535FF"/>
    <w:rsid w:val="00654DAB"/>
    <w:rsid w:val="00655429"/>
    <w:rsid w:val="00655A40"/>
    <w:rsid w:val="006561E9"/>
    <w:rsid w:val="00657AC5"/>
    <w:rsid w:val="00657E4D"/>
    <w:rsid w:val="00657F11"/>
    <w:rsid w:val="00657F8A"/>
    <w:rsid w:val="00660059"/>
    <w:rsid w:val="0066015C"/>
    <w:rsid w:val="00660341"/>
    <w:rsid w:val="006607BC"/>
    <w:rsid w:val="006609F1"/>
    <w:rsid w:val="00661AED"/>
    <w:rsid w:val="00663D21"/>
    <w:rsid w:val="006640F7"/>
    <w:rsid w:val="00664951"/>
    <w:rsid w:val="00664A39"/>
    <w:rsid w:val="00664BA8"/>
    <w:rsid w:val="00664D78"/>
    <w:rsid w:val="00665392"/>
    <w:rsid w:val="006658C6"/>
    <w:rsid w:val="00665FBD"/>
    <w:rsid w:val="006661AC"/>
    <w:rsid w:val="006662A7"/>
    <w:rsid w:val="006662CE"/>
    <w:rsid w:val="00666514"/>
    <w:rsid w:val="0066696B"/>
    <w:rsid w:val="0066769F"/>
    <w:rsid w:val="00667779"/>
    <w:rsid w:val="00670B99"/>
    <w:rsid w:val="00670E0C"/>
    <w:rsid w:val="00670E69"/>
    <w:rsid w:val="00671A0A"/>
    <w:rsid w:val="00671A23"/>
    <w:rsid w:val="00671A51"/>
    <w:rsid w:val="00672608"/>
    <w:rsid w:val="0067312A"/>
    <w:rsid w:val="0067457E"/>
    <w:rsid w:val="00674991"/>
    <w:rsid w:val="00675121"/>
    <w:rsid w:val="006751FD"/>
    <w:rsid w:val="006754E5"/>
    <w:rsid w:val="006759DA"/>
    <w:rsid w:val="0067615D"/>
    <w:rsid w:val="00676D8C"/>
    <w:rsid w:val="00677318"/>
    <w:rsid w:val="0067738D"/>
    <w:rsid w:val="00677AAC"/>
    <w:rsid w:val="00677D8B"/>
    <w:rsid w:val="00677EC1"/>
    <w:rsid w:val="0068170F"/>
    <w:rsid w:val="0068196F"/>
    <w:rsid w:val="00682248"/>
    <w:rsid w:val="006822E5"/>
    <w:rsid w:val="006823A5"/>
    <w:rsid w:val="00682FF6"/>
    <w:rsid w:val="00683363"/>
    <w:rsid w:val="00683E08"/>
    <w:rsid w:val="006841EF"/>
    <w:rsid w:val="006844CB"/>
    <w:rsid w:val="006845AF"/>
    <w:rsid w:val="00684635"/>
    <w:rsid w:val="00684B34"/>
    <w:rsid w:val="00685755"/>
    <w:rsid w:val="00685BDB"/>
    <w:rsid w:val="0068624E"/>
    <w:rsid w:val="00686262"/>
    <w:rsid w:val="006865F3"/>
    <w:rsid w:val="00686D3C"/>
    <w:rsid w:val="00686D5C"/>
    <w:rsid w:val="006877BF"/>
    <w:rsid w:val="00687DD7"/>
    <w:rsid w:val="00690B9A"/>
    <w:rsid w:val="00690E02"/>
    <w:rsid w:val="00690E7A"/>
    <w:rsid w:val="006912FC"/>
    <w:rsid w:val="00691BDE"/>
    <w:rsid w:val="0069220D"/>
    <w:rsid w:val="006923A0"/>
    <w:rsid w:val="006927EE"/>
    <w:rsid w:val="006929B5"/>
    <w:rsid w:val="0069415A"/>
    <w:rsid w:val="006947DC"/>
    <w:rsid w:val="00694897"/>
    <w:rsid w:val="00694C70"/>
    <w:rsid w:val="00697931"/>
    <w:rsid w:val="00697D66"/>
    <w:rsid w:val="006A0034"/>
    <w:rsid w:val="006A03EA"/>
    <w:rsid w:val="006A093F"/>
    <w:rsid w:val="006A0CA6"/>
    <w:rsid w:val="006A2617"/>
    <w:rsid w:val="006A3162"/>
    <w:rsid w:val="006A47C5"/>
    <w:rsid w:val="006A4B43"/>
    <w:rsid w:val="006A4CB3"/>
    <w:rsid w:val="006A4CB6"/>
    <w:rsid w:val="006A531F"/>
    <w:rsid w:val="006A5420"/>
    <w:rsid w:val="006A5B9E"/>
    <w:rsid w:val="006A6A6B"/>
    <w:rsid w:val="006A6AAD"/>
    <w:rsid w:val="006A6B09"/>
    <w:rsid w:val="006A6C56"/>
    <w:rsid w:val="006A7198"/>
    <w:rsid w:val="006A78A6"/>
    <w:rsid w:val="006B02D3"/>
    <w:rsid w:val="006B0901"/>
    <w:rsid w:val="006B13A4"/>
    <w:rsid w:val="006B171D"/>
    <w:rsid w:val="006B18FF"/>
    <w:rsid w:val="006B234D"/>
    <w:rsid w:val="006B23DE"/>
    <w:rsid w:val="006B31E4"/>
    <w:rsid w:val="006B37D5"/>
    <w:rsid w:val="006B3950"/>
    <w:rsid w:val="006B43A1"/>
    <w:rsid w:val="006B464F"/>
    <w:rsid w:val="006B4B87"/>
    <w:rsid w:val="006B4F1A"/>
    <w:rsid w:val="006B4FE8"/>
    <w:rsid w:val="006B53CB"/>
    <w:rsid w:val="006B5457"/>
    <w:rsid w:val="006B5E24"/>
    <w:rsid w:val="006B5E9E"/>
    <w:rsid w:val="006B60C1"/>
    <w:rsid w:val="006B62CC"/>
    <w:rsid w:val="006B660A"/>
    <w:rsid w:val="006B67AE"/>
    <w:rsid w:val="006B68DF"/>
    <w:rsid w:val="006B68E5"/>
    <w:rsid w:val="006B73F2"/>
    <w:rsid w:val="006C0FFE"/>
    <w:rsid w:val="006C116E"/>
    <w:rsid w:val="006C1175"/>
    <w:rsid w:val="006C11F2"/>
    <w:rsid w:val="006C17C4"/>
    <w:rsid w:val="006C1E5B"/>
    <w:rsid w:val="006C25D3"/>
    <w:rsid w:val="006C25DC"/>
    <w:rsid w:val="006C366A"/>
    <w:rsid w:val="006C36A7"/>
    <w:rsid w:val="006C3A64"/>
    <w:rsid w:val="006C41A4"/>
    <w:rsid w:val="006C4F13"/>
    <w:rsid w:val="006C50B3"/>
    <w:rsid w:val="006C5A16"/>
    <w:rsid w:val="006C5BB2"/>
    <w:rsid w:val="006C5CA4"/>
    <w:rsid w:val="006C5E11"/>
    <w:rsid w:val="006C6758"/>
    <w:rsid w:val="006C730A"/>
    <w:rsid w:val="006D0168"/>
    <w:rsid w:val="006D02FE"/>
    <w:rsid w:val="006D0606"/>
    <w:rsid w:val="006D073C"/>
    <w:rsid w:val="006D0B36"/>
    <w:rsid w:val="006D11A5"/>
    <w:rsid w:val="006D1DDD"/>
    <w:rsid w:val="006D226B"/>
    <w:rsid w:val="006D237C"/>
    <w:rsid w:val="006D24C9"/>
    <w:rsid w:val="006D28A1"/>
    <w:rsid w:val="006D3EC2"/>
    <w:rsid w:val="006D4625"/>
    <w:rsid w:val="006D511A"/>
    <w:rsid w:val="006D57BF"/>
    <w:rsid w:val="006D595F"/>
    <w:rsid w:val="006D5AE1"/>
    <w:rsid w:val="006D6DFE"/>
    <w:rsid w:val="006D76ED"/>
    <w:rsid w:val="006D7BEA"/>
    <w:rsid w:val="006E0745"/>
    <w:rsid w:val="006E0D79"/>
    <w:rsid w:val="006E11D1"/>
    <w:rsid w:val="006E1679"/>
    <w:rsid w:val="006E178C"/>
    <w:rsid w:val="006E31F0"/>
    <w:rsid w:val="006E3ADD"/>
    <w:rsid w:val="006E4D36"/>
    <w:rsid w:val="006E4E51"/>
    <w:rsid w:val="006E53DB"/>
    <w:rsid w:val="006E5992"/>
    <w:rsid w:val="006E5A7C"/>
    <w:rsid w:val="006E5DFA"/>
    <w:rsid w:val="006E7A90"/>
    <w:rsid w:val="006F0CF0"/>
    <w:rsid w:val="006F1148"/>
    <w:rsid w:val="006F202B"/>
    <w:rsid w:val="006F268C"/>
    <w:rsid w:val="006F27B9"/>
    <w:rsid w:val="006F2BB2"/>
    <w:rsid w:val="006F322D"/>
    <w:rsid w:val="006F3D35"/>
    <w:rsid w:val="006F41EB"/>
    <w:rsid w:val="006F444D"/>
    <w:rsid w:val="006F47DA"/>
    <w:rsid w:val="006F5A5C"/>
    <w:rsid w:val="006F697A"/>
    <w:rsid w:val="006F6A01"/>
    <w:rsid w:val="006F6AE0"/>
    <w:rsid w:val="006F6CBB"/>
    <w:rsid w:val="006F6CE0"/>
    <w:rsid w:val="00700C0D"/>
    <w:rsid w:val="00700DBF"/>
    <w:rsid w:val="00701048"/>
    <w:rsid w:val="0070130A"/>
    <w:rsid w:val="0070161D"/>
    <w:rsid w:val="0070198F"/>
    <w:rsid w:val="00702001"/>
    <w:rsid w:val="0070227D"/>
    <w:rsid w:val="007022A3"/>
    <w:rsid w:val="00702476"/>
    <w:rsid w:val="00702912"/>
    <w:rsid w:val="00702C08"/>
    <w:rsid w:val="00702D99"/>
    <w:rsid w:val="007040F3"/>
    <w:rsid w:val="00704EE1"/>
    <w:rsid w:val="00704F8C"/>
    <w:rsid w:val="007052E6"/>
    <w:rsid w:val="00705326"/>
    <w:rsid w:val="007061E2"/>
    <w:rsid w:val="007068C8"/>
    <w:rsid w:val="0070726E"/>
    <w:rsid w:val="00707396"/>
    <w:rsid w:val="00710AC8"/>
    <w:rsid w:val="00711664"/>
    <w:rsid w:val="00711B3E"/>
    <w:rsid w:val="007120C3"/>
    <w:rsid w:val="007127DB"/>
    <w:rsid w:val="00712EB0"/>
    <w:rsid w:val="00713DB6"/>
    <w:rsid w:val="00714322"/>
    <w:rsid w:val="00714EF1"/>
    <w:rsid w:val="00714F84"/>
    <w:rsid w:val="007157B1"/>
    <w:rsid w:val="007157FF"/>
    <w:rsid w:val="00716040"/>
    <w:rsid w:val="00716B7F"/>
    <w:rsid w:val="00717490"/>
    <w:rsid w:val="00717FF8"/>
    <w:rsid w:val="007200B7"/>
    <w:rsid w:val="00720413"/>
    <w:rsid w:val="007204E3"/>
    <w:rsid w:val="007205B2"/>
    <w:rsid w:val="00720E40"/>
    <w:rsid w:val="00721758"/>
    <w:rsid w:val="00722016"/>
    <w:rsid w:val="007221F5"/>
    <w:rsid w:val="0072252D"/>
    <w:rsid w:val="00724A3E"/>
    <w:rsid w:val="00725359"/>
    <w:rsid w:val="0072563C"/>
    <w:rsid w:val="0072599D"/>
    <w:rsid w:val="00725D7B"/>
    <w:rsid w:val="00730102"/>
    <w:rsid w:val="00730506"/>
    <w:rsid w:val="007306FF"/>
    <w:rsid w:val="007310DE"/>
    <w:rsid w:val="0073131D"/>
    <w:rsid w:val="00732495"/>
    <w:rsid w:val="00732BC5"/>
    <w:rsid w:val="00732BD2"/>
    <w:rsid w:val="00733204"/>
    <w:rsid w:val="00733BFC"/>
    <w:rsid w:val="007350B9"/>
    <w:rsid w:val="00735860"/>
    <w:rsid w:val="00735AE3"/>
    <w:rsid w:val="0073649C"/>
    <w:rsid w:val="00736C9E"/>
    <w:rsid w:val="00736DC4"/>
    <w:rsid w:val="00737260"/>
    <w:rsid w:val="0073788D"/>
    <w:rsid w:val="00737A51"/>
    <w:rsid w:val="00737C1E"/>
    <w:rsid w:val="0074071C"/>
    <w:rsid w:val="00740842"/>
    <w:rsid w:val="007408BE"/>
    <w:rsid w:val="00741462"/>
    <w:rsid w:val="0074150F"/>
    <w:rsid w:val="00741BC6"/>
    <w:rsid w:val="00741F23"/>
    <w:rsid w:val="00742332"/>
    <w:rsid w:val="007430A8"/>
    <w:rsid w:val="00744CD7"/>
    <w:rsid w:val="00744CE2"/>
    <w:rsid w:val="00744EBB"/>
    <w:rsid w:val="007453A4"/>
    <w:rsid w:val="0074624E"/>
    <w:rsid w:val="007464FF"/>
    <w:rsid w:val="0074667B"/>
    <w:rsid w:val="007466E2"/>
    <w:rsid w:val="00747EFD"/>
    <w:rsid w:val="007502DF"/>
    <w:rsid w:val="00750661"/>
    <w:rsid w:val="00750829"/>
    <w:rsid w:val="007513C6"/>
    <w:rsid w:val="007517A5"/>
    <w:rsid w:val="007525D4"/>
    <w:rsid w:val="00754099"/>
    <w:rsid w:val="007544EB"/>
    <w:rsid w:val="007545C2"/>
    <w:rsid w:val="00754AA9"/>
    <w:rsid w:val="00754C00"/>
    <w:rsid w:val="00755193"/>
    <w:rsid w:val="0075562E"/>
    <w:rsid w:val="007556B9"/>
    <w:rsid w:val="0075687A"/>
    <w:rsid w:val="00757819"/>
    <w:rsid w:val="007578CD"/>
    <w:rsid w:val="00757C25"/>
    <w:rsid w:val="0076051E"/>
    <w:rsid w:val="007605D2"/>
    <w:rsid w:val="00760E68"/>
    <w:rsid w:val="0076113E"/>
    <w:rsid w:val="00761600"/>
    <w:rsid w:val="00762373"/>
    <w:rsid w:val="00762445"/>
    <w:rsid w:val="00762930"/>
    <w:rsid w:val="00762DC2"/>
    <w:rsid w:val="00763D83"/>
    <w:rsid w:val="007642A4"/>
    <w:rsid w:val="00764488"/>
    <w:rsid w:val="00764F0A"/>
    <w:rsid w:val="00765539"/>
    <w:rsid w:val="00765840"/>
    <w:rsid w:val="00765A17"/>
    <w:rsid w:val="007666AC"/>
    <w:rsid w:val="0076688C"/>
    <w:rsid w:val="00766930"/>
    <w:rsid w:val="00767886"/>
    <w:rsid w:val="00767B03"/>
    <w:rsid w:val="00767C65"/>
    <w:rsid w:val="00767C9A"/>
    <w:rsid w:val="00770B42"/>
    <w:rsid w:val="00771087"/>
    <w:rsid w:val="007713E9"/>
    <w:rsid w:val="0077180A"/>
    <w:rsid w:val="00771EA7"/>
    <w:rsid w:val="0077225A"/>
    <w:rsid w:val="00772577"/>
    <w:rsid w:val="00772A1D"/>
    <w:rsid w:val="007732BD"/>
    <w:rsid w:val="007732E2"/>
    <w:rsid w:val="00773765"/>
    <w:rsid w:val="007739FD"/>
    <w:rsid w:val="00773E93"/>
    <w:rsid w:val="007757E7"/>
    <w:rsid w:val="00775930"/>
    <w:rsid w:val="00776D29"/>
    <w:rsid w:val="00777703"/>
    <w:rsid w:val="0077790A"/>
    <w:rsid w:val="00780521"/>
    <w:rsid w:val="0078076B"/>
    <w:rsid w:val="007810FE"/>
    <w:rsid w:val="00781516"/>
    <w:rsid w:val="00783AB5"/>
    <w:rsid w:val="00783B74"/>
    <w:rsid w:val="00783F78"/>
    <w:rsid w:val="00784140"/>
    <w:rsid w:val="00784F05"/>
    <w:rsid w:val="007854C4"/>
    <w:rsid w:val="00785B2A"/>
    <w:rsid w:val="00785B8E"/>
    <w:rsid w:val="00785BA4"/>
    <w:rsid w:val="007869C8"/>
    <w:rsid w:val="007874A0"/>
    <w:rsid w:val="0078781C"/>
    <w:rsid w:val="00787B40"/>
    <w:rsid w:val="007901CE"/>
    <w:rsid w:val="007903FE"/>
    <w:rsid w:val="00790663"/>
    <w:rsid w:val="00790B9B"/>
    <w:rsid w:val="00791034"/>
    <w:rsid w:val="0079104A"/>
    <w:rsid w:val="0079114B"/>
    <w:rsid w:val="007917E1"/>
    <w:rsid w:val="00791B28"/>
    <w:rsid w:val="007925D3"/>
    <w:rsid w:val="00792A15"/>
    <w:rsid w:val="00792C9B"/>
    <w:rsid w:val="007932A8"/>
    <w:rsid w:val="0079353B"/>
    <w:rsid w:val="007947FE"/>
    <w:rsid w:val="00794B99"/>
    <w:rsid w:val="007956E3"/>
    <w:rsid w:val="00796509"/>
    <w:rsid w:val="007965ED"/>
    <w:rsid w:val="00796B90"/>
    <w:rsid w:val="00797D01"/>
    <w:rsid w:val="007A042D"/>
    <w:rsid w:val="007A1735"/>
    <w:rsid w:val="007A1FFF"/>
    <w:rsid w:val="007A2754"/>
    <w:rsid w:val="007A280E"/>
    <w:rsid w:val="007A2E96"/>
    <w:rsid w:val="007A3E17"/>
    <w:rsid w:val="007A3F17"/>
    <w:rsid w:val="007A3F28"/>
    <w:rsid w:val="007A4DCF"/>
    <w:rsid w:val="007A4FBA"/>
    <w:rsid w:val="007A52EE"/>
    <w:rsid w:val="007A562C"/>
    <w:rsid w:val="007A5CB7"/>
    <w:rsid w:val="007A5DC8"/>
    <w:rsid w:val="007A6244"/>
    <w:rsid w:val="007A6D4E"/>
    <w:rsid w:val="007A72F2"/>
    <w:rsid w:val="007A78B0"/>
    <w:rsid w:val="007A7F4D"/>
    <w:rsid w:val="007B062F"/>
    <w:rsid w:val="007B078A"/>
    <w:rsid w:val="007B1ADA"/>
    <w:rsid w:val="007B1C73"/>
    <w:rsid w:val="007B2108"/>
    <w:rsid w:val="007B2CA2"/>
    <w:rsid w:val="007B35FA"/>
    <w:rsid w:val="007B36D2"/>
    <w:rsid w:val="007B388C"/>
    <w:rsid w:val="007B3D49"/>
    <w:rsid w:val="007B473A"/>
    <w:rsid w:val="007B542E"/>
    <w:rsid w:val="007B63C4"/>
    <w:rsid w:val="007B6483"/>
    <w:rsid w:val="007B6873"/>
    <w:rsid w:val="007B687F"/>
    <w:rsid w:val="007C02B1"/>
    <w:rsid w:val="007C0675"/>
    <w:rsid w:val="007C0BD2"/>
    <w:rsid w:val="007C14C5"/>
    <w:rsid w:val="007C1AD5"/>
    <w:rsid w:val="007C1FFE"/>
    <w:rsid w:val="007C206B"/>
    <w:rsid w:val="007C23F1"/>
    <w:rsid w:val="007C2733"/>
    <w:rsid w:val="007C31CA"/>
    <w:rsid w:val="007C37F1"/>
    <w:rsid w:val="007C3924"/>
    <w:rsid w:val="007C4546"/>
    <w:rsid w:val="007C476C"/>
    <w:rsid w:val="007C5C30"/>
    <w:rsid w:val="007C5CF0"/>
    <w:rsid w:val="007C5D19"/>
    <w:rsid w:val="007C6489"/>
    <w:rsid w:val="007C6608"/>
    <w:rsid w:val="007C66C6"/>
    <w:rsid w:val="007C7A08"/>
    <w:rsid w:val="007C7E66"/>
    <w:rsid w:val="007D0BED"/>
    <w:rsid w:val="007D0FA4"/>
    <w:rsid w:val="007D238F"/>
    <w:rsid w:val="007D248E"/>
    <w:rsid w:val="007D30B1"/>
    <w:rsid w:val="007D310E"/>
    <w:rsid w:val="007D378D"/>
    <w:rsid w:val="007D4499"/>
    <w:rsid w:val="007D46FD"/>
    <w:rsid w:val="007D4BBD"/>
    <w:rsid w:val="007D6123"/>
    <w:rsid w:val="007D623A"/>
    <w:rsid w:val="007D65BA"/>
    <w:rsid w:val="007D6985"/>
    <w:rsid w:val="007D6FFB"/>
    <w:rsid w:val="007D75D9"/>
    <w:rsid w:val="007E0D34"/>
    <w:rsid w:val="007E18D4"/>
    <w:rsid w:val="007E1BE1"/>
    <w:rsid w:val="007E1BF6"/>
    <w:rsid w:val="007E1E6F"/>
    <w:rsid w:val="007E1FA8"/>
    <w:rsid w:val="007E2130"/>
    <w:rsid w:val="007E2400"/>
    <w:rsid w:val="007E2D1C"/>
    <w:rsid w:val="007E3930"/>
    <w:rsid w:val="007E3F88"/>
    <w:rsid w:val="007E4C9E"/>
    <w:rsid w:val="007E4D78"/>
    <w:rsid w:val="007E5282"/>
    <w:rsid w:val="007E5880"/>
    <w:rsid w:val="007E6A83"/>
    <w:rsid w:val="007E7069"/>
    <w:rsid w:val="007E715D"/>
    <w:rsid w:val="007E72AD"/>
    <w:rsid w:val="007E7ACF"/>
    <w:rsid w:val="007E7C41"/>
    <w:rsid w:val="007F02B1"/>
    <w:rsid w:val="007F0A3E"/>
    <w:rsid w:val="007F2483"/>
    <w:rsid w:val="007F24BD"/>
    <w:rsid w:val="007F296B"/>
    <w:rsid w:val="007F2C21"/>
    <w:rsid w:val="007F3561"/>
    <w:rsid w:val="007F3640"/>
    <w:rsid w:val="007F3BD0"/>
    <w:rsid w:val="007F40E3"/>
    <w:rsid w:val="007F5485"/>
    <w:rsid w:val="007F563A"/>
    <w:rsid w:val="007F574F"/>
    <w:rsid w:val="007F58A7"/>
    <w:rsid w:val="007F5EB6"/>
    <w:rsid w:val="007F6132"/>
    <w:rsid w:val="007F6364"/>
    <w:rsid w:val="007F651F"/>
    <w:rsid w:val="007F693F"/>
    <w:rsid w:val="007F712C"/>
    <w:rsid w:val="007F73F9"/>
    <w:rsid w:val="007F7488"/>
    <w:rsid w:val="007F7825"/>
    <w:rsid w:val="007F7ED1"/>
    <w:rsid w:val="00800292"/>
    <w:rsid w:val="008013D7"/>
    <w:rsid w:val="00801D69"/>
    <w:rsid w:val="00801F2F"/>
    <w:rsid w:val="0080247B"/>
    <w:rsid w:val="00802569"/>
    <w:rsid w:val="008025CB"/>
    <w:rsid w:val="00802772"/>
    <w:rsid w:val="0080299A"/>
    <w:rsid w:val="00802B57"/>
    <w:rsid w:val="00802F11"/>
    <w:rsid w:val="008034B0"/>
    <w:rsid w:val="0080387B"/>
    <w:rsid w:val="00803BF4"/>
    <w:rsid w:val="00804F13"/>
    <w:rsid w:val="0080517C"/>
    <w:rsid w:val="0080577C"/>
    <w:rsid w:val="00805D08"/>
    <w:rsid w:val="00806A9E"/>
    <w:rsid w:val="00806CC5"/>
    <w:rsid w:val="008071D7"/>
    <w:rsid w:val="008072E5"/>
    <w:rsid w:val="008105D7"/>
    <w:rsid w:val="00810A0E"/>
    <w:rsid w:val="00810A6F"/>
    <w:rsid w:val="00810B57"/>
    <w:rsid w:val="00811B65"/>
    <w:rsid w:val="008127A1"/>
    <w:rsid w:val="00812C76"/>
    <w:rsid w:val="00812DBC"/>
    <w:rsid w:val="008131D1"/>
    <w:rsid w:val="00813DB0"/>
    <w:rsid w:val="00813EDA"/>
    <w:rsid w:val="00814704"/>
    <w:rsid w:val="008148C8"/>
    <w:rsid w:val="00815AAF"/>
    <w:rsid w:val="00815BA7"/>
    <w:rsid w:val="00816017"/>
    <w:rsid w:val="008167A8"/>
    <w:rsid w:val="00817909"/>
    <w:rsid w:val="008201F6"/>
    <w:rsid w:val="00820CAF"/>
    <w:rsid w:val="00820D71"/>
    <w:rsid w:val="00821187"/>
    <w:rsid w:val="0082148E"/>
    <w:rsid w:val="00821B99"/>
    <w:rsid w:val="00821E1D"/>
    <w:rsid w:val="00822733"/>
    <w:rsid w:val="00822BD6"/>
    <w:rsid w:val="00822DF2"/>
    <w:rsid w:val="00823FB0"/>
    <w:rsid w:val="00824525"/>
    <w:rsid w:val="00824C5E"/>
    <w:rsid w:val="008252D2"/>
    <w:rsid w:val="00825C93"/>
    <w:rsid w:val="0082620C"/>
    <w:rsid w:val="008265D5"/>
    <w:rsid w:val="00826FA4"/>
    <w:rsid w:val="0082743C"/>
    <w:rsid w:val="00827A42"/>
    <w:rsid w:val="00827A53"/>
    <w:rsid w:val="00830015"/>
    <w:rsid w:val="00830224"/>
    <w:rsid w:val="0083071D"/>
    <w:rsid w:val="008311DD"/>
    <w:rsid w:val="008317FE"/>
    <w:rsid w:val="00834679"/>
    <w:rsid w:val="00835F65"/>
    <w:rsid w:val="008373E1"/>
    <w:rsid w:val="00840002"/>
    <w:rsid w:val="008401DB"/>
    <w:rsid w:val="008404C0"/>
    <w:rsid w:val="00840D28"/>
    <w:rsid w:val="00840DE6"/>
    <w:rsid w:val="00840DF0"/>
    <w:rsid w:val="00841199"/>
    <w:rsid w:val="008412FB"/>
    <w:rsid w:val="0084244F"/>
    <w:rsid w:val="00842895"/>
    <w:rsid w:val="008429F2"/>
    <w:rsid w:val="00842FEB"/>
    <w:rsid w:val="008430CB"/>
    <w:rsid w:val="0084383C"/>
    <w:rsid w:val="008440F5"/>
    <w:rsid w:val="008441C5"/>
    <w:rsid w:val="008441E3"/>
    <w:rsid w:val="008448A8"/>
    <w:rsid w:val="00844FF1"/>
    <w:rsid w:val="00845477"/>
    <w:rsid w:val="00845CC7"/>
    <w:rsid w:val="008463A9"/>
    <w:rsid w:val="008463DC"/>
    <w:rsid w:val="0084661D"/>
    <w:rsid w:val="00847A75"/>
    <w:rsid w:val="00850019"/>
    <w:rsid w:val="008500A5"/>
    <w:rsid w:val="0085195A"/>
    <w:rsid w:val="00851C2C"/>
    <w:rsid w:val="00851C88"/>
    <w:rsid w:val="008525C1"/>
    <w:rsid w:val="00852846"/>
    <w:rsid w:val="00852A76"/>
    <w:rsid w:val="00852FE6"/>
    <w:rsid w:val="008536BD"/>
    <w:rsid w:val="00853FF1"/>
    <w:rsid w:val="008546AB"/>
    <w:rsid w:val="00854A64"/>
    <w:rsid w:val="00855420"/>
    <w:rsid w:val="008562C1"/>
    <w:rsid w:val="0085631D"/>
    <w:rsid w:val="008565F4"/>
    <w:rsid w:val="00856876"/>
    <w:rsid w:val="00856FA5"/>
    <w:rsid w:val="00857363"/>
    <w:rsid w:val="00860688"/>
    <w:rsid w:val="00861730"/>
    <w:rsid w:val="0086246A"/>
    <w:rsid w:val="00862D67"/>
    <w:rsid w:val="00863122"/>
    <w:rsid w:val="008631B4"/>
    <w:rsid w:val="008639A5"/>
    <w:rsid w:val="008644F2"/>
    <w:rsid w:val="0086462D"/>
    <w:rsid w:val="008649E7"/>
    <w:rsid w:val="008655AC"/>
    <w:rsid w:val="0086571A"/>
    <w:rsid w:val="00865CAA"/>
    <w:rsid w:val="00866077"/>
    <w:rsid w:val="00866255"/>
    <w:rsid w:val="0086698D"/>
    <w:rsid w:val="00867351"/>
    <w:rsid w:val="0086753B"/>
    <w:rsid w:val="008707CF"/>
    <w:rsid w:val="00872503"/>
    <w:rsid w:val="00872D5D"/>
    <w:rsid w:val="008745D7"/>
    <w:rsid w:val="00874BDB"/>
    <w:rsid w:val="00874EED"/>
    <w:rsid w:val="00874F7C"/>
    <w:rsid w:val="008752D5"/>
    <w:rsid w:val="00877563"/>
    <w:rsid w:val="00877B60"/>
    <w:rsid w:val="008801DA"/>
    <w:rsid w:val="008801E0"/>
    <w:rsid w:val="008808CB"/>
    <w:rsid w:val="008819DD"/>
    <w:rsid w:val="00882988"/>
    <w:rsid w:val="00882E66"/>
    <w:rsid w:val="008839D7"/>
    <w:rsid w:val="00883EA7"/>
    <w:rsid w:val="00883F86"/>
    <w:rsid w:val="00884391"/>
    <w:rsid w:val="00884BE6"/>
    <w:rsid w:val="00884C3B"/>
    <w:rsid w:val="00884D3A"/>
    <w:rsid w:val="00884E34"/>
    <w:rsid w:val="008850C2"/>
    <w:rsid w:val="0088530F"/>
    <w:rsid w:val="00885420"/>
    <w:rsid w:val="00885555"/>
    <w:rsid w:val="00885EFA"/>
    <w:rsid w:val="008865E0"/>
    <w:rsid w:val="008868BE"/>
    <w:rsid w:val="00886B4E"/>
    <w:rsid w:val="00886E33"/>
    <w:rsid w:val="0088741D"/>
    <w:rsid w:val="008879C1"/>
    <w:rsid w:val="00887CD1"/>
    <w:rsid w:val="00890105"/>
    <w:rsid w:val="00890B2A"/>
    <w:rsid w:val="00891F75"/>
    <w:rsid w:val="008925BD"/>
    <w:rsid w:val="0089275D"/>
    <w:rsid w:val="00892861"/>
    <w:rsid w:val="00892EDD"/>
    <w:rsid w:val="00893974"/>
    <w:rsid w:val="00893A4F"/>
    <w:rsid w:val="00893C90"/>
    <w:rsid w:val="00893F18"/>
    <w:rsid w:val="0089457C"/>
    <w:rsid w:val="00894823"/>
    <w:rsid w:val="008954C2"/>
    <w:rsid w:val="00895793"/>
    <w:rsid w:val="00895E36"/>
    <w:rsid w:val="00896798"/>
    <w:rsid w:val="0089692A"/>
    <w:rsid w:val="00896AC1"/>
    <w:rsid w:val="00896F6D"/>
    <w:rsid w:val="008973A4"/>
    <w:rsid w:val="00897D5E"/>
    <w:rsid w:val="008A02C2"/>
    <w:rsid w:val="008A1129"/>
    <w:rsid w:val="008A1246"/>
    <w:rsid w:val="008A1CDB"/>
    <w:rsid w:val="008A202F"/>
    <w:rsid w:val="008A2119"/>
    <w:rsid w:val="008A215B"/>
    <w:rsid w:val="008A2477"/>
    <w:rsid w:val="008A2A81"/>
    <w:rsid w:val="008A2B0E"/>
    <w:rsid w:val="008A2BF5"/>
    <w:rsid w:val="008A32B3"/>
    <w:rsid w:val="008A332F"/>
    <w:rsid w:val="008A35EC"/>
    <w:rsid w:val="008A364E"/>
    <w:rsid w:val="008A3762"/>
    <w:rsid w:val="008A3A91"/>
    <w:rsid w:val="008A3E0E"/>
    <w:rsid w:val="008A3E4D"/>
    <w:rsid w:val="008A4435"/>
    <w:rsid w:val="008A451F"/>
    <w:rsid w:val="008A4796"/>
    <w:rsid w:val="008A5662"/>
    <w:rsid w:val="008A5D1A"/>
    <w:rsid w:val="008A5EAC"/>
    <w:rsid w:val="008A71BB"/>
    <w:rsid w:val="008A73BF"/>
    <w:rsid w:val="008A73DF"/>
    <w:rsid w:val="008A7915"/>
    <w:rsid w:val="008A7E84"/>
    <w:rsid w:val="008B0537"/>
    <w:rsid w:val="008B07BF"/>
    <w:rsid w:val="008B1A74"/>
    <w:rsid w:val="008B28EC"/>
    <w:rsid w:val="008B2CA5"/>
    <w:rsid w:val="008B3141"/>
    <w:rsid w:val="008B3743"/>
    <w:rsid w:val="008B3A1A"/>
    <w:rsid w:val="008B6240"/>
    <w:rsid w:val="008B79EF"/>
    <w:rsid w:val="008C00BE"/>
    <w:rsid w:val="008C0111"/>
    <w:rsid w:val="008C0254"/>
    <w:rsid w:val="008C1593"/>
    <w:rsid w:val="008C1728"/>
    <w:rsid w:val="008C1C2E"/>
    <w:rsid w:val="008C21D1"/>
    <w:rsid w:val="008C25B6"/>
    <w:rsid w:val="008C2AF7"/>
    <w:rsid w:val="008C2E97"/>
    <w:rsid w:val="008C3DF8"/>
    <w:rsid w:val="008C3F38"/>
    <w:rsid w:val="008C4C0E"/>
    <w:rsid w:val="008C54D6"/>
    <w:rsid w:val="008C59A8"/>
    <w:rsid w:val="008C67E9"/>
    <w:rsid w:val="008C689A"/>
    <w:rsid w:val="008C69AF"/>
    <w:rsid w:val="008C6D86"/>
    <w:rsid w:val="008C74BC"/>
    <w:rsid w:val="008C7830"/>
    <w:rsid w:val="008C7EBA"/>
    <w:rsid w:val="008D0100"/>
    <w:rsid w:val="008D03C9"/>
    <w:rsid w:val="008D08F7"/>
    <w:rsid w:val="008D10D2"/>
    <w:rsid w:val="008D1223"/>
    <w:rsid w:val="008D1263"/>
    <w:rsid w:val="008D1A82"/>
    <w:rsid w:val="008D1AD8"/>
    <w:rsid w:val="008D22AD"/>
    <w:rsid w:val="008D254E"/>
    <w:rsid w:val="008D266A"/>
    <w:rsid w:val="008D2CB8"/>
    <w:rsid w:val="008D2FC6"/>
    <w:rsid w:val="008D324A"/>
    <w:rsid w:val="008D386A"/>
    <w:rsid w:val="008D40CF"/>
    <w:rsid w:val="008D480F"/>
    <w:rsid w:val="008D4F48"/>
    <w:rsid w:val="008D52D6"/>
    <w:rsid w:val="008D5566"/>
    <w:rsid w:val="008D5F8A"/>
    <w:rsid w:val="008D628D"/>
    <w:rsid w:val="008D62A9"/>
    <w:rsid w:val="008D67A1"/>
    <w:rsid w:val="008D6AAD"/>
    <w:rsid w:val="008D7129"/>
    <w:rsid w:val="008D7FC2"/>
    <w:rsid w:val="008E00AE"/>
    <w:rsid w:val="008E0D50"/>
    <w:rsid w:val="008E0D9D"/>
    <w:rsid w:val="008E0F20"/>
    <w:rsid w:val="008E1AF7"/>
    <w:rsid w:val="008E23BE"/>
    <w:rsid w:val="008E24C2"/>
    <w:rsid w:val="008E2DA1"/>
    <w:rsid w:val="008E304B"/>
    <w:rsid w:val="008E3746"/>
    <w:rsid w:val="008E420A"/>
    <w:rsid w:val="008E4317"/>
    <w:rsid w:val="008E4E42"/>
    <w:rsid w:val="008E5016"/>
    <w:rsid w:val="008E5127"/>
    <w:rsid w:val="008E513F"/>
    <w:rsid w:val="008E521B"/>
    <w:rsid w:val="008E573E"/>
    <w:rsid w:val="008E60D6"/>
    <w:rsid w:val="008E67D9"/>
    <w:rsid w:val="008E73FF"/>
    <w:rsid w:val="008E7B96"/>
    <w:rsid w:val="008F0488"/>
    <w:rsid w:val="008F04EB"/>
    <w:rsid w:val="008F159C"/>
    <w:rsid w:val="008F270F"/>
    <w:rsid w:val="008F2C5E"/>
    <w:rsid w:val="008F390F"/>
    <w:rsid w:val="008F3DC4"/>
    <w:rsid w:val="008F3F35"/>
    <w:rsid w:val="008F4214"/>
    <w:rsid w:val="008F441E"/>
    <w:rsid w:val="008F45EC"/>
    <w:rsid w:val="008F484F"/>
    <w:rsid w:val="008F4C10"/>
    <w:rsid w:val="008F4D35"/>
    <w:rsid w:val="008F4F2F"/>
    <w:rsid w:val="008F515F"/>
    <w:rsid w:val="008F546E"/>
    <w:rsid w:val="008F60B6"/>
    <w:rsid w:val="008F63F8"/>
    <w:rsid w:val="008F6689"/>
    <w:rsid w:val="008F7CBB"/>
    <w:rsid w:val="008F7EA6"/>
    <w:rsid w:val="009003BE"/>
    <w:rsid w:val="00901008"/>
    <w:rsid w:val="00901A77"/>
    <w:rsid w:val="00901C66"/>
    <w:rsid w:val="00902175"/>
    <w:rsid w:val="00902519"/>
    <w:rsid w:val="00902EF5"/>
    <w:rsid w:val="009040A1"/>
    <w:rsid w:val="00904471"/>
    <w:rsid w:val="009045B7"/>
    <w:rsid w:val="009049A5"/>
    <w:rsid w:val="00904AFC"/>
    <w:rsid w:val="00904D0D"/>
    <w:rsid w:val="00906199"/>
    <w:rsid w:val="00907098"/>
    <w:rsid w:val="009070A2"/>
    <w:rsid w:val="0090752A"/>
    <w:rsid w:val="00907744"/>
    <w:rsid w:val="0091064F"/>
    <w:rsid w:val="0091161E"/>
    <w:rsid w:val="00911660"/>
    <w:rsid w:val="00911823"/>
    <w:rsid w:val="009118F5"/>
    <w:rsid w:val="00911F72"/>
    <w:rsid w:val="00912467"/>
    <w:rsid w:val="00912786"/>
    <w:rsid w:val="0091280A"/>
    <w:rsid w:val="00913657"/>
    <w:rsid w:val="00913920"/>
    <w:rsid w:val="00913ACF"/>
    <w:rsid w:val="00913C52"/>
    <w:rsid w:val="009142FA"/>
    <w:rsid w:val="00914630"/>
    <w:rsid w:val="00914BF9"/>
    <w:rsid w:val="00914CAB"/>
    <w:rsid w:val="009151C0"/>
    <w:rsid w:val="009155E1"/>
    <w:rsid w:val="009168AD"/>
    <w:rsid w:val="009169F0"/>
    <w:rsid w:val="00916AA6"/>
    <w:rsid w:val="00916BF0"/>
    <w:rsid w:val="00917ADB"/>
    <w:rsid w:val="00922297"/>
    <w:rsid w:val="009228C4"/>
    <w:rsid w:val="00922982"/>
    <w:rsid w:val="00922B8D"/>
    <w:rsid w:val="00923BEB"/>
    <w:rsid w:val="009240BE"/>
    <w:rsid w:val="00924662"/>
    <w:rsid w:val="00925154"/>
    <w:rsid w:val="00925D30"/>
    <w:rsid w:val="00925DC3"/>
    <w:rsid w:val="009262D8"/>
    <w:rsid w:val="00926315"/>
    <w:rsid w:val="0092779E"/>
    <w:rsid w:val="0092783B"/>
    <w:rsid w:val="00927CCD"/>
    <w:rsid w:val="00927DCD"/>
    <w:rsid w:val="009301DF"/>
    <w:rsid w:val="00930884"/>
    <w:rsid w:val="009315B1"/>
    <w:rsid w:val="0093193C"/>
    <w:rsid w:val="00932486"/>
    <w:rsid w:val="00932F5B"/>
    <w:rsid w:val="00933072"/>
    <w:rsid w:val="00933803"/>
    <w:rsid w:val="00934A0B"/>
    <w:rsid w:val="00934F0A"/>
    <w:rsid w:val="00934F61"/>
    <w:rsid w:val="00935318"/>
    <w:rsid w:val="009355D3"/>
    <w:rsid w:val="00935A4D"/>
    <w:rsid w:val="00935D7E"/>
    <w:rsid w:val="00935F94"/>
    <w:rsid w:val="0093622F"/>
    <w:rsid w:val="00936924"/>
    <w:rsid w:val="00936935"/>
    <w:rsid w:val="00936B60"/>
    <w:rsid w:val="00936CC8"/>
    <w:rsid w:val="00936D2A"/>
    <w:rsid w:val="00936EEB"/>
    <w:rsid w:val="009370F8"/>
    <w:rsid w:val="00937997"/>
    <w:rsid w:val="009379BF"/>
    <w:rsid w:val="00937D5A"/>
    <w:rsid w:val="0094096B"/>
    <w:rsid w:val="009415AC"/>
    <w:rsid w:val="00941692"/>
    <w:rsid w:val="00941969"/>
    <w:rsid w:val="00942D50"/>
    <w:rsid w:val="00942D86"/>
    <w:rsid w:val="00944328"/>
    <w:rsid w:val="00944E55"/>
    <w:rsid w:val="00945236"/>
    <w:rsid w:val="009460AF"/>
    <w:rsid w:val="00946740"/>
    <w:rsid w:val="009501BA"/>
    <w:rsid w:val="009502E1"/>
    <w:rsid w:val="0095178D"/>
    <w:rsid w:val="009517AB"/>
    <w:rsid w:val="00952BAB"/>
    <w:rsid w:val="00952C4F"/>
    <w:rsid w:val="0095401C"/>
    <w:rsid w:val="00955024"/>
    <w:rsid w:val="00955291"/>
    <w:rsid w:val="009557BC"/>
    <w:rsid w:val="00955C4E"/>
    <w:rsid w:val="009563EA"/>
    <w:rsid w:val="00956A03"/>
    <w:rsid w:val="00956D82"/>
    <w:rsid w:val="00956EC8"/>
    <w:rsid w:val="00957881"/>
    <w:rsid w:val="00957E80"/>
    <w:rsid w:val="0096043B"/>
    <w:rsid w:val="0096046B"/>
    <w:rsid w:val="00960682"/>
    <w:rsid w:val="009611B9"/>
    <w:rsid w:val="0096181D"/>
    <w:rsid w:val="00961EE3"/>
    <w:rsid w:val="0096266E"/>
    <w:rsid w:val="0096415C"/>
    <w:rsid w:val="00964165"/>
    <w:rsid w:val="009641EE"/>
    <w:rsid w:val="009642BB"/>
    <w:rsid w:val="009650DF"/>
    <w:rsid w:val="009666F1"/>
    <w:rsid w:val="00966939"/>
    <w:rsid w:val="00966AF7"/>
    <w:rsid w:val="00966D10"/>
    <w:rsid w:val="009672D7"/>
    <w:rsid w:val="009679FC"/>
    <w:rsid w:val="00970AB6"/>
    <w:rsid w:val="00971121"/>
    <w:rsid w:val="0097145A"/>
    <w:rsid w:val="009715B1"/>
    <w:rsid w:val="00971AFD"/>
    <w:rsid w:val="00971CEB"/>
    <w:rsid w:val="00971DF8"/>
    <w:rsid w:val="009722A5"/>
    <w:rsid w:val="00973B54"/>
    <w:rsid w:val="00973DA0"/>
    <w:rsid w:val="00973F34"/>
    <w:rsid w:val="00974C54"/>
    <w:rsid w:val="00974CE5"/>
    <w:rsid w:val="00974E0E"/>
    <w:rsid w:val="009750EF"/>
    <w:rsid w:val="00975AC3"/>
    <w:rsid w:val="00976452"/>
    <w:rsid w:val="00976B9C"/>
    <w:rsid w:val="00976C26"/>
    <w:rsid w:val="00976DF4"/>
    <w:rsid w:val="00976F95"/>
    <w:rsid w:val="009770FB"/>
    <w:rsid w:val="009772A5"/>
    <w:rsid w:val="009779D0"/>
    <w:rsid w:val="00980BA1"/>
    <w:rsid w:val="00980C82"/>
    <w:rsid w:val="00981DD7"/>
    <w:rsid w:val="0098262B"/>
    <w:rsid w:val="00982688"/>
    <w:rsid w:val="009826D6"/>
    <w:rsid w:val="00982BF9"/>
    <w:rsid w:val="00983560"/>
    <w:rsid w:val="00983698"/>
    <w:rsid w:val="00983947"/>
    <w:rsid w:val="0098395C"/>
    <w:rsid w:val="0098429C"/>
    <w:rsid w:val="00984660"/>
    <w:rsid w:val="00984979"/>
    <w:rsid w:val="009849EA"/>
    <w:rsid w:val="0098527F"/>
    <w:rsid w:val="009854E3"/>
    <w:rsid w:val="00985FEB"/>
    <w:rsid w:val="00986DFB"/>
    <w:rsid w:val="009875FA"/>
    <w:rsid w:val="009877CA"/>
    <w:rsid w:val="009877F3"/>
    <w:rsid w:val="00987B75"/>
    <w:rsid w:val="00990537"/>
    <w:rsid w:val="00990626"/>
    <w:rsid w:val="00991129"/>
    <w:rsid w:val="0099165E"/>
    <w:rsid w:val="00991BFC"/>
    <w:rsid w:val="00991C5B"/>
    <w:rsid w:val="009931F5"/>
    <w:rsid w:val="0099384A"/>
    <w:rsid w:val="00994147"/>
    <w:rsid w:val="009943BF"/>
    <w:rsid w:val="00994C15"/>
    <w:rsid w:val="00995343"/>
    <w:rsid w:val="0099540B"/>
    <w:rsid w:val="00995568"/>
    <w:rsid w:val="009959AA"/>
    <w:rsid w:val="00997C8E"/>
    <w:rsid w:val="00997EED"/>
    <w:rsid w:val="009A15FA"/>
    <w:rsid w:val="009A1640"/>
    <w:rsid w:val="009A1AF8"/>
    <w:rsid w:val="009A2370"/>
    <w:rsid w:val="009A2C7D"/>
    <w:rsid w:val="009A2D7E"/>
    <w:rsid w:val="009A3B15"/>
    <w:rsid w:val="009A40C3"/>
    <w:rsid w:val="009A5212"/>
    <w:rsid w:val="009A5F3D"/>
    <w:rsid w:val="009A6640"/>
    <w:rsid w:val="009A6D48"/>
    <w:rsid w:val="009A6FD6"/>
    <w:rsid w:val="009A745E"/>
    <w:rsid w:val="009A787B"/>
    <w:rsid w:val="009A7C40"/>
    <w:rsid w:val="009B02EA"/>
    <w:rsid w:val="009B060B"/>
    <w:rsid w:val="009B0628"/>
    <w:rsid w:val="009B0725"/>
    <w:rsid w:val="009B1107"/>
    <w:rsid w:val="009B13FE"/>
    <w:rsid w:val="009B28F8"/>
    <w:rsid w:val="009B2B45"/>
    <w:rsid w:val="009B3F98"/>
    <w:rsid w:val="009B433A"/>
    <w:rsid w:val="009B4DF0"/>
    <w:rsid w:val="009B5236"/>
    <w:rsid w:val="009B5E41"/>
    <w:rsid w:val="009B6080"/>
    <w:rsid w:val="009B6C24"/>
    <w:rsid w:val="009B6DDF"/>
    <w:rsid w:val="009B7548"/>
    <w:rsid w:val="009B7A70"/>
    <w:rsid w:val="009C0BA5"/>
    <w:rsid w:val="009C123B"/>
    <w:rsid w:val="009C141A"/>
    <w:rsid w:val="009C17DC"/>
    <w:rsid w:val="009C1E01"/>
    <w:rsid w:val="009C2ADE"/>
    <w:rsid w:val="009C2CB0"/>
    <w:rsid w:val="009C3075"/>
    <w:rsid w:val="009C3770"/>
    <w:rsid w:val="009C4AA5"/>
    <w:rsid w:val="009C4F15"/>
    <w:rsid w:val="009C5071"/>
    <w:rsid w:val="009C5319"/>
    <w:rsid w:val="009C58B9"/>
    <w:rsid w:val="009C6A6D"/>
    <w:rsid w:val="009C6ADE"/>
    <w:rsid w:val="009C72A1"/>
    <w:rsid w:val="009C734A"/>
    <w:rsid w:val="009C74C6"/>
    <w:rsid w:val="009C790C"/>
    <w:rsid w:val="009C7C43"/>
    <w:rsid w:val="009C7F1A"/>
    <w:rsid w:val="009D0350"/>
    <w:rsid w:val="009D03AB"/>
    <w:rsid w:val="009D0559"/>
    <w:rsid w:val="009D0A71"/>
    <w:rsid w:val="009D1741"/>
    <w:rsid w:val="009D17D8"/>
    <w:rsid w:val="009D20F6"/>
    <w:rsid w:val="009D3347"/>
    <w:rsid w:val="009D36BD"/>
    <w:rsid w:val="009D43BC"/>
    <w:rsid w:val="009D47FC"/>
    <w:rsid w:val="009D4CF0"/>
    <w:rsid w:val="009D62E1"/>
    <w:rsid w:val="009D71A8"/>
    <w:rsid w:val="009D721E"/>
    <w:rsid w:val="009D7F7F"/>
    <w:rsid w:val="009E00E6"/>
    <w:rsid w:val="009E0688"/>
    <w:rsid w:val="009E06F7"/>
    <w:rsid w:val="009E0A1A"/>
    <w:rsid w:val="009E0B1A"/>
    <w:rsid w:val="009E165B"/>
    <w:rsid w:val="009E202C"/>
    <w:rsid w:val="009E2DAF"/>
    <w:rsid w:val="009E3A81"/>
    <w:rsid w:val="009E52ED"/>
    <w:rsid w:val="009E670C"/>
    <w:rsid w:val="009E760D"/>
    <w:rsid w:val="009E7757"/>
    <w:rsid w:val="009E7F4C"/>
    <w:rsid w:val="009F005A"/>
    <w:rsid w:val="009F0939"/>
    <w:rsid w:val="009F09BB"/>
    <w:rsid w:val="009F1254"/>
    <w:rsid w:val="009F168A"/>
    <w:rsid w:val="009F1740"/>
    <w:rsid w:val="009F2282"/>
    <w:rsid w:val="009F3079"/>
    <w:rsid w:val="009F3701"/>
    <w:rsid w:val="009F3B91"/>
    <w:rsid w:val="009F3F68"/>
    <w:rsid w:val="009F43D8"/>
    <w:rsid w:val="009F4ADB"/>
    <w:rsid w:val="009F584A"/>
    <w:rsid w:val="009F58FE"/>
    <w:rsid w:val="009F5D33"/>
    <w:rsid w:val="009F5E5B"/>
    <w:rsid w:val="009F60BC"/>
    <w:rsid w:val="009F6545"/>
    <w:rsid w:val="009F6CE9"/>
    <w:rsid w:val="009F6D22"/>
    <w:rsid w:val="009F7B42"/>
    <w:rsid w:val="009F7CDE"/>
    <w:rsid w:val="00A006D8"/>
    <w:rsid w:val="00A00BD6"/>
    <w:rsid w:val="00A00E17"/>
    <w:rsid w:val="00A014E0"/>
    <w:rsid w:val="00A0152E"/>
    <w:rsid w:val="00A01E6D"/>
    <w:rsid w:val="00A01F28"/>
    <w:rsid w:val="00A0289C"/>
    <w:rsid w:val="00A04B3E"/>
    <w:rsid w:val="00A055AF"/>
    <w:rsid w:val="00A05E24"/>
    <w:rsid w:val="00A074A6"/>
    <w:rsid w:val="00A07DBD"/>
    <w:rsid w:val="00A1071C"/>
    <w:rsid w:val="00A111C6"/>
    <w:rsid w:val="00A114BB"/>
    <w:rsid w:val="00A117C6"/>
    <w:rsid w:val="00A11AAB"/>
    <w:rsid w:val="00A12353"/>
    <w:rsid w:val="00A12772"/>
    <w:rsid w:val="00A127FC"/>
    <w:rsid w:val="00A12CFA"/>
    <w:rsid w:val="00A1340F"/>
    <w:rsid w:val="00A13ECE"/>
    <w:rsid w:val="00A1411B"/>
    <w:rsid w:val="00A14AC3"/>
    <w:rsid w:val="00A150BC"/>
    <w:rsid w:val="00A1542A"/>
    <w:rsid w:val="00A156B9"/>
    <w:rsid w:val="00A157D0"/>
    <w:rsid w:val="00A159C7"/>
    <w:rsid w:val="00A169C3"/>
    <w:rsid w:val="00A16BBE"/>
    <w:rsid w:val="00A16CEF"/>
    <w:rsid w:val="00A16ED4"/>
    <w:rsid w:val="00A17963"/>
    <w:rsid w:val="00A17AE0"/>
    <w:rsid w:val="00A20555"/>
    <w:rsid w:val="00A20593"/>
    <w:rsid w:val="00A20828"/>
    <w:rsid w:val="00A20E17"/>
    <w:rsid w:val="00A216CF"/>
    <w:rsid w:val="00A21AA0"/>
    <w:rsid w:val="00A21FFA"/>
    <w:rsid w:val="00A2205E"/>
    <w:rsid w:val="00A22691"/>
    <w:rsid w:val="00A2294F"/>
    <w:rsid w:val="00A23B1E"/>
    <w:rsid w:val="00A23B6E"/>
    <w:rsid w:val="00A23D00"/>
    <w:rsid w:val="00A23D8B"/>
    <w:rsid w:val="00A23EFC"/>
    <w:rsid w:val="00A241BB"/>
    <w:rsid w:val="00A24BA9"/>
    <w:rsid w:val="00A24D3D"/>
    <w:rsid w:val="00A257BC"/>
    <w:rsid w:val="00A25D4A"/>
    <w:rsid w:val="00A26386"/>
    <w:rsid w:val="00A266DC"/>
    <w:rsid w:val="00A27215"/>
    <w:rsid w:val="00A2758A"/>
    <w:rsid w:val="00A303B5"/>
    <w:rsid w:val="00A3056B"/>
    <w:rsid w:val="00A30724"/>
    <w:rsid w:val="00A309E0"/>
    <w:rsid w:val="00A30E04"/>
    <w:rsid w:val="00A3122E"/>
    <w:rsid w:val="00A314B6"/>
    <w:rsid w:val="00A31568"/>
    <w:rsid w:val="00A31577"/>
    <w:rsid w:val="00A3159C"/>
    <w:rsid w:val="00A3179B"/>
    <w:rsid w:val="00A334DF"/>
    <w:rsid w:val="00A3374F"/>
    <w:rsid w:val="00A338AE"/>
    <w:rsid w:val="00A33917"/>
    <w:rsid w:val="00A34290"/>
    <w:rsid w:val="00A355FB"/>
    <w:rsid w:val="00A356D0"/>
    <w:rsid w:val="00A35A2F"/>
    <w:rsid w:val="00A35E75"/>
    <w:rsid w:val="00A373D1"/>
    <w:rsid w:val="00A37AB2"/>
    <w:rsid w:val="00A37D4E"/>
    <w:rsid w:val="00A403A3"/>
    <w:rsid w:val="00A407B4"/>
    <w:rsid w:val="00A414DA"/>
    <w:rsid w:val="00A41D12"/>
    <w:rsid w:val="00A42E17"/>
    <w:rsid w:val="00A4389E"/>
    <w:rsid w:val="00A43962"/>
    <w:rsid w:val="00A43D91"/>
    <w:rsid w:val="00A4460D"/>
    <w:rsid w:val="00A44D2F"/>
    <w:rsid w:val="00A45A57"/>
    <w:rsid w:val="00A45E70"/>
    <w:rsid w:val="00A46C12"/>
    <w:rsid w:val="00A47B27"/>
    <w:rsid w:val="00A47DF4"/>
    <w:rsid w:val="00A502CD"/>
    <w:rsid w:val="00A502D5"/>
    <w:rsid w:val="00A5049F"/>
    <w:rsid w:val="00A504F1"/>
    <w:rsid w:val="00A511AA"/>
    <w:rsid w:val="00A51417"/>
    <w:rsid w:val="00A51555"/>
    <w:rsid w:val="00A5248A"/>
    <w:rsid w:val="00A526F4"/>
    <w:rsid w:val="00A53153"/>
    <w:rsid w:val="00A53C12"/>
    <w:rsid w:val="00A54A4B"/>
    <w:rsid w:val="00A54E48"/>
    <w:rsid w:val="00A55305"/>
    <w:rsid w:val="00A5547A"/>
    <w:rsid w:val="00A55B69"/>
    <w:rsid w:val="00A55DF1"/>
    <w:rsid w:val="00A57743"/>
    <w:rsid w:val="00A57B23"/>
    <w:rsid w:val="00A60708"/>
    <w:rsid w:val="00A608EC"/>
    <w:rsid w:val="00A60A9B"/>
    <w:rsid w:val="00A60E67"/>
    <w:rsid w:val="00A60E8E"/>
    <w:rsid w:val="00A60EA7"/>
    <w:rsid w:val="00A6252F"/>
    <w:rsid w:val="00A6255E"/>
    <w:rsid w:val="00A62E3E"/>
    <w:rsid w:val="00A6388F"/>
    <w:rsid w:val="00A63ACC"/>
    <w:rsid w:val="00A6464E"/>
    <w:rsid w:val="00A65CBD"/>
    <w:rsid w:val="00A66202"/>
    <w:rsid w:val="00A66285"/>
    <w:rsid w:val="00A668E6"/>
    <w:rsid w:val="00A67169"/>
    <w:rsid w:val="00A6771D"/>
    <w:rsid w:val="00A677DF"/>
    <w:rsid w:val="00A67D07"/>
    <w:rsid w:val="00A7001B"/>
    <w:rsid w:val="00A708BE"/>
    <w:rsid w:val="00A70A6D"/>
    <w:rsid w:val="00A70CA7"/>
    <w:rsid w:val="00A70F40"/>
    <w:rsid w:val="00A713A8"/>
    <w:rsid w:val="00A720CE"/>
    <w:rsid w:val="00A72B31"/>
    <w:rsid w:val="00A7355E"/>
    <w:rsid w:val="00A73B2B"/>
    <w:rsid w:val="00A73BA6"/>
    <w:rsid w:val="00A74412"/>
    <w:rsid w:val="00A74F9E"/>
    <w:rsid w:val="00A752AF"/>
    <w:rsid w:val="00A756D7"/>
    <w:rsid w:val="00A76659"/>
    <w:rsid w:val="00A76C1E"/>
    <w:rsid w:val="00A76FF8"/>
    <w:rsid w:val="00A771DE"/>
    <w:rsid w:val="00A7720A"/>
    <w:rsid w:val="00A779DE"/>
    <w:rsid w:val="00A77B02"/>
    <w:rsid w:val="00A77C00"/>
    <w:rsid w:val="00A81719"/>
    <w:rsid w:val="00A81C55"/>
    <w:rsid w:val="00A82244"/>
    <w:rsid w:val="00A82FA2"/>
    <w:rsid w:val="00A832B3"/>
    <w:rsid w:val="00A83607"/>
    <w:rsid w:val="00A83F86"/>
    <w:rsid w:val="00A847D7"/>
    <w:rsid w:val="00A848D8"/>
    <w:rsid w:val="00A84CF0"/>
    <w:rsid w:val="00A85212"/>
    <w:rsid w:val="00A85358"/>
    <w:rsid w:val="00A85639"/>
    <w:rsid w:val="00A85791"/>
    <w:rsid w:val="00A85BFD"/>
    <w:rsid w:val="00A8686D"/>
    <w:rsid w:val="00A86D2C"/>
    <w:rsid w:val="00A86EAB"/>
    <w:rsid w:val="00A87373"/>
    <w:rsid w:val="00A87755"/>
    <w:rsid w:val="00A87ED4"/>
    <w:rsid w:val="00A87F28"/>
    <w:rsid w:val="00A90318"/>
    <w:rsid w:val="00A905FF"/>
    <w:rsid w:val="00A907B6"/>
    <w:rsid w:val="00A914C2"/>
    <w:rsid w:val="00A915B6"/>
    <w:rsid w:val="00A91A04"/>
    <w:rsid w:val="00A91A73"/>
    <w:rsid w:val="00A922F8"/>
    <w:rsid w:val="00A94289"/>
    <w:rsid w:val="00A94E2A"/>
    <w:rsid w:val="00A952D7"/>
    <w:rsid w:val="00A9584F"/>
    <w:rsid w:val="00A9616A"/>
    <w:rsid w:val="00A96500"/>
    <w:rsid w:val="00A96FA1"/>
    <w:rsid w:val="00A9760B"/>
    <w:rsid w:val="00A97B8C"/>
    <w:rsid w:val="00AA060A"/>
    <w:rsid w:val="00AA0E3C"/>
    <w:rsid w:val="00AA112E"/>
    <w:rsid w:val="00AA1970"/>
    <w:rsid w:val="00AA1D27"/>
    <w:rsid w:val="00AA394D"/>
    <w:rsid w:val="00AA494D"/>
    <w:rsid w:val="00AA4C94"/>
    <w:rsid w:val="00AA4CEC"/>
    <w:rsid w:val="00AA4D9F"/>
    <w:rsid w:val="00AA4E40"/>
    <w:rsid w:val="00AA521C"/>
    <w:rsid w:val="00AA5230"/>
    <w:rsid w:val="00AA5A07"/>
    <w:rsid w:val="00AA5BD3"/>
    <w:rsid w:val="00AA5F16"/>
    <w:rsid w:val="00AA5FC4"/>
    <w:rsid w:val="00AA6680"/>
    <w:rsid w:val="00AA6836"/>
    <w:rsid w:val="00AA68EE"/>
    <w:rsid w:val="00AA6D1E"/>
    <w:rsid w:val="00AA7ADC"/>
    <w:rsid w:val="00AB0045"/>
    <w:rsid w:val="00AB060A"/>
    <w:rsid w:val="00AB06F2"/>
    <w:rsid w:val="00AB1065"/>
    <w:rsid w:val="00AB1374"/>
    <w:rsid w:val="00AB163E"/>
    <w:rsid w:val="00AB1F33"/>
    <w:rsid w:val="00AB2272"/>
    <w:rsid w:val="00AB2543"/>
    <w:rsid w:val="00AB39D2"/>
    <w:rsid w:val="00AB454B"/>
    <w:rsid w:val="00AB4A0D"/>
    <w:rsid w:val="00AB4C37"/>
    <w:rsid w:val="00AB4F5A"/>
    <w:rsid w:val="00AB59CC"/>
    <w:rsid w:val="00AB63BC"/>
    <w:rsid w:val="00AB6419"/>
    <w:rsid w:val="00AB6480"/>
    <w:rsid w:val="00AB6D03"/>
    <w:rsid w:val="00AB6FFD"/>
    <w:rsid w:val="00AB7DD2"/>
    <w:rsid w:val="00AC0104"/>
    <w:rsid w:val="00AC0237"/>
    <w:rsid w:val="00AC0B20"/>
    <w:rsid w:val="00AC0E4E"/>
    <w:rsid w:val="00AC1084"/>
    <w:rsid w:val="00AC1097"/>
    <w:rsid w:val="00AC1815"/>
    <w:rsid w:val="00AC1920"/>
    <w:rsid w:val="00AC2787"/>
    <w:rsid w:val="00AC397C"/>
    <w:rsid w:val="00AC3E12"/>
    <w:rsid w:val="00AC4103"/>
    <w:rsid w:val="00AC4BF8"/>
    <w:rsid w:val="00AC5D8D"/>
    <w:rsid w:val="00AC6EE6"/>
    <w:rsid w:val="00AC78B5"/>
    <w:rsid w:val="00AC78DB"/>
    <w:rsid w:val="00AD0731"/>
    <w:rsid w:val="00AD0A23"/>
    <w:rsid w:val="00AD0D46"/>
    <w:rsid w:val="00AD128F"/>
    <w:rsid w:val="00AD19FB"/>
    <w:rsid w:val="00AD1ADC"/>
    <w:rsid w:val="00AD1CFA"/>
    <w:rsid w:val="00AD1D6D"/>
    <w:rsid w:val="00AD1EBB"/>
    <w:rsid w:val="00AD222F"/>
    <w:rsid w:val="00AD224B"/>
    <w:rsid w:val="00AD24A1"/>
    <w:rsid w:val="00AD3E35"/>
    <w:rsid w:val="00AD40A7"/>
    <w:rsid w:val="00AD440F"/>
    <w:rsid w:val="00AD4994"/>
    <w:rsid w:val="00AD5125"/>
    <w:rsid w:val="00AD5D19"/>
    <w:rsid w:val="00AD5D59"/>
    <w:rsid w:val="00AD5FEB"/>
    <w:rsid w:val="00AD6A2D"/>
    <w:rsid w:val="00AD6C94"/>
    <w:rsid w:val="00AD6D16"/>
    <w:rsid w:val="00AD77F6"/>
    <w:rsid w:val="00AD7B08"/>
    <w:rsid w:val="00AE0552"/>
    <w:rsid w:val="00AE09B8"/>
    <w:rsid w:val="00AE1A95"/>
    <w:rsid w:val="00AE200D"/>
    <w:rsid w:val="00AE2E1A"/>
    <w:rsid w:val="00AE3B0E"/>
    <w:rsid w:val="00AE3BA9"/>
    <w:rsid w:val="00AE407F"/>
    <w:rsid w:val="00AE41D3"/>
    <w:rsid w:val="00AE4959"/>
    <w:rsid w:val="00AE53D0"/>
    <w:rsid w:val="00AE54F7"/>
    <w:rsid w:val="00AE5B3C"/>
    <w:rsid w:val="00AE63A7"/>
    <w:rsid w:val="00AE71D4"/>
    <w:rsid w:val="00AF083E"/>
    <w:rsid w:val="00AF0F58"/>
    <w:rsid w:val="00AF13D3"/>
    <w:rsid w:val="00AF15A4"/>
    <w:rsid w:val="00AF20C9"/>
    <w:rsid w:val="00AF2593"/>
    <w:rsid w:val="00AF2B04"/>
    <w:rsid w:val="00AF3544"/>
    <w:rsid w:val="00AF3AFA"/>
    <w:rsid w:val="00AF445A"/>
    <w:rsid w:val="00AF4D08"/>
    <w:rsid w:val="00AF4DF8"/>
    <w:rsid w:val="00AF53CA"/>
    <w:rsid w:val="00AF5A4D"/>
    <w:rsid w:val="00AF5FA6"/>
    <w:rsid w:val="00AF686D"/>
    <w:rsid w:val="00AF6E83"/>
    <w:rsid w:val="00AF7524"/>
    <w:rsid w:val="00AF7EE4"/>
    <w:rsid w:val="00B008CC"/>
    <w:rsid w:val="00B01075"/>
    <w:rsid w:val="00B01522"/>
    <w:rsid w:val="00B0178E"/>
    <w:rsid w:val="00B02C44"/>
    <w:rsid w:val="00B02CB8"/>
    <w:rsid w:val="00B02D2F"/>
    <w:rsid w:val="00B034D2"/>
    <w:rsid w:val="00B03ACB"/>
    <w:rsid w:val="00B04043"/>
    <w:rsid w:val="00B041C9"/>
    <w:rsid w:val="00B04CE8"/>
    <w:rsid w:val="00B0527E"/>
    <w:rsid w:val="00B05D5C"/>
    <w:rsid w:val="00B0680F"/>
    <w:rsid w:val="00B06974"/>
    <w:rsid w:val="00B06D5F"/>
    <w:rsid w:val="00B07304"/>
    <w:rsid w:val="00B074E4"/>
    <w:rsid w:val="00B07684"/>
    <w:rsid w:val="00B07782"/>
    <w:rsid w:val="00B07D1D"/>
    <w:rsid w:val="00B07D42"/>
    <w:rsid w:val="00B108D1"/>
    <w:rsid w:val="00B11203"/>
    <w:rsid w:val="00B113E3"/>
    <w:rsid w:val="00B11843"/>
    <w:rsid w:val="00B12454"/>
    <w:rsid w:val="00B1287B"/>
    <w:rsid w:val="00B128DB"/>
    <w:rsid w:val="00B12BA6"/>
    <w:rsid w:val="00B12E2D"/>
    <w:rsid w:val="00B13543"/>
    <w:rsid w:val="00B138B2"/>
    <w:rsid w:val="00B1433F"/>
    <w:rsid w:val="00B156E5"/>
    <w:rsid w:val="00B15B31"/>
    <w:rsid w:val="00B16C1D"/>
    <w:rsid w:val="00B1737A"/>
    <w:rsid w:val="00B17836"/>
    <w:rsid w:val="00B17892"/>
    <w:rsid w:val="00B179C0"/>
    <w:rsid w:val="00B17DB6"/>
    <w:rsid w:val="00B17EE8"/>
    <w:rsid w:val="00B20C26"/>
    <w:rsid w:val="00B216E3"/>
    <w:rsid w:val="00B21AD0"/>
    <w:rsid w:val="00B21BF5"/>
    <w:rsid w:val="00B225DF"/>
    <w:rsid w:val="00B22833"/>
    <w:rsid w:val="00B22875"/>
    <w:rsid w:val="00B23303"/>
    <w:rsid w:val="00B23DE2"/>
    <w:rsid w:val="00B23DFC"/>
    <w:rsid w:val="00B24854"/>
    <w:rsid w:val="00B24B59"/>
    <w:rsid w:val="00B24EE3"/>
    <w:rsid w:val="00B26FE0"/>
    <w:rsid w:val="00B27BF3"/>
    <w:rsid w:val="00B30D9C"/>
    <w:rsid w:val="00B30EDB"/>
    <w:rsid w:val="00B30FC2"/>
    <w:rsid w:val="00B31470"/>
    <w:rsid w:val="00B31504"/>
    <w:rsid w:val="00B31D4D"/>
    <w:rsid w:val="00B3235E"/>
    <w:rsid w:val="00B32F8F"/>
    <w:rsid w:val="00B32FD5"/>
    <w:rsid w:val="00B33D7A"/>
    <w:rsid w:val="00B3463E"/>
    <w:rsid w:val="00B3467F"/>
    <w:rsid w:val="00B34B2B"/>
    <w:rsid w:val="00B34DE9"/>
    <w:rsid w:val="00B3622C"/>
    <w:rsid w:val="00B36DD5"/>
    <w:rsid w:val="00B378BE"/>
    <w:rsid w:val="00B37B0F"/>
    <w:rsid w:val="00B4025A"/>
    <w:rsid w:val="00B405EF"/>
    <w:rsid w:val="00B40BCD"/>
    <w:rsid w:val="00B411AF"/>
    <w:rsid w:val="00B41D31"/>
    <w:rsid w:val="00B41F9C"/>
    <w:rsid w:val="00B42CE0"/>
    <w:rsid w:val="00B42FEB"/>
    <w:rsid w:val="00B430EA"/>
    <w:rsid w:val="00B43264"/>
    <w:rsid w:val="00B4373D"/>
    <w:rsid w:val="00B4374B"/>
    <w:rsid w:val="00B4397C"/>
    <w:rsid w:val="00B43BDE"/>
    <w:rsid w:val="00B43E0D"/>
    <w:rsid w:val="00B43E2A"/>
    <w:rsid w:val="00B44F7C"/>
    <w:rsid w:val="00B44FB0"/>
    <w:rsid w:val="00B453BD"/>
    <w:rsid w:val="00B45907"/>
    <w:rsid w:val="00B4605B"/>
    <w:rsid w:val="00B476D2"/>
    <w:rsid w:val="00B477D0"/>
    <w:rsid w:val="00B47B53"/>
    <w:rsid w:val="00B47B91"/>
    <w:rsid w:val="00B47EE7"/>
    <w:rsid w:val="00B51040"/>
    <w:rsid w:val="00B5127D"/>
    <w:rsid w:val="00B51700"/>
    <w:rsid w:val="00B5171E"/>
    <w:rsid w:val="00B51C1B"/>
    <w:rsid w:val="00B52374"/>
    <w:rsid w:val="00B52487"/>
    <w:rsid w:val="00B526C2"/>
    <w:rsid w:val="00B526D6"/>
    <w:rsid w:val="00B5346E"/>
    <w:rsid w:val="00B53B90"/>
    <w:rsid w:val="00B53B96"/>
    <w:rsid w:val="00B53DF7"/>
    <w:rsid w:val="00B5401D"/>
    <w:rsid w:val="00B54641"/>
    <w:rsid w:val="00B5499E"/>
    <w:rsid w:val="00B5540A"/>
    <w:rsid w:val="00B57ECC"/>
    <w:rsid w:val="00B60050"/>
    <w:rsid w:val="00B60144"/>
    <w:rsid w:val="00B6018D"/>
    <w:rsid w:val="00B6043D"/>
    <w:rsid w:val="00B60696"/>
    <w:rsid w:val="00B60D8F"/>
    <w:rsid w:val="00B61376"/>
    <w:rsid w:val="00B616CF"/>
    <w:rsid w:val="00B62018"/>
    <w:rsid w:val="00B6205F"/>
    <w:rsid w:val="00B621C8"/>
    <w:rsid w:val="00B6289C"/>
    <w:rsid w:val="00B62AB2"/>
    <w:rsid w:val="00B63DBB"/>
    <w:rsid w:val="00B64A8E"/>
    <w:rsid w:val="00B64C46"/>
    <w:rsid w:val="00B656AC"/>
    <w:rsid w:val="00B65748"/>
    <w:rsid w:val="00B65F64"/>
    <w:rsid w:val="00B66026"/>
    <w:rsid w:val="00B6634E"/>
    <w:rsid w:val="00B664E5"/>
    <w:rsid w:val="00B66B3D"/>
    <w:rsid w:val="00B66C3E"/>
    <w:rsid w:val="00B6721A"/>
    <w:rsid w:val="00B6745D"/>
    <w:rsid w:val="00B67471"/>
    <w:rsid w:val="00B674E9"/>
    <w:rsid w:val="00B6764A"/>
    <w:rsid w:val="00B67B2E"/>
    <w:rsid w:val="00B704E8"/>
    <w:rsid w:val="00B7097A"/>
    <w:rsid w:val="00B70CA4"/>
    <w:rsid w:val="00B71436"/>
    <w:rsid w:val="00B718A8"/>
    <w:rsid w:val="00B72084"/>
    <w:rsid w:val="00B72366"/>
    <w:rsid w:val="00B72714"/>
    <w:rsid w:val="00B72A1F"/>
    <w:rsid w:val="00B72AC8"/>
    <w:rsid w:val="00B73086"/>
    <w:rsid w:val="00B73E81"/>
    <w:rsid w:val="00B7414E"/>
    <w:rsid w:val="00B748BA"/>
    <w:rsid w:val="00B74C0B"/>
    <w:rsid w:val="00B74E0F"/>
    <w:rsid w:val="00B74FF8"/>
    <w:rsid w:val="00B7517A"/>
    <w:rsid w:val="00B7531F"/>
    <w:rsid w:val="00B75ED2"/>
    <w:rsid w:val="00B77668"/>
    <w:rsid w:val="00B77D62"/>
    <w:rsid w:val="00B805EF"/>
    <w:rsid w:val="00B80FB1"/>
    <w:rsid w:val="00B812ED"/>
    <w:rsid w:val="00B8194B"/>
    <w:rsid w:val="00B81C65"/>
    <w:rsid w:val="00B82484"/>
    <w:rsid w:val="00B82497"/>
    <w:rsid w:val="00B82783"/>
    <w:rsid w:val="00B82DE4"/>
    <w:rsid w:val="00B82F59"/>
    <w:rsid w:val="00B83378"/>
    <w:rsid w:val="00B83A4C"/>
    <w:rsid w:val="00B842B8"/>
    <w:rsid w:val="00B8458F"/>
    <w:rsid w:val="00B84BD8"/>
    <w:rsid w:val="00B84C3E"/>
    <w:rsid w:val="00B86732"/>
    <w:rsid w:val="00B868A0"/>
    <w:rsid w:val="00B86912"/>
    <w:rsid w:val="00B869F6"/>
    <w:rsid w:val="00B87493"/>
    <w:rsid w:val="00B87624"/>
    <w:rsid w:val="00B908AF"/>
    <w:rsid w:val="00B908E2"/>
    <w:rsid w:val="00B90E41"/>
    <w:rsid w:val="00B90F98"/>
    <w:rsid w:val="00B910AB"/>
    <w:rsid w:val="00B919C1"/>
    <w:rsid w:val="00B91A3D"/>
    <w:rsid w:val="00B9213A"/>
    <w:rsid w:val="00B92C0D"/>
    <w:rsid w:val="00B92DDC"/>
    <w:rsid w:val="00B92FB8"/>
    <w:rsid w:val="00B93677"/>
    <w:rsid w:val="00B94853"/>
    <w:rsid w:val="00B94B52"/>
    <w:rsid w:val="00B94CFF"/>
    <w:rsid w:val="00B95229"/>
    <w:rsid w:val="00B9543D"/>
    <w:rsid w:val="00B95C87"/>
    <w:rsid w:val="00B95E0E"/>
    <w:rsid w:val="00B95F81"/>
    <w:rsid w:val="00B96B8B"/>
    <w:rsid w:val="00B97289"/>
    <w:rsid w:val="00B97670"/>
    <w:rsid w:val="00B97694"/>
    <w:rsid w:val="00B978D5"/>
    <w:rsid w:val="00B97960"/>
    <w:rsid w:val="00B97C21"/>
    <w:rsid w:val="00BA0454"/>
    <w:rsid w:val="00BA04BA"/>
    <w:rsid w:val="00BA081B"/>
    <w:rsid w:val="00BA0C1D"/>
    <w:rsid w:val="00BA1338"/>
    <w:rsid w:val="00BA13BC"/>
    <w:rsid w:val="00BA2152"/>
    <w:rsid w:val="00BA232D"/>
    <w:rsid w:val="00BA26C1"/>
    <w:rsid w:val="00BA2D6F"/>
    <w:rsid w:val="00BA311F"/>
    <w:rsid w:val="00BA3380"/>
    <w:rsid w:val="00BA347D"/>
    <w:rsid w:val="00BA40E7"/>
    <w:rsid w:val="00BA4182"/>
    <w:rsid w:val="00BA45F6"/>
    <w:rsid w:val="00BA4AC3"/>
    <w:rsid w:val="00BA5C54"/>
    <w:rsid w:val="00BA6215"/>
    <w:rsid w:val="00BA62DC"/>
    <w:rsid w:val="00BA664A"/>
    <w:rsid w:val="00BA6948"/>
    <w:rsid w:val="00BA7291"/>
    <w:rsid w:val="00BA79E0"/>
    <w:rsid w:val="00BA7C92"/>
    <w:rsid w:val="00BA7FA2"/>
    <w:rsid w:val="00BB0260"/>
    <w:rsid w:val="00BB0568"/>
    <w:rsid w:val="00BB09A8"/>
    <w:rsid w:val="00BB1100"/>
    <w:rsid w:val="00BB1104"/>
    <w:rsid w:val="00BB1D11"/>
    <w:rsid w:val="00BB222B"/>
    <w:rsid w:val="00BB2C96"/>
    <w:rsid w:val="00BB32C4"/>
    <w:rsid w:val="00BB3763"/>
    <w:rsid w:val="00BB3812"/>
    <w:rsid w:val="00BB3931"/>
    <w:rsid w:val="00BB3D8E"/>
    <w:rsid w:val="00BB47CB"/>
    <w:rsid w:val="00BB507F"/>
    <w:rsid w:val="00BB57C0"/>
    <w:rsid w:val="00BB5B50"/>
    <w:rsid w:val="00BB77EF"/>
    <w:rsid w:val="00BB7934"/>
    <w:rsid w:val="00BB7954"/>
    <w:rsid w:val="00BB7CFB"/>
    <w:rsid w:val="00BC02A6"/>
    <w:rsid w:val="00BC041D"/>
    <w:rsid w:val="00BC0637"/>
    <w:rsid w:val="00BC07CD"/>
    <w:rsid w:val="00BC3AC2"/>
    <w:rsid w:val="00BC3BEB"/>
    <w:rsid w:val="00BC3F72"/>
    <w:rsid w:val="00BC4AB4"/>
    <w:rsid w:val="00BC4C83"/>
    <w:rsid w:val="00BC4C96"/>
    <w:rsid w:val="00BC4FE4"/>
    <w:rsid w:val="00BC547B"/>
    <w:rsid w:val="00BC581F"/>
    <w:rsid w:val="00BC5998"/>
    <w:rsid w:val="00BC5D5B"/>
    <w:rsid w:val="00BC6107"/>
    <w:rsid w:val="00BC6210"/>
    <w:rsid w:val="00BC6562"/>
    <w:rsid w:val="00BC71A0"/>
    <w:rsid w:val="00BD0412"/>
    <w:rsid w:val="00BD063A"/>
    <w:rsid w:val="00BD0B8B"/>
    <w:rsid w:val="00BD0C51"/>
    <w:rsid w:val="00BD0F94"/>
    <w:rsid w:val="00BD1113"/>
    <w:rsid w:val="00BD155A"/>
    <w:rsid w:val="00BD1C6B"/>
    <w:rsid w:val="00BD1D84"/>
    <w:rsid w:val="00BD24A8"/>
    <w:rsid w:val="00BD3DB1"/>
    <w:rsid w:val="00BD41C3"/>
    <w:rsid w:val="00BD5477"/>
    <w:rsid w:val="00BD586B"/>
    <w:rsid w:val="00BD5CE3"/>
    <w:rsid w:val="00BD5ED8"/>
    <w:rsid w:val="00BD6546"/>
    <w:rsid w:val="00BD76DC"/>
    <w:rsid w:val="00BD7762"/>
    <w:rsid w:val="00BE027D"/>
    <w:rsid w:val="00BE0A70"/>
    <w:rsid w:val="00BE0D20"/>
    <w:rsid w:val="00BE0FEA"/>
    <w:rsid w:val="00BE1AE7"/>
    <w:rsid w:val="00BE1F23"/>
    <w:rsid w:val="00BE248C"/>
    <w:rsid w:val="00BE29D8"/>
    <w:rsid w:val="00BE313C"/>
    <w:rsid w:val="00BE31BB"/>
    <w:rsid w:val="00BE382C"/>
    <w:rsid w:val="00BE3CC7"/>
    <w:rsid w:val="00BE3E85"/>
    <w:rsid w:val="00BE4181"/>
    <w:rsid w:val="00BE4613"/>
    <w:rsid w:val="00BE4C0D"/>
    <w:rsid w:val="00BE4C34"/>
    <w:rsid w:val="00BE52F8"/>
    <w:rsid w:val="00BE554D"/>
    <w:rsid w:val="00BE5675"/>
    <w:rsid w:val="00BE5A45"/>
    <w:rsid w:val="00BE5A8D"/>
    <w:rsid w:val="00BE6ABC"/>
    <w:rsid w:val="00BE72E8"/>
    <w:rsid w:val="00BE74CA"/>
    <w:rsid w:val="00BE7E0B"/>
    <w:rsid w:val="00BF004D"/>
    <w:rsid w:val="00BF02CB"/>
    <w:rsid w:val="00BF049A"/>
    <w:rsid w:val="00BF05FA"/>
    <w:rsid w:val="00BF08F9"/>
    <w:rsid w:val="00BF0931"/>
    <w:rsid w:val="00BF151D"/>
    <w:rsid w:val="00BF16FE"/>
    <w:rsid w:val="00BF19FB"/>
    <w:rsid w:val="00BF1CBC"/>
    <w:rsid w:val="00BF2A35"/>
    <w:rsid w:val="00BF2C32"/>
    <w:rsid w:val="00BF3687"/>
    <w:rsid w:val="00BF3C93"/>
    <w:rsid w:val="00BF3D43"/>
    <w:rsid w:val="00BF50E3"/>
    <w:rsid w:val="00BF59AF"/>
    <w:rsid w:val="00BF60EB"/>
    <w:rsid w:val="00BF6102"/>
    <w:rsid w:val="00BF6927"/>
    <w:rsid w:val="00BF69F1"/>
    <w:rsid w:val="00BF775D"/>
    <w:rsid w:val="00BF7F48"/>
    <w:rsid w:val="00C008BA"/>
    <w:rsid w:val="00C026A0"/>
    <w:rsid w:val="00C029BF"/>
    <w:rsid w:val="00C03EA4"/>
    <w:rsid w:val="00C045EA"/>
    <w:rsid w:val="00C04F84"/>
    <w:rsid w:val="00C05B99"/>
    <w:rsid w:val="00C06052"/>
    <w:rsid w:val="00C06D99"/>
    <w:rsid w:val="00C06F87"/>
    <w:rsid w:val="00C10585"/>
    <w:rsid w:val="00C11463"/>
    <w:rsid w:val="00C11A5E"/>
    <w:rsid w:val="00C11A7F"/>
    <w:rsid w:val="00C11B22"/>
    <w:rsid w:val="00C11CA2"/>
    <w:rsid w:val="00C11E91"/>
    <w:rsid w:val="00C12342"/>
    <w:rsid w:val="00C12ECF"/>
    <w:rsid w:val="00C132C3"/>
    <w:rsid w:val="00C1388E"/>
    <w:rsid w:val="00C13FB2"/>
    <w:rsid w:val="00C140E2"/>
    <w:rsid w:val="00C14A0A"/>
    <w:rsid w:val="00C15807"/>
    <w:rsid w:val="00C15F39"/>
    <w:rsid w:val="00C1601D"/>
    <w:rsid w:val="00C16BB4"/>
    <w:rsid w:val="00C16F21"/>
    <w:rsid w:val="00C17042"/>
    <w:rsid w:val="00C17427"/>
    <w:rsid w:val="00C17C32"/>
    <w:rsid w:val="00C17F96"/>
    <w:rsid w:val="00C20A78"/>
    <w:rsid w:val="00C20BDA"/>
    <w:rsid w:val="00C20F96"/>
    <w:rsid w:val="00C213B0"/>
    <w:rsid w:val="00C220E5"/>
    <w:rsid w:val="00C2221D"/>
    <w:rsid w:val="00C222AC"/>
    <w:rsid w:val="00C229F9"/>
    <w:rsid w:val="00C22A36"/>
    <w:rsid w:val="00C2312C"/>
    <w:rsid w:val="00C2343A"/>
    <w:rsid w:val="00C2359D"/>
    <w:rsid w:val="00C23D7D"/>
    <w:rsid w:val="00C24CCD"/>
    <w:rsid w:val="00C256C0"/>
    <w:rsid w:val="00C25B68"/>
    <w:rsid w:val="00C2696D"/>
    <w:rsid w:val="00C26E7A"/>
    <w:rsid w:val="00C27187"/>
    <w:rsid w:val="00C2726C"/>
    <w:rsid w:val="00C274BD"/>
    <w:rsid w:val="00C275FE"/>
    <w:rsid w:val="00C3042D"/>
    <w:rsid w:val="00C30468"/>
    <w:rsid w:val="00C30CE9"/>
    <w:rsid w:val="00C31303"/>
    <w:rsid w:val="00C316F3"/>
    <w:rsid w:val="00C32D43"/>
    <w:rsid w:val="00C32D87"/>
    <w:rsid w:val="00C32FFC"/>
    <w:rsid w:val="00C337BE"/>
    <w:rsid w:val="00C33AC3"/>
    <w:rsid w:val="00C34180"/>
    <w:rsid w:val="00C35189"/>
    <w:rsid w:val="00C3538B"/>
    <w:rsid w:val="00C35657"/>
    <w:rsid w:val="00C3586B"/>
    <w:rsid w:val="00C3590E"/>
    <w:rsid w:val="00C35F55"/>
    <w:rsid w:val="00C3650E"/>
    <w:rsid w:val="00C368B6"/>
    <w:rsid w:val="00C36E5A"/>
    <w:rsid w:val="00C374B3"/>
    <w:rsid w:val="00C37510"/>
    <w:rsid w:val="00C4007D"/>
    <w:rsid w:val="00C40139"/>
    <w:rsid w:val="00C40583"/>
    <w:rsid w:val="00C4075B"/>
    <w:rsid w:val="00C40980"/>
    <w:rsid w:val="00C41139"/>
    <w:rsid w:val="00C41F7D"/>
    <w:rsid w:val="00C43DB2"/>
    <w:rsid w:val="00C446ED"/>
    <w:rsid w:val="00C4491D"/>
    <w:rsid w:val="00C44969"/>
    <w:rsid w:val="00C44F64"/>
    <w:rsid w:val="00C45FDA"/>
    <w:rsid w:val="00C4642D"/>
    <w:rsid w:val="00C46720"/>
    <w:rsid w:val="00C4675E"/>
    <w:rsid w:val="00C46D04"/>
    <w:rsid w:val="00C4731C"/>
    <w:rsid w:val="00C4751F"/>
    <w:rsid w:val="00C477ED"/>
    <w:rsid w:val="00C47B87"/>
    <w:rsid w:val="00C47C30"/>
    <w:rsid w:val="00C5013A"/>
    <w:rsid w:val="00C50DEE"/>
    <w:rsid w:val="00C5159D"/>
    <w:rsid w:val="00C5177C"/>
    <w:rsid w:val="00C51969"/>
    <w:rsid w:val="00C51F57"/>
    <w:rsid w:val="00C5214E"/>
    <w:rsid w:val="00C5248E"/>
    <w:rsid w:val="00C52638"/>
    <w:rsid w:val="00C5319C"/>
    <w:rsid w:val="00C53396"/>
    <w:rsid w:val="00C53783"/>
    <w:rsid w:val="00C542FE"/>
    <w:rsid w:val="00C547CA"/>
    <w:rsid w:val="00C54E2A"/>
    <w:rsid w:val="00C56556"/>
    <w:rsid w:val="00C568B2"/>
    <w:rsid w:val="00C56BBB"/>
    <w:rsid w:val="00C57266"/>
    <w:rsid w:val="00C5778E"/>
    <w:rsid w:val="00C60E70"/>
    <w:rsid w:val="00C61696"/>
    <w:rsid w:val="00C61997"/>
    <w:rsid w:val="00C6220E"/>
    <w:rsid w:val="00C64E8C"/>
    <w:rsid w:val="00C65334"/>
    <w:rsid w:val="00C65B60"/>
    <w:rsid w:val="00C701CB"/>
    <w:rsid w:val="00C70657"/>
    <w:rsid w:val="00C70D73"/>
    <w:rsid w:val="00C71591"/>
    <w:rsid w:val="00C721EF"/>
    <w:rsid w:val="00C724AA"/>
    <w:rsid w:val="00C72B89"/>
    <w:rsid w:val="00C731AA"/>
    <w:rsid w:val="00C74004"/>
    <w:rsid w:val="00C74602"/>
    <w:rsid w:val="00C74E31"/>
    <w:rsid w:val="00C753D2"/>
    <w:rsid w:val="00C75935"/>
    <w:rsid w:val="00C75D18"/>
    <w:rsid w:val="00C760C5"/>
    <w:rsid w:val="00C76AFC"/>
    <w:rsid w:val="00C7782D"/>
    <w:rsid w:val="00C77B85"/>
    <w:rsid w:val="00C77FF3"/>
    <w:rsid w:val="00C8035C"/>
    <w:rsid w:val="00C80C06"/>
    <w:rsid w:val="00C8125A"/>
    <w:rsid w:val="00C82665"/>
    <w:rsid w:val="00C8298A"/>
    <w:rsid w:val="00C831D8"/>
    <w:rsid w:val="00C83264"/>
    <w:rsid w:val="00C844CF"/>
    <w:rsid w:val="00C84C5E"/>
    <w:rsid w:val="00C84C88"/>
    <w:rsid w:val="00C84E5D"/>
    <w:rsid w:val="00C8560D"/>
    <w:rsid w:val="00C857F4"/>
    <w:rsid w:val="00C85D7E"/>
    <w:rsid w:val="00C863A8"/>
    <w:rsid w:val="00C8645B"/>
    <w:rsid w:val="00C86592"/>
    <w:rsid w:val="00C86D49"/>
    <w:rsid w:val="00C876A1"/>
    <w:rsid w:val="00C87750"/>
    <w:rsid w:val="00C91128"/>
    <w:rsid w:val="00C91528"/>
    <w:rsid w:val="00C9173C"/>
    <w:rsid w:val="00C91C6B"/>
    <w:rsid w:val="00C92031"/>
    <w:rsid w:val="00C9496E"/>
    <w:rsid w:val="00C9557B"/>
    <w:rsid w:val="00C9566D"/>
    <w:rsid w:val="00C95BDF"/>
    <w:rsid w:val="00C9643E"/>
    <w:rsid w:val="00C96BEA"/>
    <w:rsid w:val="00C96DA5"/>
    <w:rsid w:val="00C96ECE"/>
    <w:rsid w:val="00C9702D"/>
    <w:rsid w:val="00C976A8"/>
    <w:rsid w:val="00CA0161"/>
    <w:rsid w:val="00CA0938"/>
    <w:rsid w:val="00CA0D1B"/>
    <w:rsid w:val="00CA145D"/>
    <w:rsid w:val="00CA17F7"/>
    <w:rsid w:val="00CA2DB3"/>
    <w:rsid w:val="00CA3007"/>
    <w:rsid w:val="00CA35D8"/>
    <w:rsid w:val="00CA3C73"/>
    <w:rsid w:val="00CA3EEA"/>
    <w:rsid w:val="00CA3FD7"/>
    <w:rsid w:val="00CA4A29"/>
    <w:rsid w:val="00CA4AD9"/>
    <w:rsid w:val="00CA4C27"/>
    <w:rsid w:val="00CA6545"/>
    <w:rsid w:val="00CA6723"/>
    <w:rsid w:val="00CA6E51"/>
    <w:rsid w:val="00CB193F"/>
    <w:rsid w:val="00CB235E"/>
    <w:rsid w:val="00CB3B7C"/>
    <w:rsid w:val="00CB45E1"/>
    <w:rsid w:val="00CB4871"/>
    <w:rsid w:val="00CB4DD4"/>
    <w:rsid w:val="00CB5C2E"/>
    <w:rsid w:val="00CB6488"/>
    <w:rsid w:val="00CB6544"/>
    <w:rsid w:val="00CB6AE7"/>
    <w:rsid w:val="00CC0282"/>
    <w:rsid w:val="00CC0E21"/>
    <w:rsid w:val="00CC1940"/>
    <w:rsid w:val="00CC2152"/>
    <w:rsid w:val="00CC23BF"/>
    <w:rsid w:val="00CC2649"/>
    <w:rsid w:val="00CC295D"/>
    <w:rsid w:val="00CC2B46"/>
    <w:rsid w:val="00CC3334"/>
    <w:rsid w:val="00CC3C39"/>
    <w:rsid w:val="00CC3F06"/>
    <w:rsid w:val="00CC424F"/>
    <w:rsid w:val="00CC4BFD"/>
    <w:rsid w:val="00CC521B"/>
    <w:rsid w:val="00CC52AF"/>
    <w:rsid w:val="00CC59B2"/>
    <w:rsid w:val="00CC60E7"/>
    <w:rsid w:val="00CC6337"/>
    <w:rsid w:val="00CC6A8D"/>
    <w:rsid w:val="00CC76F3"/>
    <w:rsid w:val="00CC7CE7"/>
    <w:rsid w:val="00CC7DD6"/>
    <w:rsid w:val="00CD01CA"/>
    <w:rsid w:val="00CD02BE"/>
    <w:rsid w:val="00CD0308"/>
    <w:rsid w:val="00CD0644"/>
    <w:rsid w:val="00CD0B01"/>
    <w:rsid w:val="00CD1B3C"/>
    <w:rsid w:val="00CD2445"/>
    <w:rsid w:val="00CD2944"/>
    <w:rsid w:val="00CD2E3B"/>
    <w:rsid w:val="00CD31F4"/>
    <w:rsid w:val="00CD3548"/>
    <w:rsid w:val="00CD37FE"/>
    <w:rsid w:val="00CD3AE8"/>
    <w:rsid w:val="00CD3BCA"/>
    <w:rsid w:val="00CD3BD6"/>
    <w:rsid w:val="00CD4073"/>
    <w:rsid w:val="00CD429F"/>
    <w:rsid w:val="00CD44C1"/>
    <w:rsid w:val="00CD45E6"/>
    <w:rsid w:val="00CD48EE"/>
    <w:rsid w:val="00CD4B5E"/>
    <w:rsid w:val="00CD59EB"/>
    <w:rsid w:val="00CD64D1"/>
    <w:rsid w:val="00CD66AF"/>
    <w:rsid w:val="00CD6BB0"/>
    <w:rsid w:val="00CD74B5"/>
    <w:rsid w:val="00CD7D6E"/>
    <w:rsid w:val="00CE08AC"/>
    <w:rsid w:val="00CE0C19"/>
    <w:rsid w:val="00CE0EB5"/>
    <w:rsid w:val="00CE18B8"/>
    <w:rsid w:val="00CE1B7D"/>
    <w:rsid w:val="00CE282E"/>
    <w:rsid w:val="00CE2B47"/>
    <w:rsid w:val="00CE2FA8"/>
    <w:rsid w:val="00CE30EC"/>
    <w:rsid w:val="00CE3259"/>
    <w:rsid w:val="00CE39C8"/>
    <w:rsid w:val="00CE4811"/>
    <w:rsid w:val="00CE4B29"/>
    <w:rsid w:val="00CE5538"/>
    <w:rsid w:val="00CE554D"/>
    <w:rsid w:val="00CE572F"/>
    <w:rsid w:val="00CE5F1C"/>
    <w:rsid w:val="00CE6D80"/>
    <w:rsid w:val="00CE6DA0"/>
    <w:rsid w:val="00CE725F"/>
    <w:rsid w:val="00CE7287"/>
    <w:rsid w:val="00CF0105"/>
    <w:rsid w:val="00CF015E"/>
    <w:rsid w:val="00CF02E4"/>
    <w:rsid w:val="00CF078F"/>
    <w:rsid w:val="00CF0D04"/>
    <w:rsid w:val="00CF15FE"/>
    <w:rsid w:val="00CF23D8"/>
    <w:rsid w:val="00CF2434"/>
    <w:rsid w:val="00CF3388"/>
    <w:rsid w:val="00CF3578"/>
    <w:rsid w:val="00CF4A6A"/>
    <w:rsid w:val="00CF4A6E"/>
    <w:rsid w:val="00CF5032"/>
    <w:rsid w:val="00CF573F"/>
    <w:rsid w:val="00CF605A"/>
    <w:rsid w:val="00CF681C"/>
    <w:rsid w:val="00CF6F86"/>
    <w:rsid w:val="00CF708B"/>
    <w:rsid w:val="00D01352"/>
    <w:rsid w:val="00D02014"/>
    <w:rsid w:val="00D02A8A"/>
    <w:rsid w:val="00D02CA2"/>
    <w:rsid w:val="00D03AD6"/>
    <w:rsid w:val="00D04155"/>
    <w:rsid w:val="00D04FAF"/>
    <w:rsid w:val="00D052BC"/>
    <w:rsid w:val="00D05C18"/>
    <w:rsid w:val="00D06537"/>
    <w:rsid w:val="00D06DB5"/>
    <w:rsid w:val="00D071A1"/>
    <w:rsid w:val="00D10141"/>
    <w:rsid w:val="00D10BBD"/>
    <w:rsid w:val="00D11D46"/>
    <w:rsid w:val="00D12109"/>
    <w:rsid w:val="00D12172"/>
    <w:rsid w:val="00D1241A"/>
    <w:rsid w:val="00D126D8"/>
    <w:rsid w:val="00D1292C"/>
    <w:rsid w:val="00D131AC"/>
    <w:rsid w:val="00D138C4"/>
    <w:rsid w:val="00D14148"/>
    <w:rsid w:val="00D14E38"/>
    <w:rsid w:val="00D1511F"/>
    <w:rsid w:val="00D15468"/>
    <w:rsid w:val="00D15736"/>
    <w:rsid w:val="00D158AA"/>
    <w:rsid w:val="00D15C77"/>
    <w:rsid w:val="00D162C9"/>
    <w:rsid w:val="00D1670D"/>
    <w:rsid w:val="00D16C87"/>
    <w:rsid w:val="00D16F16"/>
    <w:rsid w:val="00D16FA7"/>
    <w:rsid w:val="00D17700"/>
    <w:rsid w:val="00D201FB"/>
    <w:rsid w:val="00D20835"/>
    <w:rsid w:val="00D209AF"/>
    <w:rsid w:val="00D20C5A"/>
    <w:rsid w:val="00D2119B"/>
    <w:rsid w:val="00D21462"/>
    <w:rsid w:val="00D2193A"/>
    <w:rsid w:val="00D21FCE"/>
    <w:rsid w:val="00D22FAD"/>
    <w:rsid w:val="00D23941"/>
    <w:rsid w:val="00D23B4A"/>
    <w:rsid w:val="00D23C34"/>
    <w:rsid w:val="00D25BAD"/>
    <w:rsid w:val="00D2691A"/>
    <w:rsid w:val="00D26C28"/>
    <w:rsid w:val="00D2727D"/>
    <w:rsid w:val="00D2750A"/>
    <w:rsid w:val="00D27D5A"/>
    <w:rsid w:val="00D30038"/>
    <w:rsid w:val="00D305C6"/>
    <w:rsid w:val="00D307EE"/>
    <w:rsid w:val="00D311AC"/>
    <w:rsid w:val="00D3195B"/>
    <w:rsid w:val="00D32E91"/>
    <w:rsid w:val="00D333E7"/>
    <w:rsid w:val="00D3340C"/>
    <w:rsid w:val="00D33AA8"/>
    <w:rsid w:val="00D33D9A"/>
    <w:rsid w:val="00D345B8"/>
    <w:rsid w:val="00D34FA1"/>
    <w:rsid w:val="00D35163"/>
    <w:rsid w:val="00D36CC2"/>
    <w:rsid w:val="00D371F3"/>
    <w:rsid w:val="00D373FF"/>
    <w:rsid w:val="00D37481"/>
    <w:rsid w:val="00D37ED2"/>
    <w:rsid w:val="00D402DD"/>
    <w:rsid w:val="00D41394"/>
    <w:rsid w:val="00D41A3F"/>
    <w:rsid w:val="00D41BE5"/>
    <w:rsid w:val="00D41CE5"/>
    <w:rsid w:val="00D41E63"/>
    <w:rsid w:val="00D42104"/>
    <w:rsid w:val="00D42B11"/>
    <w:rsid w:val="00D42D6D"/>
    <w:rsid w:val="00D43E38"/>
    <w:rsid w:val="00D447ED"/>
    <w:rsid w:val="00D45093"/>
    <w:rsid w:val="00D454A6"/>
    <w:rsid w:val="00D456B3"/>
    <w:rsid w:val="00D45AFD"/>
    <w:rsid w:val="00D45BA7"/>
    <w:rsid w:val="00D463C5"/>
    <w:rsid w:val="00D465E1"/>
    <w:rsid w:val="00D4681E"/>
    <w:rsid w:val="00D4695D"/>
    <w:rsid w:val="00D47411"/>
    <w:rsid w:val="00D47896"/>
    <w:rsid w:val="00D4794F"/>
    <w:rsid w:val="00D479CF"/>
    <w:rsid w:val="00D50B08"/>
    <w:rsid w:val="00D50BB1"/>
    <w:rsid w:val="00D5102A"/>
    <w:rsid w:val="00D515FD"/>
    <w:rsid w:val="00D51DD4"/>
    <w:rsid w:val="00D52BF7"/>
    <w:rsid w:val="00D52F88"/>
    <w:rsid w:val="00D53132"/>
    <w:rsid w:val="00D533A4"/>
    <w:rsid w:val="00D53EEB"/>
    <w:rsid w:val="00D54747"/>
    <w:rsid w:val="00D54F21"/>
    <w:rsid w:val="00D5549D"/>
    <w:rsid w:val="00D55748"/>
    <w:rsid w:val="00D55C6C"/>
    <w:rsid w:val="00D562F7"/>
    <w:rsid w:val="00D56602"/>
    <w:rsid w:val="00D5686F"/>
    <w:rsid w:val="00D56916"/>
    <w:rsid w:val="00D5704A"/>
    <w:rsid w:val="00D60AA6"/>
    <w:rsid w:val="00D60B8A"/>
    <w:rsid w:val="00D6118E"/>
    <w:rsid w:val="00D623A6"/>
    <w:rsid w:val="00D63A46"/>
    <w:rsid w:val="00D65335"/>
    <w:rsid w:val="00D6536E"/>
    <w:rsid w:val="00D654C6"/>
    <w:rsid w:val="00D660CA"/>
    <w:rsid w:val="00D6630B"/>
    <w:rsid w:val="00D67C46"/>
    <w:rsid w:val="00D67D02"/>
    <w:rsid w:val="00D7063F"/>
    <w:rsid w:val="00D710BF"/>
    <w:rsid w:val="00D723D3"/>
    <w:rsid w:val="00D729C1"/>
    <w:rsid w:val="00D7381B"/>
    <w:rsid w:val="00D73839"/>
    <w:rsid w:val="00D73954"/>
    <w:rsid w:val="00D73BD8"/>
    <w:rsid w:val="00D741D0"/>
    <w:rsid w:val="00D751DC"/>
    <w:rsid w:val="00D75822"/>
    <w:rsid w:val="00D75FE1"/>
    <w:rsid w:val="00D763FF"/>
    <w:rsid w:val="00D7643B"/>
    <w:rsid w:val="00D76812"/>
    <w:rsid w:val="00D769B9"/>
    <w:rsid w:val="00D7708E"/>
    <w:rsid w:val="00D77457"/>
    <w:rsid w:val="00D775FD"/>
    <w:rsid w:val="00D77FDE"/>
    <w:rsid w:val="00D80350"/>
    <w:rsid w:val="00D804A6"/>
    <w:rsid w:val="00D80686"/>
    <w:rsid w:val="00D8097B"/>
    <w:rsid w:val="00D80CE6"/>
    <w:rsid w:val="00D81101"/>
    <w:rsid w:val="00D82087"/>
    <w:rsid w:val="00D82A43"/>
    <w:rsid w:val="00D839B6"/>
    <w:rsid w:val="00D83E45"/>
    <w:rsid w:val="00D8450A"/>
    <w:rsid w:val="00D84BA8"/>
    <w:rsid w:val="00D84C84"/>
    <w:rsid w:val="00D84F74"/>
    <w:rsid w:val="00D86202"/>
    <w:rsid w:val="00D865C5"/>
    <w:rsid w:val="00D867B4"/>
    <w:rsid w:val="00D86C75"/>
    <w:rsid w:val="00D86FF0"/>
    <w:rsid w:val="00D87A4D"/>
    <w:rsid w:val="00D87B69"/>
    <w:rsid w:val="00D87D47"/>
    <w:rsid w:val="00D9017B"/>
    <w:rsid w:val="00D90A29"/>
    <w:rsid w:val="00D90A3A"/>
    <w:rsid w:val="00D90E23"/>
    <w:rsid w:val="00D91827"/>
    <w:rsid w:val="00D91BF9"/>
    <w:rsid w:val="00D91EB8"/>
    <w:rsid w:val="00D91F7B"/>
    <w:rsid w:val="00D9214B"/>
    <w:rsid w:val="00D9275E"/>
    <w:rsid w:val="00D92A8E"/>
    <w:rsid w:val="00D934D8"/>
    <w:rsid w:val="00D93791"/>
    <w:rsid w:val="00D93799"/>
    <w:rsid w:val="00D93EC9"/>
    <w:rsid w:val="00D9460C"/>
    <w:rsid w:val="00D9492A"/>
    <w:rsid w:val="00D95107"/>
    <w:rsid w:val="00D9580D"/>
    <w:rsid w:val="00D95A21"/>
    <w:rsid w:val="00D95CB4"/>
    <w:rsid w:val="00D97165"/>
    <w:rsid w:val="00D97FED"/>
    <w:rsid w:val="00DA0141"/>
    <w:rsid w:val="00DA146B"/>
    <w:rsid w:val="00DA1D5A"/>
    <w:rsid w:val="00DA1EA6"/>
    <w:rsid w:val="00DA1F08"/>
    <w:rsid w:val="00DA2111"/>
    <w:rsid w:val="00DA31EF"/>
    <w:rsid w:val="00DA36C9"/>
    <w:rsid w:val="00DA40CF"/>
    <w:rsid w:val="00DA443C"/>
    <w:rsid w:val="00DA443F"/>
    <w:rsid w:val="00DA4AAF"/>
    <w:rsid w:val="00DA4B53"/>
    <w:rsid w:val="00DA528B"/>
    <w:rsid w:val="00DA5588"/>
    <w:rsid w:val="00DA5627"/>
    <w:rsid w:val="00DA58EC"/>
    <w:rsid w:val="00DA5F5F"/>
    <w:rsid w:val="00DA67E6"/>
    <w:rsid w:val="00DB00C6"/>
    <w:rsid w:val="00DB185C"/>
    <w:rsid w:val="00DB19DD"/>
    <w:rsid w:val="00DB22B9"/>
    <w:rsid w:val="00DB3935"/>
    <w:rsid w:val="00DB3CC2"/>
    <w:rsid w:val="00DB41A9"/>
    <w:rsid w:val="00DB4BB6"/>
    <w:rsid w:val="00DB5505"/>
    <w:rsid w:val="00DB5912"/>
    <w:rsid w:val="00DB5B2E"/>
    <w:rsid w:val="00DB614B"/>
    <w:rsid w:val="00DB6786"/>
    <w:rsid w:val="00DB711A"/>
    <w:rsid w:val="00DB7457"/>
    <w:rsid w:val="00DC01B4"/>
    <w:rsid w:val="00DC01F5"/>
    <w:rsid w:val="00DC02D4"/>
    <w:rsid w:val="00DC07D4"/>
    <w:rsid w:val="00DC0EFE"/>
    <w:rsid w:val="00DC160F"/>
    <w:rsid w:val="00DC1943"/>
    <w:rsid w:val="00DC1A1B"/>
    <w:rsid w:val="00DC2106"/>
    <w:rsid w:val="00DC21DF"/>
    <w:rsid w:val="00DC2356"/>
    <w:rsid w:val="00DC268C"/>
    <w:rsid w:val="00DC3272"/>
    <w:rsid w:val="00DC35AC"/>
    <w:rsid w:val="00DC3B2F"/>
    <w:rsid w:val="00DC3F31"/>
    <w:rsid w:val="00DC491A"/>
    <w:rsid w:val="00DC4D74"/>
    <w:rsid w:val="00DC5054"/>
    <w:rsid w:val="00DC5B81"/>
    <w:rsid w:val="00DC616B"/>
    <w:rsid w:val="00DC6436"/>
    <w:rsid w:val="00DC6C7C"/>
    <w:rsid w:val="00DC6F15"/>
    <w:rsid w:val="00DC7605"/>
    <w:rsid w:val="00DC7898"/>
    <w:rsid w:val="00DC7DC1"/>
    <w:rsid w:val="00DD011F"/>
    <w:rsid w:val="00DD0DBB"/>
    <w:rsid w:val="00DD151B"/>
    <w:rsid w:val="00DD18CB"/>
    <w:rsid w:val="00DD1B34"/>
    <w:rsid w:val="00DD1FE6"/>
    <w:rsid w:val="00DD26D2"/>
    <w:rsid w:val="00DD32EC"/>
    <w:rsid w:val="00DD3F79"/>
    <w:rsid w:val="00DD490E"/>
    <w:rsid w:val="00DD4D8C"/>
    <w:rsid w:val="00DD53C3"/>
    <w:rsid w:val="00DD54FC"/>
    <w:rsid w:val="00DD5BD3"/>
    <w:rsid w:val="00DD5DF7"/>
    <w:rsid w:val="00DD63A5"/>
    <w:rsid w:val="00DD67F8"/>
    <w:rsid w:val="00DD686D"/>
    <w:rsid w:val="00DD7518"/>
    <w:rsid w:val="00DD77A7"/>
    <w:rsid w:val="00DD7DB2"/>
    <w:rsid w:val="00DE1918"/>
    <w:rsid w:val="00DE1E7A"/>
    <w:rsid w:val="00DE236E"/>
    <w:rsid w:val="00DE259B"/>
    <w:rsid w:val="00DE2B66"/>
    <w:rsid w:val="00DE3649"/>
    <w:rsid w:val="00DE36A0"/>
    <w:rsid w:val="00DE3932"/>
    <w:rsid w:val="00DE3B42"/>
    <w:rsid w:val="00DE45DF"/>
    <w:rsid w:val="00DE4698"/>
    <w:rsid w:val="00DE4DC4"/>
    <w:rsid w:val="00DE5589"/>
    <w:rsid w:val="00DE5F60"/>
    <w:rsid w:val="00DE6629"/>
    <w:rsid w:val="00DE687D"/>
    <w:rsid w:val="00DE69AF"/>
    <w:rsid w:val="00DE6AB3"/>
    <w:rsid w:val="00DE7429"/>
    <w:rsid w:val="00DF064A"/>
    <w:rsid w:val="00DF064C"/>
    <w:rsid w:val="00DF1577"/>
    <w:rsid w:val="00DF2455"/>
    <w:rsid w:val="00DF25D7"/>
    <w:rsid w:val="00DF28CB"/>
    <w:rsid w:val="00DF2AAC"/>
    <w:rsid w:val="00DF4B5E"/>
    <w:rsid w:val="00DF5423"/>
    <w:rsid w:val="00DF55FB"/>
    <w:rsid w:val="00DF5728"/>
    <w:rsid w:val="00DF59EF"/>
    <w:rsid w:val="00DF5B86"/>
    <w:rsid w:val="00DF6610"/>
    <w:rsid w:val="00DF6BDB"/>
    <w:rsid w:val="00DF6E8D"/>
    <w:rsid w:val="00DF77F2"/>
    <w:rsid w:val="00DF7944"/>
    <w:rsid w:val="00E00182"/>
    <w:rsid w:val="00E00502"/>
    <w:rsid w:val="00E00AFF"/>
    <w:rsid w:val="00E00B17"/>
    <w:rsid w:val="00E00B58"/>
    <w:rsid w:val="00E01276"/>
    <w:rsid w:val="00E018D6"/>
    <w:rsid w:val="00E02056"/>
    <w:rsid w:val="00E023C2"/>
    <w:rsid w:val="00E02639"/>
    <w:rsid w:val="00E03C8E"/>
    <w:rsid w:val="00E0414F"/>
    <w:rsid w:val="00E04228"/>
    <w:rsid w:val="00E05667"/>
    <w:rsid w:val="00E065E2"/>
    <w:rsid w:val="00E06682"/>
    <w:rsid w:val="00E0724B"/>
    <w:rsid w:val="00E073CE"/>
    <w:rsid w:val="00E0750B"/>
    <w:rsid w:val="00E07B34"/>
    <w:rsid w:val="00E10D8D"/>
    <w:rsid w:val="00E1165F"/>
    <w:rsid w:val="00E119F3"/>
    <w:rsid w:val="00E11A13"/>
    <w:rsid w:val="00E12694"/>
    <w:rsid w:val="00E12BD4"/>
    <w:rsid w:val="00E13136"/>
    <w:rsid w:val="00E137CE"/>
    <w:rsid w:val="00E143B3"/>
    <w:rsid w:val="00E14774"/>
    <w:rsid w:val="00E1493C"/>
    <w:rsid w:val="00E14D3B"/>
    <w:rsid w:val="00E14D6D"/>
    <w:rsid w:val="00E1527E"/>
    <w:rsid w:val="00E163E2"/>
    <w:rsid w:val="00E16852"/>
    <w:rsid w:val="00E16FD5"/>
    <w:rsid w:val="00E1774F"/>
    <w:rsid w:val="00E203C0"/>
    <w:rsid w:val="00E203D1"/>
    <w:rsid w:val="00E2063F"/>
    <w:rsid w:val="00E219B8"/>
    <w:rsid w:val="00E21A45"/>
    <w:rsid w:val="00E21C30"/>
    <w:rsid w:val="00E22256"/>
    <w:rsid w:val="00E2239F"/>
    <w:rsid w:val="00E22CC9"/>
    <w:rsid w:val="00E23195"/>
    <w:rsid w:val="00E23DBB"/>
    <w:rsid w:val="00E24296"/>
    <w:rsid w:val="00E249CB"/>
    <w:rsid w:val="00E24B85"/>
    <w:rsid w:val="00E24C18"/>
    <w:rsid w:val="00E24C3B"/>
    <w:rsid w:val="00E2502B"/>
    <w:rsid w:val="00E255D5"/>
    <w:rsid w:val="00E256A4"/>
    <w:rsid w:val="00E25817"/>
    <w:rsid w:val="00E25968"/>
    <w:rsid w:val="00E25FFA"/>
    <w:rsid w:val="00E26242"/>
    <w:rsid w:val="00E26C3F"/>
    <w:rsid w:val="00E27056"/>
    <w:rsid w:val="00E271F4"/>
    <w:rsid w:val="00E27A13"/>
    <w:rsid w:val="00E30369"/>
    <w:rsid w:val="00E3117E"/>
    <w:rsid w:val="00E315E6"/>
    <w:rsid w:val="00E3197E"/>
    <w:rsid w:val="00E3243B"/>
    <w:rsid w:val="00E32625"/>
    <w:rsid w:val="00E32667"/>
    <w:rsid w:val="00E327F4"/>
    <w:rsid w:val="00E32D95"/>
    <w:rsid w:val="00E3356E"/>
    <w:rsid w:val="00E338B0"/>
    <w:rsid w:val="00E33B08"/>
    <w:rsid w:val="00E34008"/>
    <w:rsid w:val="00E34529"/>
    <w:rsid w:val="00E34E4B"/>
    <w:rsid w:val="00E34F4C"/>
    <w:rsid w:val="00E34FFA"/>
    <w:rsid w:val="00E35056"/>
    <w:rsid w:val="00E35EDE"/>
    <w:rsid w:val="00E362AA"/>
    <w:rsid w:val="00E36445"/>
    <w:rsid w:val="00E37B4F"/>
    <w:rsid w:val="00E37DA2"/>
    <w:rsid w:val="00E37DE8"/>
    <w:rsid w:val="00E37FAB"/>
    <w:rsid w:val="00E40743"/>
    <w:rsid w:val="00E40AA1"/>
    <w:rsid w:val="00E4125C"/>
    <w:rsid w:val="00E41622"/>
    <w:rsid w:val="00E41856"/>
    <w:rsid w:val="00E41FF4"/>
    <w:rsid w:val="00E42141"/>
    <w:rsid w:val="00E4238D"/>
    <w:rsid w:val="00E42656"/>
    <w:rsid w:val="00E426C4"/>
    <w:rsid w:val="00E428BA"/>
    <w:rsid w:val="00E42ABB"/>
    <w:rsid w:val="00E42ECE"/>
    <w:rsid w:val="00E43020"/>
    <w:rsid w:val="00E43887"/>
    <w:rsid w:val="00E43C60"/>
    <w:rsid w:val="00E44746"/>
    <w:rsid w:val="00E44773"/>
    <w:rsid w:val="00E44AA7"/>
    <w:rsid w:val="00E459E1"/>
    <w:rsid w:val="00E46272"/>
    <w:rsid w:val="00E46545"/>
    <w:rsid w:val="00E46807"/>
    <w:rsid w:val="00E468CB"/>
    <w:rsid w:val="00E47832"/>
    <w:rsid w:val="00E479E5"/>
    <w:rsid w:val="00E501D8"/>
    <w:rsid w:val="00E50D05"/>
    <w:rsid w:val="00E50FAC"/>
    <w:rsid w:val="00E51D34"/>
    <w:rsid w:val="00E5231B"/>
    <w:rsid w:val="00E52473"/>
    <w:rsid w:val="00E54556"/>
    <w:rsid w:val="00E545AB"/>
    <w:rsid w:val="00E54C7F"/>
    <w:rsid w:val="00E54EE6"/>
    <w:rsid w:val="00E54F49"/>
    <w:rsid w:val="00E54F75"/>
    <w:rsid w:val="00E551AE"/>
    <w:rsid w:val="00E5564A"/>
    <w:rsid w:val="00E567CD"/>
    <w:rsid w:val="00E56DF3"/>
    <w:rsid w:val="00E56FE3"/>
    <w:rsid w:val="00E57277"/>
    <w:rsid w:val="00E57D93"/>
    <w:rsid w:val="00E60682"/>
    <w:rsid w:val="00E60C25"/>
    <w:rsid w:val="00E60CFA"/>
    <w:rsid w:val="00E60F83"/>
    <w:rsid w:val="00E61277"/>
    <w:rsid w:val="00E61686"/>
    <w:rsid w:val="00E61D0B"/>
    <w:rsid w:val="00E61F32"/>
    <w:rsid w:val="00E61FBB"/>
    <w:rsid w:val="00E6225A"/>
    <w:rsid w:val="00E6383B"/>
    <w:rsid w:val="00E63A4D"/>
    <w:rsid w:val="00E6409D"/>
    <w:rsid w:val="00E640FB"/>
    <w:rsid w:val="00E650A4"/>
    <w:rsid w:val="00E653D0"/>
    <w:rsid w:val="00E65646"/>
    <w:rsid w:val="00E6662F"/>
    <w:rsid w:val="00E6703B"/>
    <w:rsid w:val="00E67365"/>
    <w:rsid w:val="00E67897"/>
    <w:rsid w:val="00E67ABD"/>
    <w:rsid w:val="00E705D2"/>
    <w:rsid w:val="00E70639"/>
    <w:rsid w:val="00E70816"/>
    <w:rsid w:val="00E70CEA"/>
    <w:rsid w:val="00E715BF"/>
    <w:rsid w:val="00E72804"/>
    <w:rsid w:val="00E72B30"/>
    <w:rsid w:val="00E72EB8"/>
    <w:rsid w:val="00E735E4"/>
    <w:rsid w:val="00E73BC1"/>
    <w:rsid w:val="00E744BA"/>
    <w:rsid w:val="00E75BE2"/>
    <w:rsid w:val="00E761A8"/>
    <w:rsid w:val="00E76355"/>
    <w:rsid w:val="00E76506"/>
    <w:rsid w:val="00E76A6F"/>
    <w:rsid w:val="00E77626"/>
    <w:rsid w:val="00E776EA"/>
    <w:rsid w:val="00E778FC"/>
    <w:rsid w:val="00E77E1A"/>
    <w:rsid w:val="00E80455"/>
    <w:rsid w:val="00E80E09"/>
    <w:rsid w:val="00E82BEE"/>
    <w:rsid w:val="00E832F3"/>
    <w:rsid w:val="00E83446"/>
    <w:rsid w:val="00E83487"/>
    <w:rsid w:val="00E83EC4"/>
    <w:rsid w:val="00E83F26"/>
    <w:rsid w:val="00E85158"/>
    <w:rsid w:val="00E85747"/>
    <w:rsid w:val="00E85EFA"/>
    <w:rsid w:val="00E8652E"/>
    <w:rsid w:val="00E87C77"/>
    <w:rsid w:val="00E90517"/>
    <w:rsid w:val="00E90ED9"/>
    <w:rsid w:val="00E910D5"/>
    <w:rsid w:val="00E919C0"/>
    <w:rsid w:val="00E91E7E"/>
    <w:rsid w:val="00E91FD5"/>
    <w:rsid w:val="00E92687"/>
    <w:rsid w:val="00E929CB"/>
    <w:rsid w:val="00E934BA"/>
    <w:rsid w:val="00E934EA"/>
    <w:rsid w:val="00E934F4"/>
    <w:rsid w:val="00E93E6C"/>
    <w:rsid w:val="00E94278"/>
    <w:rsid w:val="00E94289"/>
    <w:rsid w:val="00E94B13"/>
    <w:rsid w:val="00E952E3"/>
    <w:rsid w:val="00E95862"/>
    <w:rsid w:val="00E958BD"/>
    <w:rsid w:val="00E95A78"/>
    <w:rsid w:val="00E963B9"/>
    <w:rsid w:val="00E9705A"/>
    <w:rsid w:val="00E97B14"/>
    <w:rsid w:val="00EA041A"/>
    <w:rsid w:val="00EA07C4"/>
    <w:rsid w:val="00EA0CFD"/>
    <w:rsid w:val="00EA1058"/>
    <w:rsid w:val="00EA1473"/>
    <w:rsid w:val="00EA1DA0"/>
    <w:rsid w:val="00EA2195"/>
    <w:rsid w:val="00EA2437"/>
    <w:rsid w:val="00EA2C68"/>
    <w:rsid w:val="00EA2D5D"/>
    <w:rsid w:val="00EA60FE"/>
    <w:rsid w:val="00EA66CF"/>
    <w:rsid w:val="00EA6E10"/>
    <w:rsid w:val="00EA6EFD"/>
    <w:rsid w:val="00EA755F"/>
    <w:rsid w:val="00EA7F9F"/>
    <w:rsid w:val="00EB01D8"/>
    <w:rsid w:val="00EB0759"/>
    <w:rsid w:val="00EB07EB"/>
    <w:rsid w:val="00EB0AF0"/>
    <w:rsid w:val="00EB0F0D"/>
    <w:rsid w:val="00EB0F55"/>
    <w:rsid w:val="00EB1158"/>
    <w:rsid w:val="00EB1406"/>
    <w:rsid w:val="00EB1543"/>
    <w:rsid w:val="00EB1D64"/>
    <w:rsid w:val="00EB212E"/>
    <w:rsid w:val="00EB2487"/>
    <w:rsid w:val="00EB24C3"/>
    <w:rsid w:val="00EB256D"/>
    <w:rsid w:val="00EB2EE7"/>
    <w:rsid w:val="00EB33B1"/>
    <w:rsid w:val="00EB3412"/>
    <w:rsid w:val="00EB49A1"/>
    <w:rsid w:val="00EB4B92"/>
    <w:rsid w:val="00EB566E"/>
    <w:rsid w:val="00EB6568"/>
    <w:rsid w:val="00EB65EF"/>
    <w:rsid w:val="00EB6B3E"/>
    <w:rsid w:val="00EB6F4E"/>
    <w:rsid w:val="00EC09DB"/>
    <w:rsid w:val="00EC0E42"/>
    <w:rsid w:val="00EC1408"/>
    <w:rsid w:val="00EC140B"/>
    <w:rsid w:val="00EC1676"/>
    <w:rsid w:val="00EC18DF"/>
    <w:rsid w:val="00EC19C8"/>
    <w:rsid w:val="00EC2388"/>
    <w:rsid w:val="00EC27B9"/>
    <w:rsid w:val="00EC298E"/>
    <w:rsid w:val="00EC31FB"/>
    <w:rsid w:val="00EC3701"/>
    <w:rsid w:val="00EC3C08"/>
    <w:rsid w:val="00EC48CA"/>
    <w:rsid w:val="00EC4ECC"/>
    <w:rsid w:val="00EC4FB7"/>
    <w:rsid w:val="00EC55B4"/>
    <w:rsid w:val="00EC5C2D"/>
    <w:rsid w:val="00EC5D8A"/>
    <w:rsid w:val="00EC5E30"/>
    <w:rsid w:val="00EC5EE2"/>
    <w:rsid w:val="00EC621C"/>
    <w:rsid w:val="00EC6679"/>
    <w:rsid w:val="00EC66E6"/>
    <w:rsid w:val="00EC75A7"/>
    <w:rsid w:val="00EC7C19"/>
    <w:rsid w:val="00ED0027"/>
    <w:rsid w:val="00ED0D51"/>
    <w:rsid w:val="00ED1203"/>
    <w:rsid w:val="00ED2438"/>
    <w:rsid w:val="00ED24C0"/>
    <w:rsid w:val="00ED300D"/>
    <w:rsid w:val="00ED35ED"/>
    <w:rsid w:val="00ED36E2"/>
    <w:rsid w:val="00ED3C0D"/>
    <w:rsid w:val="00ED3DFB"/>
    <w:rsid w:val="00ED4EA1"/>
    <w:rsid w:val="00ED5016"/>
    <w:rsid w:val="00ED54B9"/>
    <w:rsid w:val="00ED59B9"/>
    <w:rsid w:val="00ED5BE9"/>
    <w:rsid w:val="00ED5ED8"/>
    <w:rsid w:val="00ED605A"/>
    <w:rsid w:val="00ED64B9"/>
    <w:rsid w:val="00ED69E2"/>
    <w:rsid w:val="00ED6A3C"/>
    <w:rsid w:val="00ED6C95"/>
    <w:rsid w:val="00ED6CC3"/>
    <w:rsid w:val="00ED79D2"/>
    <w:rsid w:val="00ED7F57"/>
    <w:rsid w:val="00EE0479"/>
    <w:rsid w:val="00EE04F1"/>
    <w:rsid w:val="00EE0847"/>
    <w:rsid w:val="00EE09FF"/>
    <w:rsid w:val="00EE10FC"/>
    <w:rsid w:val="00EE1E7D"/>
    <w:rsid w:val="00EE218B"/>
    <w:rsid w:val="00EE22E8"/>
    <w:rsid w:val="00EE2B8A"/>
    <w:rsid w:val="00EE2C0F"/>
    <w:rsid w:val="00EE33EE"/>
    <w:rsid w:val="00EE37C2"/>
    <w:rsid w:val="00EE37E8"/>
    <w:rsid w:val="00EE3B15"/>
    <w:rsid w:val="00EE3FEE"/>
    <w:rsid w:val="00EE49D1"/>
    <w:rsid w:val="00EE4E0C"/>
    <w:rsid w:val="00EE5ACD"/>
    <w:rsid w:val="00EE5C80"/>
    <w:rsid w:val="00EE5E12"/>
    <w:rsid w:val="00EE6AB0"/>
    <w:rsid w:val="00EE7F01"/>
    <w:rsid w:val="00EF0216"/>
    <w:rsid w:val="00EF0313"/>
    <w:rsid w:val="00EF098A"/>
    <w:rsid w:val="00EF128E"/>
    <w:rsid w:val="00EF1489"/>
    <w:rsid w:val="00EF1922"/>
    <w:rsid w:val="00EF253B"/>
    <w:rsid w:val="00EF26CA"/>
    <w:rsid w:val="00EF2FB4"/>
    <w:rsid w:val="00EF38AB"/>
    <w:rsid w:val="00EF3B4A"/>
    <w:rsid w:val="00EF3E6C"/>
    <w:rsid w:val="00EF414E"/>
    <w:rsid w:val="00EF52F9"/>
    <w:rsid w:val="00EF54C3"/>
    <w:rsid w:val="00EF554E"/>
    <w:rsid w:val="00EF55CA"/>
    <w:rsid w:val="00EF5DE4"/>
    <w:rsid w:val="00EF61B8"/>
    <w:rsid w:val="00EF7108"/>
    <w:rsid w:val="00EF7205"/>
    <w:rsid w:val="00EF72A3"/>
    <w:rsid w:val="00EF7A4E"/>
    <w:rsid w:val="00F004ED"/>
    <w:rsid w:val="00F00B77"/>
    <w:rsid w:val="00F02934"/>
    <w:rsid w:val="00F0485F"/>
    <w:rsid w:val="00F0514E"/>
    <w:rsid w:val="00F05437"/>
    <w:rsid w:val="00F05C7C"/>
    <w:rsid w:val="00F064A8"/>
    <w:rsid w:val="00F0796D"/>
    <w:rsid w:val="00F07FAB"/>
    <w:rsid w:val="00F10320"/>
    <w:rsid w:val="00F1090D"/>
    <w:rsid w:val="00F10E00"/>
    <w:rsid w:val="00F111B4"/>
    <w:rsid w:val="00F1170A"/>
    <w:rsid w:val="00F11BCE"/>
    <w:rsid w:val="00F128D0"/>
    <w:rsid w:val="00F138EB"/>
    <w:rsid w:val="00F13F4C"/>
    <w:rsid w:val="00F14712"/>
    <w:rsid w:val="00F14EE7"/>
    <w:rsid w:val="00F15234"/>
    <w:rsid w:val="00F15476"/>
    <w:rsid w:val="00F15850"/>
    <w:rsid w:val="00F15C0C"/>
    <w:rsid w:val="00F15C86"/>
    <w:rsid w:val="00F160AF"/>
    <w:rsid w:val="00F16C89"/>
    <w:rsid w:val="00F16ED0"/>
    <w:rsid w:val="00F172C9"/>
    <w:rsid w:val="00F20CEF"/>
    <w:rsid w:val="00F211C7"/>
    <w:rsid w:val="00F218F5"/>
    <w:rsid w:val="00F21A96"/>
    <w:rsid w:val="00F21B24"/>
    <w:rsid w:val="00F21F28"/>
    <w:rsid w:val="00F21F6E"/>
    <w:rsid w:val="00F22486"/>
    <w:rsid w:val="00F23E7A"/>
    <w:rsid w:val="00F24012"/>
    <w:rsid w:val="00F24058"/>
    <w:rsid w:val="00F24074"/>
    <w:rsid w:val="00F24929"/>
    <w:rsid w:val="00F24B29"/>
    <w:rsid w:val="00F24D6F"/>
    <w:rsid w:val="00F24F6F"/>
    <w:rsid w:val="00F25A49"/>
    <w:rsid w:val="00F266E4"/>
    <w:rsid w:val="00F26FCD"/>
    <w:rsid w:val="00F2744E"/>
    <w:rsid w:val="00F2785E"/>
    <w:rsid w:val="00F301AA"/>
    <w:rsid w:val="00F30365"/>
    <w:rsid w:val="00F30953"/>
    <w:rsid w:val="00F30CA2"/>
    <w:rsid w:val="00F30CBE"/>
    <w:rsid w:val="00F310A2"/>
    <w:rsid w:val="00F311FD"/>
    <w:rsid w:val="00F31A5B"/>
    <w:rsid w:val="00F328E1"/>
    <w:rsid w:val="00F330FC"/>
    <w:rsid w:val="00F33342"/>
    <w:rsid w:val="00F333B1"/>
    <w:rsid w:val="00F33908"/>
    <w:rsid w:val="00F3502B"/>
    <w:rsid w:val="00F353F6"/>
    <w:rsid w:val="00F356DC"/>
    <w:rsid w:val="00F36D98"/>
    <w:rsid w:val="00F37ACE"/>
    <w:rsid w:val="00F407B9"/>
    <w:rsid w:val="00F4092F"/>
    <w:rsid w:val="00F40B66"/>
    <w:rsid w:val="00F414C3"/>
    <w:rsid w:val="00F41929"/>
    <w:rsid w:val="00F4259B"/>
    <w:rsid w:val="00F4365A"/>
    <w:rsid w:val="00F43950"/>
    <w:rsid w:val="00F442DB"/>
    <w:rsid w:val="00F44551"/>
    <w:rsid w:val="00F44CEE"/>
    <w:rsid w:val="00F44FC9"/>
    <w:rsid w:val="00F45356"/>
    <w:rsid w:val="00F45F5D"/>
    <w:rsid w:val="00F4670D"/>
    <w:rsid w:val="00F46D9B"/>
    <w:rsid w:val="00F47469"/>
    <w:rsid w:val="00F47951"/>
    <w:rsid w:val="00F50621"/>
    <w:rsid w:val="00F51054"/>
    <w:rsid w:val="00F511EB"/>
    <w:rsid w:val="00F517F8"/>
    <w:rsid w:val="00F51B10"/>
    <w:rsid w:val="00F522B7"/>
    <w:rsid w:val="00F52AF6"/>
    <w:rsid w:val="00F534B2"/>
    <w:rsid w:val="00F535FC"/>
    <w:rsid w:val="00F53958"/>
    <w:rsid w:val="00F54370"/>
    <w:rsid w:val="00F5462B"/>
    <w:rsid w:val="00F559E1"/>
    <w:rsid w:val="00F55B7B"/>
    <w:rsid w:val="00F566FE"/>
    <w:rsid w:val="00F56A5D"/>
    <w:rsid w:val="00F56BA7"/>
    <w:rsid w:val="00F57427"/>
    <w:rsid w:val="00F61D53"/>
    <w:rsid w:val="00F623AB"/>
    <w:rsid w:val="00F62EEB"/>
    <w:rsid w:val="00F630C4"/>
    <w:rsid w:val="00F631AA"/>
    <w:rsid w:val="00F63E78"/>
    <w:rsid w:val="00F65542"/>
    <w:rsid w:val="00F6602A"/>
    <w:rsid w:val="00F6614B"/>
    <w:rsid w:val="00F670C8"/>
    <w:rsid w:val="00F67658"/>
    <w:rsid w:val="00F676A7"/>
    <w:rsid w:val="00F67B00"/>
    <w:rsid w:val="00F703CB"/>
    <w:rsid w:val="00F70C5C"/>
    <w:rsid w:val="00F70E93"/>
    <w:rsid w:val="00F71364"/>
    <w:rsid w:val="00F71931"/>
    <w:rsid w:val="00F71937"/>
    <w:rsid w:val="00F72221"/>
    <w:rsid w:val="00F72982"/>
    <w:rsid w:val="00F729E0"/>
    <w:rsid w:val="00F729F7"/>
    <w:rsid w:val="00F74181"/>
    <w:rsid w:val="00F759CF"/>
    <w:rsid w:val="00F75F4C"/>
    <w:rsid w:val="00F7694E"/>
    <w:rsid w:val="00F76952"/>
    <w:rsid w:val="00F775AB"/>
    <w:rsid w:val="00F77A67"/>
    <w:rsid w:val="00F80057"/>
    <w:rsid w:val="00F8021D"/>
    <w:rsid w:val="00F80B65"/>
    <w:rsid w:val="00F80B84"/>
    <w:rsid w:val="00F80DF0"/>
    <w:rsid w:val="00F816A3"/>
    <w:rsid w:val="00F8195B"/>
    <w:rsid w:val="00F81A6C"/>
    <w:rsid w:val="00F820B8"/>
    <w:rsid w:val="00F82561"/>
    <w:rsid w:val="00F83300"/>
    <w:rsid w:val="00F83C9A"/>
    <w:rsid w:val="00F84141"/>
    <w:rsid w:val="00F847C2"/>
    <w:rsid w:val="00F84ED5"/>
    <w:rsid w:val="00F8501B"/>
    <w:rsid w:val="00F85120"/>
    <w:rsid w:val="00F853AB"/>
    <w:rsid w:val="00F85D02"/>
    <w:rsid w:val="00F8635A"/>
    <w:rsid w:val="00F866D3"/>
    <w:rsid w:val="00F87115"/>
    <w:rsid w:val="00F90340"/>
    <w:rsid w:val="00F904F4"/>
    <w:rsid w:val="00F90596"/>
    <w:rsid w:val="00F905BB"/>
    <w:rsid w:val="00F90855"/>
    <w:rsid w:val="00F90E15"/>
    <w:rsid w:val="00F90E8B"/>
    <w:rsid w:val="00F91311"/>
    <w:rsid w:val="00F9156E"/>
    <w:rsid w:val="00F91B11"/>
    <w:rsid w:val="00F92660"/>
    <w:rsid w:val="00F92685"/>
    <w:rsid w:val="00F92C01"/>
    <w:rsid w:val="00F92CBA"/>
    <w:rsid w:val="00F93404"/>
    <w:rsid w:val="00F93A5A"/>
    <w:rsid w:val="00F93E1F"/>
    <w:rsid w:val="00F940B7"/>
    <w:rsid w:val="00F9467F"/>
    <w:rsid w:val="00F94C92"/>
    <w:rsid w:val="00F94FCA"/>
    <w:rsid w:val="00F94FF5"/>
    <w:rsid w:val="00F95A07"/>
    <w:rsid w:val="00F95B21"/>
    <w:rsid w:val="00F95BF1"/>
    <w:rsid w:val="00F96F86"/>
    <w:rsid w:val="00F972E4"/>
    <w:rsid w:val="00F97C9D"/>
    <w:rsid w:val="00FA0083"/>
    <w:rsid w:val="00FA0A7A"/>
    <w:rsid w:val="00FA1156"/>
    <w:rsid w:val="00FA14CF"/>
    <w:rsid w:val="00FA222A"/>
    <w:rsid w:val="00FA2D90"/>
    <w:rsid w:val="00FA2FCB"/>
    <w:rsid w:val="00FA4218"/>
    <w:rsid w:val="00FA422C"/>
    <w:rsid w:val="00FA425B"/>
    <w:rsid w:val="00FA4495"/>
    <w:rsid w:val="00FA4F95"/>
    <w:rsid w:val="00FA571A"/>
    <w:rsid w:val="00FA5D63"/>
    <w:rsid w:val="00FA663F"/>
    <w:rsid w:val="00FA6B37"/>
    <w:rsid w:val="00FA7078"/>
    <w:rsid w:val="00FA72AC"/>
    <w:rsid w:val="00FA759F"/>
    <w:rsid w:val="00FB0E78"/>
    <w:rsid w:val="00FB11FA"/>
    <w:rsid w:val="00FB1230"/>
    <w:rsid w:val="00FB2AFD"/>
    <w:rsid w:val="00FB2CEE"/>
    <w:rsid w:val="00FB3C10"/>
    <w:rsid w:val="00FB4290"/>
    <w:rsid w:val="00FB43D5"/>
    <w:rsid w:val="00FB5C19"/>
    <w:rsid w:val="00FB6791"/>
    <w:rsid w:val="00FB6CC9"/>
    <w:rsid w:val="00FB6E3E"/>
    <w:rsid w:val="00FB6EA2"/>
    <w:rsid w:val="00FB7479"/>
    <w:rsid w:val="00FB776D"/>
    <w:rsid w:val="00FC0342"/>
    <w:rsid w:val="00FC0B67"/>
    <w:rsid w:val="00FC0C6C"/>
    <w:rsid w:val="00FC0CF6"/>
    <w:rsid w:val="00FC191C"/>
    <w:rsid w:val="00FC1B00"/>
    <w:rsid w:val="00FC2923"/>
    <w:rsid w:val="00FC293F"/>
    <w:rsid w:val="00FC2A61"/>
    <w:rsid w:val="00FC2BD0"/>
    <w:rsid w:val="00FC2CD8"/>
    <w:rsid w:val="00FC3FC6"/>
    <w:rsid w:val="00FC401F"/>
    <w:rsid w:val="00FC445F"/>
    <w:rsid w:val="00FC4C33"/>
    <w:rsid w:val="00FC54A2"/>
    <w:rsid w:val="00FC59FA"/>
    <w:rsid w:val="00FC5CE4"/>
    <w:rsid w:val="00FC612B"/>
    <w:rsid w:val="00FC6DA1"/>
    <w:rsid w:val="00FC6EDB"/>
    <w:rsid w:val="00FD0336"/>
    <w:rsid w:val="00FD0549"/>
    <w:rsid w:val="00FD0A63"/>
    <w:rsid w:val="00FD0DC8"/>
    <w:rsid w:val="00FD1917"/>
    <w:rsid w:val="00FD1F61"/>
    <w:rsid w:val="00FD1FB5"/>
    <w:rsid w:val="00FD2212"/>
    <w:rsid w:val="00FD25C6"/>
    <w:rsid w:val="00FD3ED7"/>
    <w:rsid w:val="00FD43F0"/>
    <w:rsid w:val="00FD4E7F"/>
    <w:rsid w:val="00FD5146"/>
    <w:rsid w:val="00FD56CC"/>
    <w:rsid w:val="00FD6195"/>
    <w:rsid w:val="00FD684E"/>
    <w:rsid w:val="00FD6C3C"/>
    <w:rsid w:val="00FD7382"/>
    <w:rsid w:val="00FD7A90"/>
    <w:rsid w:val="00FD7EDF"/>
    <w:rsid w:val="00FE0177"/>
    <w:rsid w:val="00FE16B1"/>
    <w:rsid w:val="00FE17AA"/>
    <w:rsid w:val="00FE1BDD"/>
    <w:rsid w:val="00FE21ED"/>
    <w:rsid w:val="00FE224C"/>
    <w:rsid w:val="00FE29BB"/>
    <w:rsid w:val="00FE2A0D"/>
    <w:rsid w:val="00FE383E"/>
    <w:rsid w:val="00FE3A1B"/>
    <w:rsid w:val="00FE4902"/>
    <w:rsid w:val="00FE5AE9"/>
    <w:rsid w:val="00FE5F0F"/>
    <w:rsid w:val="00FE6073"/>
    <w:rsid w:val="00FE6F5C"/>
    <w:rsid w:val="00FE7312"/>
    <w:rsid w:val="00FE7652"/>
    <w:rsid w:val="00FE79F8"/>
    <w:rsid w:val="00FE7A25"/>
    <w:rsid w:val="00FE7EA5"/>
    <w:rsid w:val="00FE7F41"/>
    <w:rsid w:val="00FF0324"/>
    <w:rsid w:val="00FF2005"/>
    <w:rsid w:val="00FF25BC"/>
    <w:rsid w:val="00FF3024"/>
    <w:rsid w:val="00FF389C"/>
    <w:rsid w:val="00FF434D"/>
    <w:rsid w:val="00FF4D1C"/>
    <w:rsid w:val="00FF509C"/>
    <w:rsid w:val="00FF529A"/>
    <w:rsid w:val="00FF58E1"/>
    <w:rsid w:val="00FF5F5C"/>
    <w:rsid w:val="00FF6C5E"/>
    <w:rsid w:val="00FF72F8"/>
    <w:rsid w:val="00FF7FF5"/>
    <w:rsid w:val="01C285DC"/>
    <w:rsid w:val="028DE711"/>
    <w:rsid w:val="02B7750F"/>
    <w:rsid w:val="039288BB"/>
    <w:rsid w:val="03AD8A6C"/>
    <w:rsid w:val="0715B67A"/>
    <w:rsid w:val="077B9295"/>
    <w:rsid w:val="07E1BDE1"/>
    <w:rsid w:val="082E5B56"/>
    <w:rsid w:val="0853A2F2"/>
    <w:rsid w:val="09287AA5"/>
    <w:rsid w:val="0A9C6C3E"/>
    <w:rsid w:val="0B16F1AF"/>
    <w:rsid w:val="0C7A23B0"/>
    <w:rsid w:val="0C99E31B"/>
    <w:rsid w:val="0CACE00B"/>
    <w:rsid w:val="0CD59E24"/>
    <w:rsid w:val="0CD885D4"/>
    <w:rsid w:val="0CF61607"/>
    <w:rsid w:val="0D43ED2D"/>
    <w:rsid w:val="0E5947D2"/>
    <w:rsid w:val="11230934"/>
    <w:rsid w:val="11CD0AD7"/>
    <w:rsid w:val="13213848"/>
    <w:rsid w:val="136C4DA6"/>
    <w:rsid w:val="138959D5"/>
    <w:rsid w:val="1459E5BA"/>
    <w:rsid w:val="15CFA0CF"/>
    <w:rsid w:val="15DAB258"/>
    <w:rsid w:val="185B73F4"/>
    <w:rsid w:val="1865154F"/>
    <w:rsid w:val="19C73DE7"/>
    <w:rsid w:val="1A2183FB"/>
    <w:rsid w:val="1C2B26E8"/>
    <w:rsid w:val="1D6FD3B6"/>
    <w:rsid w:val="1EAA3851"/>
    <w:rsid w:val="1FE0D6BA"/>
    <w:rsid w:val="203F6B30"/>
    <w:rsid w:val="20716AA2"/>
    <w:rsid w:val="20D64C56"/>
    <w:rsid w:val="21294340"/>
    <w:rsid w:val="2137D3BC"/>
    <w:rsid w:val="219342C3"/>
    <w:rsid w:val="21F5FD06"/>
    <w:rsid w:val="224885DA"/>
    <w:rsid w:val="22B7B93F"/>
    <w:rsid w:val="23D22A65"/>
    <w:rsid w:val="26467E8F"/>
    <w:rsid w:val="265106E5"/>
    <w:rsid w:val="2710FB2E"/>
    <w:rsid w:val="271D1250"/>
    <w:rsid w:val="280126F8"/>
    <w:rsid w:val="28359757"/>
    <w:rsid w:val="28A9E529"/>
    <w:rsid w:val="28F2EABF"/>
    <w:rsid w:val="2919C828"/>
    <w:rsid w:val="29A69D94"/>
    <w:rsid w:val="2A0093B2"/>
    <w:rsid w:val="2A7E4CA4"/>
    <w:rsid w:val="2C7A11A2"/>
    <w:rsid w:val="2D017E2B"/>
    <w:rsid w:val="2F1D4027"/>
    <w:rsid w:val="2F85FEBB"/>
    <w:rsid w:val="30E87A60"/>
    <w:rsid w:val="314A5078"/>
    <w:rsid w:val="337CC7A2"/>
    <w:rsid w:val="3424DDFC"/>
    <w:rsid w:val="36864358"/>
    <w:rsid w:val="36C991A5"/>
    <w:rsid w:val="37A858A6"/>
    <w:rsid w:val="37DBAD15"/>
    <w:rsid w:val="397510BB"/>
    <w:rsid w:val="39A782AD"/>
    <w:rsid w:val="3A2101CA"/>
    <w:rsid w:val="3A494CF9"/>
    <w:rsid w:val="3ACBB44E"/>
    <w:rsid w:val="3B605C9C"/>
    <w:rsid w:val="3C03856A"/>
    <w:rsid w:val="3CA5DF35"/>
    <w:rsid w:val="3CBBE7CA"/>
    <w:rsid w:val="3D867AD8"/>
    <w:rsid w:val="3D870C7B"/>
    <w:rsid w:val="41269186"/>
    <w:rsid w:val="417F5BB8"/>
    <w:rsid w:val="42BB2DE2"/>
    <w:rsid w:val="43EE024E"/>
    <w:rsid w:val="45BB79CB"/>
    <w:rsid w:val="47688034"/>
    <w:rsid w:val="4817A6B5"/>
    <w:rsid w:val="4887ED96"/>
    <w:rsid w:val="48C4334C"/>
    <w:rsid w:val="492F6509"/>
    <w:rsid w:val="499AAE95"/>
    <w:rsid w:val="49BC176D"/>
    <w:rsid w:val="4ABD0947"/>
    <w:rsid w:val="4AF1875D"/>
    <w:rsid w:val="4B63F51A"/>
    <w:rsid w:val="4B8793AE"/>
    <w:rsid w:val="4CC9E786"/>
    <w:rsid w:val="4E0C4628"/>
    <w:rsid w:val="518C7015"/>
    <w:rsid w:val="51E847DB"/>
    <w:rsid w:val="537DB438"/>
    <w:rsid w:val="541D5763"/>
    <w:rsid w:val="56A504F9"/>
    <w:rsid w:val="578CF5AA"/>
    <w:rsid w:val="57B5A2FA"/>
    <w:rsid w:val="5A798B56"/>
    <w:rsid w:val="5B04664A"/>
    <w:rsid w:val="5B06A6FB"/>
    <w:rsid w:val="5B5AAFE4"/>
    <w:rsid w:val="5C0F15D1"/>
    <w:rsid w:val="5E6ED195"/>
    <w:rsid w:val="5F60C5FE"/>
    <w:rsid w:val="614B7F13"/>
    <w:rsid w:val="636B2C64"/>
    <w:rsid w:val="656A91A7"/>
    <w:rsid w:val="667C9B0A"/>
    <w:rsid w:val="67A3FC73"/>
    <w:rsid w:val="695FCD08"/>
    <w:rsid w:val="69A6E052"/>
    <w:rsid w:val="6A8F9357"/>
    <w:rsid w:val="6AD5CDFA"/>
    <w:rsid w:val="6EE6047A"/>
    <w:rsid w:val="6F538841"/>
    <w:rsid w:val="6FC17975"/>
    <w:rsid w:val="70325E82"/>
    <w:rsid w:val="7046D711"/>
    <w:rsid w:val="716B3F35"/>
    <w:rsid w:val="71A12963"/>
    <w:rsid w:val="732F1371"/>
    <w:rsid w:val="735886E7"/>
    <w:rsid w:val="739E8FB8"/>
    <w:rsid w:val="741CC936"/>
    <w:rsid w:val="742F2BFE"/>
    <w:rsid w:val="74D9206A"/>
    <w:rsid w:val="7506039E"/>
    <w:rsid w:val="7536346F"/>
    <w:rsid w:val="7590458F"/>
    <w:rsid w:val="75DC54DE"/>
    <w:rsid w:val="75F17D74"/>
    <w:rsid w:val="771ACB66"/>
    <w:rsid w:val="781398A7"/>
    <w:rsid w:val="78D436C4"/>
    <w:rsid w:val="79C931CA"/>
    <w:rsid w:val="7B302286"/>
    <w:rsid w:val="7BA92DB7"/>
    <w:rsid w:val="7D09346A"/>
    <w:rsid w:val="7D4F4CAC"/>
    <w:rsid w:val="7DD53AEE"/>
    <w:rsid w:val="7F19EA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D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nhideWhenUsed="1"/>
    <w:lsdException w:name="toc 3" w:semiHidden="1" w:unhideWhenUsed="1"/>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99"/>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uiPriority="99"/>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E85747"/>
  </w:style>
  <w:style w:type="paragraph" w:styleId="Heading1">
    <w:name w:val="heading 1"/>
    <w:basedOn w:val="HeadingBase"/>
    <w:next w:val="Normal"/>
    <w:qFormat/>
    <w:rsid w:val="00E85747"/>
    <w:pPr>
      <w:keepNext/>
      <w:spacing w:before="600" w:after="360"/>
      <w:outlineLvl w:val="0"/>
    </w:pPr>
    <w:rPr>
      <w:rFonts w:cs="Arial"/>
      <w:color w:val="142147"/>
      <w:kern w:val="32"/>
      <w:sz w:val="56"/>
      <w:szCs w:val="36"/>
    </w:rPr>
  </w:style>
  <w:style w:type="paragraph" w:styleId="Heading2">
    <w:name w:val="heading 2"/>
    <w:basedOn w:val="Normal"/>
    <w:next w:val="Normal"/>
    <w:qFormat/>
    <w:rsid w:val="00E85747"/>
    <w:pPr>
      <w:keepNext/>
      <w:spacing w:before="480" w:after="240"/>
      <w:outlineLvl w:val="1"/>
    </w:pPr>
    <w:rPr>
      <w:rFonts w:ascii="Georgia" w:hAnsi="Georgia" w:cs="Arial"/>
      <w:iCs/>
      <w:color w:val="701F4C"/>
      <w:kern w:val="32"/>
      <w:sz w:val="40"/>
      <w:szCs w:val="28"/>
      <w14:numForm w14:val="lining"/>
      <w14:numSpacing w14:val="proportional"/>
    </w:rPr>
  </w:style>
  <w:style w:type="paragraph" w:styleId="Heading3">
    <w:name w:val="heading 3"/>
    <w:basedOn w:val="Normal"/>
    <w:next w:val="Normal"/>
    <w:qFormat/>
    <w:rsid w:val="00E85747"/>
    <w:pPr>
      <w:keepNext/>
      <w:spacing w:before="320"/>
      <w:outlineLvl w:val="2"/>
    </w:pPr>
    <w:rPr>
      <w:rFonts w:ascii="Georgia" w:hAnsi="Georgia" w:cs="Arial"/>
      <w:color w:val="432B73"/>
      <w:kern w:val="32"/>
      <w:sz w:val="34"/>
      <w:szCs w:val="26"/>
      <w14:numForm w14:val="lining"/>
      <w14:numSpacing w14:val="proportional"/>
    </w:rPr>
  </w:style>
  <w:style w:type="paragraph" w:styleId="Heading4">
    <w:name w:val="heading 4"/>
    <w:basedOn w:val="Normal"/>
    <w:next w:val="Normal"/>
    <w:qFormat/>
    <w:rsid w:val="00E85747"/>
    <w:pPr>
      <w:keepNext/>
      <w:spacing w:before="280" w:after="60"/>
      <w:outlineLvl w:val="3"/>
    </w:pPr>
    <w:rPr>
      <w:rFonts w:ascii="Georgia" w:hAnsi="Georgia" w:cs="Arial"/>
      <w:kern w:val="32"/>
      <w:sz w:val="28"/>
      <w:szCs w:val="26"/>
      <w14:numForm w14:val="lining"/>
      <w14:numSpacing w14:val="proportional"/>
    </w:rPr>
  </w:style>
  <w:style w:type="paragraph" w:styleId="Heading5">
    <w:name w:val="heading 5"/>
    <w:basedOn w:val="Normal"/>
    <w:next w:val="Normal"/>
    <w:qFormat/>
    <w:rsid w:val="00E85747"/>
    <w:pPr>
      <w:keepNext/>
      <w:spacing w:before="240" w:after="0" w:line="276" w:lineRule="auto"/>
      <w:outlineLvl w:val="4"/>
    </w:pPr>
    <w:rPr>
      <w:rFonts w:ascii="Georgia" w:hAnsi="Georgia" w:cs="Arial"/>
      <w:iCs/>
      <w:color w:val="595959"/>
      <w:kern w:val="32"/>
      <w:sz w:val="25"/>
      <w:szCs w:val="36"/>
      <w14:numForm w14:val="lining"/>
      <w14:numSpacing w14:val="proportional"/>
    </w:rPr>
  </w:style>
  <w:style w:type="paragraph" w:styleId="Heading6">
    <w:name w:val="heading 6"/>
    <w:basedOn w:val="Normal"/>
    <w:next w:val="Normal"/>
    <w:qFormat/>
    <w:rsid w:val="00E85747"/>
    <w:pPr>
      <w:keepNext/>
      <w:spacing w:after="0" w:line="276" w:lineRule="auto"/>
      <w:outlineLvl w:val="5"/>
    </w:pPr>
    <w:rPr>
      <w:rFonts w:cs="Arial"/>
      <w:b/>
      <w:color w:val="000000"/>
      <w:kern w:val="32"/>
      <w:sz w:val="25"/>
      <w14:numForm w14:val="lining"/>
      <w14:numSpacing w14:val="proportional"/>
    </w:rPr>
  </w:style>
  <w:style w:type="paragraph" w:styleId="Heading7">
    <w:name w:val="heading 7"/>
    <w:basedOn w:val="HeadingBase"/>
    <w:next w:val="Normal"/>
    <w:qFormat/>
    <w:rsid w:val="00E85747"/>
    <w:pPr>
      <w:outlineLvl w:val="6"/>
    </w:pPr>
    <w:rPr>
      <w:rFonts w:asciiTheme="minorHAnsi" w:hAnsiTheme="minorHAnsi"/>
      <w:b/>
      <w:color w:val="000000" w:themeColor="text1"/>
      <w:sz w:val="23"/>
      <w:szCs w:val="24"/>
    </w:rPr>
  </w:style>
  <w:style w:type="paragraph" w:styleId="Heading8">
    <w:name w:val="heading 8"/>
    <w:basedOn w:val="HeadingBase"/>
    <w:next w:val="Normal"/>
    <w:qFormat/>
    <w:rsid w:val="00E85747"/>
    <w:pPr>
      <w:outlineLvl w:val="7"/>
    </w:pPr>
    <w:rPr>
      <w:rFonts w:asciiTheme="minorHAnsi" w:hAnsiTheme="minorHAnsi"/>
      <w:b/>
      <w:iCs/>
      <w:color w:val="5F5F5F" w:themeColor="text2"/>
      <w:sz w:val="22"/>
      <w:szCs w:val="24"/>
    </w:rPr>
  </w:style>
  <w:style w:type="paragraph" w:styleId="Heading9">
    <w:name w:val="heading 9"/>
    <w:basedOn w:val="HeadingBase"/>
    <w:next w:val="Normal"/>
    <w:qFormat/>
    <w:rsid w:val="00E85747"/>
    <w:pPr>
      <w:outlineLvl w:val="8"/>
    </w:pPr>
    <w:rPr>
      <w:rFonts w:asciiTheme="minorHAnsi" w:hAnsiTheme="minorHAnsi" w:cs="Arial"/>
      <w:i/>
      <w:color w:val="5F5F5F"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link w:val="HeadingBaseChar"/>
    <w:semiHidden/>
    <w:rsid w:val="00E85747"/>
    <w:rPr>
      <w:rFonts w:ascii="Georgia" w:hAnsi="Georgia"/>
      <w:color w:val="142147" w:themeColor="accent1"/>
      <w:sz w:val="64"/>
      <w14:numForm w14:val="lining"/>
      <w14:numSpacing w14:val="proportional"/>
    </w:rPr>
  </w:style>
  <w:style w:type="paragraph" w:customStyle="1" w:styleId="SingleParagraph">
    <w:name w:val="Single Paragraph"/>
    <w:basedOn w:val="Normal"/>
    <w:link w:val="SingleParagraphChar"/>
    <w:rsid w:val="00E90517"/>
    <w:pPr>
      <w:spacing w:before="0" w:after="0"/>
    </w:pPr>
  </w:style>
  <w:style w:type="character" w:styleId="Hyperlink">
    <w:name w:val="Hyperlink"/>
    <w:basedOn w:val="DefaultParagraphFont"/>
    <w:uiPriority w:val="99"/>
    <w:rsid w:val="00E85747"/>
    <w:rPr>
      <w:color w:val="2B4798" w:themeColor="accent1" w:themeTint="BF"/>
      <w:u w:val="single"/>
    </w:rPr>
  </w:style>
  <w:style w:type="paragraph" w:customStyle="1" w:styleId="Non-ChapterHeading">
    <w:name w:val="Non-Chapter Heading"/>
    <w:basedOn w:val="HeadingBase"/>
    <w:next w:val="Normal"/>
    <w:rsid w:val="00E85747"/>
    <w:pPr>
      <w:pageBreakBefore/>
      <w:spacing w:before="360" w:after="360"/>
    </w:pPr>
    <w:rPr>
      <w:i/>
      <w:sz w:val="56"/>
      <w:szCs w:val="38"/>
    </w:rPr>
  </w:style>
  <w:style w:type="character" w:styleId="PageNumber">
    <w:name w:val="page number"/>
    <w:basedOn w:val="DefaultParagraphFont"/>
    <w:semiHidden/>
    <w:rsid w:val="00E85747"/>
    <w:rPr>
      <w:rFonts w:ascii="Arial" w:hAnsi="Arial"/>
      <w:sz w:val="18"/>
    </w:rPr>
  </w:style>
  <w:style w:type="paragraph" w:styleId="EndnoteText">
    <w:name w:val="endnote text"/>
    <w:basedOn w:val="Normal"/>
    <w:link w:val="EndnoteTextChar"/>
    <w:unhideWhenUsed/>
    <w:rsid w:val="00E85747"/>
    <w:pPr>
      <w:spacing w:before="0" w:after="0"/>
    </w:pPr>
    <w:rPr>
      <w:sz w:val="20"/>
      <w:szCs w:val="20"/>
    </w:rPr>
  </w:style>
  <w:style w:type="paragraph" w:customStyle="1" w:styleId="Bullet">
    <w:name w:val="Bullet"/>
    <w:aliases w:val="b,Body,b + line,b1,level 1,Bullet + line,BodyNum,Bullet Char1,Bullet Char1 Char Char Char,Bullet Char1 Char Char Char Char,Bullet Char1 Char Char Char Char Char,b1 Char Char Char,bulleted"/>
    <w:basedOn w:val="Normal"/>
    <w:link w:val="BulletChar"/>
    <w:rsid w:val="00E85747"/>
    <w:pPr>
      <w:numPr>
        <w:numId w:val="8"/>
      </w:numPr>
      <w:tabs>
        <w:tab w:val="left" w:pos="567"/>
      </w:tabs>
    </w:pPr>
  </w:style>
  <w:style w:type="paragraph" w:customStyle="1" w:styleId="Dash">
    <w:name w:val="Dash"/>
    <w:basedOn w:val="Normal"/>
    <w:link w:val="DashChar"/>
    <w:rsid w:val="00E85747"/>
    <w:pPr>
      <w:numPr>
        <w:ilvl w:val="1"/>
        <w:numId w:val="8"/>
      </w:numPr>
      <w:tabs>
        <w:tab w:val="left" w:pos="1134"/>
      </w:tabs>
    </w:pPr>
  </w:style>
  <w:style w:type="paragraph" w:customStyle="1" w:styleId="DoubleDot">
    <w:name w:val="Double Dot"/>
    <w:basedOn w:val="Normal"/>
    <w:rsid w:val="00E85747"/>
    <w:pPr>
      <w:numPr>
        <w:ilvl w:val="2"/>
        <w:numId w:val="8"/>
      </w:numPr>
      <w:tabs>
        <w:tab w:val="left" w:pos="1701"/>
      </w:tabs>
    </w:pPr>
  </w:style>
  <w:style w:type="paragraph" w:customStyle="1" w:styleId="NumberedList1">
    <w:name w:val="Numbered List 1"/>
    <w:basedOn w:val="Normal"/>
    <w:rsid w:val="00E85747"/>
    <w:pPr>
      <w:numPr>
        <w:numId w:val="1"/>
      </w:numPr>
      <w:ind w:left="851"/>
    </w:pPr>
  </w:style>
  <w:style w:type="paragraph" w:customStyle="1" w:styleId="NumberedList11">
    <w:name w:val="Numbered List 1.1"/>
    <w:basedOn w:val="Normal"/>
    <w:rsid w:val="00E85747"/>
    <w:pPr>
      <w:numPr>
        <w:ilvl w:val="1"/>
        <w:numId w:val="1"/>
      </w:numPr>
      <w:ind w:left="851"/>
    </w:pPr>
  </w:style>
  <w:style w:type="paragraph" w:customStyle="1" w:styleId="NumberedList111">
    <w:name w:val="Numbered List 1.1.1"/>
    <w:basedOn w:val="Normal"/>
    <w:rsid w:val="00E85747"/>
    <w:pPr>
      <w:numPr>
        <w:ilvl w:val="2"/>
        <w:numId w:val="1"/>
      </w:numPr>
      <w:ind w:left="851"/>
    </w:pPr>
  </w:style>
  <w:style w:type="paragraph" w:customStyle="1" w:styleId="AlphaParagraph">
    <w:name w:val="Alpha Paragraph"/>
    <w:basedOn w:val="Normal"/>
    <w:uiPriority w:val="1"/>
    <w:unhideWhenUsed/>
    <w:rsid w:val="00E85747"/>
    <w:pPr>
      <w:numPr>
        <w:numId w:val="2"/>
      </w:numPr>
    </w:pPr>
  </w:style>
  <w:style w:type="paragraph" w:customStyle="1" w:styleId="AppendixHeading">
    <w:name w:val="Appendix Heading"/>
    <w:basedOn w:val="Heading1"/>
    <w:next w:val="Normal"/>
    <w:rsid w:val="00E85747"/>
    <w:rPr>
      <w:sz w:val="38"/>
      <w:szCs w:val="38"/>
    </w:rPr>
  </w:style>
  <w:style w:type="paragraph" w:styleId="ListParagraph">
    <w:name w:val="List Paragraph"/>
    <w:basedOn w:val="Normal"/>
    <w:uiPriority w:val="34"/>
    <w:qFormat/>
    <w:rsid w:val="00E85747"/>
    <w:pPr>
      <w:ind w:left="720"/>
      <w:contextualSpacing/>
    </w:pPr>
  </w:style>
  <w:style w:type="paragraph" w:customStyle="1" w:styleId="BoxHeading1">
    <w:name w:val="Box Heading 1"/>
    <w:basedOn w:val="HeadingBase"/>
    <w:next w:val="BoxText"/>
    <w:rsid w:val="00E85747"/>
    <w:pPr>
      <w:spacing w:after="80"/>
    </w:pPr>
    <w:rPr>
      <w:i/>
      <w:color w:val="auto"/>
      <w:sz w:val="28"/>
    </w:rPr>
  </w:style>
  <w:style w:type="paragraph" w:customStyle="1" w:styleId="BoxText">
    <w:name w:val="Box Text"/>
    <w:basedOn w:val="Normal"/>
    <w:rsid w:val="00E85747"/>
  </w:style>
  <w:style w:type="paragraph" w:customStyle="1" w:styleId="NumberedParagraph111">
    <w:name w:val="Numbered Paragraph 1.1.1"/>
    <w:basedOn w:val="NumberedParagraph11"/>
    <w:qFormat/>
    <w:rsid w:val="00E85747"/>
    <w:pPr>
      <w:numPr>
        <w:ilvl w:val="2"/>
      </w:numPr>
    </w:pPr>
  </w:style>
  <w:style w:type="paragraph" w:customStyle="1" w:styleId="Notealpha">
    <w:name w:val="Note alpha"/>
    <w:basedOn w:val="Note"/>
    <w:rsid w:val="00E85747"/>
    <w:pPr>
      <w:numPr>
        <w:numId w:val="3"/>
      </w:numPr>
      <w:spacing w:after="120"/>
      <w:ind w:left="709" w:hanging="709"/>
    </w:pPr>
    <w:rPr>
      <w:szCs w:val="16"/>
    </w:rPr>
  </w:style>
  <w:style w:type="paragraph" w:customStyle="1" w:styleId="ChartGraphic">
    <w:name w:val="Chart Graphic"/>
    <w:basedOn w:val="Normal"/>
    <w:next w:val="Normal"/>
    <w:rsid w:val="00E85747"/>
    <w:pPr>
      <w:spacing w:after="20"/>
      <w:jc w:val="center"/>
    </w:pPr>
  </w:style>
  <w:style w:type="paragraph" w:customStyle="1" w:styleId="ChartHeading1">
    <w:name w:val="Chart Heading 1"/>
    <w:basedOn w:val="Normal"/>
    <w:next w:val="ChartGraphic"/>
    <w:rsid w:val="00E85747"/>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Note">
    <w:name w:val="Note"/>
    <w:basedOn w:val="Normal"/>
    <w:next w:val="Normal"/>
    <w:rsid w:val="00E85747"/>
    <w:pPr>
      <w:spacing w:before="40" w:after="60"/>
      <w:ind w:left="709" w:hanging="709"/>
      <w:contextualSpacing/>
      <w:jc w:val="both"/>
    </w:pPr>
    <w:rPr>
      <w:rFonts w:asciiTheme="minorHAnsi" w:hAnsiTheme="minorHAnsi"/>
      <w:sz w:val="18"/>
    </w:rPr>
  </w:style>
  <w:style w:type="paragraph" w:customStyle="1" w:styleId="ChartHeading2">
    <w:name w:val="Chart Heading 2"/>
    <w:basedOn w:val="Normal"/>
    <w:next w:val="ChartGraphic"/>
    <w:rsid w:val="00E85747"/>
    <w:pPr>
      <w:keepNext/>
      <w:spacing w:before="60"/>
    </w:pPr>
    <w:rPr>
      <w:rFonts w:asciiTheme="minorHAnsi" w:hAnsiTheme="minorHAnsi"/>
      <w:b/>
      <w:bCs/>
      <w:color w:val="142147"/>
      <w:szCs w:val="20"/>
    </w:rPr>
  </w:style>
  <w:style w:type="paragraph" w:customStyle="1" w:styleId="Classification">
    <w:name w:val="Classification"/>
    <w:basedOn w:val="HeadingBase"/>
    <w:next w:val="Footer"/>
    <w:unhideWhenUsed/>
    <w:rsid w:val="00E85747"/>
    <w:pPr>
      <w:jc w:val="center"/>
    </w:pPr>
    <w:rPr>
      <w:b/>
      <w:smallCaps/>
    </w:rPr>
  </w:style>
  <w:style w:type="paragraph" w:styleId="Footer">
    <w:name w:val="footer"/>
    <w:basedOn w:val="HeadingBase"/>
    <w:link w:val="FooterChar"/>
    <w:uiPriority w:val="99"/>
    <w:rsid w:val="00E85747"/>
    <w:pPr>
      <w:tabs>
        <w:tab w:val="left" w:pos="0"/>
        <w:tab w:val="right" w:pos="9639"/>
      </w:tabs>
      <w:jc w:val="center"/>
    </w:pPr>
    <w:rPr>
      <w:color w:val="701F4D" w:themeColor="accent2"/>
      <w:sz w:val="22"/>
    </w:rPr>
  </w:style>
  <w:style w:type="paragraph" w:customStyle="1" w:styleId="ContentsHeading">
    <w:name w:val="Contents Heading"/>
    <w:basedOn w:val="HeadingBase"/>
    <w:next w:val="Normal"/>
    <w:rsid w:val="00E85747"/>
    <w:pPr>
      <w:spacing w:before="360" w:after="600"/>
      <w:outlineLvl w:val="0"/>
    </w:pPr>
    <w:rPr>
      <w:i/>
      <w:sz w:val="56"/>
      <w:szCs w:val="38"/>
    </w:rPr>
  </w:style>
  <w:style w:type="paragraph" w:customStyle="1" w:styleId="CoverTitleMain">
    <w:name w:val="Cover Title Main"/>
    <w:basedOn w:val="HeadingBase"/>
    <w:next w:val="Normal"/>
    <w:rsid w:val="00E85747"/>
    <w:pPr>
      <w:spacing w:before="9600" w:after="240"/>
      <w:ind w:right="2268"/>
      <w:contextualSpacing/>
      <w:outlineLvl w:val="0"/>
    </w:pPr>
    <w:rPr>
      <w:kern w:val="32"/>
      <w:sz w:val="68"/>
      <w:szCs w:val="52"/>
    </w:rPr>
  </w:style>
  <w:style w:type="paragraph" w:customStyle="1" w:styleId="CoverTitleSub">
    <w:name w:val="Cover Title Sub"/>
    <w:basedOn w:val="HeadingBase"/>
    <w:rsid w:val="00E85747"/>
    <w:pPr>
      <w:spacing w:after="600"/>
      <w:contextualSpacing/>
    </w:pPr>
    <w:rPr>
      <w:sz w:val="36"/>
      <w:szCs w:val="36"/>
    </w:rPr>
  </w:style>
  <w:style w:type="paragraph" w:customStyle="1" w:styleId="FooterCentered">
    <w:name w:val="Footer Centered"/>
    <w:basedOn w:val="Footer"/>
    <w:semiHidden/>
    <w:rsid w:val="00E85747"/>
  </w:style>
  <w:style w:type="paragraph" w:customStyle="1" w:styleId="FooterEven">
    <w:name w:val="Footer Even"/>
    <w:basedOn w:val="Footer"/>
    <w:rsid w:val="00E85747"/>
  </w:style>
  <w:style w:type="paragraph" w:customStyle="1" w:styleId="FooterOdd">
    <w:name w:val="Footer Odd"/>
    <w:basedOn w:val="Footer"/>
    <w:rsid w:val="00E85747"/>
    <w:pPr>
      <w:jc w:val="right"/>
    </w:pPr>
  </w:style>
  <w:style w:type="character" w:customStyle="1" w:styleId="FramedFooter">
    <w:name w:val="Framed Footer"/>
    <w:semiHidden/>
    <w:rsid w:val="00E85747"/>
    <w:rPr>
      <w:rFonts w:ascii="Arial" w:hAnsi="Arial"/>
      <w:color w:val="000080"/>
      <w:sz w:val="18"/>
      <w:szCs w:val="18"/>
    </w:rPr>
  </w:style>
  <w:style w:type="character" w:customStyle="1" w:styleId="FramedHeader">
    <w:name w:val="Framed Header"/>
    <w:basedOn w:val="DefaultParagraphFont"/>
    <w:semiHidden/>
    <w:rsid w:val="00E85747"/>
    <w:rPr>
      <w:rFonts w:ascii="Arial" w:hAnsi="Arial"/>
      <w:dstrike w:val="0"/>
      <w:color w:val="000080"/>
      <w:sz w:val="18"/>
      <w:szCs w:val="18"/>
      <w:vertAlign w:val="baseline"/>
    </w:rPr>
  </w:style>
  <w:style w:type="paragraph" w:styleId="Header">
    <w:name w:val="header"/>
    <w:basedOn w:val="HeadingBase"/>
    <w:link w:val="HeaderChar"/>
    <w:unhideWhenUsed/>
    <w:rsid w:val="00E85747"/>
    <w:rPr>
      <w:sz w:val="22"/>
    </w:rPr>
  </w:style>
  <w:style w:type="paragraph" w:customStyle="1" w:styleId="HeaderEven">
    <w:name w:val="Header Even"/>
    <w:basedOn w:val="Header"/>
    <w:rsid w:val="00E85747"/>
    <w:pPr>
      <w:jc w:val="right"/>
    </w:pPr>
  </w:style>
  <w:style w:type="paragraph" w:customStyle="1" w:styleId="HeaderOdd">
    <w:name w:val="Header Odd"/>
    <w:basedOn w:val="Header"/>
    <w:rsid w:val="00E85747"/>
  </w:style>
  <w:style w:type="paragraph" w:styleId="NormalIndent">
    <w:name w:val="Normal Indent"/>
    <w:basedOn w:val="Normal"/>
    <w:rsid w:val="00E85747"/>
    <w:pPr>
      <w:ind w:left="567"/>
    </w:pPr>
  </w:style>
  <w:style w:type="paragraph" w:styleId="IntenseQuote">
    <w:name w:val="Intense Quote"/>
    <w:basedOn w:val="Normal"/>
    <w:next w:val="Normal"/>
    <w:link w:val="IntenseQuoteChar"/>
    <w:unhideWhenUsed/>
    <w:qFormat/>
    <w:rsid w:val="00E85747"/>
    <w:pPr>
      <w:pBdr>
        <w:top w:val="single" w:sz="4" w:space="10" w:color="142147" w:themeColor="accent1"/>
        <w:bottom w:val="single" w:sz="4" w:space="10" w:color="142147" w:themeColor="accent1"/>
      </w:pBdr>
      <w:spacing w:before="360" w:after="360"/>
      <w:ind w:left="862" w:right="862"/>
      <w:jc w:val="center"/>
    </w:pPr>
    <w:rPr>
      <w:rFonts w:asciiTheme="majorHAnsi" w:hAnsiTheme="majorHAnsi"/>
      <w:i/>
      <w:iCs/>
      <w:color w:val="142147" w:themeColor="accent1"/>
    </w:rPr>
  </w:style>
  <w:style w:type="character" w:customStyle="1" w:styleId="IntenseQuoteChar">
    <w:name w:val="Intense Quote Char"/>
    <w:basedOn w:val="DefaultParagraphFont"/>
    <w:link w:val="IntenseQuote"/>
    <w:rsid w:val="00E85747"/>
    <w:rPr>
      <w:rFonts w:asciiTheme="majorHAnsi" w:hAnsiTheme="majorHAnsi"/>
      <w:i/>
      <w:iCs/>
      <w:color w:val="142147" w:themeColor="accent1"/>
    </w:rPr>
  </w:style>
  <w:style w:type="table" w:styleId="ListTable4-Accent1">
    <w:name w:val="List Table 4 Accent 1"/>
    <w:basedOn w:val="TableNormal"/>
    <w:uiPriority w:val="49"/>
    <w:rsid w:val="00E85747"/>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tcBorders>
        <w:shd w:val="clear" w:color="auto" w:fill="142147" w:themeFill="accent1"/>
      </w:tcPr>
    </w:tblStylePr>
    <w:tblStylePr w:type="lastRow">
      <w:rPr>
        <w:b w:val="0"/>
        <w:bCs/>
      </w:rPr>
      <w:tblPr/>
      <w:tcPr>
        <w:tcBorders>
          <w:top w:val="double" w:sz="4" w:space="0" w:color="3A5EC7" w:themeColor="accent1" w:themeTint="99"/>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paragraph" w:customStyle="1" w:styleId="TableHeaderCellCentred">
    <w:name w:val="Table Header Cell Centred"/>
    <w:basedOn w:val="TableHeaderCellLeft"/>
    <w:rsid w:val="00E85747"/>
    <w:pPr>
      <w:jc w:val="center"/>
    </w:pPr>
    <w:rPr>
      <w:rFonts w:asciiTheme="minorHAnsi" w:hAnsiTheme="minorHAnsi"/>
    </w:rPr>
  </w:style>
  <w:style w:type="paragraph" w:customStyle="1" w:styleId="TableHeaderCellLeft">
    <w:name w:val="Table Header Cell Left"/>
    <w:basedOn w:val="Normal"/>
    <w:rsid w:val="00E85747"/>
    <w:pPr>
      <w:spacing w:before="60" w:after="60"/>
    </w:pPr>
    <w:rPr>
      <w:rFonts w:asciiTheme="majorHAnsi" w:hAnsiTheme="majorHAnsi"/>
      <w:sz w:val="20"/>
      <w:szCs w:val="18"/>
    </w:rPr>
  </w:style>
  <w:style w:type="paragraph" w:customStyle="1" w:styleId="TableHeaderCellRight">
    <w:name w:val="Table Header Cell Right"/>
    <w:basedOn w:val="TableHeaderCellLeft"/>
    <w:rsid w:val="00E85747"/>
    <w:pPr>
      <w:jc w:val="right"/>
    </w:pPr>
  </w:style>
  <w:style w:type="paragraph" w:customStyle="1" w:styleId="TableGraphic">
    <w:name w:val="Table Graphic"/>
    <w:basedOn w:val="HeadingBase"/>
    <w:next w:val="Normal"/>
    <w:uiPriority w:val="99"/>
    <w:semiHidden/>
    <w:rsid w:val="00E85747"/>
    <w:pPr>
      <w:spacing w:after="40"/>
      <w:ind w:right="-113"/>
    </w:pPr>
  </w:style>
  <w:style w:type="paragraph" w:customStyle="1" w:styleId="TableHeading1">
    <w:name w:val="Table Heading 1"/>
    <w:basedOn w:val="Normal"/>
    <w:next w:val="TableGraphic"/>
    <w:rsid w:val="00926315"/>
    <w:pPr>
      <w:keepNext/>
      <w:spacing w:before="240" w:after="60"/>
    </w:pPr>
    <w:rPr>
      <w:rFonts w:asciiTheme="majorHAnsi" w:hAnsiTheme="majorHAnsi" w:cs="Arial"/>
      <w:color w:val="142147"/>
      <w:kern w:val="32"/>
      <w:sz w:val="26"/>
      <w:szCs w:val="26"/>
      <w14:numForm w14:val="lining"/>
      <w14:numSpacing w14:val="proportional"/>
    </w:rPr>
  </w:style>
  <w:style w:type="paragraph" w:customStyle="1" w:styleId="TableHeading1continued">
    <w:name w:val="Table Heading 1 continued"/>
    <w:basedOn w:val="TableHeading1"/>
    <w:next w:val="TableGraphic"/>
    <w:rsid w:val="00E85747"/>
    <w:pPr>
      <w:spacing w:after="20"/>
    </w:pPr>
  </w:style>
  <w:style w:type="paragraph" w:customStyle="1" w:styleId="TableHeading2">
    <w:name w:val="Table Heading 2"/>
    <w:basedOn w:val="Normal"/>
    <w:next w:val="TableGraphic"/>
    <w:rsid w:val="00E85747"/>
    <w:pPr>
      <w:keepNext/>
      <w:spacing w:before="60"/>
    </w:pPr>
    <w:rPr>
      <w:rFonts w:asciiTheme="minorHAnsi" w:hAnsiTheme="minorHAnsi"/>
      <w:b/>
      <w:color w:val="142147"/>
      <w:szCs w:val="20"/>
    </w:rPr>
  </w:style>
  <w:style w:type="paragraph" w:customStyle="1" w:styleId="TableBodyCellCentered">
    <w:name w:val="Table Body Cell Centered"/>
    <w:basedOn w:val="Normal"/>
    <w:rsid w:val="00E85747"/>
    <w:pPr>
      <w:spacing w:before="20" w:after="20"/>
      <w:jc w:val="center"/>
    </w:pPr>
    <w:rPr>
      <w:rFonts w:asciiTheme="minorHAnsi" w:hAnsiTheme="minorHAnsi"/>
      <w:color w:val="000000"/>
      <w:sz w:val="20"/>
      <w:szCs w:val="18"/>
    </w:rPr>
  </w:style>
  <w:style w:type="paragraph" w:customStyle="1" w:styleId="TableBodyCellLeftIndented">
    <w:name w:val="Table Body Cell Left Indented"/>
    <w:basedOn w:val="Normal"/>
    <w:rsid w:val="00E85747"/>
    <w:pPr>
      <w:spacing w:before="20" w:after="20"/>
      <w:ind w:left="284"/>
    </w:pPr>
    <w:rPr>
      <w:rFonts w:asciiTheme="minorHAnsi" w:hAnsiTheme="minorHAnsi"/>
      <w:color w:val="000000"/>
      <w:sz w:val="20"/>
      <w:szCs w:val="18"/>
    </w:rPr>
  </w:style>
  <w:style w:type="paragraph" w:customStyle="1" w:styleId="TableBodyCellLeft">
    <w:name w:val="Table Body Cell Left"/>
    <w:basedOn w:val="Normal"/>
    <w:rsid w:val="00E85747"/>
    <w:pPr>
      <w:spacing w:before="20" w:after="20"/>
    </w:pPr>
    <w:rPr>
      <w:rFonts w:asciiTheme="minorHAnsi" w:hAnsiTheme="minorHAnsi"/>
      <w:sz w:val="20"/>
      <w:szCs w:val="18"/>
    </w:rPr>
  </w:style>
  <w:style w:type="paragraph" w:customStyle="1" w:styleId="TableBodyCellRight">
    <w:name w:val="Table Body Cell Right"/>
    <w:basedOn w:val="Normal"/>
    <w:rsid w:val="00E85747"/>
    <w:pPr>
      <w:spacing w:before="20" w:after="20"/>
      <w:jc w:val="right"/>
    </w:pPr>
    <w:rPr>
      <w:rFonts w:asciiTheme="minorHAnsi" w:hAnsiTheme="minorHAnsi"/>
      <w:color w:val="000000"/>
      <w:sz w:val="20"/>
      <w:szCs w:val="18"/>
    </w:rPr>
  </w:style>
  <w:style w:type="paragraph" w:styleId="TOC1">
    <w:name w:val="toc 1"/>
    <w:basedOn w:val="HeadingBase"/>
    <w:next w:val="Normal"/>
    <w:uiPriority w:val="39"/>
    <w:rsid w:val="00E85747"/>
    <w:pPr>
      <w:tabs>
        <w:tab w:val="right" w:leader="dot" w:pos="9639"/>
      </w:tabs>
      <w:ind w:right="1134"/>
    </w:pPr>
    <w:rPr>
      <w:sz w:val="24"/>
    </w:rPr>
  </w:style>
  <w:style w:type="paragraph" w:styleId="TOC2">
    <w:name w:val="toc 2"/>
    <w:basedOn w:val="Normal"/>
    <w:next w:val="Normal"/>
    <w:rsid w:val="00E85747"/>
    <w:pPr>
      <w:tabs>
        <w:tab w:val="right" w:leader="dot" w:pos="9639"/>
      </w:tabs>
      <w:spacing w:before="60" w:after="60"/>
      <w:ind w:right="1134"/>
    </w:pPr>
    <w:rPr>
      <w:rFonts w:ascii="Arial" w:hAnsi="Arial"/>
      <w:color w:val="701F4D" w:themeColor="accent2"/>
      <w:sz w:val="20"/>
      <w:szCs w:val="20"/>
    </w:rPr>
  </w:style>
  <w:style w:type="paragraph" w:styleId="TOC3">
    <w:name w:val="toc 3"/>
    <w:basedOn w:val="Normal"/>
    <w:next w:val="Normal"/>
    <w:rsid w:val="00E85747"/>
    <w:pPr>
      <w:tabs>
        <w:tab w:val="right" w:pos="7700"/>
      </w:tabs>
      <w:spacing w:before="20" w:after="0"/>
      <w:ind w:left="284" w:right="851"/>
    </w:pPr>
  </w:style>
  <w:style w:type="paragraph" w:styleId="TOC4">
    <w:name w:val="toc 4"/>
    <w:basedOn w:val="Normal"/>
    <w:next w:val="Normal"/>
    <w:unhideWhenUsed/>
    <w:rsid w:val="00E85747"/>
    <w:pPr>
      <w:tabs>
        <w:tab w:val="right" w:pos="7700"/>
      </w:tabs>
      <w:spacing w:after="0"/>
      <w:ind w:left="284" w:right="851"/>
    </w:pPr>
  </w:style>
  <w:style w:type="table" w:styleId="GridTable1Light-Accent2">
    <w:name w:val="Grid Table 1 Light Accent 2"/>
    <w:basedOn w:val="TableNormal"/>
    <w:uiPriority w:val="46"/>
    <w:rsid w:val="00E8574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2" w:space="0" w:color="701F4D" w:themeColor="accent2"/>
        </w:tcBorders>
      </w:tcPr>
    </w:tblStylePr>
    <w:tblStylePr w:type="firstCol">
      <w:rPr>
        <w:b w:val="0"/>
        <w:bCs/>
      </w:rPr>
    </w:tblStylePr>
    <w:tblStylePr w:type="lastCol">
      <w:rPr>
        <w:b w:val="0"/>
        <w:bCs/>
      </w:rPr>
    </w:tblStylePr>
  </w:style>
  <w:style w:type="paragraph" w:customStyle="1" w:styleId="NumberedParagraph1">
    <w:name w:val="Numbered Paragraph 1"/>
    <w:basedOn w:val="Normal"/>
    <w:rsid w:val="00E85747"/>
    <w:pPr>
      <w:numPr>
        <w:numId w:val="6"/>
      </w:numPr>
    </w:pPr>
  </w:style>
  <w:style w:type="paragraph" w:customStyle="1" w:styleId="BoxBullet">
    <w:name w:val="Box Bullet"/>
    <w:basedOn w:val="Bullet"/>
    <w:rsid w:val="00E85747"/>
    <w:pPr>
      <w:numPr>
        <w:numId w:val="4"/>
      </w:numPr>
      <w:spacing w:before="60" w:after="60"/>
    </w:pPr>
  </w:style>
  <w:style w:type="paragraph" w:customStyle="1" w:styleId="BoxDash">
    <w:name w:val="Box Dash"/>
    <w:basedOn w:val="BoxBullet"/>
    <w:rsid w:val="00E85747"/>
    <w:pPr>
      <w:numPr>
        <w:ilvl w:val="1"/>
      </w:numPr>
      <w:tabs>
        <w:tab w:val="left" w:pos="1134"/>
      </w:tabs>
    </w:pPr>
  </w:style>
  <w:style w:type="paragraph" w:customStyle="1" w:styleId="BoxDoubleDot">
    <w:name w:val="Box Double Dot"/>
    <w:basedOn w:val="BoxDash"/>
    <w:rsid w:val="00E85747"/>
    <w:pPr>
      <w:numPr>
        <w:ilvl w:val="2"/>
      </w:numPr>
    </w:pPr>
  </w:style>
  <w:style w:type="character" w:customStyle="1" w:styleId="EndnoteTextChar">
    <w:name w:val="Endnote Text Char"/>
    <w:basedOn w:val="DefaultParagraphFont"/>
    <w:link w:val="EndnoteText"/>
    <w:rsid w:val="00E85747"/>
    <w:rPr>
      <w:sz w:val="20"/>
      <w:szCs w:val="20"/>
    </w:rPr>
  </w:style>
  <w:style w:type="paragraph" w:styleId="List2">
    <w:name w:val="List 2"/>
    <w:basedOn w:val="Normal"/>
    <w:semiHidden/>
    <w:rsid w:val="00E85747"/>
    <w:pPr>
      <w:ind w:left="566" w:hanging="283"/>
      <w:contextualSpacing/>
    </w:pPr>
  </w:style>
  <w:style w:type="paragraph" w:customStyle="1" w:styleId="CoverDate">
    <w:name w:val="Cover Date"/>
    <w:basedOn w:val="CoverTitleSub"/>
    <w:rsid w:val="00E85747"/>
  </w:style>
  <w:style w:type="character" w:styleId="FootnoteReference">
    <w:name w:val="footnote reference"/>
    <w:basedOn w:val="DefaultParagraphFont"/>
    <w:unhideWhenUsed/>
    <w:rsid w:val="00E85747"/>
    <w:rPr>
      <w:sz w:val="20"/>
      <w:szCs w:val="20"/>
      <w:vertAlign w:val="superscript"/>
    </w:rPr>
  </w:style>
  <w:style w:type="paragraph" w:styleId="FootnoteText">
    <w:name w:val="footnote text"/>
    <w:basedOn w:val="Normal"/>
    <w:link w:val="FootnoteTextChar"/>
    <w:unhideWhenUsed/>
    <w:rsid w:val="00E85747"/>
    <w:pPr>
      <w:tabs>
        <w:tab w:val="left" w:pos="567"/>
      </w:tabs>
      <w:spacing w:after="0"/>
      <w:ind w:left="567" w:hanging="567"/>
    </w:pPr>
    <w:rPr>
      <w:sz w:val="18"/>
      <w:szCs w:val="18"/>
    </w:rPr>
  </w:style>
  <w:style w:type="table" w:styleId="TableContemporary">
    <w:name w:val="Table Contemporary"/>
    <w:basedOn w:val="TableNormal"/>
    <w:rsid w:val="00E85747"/>
    <w:pPr>
      <w:spacing w:after="240" w:line="300" w:lineRule="exact"/>
      <w:jc w:val="both"/>
    </w:pPr>
    <w:tblPr>
      <w:tblStyleRowBandSize w:val="1"/>
      <w:tblBorders>
        <w:insideH w:val="single" w:sz="18" w:space="0" w:color="FFFFFF"/>
        <w:insideV w:val="single" w:sz="18" w:space="0" w:color="FFFFFF"/>
      </w:tblBorders>
    </w:tblPr>
    <w:tblStylePr w:type="firstRow">
      <w:rPr>
        <w:b w:val="0"/>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mphasis">
    <w:name w:val="Emphasis"/>
    <w:basedOn w:val="DefaultParagraphFont"/>
    <w:uiPriority w:val="20"/>
    <w:rsid w:val="00E85747"/>
    <w:rPr>
      <w:i/>
      <w:iCs/>
    </w:rPr>
  </w:style>
  <w:style w:type="paragraph" w:customStyle="1" w:styleId="Graphic">
    <w:name w:val="Graphic"/>
    <w:basedOn w:val="Normal"/>
    <w:semiHidden/>
    <w:rsid w:val="00E85747"/>
    <w:pPr>
      <w:spacing w:after="0"/>
      <w:jc w:val="center"/>
    </w:pPr>
  </w:style>
  <w:style w:type="character" w:styleId="EndnoteReference">
    <w:name w:val="endnote reference"/>
    <w:basedOn w:val="DefaultParagraphFont"/>
    <w:unhideWhenUsed/>
    <w:rsid w:val="00E85747"/>
    <w:rPr>
      <w:vertAlign w:val="superscript"/>
    </w:rPr>
  </w:style>
  <w:style w:type="table" w:styleId="PlainTable5">
    <w:name w:val="Plain Table 5"/>
    <w:basedOn w:val="TableNormal"/>
    <w:uiPriority w:val="45"/>
    <w:rsid w:val="00E8574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85747"/>
    <w:tblPr>
      <w:tblStyleRowBandSize w:val="1"/>
      <w:tblStyleColBandSize w:val="1"/>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qFormat/>
    <w:rsid w:val="00E85747"/>
    <w:rPr>
      <w:b/>
      <w:bCs/>
    </w:rPr>
  </w:style>
  <w:style w:type="paragraph" w:customStyle="1" w:styleId="Romannumeral">
    <w:name w:val="Roman numeral"/>
    <w:basedOn w:val="Normal"/>
    <w:uiPriority w:val="1"/>
    <w:unhideWhenUsed/>
    <w:rsid w:val="00E85747"/>
    <w:pPr>
      <w:numPr>
        <w:numId w:val="5"/>
      </w:numPr>
    </w:pPr>
  </w:style>
  <w:style w:type="paragraph" w:styleId="BalloonText">
    <w:name w:val="Balloon Text"/>
    <w:basedOn w:val="Normal"/>
    <w:link w:val="BalloonTextChar"/>
    <w:semiHidden/>
    <w:rsid w:val="00E8574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85747"/>
    <w:rPr>
      <w:rFonts w:ascii="Tahoma" w:hAnsi="Tahoma" w:cs="Tahoma"/>
      <w:sz w:val="16"/>
      <w:szCs w:val="16"/>
    </w:rPr>
  </w:style>
  <w:style w:type="table" w:styleId="TableGrid">
    <w:name w:val="Table Grid"/>
    <w:basedOn w:val="TableNormal"/>
    <w:rsid w:val="00E8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85747"/>
    <w:tblPr>
      <w:tblStyleRowBandSize w:val="1"/>
      <w:tblStyleColBandSize w:val="1"/>
    </w:tblPr>
    <w:tblStylePr w:type="firstRow">
      <w:rPr>
        <w:b w:val="0"/>
        <w:bCs/>
        <w:caps/>
      </w:rPr>
      <w:tblPr/>
      <w:tcPr>
        <w:tcBorders>
          <w:bottom w:val="single" w:sz="4" w:space="0" w:color="7F7F7F" w:themeColor="text1" w:themeTint="80"/>
        </w:tcBorders>
      </w:tcPr>
    </w:tblStylePr>
    <w:tblStylePr w:type="lastRow">
      <w:rPr>
        <w:b w:val="0"/>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val="0"/>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umberedParagraph11">
    <w:name w:val="Numbered Paragraph 1.1"/>
    <w:basedOn w:val="Bullet"/>
    <w:qFormat/>
    <w:rsid w:val="00E85747"/>
    <w:pPr>
      <w:numPr>
        <w:ilvl w:val="1"/>
        <w:numId w:val="6"/>
      </w:numPr>
    </w:pPr>
  </w:style>
  <w:style w:type="paragraph" w:customStyle="1" w:styleId="NumberedParagraphalpha">
    <w:name w:val="Numbered Paragraph alpha"/>
    <w:basedOn w:val="Dash"/>
    <w:qFormat/>
    <w:rsid w:val="00E85747"/>
    <w:pPr>
      <w:numPr>
        <w:ilvl w:val="3"/>
        <w:numId w:val="6"/>
      </w:numPr>
    </w:pPr>
  </w:style>
  <w:style w:type="paragraph" w:customStyle="1" w:styleId="NumberedParagraphnumbers">
    <w:name w:val="Numbered Paragraph numbers"/>
    <w:basedOn w:val="DoubleDot"/>
    <w:qFormat/>
    <w:rsid w:val="00E85747"/>
    <w:pPr>
      <w:numPr>
        <w:ilvl w:val="4"/>
        <w:numId w:val="6"/>
      </w:numPr>
    </w:pPr>
  </w:style>
  <w:style w:type="paragraph" w:customStyle="1" w:styleId="NumberedParagraphroman">
    <w:name w:val="Numbered Paragraph roman"/>
    <w:basedOn w:val="Normal"/>
    <w:qFormat/>
    <w:rsid w:val="00E85747"/>
    <w:pPr>
      <w:numPr>
        <w:ilvl w:val="5"/>
        <w:numId w:val="6"/>
      </w:numPr>
      <w:tabs>
        <w:tab w:val="left" w:pos="2268"/>
      </w:tabs>
    </w:pPr>
  </w:style>
  <w:style w:type="table" w:styleId="PlainTable2">
    <w:name w:val="Plain Table 2"/>
    <w:basedOn w:val="TableNormal"/>
    <w:uiPriority w:val="42"/>
    <w:rsid w:val="00E85747"/>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857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E85747"/>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142147" w:themeColor="accent1"/>
        </w:tcBorders>
      </w:tcPr>
    </w:tblStylePr>
    <w:tblStylePr w:type="lastRow">
      <w:rPr>
        <w:b w:val="0"/>
        <w:bCs/>
      </w:rPr>
      <w:tblPr/>
      <w:tcPr>
        <w:tcBorders>
          <w:top w:val="double" w:sz="2" w:space="0" w:color="142147" w:themeColor="accent1"/>
        </w:tcBorders>
      </w:tcPr>
    </w:tblStylePr>
    <w:tblStylePr w:type="firstCol">
      <w:rPr>
        <w:b w:val="0"/>
        <w:bCs/>
      </w:rPr>
    </w:tblStylePr>
    <w:tblStylePr w:type="lastCol">
      <w:rPr>
        <w:b w:val="0"/>
        <w:bCs/>
      </w:rPr>
    </w:tblStylePr>
  </w:style>
  <w:style w:type="paragraph" w:styleId="Quote">
    <w:name w:val="Quote"/>
    <w:basedOn w:val="Normal"/>
    <w:next w:val="Normal"/>
    <w:link w:val="QuoteChar"/>
    <w:qFormat/>
    <w:rsid w:val="00E85747"/>
    <w:rPr>
      <w:i/>
      <w:iCs/>
      <w:color w:val="000000" w:themeColor="text1"/>
    </w:rPr>
  </w:style>
  <w:style w:type="character" w:customStyle="1" w:styleId="QuoteChar">
    <w:name w:val="Quote Char"/>
    <w:basedOn w:val="DefaultParagraphFont"/>
    <w:link w:val="Quote"/>
    <w:rsid w:val="00E85747"/>
    <w:rPr>
      <w:i/>
      <w:iCs/>
      <w:color w:val="000000" w:themeColor="text1"/>
    </w:rPr>
  </w:style>
  <w:style w:type="character" w:styleId="FollowedHyperlink">
    <w:name w:val="FollowedHyperlink"/>
    <w:basedOn w:val="DefaultParagraphFont"/>
    <w:semiHidden/>
    <w:rsid w:val="00E85747"/>
    <w:rPr>
      <w:color w:val="844D9E" w:themeColor="followedHyperlink"/>
      <w:u w:val="single"/>
    </w:rPr>
  </w:style>
  <w:style w:type="numbering" w:customStyle="1" w:styleId="ChartandTableFootnoteAlphaList">
    <w:name w:val="ChartandTableFootnoteAlphaList"/>
    <w:uiPriority w:val="99"/>
    <w:rsid w:val="00E85747"/>
    <w:pPr>
      <w:numPr>
        <w:numId w:val="7"/>
      </w:numPr>
    </w:pPr>
  </w:style>
  <w:style w:type="table" w:styleId="PlainTable1">
    <w:name w:val="Plain Table 1"/>
    <w:basedOn w:val="TableNormal"/>
    <w:uiPriority w:val="41"/>
    <w:rsid w:val="00E857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8574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E85747"/>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bCs/>
      </w:rPr>
      <w:tblPr/>
      <w:tcPr>
        <w:tcBorders>
          <w:bottom w:val="single" w:sz="12" w:space="0" w:color="D4C2A8" w:themeColor="accent3"/>
        </w:tcBorders>
      </w:tcPr>
    </w:tblStylePr>
    <w:tblStylePr w:type="lastRow">
      <w:rPr>
        <w:b/>
        <w:bCs/>
      </w:rPr>
      <w:tblPr/>
      <w:tcPr>
        <w:tcBorders>
          <w:top w:val="double" w:sz="2" w:space="0" w:color="D4C2A8" w:themeColor="accent3"/>
        </w:tcBorders>
      </w:tcPr>
    </w:tblStylePr>
    <w:tblStylePr w:type="firstCol">
      <w:rPr>
        <w:b/>
        <w:bCs/>
      </w:rPr>
    </w:tblStylePr>
    <w:tblStylePr w:type="lastCol">
      <w:rPr>
        <w:b/>
        <w:bCs/>
      </w:rPr>
    </w:tblStylePr>
  </w:style>
  <w:style w:type="table" w:styleId="GridTable2">
    <w:name w:val="Grid Table 2"/>
    <w:basedOn w:val="TableNormal"/>
    <w:uiPriority w:val="47"/>
    <w:rsid w:val="00E857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8574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85747"/>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insideV w:val="nil"/>
        </w:tcBorders>
        <w:shd w:val="clear" w:color="auto" w:fill="142147" w:themeFill="accent1"/>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4-Accent2">
    <w:name w:val="Grid Table 4 Accent 2"/>
    <w:basedOn w:val="TableNormal"/>
    <w:uiPriority w:val="49"/>
    <w:rsid w:val="00E8574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insideV w:val="nil"/>
        </w:tcBorders>
        <w:shd w:val="clear" w:color="auto" w:fill="701F4D" w:themeFill="accent2"/>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4-Accent3">
    <w:name w:val="Grid Table 4 Accent 3"/>
    <w:basedOn w:val="TableNormal"/>
    <w:uiPriority w:val="49"/>
    <w:rsid w:val="00E85747"/>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insideV w:val="nil"/>
        </w:tcBorders>
        <w:shd w:val="clear" w:color="auto" w:fill="D4C2A8" w:themeFill="accent3"/>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4-Accent4">
    <w:name w:val="Grid Table 4 Accent 4"/>
    <w:basedOn w:val="TableNormal"/>
    <w:uiPriority w:val="49"/>
    <w:rsid w:val="00E85747"/>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color w:val="000000" w:themeColor="text1"/>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insideV w:val="nil"/>
        </w:tcBorders>
        <w:shd w:val="clear" w:color="auto" w:fill="432B73" w:themeFill="accent4"/>
      </w:tcPr>
    </w:tblStylePr>
    <w:tblStylePr w:type="lastRow">
      <w:rPr>
        <w:b w:val="0"/>
        <w:bCs/>
      </w:rPr>
      <w:tblPr/>
      <w:tcPr>
        <w:tcBorders>
          <w:top w:val="double" w:sz="4" w:space="0" w:color="432B73" w:themeColor="accent4"/>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4-Accent5">
    <w:name w:val="Grid Table 4 Accent 5"/>
    <w:basedOn w:val="TableNormal"/>
    <w:uiPriority w:val="49"/>
    <w:rsid w:val="00E85747"/>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color w:val="000000" w:themeColor="text1"/>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insideV w:val="nil"/>
        </w:tcBorders>
        <w:shd w:val="clear" w:color="auto" w:fill="65ACDC" w:themeFill="accent5"/>
      </w:tcPr>
    </w:tblStylePr>
    <w:tblStylePr w:type="lastRow">
      <w:rPr>
        <w:b w:val="0"/>
        <w:bCs/>
      </w:rPr>
      <w:tblPr/>
      <w:tcPr>
        <w:tcBorders>
          <w:top w:val="double" w:sz="4" w:space="0" w:color="65ACDC" w:themeColor="accent5"/>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4-Accent6">
    <w:name w:val="Grid Table 4 Accent 6"/>
    <w:basedOn w:val="TableNormal"/>
    <w:uiPriority w:val="49"/>
    <w:rsid w:val="00E85747"/>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insideV w:val="nil"/>
        </w:tcBorders>
        <w:shd w:val="clear" w:color="auto" w:fill="A2A0D5" w:themeFill="accent6"/>
      </w:tcPr>
    </w:tblStylePr>
    <w:tblStylePr w:type="lastRow">
      <w:rPr>
        <w:b w:val="0"/>
        <w:bCs/>
      </w:rPr>
      <w:tblPr/>
      <w:tcPr>
        <w:tcBorders>
          <w:top w:val="double" w:sz="4" w:space="0" w:color="A2A0D5" w:themeColor="accent6"/>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GridTable5Dark">
    <w:name w:val="Grid Table 5 Dark"/>
    <w:basedOn w:val="TableNormal"/>
    <w:uiPriority w:val="50"/>
    <w:rsid w:val="00E85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85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9EC"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2147" w:themeFill="accen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2147"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2147" w:themeFill="accen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2147" w:themeFill="accent1"/>
      </w:tcPr>
    </w:tblStylePr>
    <w:tblStylePr w:type="band1Vert">
      <w:tblPr/>
      <w:tcPr>
        <w:shd w:val="clear" w:color="auto" w:fill="7C94DA" w:themeFill="accent1" w:themeFillTint="66"/>
      </w:tcPr>
    </w:tblStylePr>
    <w:tblStylePr w:type="band1Horz">
      <w:tblPr/>
      <w:tcPr>
        <w:shd w:val="clear" w:color="auto" w:fill="7C94DA" w:themeFill="accent1" w:themeFillTint="66"/>
      </w:tcPr>
    </w:tblStylePr>
  </w:style>
  <w:style w:type="table" w:styleId="GridTable5Dark-Accent2">
    <w:name w:val="Grid Table 5 Dark Accent 2"/>
    <w:basedOn w:val="TableNormal"/>
    <w:uiPriority w:val="50"/>
    <w:rsid w:val="00E85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5DC" w:themeFill="accent2"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1F4D" w:themeFill="accent2"/>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1F4D" w:themeFill="accent2"/>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1F4D" w:themeFill="accent2"/>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1F4D" w:themeFill="accent2"/>
      </w:tcPr>
    </w:tblStylePr>
    <w:tblStylePr w:type="band1Vert">
      <w:tblPr/>
      <w:tcPr>
        <w:shd w:val="clear" w:color="auto" w:fill="DF8BBA" w:themeFill="accent2" w:themeFillTint="66"/>
      </w:tcPr>
    </w:tblStylePr>
    <w:tblStylePr w:type="band1Horz">
      <w:tblPr/>
      <w:tcPr>
        <w:shd w:val="clear" w:color="auto" w:fill="DF8BBA" w:themeFill="accent2" w:themeFillTint="66"/>
      </w:tcPr>
    </w:tblStylePr>
  </w:style>
  <w:style w:type="table" w:styleId="GridTable5Dark-Accent3">
    <w:name w:val="Grid Table 5 Dark Accent 3"/>
    <w:basedOn w:val="TableNormal"/>
    <w:uiPriority w:val="50"/>
    <w:rsid w:val="00E85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2ED" w:themeFill="accent3"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2A8" w:themeFill="accent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styleId="GridTable5Dark-Accent4">
    <w:name w:val="Grid Table 5 Dark Accent 4"/>
    <w:basedOn w:val="TableNormal"/>
    <w:uiPriority w:val="50"/>
    <w:rsid w:val="00E85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CBEB" w:themeFill="accent4"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2B73" w:themeFill="accent4"/>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2B73" w:themeFill="accent4"/>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2B73" w:themeFill="accent4"/>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2B73" w:themeFill="accent4"/>
      </w:tcPr>
    </w:tblStylePr>
    <w:tblStylePr w:type="band1Vert">
      <w:tblPr/>
      <w:tcPr>
        <w:shd w:val="clear" w:color="auto" w:fill="AD98D8" w:themeFill="accent4" w:themeFillTint="66"/>
      </w:tcPr>
    </w:tblStylePr>
    <w:tblStylePr w:type="band1Horz">
      <w:tblPr/>
      <w:tcPr>
        <w:shd w:val="clear" w:color="auto" w:fill="AD98D8" w:themeFill="accent4" w:themeFillTint="66"/>
      </w:tcPr>
    </w:tblStylePr>
  </w:style>
  <w:style w:type="table" w:styleId="GridTable5Dark-Accent5">
    <w:name w:val="Grid Table 5 Dark Accent 5"/>
    <w:basedOn w:val="TableNormal"/>
    <w:uiPriority w:val="50"/>
    <w:rsid w:val="00E85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EF8" w:themeFill="accent5"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ACDC" w:themeFill="accent5"/>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ACDC" w:themeFill="accent5"/>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ACDC" w:themeFill="accent5"/>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ACDC" w:themeFill="accent5"/>
      </w:tcPr>
    </w:tblStylePr>
    <w:tblStylePr w:type="band1Vert">
      <w:tblPr/>
      <w:tcPr>
        <w:shd w:val="clear" w:color="auto" w:fill="C1DDF1" w:themeFill="accent5" w:themeFillTint="66"/>
      </w:tcPr>
    </w:tblStylePr>
    <w:tblStylePr w:type="band1Horz">
      <w:tblPr/>
      <w:tcPr>
        <w:shd w:val="clear" w:color="auto" w:fill="C1DDF1" w:themeFill="accent5" w:themeFillTint="66"/>
      </w:tcPr>
    </w:tblStylePr>
  </w:style>
  <w:style w:type="table" w:styleId="GridTable5Dark-Accent6">
    <w:name w:val="Grid Table 5 Dark Accent 6"/>
    <w:basedOn w:val="TableNormal"/>
    <w:uiPriority w:val="50"/>
    <w:rsid w:val="00E85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F6" w:themeFill="accent6"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0D5" w:themeFill="accent6"/>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0D5" w:themeFill="accent6"/>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0D5" w:themeFill="accent6"/>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0D5" w:themeFill="accent6"/>
      </w:tcPr>
    </w:tblStylePr>
    <w:tblStylePr w:type="band1Vert">
      <w:tblPr/>
      <w:tcPr>
        <w:shd w:val="clear" w:color="auto" w:fill="D9D8EE" w:themeFill="accent6" w:themeFillTint="66"/>
      </w:tcPr>
    </w:tblStylePr>
    <w:tblStylePr w:type="band1Horz">
      <w:tblPr/>
      <w:tcPr>
        <w:shd w:val="clear" w:color="auto" w:fill="D9D8EE" w:themeFill="accent6" w:themeFillTint="66"/>
      </w:tcPr>
    </w:tblStylePr>
  </w:style>
  <w:style w:type="table" w:styleId="GridTable6Colorful">
    <w:name w:val="Grid Table 6 Colorful"/>
    <w:basedOn w:val="TableNormal"/>
    <w:uiPriority w:val="51"/>
    <w:rsid w:val="00E85747"/>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85747"/>
    <w:rPr>
      <w:color w:val="0F1835" w:themeColor="accent1" w:themeShade="BF"/>
    </w:rPr>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auto"/>
        </w:tcBorders>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6Colorful-Accent2">
    <w:name w:val="Grid Table 6 Colorful Accent 2"/>
    <w:basedOn w:val="TableNormal"/>
    <w:uiPriority w:val="51"/>
    <w:rsid w:val="00E8574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6Colorful-Accent3">
    <w:name w:val="Grid Table 6 Colorful Accent 3"/>
    <w:basedOn w:val="TableNormal"/>
    <w:uiPriority w:val="51"/>
    <w:rsid w:val="00E85747"/>
    <w:rPr>
      <w:color w:val="B49468" w:themeColor="accent3" w:themeShade="BF"/>
    </w:rPr>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rPr>
      <w:tblPr/>
      <w:tcPr>
        <w:tcBorders>
          <w:bottom w:val="single" w:sz="12" w:space="0" w:color="D4C2A8" w:themeColor="accent3"/>
        </w:tcBorders>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6Colorful-Accent4">
    <w:name w:val="Grid Table 6 Colorful Accent 4"/>
    <w:basedOn w:val="TableNormal"/>
    <w:uiPriority w:val="51"/>
    <w:rsid w:val="00E85747"/>
    <w:rPr>
      <w:color w:val="D4C2A8" w:themeColor="accent3"/>
    </w:rPr>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rPr>
      <w:tblPr/>
      <w:tcPr>
        <w:tcBorders>
          <w:bottom w:val="single" w:sz="12" w:space="0" w:color="8565C5" w:themeColor="accent4" w:themeTint="99"/>
        </w:tcBorders>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color w:val="D4C2A8" w:themeColor="accent3"/>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6Colorful-Accent5">
    <w:name w:val="Grid Table 6 Colorful Accent 5"/>
    <w:basedOn w:val="TableNormal"/>
    <w:uiPriority w:val="51"/>
    <w:rsid w:val="00E85747"/>
    <w:rPr>
      <w:color w:val="142147" w:themeColor="accent1"/>
    </w:rPr>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rPr>
      <w:tblPr/>
      <w:tcPr>
        <w:tcBorders>
          <w:bottom w:val="single" w:sz="12" w:space="0" w:color="A2CDEA" w:themeColor="accent5" w:themeTint="99"/>
        </w:tcBorders>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6Colorful-Accent6">
    <w:name w:val="Grid Table 6 Colorful Accent 6"/>
    <w:basedOn w:val="TableNormal"/>
    <w:uiPriority w:val="51"/>
    <w:rsid w:val="00E85747"/>
    <w:rPr>
      <w:color w:val="701F4D" w:themeColor="accent2"/>
    </w:rPr>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rPr>
      <w:tblPr/>
      <w:tcPr>
        <w:tcBorders>
          <w:bottom w:val="single" w:sz="12" w:space="0" w:color="C6C5E5" w:themeColor="accent6" w:themeTint="99"/>
        </w:tcBorders>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4">
    <w:name w:val="List Table 4"/>
    <w:basedOn w:val="TableNormal"/>
    <w:uiPriority w:val="49"/>
    <w:rsid w:val="00E8574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E8574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tcBorders>
        <w:shd w:val="clear" w:color="auto" w:fill="701F4D" w:themeFill="accent2"/>
      </w:tcPr>
    </w:tblStylePr>
    <w:tblStylePr w:type="lastRow">
      <w:rPr>
        <w:b w:val="0"/>
        <w:bCs/>
      </w:rPr>
      <w:tblPr/>
      <w:tcPr>
        <w:tcBorders>
          <w:top w:val="double" w:sz="4" w:space="0" w:color="CF5298" w:themeColor="accent2" w:themeTint="99"/>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ListTable4-Accent3">
    <w:name w:val="List Table 4 Accent 3"/>
    <w:basedOn w:val="TableNormal"/>
    <w:uiPriority w:val="49"/>
    <w:rsid w:val="00E85747"/>
    <w:tblPr>
      <w:tblStyleRowBandSize w:val="1"/>
      <w:tblStyleColBandSize w:val="1"/>
      <w:tblBorders>
        <w:top w:val="single" w:sz="4" w:space="0" w:color="E5DACA" w:themeColor="accent3" w:themeTint="99"/>
        <w:left w:val="single" w:sz="4" w:space="0" w:color="E5DACA" w:themeColor="accent3" w:themeTint="99"/>
        <w:bottom w:val="single" w:sz="4" w:space="0" w:color="E5DACA" w:themeColor="accent3" w:themeTint="99"/>
        <w:right w:val="single" w:sz="4" w:space="0" w:color="E5DACA" w:themeColor="accent3" w:themeTint="99"/>
        <w:insideH w:val="single" w:sz="4" w:space="0" w:color="E5DACA" w:themeColor="accent3" w:themeTint="99"/>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tcBorders>
        <w:shd w:val="clear" w:color="auto" w:fill="D4C2A8" w:themeFill="accent3"/>
      </w:tcPr>
    </w:tblStylePr>
    <w:tblStylePr w:type="lastRow">
      <w:rPr>
        <w:b w:val="0"/>
        <w:bCs/>
      </w:rPr>
      <w:tblPr/>
      <w:tcPr>
        <w:tcBorders>
          <w:top w:val="double" w:sz="4" w:space="0" w:color="E5DACA" w:themeColor="accent3" w:themeTint="99"/>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ListTable4-Accent4">
    <w:name w:val="List Table 4 Accent 4"/>
    <w:basedOn w:val="TableNormal"/>
    <w:uiPriority w:val="49"/>
    <w:rsid w:val="00E85747"/>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tblBorders>
    </w:tblPr>
    <w:tblStylePr w:type="firstRow">
      <w:rPr>
        <w:b w:val="0"/>
        <w:bCs/>
        <w:color w:val="auto"/>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tcBorders>
        <w:shd w:val="clear" w:color="auto" w:fill="432B73" w:themeFill="accent4"/>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ListTable4-Accent5">
    <w:name w:val="List Table 4 Accent 5"/>
    <w:basedOn w:val="TableNormal"/>
    <w:uiPriority w:val="49"/>
    <w:rsid w:val="00E85747"/>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tblBorders>
    </w:tblPr>
    <w:tblStylePr w:type="firstRow">
      <w:rPr>
        <w:b w:val="0"/>
        <w:bCs/>
        <w:color w:val="auto"/>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tcBorders>
        <w:shd w:val="clear" w:color="auto" w:fill="65ACDC" w:themeFill="accent5"/>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ListTable4-Accent6">
    <w:name w:val="List Table 4 Accent 6"/>
    <w:basedOn w:val="TableNormal"/>
    <w:uiPriority w:val="49"/>
    <w:rsid w:val="00E85747"/>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tcBorders>
        <w:shd w:val="clear" w:color="auto" w:fill="A2A0D5" w:themeFill="accent6"/>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3-Accent6">
    <w:name w:val="List Table 3 Accent 6"/>
    <w:basedOn w:val="TableNormal"/>
    <w:uiPriority w:val="48"/>
    <w:rsid w:val="00E85747"/>
    <w:tblPr>
      <w:tblStyleRowBandSize w:val="1"/>
      <w:tblStyleColBandSize w:val="1"/>
      <w:tblBorders>
        <w:top w:val="single" w:sz="4" w:space="0" w:color="A2A0D5" w:themeColor="accent6"/>
        <w:left w:val="single" w:sz="4" w:space="0" w:color="A2A0D5" w:themeColor="accent6"/>
        <w:bottom w:val="single" w:sz="4" w:space="0" w:color="A2A0D5" w:themeColor="accent6"/>
        <w:right w:val="single" w:sz="4" w:space="0" w:color="A2A0D5" w:themeColor="accent6"/>
      </w:tblBorders>
    </w:tblPr>
    <w:tblStylePr w:type="firstRow">
      <w:rPr>
        <w:b w:val="0"/>
        <w:bCs/>
        <w:color w:val="auto"/>
      </w:rPr>
      <w:tblPr/>
      <w:tcPr>
        <w:shd w:val="clear" w:color="auto" w:fill="A2A0D5" w:themeFill="accent6"/>
      </w:tcPr>
    </w:tblStylePr>
    <w:tblStylePr w:type="lastRow">
      <w:rPr>
        <w:b/>
        <w:bCs/>
      </w:rPr>
      <w:tblPr/>
      <w:tcPr>
        <w:tcBorders>
          <w:top w:val="double" w:sz="4" w:space="0" w:color="A2A0D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0D5" w:themeColor="accent6"/>
          <w:right w:val="single" w:sz="4" w:space="0" w:color="A2A0D5" w:themeColor="accent6"/>
        </w:tcBorders>
      </w:tcPr>
    </w:tblStylePr>
    <w:tblStylePr w:type="band1Horz">
      <w:tblPr/>
      <w:tcPr>
        <w:tcBorders>
          <w:top w:val="single" w:sz="4" w:space="0" w:color="A2A0D5" w:themeColor="accent6"/>
          <w:bottom w:val="single" w:sz="4" w:space="0" w:color="A2A0D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0D5" w:themeColor="accent6"/>
          <w:left w:val="nil"/>
        </w:tcBorders>
      </w:tcPr>
    </w:tblStylePr>
    <w:tblStylePr w:type="swCell">
      <w:tblPr/>
      <w:tcPr>
        <w:tcBorders>
          <w:top w:val="double" w:sz="4" w:space="0" w:color="A2A0D5" w:themeColor="accent6"/>
          <w:right w:val="nil"/>
        </w:tcBorders>
      </w:tcPr>
    </w:tblStylePr>
  </w:style>
  <w:style w:type="table" w:styleId="ListTable3-Accent5">
    <w:name w:val="List Table 3 Accent 5"/>
    <w:basedOn w:val="TableNormal"/>
    <w:uiPriority w:val="48"/>
    <w:rsid w:val="00E85747"/>
    <w:tblPr>
      <w:tblStyleRowBandSize w:val="1"/>
      <w:tblStyleColBandSize w:val="1"/>
      <w:tblBorders>
        <w:top w:val="single" w:sz="4" w:space="0" w:color="65ACDC" w:themeColor="accent5"/>
        <w:left w:val="single" w:sz="4" w:space="0" w:color="65ACDC" w:themeColor="accent5"/>
        <w:bottom w:val="single" w:sz="4" w:space="0" w:color="65ACDC" w:themeColor="accent5"/>
        <w:right w:val="single" w:sz="4" w:space="0" w:color="65ACDC" w:themeColor="accent5"/>
      </w:tblBorders>
    </w:tblPr>
    <w:tblStylePr w:type="firstRow">
      <w:rPr>
        <w:b w:val="0"/>
        <w:bCs/>
        <w:color w:val="auto"/>
      </w:rPr>
      <w:tblPr/>
      <w:tcPr>
        <w:shd w:val="clear" w:color="auto" w:fill="65ACDC" w:themeFill="accent5"/>
      </w:tcPr>
    </w:tblStylePr>
    <w:tblStylePr w:type="lastRow">
      <w:rPr>
        <w:b/>
        <w:bCs/>
      </w:rPr>
      <w:tblPr/>
      <w:tcPr>
        <w:tcBorders>
          <w:top w:val="double" w:sz="4" w:space="0" w:color="65ACD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ACDC" w:themeColor="accent5"/>
          <w:right w:val="single" w:sz="4" w:space="0" w:color="65ACDC" w:themeColor="accent5"/>
        </w:tcBorders>
      </w:tcPr>
    </w:tblStylePr>
    <w:tblStylePr w:type="band1Horz">
      <w:tblPr/>
      <w:tcPr>
        <w:tcBorders>
          <w:top w:val="single" w:sz="4" w:space="0" w:color="65ACDC" w:themeColor="accent5"/>
          <w:bottom w:val="single" w:sz="4" w:space="0" w:color="65ACD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ACDC" w:themeColor="accent5"/>
          <w:left w:val="nil"/>
        </w:tcBorders>
      </w:tcPr>
    </w:tblStylePr>
    <w:tblStylePr w:type="swCell">
      <w:tblPr/>
      <w:tcPr>
        <w:tcBorders>
          <w:top w:val="double" w:sz="4" w:space="0" w:color="65ACDC" w:themeColor="accent5"/>
          <w:right w:val="nil"/>
        </w:tcBorders>
      </w:tcPr>
    </w:tblStylePr>
  </w:style>
  <w:style w:type="table" w:styleId="ListTable3-Accent4">
    <w:name w:val="List Table 3 Accent 4"/>
    <w:basedOn w:val="TableNormal"/>
    <w:uiPriority w:val="48"/>
    <w:rsid w:val="00E85747"/>
    <w:tblPr>
      <w:tblStyleRowBandSize w:val="1"/>
      <w:tblStyleColBandSize w:val="1"/>
      <w:tblBorders>
        <w:top w:val="single" w:sz="4" w:space="0" w:color="432B73" w:themeColor="accent4"/>
        <w:left w:val="single" w:sz="4" w:space="0" w:color="432B73" w:themeColor="accent4"/>
        <w:bottom w:val="single" w:sz="4" w:space="0" w:color="432B73" w:themeColor="accent4"/>
        <w:right w:val="single" w:sz="4" w:space="0" w:color="432B73" w:themeColor="accent4"/>
      </w:tblBorders>
    </w:tblPr>
    <w:tblStylePr w:type="firstRow">
      <w:rPr>
        <w:b w:val="0"/>
        <w:bCs/>
        <w:color w:val="auto"/>
      </w:rPr>
      <w:tblPr/>
      <w:tcPr>
        <w:shd w:val="clear" w:color="auto" w:fill="432B73" w:themeFill="accent4"/>
      </w:tcPr>
    </w:tblStylePr>
    <w:tblStylePr w:type="lastRow">
      <w:rPr>
        <w:b/>
        <w:bCs/>
      </w:rPr>
      <w:tblPr/>
      <w:tcPr>
        <w:tcBorders>
          <w:top w:val="double" w:sz="4" w:space="0" w:color="432B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2B73" w:themeColor="accent4"/>
          <w:right w:val="single" w:sz="4" w:space="0" w:color="432B73" w:themeColor="accent4"/>
        </w:tcBorders>
      </w:tcPr>
    </w:tblStylePr>
    <w:tblStylePr w:type="band1Horz">
      <w:tblPr/>
      <w:tcPr>
        <w:tcBorders>
          <w:top w:val="single" w:sz="4" w:space="0" w:color="432B73" w:themeColor="accent4"/>
          <w:bottom w:val="single" w:sz="4" w:space="0" w:color="432B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2B73" w:themeColor="accent4"/>
          <w:left w:val="nil"/>
        </w:tcBorders>
      </w:tcPr>
    </w:tblStylePr>
    <w:tblStylePr w:type="swCell">
      <w:tblPr/>
      <w:tcPr>
        <w:tcBorders>
          <w:top w:val="double" w:sz="4" w:space="0" w:color="432B73" w:themeColor="accent4"/>
          <w:right w:val="nil"/>
        </w:tcBorders>
      </w:tcPr>
    </w:tblStylePr>
  </w:style>
  <w:style w:type="table" w:styleId="ListTable3-Accent3">
    <w:name w:val="List Table 3 Accent 3"/>
    <w:basedOn w:val="TableNormal"/>
    <w:uiPriority w:val="48"/>
    <w:rsid w:val="00E85747"/>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tblBorders>
    </w:tblPr>
    <w:tblStylePr w:type="firstRow">
      <w:rPr>
        <w:b w:val="0"/>
        <w:bCs/>
        <w:color w:val="FFFFFF" w:themeColor="background1"/>
      </w:rPr>
      <w:tblPr/>
      <w:tcPr>
        <w:shd w:val="clear" w:color="auto" w:fill="D4C2A8" w:themeFill="accent3"/>
      </w:tcPr>
    </w:tblStylePr>
    <w:tblStylePr w:type="lastRow">
      <w:rPr>
        <w:b/>
        <w:bCs/>
      </w:rPr>
      <w:tblPr/>
      <w:tcPr>
        <w:tcBorders>
          <w:top w:val="double" w:sz="4" w:space="0" w:color="D4C2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2A8" w:themeColor="accent3"/>
          <w:right w:val="single" w:sz="4" w:space="0" w:color="D4C2A8" w:themeColor="accent3"/>
        </w:tcBorders>
      </w:tcPr>
    </w:tblStylePr>
    <w:tblStylePr w:type="band1Horz">
      <w:tblPr/>
      <w:tcPr>
        <w:tcBorders>
          <w:top w:val="single" w:sz="4" w:space="0" w:color="D4C2A8" w:themeColor="accent3"/>
          <w:bottom w:val="single" w:sz="4" w:space="0" w:color="D4C2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2A8" w:themeColor="accent3"/>
          <w:left w:val="nil"/>
        </w:tcBorders>
      </w:tcPr>
    </w:tblStylePr>
    <w:tblStylePr w:type="swCell">
      <w:tblPr/>
      <w:tcPr>
        <w:tcBorders>
          <w:top w:val="double" w:sz="4" w:space="0" w:color="D4C2A8" w:themeColor="accent3"/>
          <w:right w:val="nil"/>
        </w:tcBorders>
      </w:tcPr>
    </w:tblStylePr>
  </w:style>
  <w:style w:type="table" w:styleId="ListTable3-Accent2">
    <w:name w:val="List Table 3 Accent 2"/>
    <w:basedOn w:val="TableNormal"/>
    <w:uiPriority w:val="48"/>
    <w:rsid w:val="00E85747"/>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tblBorders>
    </w:tblPr>
    <w:tblStylePr w:type="firstRow">
      <w:rPr>
        <w:b w:val="0"/>
        <w:bCs/>
        <w:color w:val="FFFFFF" w:themeColor="background1"/>
      </w:rPr>
      <w:tblPr/>
      <w:tcPr>
        <w:shd w:val="clear" w:color="auto" w:fill="701F4D" w:themeFill="accent2"/>
      </w:tcPr>
    </w:tblStylePr>
    <w:tblStylePr w:type="lastRow">
      <w:rPr>
        <w:b/>
        <w:bCs/>
      </w:rPr>
      <w:tblPr/>
      <w:tcPr>
        <w:tcBorders>
          <w:top w:val="double" w:sz="4" w:space="0" w:color="701F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1F4D" w:themeColor="accent2"/>
          <w:right w:val="single" w:sz="4" w:space="0" w:color="701F4D" w:themeColor="accent2"/>
        </w:tcBorders>
      </w:tcPr>
    </w:tblStylePr>
    <w:tblStylePr w:type="band1Horz">
      <w:tblPr/>
      <w:tcPr>
        <w:tcBorders>
          <w:top w:val="single" w:sz="4" w:space="0" w:color="701F4D" w:themeColor="accent2"/>
          <w:bottom w:val="single" w:sz="4" w:space="0" w:color="701F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1F4D" w:themeColor="accent2"/>
          <w:left w:val="nil"/>
        </w:tcBorders>
      </w:tcPr>
    </w:tblStylePr>
    <w:tblStylePr w:type="swCell">
      <w:tblPr/>
      <w:tcPr>
        <w:tcBorders>
          <w:top w:val="double" w:sz="4" w:space="0" w:color="701F4D" w:themeColor="accent2"/>
          <w:right w:val="nil"/>
        </w:tcBorders>
      </w:tcPr>
    </w:tblStylePr>
  </w:style>
  <w:style w:type="table" w:styleId="ListTable3-Accent1">
    <w:name w:val="List Table 3 Accent 1"/>
    <w:basedOn w:val="TableNormal"/>
    <w:uiPriority w:val="48"/>
    <w:rsid w:val="00E85747"/>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tblBorders>
    </w:tblPr>
    <w:tblStylePr w:type="firstRow">
      <w:rPr>
        <w:b w:val="0"/>
        <w:bCs/>
        <w:color w:val="FFFFFF" w:themeColor="background1"/>
      </w:rPr>
      <w:tblPr/>
      <w:tcPr>
        <w:shd w:val="clear" w:color="auto" w:fill="142147" w:themeFill="accent1"/>
      </w:tcPr>
    </w:tblStylePr>
    <w:tblStylePr w:type="lastRow">
      <w:rPr>
        <w:b/>
        <w:bCs/>
      </w:rPr>
      <w:tblPr/>
      <w:tcPr>
        <w:tcBorders>
          <w:top w:val="double" w:sz="4" w:space="0" w:color="1421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2147" w:themeColor="accent1"/>
          <w:right w:val="single" w:sz="4" w:space="0" w:color="142147" w:themeColor="accent1"/>
        </w:tcBorders>
      </w:tcPr>
    </w:tblStylePr>
    <w:tblStylePr w:type="band1Horz">
      <w:tblPr/>
      <w:tcPr>
        <w:tcBorders>
          <w:top w:val="single" w:sz="4" w:space="0" w:color="142147" w:themeColor="accent1"/>
          <w:bottom w:val="single" w:sz="4" w:space="0" w:color="1421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themeColor="accent1"/>
          <w:left w:val="nil"/>
        </w:tcBorders>
      </w:tcPr>
    </w:tblStylePr>
    <w:tblStylePr w:type="swCell">
      <w:tblPr/>
      <w:tcPr>
        <w:tcBorders>
          <w:top w:val="double" w:sz="4" w:space="0" w:color="142147" w:themeColor="accent1"/>
          <w:right w:val="nil"/>
        </w:tcBorders>
      </w:tcPr>
    </w:tblStylePr>
  </w:style>
  <w:style w:type="table" w:styleId="ListTable3">
    <w:name w:val="List Table 3"/>
    <w:basedOn w:val="TableNormal"/>
    <w:uiPriority w:val="48"/>
    <w:rsid w:val="00E857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val="0"/>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3">
    <w:name w:val="List 3"/>
    <w:basedOn w:val="Normal"/>
    <w:semiHidden/>
    <w:rsid w:val="00E85747"/>
    <w:pPr>
      <w:ind w:left="849" w:hanging="283"/>
      <w:contextualSpacing/>
    </w:pPr>
  </w:style>
  <w:style w:type="paragraph" w:styleId="List4">
    <w:name w:val="List 4"/>
    <w:basedOn w:val="Normal"/>
    <w:semiHidden/>
    <w:rsid w:val="00E85747"/>
    <w:pPr>
      <w:ind w:left="1132" w:hanging="283"/>
      <w:contextualSpacing/>
    </w:pPr>
  </w:style>
  <w:style w:type="paragraph" w:styleId="List5">
    <w:name w:val="List 5"/>
    <w:basedOn w:val="Normal"/>
    <w:semiHidden/>
    <w:rsid w:val="00E85747"/>
    <w:pPr>
      <w:ind w:left="1415" w:hanging="283"/>
      <w:contextualSpacing/>
    </w:pPr>
  </w:style>
  <w:style w:type="paragraph" w:styleId="List">
    <w:name w:val="List"/>
    <w:basedOn w:val="Normal"/>
    <w:semiHidden/>
    <w:rsid w:val="00E85747"/>
    <w:pPr>
      <w:ind w:left="283" w:hanging="283"/>
      <w:contextualSpacing/>
    </w:pPr>
  </w:style>
  <w:style w:type="paragraph" w:styleId="ListBullet">
    <w:name w:val="List Bullet"/>
    <w:basedOn w:val="Normal"/>
    <w:semiHidden/>
    <w:rsid w:val="00E85747"/>
    <w:pPr>
      <w:numPr>
        <w:numId w:val="9"/>
      </w:numPr>
      <w:contextualSpacing/>
    </w:pPr>
  </w:style>
  <w:style w:type="paragraph" w:styleId="ListBullet2">
    <w:name w:val="List Bullet 2"/>
    <w:basedOn w:val="Normal"/>
    <w:semiHidden/>
    <w:rsid w:val="00E85747"/>
    <w:pPr>
      <w:numPr>
        <w:numId w:val="10"/>
      </w:numPr>
      <w:contextualSpacing/>
    </w:pPr>
  </w:style>
  <w:style w:type="paragraph" w:styleId="ListBullet3">
    <w:name w:val="List Bullet 3"/>
    <w:basedOn w:val="Normal"/>
    <w:semiHidden/>
    <w:rsid w:val="00E85747"/>
    <w:pPr>
      <w:numPr>
        <w:numId w:val="11"/>
      </w:numPr>
      <w:contextualSpacing/>
    </w:pPr>
  </w:style>
  <w:style w:type="paragraph" w:styleId="ListBullet4">
    <w:name w:val="List Bullet 4"/>
    <w:basedOn w:val="Normal"/>
    <w:semiHidden/>
    <w:rsid w:val="00E85747"/>
    <w:pPr>
      <w:numPr>
        <w:numId w:val="12"/>
      </w:numPr>
      <w:contextualSpacing/>
    </w:pPr>
  </w:style>
  <w:style w:type="paragraph" w:styleId="ListBullet5">
    <w:name w:val="List Bullet 5"/>
    <w:basedOn w:val="Normal"/>
    <w:semiHidden/>
    <w:rsid w:val="00E85747"/>
    <w:pPr>
      <w:numPr>
        <w:numId w:val="13"/>
      </w:numPr>
      <w:contextualSpacing/>
    </w:pPr>
  </w:style>
  <w:style w:type="paragraph" w:styleId="ListContinue">
    <w:name w:val="List Continue"/>
    <w:basedOn w:val="Normal"/>
    <w:semiHidden/>
    <w:rsid w:val="00E85747"/>
    <w:pPr>
      <w:ind w:left="283"/>
      <w:contextualSpacing/>
    </w:pPr>
  </w:style>
  <w:style w:type="paragraph" w:styleId="ListContinue2">
    <w:name w:val="List Continue 2"/>
    <w:basedOn w:val="Normal"/>
    <w:semiHidden/>
    <w:rsid w:val="00E85747"/>
    <w:pPr>
      <w:ind w:left="566"/>
      <w:contextualSpacing/>
    </w:pPr>
  </w:style>
  <w:style w:type="paragraph" w:styleId="ListContinue3">
    <w:name w:val="List Continue 3"/>
    <w:basedOn w:val="Normal"/>
    <w:semiHidden/>
    <w:rsid w:val="00E85747"/>
    <w:pPr>
      <w:ind w:left="849"/>
      <w:contextualSpacing/>
    </w:pPr>
  </w:style>
  <w:style w:type="paragraph" w:styleId="ListContinue4">
    <w:name w:val="List Continue 4"/>
    <w:basedOn w:val="Normal"/>
    <w:semiHidden/>
    <w:rsid w:val="00E85747"/>
    <w:pPr>
      <w:ind w:left="1132"/>
      <w:contextualSpacing/>
    </w:pPr>
  </w:style>
  <w:style w:type="paragraph" w:styleId="ListContinue5">
    <w:name w:val="List Continue 5"/>
    <w:basedOn w:val="Normal"/>
    <w:semiHidden/>
    <w:rsid w:val="00E85747"/>
    <w:pPr>
      <w:ind w:left="1415"/>
      <w:contextualSpacing/>
    </w:pPr>
  </w:style>
  <w:style w:type="paragraph" w:styleId="ListNumber">
    <w:name w:val="List Number"/>
    <w:basedOn w:val="Normal"/>
    <w:semiHidden/>
    <w:rsid w:val="00E85747"/>
    <w:pPr>
      <w:numPr>
        <w:numId w:val="14"/>
      </w:numPr>
      <w:contextualSpacing/>
    </w:pPr>
  </w:style>
  <w:style w:type="paragraph" w:styleId="ListNumber2">
    <w:name w:val="List Number 2"/>
    <w:basedOn w:val="Normal"/>
    <w:semiHidden/>
    <w:rsid w:val="00E85747"/>
    <w:pPr>
      <w:numPr>
        <w:numId w:val="15"/>
      </w:numPr>
      <w:contextualSpacing/>
    </w:pPr>
  </w:style>
  <w:style w:type="paragraph" w:styleId="ListNumber3">
    <w:name w:val="List Number 3"/>
    <w:basedOn w:val="Normal"/>
    <w:semiHidden/>
    <w:rsid w:val="00E85747"/>
    <w:pPr>
      <w:numPr>
        <w:numId w:val="16"/>
      </w:numPr>
      <w:contextualSpacing/>
    </w:pPr>
  </w:style>
  <w:style w:type="paragraph" w:styleId="ListNumber4">
    <w:name w:val="List Number 4"/>
    <w:basedOn w:val="Normal"/>
    <w:semiHidden/>
    <w:rsid w:val="00E85747"/>
    <w:pPr>
      <w:numPr>
        <w:numId w:val="17"/>
      </w:numPr>
      <w:contextualSpacing/>
    </w:pPr>
  </w:style>
  <w:style w:type="paragraph" w:styleId="ListNumber5">
    <w:name w:val="List Number 5"/>
    <w:basedOn w:val="Normal"/>
    <w:semiHidden/>
    <w:rsid w:val="00E85747"/>
    <w:pPr>
      <w:numPr>
        <w:numId w:val="18"/>
      </w:numPr>
      <w:contextualSpacing/>
    </w:pPr>
  </w:style>
  <w:style w:type="paragraph" w:styleId="MacroText">
    <w:name w:val="macro"/>
    <w:link w:val="MacroTextChar"/>
    <w:semiHidden/>
    <w:rsid w:val="00E8574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E85747"/>
    <w:rPr>
      <w:rFonts w:ascii="Consolas" w:hAnsi="Consolas"/>
      <w:sz w:val="20"/>
      <w:szCs w:val="20"/>
    </w:rPr>
  </w:style>
  <w:style w:type="paragraph" w:styleId="BlockText">
    <w:name w:val="Block Text"/>
    <w:basedOn w:val="Normal"/>
    <w:semiHidden/>
    <w:rsid w:val="00E85747"/>
    <w:pPr>
      <w:pBdr>
        <w:top w:val="single" w:sz="2" w:space="10" w:color="142147" w:themeColor="accent1"/>
        <w:left w:val="single" w:sz="2" w:space="10" w:color="142147" w:themeColor="accent1"/>
        <w:bottom w:val="single" w:sz="2" w:space="10" w:color="142147" w:themeColor="accent1"/>
        <w:right w:val="single" w:sz="2" w:space="10" w:color="142147" w:themeColor="accent1"/>
      </w:pBdr>
      <w:ind w:left="1152" w:right="1152"/>
    </w:pPr>
    <w:rPr>
      <w:rFonts w:asciiTheme="minorHAnsi" w:eastAsiaTheme="minorEastAsia" w:hAnsiTheme="minorHAnsi" w:cstheme="minorBidi"/>
      <w:i/>
      <w:iCs/>
      <w:color w:val="142147" w:themeColor="accent1"/>
    </w:rPr>
  </w:style>
  <w:style w:type="paragraph" w:styleId="Caption">
    <w:name w:val="caption"/>
    <w:basedOn w:val="Normal"/>
    <w:next w:val="Normal"/>
    <w:unhideWhenUsed/>
    <w:qFormat/>
    <w:rsid w:val="00E85747"/>
    <w:pPr>
      <w:spacing w:before="0" w:after="200"/>
    </w:pPr>
    <w:rPr>
      <w:i/>
      <w:iCs/>
      <w:color w:val="5F5F5F" w:themeColor="text2"/>
      <w:sz w:val="18"/>
      <w:szCs w:val="18"/>
    </w:rPr>
  </w:style>
  <w:style w:type="paragraph" w:styleId="BodyText2">
    <w:name w:val="Body Text 2"/>
    <w:basedOn w:val="Normal"/>
    <w:link w:val="BodyText2Char"/>
    <w:semiHidden/>
    <w:rsid w:val="00E85747"/>
    <w:pPr>
      <w:spacing w:line="480" w:lineRule="auto"/>
    </w:pPr>
  </w:style>
  <w:style w:type="character" w:customStyle="1" w:styleId="BodyText2Char">
    <w:name w:val="Body Text 2 Char"/>
    <w:basedOn w:val="DefaultParagraphFont"/>
    <w:link w:val="BodyText2"/>
    <w:semiHidden/>
    <w:rsid w:val="00E85747"/>
  </w:style>
  <w:style w:type="paragraph" w:styleId="BodyText3">
    <w:name w:val="Body Text 3"/>
    <w:basedOn w:val="Normal"/>
    <w:link w:val="BodyText3Char"/>
    <w:semiHidden/>
    <w:rsid w:val="00E85747"/>
    <w:rPr>
      <w:sz w:val="16"/>
      <w:szCs w:val="16"/>
    </w:rPr>
  </w:style>
  <w:style w:type="character" w:customStyle="1" w:styleId="BodyText3Char">
    <w:name w:val="Body Text 3 Char"/>
    <w:basedOn w:val="DefaultParagraphFont"/>
    <w:link w:val="BodyText3"/>
    <w:semiHidden/>
    <w:rsid w:val="00E85747"/>
    <w:rPr>
      <w:sz w:val="16"/>
      <w:szCs w:val="16"/>
    </w:rPr>
  </w:style>
  <w:style w:type="paragraph" w:customStyle="1" w:styleId="KeyPointsHeading">
    <w:name w:val="Key Points Heading"/>
    <w:basedOn w:val="BoxHeading1"/>
    <w:qFormat/>
    <w:rsid w:val="00E85747"/>
    <w:rPr>
      <w:rFonts w:ascii="Arial Bold" w:hAnsi="Arial Bold"/>
      <w:b/>
      <w:i w:val="0"/>
      <w:caps/>
      <w:color w:val="404040"/>
      <w:sz w:val="24"/>
    </w:rPr>
  </w:style>
  <w:style w:type="paragraph" w:styleId="Index1">
    <w:name w:val="index 1"/>
    <w:basedOn w:val="Normal"/>
    <w:next w:val="Normal"/>
    <w:autoRedefine/>
    <w:semiHidden/>
    <w:rsid w:val="00E85747"/>
    <w:pPr>
      <w:spacing w:before="0" w:after="0"/>
      <w:ind w:left="220" w:hanging="220"/>
    </w:pPr>
  </w:style>
  <w:style w:type="paragraph" w:customStyle="1" w:styleId="TableTextLeft">
    <w:name w:val="Table Text Left"/>
    <w:basedOn w:val="Normal"/>
    <w:rsid w:val="00E85747"/>
    <w:pPr>
      <w:spacing w:before="30" w:after="80"/>
    </w:pPr>
    <w:rPr>
      <w:rFonts w:asciiTheme="minorHAnsi" w:hAnsiTheme="minorHAnsi"/>
      <w:color w:val="000000"/>
      <w:szCs w:val="18"/>
    </w:rPr>
  </w:style>
  <w:style w:type="paragraph" w:customStyle="1" w:styleId="TableColumnHeadingLeft">
    <w:name w:val="Table Column Heading Left"/>
    <w:basedOn w:val="Normal"/>
    <w:rsid w:val="00E85747"/>
    <w:pPr>
      <w:spacing w:before="60" w:after="60"/>
    </w:pPr>
    <w:rPr>
      <w:rFonts w:asciiTheme="minorHAnsi" w:hAnsiTheme="minorHAnsi"/>
      <w:color w:val="FFFFFF" w:themeColor="background1"/>
      <w:sz w:val="20"/>
      <w:szCs w:val="18"/>
    </w:rPr>
  </w:style>
  <w:style w:type="paragraph" w:customStyle="1" w:styleId="BoxHeading2">
    <w:name w:val="Box Heading 2"/>
    <w:basedOn w:val="BoxHeading1"/>
    <w:next w:val="BoxText"/>
    <w:qFormat/>
    <w:rsid w:val="00E85747"/>
    <w:rPr>
      <w:i w:val="0"/>
      <w:iCs/>
      <w:sz w:val="24"/>
      <w:szCs w:val="20"/>
    </w:rPr>
  </w:style>
  <w:style w:type="character" w:customStyle="1" w:styleId="FooterChar">
    <w:name w:val="Footer Char"/>
    <w:basedOn w:val="DefaultParagraphFont"/>
    <w:link w:val="Footer"/>
    <w:uiPriority w:val="99"/>
    <w:rsid w:val="00E85747"/>
    <w:rPr>
      <w:rFonts w:ascii="Georgia" w:hAnsi="Georgia"/>
      <w:color w:val="701F4D" w:themeColor="accent2"/>
      <w14:numForm w14:val="lining"/>
      <w14:numSpacing w14:val="proportional"/>
    </w:rPr>
  </w:style>
  <w:style w:type="table" w:customStyle="1" w:styleId="Style1">
    <w:name w:val="Style1"/>
    <w:basedOn w:val="TableNormal"/>
    <w:uiPriority w:val="99"/>
    <w:rsid w:val="00E85747"/>
    <w:pPr>
      <w:spacing w:before="0" w:after="0"/>
    </w:pPr>
    <w:tblPr/>
    <w:tblStylePr w:type="firstRow">
      <w:tblPr/>
      <w:tcPr>
        <w:shd w:val="clear" w:color="auto" w:fill="142147" w:themeFill="accent1"/>
      </w:tcPr>
    </w:tblStylePr>
    <w:tblStylePr w:type="firstCol">
      <w:tblPr/>
      <w:tcPr>
        <w:shd w:val="clear" w:color="auto" w:fill="142147" w:themeFill="accent1"/>
      </w:tcPr>
    </w:tblStylePr>
  </w:style>
  <w:style w:type="character" w:customStyle="1" w:styleId="SingleParagraphChar">
    <w:name w:val="Single Paragraph Char"/>
    <w:link w:val="SingleParagraph"/>
    <w:locked/>
    <w:rsid w:val="00E90517"/>
  </w:style>
  <w:style w:type="character" w:customStyle="1" w:styleId="BulletChar">
    <w:name w:val="Bullet Char"/>
    <w:aliases w:val="b Char,b + line Char Char,b Char Char,b1 Char,b + line Char,Body Char,level 1 Char,Bulleted Para Char,Bullets Char,Number Char,Bullet + line Char,FooterText Char,L Char,List Paragraph1 Char,List Paragraph11 Char,List Paragraph2 Char"/>
    <w:basedOn w:val="DefaultParagraphFont"/>
    <w:link w:val="Bullet"/>
    <w:qFormat/>
    <w:locked/>
    <w:rsid w:val="002F3E00"/>
  </w:style>
  <w:style w:type="character" w:styleId="CommentReference">
    <w:name w:val="annotation reference"/>
    <w:basedOn w:val="DefaultParagraphFont"/>
    <w:uiPriority w:val="99"/>
    <w:semiHidden/>
    <w:rsid w:val="002F3E00"/>
    <w:rPr>
      <w:sz w:val="16"/>
      <w:szCs w:val="16"/>
    </w:rPr>
  </w:style>
  <w:style w:type="character" w:customStyle="1" w:styleId="FootnoteTextChar">
    <w:name w:val="Footnote Text Char"/>
    <w:basedOn w:val="DefaultParagraphFont"/>
    <w:link w:val="FootnoteText"/>
    <w:rsid w:val="00E2063F"/>
    <w:rPr>
      <w:sz w:val="18"/>
      <w:szCs w:val="18"/>
    </w:rPr>
  </w:style>
  <w:style w:type="table" w:styleId="ListTable2-Accent5">
    <w:name w:val="List Table 2 Accent 5"/>
    <w:basedOn w:val="TableNormal"/>
    <w:uiPriority w:val="47"/>
    <w:rsid w:val="00036758"/>
    <w:pPr>
      <w:spacing w:after="0"/>
    </w:pPr>
    <w:tblPr>
      <w:tblStyleRowBandSize w:val="1"/>
      <w:tblStyleColBandSize w:val="1"/>
      <w:tblBorders>
        <w:top w:val="single" w:sz="4" w:space="0" w:color="A2CDEA" w:themeColor="accent5" w:themeTint="99"/>
        <w:bottom w:val="single" w:sz="4" w:space="0" w:color="A2CDEA" w:themeColor="accent5" w:themeTint="99"/>
        <w:insideH w:val="single" w:sz="4" w:space="0" w:color="A2CD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paragraph" w:styleId="CommentSubject">
    <w:name w:val="annotation subject"/>
    <w:basedOn w:val="Normal"/>
    <w:next w:val="Normal"/>
    <w:link w:val="CommentSubjectChar"/>
    <w:semiHidden/>
    <w:rsid w:val="00341030"/>
    <w:rPr>
      <w:b/>
      <w:bCs/>
    </w:rPr>
  </w:style>
  <w:style w:type="character" w:customStyle="1" w:styleId="CommentSubjectChar">
    <w:name w:val="Comment Subject Char"/>
    <w:basedOn w:val="DefaultParagraphFont"/>
    <w:link w:val="CommentSubject"/>
    <w:semiHidden/>
    <w:rsid w:val="00341030"/>
    <w:rPr>
      <w:b/>
      <w:bCs/>
      <w:sz w:val="20"/>
      <w:szCs w:val="20"/>
    </w:rPr>
  </w:style>
  <w:style w:type="paragraph" w:styleId="Revision">
    <w:name w:val="Revision"/>
    <w:hidden/>
    <w:uiPriority w:val="99"/>
    <w:semiHidden/>
    <w:rsid w:val="00311C67"/>
    <w:pPr>
      <w:spacing w:before="0" w:after="0"/>
    </w:pPr>
  </w:style>
  <w:style w:type="character" w:styleId="Mention">
    <w:name w:val="Mention"/>
    <w:basedOn w:val="DefaultParagraphFont"/>
    <w:uiPriority w:val="99"/>
    <w:semiHidden/>
    <w:rsid w:val="004F3DAF"/>
    <w:rPr>
      <w:color w:val="2B579A"/>
      <w:shd w:val="clear" w:color="auto" w:fill="E1DFDD"/>
    </w:rPr>
  </w:style>
  <w:style w:type="character" w:styleId="UnresolvedMention">
    <w:name w:val="Unresolved Mention"/>
    <w:basedOn w:val="DefaultParagraphFont"/>
    <w:uiPriority w:val="99"/>
    <w:semiHidden/>
    <w:rsid w:val="00E85747"/>
    <w:rPr>
      <w:color w:val="605E5C"/>
      <w:shd w:val="clear" w:color="auto" w:fill="E1DFDD"/>
    </w:rPr>
  </w:style>
  <w:style w:type="character" w:customStyle="1" w:styleId="HeadingBaseChar">
    <w:name w:val="Heading Base Char"/>
    <w:basedOn w:val="DefaultParagraphFont"/>
    <w:link w:val="HeadingBase"/>
    <w:semiHidden/>
    <w:rsid w:val="00161AC8"/>
    <w:rPr>
      <w:rFonts w:ascii="Georgia" w:hAnsi="Georgia"/>
      <w:color w:val="142147" w:themeColor="accent1"/>
      <w:sz w:val="64"/>
      <w14:numForm w14:val="lining"/>
      <w14:numSpacing w14:val="proportional"/>
    </w:rPr>
  </w:style>
  <w:style w:type="character" w:customStyle="1" w:styleId="HeaderChar">
    <w:name w:val="Header Char"/>
    <w:basedOn w:val="HeadingBaseChar"/>
    <w:link w:val="Header"/>
    <w:rsid w:val="00161AC8"/>
    <w:rPr>
      <w:rFonts w:ascii="Georgia" w:hAnsi="Georgia"/>
      <w:color w:val="142147" w:themeColor="accent1"/>
      <w:sz w:val="64"/>
      <w14:numForm w14:val="lining"/>
      <w14:numSpacing w14:val="proportional"/>
    </w:rPr>
  </w:style>
  <w:style w:type="paragraph" w:styleId="NormalWeb">
    <w:name w:val="Normal (Web)"/>
    <w:basedOn w:val="Normal"/>
    <w:uiPriority w:val="99"/>
    <w:semiHidden/>
    <w:unhideWhenUsed/>
    <w:rsid w:val="00737A51"/>
    <w:pPr>
      <w:spacing w:before="100" w:beforeAutospacing="1" w:after="100" w:afterAutospacing="1"/>
    </w:pPr>
    <w:rPr>
      <w:rFonts w:ascii="Times New Roman" w:hAnsi="Times New Roman"/>
      <w:sz w:val="24"/>
      <w:szCs w:val="24"/>
    </w:rPr>
  </w:style>
  <w:style w:type="paragraph" w:styleId="NoSpacing">
    <w:name w:val="No Spacing"/>
    <w:uiPriority w:val="1"/>
    <w:semiHidden/>
    <w:qFormat/>
    <w:rsid w:val="006A7198"/>
    <w:pPr>
      <w:spacing w:before="0" w:after="0"/>
    </w:pPr>
  </w:style>
  <w:style w:type="character" w:styleId="IntenseEmphasis">
    <w:name w:val="Intense Emphasis"/>
    <w:basedOn w:val="DefaultParagraphFont"/>
    <w:uiPriority w:val="21"/>
    <w:semiHidden/>
    <w:qFormat/>
    <w:rsid w:val="00E85747"/>
    <w:rPr>
      <w:b/>
      <w:i/>
      <w:iCs/>
      <w:color w:val="auto"/>
    </w:rPr>
  </w:style>
  <w:style w:type="paragraph" w:customStyle="1" w:styleId="TableTextRight">
    <w:name w:val="Table Text Right"/>
    <w:basedOn w:val="Normal"/>
    <w:rsid w:val="00527FF7"/>
    <w:pPr>
      <w:spacing w:before="40" w:after="40"/>
      <w:jc w:val="right"/>
    </w:pPr>
    <w:rPr>
      <w:rFonts w:ascii="Arial" w:hAnsi="Arial"/>
      <w:color w:val="000000"/>
      <w:sz w:val="18"/>
      <w:szCs w:val="18"/>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GridTable5Dark-Accent31">
    <w:name w:val="Grid Table 5 Dark - Accent 31"/>
    <w:basedOn w:val="TableNormal"/>
    <w:next w:val="GridTable5Dark-Accent3"/>
    <w:uiPriority w:val="50"/>
    <w:rsid w:val="001B0BCD"/>
    <w:tblPr>
      <w:tblStyleRowBandSize w:val="1"/>
      <w:tblStyleColBandSize w:val="1"/>
      <w:tblCellMar>
        <w:top w:w="142" w:type="dxa"/>
        <w:left w:w="284" w:type="dxa"/>
        <w:bottom w:w="142" w:type="dxa"/>
        <w:right w:w="284" w:type="dxa"/>
      </w:tblCellMar>
    </w:tblPr>
    <w:tcPr>
      <w:shd w:val="clear" w:color="auto" w:fill="F6F2ED" w:themeFill="accent3" w:themeFillTint="33"/>
    </w:tcPr>
    <w:tblStylePr w:type="firstRow">
      <w:rPr>
        <w:b w:val="0"/>
        <w:bCs/>
        <w:color w:val="auto"/>
      </w:rPr>
      <w:tblPr/>
      <w:tcPr>
        <w:tcBorders>
          <w:top w:val="nil"/>
          <w:left w:val="nil"/>
          <w:bottom w:val="nil"/>
          <w:right w:val="nil"/>
          <w:insideH w:val="nil"/>
          <w:insideV w:val="nil"/>
          <w:tl2br w:val="nil"/>
          <w:tr2bl w:val="nil"/>
        </w:tcBorders>
        <w:shd w:val="clear" w:color="auto" w:fill="F6F2ED" w:themeFill="accent3" w:themeFillTint="3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customStyle="1" w:styleId="GridTable5Dark-Accent32">
    <w:name w:val="Grid Table 5 Dark - Accent 32"/>
    <w:basedOn w:val="TableNormal"/>
    <w:next w:val="GridTable5Dark-Accent3"/>
    <w:uiPriority w:val="50"/>
    <w:rsid w:val="00453C0B"/>
    <w:tblPr>
      <w:tblStyleRowBandSize w:val="1"/>
      <w:tblStyleColBandSize w:val="1"/>
      <w:tblCellMar>
        <w:top w:w="142" w:type="dxa"/>
        <w:left w:w="284" w:type="dxa"/>
        <w:bottom w:w="142" w:type="dxa"/>
        <w:right w:w="284" w:type="dxa"/>
      </w:tblCellMar>
    </w:tblPr>
    <w:tcPr>
      <w:shd w:val="clear" w:color="auto" w:fill="F6F2ED" w:themeFill="accent3" w:themeFillTint="33"/>
    </w:tcPr>
    <w:tblStylePr w:type="firstRow">
      <w:rPr>
        <w:b w:val="0"/>
        <w:bCs/>
        <w:color w:val="auto"/>
      </w:rPr>
      <w:tblPr/>
      <w:tcPr>
        <w:tcBorders>
          <w:top w:val="nil"/>
          <w:left w:val="nil"/>
          <w:bottom w:val="nil"/>
          <w:right w:val="nil"/>
          <w:insideH w:val="nil"/>
          <w:insideV w:val="nil"/>
          <w:tl2br w:val="nil"/>
          <w:tr2bl w:val="nil"/>
        </w:tcBorders>
        <w:shd w:val="clear" w:color="auto" w:fill="F6F2ED" w:themeFill="accent3" w:themeFillTint="3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character" w:customStyle="1" w:styleId="Bold">
    <w:name w:val="Bold"/>
    <w:basedOn w:val="DefaultParagraphFont"/>
    <w:rsid w:val="00625A6A"/>
    <w:rPr>
      <w:rFonts w:cs="Times New Roman"/>
      <w:b/>
    </w:rPr>
  </w:style>
  <w:style w:type="paragraph" w:customStyle="1" w:styleId="OutlineNumbered1">
    <w:name w:val="Outline Numbered 1"/>
    <w:basedOn w:val="Normal"/>
    <w:link w:val="OutlineNumbered1Char"/>
    <w:rsid w:val="00C446ED"/>
    <w:pPr>
      <w:tabs>
        <w:tab w:val="num" w:pos="520"/>
        <w:tab w:val="num" w:pos="567"/>
      </w:tabs>
      <w:spacing w:before="0" w:after="240" w:line="260" w:lineRule="exact"/>
      <w:ind w:left="520" w:hanging="520"/>
      <w:jc w:val="both"/>
    </w:pPr>
    <w:rPr>
      <w:rFonts w:ascii="Book Antiqua" w:hAnsi="Book Antiqua"/>
      <w:color w:val="000000"/>
      <w:szCs w:val="20"/>
    </w:rPr>
  </w:style>
  <w:style w:type="character" w:customStyle="1" w:styleId="OutlineNumbered1Char">
    <w:name w:val="Outline Numbered 1 Char"/>
    <w:basedOn w:val="DefaultParagraphFont"/>
    <w:link w:val="OutlineNumbered1"/>
    <w:locked/>
    <w:rsid w:val="00C446ED"/>
    <w:rPr>
      <w:rFonts w:ascii="Book Antiqua" w:hAnsi="Book Antiqua"/>
      <w:color w:val="000000"/>
      <w:szCs w:val="20"/>
    </w:rPr>
  </w:style>
  <w:style w:type="character" w:customStyle="1" w:styleId="DashChar">
    <w:name w:val="Dash Char"/>
    <w:basedOn w:val="DefaultParagraphFont"/>
    <w:link w:val="Dash"/>
    <w:rsid w:val="003C0A54"/>
  </w:style>
  <w:style w:type="paragraph" w:customStyle="1" w:styleId="Heading1Numbered">
    <w:name w:val="Heading 1 Numbered"/>
    <w:basedOn w:val="Heading1"/>
    <w:next w:val="Normal"/>
    <w:rsid w:val="0074667B"/>
    <w:pPr>
      <w:numPr>
        <w:numId w:val="26"/>
      </w:numPr>
      <w:spacing w:after="120" w:line="460" w:lineRule="exact"/>
    </w:pPr>
    <w:rPr>
      <w:rFonts w:ascii="Calibri" w:hAnsi="Calibri"/>
      <w:b/>
      <w:color w:val="D4C2A8" w:themeColor="accent3"/>
      <w:sz w:val="44"/>
      <w14:numForm w14:val="default"/>
      <w14:numSpacing w14:val="default"/>
    </w:rPr>
  </w:style>
  <w:style w:type="paragraph" w:customStyle="1" w:styleId="Heading2Numbered">
    <w:name w:val="Heading 2 Numbered"/>
    <w:basedOn w:val="Heading2"/>
    <w:next w:val="Normal"/>
    <w:rsid w:val="0074667B"/>
    <w:pPr>
      <w:numPr>
        <w:ilvl w:val="1"/>
        <w:numId w:val="26"/>
      </w:numPr>
      <w:spacing w:before="360" w:after="120" w:line="460" w:lineRule="exact"/>
      <w:ind w:left="284" w:hanging="284"/>
    </w:pPr>
    <w:rPr>
      <w:rFonts w:ascii="Calibri" w:hAnsi="Calibri"/>
      <w:color w:val="142147" w:themeColor="accent1"/>
      <w:sz w:val="36"/>
      <w14:numForm w14:val="default"/>
      <w14:numSpacing w14:val="default"/>
    </w:rPr>
  </w:style>
  <w:style w:type="paragraph" w:customStyle="1" w:styleId="Heading3Numbered">
    <w:name w:val="Heading 3 Numbered"/>
    <w:basedOn w:val="Heading3"/>
    <w:rsid w:val="0074667B"/>
    <w:pPr>
      <w:numPr>
        <w:ilvl w:val="2"/>
        <w:numId w:val="26"/>
      </w:numPr>
      <w:spacing w:after="0" w:line="276" w:lineRule="auto"/>
      <w:ind w:left="284" w:hanging="284"/>
    </w:pPr>
    <w:rPr>
      <w:rFonts w:ascii="Calibri" w:hAnsi="Calibri"/>
      <w:b/>
      <w:color w:val="701F4D" w:themeColor="accent2"/>
      <w:sz w:val="28"/>
      <w14:numForm w14:val="default"/>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3908">
      <w:bodyDiv w:val="1"/>
      <w:marLeft w:val="0"/>
      <w:marRight w:val="0"/>
      <w:marTop w:val="0"/>
      <w:marBottom w:val="0"/>
      <w:divBdr>
        <w:top w:val="none" w:sz="0" w:space="0" w:color="auto"/>
        <w:left w:val="none" w:sz="0" w:space="0" w:color="auto"/>
        <w:bottom w:val="none" w:sz="0" w:space="0" w:color="auto"/>
        <w:right w:val="none" w:sz="0" w:space="0" w:color="auto"/>
      </w:divBdr>
    </w:div>
    <w:div w:id="156194480">
      <w:bodyDiv w:val="1"/>
      <w:marLeft w:val="0"/>
      <w:marRight w:val="0"/>
      <w:marTop w:val="0"/>
      <w:marBottom w:val="0"/>
      <w:divBdr>
        <w:top w:val="none" w:sz="0" w:space="0" w:color="auto"/>
        <w:left w:val="none" w:sz="0" w:space="0" w:color="auto"/>
        <w:bottom w:val="none" w:sz="0" w:space="0" w:color="auto"/>
        <w:right w:val="none" w:sz="0" w:space="0" w:color="auto"/>
      </w:divBdr>
    </w:div>
    <w:div w:id="191917980">
      <w:bodyDiv w:val="1"/>
      <w:marLeft w:val="0"/>
      <w:marRight w:val="0"/>
      <w:marTop w:val="0"/>
      <w:marBottom w:val="0"/>
      <w:divBdr>
        <w:top w:val="none" w:sz="0" w:space="0" w:color="auto"/>
        <w:left w:val="none" w:sz="0" w:space="0" w:color="auto"/>
        <w:bottom w:val="none" w:sz="0" w:space="0" w:color="auto"/>
        <w:right w:val="none" w:sz="0" w:space="0" w:color="auto"/>
      </w:divBdr>
    </w:div>
    <w:div w:id="369765563">
      <w:bodyDiv w:val="1"/>
      <w:marLeft w:val="0"/>
      <w:marRight w:val="0"/>
      <w:marTop w:val="0"/>
      <w:marBottom w:val="0"/>
      <w:divBdr>
        <w:top w:val="none" w:sz="0" w:space="0" w:color="auto"/>
        <w:left w:val="none" w:sz="0" w:space="0" w:color="auto"/>
        <w:bottom w:val="none" w:sz="0" w:space="0" w:color="auto"/>
        <w:right w:val="none" w:sz="0" w:space="0" w:color="auto"/>
      </w:divBdr>
    </w:div>
    <w:div w:id="425155482">
      <w:bodyDiv w:val="1"/>
      <w:marLeft w:val="0"/>
      <w:marRight w:val="0"/>
      <w:marTop w:val="0"/>
      <w:marBottom w:val="0"/>
      <w:divBdr>
        <w:top w:val="none" w:sz="0" w:space="0" w:color="auto"/>
        <w:left w:val="none" w:sz="0" w:space="0" w:color="auto"/>
        <w:bottom w:val="none" w:sz="0" w:space="0" w:color="auto"/>
        <w:right w:val="none" w:sz="0" w:space="0" w:color="auto"/>
      </w:divBdr>
    </w:div>
    <w:div w:id="464469605">
      <w:bodyDiv w:val="1"/>
      <w:marLeft w:val="0"/>
      <w:marRight w:val="0"/>
      <w:marTop w:val="0"/>
      <w:marBottom w:val="0"/>
      <w:divBdr>
        <w:top w:val="none" w:sz="0" w:space="0" w:color="auto"/>
        <w:left w:val="none" w:sz="0" w:space="0" w:color="auto"/>
        <w:bottom w:val="none" w:sz="0" w:space="0" w:color="auto"/>
        <w:right w:val="none" w:sz="0" w:space="0" w:color="auto"/>
      </w:divBdr>
    </w:div>
    <w:div w:id="697853259">
      <w:bodyDiv w:val="1"/>
      <w:marLeft w:val="0"/>
      <w:marRight w:val="0"/>
      <w:marTop w:val="0"/>
      <w:marBottom w:val="0"/>
      <w:divBdr>
        <w:top w:val="none" w:sz="0" w:space="0" w:color="auto"/>
        <w:left w:val="none" w:sz="0" w:space="0" w:color="auto"/>
        <w:bottom w:val="none" w:sz="0" w:space="0" w:color="auto"/>
        <w:right w:val="none" w:sz="0" w:space="0" w:color="auto"/>
      </w:divBdr>
    </w:div>
    <w:div w:id="861362948">
      <w:bodyDiv w:val="1"/>
      <w:marLeft w:val="0"/>
      <w:marRight w:val="0"/>
      <w:marTop w:val="0"/>
      <w:marBottom w:val="0"/>
      <w:divBdr>
        <w:top w:val="none" w:sz="0" w:space="0" w:color="auto"/>
        <w:left w:val="none" w:sz="0" w:space="0" w:color="auto"/>
        <w:bottom w:val="none" w:sz="0" w:space="0" w:color="auto"/>
        <w:right w:val="none" w:sz="0" w:space="0" w:color="auto"/>
      </w:divBdr>
    </w:div>
    <w:div w:id="1057704959">
      <w:bodyDiv w:val="1"/>
      <w:marLeft w:val="0"/>
      <w:marRight w:val="0"/>
      <w:marTop w:val="0"/>
      <w:marBottom w:val="0"/>
      <w:divBdr>
        <w:top w:val="none" w:sz="0" w:space="0" w:color="auto"/>
        <w:left w:val="none" w:sz="0" w:space="0" w:color="auto"/>
        <w:bottom w:val="none" w:sz="0" w:space="0" w:color="auto"/>
        <w:right w:val="none" w:sz="0" w:space="0" w:color="auto"/>
      </w:divBdr>
    </w:div>
    <w:div w:id="1061245317">
      <w:bodyDiv w:val="1"/>
      <w:marLeft w:val="0"/>
      <w:marRight w:val="0"/>
      <w:marTop w:val="0"/>
      <w:marBottom w:val="0"/>
      <w:divBdr>
        <w:top w:val="none" w:sz="0" w:space="0" w:color="auto"/>
        <w:left w:val="none" w:sz="0" w:space="0" w:color="auto"/>
        <w:bottom w:val="none" w:sz="0" w:space="0" w:color="auto"/>
        <w:right w:val="none" w:sz="0" w:space="0" w:color="auto"/>
      </w:divBdr>
    </w:div>
    <w:div w:id="1064599110">
      <w:bodyDiv w:val="1"/>
      <w:marLeft w:val="0"/>
      <w:marRight w:val="0"/>
      <w:marTop w:val="0"/>
      <w:marBottom w:val="0"/>
      <w:divBdr>
        <w:top w:val="none" w:sz="0" w:space="0" w:color="auto"/>
        <w:left w:val="none" w:sz="0" w:space="0" w:color="auto"/>
        <w:bottom w:val="none" w:sz="0" w:space="0" w:color="auto"/>
        <w:right w:val="none" w:sz="0" w:space="0" w:color="auto"/>
      </w:divBdr>
    </w:div>
    <w:div w:id="1097211802">
      <w:bodyDiv w:val="1"/>
      <w:marLeft w:val="0"/>
      <w:marRight w:val="0"/>
      <w:marTop w:val="0"/>
      <w:marBottom w:val="0"/>
      <w:divBdr>
        <w:top w:val="none" w:sz="0" w:space="0" w:color="auto"/>
        <w:left w:val="none" w:sz="0" w:space="0" w:color="auto"/>
        <w:bottom w:val="none" w:sz="0" w:space="0" w:color="auto"/>
        <w:right w:val="none" w:sz="0" w:space="0" w:color="auto"/>
      </w:divBdr>
    </w:div>
    <w:div w:id="1268080354">
      <w:bodyDiv w:val="1"/>
      <w:marLeft w:val="0"/>
      <w:marRight w:val="0"/>
      <w:marTop w:val="0"/>
      <w:marBottom w:val="0"/>
      <w:divBdr>
        <w:top w:val="none" w:sz="0" w:space="0" w:color="auto"/>
        <w:left w:val="none" w:sz="0" w:space="0" w:color="auto"/>
        <w:bottom w:val="none" w:sz="0" w:space="0" w:color="auto"/>
        <w:right w:val="none" w:sz="0" w:space="0" w:color="auto"/>
      </w:divBdr>
    </w:div>
    <w:div w:id="1273780722">
      <w:bodyDiv w:val="1"/>
      <w:marLeft w:val="0"/>
      <w:marRight w:val="0"/>
      <w:marTop w:val="0"/>
      <w:marBottom w:val="0"/>
      <w:divBdr>
        <w:top w:val="none" w:sz="0" w:space="0" w:color="auto"/>
        <w:left w:val="none" w:sz="0" w:space="0" w:color="auto"/>
        <w:bottom w:val="none" w:sz="0" w:space="0" w:color="auto"/>
        <w:right w:val="none" w:sz="0" w:space="0" w:color="auto"/>
      </w:divBdr>
    </w:div>
    <w:div w:id="1366901776">
      <w:bodyDiv w:val="1"/>
      <w:marLeft w:val="0"/>
      <w:marRight w:val="0"/>
      <w:marTop w:val="0"/>
      <w:marBottom w:val="0"/>
      <w:divBdr>
        <w:top w:val="none" w:sz="0" w:space="0" w:color="auto"/>
        <w:left w:val="none" w:sz="0" w:space="0" w:color="auto"/>
        <w:bottom w:val="none" w:sz="0" w:space="0" w:color="auto"/>
        <w:right w:val="none" w:sz="0" w:space="0" w:color="auto"/>
      </w:divBdr>
    </w:div>
    <w:div w:id="1370494803">
      <w:bodyDiv w:val="1"/>
      <w:marLeft w:val="0"/>
      <w:marRight w:val="0"/>
      <w:marTop w:val="0"/>
      <w:marBottom w:val="0"/>
      <w:divBdr>
        <w:top w:val="none" w:sz="0" w:space="0" w:color="auto"/>
        <w:left w:val="none" w:sz="0" w:space="0" w:color="auto"/>
        <w:bottom w:val="none" w:sz="0" w:space="0" w:color="auto"/>
        <w:right w:val="none" w:sz="0" w:space="0" w:color="auto"/>
      </w:divBdr>
    </w:div>
    <w:div w:id="1450203707">
      <w:bodyDiv w:val="1"/>
      <w:marLeft w:val="0"/>
      <w:marRight w:val="0"/>
      <w:marTop w:val="0"/>
      <w:marBottom w:val="0"/>
      <w:divBdr>
        <w:top w:val="none" w:sz="0" w:space="0" w:color="auto"/>
        <w:left w:val="none" w:sz="0" w:space="0" w:color="auto"/>
        <w:bottom w:val="none" w:sz="0" w:space="0" w:color="auto"/>
        <w:right w:val="none" w:sz="0" w:space="0" w:color="auto"/>
      </w:divBdr>
    </w:div>
    <w:div w:id="1458837838">
      <w:bodyDiv w:val="1"/>
      <w:marLeft w:val="0"/>
      <w:marRight w:val="0"/>
      <w:marTop w:val="0"/>
      <w:marBottom w:val="0"/>
      <w:divBdr>
        <w:top w:val="none" w:sz="0" w:space="0" w:color="auto"/>
        <w:left w:val="none" w:sz="0" w:space="0" w:color="auto"/>
        <w:bottom w:val="none" w:sz="0" w:space="0" w:color="auto"/>
        <w:right w:val="none" w:sz="0" w:space="0" w:color="auto"/>
      </w:divBdr>
    </w:div>
    <w:div w:id="1614093993">
      <w:bodyDiv w:val="1"/>
      <w:marLeft w:val="0"/>
      <w:marRight w:val="0"/>
      <w:marTop w:val="0"/>
      <w:marBottom w:val="0"/>
      <w:divBdr>
        <w:top w:val="none" w:sz="0" w:space="0" w:color="auto"/>
        <w:left w:val="none" w:sz="0" w:space="0" w:color="auto"/>
        <w:bottom w:val="none" w:sz="0" w:space="0" w:color="auto"/>
        <w:right w:val="none" w:sz="0" w:space="0" w:color="auto"/>
      </w:divBdr>
    </w:div>
    <w:div w:id="1619989577">
      <w:bodyDiv w:val="1"/>
      <w:marLeft w:val="0"/>
      <w:marRight w:val="0"/>
      <w:marTop w:val="0"/>
      <w:marBottom w:val="0"/>
      <w:divBdr>
        <w:top w:val="none" w:sz="0" w:space="0" w:color="auto"/>
        <w:left w:val="none" w:sz="0" w:space="0" w:color="auto"/>
        <w:bottom w:val="none" w:sz="0" w:space="0" w:color="auto"/>
        <w:right w:val="none" w:sz="0" w:space="0" w:color="auto"/>
      </w:divBdr>
    </w:div>
    <w:div w:id="1632899266">
      <w:bodyDiv w:val="1"/>
      <w:marLeft w:val="0"/>
      <w:marRight w:val="0"/>
      <w:marTop w:val="0"/>
      <w:marBottom w:val="0"/>
      <w:divBdr>
        <w:top w:val="none" w:sz="0" w:space="0" w:color="auto"/>
        <w:left w:val="none" w:sz="0" w:space="0" w:color="auto"/>
        <w:bottom w:val="none" w:sz="0" w:space="0" w:color="auto"/>
        <w:right w:val="none" w:sz="0" w:space="0" w:color="auto"/>
      </w:divBdr>
    </w:div>
    <w:div w:id="1639450890">
      <w:bodyDiv w:val="1"/>
      <w:marLeft w:val="0"/>
      <w:marRight w:val="0"/>
      <w:marTop w:val="0"/>
      <w:marBottom w:val="0"/>
      <w:divBdr>
        <w:top w:val="none" w:sz="0" w:space="0" w:color="auto"/>
        <w:left w:val="none" w:sz="0" w:space="0" w:color="auto"/>
        <w:bottom w:val="none" w:sz="0" w:space="0" w:color="auto"/>
        <w:right w:val="none" w:sz="0" w:space="0" w:color="auto"/>
      </w:divBdr>
    </w:div>
    <w:div w:id="1695887825">
      <w:bodyDiv w:val="1"/>
      <w:marLeft w:val="0"/>
      <w:marRight w:val="0"/>
      <w:marTop w:val="0"/>
      <w:marBottom w:val="0"/>
      <w:divBdr>
        <w:top w:val="none" w:sz="0" w:space="0" w:color="auto"/>
        <w:left w:val="none" w:sz="0" w:space="0" w:color="auto"/>
        <w:bottom w:val="none" w:sz="0" w:space="0" w:color="auto"/>
        <w:right w:val="none" w:sz="0" w:space="0" w:color="auto"/>
      </w:divBdr>
    </w:div>
    <w:div w:id="1797288758">
      <w:bodyDiv w:val="1"/>
      <w:marLeft w:val="0"/>
      <w:marRight w:val="0"/>
      <w:marTop w:val="0"/>
      <w:marBottom w:val="0"/>
      <w:divBdr>
        <w:top w:val="none" w:sz="0" w:space="0" w:color="auto"/>
        <w:left w:val="none" w:sz="0" w:space="0" w:color="auto"/>
        <w:bottom w:val="none" w:sz="0" w:space="0" w:color="auto"/>
        <w:right w:val="none" w:sz="0" w:space="0" w:color="auto"/>
      </w:divBdr>
    </w:div>
    <w:div w:id="1856725616">
      <w:bodyDiv w:val="1"/>
      <w:marLeft w:val="0"/>
      <w:marRight w:val="0"/>
      <w:marTop w:val="0"/>
      <w:marBottom w:val="0"/>
      <w:divBdr>
        <w:top w:val="none" w:sz="0" w:space="0" w:color="auto"/>
        <w:left w:val="none" w:sz="0" w:space="0" w:color="auto"/>
        <w:bottom w:val="none" w:sz="0" w:space="0" w:color="auto"/>
        <w:right w:val="none" w:sz="0" w:space="0" w:color="auto"/>
      </w:divBdr>
    </w:div>
    <w:div w:id="1984457449">
      <w:bodyDiv w:val="1"/>
      <w:marLeft w:val="0"/>
      <w:marRight w:val="0"/>
      <w:marTop w:val="0"/>
      <w:marBottom w:val="0"/>
      <w:divBdr>
        <w:top w:val="none" w:sz="0" w:space="0" w:color="auto"/>
        <w:left w:val="none" w:sz="0" w:space="0" w:color="auto"/>
        <w:bottom w:val="none" w:sz="0" w:space="0" w:color="auto"/>
        <w:right w:val="none" w:sz="0" w:space="0" w:color="auto"/>
      </w:divBdr>
    </w:div>
    <w:div w:id="2008089482">
      <w:bodyDiv w:val="1"/>
      <w:marLeft w:val="0"/>
      <w:marRight w:val="0"/>
      <w:marTop w:val="0"/>
      <w:marBottom w:val="0"/>
      <w:divBdr>
        <w:top w:val="none" w:sz="0" w:space="0" w:color="auto"/>
        <w:left w:val="none" w:sz="0" w:space="0" w:color="auto"/>
        <w:bottom w:val="none" w:sz="0" w:space="0" w:color="auto"/>
        <w:right w:val="none" w:sz="0" w:space="0" w:color="auto"/>
      </w:divBdr>
    </w:div>
    <w:div w:id="2015329736">
      <w:bodyDiv w:val="1"/>
      <w:marLeft w:val="0"/>
      <w:marRight w:val="0"/>
      <w:marTop w:val="0"/>
      <w:marBottom w:val="0"/>
      <w:divBdr>
        <w:top w:val="none" w:sz="0" w:space="0" w:color="auto"/>
        <w:left w:val="none" w:sz="0" w:space="0" w:color="auto"/>
        <w:bottom w:val="none" w:sz="0" w:space="0" w:color="auto"/>
        <w:right w:val="none" w:sz="0" w:space="0" w:color="auto"/>
      </w:divBdr>
    </w:div>
    <w:div w:id="2056075868">
      <w:bodyDiv w:val="1"/>
      <w:marLeft w:val="0"/>
      <w:marRight w:val="0"/>
      <w:marTop w:val="0"/>
      <w:marBottom w:val="0"/>
      <w:divBdr>
        <w:top w:val="none" w:sz="0" w:space="0" w:color="auto"/>
        <w:left w:val="none" w:sz="0" w:space="0" w:color="auto"/>
        <w:bottom w:val="none" w:sz="0" w:space="0" w:color="auto"/>
        <w:right w:val="none" w:sz="0" w:space="0" w:color="auto"/>
      </w:divBdr>
    </w:div>
    <w:div w:id="2098210804">
      <w:bodyDiv w:val="1"/>
      <w:marLeft w:val="0"/>
      <w:marRight w:val="0"/>
      <w:marTop w:val="0"/>
      <w:marBottom w:val="0"/>
      <w:divBdr>
        <w:top w:val="none" w:sz="0" w:space="0" w:color="auto"/>
        <w:left w:val="none" w:sz="0" w:space="0" w:color="auto"/>
        <w:bottom w:val="none" w:sz="0" w:space="0" w:color="auto"/>
        <w:right w:val="none" w:sz="0" w:space="0" w:color="auto"/>
      </w:divBdr>
    </w:div>
    <w:div w:id="2101368266">
      <w:bodyDiv w:val="1"/>
      <w:marLeft w:val="0"/>
      <w:marRight w:val="0"/>
      <w:marTop w:val="0"/>
      <w:marBottom w:val="0"/>
      <w:divBdr>
        <w:top w:val="none" w:sz="0" w:space="0" w:color="auto"/>
        <w:left w:val="none" w:sz="0" w:space="0" w:color="auto"/>
        <w:bottom w:val="none" w:sz="0" w:space="0" w:color="auto"/>
        <w:right w:val="none" w:sz="0" w:space="0" w:color="auto"/>
      </w:divBdr>
    </w:div>
    <w:div w:id="213019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footer" Target="footer4.xml"/><Relationship Id="rId34" Type="http://schemas.openxmlformats.org/officeDocument/2006/relationships/image" Target="media/image13.png"/><Relationship Id="rId42" Type="http://schemas.openxmlformats.org/officeDocument/2006/relationships/header" Target="header5.xm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media@treasury.gov.au" TargetMode="External"/><Relationship Id="rId29" Type="http://schemas.openxmlformats.org/officeDocument/2006/relationships/image" Target="media/image8.jpg"/><Relationship Id="rId11" Type="http://schemas.openxmlformats.org/officeDocument/2006/relationships/hyperlink" Target="https://creativecommons.org/licenses/by/4.0/" TargetMode="External"/><Relationship Id="rId24" Type="http://schemas.openxmlformats.org/officeDocument/2006/relationships/image" Target="media/image3.png"/><Relationship Id="rId32" Type="http://schemas.openxmlformats.org/officeDocument/2006/relationships/image" Target="media/image11.jpg"/><Relationship Id="rId37" Type="http://schemas.openxmlformats.org/officeDocument/2006/relationships/image" Target="media/image16.svg"/><Relationship Id="rId40" Type="http://schemas.openxmlformats.org/officeDocument/2006/relationships/image" Target="media/image19.svg"/><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www.pmc.gov.au/honours-and-symbols/commonwealth-coat-arms" TargetMode="External"/><Relationship Id="rId23" Type="http://schemas.openxmlformats.org/officeDocument/2006/relationships/footer" Target="footer5.xml"/><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image" Target="media/image10.jpg"/><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reativecommons.org/licenses/by/4.0/" TargetMode="External"/><Relationship Id="rId22" Type="http://schemas.openxmlformats.org/officeDocument/2006/relationships/header" Target="header4.xml"/><Relationship Id="rId27" Type="http://schemas.openxmlformats.org/officeDocument/2006/relationships/image" Target="media/image6.jpeg"/><Relationship Id="rId30" Type="http://schemas.openxmlformats.org/officeDocument/2006/relationships/image" Target="media/image9.jpg"/><Relationship Id="rId35" Type="http://schemas.openxmlformats.org/officeDocument/2006/relationships/image" Target="media/image14.jpg"/><Relationship Id="rId43" Type="http://schemas.openxmlformats.org/officeDocument/2006/relationships/header" Target="header6.xml"/><Relationship Id="rId48" Type="http://schemas.openxmlformats.org/officeDocument/2006/relationships/hyperlink" Target="mailto:taxboard@taxboard.gov.au"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www.taxboard.gov.au" TargetMode="External"/><Relationship Id="rId25" Type="http://schemas.openxmlformats.org/officeDocument/2006/relationships/image" Target="media/image4.jpg"/><Relationship Id="rId33" Type="http://schemas.openxmlformats.org/officeDocument/2006/relationships/image" Target="media/image12.jpg"/><Relationship Id="rId38" Type="http://schemas.openxmlformats.org/officeDocument/2006/relationships/image" Target="media/image17.png"/><Relationship Id="rId46" Type="http://schemas.openxmlformats.org/officeDocument/2006/relationships/header" Target="header7.xml"/><Relationship Id="rId20" Type="http://schemas.openxmlformats.org/officeDocument/2006/relationships/footer" Target="footer3.xml"/><Relationship Id="rId41" Type="http://schemas.openxmlformats.org/officeDocument/2006/relationships/hyperlink" Target="https://taxboard.gov.au/current-activities/voluntary-tax-transparency-code"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data.gov.au/dataset/ds-dga-f71709a8-2eeb-4592-ad1f-443f7f520186/details" TargetMode="External"/><Relationship Id="rId1" Type="http://schemas.openxmlformats.org/officeDocument/2006/relationships/hyperlink" Target="https://taxboard.gov.au/sounding-board-plus"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6505</Words>
  <Characters>36660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The Board of Taxation Annual Report 2024­–25</vt:lpstr>
    </vt:vector>
  </TitlesOfParts>
  <Company/>
  <LinksUpToDate>false</LinksUpToDate>
  <CharactersWithSpaces>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Taxation Annual Report 2024­–25</dc:title>
  <dc:subject>Annual Report 2024–25</dc:subject>
  <dc:creator/>
  <cp:keywords/>
  <cp:lastModifiedBy/>
  <cp:revision>1</cp:revision>
  <dcterms:created xsi:type="dcterms:W3CDTF">2025-10-31T03:12:00Z</dcterms:created>
  <dcterms:modified xsi:type="dcterms:W3CDTF">2025-10-31T03:51:00Z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2025-10-31T03:13:09Z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db8f486f-1d44-4008-b280-20fc920bd764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