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0012700"/>
    <w:bookmarkStart w:id="1" w:name="_Toc178088490"/>
    <w:bookmarkStart w:id="2" w:name="_Toc209006403"/>
    <w:bookmarkStart w:id="3" w:name="_Toc209006579"/>
    <w:p w14:paraId="0881F20C" w14:textId="0DE1C247" w:rsidR="00E83F26" w:rsidRPr="009C7F1A" w:rsidRDefault="006E5B4A" w:rsidP="00A35A2F">
      <w:pPr>
        <w:pStyle w:val="CoverTitleMain"/>
        <w:ind w:right="3402"/>
      </w:pPr>
      <w:sdt>
        <w:sdtPr>
          <w:id w:val="1209766061"/>
          <w:docPartObj>
            <w:docPartGallery w:val="Cover Pages"/>
            <w:docPartUnique/>
          </w:docPartObj>
        </w:sdtPr>
        <w:sdtEndPr/>
        <w:sdtContent>
          <w:r w:rsidR="007739FD">
            <w:rPr>
              <w:noProof/>
              <w14:numForm w14:val="default"/>
              <w14:numSpacing w14:val="default"/>
            </w:rPr>
            <w:drawing>
              <wp:anchor distT="0" distB="0" distL="114300" distR="114300" simplePos="0" relativeHeight="251658240" behindDoc="1" locked="1" layoutInCell="1" allowOverlap="1" wp14:anchorId="5E24F66F" wp14:editId="309B07E7">
                <wp:simplePos x="0" y="0"/>
                <wp:positionH relativeFrom="margin">
                  <wp:posOffset>-720090</wp:posOffset>
                </wp:positionH>
                <wp:positionV relativeFrom="margin">
                  <wp:posOffset>-1259840</wp:posOffset>
                </wp:positionV>
                <wp:extent cx="7562215" cy="10691495"/>
                <wp:effectExtent l="0" t="0" r="63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2215" cy="10691495"/>
                        </a:xfrm>
                        <a:prstGeom prst="rect">
                          <a:avLst/>
                        </a:prstGeom>
                      </pic:spPr>
                    </pic:pic>
                  </a:graphicData>
                </a:graphic>
                <wp14:sizeRelH relativeFrom="page">
                  <wp14:pctWidth>0</wp14:pctWidth>
                </wp14:sizeRelH>
                <wp14:sizeRelV relativeFrom="page">
                  <wp14:pctHeight>0</wp14:pctHeight>
                </wp14:sizeRelV>
              </wp:anchor>
            </w:drawing>
          </w:r>
        </w:sdtContent>
      </w:sdt>
      <w:r w:rsidR="006F27B9">
        <w:t>Annual Report</w:t>
      </w:r>
      <w:r w:rsidR="00A35A2F">
        <w:t xml:space="preserve"> 202</w:t>
      </w:r>
      <w:r w:rsidR="0074624E">
        <w:t>3</w:t>
      </w:r>
      <w:r w:rsidR="00A35A2F">
        <w:t>–2</w:t>
      </w:r>
      <w:bookmarkEnd w:id="0"/>
      <w:r w:rsidR="0074624E">
        <w:t>4</w:t>
      </w:r>
      <w:bookmarkEnd w:id="1"/>
      <w:bookmarkEnd w:id="2"/>
      <w:bookmarkEnd w:id="3"/>
    </w:p>
    <w:p w14:paraId="7C2F609E" w14:textId="2FB3F567" w:rsidR="004C2DE1" w:rsidRPr="004C2DE1" w:rsidRDefault="004C2DE1" w:rsidP="004C2DE1">
      <w:pPr>
        <w:pStyle w:val="CoverTitleSub"/>
        <w:jc w:val="both"/>
        <w:sectPr w:rsidR="004C2DE1" w:rsidRPr="004C2DE1" w:rsidSect="00D6630B">
          <w:headerReference w:type="even" r:id="rId8"/>
          <w:footerReference w:type="even" r:id="rId9"/>
          <w:footerReference w:type="default" r:id="rId10"/>
          <w:footerReference w:type="first" r:id="rId11"/>
          <w:pgSz w:w="11909" w:h="16834" w:code="9"/>
          <w:pgMar w:top="1985" w:right="1134" w:bottom="1701" w:left="1134" w:header="1134" w:footer="1134" w:gutter="0"/>
          <w:pgNumType w:fmt="lowerRoman" w:start="0"/>
          <w:cols w:space="708"/>
          <w:vAlign w:val="bottom"/>
          <w:titlePg/>
          <w:docGrid w:linePitch="360"/>
        </w:sectPr>
      </w:pPr>
    </w:p>
    <w:p w14:paraId="409A7852" w14:textId="3E50301D" w:rsidR="006F27B9" w:rsidRDefault="006F27B9" w:rsidP="006F27B9">
      <w:pPr>
        <w:spacing w:before="0"/>
      </w:pPr>
      <w:r w:rsidRPr="00661BF0">
        <w:lastRenderedPageBreak/>
        <w:t xml:space="preserve">© Commonwealth of Australia </w:t>
      </w:r>
      <w:r w:rsidRPr="00095CA6">
        <w:t>202</w:t>
      </w:r>
      <w:r w:rsidR="006845AF">
        <w:t>5</w:t>
      </w:r>
    </w:p>
    <w:p w14:paraId="0106C36D" w14:textId="4E2D5578" w:rsidR="006F27B9" w:rsidRPr="00086F82" w:rsidRDefault="006F27B9" w:rsidP="00730102">
      <w:pPr>
        <w:spacing w:before="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3"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7B83D3B5" w14:textId="77777777" w:rsidR="006F27B9" w:rsidRDefault="006F27B9" w:rsidP="00730102">
      <w:pPr>
        <w:pStyle w:val="ChartGraphic"/>
        <w:spacing w:before="0" w:after="120"/>
        <w:jc w:val="left"/>
      </w:pPr>
      <w:r w:rsidRPr="00E56DFB">
        <w:rPr>
          <w:noProof/>
        </w:rPr>
        <w:drawing>
          <wp:inline distT="0" distB="0" distL="0" distR="0" wp14:anchorId="1397F1A6" wp14:editId="471E2A25">
            <wp:extent cx="809625" cy="285750"/>
            <wp:effectExtent l="0" t="0" r="9525" b="0"/>
            <wp:docPr id="2" name="Picture 2"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B5DBFEB" w14:textId="4D5BB117" w:rsidR="006F27B9" w:rsidRPr="006627B4" w:rsidRDefault="006F27B9" w:rsidP="00730102">
      <w:pPr>
        <w:spacing w:before="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6984E73" w14:textId="172C4660" w:rsidR="006F27B9" w:rsidRPr="006256BA" w:rsidRDefault="006F27B9" w:rsidP="00730102">
      <w:pPr>
        <w:spacing w:before="0"/>
        <w:rPr>
          <w:b/>
        </w:rPr>
      </w:pPr>
      <w:r w:rsidRPr="006256BA">
        <w:rPr>
          <w:b/>
        </w:rPr>
        <w:t xml:space="preserve">Treasury material used </w:t>
      </w:r>
      <w:r w:rsidR="00360869">
        <w:rPr>
          <w:b/>
        </w:rPr>
        <w:t>‘</w:t>
      </w:r>
      <w:r w:rsidRPr="006256BA">
        <w:rPr>
          <w:b/>
        </w:rPr>
        <w:t>as supplied</w:t>
      </w:r>
      <w:r w:rsidR="00360869">
        <w:rPr>
          <w:b/>
        </w:rPr>
        <w:t>’</w:t>
      </w:r>
      <w:r w:rsidRPr="006256BA">
        <w:rPr>
          <w:b/>
        </w:rPr>
        <w:t>.</w:t>
      </w:r>
    </w:p>
    <w:p w14:paraId="3C064E78" w14:textId="289F3649" w:rsidR="006F27B9" w:rsidRPr="00476F09" w:rsidRDefault="006F27B9" w:rsidP="00730102">
      <w:pPr>
        <w:spacing w:before="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DE1E7A">
        <w:t xml:space="preserve"> – </w:t>
      </w:r>
      <w:r>
        <w:t>then Treasury prefers t</w:t>
      </w:r>
      <w:r w:rsidRPr="00476F09">
        <w:t xml:space="preserve">he following attribution: </w:t>
      </w:r>
    </w:p>
    <w:p w14:paraId="58FD3060" w14:textId="0DE21DD5" w:rsidR="006F27B9" w:rsidRPr="00134FAC" w:rsidRDefault="006F27B9" w:rsidP="00134FAC">
      <w:pPr>
        <w:pStyle w:val="NormalIndent"/>
        <w:rPr>
          <w:i/>
          <w:iCs/>
        </w:rPr>
      </w:pPr>
      <w:r w:rsidRPr="00134FAC">
        <w:rPr>
          <w:i/>
          <w:iCs/>
        </w:rPr>
        <w:t>Source: The Board of Taxation 202</w:t>
      </w:r>
      <w:r w:rsidR="000C4C0A">
        <w:rPr>
          <w:i/>
          <w:iCs/>
        </w:rPr>
        <w:t>3</w:t>
      </w:r>
      <w:r w:rsidRPr="00134FAC">
        <w:rPr>
          <w:i/>
          <w:iCs/>
        </w:rPr>
        <w:t>–2</w:t>
      </w:r>
      <w:r w:rsidR="000C4C0A">
        <w:rPr>
          <w:i/>
          <w:iCs/>
        </w:rPr>
        <w:t>4</w:t>
      </w:r>
      <w:r w:rsidRPr="00134FAC">
        <w:rPr>
          <w:i/>
          <w:iCs/>
        </w:rPr>
        <w:t xml:space="preserve"> Annual Report. The Commonwealth of Australia does not necessarily endorse the content of this publication. </w:t>
      </w:r>
    </w:p>
    <w:p w14:paraId="0435CA77" w14:textId="77777777" w:rsidR="006F27B9" w:rsidRPr="006256BA" w:rsidRDefault="006F27B9" w:rsidP="00730102">
      <w:pPr>
        <w:spacing w:before="0"/>
        <w:rPr>
          <w:b/>
        </w:rPr>
      </w:pPr>
      <w:r w:rsidRPr="006256BA">
        <w:rPr>
          <w:b/>
        </w:rPr>
        <w:t>Derivative material</w:t>
      </w:r>
    </w:p>
    <w:p w14:paraId="1EA4E6D0" w14:textId="77777777" w:rsidR="006F27B9" w:rsidRPr="006627B4" w:rsidRDefault="006F27B9" w:rsidP="00730102">
      <w:pPr>
        <w:spacing w:before="0"/>
      </w:pPr>
      <w:r w:rsidRPr="006627B4">
        <w:t xml:space="preserve">If you have modified or transformed Treasury material, or derived new material from those of the Treasury in any way, then Treasury prefers the following attribution: </w:t>
      </w:r>
    </w:p>
    <w:p w14:paraId="37377A27" w14:textId="03BF3F41" w:rsidR="006F27B9" w:rsidRPr="00134FAC" w:rsidRDefault="006F27B9" w:rsidP="00134FAC">
      <w:pPr>
        <w:pStyle w:val="NormalIndent"/>
        <w:rPr>
          <w:i/>
          <w:iCs/>
        </w:rPr>
      </w:pPr>
      <w:r w:rsidRPr="00134FAC">
        <w:rPr>
          <w:i/>
          <w:iCs/>
        </w:rPr>
        <w:t>Based on the Board of Taxation, 202</w:t>
      </w:r>
      <w:r w:rsidR="002367C2">
        <w:rPr>
          <w:i/>
          <w:iCs/>
        </w:rPr>
        <w:t>3</w:t>
      </w:r>
      <w:r w:rsidRPr="00134FAC">
        <w:rPr>
          <w:i/>
          <w:iCs/>
        </w:rPr>
        <w:t>–2</w:t>
      </w:r>
      <w:r w:rsidR="002367C2">
        <w:rPr>
          <w:i/>
          <w:iCs/>
        </w:rPr>
        <w:t>4</w:t>
      </w:r>
      <w:r w:rsidRPr="00134FAC">
        <w:rPr>
          <w:i/>
          <w:iCs/>
        </w:rPr>
        <w:t xml:space="preserve"> Annual Report. The Commonwealth of Australia does not necessarily endorse the content of this publication.</w:t>
      </w:r>
    </w:p>
    <w:p w14:paraId="6655F3AC" w14:textId="77777777" w:rsidR="006F27B9" w:rsidRPr="006256BA" w:rsidRDefault="006F27B9" w:rsidP="00730102">
      <w:pPr>
        <w:spacing w:before="0"/>
        <w:rPr>
          <w:b/>
        </w:rPr>
      </w:pPr>
      <w:r w:rsidRPr="006256BA">
        <w:rPr>
          <w:b/>
        </w:rPr>
        <w:t>Use of the Coat of Arms</w:t>
      </w:r>
    </w:p>
    <w:p w14:paraId="0A71EE98" w14:textId="504F15F2" w:rsidR="006F27B9" w:rsidRPr="006627B4" w:rsidRDefault="006F27B9" w:rsidP="00730102">
      <w:pPr>
        <w:spacing w:before="0"/>
      </w:pPr>
      <w:r w:rsidRPr="00820CAF">
        <w:t xml:space="preserve">The terms under which the Coat of Arms can be used are set out on the Department of the Prime Minister and Cabinet website (see </w:t>
      </w:r>
      <w:hyperlink r:id="rId16" w:history="1">
        <w:r>
          <w:rPr>
            <w:rStyle w:val="Hyperlink"/>
          </w:rPr>
          <w:t>https://www.pmc.gov.au/honours</w:t>
        </w:r>
        <w:r w:rsidR="00360869">
          <w:rPr>
            <w:rStyle w:val="Hyperlink"/>
          </w:rPr>
          <w:noBreakHyphen/>
        </w:r>
        <w:r>
          <w:rPr>
            <w:rStyle w:val="Hyperlink"/>
          </w:rPr>
          <w:t>and</w:t>
        </w:r>
        <w:r w:rsidR="00360869">
          <w:rPr>
            <w:rStyle w:val="Hyperlink"/>
          </w:rPr>
          <w:noBreakHyphen/>
        </w:r>
        <w:r>
          <w:rPr>
            <w:rStyle w:val="Hyperlink"/>
          </w:rPr>
          <w:t>symbols/commonwealth</w:t>
        </w:r>
        <w:r w:rsidR="00360869">
          <w:rPr>
            <w:rStyle w:val="Hyperlink"/>
          </w:rPr>
          <w:noBreakHyphen/>
        </w:r>
        <w:r>
          <w:rPr>
            <w:rStyle w:val="Hyperlink"/>
          </w:rPr>
          <w:t>coat</w:t>
        </w:r>
        <w:r w:rsidR="00360869">
          <w:rPr>
            <w:rStyle w:val="Hyperlink"/>
          </w:rPr>
          <w:noBreakHyphen/>
        </w:r>
        <w:r>
          <w:rPr>
            <w:rStyle w:val="Hyperlink"/>
          </w:rPr>
          <w:t>arms</w:t>
        </w:r>
      </w:hyperlink>
      <w:r>
        <w:t>).</w:t>
      </w:r>
    </w:p>
    <w:p w14:paraId="4FDB0047" w14:textId="77777777" w:rsidR="006F27B9" w:rsidRPr="006627B4" w:rsidRDefault="006F27B9" w:rsidP="00730102">
      <w:pPr>
        <w:spacing w:before="0"/>
        <w:rPr>
          <w:b/>
        </w:rPr>
      </w:pPr>
      <w:r>
        <w:rPr>
          <w:b/>
        </w:rPr>
        <w:t>Other u</w:t>
      </w:r>
      <w:r w:rsidRPr="006627B4">
        <w:rPr>
          <w:b/>
        </w:rPr>
        <w:t>ses</w:t>
      </w:r>
    </w:p>
    <w:p w14:paraId="1FA69370" w14:textId="77777777" w:rsidR="006F27B9" w:rsidRPr="006627B4" w:rsidRDefault="006F27B9" w:rsidP="00730102">
      <w:pPr>
        <w:spacing w:before="0"/>
      </w:pPr>
      <w:r>
        <w:t>E</w:t>
      </w:r>
      <w:r w:rsidRPr="006627B4">
        <w:t>nquiries regarding this licence and any other use of this document are welcome at:</w:t>
      </w:r>
    </w:p>
    <w:p w14:paraId="159A166D" w14:textId="2B4B7B34" w:rsidR="00134FAC" w:rsidRDefault="006F27B9" w:rsidP="00134FAC">
      <w:pPr>
        <w:pStyle w:val="NormalIndent"/>
      </w:pPr>
      <w:r w:rsidRPr="00134FAC">
        <w:t>Manager</w:t>
      </w:r>
      <w:r w:rsidRPr="00134FAC">
        <w:br/>
        <w:t>Media Unit</w:t>
      </w:r>
      <w:r w:rsidRPr="00134FAC">
        <w:br/>
        <w:t>The Treasury</w:t>
      </w:r>
      <w:r w:rsidRPr="00134FAC">
        <w:br/>
        <w:t xml:space="preserve">Langton Crescent </w:t>
      </w:r>
      <w:r w:rsidR="00134FAC">
        <w:br/>
      </w:r>
      <w:r w:rsidR="00730102" w:rsidRPr="00134FAC">
        <w:t>Parkes ACT 2600</w:t>
      </w:r>
      <w:r w:rsidR="00730102" w:rsidRPr="00134FAC">
        <w:br/>
        <w:t>Email</w:t>
      </w:r>
      <w:r w:rsidR="00730102" w:rsidRPr="006627B4">
        <w:t xml:space="preserve">: </w:t>
      </w:r>
      <w:hyperlink r:id="rId17" w:history="1">
        <w:r w:rsidR="00730102">
          <w:rPr>
            <w:rStyle w:val="Hyperlink"/>
          </w:rPr>
          <w:t>media@treasury.gov.au</w:t>
        </w:r>
      </w:hyperlink>
      <w:bookmarkStart w:id="4" w:name="_Hlk135986135"/>
    </w:p>
    <w:p w14:paraId="5A362940" w14:textId="6FFE9B56" w:rsidR="001D6A8A" w:rsidRDefault="006F27B9" w:rsidP="00134FAC">
      <w:pPr>
        <w:sectPr w:rsidR="001D6A8A" w:rsidSect="00B01075">
          <w:headerReference w:type="even" r:id="rId18"/>
          <w:headerReference w:type="default" r:id="rId19"/>
          <w:footerReference w:type="even" r:id="rId20"/>
          <w:footerReference w:type="default" r:id="rId21"/>
          <w:headerReference w:type="first" r:id="rId22"/>
          <w:footerReference w:type="first" r:id="rId23"/>
          <w:pgSz w:w="11909" w:h="16834" w:code="9"/>
          <w:pgMar w:top="1843" w:right="1134" w:bottom="1985" w:left="1134" w:header="1134" w:footer="1134" w:gutter="0"/>
          <w:pgNumType w:fmt="lowerRoman"/>
          <w:cols w:space="708"/>
          <w:titlePg/>
          <w:docGrid w:linePitch="360"/>
        </w:sectPr>
      </w:pPr>
      <w:r>
        <w:t xml:space="preserve">A copy of this document appears on the Board of Taxation website: </w:t>
      </w:r>
      <w:hyperlink r:id="rId24" w:history="1">
        <w:r w:rsidRPr="00892EB0">
          <w:rPr>
            <w:rStyle w:val="Hyperlink"/>
          </w:rPr>
          <w:t>http://www.taxboard.gov.au</w:t>
        </w:r>
      </w:hyperlink>
      <w:r>
        <w:t>.</w:t>
      </w:r>
      <w:bookmarkEnd w:id="4"/>
    </w:p>
    <w:p w14:paraId="6AD96AC4" w14:textId="77777777" w:rsidR="006256BA" w:rsidRDefault="006256BA" w:rsidP="00B9543D">
      <w:pPr>
        <w:pStyle w:val="ContentsHeading"/>
      </w:pPr>
      <w:bookmarkStart w:id="5" w:name="_Toc160012701"/>
      <w:bookmarkStart w:id="6" w:name="_Toc178088491"/>
      <w:bookmarkStart w:id="7" w:name="_Toc209006404"/>
      <w:bookmarkStart w:id="8" w:name="_Toc209006580"/>
      <w:r>
        <w:lastRenderedPageBreak/>
        <w:t>Contents</w:t>
      </w:r>
      <w:bookmarkEnd w:id="5"/>
      <w:bookmarkEnd w:id="6"/>
      <w:bookmarkEnd w:id="7"/>
      <w:bookmarkEnd w:id="8"/>
    </w:p>
    <w:p w14:paraId="591A6004" w14:textId="6313654A"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rFonts w:asciiTheme="majorHAnsi" w:hAnsiTheme="majorHAnsi"/>
          <w:smallCaps/>
        </w:rPr>
        <w:fldChar w:fldCharType="begin"/>
      </w:r>
      <w:r>
        <w:instrText xml:space="preserve"> TOC \o "1-1" \t "Heading 2,2,PreChapterHeading,1" </w:instrText>
      </w:r>
      <w:r>
        <w:rPr>
          <w:rFonts w:asciiTheme="majorHAnsi" w:hAnsiTheme="majorHAnsi"/>
          <w:smallCaps/>
        </w:rPr>
        <w:fldChar w:fldCharType="separate"/>
      </w:r>
      <w:r>
        <w:rPr>
          <w:noProof/>
        </w:rPr>
        <w:t>2023–24 Board overview</w:t>
      </w:r>
      <w:r>
        <w:rPr>
          <w:noProof/>
        </w:rPr>
        <w:tab/>
      </w:r>
      <w:r>
        <w:rPr>
          <w:noProof/>
        </w:rPr>
        <w:fldChar w:fldCharType="begin"/>
      </w:r>
      <w:r>
        <w:rPr>
          <w:noProof/>
        </w:rPr>
        <w:instrText xml:space="preserve"> PAGEREF _Toc209006581 \h </w:instrText>
      </w:r>
      <w:r>
        <w:rPr>
          <w:noProof/>
        </w:rPr>
      </w:r>
      <w:r>
        <w:rPr>
          <w:noProof/>
        </w:rPr>
        <w:fldChar w:fldCharType="separate"/>
      </w:r>
      <w:r w:rsidR="00E256A4">
        <w:rPr>
          <w:noProof/>
        </w:rPr>
        <w:t>1</w:t>
      </w:r>
      <w:r>
        <w:rPr>
          <w:noProof/>
        </w:rPr>
        <w:fldChar w:fldCharType="end"/>
      </w:r>
    </w:p>
    <w:p w14:paraId="63E256F6" w14:textId="7AB8802C"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Message from the Acting Chair</w:t>
      </w:r>
      <w:r>
        <w:rPr>
          <w:noProof/>
        </w:rPr>
        <w:tab/>
      </w:r>
      <w:r>
        <w:rPr>
          <w:noProof/>
        </w:rPr>
        <w:fldChar w:fldCharType="begin"/>
      </w:r>
      <w:r>
        <w:rPr>
          <w:noProof/>
        </w:rPr>
        <w:instrText xml:space="preserve"> PAGEREF _Toc209006582 \h </w:instrText>
      </w:r>
      <w:r>
        <w:rPr>
          <w:noProof/>
        </w:rPr>
      </w:r>
      <w:r>
        <w:rPr>
          <w:noProof/>
        </w:rPr>
        <w:fldChar w:fldCharType="separate"/>
      </w:r>
      <w:r w:rsidR="00E256A4">
        <w:rPr>
          <w:noProof/>
        </w:rPr>
        <w:t>2</w:t>
      </w:r>
      <w:r>
        <w:rPr>
          <w:noProof/>
        </w:rPr>
        <w:fldChar w:fldCharType="end"/>
      </w:r>
    </w:p>
    <w:p w14:paraId="11759668" w14:textId="6B2FFA68"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Introduction from the Secretary and Tax Counsel</w:t>
      </w:r>
      <w:r>
        <w:rPr>
          <w:noProof/>
        </w:rPr>
        <w:tab/>
      </w:r>
      <w:r>
        <w:rPr>
          <w:noProof/>
        </w:rPr>
        <w:fldChar w:fldCharType="begin"/>
      </w:r>
      <w:r>
        <w:rPr>
          <w:noProof/>
        </w:rPr>
        <w:instrText xml:space="preserve"> PAGEREF _Toc209006584 \h </w:instrText>
      </w:r>
      <w:r>
        <w:rPr>
          <w:noProof/>
        </w:rPr>
      </w:r>
      <w:r>
        <w:rPr>
          <w:noProof/>
        </w:rPr>
        <w:fldChar w:fldCharType="separate"/>
      </w:r>
      <w:r w:rsidR="00E256A4">
        <w:rPr>
          <w:noProof/>
        </w:rPr>
        <w:t>4</w:t>
      </w:r>
      <w:r>
        <w:rPr>
          <w:noProof/>
        </w:rPr>
        <w:fldChar w:fldCharType="end"/>
      </w:r>
    </w:p>
    <w:p w14:paraId="6717CE26" w14:textId="4A357FA5"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The Board</w:t>
      </w:r>
      <w:r>
        <w:rPr>
          <w:noProof/>
        </w:rPr>
        <w:tab/>
      </w:r>
      <w:r>
        <w:rPr>
          <w:noProof/>
        </w:rPr>
        <w:fldChar w:fldCharType="begin"/>
      </w:r>
      <w:r>
        <w:rPr>
          <w:noProof/>
        </w:rPr>
        <w:instrText xml:space="preserve"> PAGEREF _Toc209006585 \h </w:instrText>
      </w:r>
      <w:r>
        <w:rPr>
          <w:noProof/>
        </w:rPr>
      </w:r>
      <w:r>
        <w:rPr>
          <w:noProof/>
        </w:rPr>
        <w:fldChar w:fldCharType="separate"/>
      </w:r>
      <w:r w:rsidR="00E256A4">
        <w:rPr>
          <w:noProof/>
        </w:rPr>
        <w:t>5</w:t>
      </w:r>
      <w:r>
        <w:rPr>
          <w:noProof/>
        </w:rPr>
        <w:fldChar w:fldCharType="end"/>
      </w:r>
    </w:p>
    <w:p w14:paraId="76F6EF86" w14:textId="0FEE0241"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Stakeholder communication and engagement</w:t>
      </w:r>
      <w:r>
        <w:rPr>
          <w:noProof/>
        </w:rPr>
        <w:tab/>
      </w:r>
      <w:r>
        <w:rPr>
          <w:noProof/>
        </w:rPr>
        <w:fldChar w:fldCharType="begin"/>
      </w:r>
      <w:r>
        <w:rPr>
          <w:noProof/>
        </w:rPr>
        <w:instrText xml:space="preserve"> PAGEREF _Toc209006589 \h </w:instrText>
      </w:r>
      <w:r>
        <w:rPr>
          <w:noProof/>
        </w:rPr>
      </w:r>
      <w:r>
        <w:rPr>
          <w:noProof/>
        </w:rPr>
        <w:fldChar w:fldCharType="separate"/>
      </w:r>
      <w:r w:rsidR="00E256A4">
        <w:rPr>
          <w:noProof/>
        </w:rPr>
        <w:t>14</w:t>
      </w:r>
      <w:r>
        <w:rPr>
          <w:noProof/>
        </w:rPr>
        <w:fldChar w:fldCharType="end"/>
      </w:r>
    </w:p>
    <w:p w14:paraId="1D7F11F4" w14:textId="7DFDD289"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Activities of the Board in 2023–24</w:t>
      </w:r>
      <w:r>
        <w:rPr>
          <w:noProof/>
        </w:rPr>
        <w:tab/>
      </w:r>
      <w:r>
        <w:rPr>
          <w:noProof/>
        </w:rPr>
        <w:fldChar w:fldCharType="begin"/>
      </w:r>
      <w:r>
        <w:rPr>
          <w:noProof/>
        </w:rPr>
        <w:instrText xml:space="preserve"> PAGEREF _Toc209006595 \h </w:instrText>
      </w:r>
      <w:r>
        <w:rPr>
          <w:noProof/>
        </w:rPr>
      </w:r>
      <w:r>
        <w:rPr>
          <w:noProof/>
        </w:rPr>
        <w:fldChar w:fldCharType="separate"/>
      </w:r>
      <w:r w:rsidR="00E256A4">
        <w:rPr>
          <w:noProof/>
        </w:rPr>
        <w:t>18</w:t>
      </w:r>
      <w:r>
        <w:rPr>
          <w:noProof/>
        </w:rPr>
        <w:fldChar w:fldCharType="end"/>
      </w:r>
    </w:p>
    <w:p w14:paraId="11C0D730" w14:textId="6D064310"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The year ahead – 2024–25 reporting year</w:t>
      </w:r>
      <w:r>
        <w:rPr>
          <w:noProof/>
        </w:rPr>
        <w:tab/>
      </w:r>
      <w:r>
        <w:rPr>
          <w:noProof/>
        </w:rPr>
        <w:fldChar w:fldCharType="begin"/>
      </w:r>
      <w:r>
        <w:rPr>
          <w:noProof/>
        </w:rPr>
        <w:instrText xml:space="preserve"> PAGEREF _Toc209006598 \h </w:instrText>
      </w:r>
      <w:r>
        <w:rPr>
          <w:noProof/>
        </w:rPr>
      </w:r>
      <w:r>
        <w:rPr>
          <w:noProof/>
        </w:rPr>
        <w:fldChar w:fldCharType="separate"/>
      </w:r>
      <w:r w:rsidR="00E256A4">
        <w:rPr>
          <w:noProof/>
        </w:rPr>
        <w:t>22</w:t>
      </w:r>
      <w:r>
        <w:rPr>
          <w:noProof/>
        </w:rPr>
        <w:fldChar w:fldCharType="end"/>
      </w:r>
    </w:p>
    <w:p w14:paraId="2E0BF7F9" w14:textId="6DF1C25E"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Appendix A: The Board</w:t>
      </w:r>
      <w:r w:rsidR="00360869">
        <w:rPr>
          <w:noProof/>
        </w:rPr>
        <w:t>’</w:t>
      </w:r>
      <w:r>
        <w:rPr>
          <w:noProof/>
        </w:rPr>
        <w:t>s Charter</w:t>
      </w:r>
      <w:r>
        <w:rPr>
          <w:noProof/>
        </w:rPr>
        <w:tab/>
      </w:r>
      <w:r>
        <w:rPr>
          <w:noProof/>
        </w:rPr>
        <w:fldChar w:fldCharType="begin"/>
      </w:r>
      <w:r>
        <w:rPr>
          <w:noProof/>
        </w:rPr>
        <w:instrText xml:space="preserve"> PAGEREF _Toc209006599 \h </w:instrText>
      </w:r>
      <w:r>
        <w:rPr>
          <w:noProof/>
        </w:rPr>
      </w:r>
      <w:r>
        <w:rPr>
          <w:noProof/>
        </w:rPr>
        <w:fldChar w:fldCharType="separate"/>
      </w:r>
      <w:r w:rsidR="00E256A4">
        <w:rPr>
          <w:noProof/>
        </w:rPr>
        <w:t>23</w:t>
      </w:r>
      <w:r>
        <w:rPr>
          <w:noProof/>
        </w:rPr>
        <w:fldChar w:fldCharType="end"/>
      </w:r>
    </w:p>
    <w:p w14:paraId="319E6531" w14:textId="0699BA83"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Appendix B: Membership of the Board</w:t>
      </w:r>
      <w:r>
        <w:rPr>
          <w:noProof/>
        </w:rPr>
        <w:tab/>
      </w:r>
      <w:r>
        <w:rPr>
          <w:noProof/>
        </w:rPr>
        <w:fldChar w:fldCharType="begin"/>
      </w:r>
      <w:r>
        <w:rPr>
          <w:noProof/>
        </w:rPr>
        <w:instrText xml:space="preserve"> PAGEREF _Toc209006601 \h </w:instrText>
      </w:r>
      <w:r>
        <w:rPr>
          <w:noProof/>
        </w:rPr>
      </w:r>
      <w:r>
        <w:rPr>
          <w:noProof/>
        </w:rPr>
        <w:fldChar w:fldCharType="separate"/>
      </w:r>
      <w:r w:rsidR="00E256A4">
        <w:rPr>
          <w:noProof/>
        </w:rPr>
        <w:t>25</w:t>
      </w:r>
      <w:r>
        <w:rPr>
          <w:noProof/>
        </w:rPr>
        <w:fldChar w:fldCharType="end"/>
      </w:r>
    </w:p>
    <w:p w14:paraId="2FBE35A0" w14:textId="3593C74C"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Appendix C: Attendance at Board meetings</w:t>
      </w:r>
      <w:r>
        <w:rPr>
          <w:noProof/>
        </w:rPr>
        <w:tab/>
      </w:r>
      <w:r>
        <w:rPr>
          <w:noProof/>
        </w:rPr>
        <w:fldChar w:fldCharType="begin"/>
      </w:r>
      <w:r>
        <w:rPr>
          <w:noProof/>
        </w:rPr>
        <w:instrText xml:space="preserve"> PAGEREF _Toc209006603 \h </w:instrText>
      </w:r>
      <w:r>
        <w:rPr>
          <w:noProof/>
        </w:rPr>
      </w:r>
      <w:r>
        <w:rPr>
          <w:noProof/>
        </w:rPr>
        <w:fldChar w:fldCharType="separate"/>
      </w:r>
      <w:r w:rsidR="00E256A4">
        <w:rPr>
          <w:noProof/>
        </w:rPr>
        <w:t>26</w:t>
      </w:r>
      <w:r>
        <w:rPr>
          <w:noProof/>
        </w:rPr>
        <w:fldChar w:fldCharType="end"/>
      </w:r>
    </w:p>
    <w:p w14:paraId="2F1C048E" w14:textId="2E31C95E"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Appendix D: Board Meetings and Stakeholder Events</w:t>
      </w:r>
      <w:r>
        <w:rPr>
          <w:noProof/>
        </w:rPr>
        <w:tab/>
      </w:r>
      <w:r>
        <w:rPr>
          <w:noProof/>
        </w:rPr>
        <w:fldChar w:fldCharType="begin"/>
      </w:r>
      <w:r>
        <w:rPr>
          <w:noProof/>
        </w:rPr>
        <w:instrText xml:space="preserve"> PAGEREF _Toc209006604 \h </w:instrText>
      </w:r>
      <w:r>
        <w:rPr>
          <w:noProof/>
        </w:rPr>
      </w:r>
      <w:r>
        <w:rPr>
          <w:noProof/>
        </w:rPr>
        <w:fldChar w:fldCharType="separate"/>
      </w:r>
      <w:r w:rsidR="00E256A4">
        <w:rPr>
          <w:noProof/>
        </w:rPr>
        <w:t>27</w:t>
      </w:r>
      <w:r>
        <w:rPr>
          <w:noProof/>
        </w:rPr>
        <w:fldChar w:fldCharType="end"/>
      </w:r>
    </w:p>
    <w:p w14:paraId="60E795B9" w14:textId="6E3F8A1F"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Appendix E: Presentations at events, conferences, and discussion groups</w:t>
      </w:r>
      <w:r>
        <w:rPr>
          <w:noProof/>
        </w:rPr>
        <w:tab/>
      </w:r>
      <w:r>
        <w:rPr>
          <w:noProof/>
        </w:rPr>
        <w:fldChar w:fldCharType="begin"/>
      </w:r>
      <w:r>
        <w:rPr>
          <w:noProof/>
        </w:rPr>
        <w:instrText xml:space="preserve"> PAGEREF _Toc209006605 \h </w:instrText>
      </w:r>
      <w:r>
        <w:rPr>
          <w:noProof/>
        </w:rPr>
      </w:r>
      <w:r>
        <w:rPr>
          <w:noProof/>
        </w:rPr>
        <w:fldChar w:fldCharType="separate"/>
      </w:r>
      <w:r w:rsidR="00E256A4">
        <w:rPr>
          <w:noProof/>
        </w:rPr>
        <w:t>28</w:t>
      </w:r>
      <w:r>
        <w:rPr>
          <w:noProof/>
        </w:rPr>
        <w:fldChar w:fldCharType="end"/>
      </w:r>
    </w:p>
    <w:p w14:paraId="2F67C7C1" w14:textId="78E88A28"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Appendix F: Financial Statements</w:t>
      </w:r>
      <w:r>
        <w:rPr>
          <w:noProof/>
        </w:rPr>
        <w:tab/>
      </w:r>
      <w:r>
        <w:rPr>
          <w:noProof/>
        </w:rPr>
        <w:fldChar w:fldCharType="begin"/>
      </w:r>
      <w:r>
        <w:rPr>
          <w:noProof/>
        </w:rPr>
        <w:instrText xml:space="preserve"> PAGEREF _Toc209006606 \h </w:instrText>
      </w:r>
      <w:r>
        <w:rPr>
          <w:noProof/>
        </w:rPr>
      </w:r>
      <w:r>
        <w:rPr>
          <w:noProof/>
        </w:rPr>
        <w:fldChar w:fldCharType="separate"/>
      </w:r>
      <w:r w:rsidR="00E256A4">
        <w:rPr>
          <w:noProof/>
        </w:rPr>
        <w:t>29</w:t>
      </w:r>
      <w:r>
        <w:rPr>
          <w:noProof/>
        </w:rPr>
        <w:fldChar w:fldCharType="end"/>
      </w:r>
    </w:p>
    <w:p w14:paraId="3B670005" w14:textId="5398D0DF"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Contact details</w:t>
      </w:r>
      <w:r>
        <w:rPr>
          <w:noProof/>
        </w:rPr>
        <w:tab/>
      </w:r>
      <w:r>
        <w:rPr>
          <w:noProof/>
        </w:rPr>
        <w:fldChar w:fldCharType="begin"/>
      </w:r>
      <w:r>
        <w:rPr>
          <w:noProof/>
        </w:rPr>
        <w:instrText xml:space="preserve"> PAGEREF _Toc209006607 \h </w:instrText>
      </w:r>
      <w:r>
        <w:rPr>
          <w:noProof/>
        </w:rPr>
      </w:r>
      <w:r>
        <w:rPr>
          <w:noProof/>
        </w:rPr>
        <w:fldChar w:fldCharType="separate"/>
      </w:r>
      <w:r w:rsidR="00E256A4">
        <w:rPr>
          <w:noProof/>
        </w:rPr>
        <w:t>30</w:t>
      </w:r>
      <w:r>
        <w:rPr>
          <w:noProof/>
        </w:rPr>
        <w:fldChar w:fldCharType="end"/>
      </w:r>
    </w:p>
    <w:p w14:paraId="79788F89" w14:textId="7D3525A6" w:rsidR="009142FA" w:rsidRDefault="009142FA">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Glossary of terms</w:t>
      </w:r>
      <w:r>
        <w:rPr>
          <w:noProof/>
        </w:rPr>
        <w:tab/>
      </w:r>
      <w:r>
        <w:rPr>
          <w:noProof/>
        </w:rPr>
        <w:fldChar w:fldCharType="begin"/>
      </w:r>
      <w:r>
        <w:rPr>
          <w:noProof/>
        </w:rPr>
        <w:instrText xml:space="preserve"> PAGEREF _Toc209006608 \h </w:instrText>
      </w:r>
      <w:r>
        <w:rPr>
          <w:noProof/>
        </w:rPr>
      </w:r>
      <w:r>
        <w:rPr>
          <w:noProof/>
        </w:rPr>
        <w:fldChar w:fldCharType="separate"/>
      </w:r>
      <w:r w:rsidR="00E256A4">
        <w:rPr>
          <w:noProof/>
        </w:rPr>
        <w:t>31</w:t>
      </w:r>
      <w:r>
        <w:rPr>
          <w:noProof/>
        </w:rPr>
        <w:fldChar w:fldCharType="end"/>
      </w:r>
    </w:p>
    <w:p w14:paraId="08E44832" w14:textId="755CE392" w:rsidR="006256BA" w:rsidRDefault="009142FA">
      <w:r>
        <w:rPr>
          <w:rFonts w:ascii="Arial Bold" w:hAnsi="Arial Bold"/>
          <w:b/>
          <w:color w:val="000080"/>
        </w:rPr>
        <w:fldChar w:fldCharType="end"/>
      </w:r>
    </w:p>
    <w:p w14:paraId="38B25346" w14:textId="77777777" w:rsidR="006256BA" w:rsidRDefault="006256BA">
      <w:pPr>
        <w:sectPr w:rsidR="006256BA" w:rsidSect="00D6630B">
          <w:pgSz w:w="11909" w:h="16834" w:code="9"/>
          <w:pgMar w:top="1985" w:right="1134" w:bottom="1985" w:left="1134" w:header="1134" w:footer="1134" w:gutter="0"/>
          <w:pgNumType w:fmt="lowerRoman"/>
          <w:cols w:space="708"/>
          <w:titlePg/>
          <w:docGrid w:linePitch="360"/>
        </w:sectPr>
      </w:pPr>
    </w:p>
    <w:p w14:paraId="2C31653F" w14:textId="62E4BF8A" w:rsidR="007D0FA4" w:rsidRPr="00612E0B" w:rsidRDefault="006F27B9" w:rsidP="00CF573F">
      <w:pPr>
        <w:pStyle w:val="Heading1"/>
      </w:pPr>
      <w:bookmarkStart w:id="9" w:name="_Toc209006405"/>
      <w:bookmarkStart w:id="10" w:name="_Toc209006581"/>
      <w:r w:rsidRPr="00612E0B">
        <w:lastRenderedPageBreak/>
        <w:t>202</w:t>
      </w:r>
      <w:r w:rsidR="0074624E" w:rsidRPr="00612E0B">
        <w:t>3</w:t>
      </w:r>
      <w:r w:rsidR="00411947" w:rsidRPr="00612E0B">
        <w:t>–</w:t>
      </w:r>
      <w:r w:rsidRPr="00612E0B">
        <w:t>2</w:t>
      </w:r>
      <w:r w:rsidR="0074624E" w:rsidRPr="00612E0B">
        <w:t>4</w:t>
      </w:r>
      <w:r w:rsidRPr="00612E0B">
        <w:t xml:space="preserve"> Board overview</w:t>
      </w:r>
      <w:bookmarkEnd w:id="9"/>
      <w:bookmarkEnd w:id="10"/>
    </w:p>
    <w:p w14:paraId="0E58F9D8" w14:textId="4DC60CB0" w:rsidR="00125ED1" w:rsidRPr="00125ED1" w:rsidRDefault="00125ED1" w:rsidP="00125ED1">
      <w:r>
        <w:rPr>
          <w:noProof/>
        </w:rPr>
        <w:drawing>
          <wp:inline distT="0" distB="0" distL="0" distR="0" wp14:anchorId="283B292D" wp14:editId="49727ABC">
            <wp:extent cx="6119390" cy="5619600"/>
            <wp:effectExtent l="0" t="0" r="0" b="635"/>
            <wp:docPr id="68751689" name="Picture 1" descr="2023-24 Board overview image shows:&#10;- 6 Private sector Board members&#10;- 3 ex-officio&#10;We welcomed:&#10;- Rob Heferen - New Commissioner of Taxation and ex-officio Board member&#10;- Andrew Mills - New Board member&#10;- Judy O'Connell - New Board member&#10;We farewelled: &#10;- Chris Jordan AO - Outgoing Commission of Taxation&#10;- Tanya Titman - Board member &#10;&#10;There were 219 signatories to the Voluntary Tax Transparency Code - as at 30 June 2024&#10;&#10;Signatories by size of signatory:&#10;Large - 178&#10;Medium - 31&#10;Small - 8&#10;&#10;Signatories by origin of ultimate holding company:&#10;Australia - 165&#10;Foreign - 44&#10;Australian and Foreign dual listed - 8&#10;Undisclosed - 2&#10;&#10;Stakeholder engagement - 2023-24 was a transitional phase. The Board met with more than 50 representatives from over 20 organisations.&#10;&#10;Formal Reviews - Finalisation of the Review of taxation of digital assets and transactions i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1689" name="Picture 1" descr="2023-24 Board overview image shows:&#10;- 6 Private sector Board members&#10;- 3 ex-officio&#10;We welcomed:&#10;- Rob Heferen - New Commissioner of Taxation and ex-officio Board member&#10;- Andrew Mills - New Board member&#10;- Judy O'Connell - New Board member&#10;We farewelled: &#10;- Chris Jordan AO - Outgoing Commission of Taxation&#10;- Tanya Titman - Board member &#10;&#10;There were 219 signatories to the Voluntary Tax Transparency Code - as at 30 June 2024&#10;&#10;Signatories by size of signatory:&#10;Large - 178&#10;Medium - 31&#10;Small - 8&#10;&#10;Signatories by origin of ultimate holding company:&#10;Australia - 165&#10;Foreign - 44&#10;Australian and Foreign dual listed - 8&#10;Undisclosed - 2&#10;&#10;Stakeholder engagement - 2023-24 was a transitional phase. The Board met with more than 50 representatives from over 20 organisations.&#10;&#10;Formal Reviews - Finalisation of the Review of taxation of digital assets and transactions in Australia  "/>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119390" cy="5619600"/>
                    </a:xfrm>
                    <a:prstGeom prst="rect">
                      <a:avLst/>
                    </a:prstGeom>
                    <a:noFill/>
                    <a:ln>
                      <a:noFill/>
                    </a:ln>
                  </pic:spPr>
                </pic:pic>
              </a:graphicData>
            </a:graphic>
          </wp:inline>
        </w:drawing>
      </w:r>
    </w:p>
    <w:p w14:paraId="2B776068" w14:textId="7AF7EAD3" w:rsidR="0074624E" w:rsidRPr="00EC66E6" w:rsidRDefault="0074624E" w:rsidP="00EC66E6">
      <w:r>
        <w:br w:type="page"/>
      </w:r>
    </w:p>
    <w:p w14:paraId="6016E7B3" w14:textId="25C39BF2" w:rsidR="001B0BCD" w:rsidRDefault="00C05B99" w:rsidP="00840DE6">
      <w:pPr>
        <w:pStyle w:val="Heading1"/>
      </w:pPr>
      <w:bookmarkStart w:id="11" w:name="_Toc209006406"/>
      <w:bookmarkStart w:id="12" w:name="_Toc209006582"/>
      <w:r w:rsidRPr="007A2E96">
        <w:lastRenderedPageBreak/>
        <w:t>Message</w:t>
      </w:r>
      <w:r w:rsidR="006F27B9" w:rsidRPr="007A2E96">
        <w:t xml:space="preserve"> from the </w:t>
      </w:r>
      <w:r w:rsidR="00BE3E85" w:rsidRPr="007A2E96">
        <w:t xml:space="preserve">Acting </w:t>
      </w:r>
      <w:r w:rsidR="006F27B9" w:rsidRPr="007A2E96">
        <w:t>Chair</w:t>
      </w:r>
      <w:bookmarkEnd w:id="11"/>
      <w:bookmarkEnd w:id="12"/>
    </w:p>
    <w:tbl>
      <w:tblPr>
        <w:tblW w:w="5000" w:type="pct"/>
        <w:shd w:val="clear" w:color="auto" w:fill="F6F2ED" w:themeFill="accent3" w:themeFillTint="33"/>
        <w:tblCellMar>
          <w:top w:w="284" w:type="dxa"/>
          <w:left w:w="454" w:type="dxa"/>
          <w:bottom w:w="397" w:type="dxa"/>
          <w:right w:w="454" w:type="dxa"/>
        </w:tblCellMar>
        <w:tblLook w:val="01E0" w:firstRow="1" w:lastRow="1" w:firstColumn="1" w:lastColumn="1" w:noHBand="0" w:noVBand="0"/>
      </w:tblPr>
      <w:tblGrid>
        <w:gridCol w:w="9641"/>
      </w:tblGrid>
      <w:tr w:rsidR="002037AE" w:rsidRPr="00BD5ED8" w14:paraId="0DBB75CE" w14:textId="77777777" w:rsidTr="00F330FC">
        <w:tc>
          <w:tcPr>
            <w:tcW w:w="5000" w:type="pct"/>
            <w:shd w:val="clear" w:color="auto" w:fill="F6F2ED" w:themeFill="accent3" w:themeFillTint="33"/>
          </w:tcPr>
          <w:p w14:paraId="1AAD07AD" w14:textId="242D82D7" w:rsidR="002037AE" w:rsidRPr="002037AE" w:rsidRDefault="002037AE" w:rsidP="002037AE">
            <w:pPr>
              <w:pStyle w:val="BoxHeading1"/>
            </w:pPr>
            <w:bookmarkStart w:id="13" w:name="_Hlk209016044"/>
            <w:r>
              <w:rPr>
                <w:noProof/>
              </w:rPr>
              <w:drawing>
                <wp:anchor distT="0" distB="0" distL="114300" distR="114300" simplePos="0" relativeHeight="251658241" behindDoc="0" locked="0" layoutInCell="1" allowOverlap="1" wp14:anchorId="3C630C47" wp14:editId="6DFC3751">
                  <wp:simplePos x="0" y="0"/>
                  <wp:positionH relativeFrom="column">
                    <wp:posOffset>2540</wp:posOffset>
                  </wp:positionH>
                  <wp:positionV relativeFrom="paragraph">
                    <wp:posOffset>73025</wp:posOffset>
                  </wp:positionV>
                  <wp:extent cx="1449457" cy="1440000"/>
                  <wp:effectExtent l="0" t="0" r="0" b="8255"/>
                  <wp:wrapSquare wrapText="bothSides"/>
                  <wp:docPr id="592111924" name="Picture 592111924" descr="Dr Julianne Jaques KC — Acting Chair,&#10;Board of Tax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11924" name="Picture 592111924" descr="Dr Julianne Jaques KC — Acting Chair,&#10;Board of Taxation&#10;"/>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449457"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7AE">
              <w:t>Dr Julianne Jaques KC</w:t>
            </w:r>
          </w:p>
          <w:p w14:paraId="64E19BCE" w14:textId="77777777" w:rsidR="002037AE" w:rsidRPr="002037AE" w:rsidRDefault="002037AE" w:rsidP="002037AE">
            <w:pPr>
              <w:pStyle w:val="BoxText"/>
            </w:pPr>
            <w:r w:rsidRPr="002037AE">
              <w:t xml:space="preserve">As acting Chair, I am pleased to present the Annual Report for the Board of Taxation (the Board) for the 2023–24 reporting year. </w:t>
            </w:r>
          </w:p>
          <w:p w14:paraId="3E23225A" w14:textId="47C39445" w:rsidR="002037AE" w:rsidRPr="002037AE" w:rsidRDefault="005F2983" w:rsidP="002037AE">
            <w:pPr>
              <w:pStyle w:val="BoxText"/>
            </w:pPr>
            <w:r>
              <w:t>During the reporting year, the</w:t>
            </w:r>
            <w:r w:rsidRPr="002037AE">
              <w:t xml:space="preserve"> </w:t>
            </w:r>
            <w:r w:rsidR="002037AE" w:rsidRPr="002037AE">
              <w:t xml:space="preserve">Chair </w:t>
            </w:r>
            <w:r>
              <w:t>at that time</w:t>
            </w:r>
            <w:r w:rsidR="002037AE" w:rsidRPr="002037AE">
              <w:t xml:space="preserve">, Rosheen </w:t>
            </w:r>
            <w:proofErr w:type="spellStart"/>
            <w:r w:rsidR="002037AE" w:rsidRPr="002037AE">
              <w:t>Garnon</w:t>
            </w:r>
            <w:proofErr w:type="spellEnd"/>
            <w:r w:rsidR="002037AE" w:rsidRPr="002037AE">
              <w:t>, continued to meet with Treasury Ministers to report on the work of the Board and to share the tax issues impacting the business and wider community. The Board</w:t>
            </w:r>
            <w:r w:rsidR="00360869">
              <w:t>’</w:t>
            </w:r>
            <w:r w:rsidR="002037AE" w:rsidRPr="002037AE">
              <w:t>s feedback and liaison with Government was particularly enhanced by the Board</w:t>
            </w:r>
            <w:r w:rsidR="00360869">
              <w:t>’</w:t>
            </w:r>
            <w:r w:rsidR="002037AE" w:rsidRPr="002037AE">
              <w:t>s updated stakeholder engagement strategy including regular stakeholder events covering specific tax topics.</w:t>
            </w:r>
          </w:p>
          <w:p w14:paraId="64E99B7A" w14:textId="351BE8FE" w:rsidR="002037AE" w:rsidRPr="002037AE" w:rsidRDefault="002037AE" w:rsidP="002037AE">
            <w:pPr>
              <w:pStyle w:val="BoxText"/>
            </w:pPr>
            <w:r w:rsidRPr="002037AE">
              <w:t>In February 2024, the Board delivered its Report on its Review of the Tax Treatment of Digital</w:t>
            </w:r>
            <w:r w:rsidR="00A266DC">
              <w:t> </w:t>
            </w:r>
            <w:r w:rsidRPr="002037AE">
              <w:t>Assets to Government. This was a significant review for the Board, involving extensive consultation with the Australian business and wider community as well as consideration of international experience and in–depth research with assistance provided by Australian academics</w:t>
            </w:r>
            <w:r w:rsidR="00360869">
              <w:t xml:space="preserve">. </w:t>
            </w:r>
            <w:r w:rsidRPr="002037AE">
              <w:t>The Government has now released the Board</w:t>
            </w:r>
            <w:r w:rsidR="00360869">
              <w:t>’</w:t>
            </w:r>
            <w:r w:rsidRPr="002037AE">
              <w:t xml:space="preserve">s report. The Board is extremely grateful to all of those who contributed to this important review. </w:t>
            </w:r>
          </w:p>
          <w:p w14:paraId="70FE8DC7" w14:textId="584681FC" w:rsidR="002037AE" w:rsidRPr="002037AE" w:rsidRDefault="002037AE" w:rsidP="002037AE">
            <w:pPr>
              <w:pStyle w:val="BoxText"/>
            </w:pPr>
            <w:r w:rsidRPr="002037AE">
              <w:t xml:space="preserve">During the reporting year, the Board continued its </w:t>
            </w:r>
            <w:proofErr w:type="gramStart"/>
            <w:r w:rsidRPr="002037AE">
              <w:t>often unseen</w:t>
            </w:r>
            <w:proofErr w:type="gramEnd"/>
            <w:r w:rsidRPr="002037AE">
              <w:t xml:space="preserve"> work providing on–going feedback and consultation to the Government, Treasury and the Australian Taxation Office on various taxation issues under consideration</w:t>
            </w:r>
            <w:r w:rsidR="00360869">
              <w:t xml:space="preserve">. </w:t>
            </w:r>
            <w:r w:rsidRPr="002037AE">
              <w:t xml:space="preserve">Board members also continued their participation in conferences and seminars and in consulting through their networks on tax issues. These activities are important to the Board in fulfilling its Mission to contribute a business and broader community perspective to improving the design of taxation laws and their operation. </w:t>
            </w:r>
          </w:p>
          <w:p w14:paraId="70921229" w14:textId="37716532" w:rsidR="002037AE" w:rsidRPr="002037AE" w:rsidRDefault="002037AE" w:rsidP="002037AE">
            <w:pPr>
              <w:pStyle w:val="BoxText"/>
            </w:pPr>
            <w:r w:rsidRPr="002037AE">
              <w:t>The reporting year saw the end of the terms on the Board of members Tanya Titman and Chis</w:t>
            </w:r>
            <w:r w:rsidR="00C337BE">
              <w:t> </w:t>
            </w:r>
            <w:r w:rsidRPr="002037AE">
              <w:t>Jordan</w:t>
            </w:r>
            <w:r w:rsidR="009E760D">
              <w:t xml:space="preserve"> AO</w:t>
            </w:r>
            <w:r w:rsidRPr="002037AE">
              <w:t xml:space="preserve">. Tanya was a valued private sector member of the </w:t>
            </w:r>
            <w:proofErr w:type="gramStart"/>
            <w:r w:rsidRPr="002037AE">
              <w:t>Board</w:t>
            </w:r>
            <w:proofErr w:type="gramEnd"/>
            <w:r w:rsidRPr="002037AE">
              <w:t xml:space="preserve"> and we thank her for her untiring work in contributing her small business and digital innovation expertise to the work of the Board. Chris</w:t>
            </w:r>
            <w:r w:rsidR="00360869">
              <w:t>’</w:t>
            </w:r>
            <w:r w:rsidRPr="002037AE">
              <w:t>s ex officio membership of the Board ceased with the completion of his term as Commissioner of Taxation at the end of February 2024. Chris had been a member of the Board in various capacities since the Board was established in 2000, and we sincerely thank him for his decades of dedication to and support of the Board.</w:t>
            </w:r>
          </w:p>
          <w:p w14:paraId="2ECFAD4D" w14:textId="408B5079" w:rsidR="002037AE" w:rsidRPr="002037AE" w:rsidRDefault="002037AE" w:rsidP="005A6A92">
            <w:pPr>
              <w:pStyle w:val="BoxText"/>
              <w:keepLines/>
            </w:pPr>
            <w:r w:rsidRPr="002037AE">
              <w:lastRenderedPageBreak/>
              <w:t>We were pleased to be joined during the reporting year by new private sector Board members Andrew Mills and Judy O</w:t>
            </w:r>
            <w:r w:rsidR="00360869">
              <w:t>’</w:t>
            </w:r>
            <w:r w:rsidRPr="002037AE">
              <w:t>Connell, and new ex</w:t>
            </w:r>
            <w:r w:rsidR="00360869">
              <w:noBreakHyphen/>
            </w:r>
            <w:r w:rsidRPr="002037AE">
              <w:t xml:space="preserve">officio Board member Rob </w:t>
            </w:r>
            <w:proofErr w:type="spellStart"/>
            <w:r w:rsidRPr="002037AE">
              <w:t>Heferen</w:t>
            </w:r>
            <w:proofErr w:type="spellEnd"/>
            <w:r w:rsidRPr="002037AE">
              <w:t xml:space="preserve">. Judy brings extensive domestic and global experience in tax administration and the small business sector, and Andrew brings valuable experience from his </w:t>
            </w:r>
            <w:r w:rsidR="00770B42" w:rsidRPr="002037AE">
              <w:t>wide</w:t>
            </w:r>
            <w:r w:rsidR="00360869">
              <w:noBreakHyphen/>
            </w:r>
            <w:r w:rsidR="00770B42" w:rsidRPr="002037AE">
              <w:t>ranging</w:t>
            </w:r>
            <w:r w:rsidRPr="002037AE">
              <w:t xml:space="preserve"> tax career including senior commercial, accounting, legal, government, professional association and academic roles. Rob joined the Board in his capacity as Australia</w:t>
            </w:r>
            <w:r w:rsidR="00360869">
              <w:t>’</w:t>
            </w:r>
            <w:r w:rsidRPr="002037AE">
              <w:t>s new Commissioner of Taxation. Rob has had a long career in the Australian Public Service, including leading the Secretariate for Australia</w:t>
            </w:r>
            <w:r w:rsidR="00360869">
              <w:t>’</w:t>
            </w:r>
            <w:r w:rsidRPr="002037AE">
              <w:t>s Future Tax System Review (the Henry Review) and five years as Deputy Secretary, Revenue Group at the Commonwealth Treasury where he worked closely with the Board. The Board is benefitting greatly from the contributions of our new members.</w:t>
            </w:r>
          </w:p>
          <w:p w14:paraId="703826EE" w14:textId="43744190" w:rsidR="002037AE" w:rsidRPr="002037AE" w:rsidRDefault="002037AE" w:rsidP="002037AE">
            <w:pPr>
              <w:pStyle w:val="BoxText"/>
            </w:pPr>
            <w:r w:rsidRPr="002037AE">
              <w:t>This year also saw the appointment of our new Secretary and Tax Counsel (S&amp;TC), Paul</w:t>
            </w:r>
            <w:r w:rsidR="00A266DC">
              <w:t> </w:t>
            </w:r>
            <w:r w:rsidRPr="002037AE">
              <w:t>Korganow, who replaced our acting Chief Executive Michelle Calder who moved on to another senior role in the Treasury</w:t>
            </w:r>
            <w:r w:rsidR="00360869">
              <w:t xml:space="preserve">. </w:t>
            </w:r>
            <w:r w:rsidRPr="002037AE">
              <w:t>Michelle had been a valued member of the Secretariat since 2021 and contributed to much of the Board</w:t>
            </w:r>
            <w:r w:rsidR="00360869">
              <w:t>’</w:t>
            </w:r>
            <w:r w:rsidRPr="002037AE">
              <w:t>s work during that period</w:t>
            </w:r>
            <w:r w:rsidR="00360869">
              <w:t xml:space="preserve">. </w:t>
            </w:r>
            <w:r w:rsidRPr="002037AE">
              <w:t>We thank her for her substantial contribution.</w:t>
            </w:r>
          </w:p>
          <w:p w14:paraId="353A6F00" w14:textId="599D4653" w:rsidR="002037AE" w:rsidRPr="002037AE" w:rsidRDefault="002037AE" w:rsidP="002037AE">
            <w:pPr>
              <w:pStyle w:val="BoxText"/>
            </w:pPr>
            <w:r w:rsidRPr="002037AE">
              <w:t>Paul</w:t>
            </w:r>
            <w:r w:rsidR="00360869">
              <w:t>’</w:t>
            </w:r>
            <w:r w:rsidRPr="002037AE">
              <w:t xml:space="preserve">s role as S&amp;TC involves leading the work of the Secretariat in its support of the Board, and he is often engaged in consultations and communications with industry and other stakeholders. Paul started in his new role at the end of the reporting period and has made a significant contribution whilst bringing renewed energy and focus to the work of the Secretariat. </w:t>
            </w:r>
          </w:p>
          <w:p w14:paraId="1DC11444" w14:textId="0AC62E85" w:rsidR="002037AE" w:rsidRPr="002037AE" w:rsidRDefault="002037AE" w:rsidP="002037AE">
            <w:pPr>
              <w:pStyle w:val="BoxText"/>
            </w:pPr>
            <w:r w:rsidRPr="002037AE">
              <w:t>Finally, I would like to thank our stakeholders for their ongoing engagement with the Board. Our stakeholders</w:t>
            </w:r>
            <w:r w:rsidR="00360869">
              <w:t>’</w:t>
            </w:r>
            <w:r w:rsidRPr="002037AE">
              <w:t xml:space="preserve"> insights and contributions are invaluable in helping us better understand the issues faced in the business and broader taxation community. </w:t>
            </w:r>
            <w:r w:rsidR="005F2983">
              <w:t>The Board</w:t>
            </w:r>
            <w:r w:rsidR="005F2983" w:rsidRPr="002037AE">
              <w:t xml:space="preserve"> </w:t>
            </w:r>
            <w:r w:rsidRPr="002037AE">
              <w:t>look</w:t>
            </w:r>
            <w:r w:rsidR="005F2983">
              <w:t>s</w:t>
            </w:r>
            <w:r w:rsidRPr="002037AE">
              <w:t xml:space="preserve"> forward to continuing this open and meaningful dialogue together. </w:t>
            </w:r>
          </w:p>
          <w:p w14:paraId="445666DF" w14:textId="44986679" w:rsidR="005849F6" w:rsidRDefault="00CC2152" w:rsidP="00840DE6">
            <w:pPr>
              <w:pStyle w:val="BoxText"/>
              <w:spacing w:after="0"/>
              <w:rPr>
                <w:b/>
                <w:bCs/>
              </w:rPr>
            </w:pPr>
            <w:r>
              <w:rPr>
                <w:b/>
                <w:bCs/>
                <w:noProof/>
              </w:rPr>
              <w:drawing>
                <wp:inline distT="0" distB="0" distL="0" distR="0" wp14:anchorId="259FFE1C" wp14:editId="4CFA1240">
                  <wp:extent cx="1206752" cy="389716"/>
                  <wp:effectExtent l="0" t="0" r="0" b="0"/>
                  <wp:docPr id="1884025889" name="Picture 1" descr="Dr Julianne Jaques KC -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25889" name="Picture 1" descr="Dr Julianne Jaques KC - Signature"/>
                          <pic:cNvPicPr/>
                        </pic:nvPicPr>
                        <pic:blipFill rotWithShape="1">
                          <a:blip r:embed="rId27" cstate="print">
                            <a:extLst>
                              <a:ext uri="{28A0092B-C50C-407E-A947-70E740481C1C}">
                                <a14:useLocalDpi xmlns:a14="http://schemas.microsoft.com/office/drawing/2010/main" val="0"/>
                              </a:ext>
                            </a:extLst>
                          </a:blip>
                          <a:srcRect/>
                          <a:stretch/>
                        </pic:blipFill>
                        <pic:spPr>
                          <a:xfrm>
                            <a:off x="0" y="0"/>
                            <a:ext cx="1206752" cy="389716"/>
                          </a:xfrm>
                          <a:prstGeom prst="rect">
                            <a:avLst/>
                          </a:prstGeom>
                        </pic:spPr>
                      </pic:pic>
                    </a:graphicData>
                  </a:graphic>
                </wp:inline>
              </w:drawing>
            </w:r>
          </w:p>
          <w:p w14:paraId="2DCCD08C" w14:textId="2A1A0C4B" w:rsidR="002037AE" w:rsidRPr="00840DE6" w:rsidRDefault="002037AE" w:rsidP="00840DE6">
            <w:pPr>
              <w:pStyle w:val="BoxText"/>
              <w:spacing w:after="0"/>
              <w:rPr>
                <w:b/>
                <w:bCs/>
              </w:rPr>
            </w:pPr>
            <w:r w:rsidRPr="00840DE6">
              <w:rPr>
                <w:b/>
                <w:bCs/>
              </w:rPr>
              <w:t xml:space="preserve">Dr Julianne Jaques KC </w:t>
            </w:r>
          </w:p>
          <w:p w14:paraId="54607A32" w14:textId="20BFC281" w:rsidR="002037AE" w:rsidRPr="002568B6" w:rsidRDefault="002037AE" w:rsidP="00840DE6">
            <w:pPr>
              <w:pStyle w:val="BoxText"/>
              <w:spacing w:after="0"/>
              <w:rPr>
                <w:b/>
                <w:bCs/>
              </w:rPr>
            </w:pPr>
            <w:r w:rsidRPr="002568B6">
              <w:rPr>
                <w:b/>
                <w:bCs/>
              </w:rPr>
              <w:t>Acting Chair,</w:t>
            </w:r>
            <w:r w:rsidR="002568B6">
              <w:rPr>
                <w:b/>
                <w:bCs/>
              </w:rPr>
              <w:br/>
            </w:r>
            <w:r w:rsidRPr="002568B6">
              <w:rPr>
                <w:b/>
                <w:bCs/>
              </w:rPr>
              <w:t>Board of Taxation</w:t>
            </w:r>
          </w:p>
          <w:p w14:paraId="56EE4434" w14:textId="0C531770" w:rsidR="002037AE" w:rsidRPr="00257FED" w:rsidRDefault="002037AE" w:rsidP="00840DE6">
            <w:pPr>
              <w:pStyle w:val="BoxText"/>
              <w:spacing w:after="0"/>
            </w:pPr>
            <w:r w:rsidRPr="00840DE6">
              <w:t>September 2025</w:t>
            </w:r>
          </w:p>
        </w:tc>
      </w:tr>
      <w:bookmarkEnd w:id="13"/>
    </w:tbl>
    <w:p w14:paraId="7D5318A7" w14:textId="77777777" w:rsidR="00B74FF8" w:rsidRPr="00AC78B5" w:rsidRDefault="00B74FF8" w:rsidP="00AC78B5">
      <w:r>
        <w:lastRenderedPageBreak/>
        <w:br w:type="page"/>
      </w:r>
    </w:p>
    <w:p w14:paraId="188FF573" w14:textId="36CD4EC1" w:rsidR="002F3E00" w:rsidRDefault="002053F7" w:rsidP="00134FAC">
      <w:pPr>
        <w:pStyle w:val="Heading1"/>
      </w:pPr>
      <w:bookmarkStart w:id="14" w:name="_Toc209006407"/>
      <w:bookmarkStart w:id="15" w:name="_Toc209006584"/>
      <w:bookmarkStart w:id="16" w:name="_Hlk209006824"/>
      <w:r w:rsidRPr="0091064F">
        <w:lastRenderedPageBreak/>
        <w:t>I</w:t>
      </w:r>
      <w:r w:rsidR="002F3E00" w:rsidRPr="0091064F">
        <w:t xml:space="preserve">ntroduction from the </w:t>
      </w:r>
      <w:r w:rsidR="0074624E" w:rsidRPr="0091064F">
        <w:t>Secretary and Tax Counsel</w:t>
      </w:r>
      <w:bookmarkEnd w:id="14"/>
      <w:bookmarkEnd w:id="15"/>
    </w:p>
    <w:tbl>
      <w:tblPr>
        <w:tblW w:w="5000" w:type="pct"/>
        <w:shd w:val="clear" w:color="auto" w:fill="F6F2ED" w:themeFill="accent3" w:themeFillTint="33"/>
        <w:tblCellMar>
          <w:top w:w="284" w:type="dxa"/>
          <w:left w:w="454" w:type="dxa"/>
          <w:bottom w:w="397" w:type="dxa"/>
          <w:right w:w="454" w:type="dxa"/>
        </w:tblCellMar>
        <w:tblLook w:val="01E0" w:firstRow="1" w:lastRow="1" w:firstColumn="1" w:lastColumn="1" w:noHBand="0" w:noVBand="0"/>
      </w:tblPr>
      <w:tblGrid>
        <w:gridCol w:w="9641"/>
      </w:tblGrid>
      <w:tr w:rsidR="00F330FC" w:rsidRPr="00BD5ED8" w14:paraId="005EFFE4" w14:textId="77777777" w:rsidTr="00AB452C">
        <w:tc>
          <w:tcPr>
            <w:tcW w:w="5000" w:type="pct"/>
            <w:shd w:val="clear" w:color="auto" w:fill="F6F2ED" w:themeFill="accent3" w:themeFillTint="33"/>
          </w:tcPr>
          <w:p w14:paraId="3413EFD7" w14:textId="100C8E44" w:rsidR="00F330FC" w:rsidRPr="002037AE" w:rsidRDefault="00F330FC" w:rsidP="00AB452C">
            <w:pPr>
              <w:pStyle w:val="BoxHeading1"/>
            </w:pPr>
            <w:r w:rsidRPr="006E1679">
              <w:rPr>
                <w:noProof/>
              </w:rPr>
              <w:drawing>
                <wp:anchor distT="0" distB="0" distL="114300" distR="114300" simplePos="0" relativeHeight="251658242" behindDoc="0" locked="0" layoutInCell="1" allowOverlap="1" wp14:anchorId="700E97FD" wp14:editId="26E226DF">
                  <wp:simplePos x="0" y="0"/>
                  <wp:positionH relativeFrom="column">
                    <wp:posOffset>2735</wp:posOffset>
                  </wp:positionH>
                  <wp:positionV relativeFrom="paragraph">
                    <wp:posOffset>74735</wp:posOffset>
                  </wp:positionV>
                  <wp:extent cx="1404224" cy="1440000"/>
                  <wp:effectExtent l="0" t="0" r="5715" b="8255"/>
                  <wp:wrapSquare wrapText="bothSides"/>
                  <wp:docPr id="620290481" name="Picture 620290481" descr="Paul Korganow, Secretary and Tax Counsel, Board Secretar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90481" name="Picture 620290481" descr="Paul Korganow, Secretary and Tax Counsel, Board Secretariat"/>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715"/>
                          <a:stretch/>
                        </pic:blipFill>
                        <pic:spPr bwMode="auto">
                          <a:xfrm>
                            <a:off x="0" y="0"/>
                            <a:ext cx="1404224" cy="1440000"/>
                          </a:xfrm>
                          <a:prstGeom prst="rect">
                            <a:avLst/>
                          </a:prstGeom>
                          <a:noFill/>
                          <a:ln>
                            <a:noFill/>
                          </a:ln>
                          <a:extLst>
                            <a:ext uri="{53640926-AAD7-44D8-BBD7-CCE9431645EC}">
                              <a14:shadowObscured xmlns:a14="http://schemas.microsoft.com/office/drawing/2010/main"/>
                            </a:ext>
                          </a:extLst>
                        </pic:spPr>
                      </pic:pic>
                    </a:graphicData>
                  </a:graphic>
                </wp:anchor>
              </w:drawing>
            </w:r>
            <w:r w:rsidRPr="00F330FC">
              <w:t>Paul Korganow</w:t>
            </w:r>
          </w:p>
          <w:p w14:paraId="17AABC2B" w14:textId="0A0289C9" w:rsidR="00F330FC" w:rsidRDefault="00F330FC" w:rsidP="00F330FC">
            <w:pPr>
              <w:pStyle w:val="BoxText"/>
            </w:pPr>
            <w:r>
              <w:t>I was delighted to join the Board Secretariat as Secretary and Tax Counsel in May 2024 and have since then been working closely with Board members and stakeholders to fulfil the Board</w:t>
            </w:r>
            <w:r w:rsidR="00360869">
              <w:t>’</w:t>
            </w:r>
            <w:r>
              <w:t>s mission.</w:t>
            </w:r>
          </w:p>
          <w:p w14:paraId="0C018D20" w14:textId="64757F2C" w:rsidR="00F330FC" w:rsidRDefault="00F330FC" w:rsidP="00F330FC">
            <w:pPr>
              <w:pStyle w:val="BoxText"/>
            </w:pPr>
            <w:r>
              <w:t>The 2023–24 reporting year bought some operational changes to the Board, including the launch of the Board</w:t>
            </w:r>
            <w:r w:rsidR="00360869">
              <w:t>’</w:t>
            </w:r>
            <w:r>
              <w:t>s updated stakeholder engagement strategy, which enhances how the Board communicates and engages with the business and tax community. This change was initiated under the watch of my predecessor, former acting Chief Executive – Board Secretariat, Michelle Calder. Michelle was a valued member of the Secretariat since 2021. She contributed to many of the Board</w:t>
            </w:r>
            <w:r w:rsidR="00360869">
              <w:t>’</w:t>
            </w:r>
            <w:r>
              <w:t>s past reviews, most notably her oversight of the review of digital assets and transactions in Australia, which was completed during the reporting period and is detailed further in this report. The Secretariat expresses its sincere thanks to Michelle for her leadership during this transitional stage in the Board</w:t>
            </w:r>
            <w:r w:rsidR="00360869">
              <w:t>’</w:t>
            </w:r>
            <w:r>
              <w:t xml:space="preserve">s development. We wish her well for the future. </w:t>
            </w:r>
          </w:p>
          <w:p w14:paraId="328FAD63" w14:textId="3889C056" w:rsidR="00F330FC" w:rsidRDefault="00F330FC" w:rsidP="00F330FC">
            <w:pPr>
              <w:pStyle w:val="BoxText"/>
            </w:pPr>
            <w:r>
              <w:t>The Board, supported by the Secretariat, entered an exciting new chapter during the reporting period – expanding the ways we connect and communicate with our stakeholders and the wider business and tax community to help inform our future work program and ensure that we are promoting the Board</w:t>
            </w:r>
            <w:r w:rsidR="00360869">
              <w:t>’</w:t>
            </w:r>
            <w:r>
              <w:t xml:space="preserve">s role as trusted advisor to the government. </w:t>
            </w:r>
          </w:p>
          <w:p w14:paraId="43EB250A" w14:textId="614967B2" w:rsidR="00F330FC" w:rsidRPr="002037AE" w:rsidRDefault="00F330FC" w:rsidP="00F330FC">
            <w:pPr>
              <w:pStyle w:val="BoxText"/>
              <w:keepLines/>
            </w:pPr>
            <w:r>
              <w:t xml:space="preserve">The Secretariat and I value </w:t>
            </w:r>
            <w:r w:rsidR="002402B3">
              <w:t>stakeholder’s</w:t>
            </w:r>
            <w:r>
              <w:t xml:space="preserve"> insights, and we warmly welcome ideas on how we can communicate even more effectively – together shaping the future of our engagement.</w:t>
            </w:r>
          </w:p>
          <w:p w14:paraId="1D880EBC" w14:textId="6C7E9BE9" w:rsidR="0067312A" w:rsidRDefault="00CC2152" w:rsidP="00AB452C">
            <w:pPr>
              <w:pStyle w:val="BoxText"/>
              <w:spacing w:after="0"/>
              <w:rPr>
                <w:b/>
                <w:bCs/>
              </w:rPr>
            </w:pPr>
            <w:r>
              <w:rPr>
                <w:b/>
                <w:bCs/>
                <w:noProof/>
              </w:rPr>
              <w:drawing>
                <wp:inline distT="0" distB="0" distL="0" distR="0" wp14:anchorId="50301F2C" wp14:editId="207C6755">
                  <wp:extent cx="1440000" cy="389716"/>
                  <wp:effectExtent l="0" t="0" r="8255" b="0"/>
                  <wp:docPr id="1988975058" name="Picture 1" descr="Paul Korganow -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75058" name="Picture 1" descr="Paul Korganow - signature&#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40000" cy="389716"/>
                          </a:xfrm>
                          <a:prstGeom prst="rect">
                            <a:avLst/>
                          </a:prstGeom>
                        </pic:spPr>
                      </pic:pic>
                    </a:graphicData>
                  </a:graphic>
                </wp:inline>
              </w:drawing>
            </w:r>
          </w:p>
          <w:p w14:paraId="1A766A61" w14:textId="2481AAF4" w:rsidR="00F330FC" w:rsidRPr="00840DE6" w:rsidRDefault="00F330FC" w:rsidP="00AB452C">
            <w:pPr>
              <w:pStyle w:val="BoxText"/>
              <w:spacing w:after="0"/>
              <w:rPr>
                <w:b/>
                <w:bCs/>
              </w:rPr>
            </w:pPr>
            <w:r w:rsidRPr="00F330FC">
              <w:rPr>
                <w:b/>
                <w:bCs/>
              </w:rPr>
              <w:t>Paul Korganow</w:t>
            </w:r>
          </w:p>
          <w:p w14:paraId="17917E32" w14:textId="6AB3C1CD" w:rsidR="00F330FC" w:rsidRPr="002568B6" w:rsidRDefault="00F330FC" w:rsidP="00AB452C">
            <w:pPr>
              <w:pStyle w:val="BoxText"/>
              <w:spacing w:after="0"/>
              <w:rPr>
                <w:b/>
                <w:bCs/>
              </w:rPr>
            </w:pPr>
            <w:r w:rsidRPr="002568B6">
              <w:rPr>
                <w:b/>
                <w:bCs/>
              </w:rPr>
              <w:t>Secretary and Tax Counsel,</w:t>
            </w:r>
            <w:r w:rsidR="002568B6">
              <w:rPr>
                <w:b/>
                <w:bCs/>
              </w:rPr>
              <w:br/>
            </w:r>
            <w:r w:rsidRPr="002568B6">
              <w:rPr>
                <w:b/>
                <w:bCs/>
              </w:rPr>
              <w:t>Board Secretariat</w:t>
            </w:r>
          </w:p>
          <w:p w14:paraId="37317B96" w14:textId="6851720E" w:rsidR="00F330FC" w:rsidRPr="00257FED" w:rsidRDefault="00F330FC" w:rsidP="00AB452C">
            <w:pPr>
              <w:pStyle w:val="BoxText"/>
              <w:spacing w:after="0"/>
            </w:pPr>
            <w:r w:rsidRPr="00840DE6">
              <w:t>September 2025</w:t>
            </w:r>
          </w:p>
        </w:tc>
      </w:tr>
    </w:tbl>
    <w:p w14:paraId="00B8D00E" w14:textId="77777777" w:rsidR="00316C48" w:rsidRPr="00AC78B5" w:rsidRDefault="00316C48" w:rsidP="00AC78B5">
      <w:bookmarkStart w:id="17" w:name="_Toc150944163"/>
      <w:bookmarkStart w:id="18" w:name="_Toc150952499"/>
      <w:bookmarkStart w:id="19" w:name="_Toc151130816"/>
      <w:bookmarkEnd w:id="16"/>
      <w:bookmarkEnd w:id="17"/>
      <w:bookmarkEnd w:id="18"/>
      <w:bookmarkEnd w:id="19"/>
      <w:r>
        <w:br w:type="page"/>
      </w:r>
    </w:p>
    <w:p w14:paraId="715DAF73" w14:textId="2C8EE375" w:rsidR="002F3E00" w:rsidRDefault="002F3E00" w:rsidP="00D6536E">
      <w:pPr>
        <w:pStyle w:val="Heading1"/>
        <w:spacing w:before="360"/>
      </w:pPr>
      <w:bookmarkStart w:id="20" w:name="_Toc209006408"/>
      <w:bookmarkStart w:id="21" w:name="_Toc209006585"/>
      <w:r w:rsidRPr="00872503">
        <w:lastRenderedPageBreak/>
        <w:t>The</w:t>
      </w:r>
      <w:r>
        <w:t xml:space="preserve"> </w:t>
      </w:r>
      <w:r w:rsidRPr="007965ED">
        <w:t>Board</w:t>
      </w:r>
      <w:bookmarkEnd w:id="20"/>
      <w:bookmarkEnd w:id="21"/>
    </w:p>
    <w:p w14:paraId="3220CA43" w14:textId="47D5735E" w:rsidR="002F3E00" w:rsidRPr="005014BA" w:rsidRDefault="002F3E00" w:rsidP="007965ED">
      <w:r w:rsidRPr="005014BA">
        <w:t>The Board is a non</w:t>
      </w:r>
      <w:r w:rsidR="00360869">
        <w:noBreakHyphen/>
      </w:r>
      <w:r w:rsidRPr="005014BA">
        <w:t xml:space="preserve">statutory advisory body charged with contributing a business and broader community perspective to improving the design of taxation laws and their operation. </w:t>
      </w:r>
    </w:p>
    <w:p w14:paraId="2EFC2D01" w14:textId="3E60E928" w:rsidR="002F3E00" w:rsidRDefault="002F3E00" w:rsidP="007965ED">
      <w:r w:rsidRPr="005014BA">
        <w:t>Throughout the 202</w:t>
      </w:r>
      <w:r w:rsidR="000047FE">
        <w:t>3</w:t>
      </w:r>
      <w:r w:rsidRPr="005014BA">
        <w:t>–2</w:t>
      </w:r>
      <w:r w:rsidR="000047FE">
        <w:t>4</w:t>
      </w:r>
      <w:r w:rsidRPr="005014BA">
        <w:t xml:space="preserve"> reporting year, the Board comprised between </w:t>
      </w:r>
      <w:r w:rsidR="007C1FFE">
        <w:t>nine</w:t>
      </w:r>
      <w:r w:rsidRPr="005014BA">
        <w:t xml:space="preserve"> and </w:t>
      </w:r>
      <w:r w:rsidR="007C1FFE">
        <w:t>ten</w:t>
      </w:r>
      <w:r w:rsidRPr="005014BA">
        <w:t xml:space="preserve"> members,</w:t>
      </w:r>
      <w:r w:rsidRPr="005014BA">
        <w:rPr>
          <w:rStyle w:val="FootnoteReference"/>
        </w:rPr>
        <w:footnoteReference w:id="2"/>
      </w:r>
      <w:r w:rsidRPr="005014BA">
        <w:t xml:space="preserve"> including </w:t>
      </w:r>
      <w:r w:rsidR="007C1FFE">
        <w:t>three</w:t>
      </w:r>
      <w:r w:rsidR="007965ED">
        <w:t> </w:t>
      </w:r>
      <w:r w:rsidRPr="0040519A">
        <w:rPr>
          <w:iCs/>
        </w:rPr>
        <w:t>ex</w:t>
      </w:r>
      <w:r w:rsidR="00360869">
        <w:rPr>
          <w:iCs/>
        </w:rPr>
        <w:noBreakHyphen/>
      </w:r>
      <w:r w:rsidRPr="0040519A">
        <w:rPr>
          <w:iCs/>
        </w:rPr>
        <w:t>officio</w:t>
      </w:r>
      <w:r w:rsidRPr="005014BA">
        <w:t xml:space="preserve"> members being the Secretary to the Treasury, the Commissioner of Taxation, and the First</w:t>
      </w:r>
      <w:r w:rsidR="007965ED">
        <w:t> </w:t>
      </w:r>
      <w:r w:rsidRPr="005014BA">
        <w:t xml:space="preserve">Parliamentary Counsel </w:t>
      </w:r>
      <w:r>
        <w:t>with</w:t>
      </w:r>
      <w:r w:rsidRPr="005014BA">
        <w:t xml:space="preserve"> the remaining members drawn from the private sector.</w:t>
      </w:r>
    </w:p>
    <w:p w14:paraId="1B574FD7" w14:textId="32956849" w:rsidR="002F3E00" w:rsidRPr="005014BA" w:rsidRDefault="002F3E00" w:rsidP="007965ED">
      <w:r w:rsidRPr="005014BA">
        <w:t xml:space="preserve">The Board is supported by a Secretariat which is a group primarily </w:t>
      </w:r>
      <w:r w:rsidR="00872D5D">
        <w:t>employed</w:t>
      </w:r>
      <w:r w:rsidR="00872D5D" w:rsidRPr="005014BA">
        <w:t xml:space="preserve"> </w:t>
      </w:r>
      <w:r w:rsidRPr="005014BA">
        <w:t>by the Treasury and supplemented with secondees from the ATO</w:t>
      </w:r>
      <w:r w:rsidR="00106318">
        <w:t xml:space="preserve">. </w:t>
      </w:r>
      <w:r w:rsidR="00114651">
        <w:t>The Secretary and Tax Counsel (S&amp;TC)</w:t>
      </w:r>
      <w:r w:rsidR="00422DDB">
        <w:t xml:space="preserve"> </w:t>
      </w:r>
      <w:r w:rsidR="009650DF">
        <w:t xml:space="preserve">(formerly </w:t>
      </w:r>
      <w:r w:rsidR="00BB57C0">
        <w:t xml:space="preserve">known as the Chief Executive – Board Secretariat and </w:t>
      </w:r>
      <w:r w:rsidR="00773765">
        <w:t>CEO</w:t>
      </w:r>
      <w:r w:rsidR="00BB57C0">
        <w:t>)</w:t>
      </w:r>
      <w:r w:rsidR="00114651">
        <w:t xml:space="preserve"> </w:t>
      </w:r>
      <w:r w:rsidR="00783AB5" w:rsidRPr="006B68DF">
        <w:t>leads</w:t>
      </w:r>
      <w:r w:rsidR="00E93E6C">
        <w:t xml:space="preserve"> </w:t>
      </w:r>
      <w:r w:rsidR="00114651">
        <w:t xml:space="preserve">the Secretariat and works closely with the Chair and the Deputy Secretary of Revenue Group in Treasury. </w:t>
      </w:r>
    </w:p>
    <w:p w14:paraId="7F9EA1BA" w14:textId="566A8D05" w:rsidR="002F3E00" w:rsidRPr="003A4A4B" w:rsidRDefault="002F3E00" w:rsidP="007965ED">
      <w:r w:rsidRPr="005014BA">
        <w:t>The Charter, which sets out the Board</w:t>
      </w:r>
      <w:r w:rsidR="00360869">
        <w:t>’</w:t>
      </w:r>
      <w:r w:rsidRPr="005014BA">
        <w:t xml:space="preserve">s mission, governs the operations </w:t>
      </w:r>
      <w:r w:rsidRPr="004945D2">
        <w:t>and functions</w:t>
      </w:r>
      <w:r w:rsidRPr="00697F07">
        <w:t xml:space="preserve"> </w:t>
      </w:r>
      <w:r w:rsidRPr="005014BA">
        <w:t xml:space="preserve">of the Board </w:t>
      </w:r>
      <w:r>
        <w:t xml:space="preserve">as </w:t>
      </w:r>
      <w:r w:rsidRPr="005014BA">
        <w:t xml:space="preserve">set out below. The Charter is </w:t>
      </w:r>
      <w:r>
        <w:t>included</w:t>
      </w:r>
      <w:r w:rsidRPr="005014BA">
        <w:t xml:space="preserve"> at</w:t>
      </w:r>
      <w:r w:rsidR="006A0034">
        <w:t xml:space="preserve"> </w:t>
      </w:r>
      <w:r w:rsidR="006A0034" w:rsidRPr="00563732">
        <w:rPr>
          <w:b/>
          <w:bCs/>
        </w:rPr>
        <w:fldChar w:fldCharType="begin"/>
      </w:r>
      <w:r w:rsidR="006A0034" w:rsidRPr="00563732">
        <w:rPr>
          <w:b/>
          <w:bCs/>
        </w:rPr>
        <w:instrText xml:space="preserve"> REF _Ref158727428 \h </w:instrText>
      </w:r>
      <w:r w:rsidR="00704EE1" w:rsidRPr="00563732">
        <w:rPr>
          <w:b/>
          <w:bCs/>
        </w:rPr>
        <w:instrText xml:space="preserve"> \* MERGEFORMAT </w:instrText>
      </w:r>
      <w:r w:rsidR="006A0034" w:rsidRPr="00563732">
        <w:rPr>
          <w:b/>
          <w:bCs/>
        </w:rPr>
      </w:r>
      <w:r w:rsidR="006A0034" w:rsidRPr="00563732">
        <w:rPr>
          <w:b/>
          <w:bCs/>
        </w:rPr>
        <w:fldChar w:fldCharType="separate"/>
      </w:r>
      <w:r w:rsidR="00E256A4" w:rsidRPr="00E256A4">
        <w:rPr>
          <w:b/>
          <w:bCs/>
        </w:rPr>
        <w:t>Appendix A: The Board’s Charter</w:t>
      </w:r>
      <w:r w:rsidR="006A0034" w:rsidRPr="00563732">
        <w:rPr>
          <w:b/>
          <w:bCs/>
        </w:rPr>
        <w:fldChar w:fldCharType="end"/>
      </w:r>
      <w:r w:rsidRPr="00563732">
        <w:rPr>
          <w:b/>
          <w:bCs/>
        </w:rPr>
        <w:t>.</w:t>
      </w:r>
      <w:r>
        <w:t xml:space="preserve"> </w:t>
      </w:r>
    </w:p>
    <w:p w14:paraId="03AF4660" w14:textId="71FAA88E" w:rsidR="002F3E00" w:rsidRDefault="002F3E00" w:rsidP="00872503">
      <w:pPr>
        <w:pStyle w:val="Heading2"/>
      </w:pPr>
      <w:bookmarkStart w:id="22" w:name="_Toc149905525"/>
      <w:bookmarkStart w:id="23" w:name="_Toc159253841"/>
      <w:bookmarkStart w:id="24" w:name="_Toc209006586"/>
      <w:r>
        <w:t>The Board</w:t>
      </w:r>
      <w:r w:rsidR="00360869">
        <w:t>’</w:t>
      </w:r>
      <w:r>
        <w:t xml:space="preserve">s mission and </w:t>
      </w:r>
      <w:r w:rsidRPr="00872503">
        <w:t>function</w:t>
      </w:r>
      <w:bookmarkEnd w:id="22"/>
      <w:bookmarkEnd w:id="23"/>
      <w:bookmarkEnd w:id="24"/>
    </w:p>
    <w:p w14:paraId="762B7044" w14:textId="77777777" w:rsidR="002F3E00" w:rsidRPr="008628D1" w:rsidRDefault="002F3E00" w:rsidP="002F3E00">
      <w:pPr>
        <w:spacing w:after="200"/>
      </w:pPr>
      <w:r w:rsidRPr="008628D1">
        <w:t xml:space="preserve">The Board provides an independent source of advice to </w:t>
      </w:r>
      <w:r>
        <w:t>G</w:t>
      </w:r>
      <w:r w:rsidRPr="008628D1">
        <w:t>overnment, from a business and broader community perspective, on taxation matters. In doing so the Board provides advice to the Treasurer and Assistant Treasurer on:</w:t>
      </w:r>
    </w:p>
    <w:p w14:paraId="4E250EFD" w14:textId="211ABCC0" w:rsidR="002F3E00" w:rsidRPr="008628D1" w:rsidRDefault="002F3E00" w:rsidP="00704EE1">
      <w:pPr>
        <w:pStyle w:val="Bullet"/>
      </w:pPr>
      <w:r w:rsidRPr="008628D1">
        <w:t xml:space="preserve">the quality and effectiveness of tax legislation and the processes for its development, including the processes </w:t>
      </w:r>
      <w:r>
        <w:t>of</w:t>
      </w:r>
      <w:r w:rsidRPr="008628D1">
        <w:t xml:space="preserve"> community consultation and other aspects of tax </w:t>
      </w:r>
      <w:proofErr w:type="gramStart"/>
      <w:r w:rsidRPr="008628D1">
        <w:t>design</w:t>
      </w:r>
      <w:r w:rsidR="002002EC">
        <w:t>;</w:t>
      </w:r>
      <w:proofErr w:type="gramEnd"/>
    </w:p>
    <w:p w14:paraId="7EBCEAD4" w14:textId="348920DA" w:rsidR="002F3E00" w:rsidRDefault="002F3E00" w:rsidP="00704EE1">
      <w:pPr>
        <w:pStyle w:val="Bullet"/>
      </w:pPr>
      <w:r w:rsidRPr="008628D1">
        <w:t xml:space="preserve">improvements to the general integrity and functioning of the taxation </w:t>
      </w:r>
      <w:proofErr w:type="gramStart"/>
      <w:r w:rsidRPr="008628D1">
        <w:t>system</w:t>
      </w:r>
      <w:r w:rsidR="002002EC">
        <w:t>;</w:t>
      </w:r>
      <w:proofErr w:type="gramEnd"/>
    </w:p>
    <w:p w14:paraId="4338AA53" w14:textId="5B2E2CD2" w:rsidR="002F3E00" w:rsidRDefault="002F3E00" w:rsidP="00704EE1">
      <w:pPr>
        <w:pStyle w:val="Bullet"/>
      </w:pPr>
      <w:r w:rsidRPr="008628D1">
        <w:t>research and other studies commissioned by the Board on topics approved or referred by the Treasurer</w:t>
      </w:r>
      <w:r w:rsidRPr="003C791E">
        <w:t xml:space="preserve"> </w:t>
      </w:r>
      <w:r>
        <w:t>and/or the Assistant Treasurer</w:t>
      </w:r>
      <w:r w:rsidR="002002EC">
        <w:t xml:space="preserve">; and </w:t>
      </w:r>
    </w:p>
    <w:p w14:paraId="5A33204E" w14:textId="77777777" w:rsidR="0074150F" w:rsidRDefault="0074150F" w:rsidP="00704EE1">
      <w:pPr>
        <w:pStyle w:val="Bullet"/>
      </w:pPr>
      <w:r w:rsidRPr="008628D1">
        <w:t>other tax matters referred to the Board by the Treasurer</w:t>
      </w:r>
      <w:r>
        <w:t xml:space="preserve"> and/or the Assistant Treasurer.</w:t>
      </w:r>
    </w:p>
    <w:p w14:paraId="2446C2D5" w14:textId="1B3DA1CA" w:rsidR="002F3E00" w:rsidRPr="0091064F" w:rsidRDefault="002F3E00" w:rsidP="002F3E00">
      <w:pPr>
        <w:spacing w:after="240"/>
        <w:rPr>
          <w:b/>
          <w:bCs/>
        </w:rPr>
      </w:pPr>
      <w:r>
        <w:t>The Board</w:t>
      </w:r>
      <w:r w:rsidR="00360869">
        <w:t>’</w:t>
      </w:r>
      <w:r>
        <w:t>s</w:t>
      </w:r>
      <w:r w:rsidRPr="008628D1">
        <w:t xml:space="preserve"> activities during the </w:t>
      </w:r>
      <w:r>
        <w:t>202</w:t>
      </w:r>
      <w:r w:rsidR="00114651">
        <w:t>3</w:t>
      </w:r>
      <w:r w:rsidR="007965ED">
        <w:t>–</w:t>
      </w:r>
      <w:r>
        <w:t>2</w:t>
      </w:r>
      <w:r w:rsidR="00114651">
        <w:t>4</w:t>
      </w:r>
      <w:r>
        <w:t xml:space="preserve"> reporting</w:t>
      </w:r>
      <w:r w:rsidRPr="008628D1">
        <w:t xml:space="preserve"> year are </w:t>
      </w:r>
      <w:r w:rsidRPr="00F146D5">
        <w:t>de</w:t>
      </w:r>
      <w:r>
        <w:t>tailed</w:t>
      </w:r>
      <w:r w:rsidRPr="00F146D5">
        <w:t xml:space="preserve"> in</w:t>
      </w:r>
      <w:r w:rsidR="000D61BB">
        <w:t xml:space="preserve"> section:</w:t>
      </w:r>
      <w:r w:rsidR="00AC78DB">
        <w:t xml:space="preserve"> </w:t>
      </w:r>
      <w:r w:rsidR="005C1321">
        <w:br/>
      </w:r>
      <w:r w:rsidR="000D61BB" w:rsidRPr="0091064F">
        <w:rPr>
          <w:b/>
          <w:bCs/>
        </w:rPr>
        <w:fldChar w:fldCharType="begin"/>
      </w:r>
      <w:r w:rsidR="000D61BB" w:rsidRPr="0091064F">
        <w:rPr>
          <w:b/>
          <w:bCs/>
        </w:rPr>
        <w:instrText xml:space="preserve"> REF _Ref150950427 \h </w:instrText>
      </w:r>
      <w:r w:rsidR="0091064F">
        <w:rPr>
          <w:b/>
          <w:bCs/>
        </w:rPr>
        <w:instrText xml:space="preserve"> \* MERGEFORMAT </w:instrText>
      </w:r>
      <w:r w:rsidR="000D61BB" w:rsidRPr="0091064F">
        <w:rPr>
          <w:b/>
          <w:bCs/>
        </w:rPr>
      </w:r>
      <w:r w:rsidR="000D61BB" w:rsidRPr="0091064F">
        <w:rPr>
          <w:b/>
          <w:bCs/>
        </w:rPr>
        <w:fldChar w:fldCharType="separate"/>
      </w:r>
      <w:r w:rsidR="00E256A4" w:rsidRPr="00E256A4">
        <w:rPr>
          <w:b/>
          <w:bCs/>
        </w:rPr>
        <w:t>Activities of the Board in 2023</w:t>
      </w:r>
      <w:r w:rsidR="00E256A4">
        <w:t>–2</w:t>
      </w:r>
      <w:r w:rsidR="000D61BB" w:rsidRPr="0091064F">
        <w:rPr>
          <w:b/>
          <w:bCs/>
        </w:rPr>
        <w:fldChar w:fldCharType="end"/>
      </w:r>
      <w:r w:rsidR="006E0745" w:rsidRPr="0091064F">
        <w:rPr>
          <w:b/>
          <w:bCs/>
        </w:rPr>
        <w:t>4</w:t>
      </w:r>
      <w:r w:rsidRPr="0091064F">
        <w:rPr>
          <w:b/>
          <w:bCs/>
        </w:rPr>
        <w:t>.</w:t>
      </w:r>
    </w:p>
    <w:p w14:paraId="1162D270" w14:textId="77777777" w:rsidR="002F3E00" w:rsidRDefault="002F3E00" w:rsidP="00070228">
      <w:pPr>
        <w:pStyle w:val="Heading2"/>
      </w:pPr>
      <w:bookmarkStart w:id="25" w:name="_Toc149905526"/>
      <w:bookmarkStart w:id="26" w:name="_Toc159253842"/>
      <w:bookmarkStart w:id="27" w:name="_Toc209006587"/>
      <w:r w:rsidRPr="00E43020">
        <w:lastRenderedPageBreak/>
        <w:t>Board members</w:t>
      </w:r>
      <w:bookmarkEnd w:id="25"/>
      <w:bookmarkEnd w:id="26"/>
      <w:bookmarkEnd w:id="27"/>
    </w:p>
    <w:p w14:paraId="172FE064" w14:textId="1C1C404C" w:rsidR="002F3E00" w:rsidRDefault="00E91E7E" w:rsidP="4CC9E786">
      <w:pPr>
        <w:rPr>
          <w:b/>
        </w:rPr>
      </w:pPr>
      <w:r>
        <w:t>The Treasurer appoints members of the Board</w:t>
      </w:r>
      <w:r w:rsidR="009151C0">
        <w:t xml:space="preserve"> from the business and wider community</w:t>
      </w:r>
      <w:r w:rsidR="002F3E00">
        <w:t>. Private sector</w:t>
      </w:r>
      <w:r w:rsidR="006A7198">
        <w:t> </w:t>
      </w:r>
      <w:r w:rsidR="002F3E00">
        <w:t>members are appointed in their personal capacity. The Secretary to the Treasury, the Commissioner</w:t>
      </w:r>
      <w:r w:rsidR="00784F05">
        <w:t> </w:t>
      </w:r>
      <w:r w:rsidR="002F3E00">
        <w:t xml:space="preserve">of Taxation and the First Parliamentary Counsel are </w:t>
      </w:r>
      <w:r w:rsidR="002F3E00" w:rsidRPr="00D34CBF">
        <w:rPr>
          <w:iCs/>
        </w:rPr>
        <w:t>ex</w:t>
      </w:r>
      <w:r w:rsidR="00360869">
        <w:noBreakHyphen/>
      </w:r>
      <w:r w:rsidR="002F3E00" w:rsidRPr="00D34CBF">
        <w:rPr>
          <w:iCs/>
        </w:rPr>
        <w:t xml:space="preserve">officio </w:t>
      </w:r>
      <w:r w:rsidR="002F3E00">
        <w:t>members</w:t>
      </w:r>
      <w:r w:rsidR="00224D5D">
        <w:t xml:space="preserve"> of the Board.</w:t>
      </w:r>
    </w:p>
    <w:p w14:paraId="15785EFC" w14:textId="7F5F99A3" w:rsidR="0084383C" w:rsidRDefault="0084383C" w:rsidP="0084383C">
      <w:r>
        <w:t>During the 2023</w:t>
      </w:r>
      <w:r w:rsidR="007E2D1C">
        <w:t>–</w:t>
      </w:r>
      <w:r>
        <w:t xml:space="preserve">24 reporting year, the </w:t>
      </w:r>
      <w:r w:rsidR="00E37FAB">
        <w:t xml:space="preserve">Board experienced the </w:t>
      </w:r>
      <w:r>
        <w:t>following changes in membership:</w:t>
      </w:r>
    </w:p>
    <w:p w14:paraId="11AF371C" w14:textId="53A0A652" w:rsidR="0052756C" w:rsidRPr="00CC3334" w:rsidRDefault="0084383C" w:rsidP="00CC3334">
      <w:pPr>
        <w:pStyle w:val="Bullet"/>
      </w:pPr>
      <w:r w:rsidRPr="00CC3334">
        <w:t>Chris Jordan AO</w:t>
      </w:r>
      <w:r w:rsidR="00360869">
        <w:t>’</w:t>
      </w:r>
      <w:r w:rsidRPr="00CC3334">
        <w:t>s term as Commissioner of Taxation ended on 2</w:t>
      </w:r>
      <w:r w:rsidR="001C1167" w:rsidRPr="00CC3334">
        <w:t>9</w:t>
      </w:r>
      <w:r w:rsidR="00CC3334" w:rsidRPr="00CC3334">
        <w:t> </w:t>
      </w:r>
      <w:r w:rsidRPr="00CC3334">
        <w:t>February</w:t>
      </w:r>
      <w:r w:rsidR="00CC3334" w:rsidRPr="00CC3334">
        <w:t> </w:t>
      </w:r>
      <w:r w:rsidRPr="00CC3334">
        <w:t>2024</w:t>
      </w:r>
      <w:r w:rsidR="003259C2" w:rsidRPr="00CC3334">
        <w:t>.</w:t>
      </w:r>
    </w:p>
    <w:p w14:paraId="45E0B706" w14:textId="33835A59" w:rsidR="0084383C" w:rsidRPr="00CC3334" w:rsidRDefault="0084383C" w:rsidP="00CC3334">
      <w:pPr>
        <w:pStyle w:val="Bullet"/>
      </w:pPr>
      <w:r w:rsidRPr="00CC3334">
        <w:t xml:space="preserve">Rob </w:t>
      </w:r>
      <w:proofErr w:type="spellStart"/>
      <w:r w:rsidRPr="00CC3334">
        <w:t>Heferen</w:t>
      </w:r>
      <w:proofErr w:type="spellEnd"/>
      <w:r w:rsidRPr="00CC3334">
        <w:t xml:space="preserve"> </w:t>
      </w:r>
      <w:r w:rsidR="0052756C" w:rsidRPr="00CC3334">
        <w:t xml:space="preserve">was </w:t>
      </w:r>
      <w:r w:rsidRPr="00CC3334">
        <w:t>appointed as the 13</w:t>
      </w:r>
      <w:r w:rsidRPr="007E2D1C">
        <w:rPr>
          <w:vertAlign w:val="superscript"/>
        </w:rPr>
        <w:t>th</w:t>
      </w:r>
      <w:r w:rsidR="007E2D1C">
        <w:t> </w:t>
      </w:r>
      <w:r w:rsidRPr="00CC3334">
        <w:t>Commissioner of Taxation from 1</w:t>
      </w:r>
      <w:r w:rsidR="00CC3334">
        <w:t> </w:t>
      </w:r>
      <w:r w:rsidRPr="00CC3334">
        <w:t>March</w:t>
      </w:r>
      <w:r w:rsidR="00CC3334">
        <w:t> </w:t>
      </w:r>
      <w:r w:rsidRPr="00CC3334">
        <w:t>2024</w:t>
      </w:r>
      <w:r w:rsidR="0052756C" w:rsidRPr="00CC3334">
        <w:t xml:space="preserve"> and </w:t>
      </w:r>
      <w:r w:rsidR="00F816A3" w:rsidRPr="00CC3334">
        <w:t xml:space="preserve">consequently </w:t>
      </w:r>
      <w:r w:rsidR="007B473A" w:rsidRPr="00CC3334">
        <w:t xml:space="preserve">commenced as </w:t>
      </w:r>
      <w:r w:rsidR="006535FF" w:rsidRPr="00CC3334">
        <w:t xml:space="preserve">an </w:t>
      </w:r>
      <w:r w:rsidR="007B473A" w:rsidRPr="00CC3334">
        <w:t>ex</w:t>
      </w:r>
      <w:r w:rsidR="00360869">
        <w:noBreakHyphen/>
      </w:r>
      <w:r w:rsidR="007B473A" w:rsidRPr="00CC3334">
        <w:t>officio member of the Board</w:t>
      </w:r>
      <w:r w:rsidR="00F816A3" w:rsidRPr="00CC3334">
        <w:t>.</w:t>
      </w:r>
    </w:p>
    <w:p w14:paraId="01B53F4D" w14:textId="4B5448BB" w:rsidR="0084383C" w:rsidRPr="00CC3334" w:rsidRDefault="0084383C" w:rsidP="00CC3334">
      <w:pPr>
        <w:pStyle w:val="Bullet"/>
      </w:pPr>
      <w:r w:rsidRPr="00CC3334">
        <w:t>Ms Tanya Titman</w:t>
      </w:r>
      <w:r w:rsidR="00360869">
        <w:t>’</w:t>
      </w:r>
      <w:r w:rsidRPr="00CC3334">
        <w:t xml:space="preserve">s </w:t>
      </w:r>
      <w:r w:rsidR="00F816A3" w:rsidRPr="00CC3334">
        <w:t>three</w:t>
      </w:r>
      <w:r w:rsidR="00360869">
        <w:noBreakHyphen/>
      </w:r>
      <w:r w:rsidRPr="00CC3334">
        <w:t xml:space="preserve">year term ended on 11 May 2024. </w:t>
      </w:r>
    </w:p>
    <w:p w14:paraId="23953839" w14:textId="20160CBE" w:rsidR="0084383C" w:rsidRPr="00CC3334" w:rsidRDefault="005E60A4" w:rsidP="00CC3334">
      <w:pPr>
        <w:pStyle w:val="Bullet"/>
      </w:pPr>
      <w:r w:rsidRPr="00CC3334">
        <w:t>Mr Andrew Mills and Ms Judy O</w:t>
      </w:r>
      <w:r w:rsidR="00360869">
        <w:t>’</w:t>
      </w:r>
      <w:r w:rsidRPr="00CC3334">
        <w:t xml:space="preserve">Connell commenced their </w:t>
      </w:r>
      <w:r w:rsidR="00F816A3" w:rsidRPr="00CC3334">
        <w:t>three</w:t>
      </w:r>
      <w:r w:rsidR="00360869">
        <w:noBreakHyphen/>
      </w:r>
      <w:r w:rsidRPr="00CC3334">
        <w:t xml:space="preserve">year terms </w:t>
      </w:r>
      <w:r w:rsidR="00BA62DC" w:rsidRPr="00CC3334">
        <w:t>as private sector Board</w:t>
      </w:r>
      <w:r w:rsidR="00CC3334">
        <w:t> </w:t>
      </w:r>
      <w:r w:rsidR="00BA62DC" w:rsidRPr="00CC3334">
        <w:t xml:space="preserve">members </w:t>
      </w:r>
      <w:r w:rsidRPr="00CC3334">
        <w:t xml:space="preserve">on </w:t>
      </w:r>
      <w:r w:rsidR="00E37FAB" w:rsidRPr="00CC3334">
        <w:t>8 December 2023.</w:t>
      </w:r>
    </w:p>
    <w:p w14:paraId="5801BB78" w14:textId="79E49A90" w:rsidR="518C7015" w:rsidRPr="00CC3334" w:rsidRDefault="518C7015" w:rsidP="00CC3334">
      <w:pPr>
        <w:pStyle w:val="Bullet"/>
        <w:rPr>
          <w:rFonts w:eastAsia="Calibri"/>
        </w:rPr>
      </w:pPr>
      <w:r w:rsidRPr="00CC3334">
        <w:rPr>
          <w:rFonts w:eastAsia="Calibri"/>
        </w:rPr>
        <w:t>Dr Julianne Jaques KC was re</w:t>
      </w:r>
      <w:r w:rsidR="00360869">
        <w:rPr>
          <w:rFonts w:eastAsia="Calibri"/>
        </w:rPr>
        <w:noBreakHyphen/>
      </w:r>
      <w:r w:rsidRPr="00CC3334">
        <w:rPr>
          <w:rFonts w:eastAsia="Calibri"/>
        </w:rPr>
        <w:t>appointed for an additional term from 8</w:t>
      </w:r>
      <w:r w:rsidR="00A055AF">
        <w:rPr>
          <w:rFonts w:eastAsia="Calibri"/>
        </w:rPr>
        <w:t> </w:t>
      </w:r>
      <w:r w:rsidRPr="00CC3334">
        <w:rPr>
          <w:rFonts w:eastAsia="Calibri"/>
        </w:rPr>
        <w:t>December</w:t>
      </w:r>
      <w:r w:rsidR="00A055AF">
        <w:rPr>
          <w:rFonts w:eastAsia="Calibri"/>
        </w:rPr>
        <w:t> </w:t>
      </w:r>
      <w:r w:rsidRPr="00CC3334">
        <w:rPr>
          <w:rFonts w:eastAsia="Calibri"/>
        </w:rPr>
        <w:t>2023 to 30</w:t>
      </w:r>
      <w:r w:rsidR="00CC3334">
        <w:rPr>
          <w:rFonts w:eastAsia="Calibri"/>
        </w:rPr>
        <w:t> </w:t>
      </w:r>
      <w:r w:rsidRPr="00CC3334">
        <w:rPr>
          <w:rFonts w:eastAsia="Calibri"/>
        </w:rPr>
        <w:t>September</w:t>
      </w:r>
      <w:r w:rsidR="00CC3334">
        <w:rPr>
          <w:rFonts w:eastAsia="Calibri"/>
        </w:rPr>
        <w:t> </w:t>
      </w:r>
      <w:r w:rsidRPr="00CC3334">
        <w:rPr>
          <w:rFonts w:eastAsia="Calibri"/>
        </w:rPr>
        <w:t>2025.</w:t>
      </w:r>
    </w:p>
    <w:p w14:paraId="0F1B00E6" w14:textId="0440CBB9" w:rsidR="518C7015" w:rsidRPr="00CC3334" w:rsidRDefault="518C7015" w:rsidP="00CC3334">
      <w:pPr>
        <w:pStyle w:val="Bullet"/>
        <w:rPr>
          <w:rFonts w:eastAsia="Calibri"/>
        </w:rPr>
      </w:pPr>
      <w:r w:rsidRPr="00CC3334">
        <w:rPr>
          <w:rFonts w:eastAsia="Calibri"/>
        </w:rPr>
        <w:t>Mr Ian Kellock</w:t>
      </w:r>
      <w:r w:rsidR="00360869">
        <w:rPr>
          <w:rFonts w:eastAsia="Calibri"/>
        </w:rPr>
        <w:t>’</w:t>
      </w:r>
      <w:r w:rsidRPr="00CC3334">
        <w:rPr>
          <w:rFonts w:eastAsia="Calibri"/>
        </w:rPr>
        <w:t>s term was extended from 12</w:t>
      </w:r>
      <w:r w:rsidR="00A055AF">
        <w:rPr>
          <w:rFonts w:eastAsia="Calibri"/>
        </w:rPr>
        <w:t> </w:t>
      </w:r>
      <w:r w:rsidRPr="00CC3334">
        <w:rPr>
          <w:rFonts w:eastAsia="Calibri"/>
        </w:rPr>
        <w:t>May</w:t>
      </w:r>
      <w:r w:rsidR="00A055AF">
        <w:rPr>
          <w:rFonts w:eastAsia="Calibri"/>
        </w:rPr>
        <w:t> </w:t>
      </w:r>
      <w:r w:rsidRPr="00CC3334">
        <w:rPr>
          <w:rFonts w:eastAsia="Calibri"/>
        </w:rPr>
        <w:t>2024 to 11</w:t>
      </w:r>
      <w:r w:rsidR="00A055AF">
        <w:rPr>
          <w:rFonts w:eastAsia="Calibri"/>
        </w:rPr>
        <w:t> </w:t>
      </w:r>
      <w:r w:rsidRPr="00CC3334">
        <w:rPr>
          <w:rFonts w:eastAsia="Calibri"/>
        </w:rPr>
        <w:t>August</w:t>
      </w:r>
      <w:r w:rsidR="00A055AF">
        <w:rPr>
          <w:rFonts w:eastAsia="Calibri"/>
        </w:rPr>
        <w:t> </w:t>
      </w:r>
      <w:r w:rsidRPr="00CC3334">
        <w:rPr>
          <w:rFonts w:eastAsia="Calibri"/>
        </w:rPr>
        <w:t>2024.</w:t>
      </w:r>
    </w:p>
    <w:p w14:paraId="1B4EA21F" w14:textId="795E61B1" w:rsidR="00E03C8E" w:rsidRDefault="00123E1E" w:rsidP="00856876">
      <w:r>
        <w:t xml:space="preserve">As </w:t>
      </w:r>
      <w:r w:rsidR="00886B4E">
        <w:t>of</w:t>
      </w:r>
      <w:r>
        <w:t xml:space="preserve"> 30</w:t>
      </w:r>
      <w:r w:rsidR="00060A38">
        <w:t> </w:t>
      </w:r>
      <w:r>
        <w:t>June</w:t>
      </w:r>
      <w:r w:rsidR="00060A38">
        <w:t> </w:t>
      </w:r>
      <w:r>
        <w:t xml:space="preserve">2024, the Board </w:t>
      </w:r>
      <w:r w:rsidR="008252D2">
        <w:t xml:space="preserve">was </w:t>
      </w:r>
      <w:r>
        <w:t xml:space="preserve">comprised of </w:t>
      </w:r>
      <w:r w:rsidR="007C1FFE">
        <w:t>nine</w:t>
      </w:r>
      <w:r>
        <w:t xml:space="preserve"> Board members</w:t>
      </w:r>
      <w:r w:rsidR="009D03AB">
        <w:t>:</w:t>
      </w:r>
      <w:r w:rsidR="002C1134">
        <w:t xml:space="preserve"> </w:t>
      </w:r>
      <w:r w:rsidR="009D03AB">
        <w:t>six</w:t>
      </w:r>
      <w:r w:rsidR="002C1134">
        <w:t xml:space="preserve"> private sector and </w:t>
      </w:r>
      <w:r w:rsidR="009D03AB">
        <w:t>three</w:t>
      </w:r>
      <w:r w:rsidR="002C1134">
        <w:t xml:space="preserve"> ex</w:t>
      </w:r>
      <w:r w:rsidR="00360869">
        <w:noBreakHyphen/>
      </w:r>
      <w:r w:rsidR="002C1134">
        <w:t>officio members</w:t>
      </w:r>
      <w:r w:rsidR="00BA62DC">
        <w:t>. Biographies of each Board member follow.</w:t>
      </w:r>
    </w:p>
    <w:p w14:paraId="1FA29D62" w14:textId="167C5B01" w:rsidR="00994C15" w:rsidRDefault="00994C15">
      <w:r>
        <w:br w:type="page"/>
      </w:r>
    </w:p>
    <w:p w14:paraId="0FC6DF4B" w14:textId="49E26D14" w:rsidR="003C414B" w:rsidRDefault="003C414B" w:rsidP="003C414B">
      <w:pPr>
        <w:pStyle w:val="Heading2"/>
      </w:pPr>
      <w:bookmarkStart w:id="28" w:name="_Toc209006588"/>
      <w:r>
        <w:lastRenderedPageBreak/>
        <w:t>Board membership as of 30</w:t>
      </w:r>
      <w:r w:rsidR="00BF1CBC">
        <w:t> </w:t>
      </w:r>
      <w:r>
        <w:t>June</w:t>
      </w:r>
      <w:r w:rsidR="00BF1CBC">
        <w:t> </w:t>
      </w:r>
      <w:r>
        <w:t>2024</w:t>
      </w:r>
      <w:r w:rsidRPr="00886B4E">
        <w:rPr>
          <w:color w:val="701F4D" w:themeColor="accent2"/>
          <w:sz w:val="16"/>
          <w:szCs w:val="20"/>
        </w:rPr>
        <w:footnoteReference w:id="3"/>
      </w:r>
      <w:bookmarkEnd w:id="28"/>
    </w:p>
    <w:tbl>
      <w:tblPr>
        <w:tblStyle w:val="GridTable5Dark-Accent32"/>
        <w:tblW w:w="5000" w:type="pct"/>
        <w:tblLayout w:type="fixed"/>
        <w:tblLook w:val="0620" w:firstRow="1" w:lastRow="0" w:firstColumn="0" w:lastColumn="0" w:noHBand="1" w:noVBand="1"/>
      </w:tblPr>
      <w:tblGrid>
        <w:gridCol w:w="2268"/>
        <w:gridCol w:w="7373"/>
      </w:tblGrid>
      <w:tr w:rsidR="00453C0B" w:rsidRPr="00453C0B" w14:paraId="2D9B45B9" w14:textId="77777777" w:rsidTr="00767886">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bookmarkStart w:id="29" w:name="_Hlk209079599" w:displacedByCustomXml="next"/>
          <w:sdt>
            <w:sdtPr>
              <w:id w:val="1010026732"/>
              <w:picture/>
            </w:sdtPr>
            <w:sdtEndPr/>
            <w:sdtContent>
              <w:p w14:paraId="54C51E60" w14:textId="62C2F7E0" w:rsidR="00453C0B" w:rsidRPr="00453C0B" w:rsidRDefault="00453C0B" w:rsidP="00453C0B">
                <w:pPr>
                  <w:spacing w:before="180" w:after="0"/>
                </w:pPr>
                <w:r w:rsidRPr="00453C0B">
                  <w:rPr>
                    <w:noProof/>
                  </w:rPr>
                  <w:drawing>
                    <wp:inline distT="0" distB="0" distL="0" distR="0" wp14:anchorId="38CE8C4B" wp14:editId="51DC5EA5">
                      <wp:extent cx="1080000" cy="1080000"/>
                      <wp:effectExtent l="0" t="0" r="6350" b="6350"/>
                      <wp:docPr id="487392255" name="Picture 487392255" descr="Rosheen Garnon, Chair –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92255" name="Picture 487392255" descr="Rosheen Garnon, Chair – Board of Taxation"/>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6A61044D" w14:textId="77777777" w:rsidR="00453C0B" w:rsidRPr="00453C0B" w:rsidRDefault="00453C0B" w:rsidP="00767886">
            <w:pPr>
              <w:pStyle w:val="TableHeading1"/>
            </w:pPr>
            <w:r w:rsidRPr="00453C0B">
              <w:t xml:space="preserve">Rosheen </w:t>
            </w:r>
            <w:proofErr w:type="spellStart"/>
            <w:r w:rsidRPr="00453C0B">
              <w:t>Garnon</w:t>
            </w:r>
            <w:proofErr w:type="spellEnd"/>
          </w:p>
          <w:p w14:paraId="5E187ACD" w14:textId="36A3133C" w:rsidR="00453C0B" w:rsidRDefault="00453C0B" w:rsidP="00767886">
            <w:pPr>
              <w:pStyle w:val="TableTextLeft"/>
              <w:rPr>
                <w:bCs w:val="0"/>
              </w:rPr>
            </w:pPr>
            <w:r w:rsidRPr="00767886">
              <w:t>Chair</w:t>
            </w:r>
            <w:r w:rsidR="00767886">
              <w:t xml:space="preserve">, </w:t>
            </w:r>
            <w:r w:rsidRPr="00767886">
              <w:t>Board</w:t>
            </w:r>
            <w:r w:rsidR="00767886">
              <w:t> </w:t>
            </w:r>
            <w:r w:rsidRPr="00767886">
              <w:t>of Taxation</w:t>
            </w:r>
          </w:p>
          <w:p w14:paraId="26EEEC32" w14:textId="5F151B18" w:rsidR="00767886" w:rsidRPr="00767886" w:rsidRDefault="00767886" w:rsidP="00767886">
            <w:pPr>
              <w:pStyle w:val="TableTextLeft"/>
              <w:rPr>
                <w:b/>
                <w:bCs w:val="0"/>
              </w:rPr>
            </w:pPr>
            <w:r w:rsidRPr="00767886">
              <w:rPr>
                <w:b/>
                <w:bCs w:val="0"/>
              </w:rPr>
              <w:t>Term start date: 26 March 2020</w:t>
            </w:r>
          </w:p>
        </w:tc>
        <w:tc>
          <w:tcPr>
            <w:tcW w:w="3824" w:type="pct"/>
          </w:tcPr>
          <w:p w14:paraId="222CC830" w14:textId="752835B0" w:rsidR="00453C0B" w:rsidRPr="00637159" w:rsidRDefault="00453C0B" w:rsidP="00637159">
            <w:r w:rsidRPr="00637159">
              <w:rPr>
                <w:noProof/>
              </w:rPr>
              <mc:AlternateContent>
                <mc:Choice Requires="wps">
                  <w:drawing>
                    <wp:anchor distT="0" distB="0" distL="114300" distR="114300" simplePos="0" relativeHeight="251658243" behindDoc="0" locked="0" layoutInCell="1" allowOverlap="1" wp14:anchorId="12F316F5" wp14:editId="12C47F90">
                      <wp:simplePos x="0" y="0"/>
                      <wp:positionH relativeFrom="column">
                        <wp:posOffset>-162560</wp:posOffset>
                      </wp:positionH>
                      <wp:positionV relativeFrom="paragraph">
                        <wp:posOffset>115570</wp:posOffset>
                      </wp:positionV>
                      <wp:extent cx="0" cy="4117340"/>
                      <wp:effectExtent l="0" t="0" r="38100" b="35560"/>
                      <wp:wrapNone/>
                      <wp:docPr id="2039753799" name="Straight Connector 20397537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17340"/>
                              </a:xfrm>
                              <a:prstGeom prst="line">
                                <a:avLst/>
                              </a:prstGeom>
                              <a:noFill/>
                              <a:ln w="6350" cap="flat" cmpd="sng" algn="ctr">
                                <a:solidFill>
                                  <a:sysClr val="window" lastClr="FFFFFF"/>
                                </a:solidFill>
                                <a:prstDash val="solid"/>
                                <a:miter lim="800000"/>
                              </a:ln>
                              <a:effectLst/>
                            </wps:spPr>
                            <wps:bodyPr/>
                          </wps:wsp>
                        </a:graphicData>
                      </a:graphic>
                      <wp14:sizeRelV relativeFrom="margin">
                        <wp14:pctHeight>0</wp14:pctHeight>
                      </wp14:sizeRelV>
                    </wp:anchor>
                  </w:drawing>
                </mc:Choice>
                <mc:Fallback>
                  <w:pict>
                    <v:line w14:anchorId="6B664833" id="Straight Connector 2039753799" o:spid="_x0000_s1026" alt="&quot;&quot;"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pt,9.1pt" to="-12.8pt,3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" strokecolor="window" strokeweight=".5pt">
                      <v:stroke joinstyle="miter"/>
                    </v:line>
                  </w:pict>
                </mc:Fallback>
              </mc:AlternateContent>
            </w:r>
            <w:r w:rsidRPr="00637159">
              <w:t xml:space="preserve">Mrs </w:t>
            </w:r>
            <w:proofErr w:type="spellStart"/>
            <w:r w:rsidRPr="00637159">
              <w:t>Garnon</w:t>
            </w:r>
            <w:proofErr w:type="spellEnd"/>
            <w:r w:rsidRPr="00637159">
              <w:t xml:space="preserve"> has over 30</w:t>
            </w:r>
            <w:r w:rsidR="0079104A" w:rsidRPr="00637159">
              <w:t> </w:t>
            </w:r>
            <w:r w:rsidRPr="00637159">
              <w:t>years of experience in the field of taxation, having been a senior partner with KPMG. She was admitted as a tax partner in 2000 at</w:t>
            </w:r>
            <w:r w:rsidR="0079104A" w:rsidRPr="00637159">
              <w:t> </w:t>
            </w:r>
            <w:r w:rsidRPr="00637159">
              <w:t>KPMG and went on to hold senior executive roles with the firm.</w:t>
            </w:r>
          </w:p>
          <w:p w14:paraId="2B089262" w14:textId="7DF0D2EB" w:rsidR="00453C0B" w:rsidRPr="00637159" w:rsidRDefault="00453C0B" w:rsidP="00637159">
            <w:r w:rsidRPr="00637159">
              <w:t xml:space="preserve">From 2009 to 2015, Mrs </w:t>
            </w:r>
            <w:proofErr w:type="spellStart"/>
            <w:r w:rsidRPr="00637159">
              <w:t>Garnon</w:t>
            </w:r>
            <w:proofErr w:type="spellEnd"/>
            <w:r w:rsidRPr="00637159">
              <w:t xml:space="preserve"> was the National Managing Partner for KPMG</w:t>
            </w:r>
            <w:r w:rsidR="0079104A" w:rsidRPr="00637159">
              <w:t> </w:t>
            </w:r>
            <w:r w:rsidRPr="00637159">
              <w:t>Australia</w:t>
            </w:r>
            <w:r w:rsidR="00360869">
              <w:t>’</w:t>
            </w:r>
            <w:r w:rsidRPr="00637159">
              <w:t xml:space="preserve">s Taxation Division. She has extensive experience advising both domestic and global organisations. </w:t>
            </w:r>
          </w:p>
          <w:p w14:paraId="02E4953E" w14:textId="7E883ACD" w:rsidR="00453C0B" w:rsidRPr="00637159" w:rsidRDefault="00453C0B" w:rsidP="00637159">
            <w:r w:rsidRPr="00637159">
              <w:t xml:space="preserve">Mrs </w:t>
            </w:r>
            <w:proofErr w:type="spellStart"/>
            <w:r w:rsidRPr="00637159">
              <w:t>Garnon</w:t>
            </w:r>
            <w:r w:rsidR="00360869">
              <w:t>’</w:t>
            </w:r>
            <w:r w:rsidRPr="00637159">
              <w:t>s</w:t>
            </w:r>
            <w:proofErr w:type="spellEnd"/>
            <w:r w:rsidRPr="00637159">
              <w:t xml:space="preserve"> background includes Bachelor of Economics (Accounting Major) and Bachelor of Laws from the Australian National University. She is a Fellow of Chartered Accountants in Australia and New Zealand, a Chartered Tax Adviser, and a Graduate of the Australian Institute of Company Directors. She is also a member of Chief Executive Women.</w:t>
            </w:r>
          </w:p>
          <w:p w14:paraId="163E249F" w14:textId="2AB83133" w:rsidR="00453C0B" w:rsidRPr="00637159" w:rsidRDefault="00453C0B" w:rsidP="00637159">
            <w:r w:rsidRPr="00637159">
              <w:t xml:space="preserve">Other current roles: </w:t>
            </w:r>
            <w:r w:rsidR="001343FA" w:rsidRPr="00637159">
              <w:t>Non</w:t>
            </w:r>
            <w:r w:rsidR="00360869">
              <w:noBreakHyphen/>
            </w:r>
            <w:r w:rsidR="001343FA" w:rsidRPr="00637159">
              <w:t>Executive</w:t>
            </w:r>
            <w:r w:rsidRPr="00637159">
              <w:t xml:space="preserve"> Director of Australian Rail and Track Corporation, and </w:t>
            </w:r>
            <w:r w:rsidR="001343FA" w:rsidRPr="00637159">
              <w:t>Non</w:t>
            </w:r>
            <w:r w:rsidR="00360869">
              <w:noBreakHyphen/>
            </w:r>
            <w:r w:rsidR="001343FA" w:rsidRPr="00637159">
              <w:t>Executive</w:t>
            </w:r>
            <w:r w:rsidRPr="00637159">
              <w:t xml:space="preserve"> Director of Resolution Life Australia Pty Ltd. Mrs </w:t>
            </w:r>
            <w:proofErr w:type="spellStart"/>
            <w:r w:rsidRPr="00637159">
              <w:t>Garnon</w:t>
            </w:r>
            <w:proofErr w:type="spellEnd"/>
            <w:r w:rsidRPr="00637159">
              <w:t xml:space="preserve"> also holds the following Not for Profit roles: </w:t>
            </w:r>
            <w:r w:rsidR="001343FA" w:rsidRPr="00637159">
              <w:t>Non</w:t>
            </w:r>
            <w:r w:rsidR="00360869">
              <w:noBreakHyphen/>
            </w:r>
            <w:r w:rsidR="001343FA" w:rsidRPr="00637159">
              <w:t>Executive</w:t>
            </w:r>
            <w:r w:rsidRPr="00637159">
              <w:t xml:space="preserve"> Director Venues NSW, </w:t>
            </w:r>
            <w:r w:rsidR="001343FA" w:rsidRPr="00637159">
              <w:t>Non</w:t>
            </w:r>
            <w:r w:rsidR="00360869">
              <w:noBreakHyphen/>
            </w:r>
            <w:r w:rsidR="001343FA" w:rsidRPr="00637159">
              <w:t>Executive</w:t>
            </w:r>
            <w:r w:rsidRPr="00637159">
              <w:t xml:space="preserve"> Director of The</w:t>
            </w:r>
            <w:r w:rsidR="003F5D73" w:rsidRPr="00637159">
              <w:t> </w:t>
            </w:r>
            <w:r w:rsidRPr="00637159">
              <w:t>Smith</w:t>
            </w:r>
            <w:r w:rsidR="003F5D73" w:rsidRPr="00637159">
              <w:t> </w:t>
            </w:r>
            <w:r w:rsidRPr="00637159">
              <w:t xml:space="preserve">Family, Member of the Australia Council Board for Creative Australia, </w:t>
            </w:r>
            <w:r w:rsidR="001343FA" w:rsidRPr="00637159">
              <w:t>Non</w:t>
            </w:r>
            <w:r w:rsidR="00360869">
              <w:noBreakHyphen/>
            </w:r>
            <w:r w:rsidR="001343FA" w:rsidRPr="00637159">
              <w:t>Executive</w:t>
            </w:r>
            <w:r w:rsidRPr="00637159">
              <w:t xml:space="preserve"> Director of Retirement Benefit Fund Pty Limited and a </w:t>
            </w:r>
            <w:r w:rsidR="001343FA" w:rsidRPr="00637159">
              <w:t>Non</w:t>
            </w:r>
            <w:r w:rsidR="00360869">
              <w:noBreakHyphen/>
            </w:r>
            <w:r w:rsidR="001343FA" w:rsidRPr="00637159">
              <w:t>Executive</w:t>
            </w:r>
            <w:r w:rsidRPr="00637159">
              <w:t xml:space="preserve"> Director of Women Corporate Directors Australia Limited. </w:t>
            </w:r>
          </w:p>
          <w:p w14:paraId="3AFD971F" w14:textId="1026DD9E" w:rsidR="00453C0B" w:rsidRPr="00453C0B" w:rsidRDefault="00453C0B" w:rsidP="00637159">
            <w:r w:rsidRPr="00637159">
              <w:t xml:space="preserve">Mrs </w:t>
            </w:r>
            <w:proofErr w:type="spellStart"/>
            <w:r w:rsidRPr="00637159">
              <w:t>Garnon</w:t>
            </w:r>
            <w:proofErr w:type="spellEnd"/>
            <w:r w:rsidRPr="00637159">
              <w:t xml:space="preserve"> was appointed as Chair of the Board for a </w:t>
            </w:r>
            <w:r w:rsidR="001343FA" w:rsidRPr="00637159">
              <w:t>three</w:t>
            </w:r>
            <w:r w:rsidR="00360869">
              <w:noBreakHyphen/>
            </w:r>
            <w:r w:rsidR="001343FA" w:rsidRPr="00637159">
              <w:t>year</w:t>
            </w:r>
            <w:r w:rsidRPr="00637159">
              <w:t xml:space="preserve"> term on 26</w:t>
            </w:r>
            <w:r w:rsidR="0079104A" w:rsidRPr="00637159">
              <w:t> </w:t>
            </w:r>
            <w:r w:rsidRPr="00637159">
              <w:t>March</w:t>
            </w:r>
            <w:r w:rsidR="0079104A" w:rsidRPr="00637159">
              <w:t> </w:t>
            </w:r>
            <w:r w:rsidRPr="00637159">
              <w:t>2020 and was reappointed for a further three</w:t>
            </w:r>
            <w:r w:rsidR="00360869">
              <w:noBreakHyphen/>
            </w:r>
            <w:r w:rsidRPr="00637159">
              <w:t>year term from 26</w:t>
            </w:r>
            <w:r w:rsidR="0079104A" w:rsidRPr="00637159">
              <w:t> </w:t>
            </w:r>
            <w:r w:rsidRPr="00637159">
              <w:t>March</w:t>
            </w:r>
            <w:r w:rsidR="0079104A" w:rsidRPr="00637159">
              <w:t> </w:t>
            </w:r>
            <w:r w:rsidRPr="00637159">
              <w:t>2023.</w:t>
            </w:r>
          </w:p>
        </w:tc>
      </w:tr>
      <w:bookmarkEnd w:id="29"/>
    </w:tbl>
    <w:p w14:paraId="1B2F5AE6" w14:textId="77777777" w:rsidR="00BA347D" w:rsidRDefault="00BA347D">
      <w:r>
        <w:br w:type="page"/>
      </w:r>
    </w:p>
    <w:tbl>
      <w:tblPr>
        <w:tblStyle w:val="GridTable5Dark-Accent32"/>
        <w:tblW w:w="5000" w:type="pct"/>
        <w:tblLayout w:type="fixed"/>
        <w:tblLook w:val="0620" w:firstRow="1" w:lastRow="0" w:firstColumn="0" w:lastColumn="0" w:noHBand="1" w:noVBand="1"/>
      </w:tblPr>
      <w:tblGrid>
        <w:gridCol w:w="2268"/>
        <w:gridCol w:w="7373"/>
      </w:tblGrid>
      <w:tr w:rsidR="003F5D73" w:rsidRPr="00453C0B" w14:paraId="4C92C760"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sdt>
            <w:sdtPr>
              <w:id w:val="-1286656193"/>
              <w:picture/>
            </w:sdtPr>
            <w:sdtEndPr/>
            <w:sdtContent>
              <w:p w14:paraId="6224D5AD" w14:textId="77777777" w:rsidR="003F5D73" w:rsidRPr="00453C0B" w:rsidRDefault="003F5D73" w:rsidP="008F1B97">
                <w:pPr>
                  <w:spacing w:before="180" w:after="0"/>
                </w:pPr>
                <w:r w:rsidRPr="00453C0B">
                  <w:rPr>
                    <w:noProof/>
                  </w:rPr>
                  <w:drawing>
                    <wp:inline distT="0" distB="0" distL="0" distR="0" wp14:anchorId="35F79E91" wp14:editId="0CC01681">
                      <wp:extent cx="1080000" cy="1080000"/>
                      <wp:effectExtent l="0" t="0" r="6350" b="6350"/>
                      <wp:docPr id="1236130360" name="Picture 1236130360" descr="Dr Julianne Jaques KC, Board member of the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30360" name="Picture 1236130360" descr="Dr Julianne Jaques KC, Board member of the Board of Taxation"/>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3A262C68" w14:textId="77C1AC0C" w:rsidR="003F5D73" w:rsidRPr="00453C0B" w:rsidRDefault="003F5D73" w:rsidP="008F1B97">
            <w:pPr>
              <w:pStyle w:val="TableHeading1"/>
            </w:pPr>
            <w:r w:rsidRPr="003F5D73">
              <w:t>Dr Julianne Jaques KC</w:t>
            </w:r>
          </w:p>
          <w:p w14:paraId="65827476" w14:textId="4215C609" w:rsidR="003F5D73" w:rsidRDefault="004F59CF" w:rsidP="008F1B97">
            <w:pPr>
              <w:pStyle w:val="TableTextLeft"/>
              <w:rPr>
                <w:bCs w:val="0"/>
              </w:rPr>
            </w:pPr>
            <w:r w:rsidRPr="004F59CF">
              <w:t>Private sector Board member</w:t>
            </w:r>
          </w:p>
          <w:p w14:paraId="58BAB52C" w14:textId="42A9113A" w:rsidR="003F5D73" w:rsidRPr="00767886" w:rsidRDefault="003F5D73" w:rsidP="008F1B97">
            <w:pPr>
              <w:pStyle w:val="TableTextLeft"/>
              <w:rPr>
                <w:b/>
                <w:bCs w:val="0"/>
              </w:rPr>
            </w:pPr>
            <w:r w:rsidRPr="00767886">
              <w:rPr>
                <w:b/>
                <w:bCs w:val="0"/>
              </w:rPr>
              <w:t xml:space="preserve">Term start date: </w:t>
            </w:r>
            <w:r w:rsidR="004F59CF" w:rsidRPr="004F59CF">
              <w:rPr>
                <w:b/>
                <w:bCs w:val="0"/>
              </w:rPr>
              <w:t>1</w:t>
            </w:r>
            <w:r w:rsidR="004F59CF">
              <w:rPr>
                <w:b/>
                <w:bCs w:val="0"/>
              </w:rPr>
              <w:t> </w:t>
            </w:r>
            <w:r w:rsidR="004F59CF" w:rsidRPr="004F59CF">
              <w:rPr>
                <w:b/>
                <w:bCs w:val="0"/>
              </w:rPr>
              <w:t>July</w:t>
            </w:r>
            <w:r w:rsidR="004F59CF">
              <w:rPr>
                <w:b/>
                <w:bCs w:val="0"/>
              </w:rPr>
              <w:t> </w:t>
            </w:r>
            <w:r w:rsidR="004F59CF" w:rsidRPr="004F59CF">
              <w:rPr>
                <w:b/>
                <w:bCs w:val="0"/>
              </w:rPr>
              <w:t>2017</w:t>
            </w:r>
          </w:p>
        </w:tc>
        <w:tc>
          <w:tcPr>
            <w:tcW w:w="3824" w:type="pct"/>
          </w:tcPr>
          <w:p w14:paraId="6052A946" w14:textId="56393937" w:rsidR="003F5D73" w:rsidRPr="002A68E9" w:rsidRDefault="003F5D73" w:rsidP="002A68E9">
            <w:r w:rsidRPr="002A68E9">
              <w:rPr>
                <w:noProof/>
              </w:rPr>
              <mc:AlternateContent>
                <mc:Choice Requires="wps">
                  <w:drawing>
                    <wp:anchor distT="0" distB="0" distL="114300" distR="114300" simplePos="0" relativeHeight="251658244" behindDoc="0" locked="0" layoutInCell="1" allowOverlap="1" wp14:anchorId="2ACD5F36" wp14:editId="4BC91032">
                      <wp:simplePos x="0" y="0"/>
                      <wp:positionH relativeFrom="column">
                        <wp:posOffset>-161614</wp:posOffset>
                      </wp:positionH>
                      <wp:positionV relativeFrom="paragraph">
                        <wp:posOffset>113368</wp:posOffset>
                      </wp:positionV>
                      <wp:extent cx="29183" cy="2650787"/>
                      <wp:effectExtent l="0" t="0" r="28575" b="35560"/>
                      <wp:wrapNone/>
                      <wp:docPr id="123339870" name="Straight Connector 1233398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83" cy="2650787"/>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36E8F6" id="Straight Connector 123339870"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8.95pt" to="-10.4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" strokecolor="window" strokeweight=".5pt">
                      <v:stroke joinstyle="miter"/>
                    </v:line>
                  </w:pict>
                </mc:Fallback>
              </mc:AlternateContent>
            </w:r>
            <w:r w:rsidRPr="002A68E9">
              <w:t>Dr Julianne Jaques KC is a barrister at the Victorian Bar specialising in taxation with over 25 years</w:t>
            </w:r>
            <w:r w:rsidR="00360869">
              <w:t>’</w:t>
            </w:r>
            <w:r w:rsidRPr="002A68E9">
              <w:t xml:space="preserve"> experience as a taxation professional. She maintains chambers in both Melbourne and Sydney and has appeared in all higher Federal, Victorian and New South Wales courts. </w:t>
            </w:r>
          </w:p>
          <w:p w14:paraId="5E34D5AB" w14:textId="12247BAF" w:rsidR="003F5D73" w:rsidRPr="002A68E9" w:rsidRDefault="003F5D73" w:rsidP="002A68E9">
            <w:r w:rsidRPr="002A68E9">
              <w:t xml:space="preserve">Dr Jaques is a Chartered Accountant and a Chartered Tax Adviser, and in 2020 was awarded Chartered Tax Adviser of the Year by The Tax Institute. Prior to going to the Bar, Julianne worked as a solicitor, Chartered Accountant and ministerial tax adviser. She is a current member of the Independent Parliamentary Expenses Authority (reappointed 1 July 2022) and a former member of the Tax Practitioners Board (2016–2022). </w:t>
            </w:r>
          </w:p>
          <w:p w14:paraId="662C4CFF" w14:textId="7A5D2F74" w:rsidR="003F5D73" w:rsidRPr="00453C0B" w:rsidRDefault="003F5D73" w:rsidP="002A68E9">
            <w:pPr>
              <w:rPr>
                <w:bCs w:val="0"/>
              </w:rPr>
            </w:pPr>
            <w:r w:rsidRPr="002A68E9">
              <w:t>Dr Jaques was appointed as a part time member of the Board from 1 July 2017 and was most recently reappointed in December 2023 for a further term to September 2025. Dr Jaques was Acting Chair of the Board from 11 July 2019 to 10 January 2020.</w:t>
            </w:r>
          </w:p>
        </w:tc>
      </w:tr>
    </w:tbl>
    <w:p w14:paraId="1965FBFF" w14:textId="77777777" w:rsidR="003F5D73" w:rsidRPr="004F59CF" w:rsidRDefault="003F5D73" w:rsidP="004F59CF"/>
    <w:tbl>
      <w:tblPr>
        <w:tblStyle w:val="GridTable5Dark-Accent32"/>
        <w:tblW w:w="5000" w:type="pct"/>
        <w:tblLayout w:type="fixed"/>
        <w:tblLook w:val="0620" w:firstRow="1" w:lastRow="0" w:firstColumn="0" w:lastColumn="0" w:noHBand="1" w:noVBand="1"/>
      </w:tblPr>
      <w:tblGrid>
        <w:gridCol w:w="2268"/>
        <w:gridCol w:w="7373"/>
      </w:tblGrid>
      <w:tr w:rsidR="004F59CF" w:rsidRPr="00453C0B" w14:paraId="6152F31E"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bookmarkStart w:id="30" w:name="_Hlk209085786" w:displacedByCustomXml="next"/>
          <w:sdt>
            <w:sdtPr>
              <w:id w:val="1301344276"/>
              <w:picture/>
            </w:sdtPr>
            <w:sdtEndPr/>
            <w:sdtContent>
              <w:p w14:paraId="55D58428" w14:textId="77777777" w:rsidR="004F59CF" w:rsidRPr="00453C0B" w:rsidRDefault="004F59CF" w:rsidP="008F1B97">
                <w:pPr>
                  <w:spacing w:before="180" w:after="0"/>
                </w:pPr>
                <w:r w:rsidRPr="00453C0B">
                  <w:rPr>
                    <w:noProof/>
                  </w:rPr>
                  <w:drawing>
                    <wp:inline distT="0" distB="0" distL="0" distR="0" wp14:anchorId="4645C0A2" wp14:editId="16D96537">
                      <wp:extent cx="1080000" cy="1080000"/>
                      <wp:effectExtent l="0" t="0" r="6350" b="6350"/>
                      <wp:docPr id="1653053067" name="Picture 1653053067" descr="Ian Kellock&#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53067" name="Picture 1653053067" descr="Ian Kellock&#10;Board member, Board of Taxation"/>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7B3BD775" w14:textId="3E6F2C05" w:rsidR="004F59CF" w:rsidRPr="00453C0B" w:rsidRDefault="004F59CF" w:rsidP="008F1B97">
            <w:pPr>
              <w:pStyle w:val="TableHeading1"/>
            </w:pPr>
            <w:r w:rsidRPr="004F59CF">
              <w:t>Ian Kellock</w:t>
            </w:r>
          </w:p>
          <w:p w14:paraId="41C5970B" w14:textId="77777777" w:rsidR="004F59CF" w:rsidRDefault="004F59CF" w:rsidP="008F1B97">
            <w:pPr>
              <w:pStyle w:val="TableTextLeft"/>
              <w:rPr>
                <w:bCs w:val="0"/>
              </w:rPr>
            </w:pPr>
            <w:r w:rsidRPr="004F59CF">
              <w:t>Private sector Board member</w:t>
            </w:r>
          </w:p>
          <w:p w14:paraId="54405E6E" w14:textId="0B6EF31F" w:rsidR="004F59CF" w:rsidRPr="00767886" w:rsidRDefault="004F59CF" w:rsidP="008F1B97">
            <w:pPr>
              <w:pStyle w:val="TableTextLeft"/>
              <w:rPr>
                <w:b/>
                <w:bCs w:val="0"/>
              </w:rPr>
            </w:pPr>
            <w:r w:rsidRPr="00767886">
              <w:rPr>
                <w:b/>
                <w:bCs w:val="0"/>
              </w:rPr>
              <w:t xml:space="preserve">Term start date: </w:t>
            </w:r>
            <w:r w:rsidRPr="004F59CF">
              <w:rPr>
                <w:b/>
                <w:bCs w:val="0"/>
              </w:rPr>
              <w:t>12</w:t>
            </w:r>
            <w:r>
              <w:rPr>
                <w:b/>
                <w:bCs w:val="0"/>
              </w:rPr>
              <w:t> </w:t>
            </w:r>
            <w:r w:rsidRPr="004F59CF">
              <w:rPr>
                <w:b/>
                <w:bCs w:val="0"/>
              </w:rPr>
              <w:t>May</w:t>
            </w:r>
            <w:r>
              <w:rPr>
                <w:b/>
                <w:bCs w:val="0"/>
              </w:rPr>
              <w:t> </w:t>
            </w:r>
            <w:r w:rsidRPr="004F59CF">
              <w:rPr>
                <w:b/>
                <w:bCs w:val="0"/>
              </w:rPr>
              <w:t>2021</w:t>
            </w:r>
          </w:p>
        </w:tc>
        <w:tc>
          <w:tcPr>
            <w:tcW w:w="3824" w:type="pct"/>
          </w:tcPr>
          <w:p w14:paraId="32A53D00" w14:textId="3C95E85E" w:rsidR="009E7757" w:rsidRPr="002A68E9" w:rsidRDefault="004F59CF" w:rsidP="002A68E9">
            <w:r w:rsidRPr="002A68E9">
              <w:rPr>
                <w:noProof/>
              </w:rPr>
              <mc:AlternateContent>
                <mc:Choice Requires="wps">
                  <w:drawing>
                    <wp:anchor distT="0" distB="0" distL="114300" distR="114300" simplePos="0" relativeHeight="251658245" behindDoc="0" locked="0" layoutInCell="1" allowOverlap="1" wp14:anchorId="63301745" wp14:editId="170B2BC5">
                      <wp:simplePos x="0" y="0"/>
                      <wp:positionH relativeFrom="column">
                        <wp:posOffset>-164080</wp:posOffset>
                      </wp:positionH>
                      <wp:positionV relativeFrom="paragraph">
                        <wp:posOffset>111894</wp:posOffset>
                      </wp:positionV>
                      <wp:extent cx="23257" cy="2157211"/>
                      <wp:effectExtent l="0" t="0" r="34290" b="33655"/>
                      <wp:wrapNone/>
                      <wp:docPr id="2088743433" name="Straight Connector 20887434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257" cy="2157211"/>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956F0B" id="Straight Connector 2088743433"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8pt" to="-11.05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" strokecolor="window" strokeweight=".5pt">
                      <v:stroke joinstyle="miter"/>
                    </v:line>
                  </w:pict>
                </mc:Fallback>
              </mc:AlternateContent>
            </w:r>
            <w:r w:rsidR="009E7757" w:rsidRPr="002A68E9">
              <w:t>M</w:t>
            </w:r>
            <w:r w:rsidRPr="002A68E9">
              <w:t xml:space="preserve">r </w:t>
            </w:r>
            <w:r w:rsidR="009E7757" w:rsidRPr="002A68E9">
              <w:t>Kellock is a Tax Partner at Ashurst and has over 25</w:t>
            </w:r>
            <w:r w:rsidR="003B026A" w:rsidRPr="002A68E9">
              <w:t> </w:t>
            </w:r>
            <w:r w:rsidR="009E7757" w:rsidRPr="002A68E9">
              <w:t>years</w:t>
            </w:r>
            <w:r w:rsidR="00360869">
              <w:t>’</w:t>
            </w:r>
            <w:r w:rsidR="009E7757" w:rsidRPr="002A68E9">
              <w:t xml:space="preserve"> experience as a taxation professional. Mr Kellock</w:t>
            </w:r>
            <w:r w:rsidR="00360869">
              <w:t>’</w:t>
            </w:r>
            <w:r w:rsidR="009E7757" w:rsidRPr="002A68E9">
              <w:t xml:space="preserve">s practice deals with all aspects of Australian income tax, with a focus on mergers and acquisitions transactions in the financial services, healthcare, property, and resources sectors. </w:t>
            </w:r>
          </w:p>
          <w:p w14:paraId="082208D6" w14:textId="2A0628E4" w:rsidR="009E7757" w:rsidRPr="002A68E9" w:rsidRDefault="009E7757" w:rsidP="002A68E9">
            <w:r w:rsidRPr="002A68E9">
              <w:t>Mr Kellock is a Chartered Accountant and a Chartered Tax Adviser. He holds a bachelor</w:t>
            </w:r>
            <w:r w:rsidR="00360869">
              <w:t>’</w:t>
            </w:r>
            <w:r w:rsidRPr="002A68E9">
              <w:t>s degree in law and commerce from the University of Melbourne and a master</w:t>
            </w:r>
            <w:r w:rsidR="00360869">
              <w:t>’</w:t>
            </w:r>
            <w:r w:rsidRPr="002A68E9">
              <w:t>s degree in law from Monash</w:t>
            </w:r>
            <w:r w:rsidR="00F45356" w:rsidRPr="002A68E9">
              <w:t> </w:t>
            </w:r>
            <w:r w:rsidRPr="002A68E9">
              <w:t xml:space="preserve">University. </w:t>
            </w:r>
          </w:p>
          <w:p w14:paraId="47173B83" w14:textId="52E38AD5" w:rsidR="004F59CF" w:rsidRPr="00453C0B" w:rsidRDefault="009E7757" w:rsidP="002A68E9">
            <w:pPr>
              <w:rPr>
                <w:bCs w:val="0"/>
              </w:rPr>
            </w:pPr>
            <w:r w:rsidRPr="002A68E9">
              <w:t xml:space="preserve">Mr Kellock was appointed as a part time member of the Board for a </w:t>
            </w:r>
            <w:r w:rsidR="00AF2B04" w:rsidRPr="002A68E9">
              <w:t>three</w:t>
            </w:r>
            <w:r w:rsidR="00360869">
              <w:noBreakHyphen/>
            </w:r>
            <w:r w:rsidR="00AF2B04" w:rsidRPr="002A68E9">
              <w:t>year</w:t>
            </w:r>
            <w:r w:rsidRPr="002A68E9">
              <w:t xml:space="preserve"> period from 12</w:t>
            </w:r>
            <w:r w:rsidR="003B026A" w:rsidRPr="002A68E9">
              <w:t> </w:t>
            </w:r>
            <w:r w:rsidRPr="002A68E9">
              <w:t>May</w:t>
            </w:r>
            <w:r w:rsidR="003B026A" w:rsidRPr="002A68E9">
              <w:t> </w:t>
            </w:r>
            <w:r w:rsidRPr="002A68E9">
              <w:t>2021. Mr Kellock</w:t>
            </w:r>
            <w:r w:rsidR="00360869">
              <w:t>’</w:t>
            </w:r>
            <w:r w:rsidRPr="002A68E9">
              <w:t>s term was further extended to 11</w:t>
            </w:r>
            <w:r w:rsidR="003B026A" w:rsidRPr="002A68E9">
              <w:t> </w:t>
            </w:r>
            <w:r w:rsidRPr="002A68E9">
              <w:t>August</w:t>
            </w:r>
            <w:r w:rsidR="003B026A" w:rsidRPr="002A68E9">
              <w:t> </w:t>
            </w:r>
            <w:r w:rsidRPr="002A68E9">
              <w:t>2024.</w:t>
            </w:r>
          </w:p>
        </w:tc>
      </w:tr>
      <w:bookmarkEnd w:id="30"/>
    </w:tbl>
    <w:p w14:paraId="42D8639C" w14:textId="638D9505" w:rsidR="006C5A16" w:rsidRDefault="006C5A16">
      <w:r>
        <w:br w:type="page"/>
      </w:r>
    </w:p>
    <w:tbl>
      <w:tblPr>
        <w:tblStyle w:val="GridTable5Dark-Accent32"/>
        <w:tblW w:w="5000" w:type="pct"/>
        <w:tblLayout w:type="fixed"/>
        <w:tblLook w:val="0620" w:firstRow="1" w:lastRow="0" w:firstColumn="0" w:lastColumn="0" w:noHBand="1" w:noVBand="1"/>
      </w:tblPr>
      <w:tblGrid>
        <w:gridCol w:w="2268"/>
        <w:gridCol w:w="7373"/>
      </w:tblGrid>
      <w:tr w:rsidR="00B0178E" w:rsidRPr="00453C0B" w14:paraId="3DC2CA51"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sdt>
            <w:sdtPr>
              <w:id w:val="-1134718179"/>
              <w:picture/>
            </w:sdtPr>
            <w:sdtEndPr/>
            <w:sdtContent>
              <w:p w14:paraId="0AEC9AF0" w14:textId="77777777" w:rsidR="00B0178E" w:rsidRPr="00453C0B" w:rsidRDefault="00B0178E" w:rsidP="008F1B97">
                <w:pPr>
                  <w:spacing w:before="180" w:after="0"/>
                </w:pPr>
                <w:r w:rsidRPr="00453C0B">
                  <w:rPr>
                    <w:noProof/>
                  </w:rPr>
                  <w:drawing>
                    <wp:inline distT="0" distB="0" distL="0" distR="0" wp14:anchorId="74D861A9" wp14:editId="29383593">
                      <wp:extent cx="1080000" cy="1080000"/>
                      <wp:effectExtent l="0" t="0" r="6350" b="6350"/>
                      <wp:docPr id="102650235" name="Picture 102650235" descr="Andrea Laing&#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0235" name="Picture 102650235" descr="Andrea Laing&#10;Board member, Board of Taxation"/>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3200A714" w14:textId="1FD656C6" w:rsidR="00B0178E" w:rsidRPr="00453C0B" w:rsidRDefault="00B0178E" w:rsidP="008F1B97">
            <w:pPr>
              <w:pStyle w:val="TableHeading1"/>
            </w:pPr>
            <w:r w:rsidRPr="00B0178E">
              <w:t>Andrea Laing</w:t>
            </w:r>
          </w:p>
          <w:p w14:paraId="5E168574" w14:textId="77777777" w:rsidR="00B0178E" w:rsidRDefault="00B0178E" w:rsidP="008F1B97">
            <w:pPr>
              <w:pStyle w:val="TableTextLeft"/>
              <w:rPr>
                <w:bCs w:val="0"/>
              </w:rPr>
            </w:pPr>
            <w:r w:rsidRPr="004F59CF">
              <w:t>Private sector Board member</w:t>
            </w:r>
          </w:p>
          <w:p w14:paraId="210A8F28" w14:textId="063FF871" w:rsidR="00B0178E" w:rsidRPr="00767886" w:rsidRDefault="00B0178E" w:rsidP="008F1B97">
            <w:pPr>
              <w:pStyle w:val="TableTextLeft"/>
              <w:rPr>
                <w:b/>
                <w:bCs w:val="0"/>
              </w:rPr>
            </w:pPr>
            <w:r w:rsidRPr="00767886">
              <w:rPr>
                <w:b/>
                <w:bCs w:val="0"/>
              </w:rPr>
              <w:t xml:space="preserve">Term start date: </w:t>
            </w:r>
            <w:r w:rsidR="00333B8F" w:rsidRPr="00333B8F">
              <w:rPr>
                <w:b/>
                <w:bCs w:val="0"/>
              </w:rPr>
              <w:t>21</w:t>
            </w:r>
            <w:r w:rsidR="00333B8F">
              <w:rPr>
                <w:b/>
                <w:bCs w:val="0"/>
              </w:rPr>
              <w:t> </w:t>
            </w:r>
            <w:r w:rsidR="00333B8F" w:rsidRPr="00333B8F">
              <w:rPr>
                <w:b/>
                <w:bCs w:val="0"/>
              </w:rPr>
              <w:t>October</w:t>
            </w:r>
            <w:r w:rsidR="00333B8F">
              <w:rPr>
                <w:b/>
                <w:bCs w:val="0"/>
              </w:rPr>
              <w:t> </w:t>
            </w:r>
            <w:r w:rsidR="00333B8F" w:rsidRPr="00333B8F">
              <w:rPr>
                <w:b/>
                <w:bCs w:val="0"/>
              </w:rPr>
              <w:t>2021</w:t>
            </w:r>
          </w:p>
        </w:tc>
        <w:tc>
          <w:tcPr>
            <w:tcW w:w="3824" w:type="pct"/>
          </w:tcPr>
          <w:p w14:paraId="0530991E" w14:textId="428A9A8E" w:rsidR="00210D8E" w:rsidRPr="002A68E9" w:rsidRDefault="00B0178E" w:rsidP="002A68E9">
            <w:r w:rsidRPr="002A68E9">
              <w:rPr>
                <w:noProof/>
              </w:rPr>
              <mc:AlternateContent>
                <mc:Choice Requires="wps">
                  <w:drawing>
                    <wp:anchor distT="0" distB="0" distL="114300" distR="114300" simplePos="0" relativeHeight="251658246" behindDoc="0" locked="0" layoutInCell="1" allowOverlap="1" wp14:anchorId="0295C9EB" wp14:editId="726CDD28">
                      <wp:simplePos x="0" y="0"/>
                      <wp:positionH relativeFrom="column">
                        <wp:posOffset>-164079</wp:posOffset>
                      </wp:positionH>
                      <wp:positionV relativeFrom="paragraph">
                        <wp:posOffset>111107</wp:posOffset>
                      </wp:positionV>
                      <wp:extent cx="0" cy="2318197"/>
                      <wp:effectExtent l="0" t="0" r="38100" b="25400"/>
                      <wp:wrapNone/>
                      <wp:docPr id="1525143168" name="Straight Connector 1525143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18197"/>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42C316" id="Straight Connector 1525143168"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75pt" to="-12.9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" strokecolor="window" strokeweight=".5pt">
                      <v:stroke joinstyle="miter"/>
                    </v:line>
                  </w:pict>
                </mc:Fallback>
              </mc:AlternateContent>
            </w:r>
            <w:r w:rsidRPr="002A68E9">
              <w:t>M</w:t>
            </w:r>
            <w:r w:rsidR="00210D8E" w:rsidRPr="002A68E9">
              <w:t>s Laing has many years of experience in taxation, working in the ATO, Chartered Accounting and the extractive/energy industry. She spent more than two decades at Shell in various roles specialising in indirect tax, employment tax and tax policy. Ms Laing was Head of Tax for Shell Australia for five years and led a global project on the tax ramifications of Energy Transition and Climate Change.</w:t>
            </w:r>
          </w:p>
          <w:p w14:paraId="346ED41D" w14:textId="77777777" w:rsidR="00210D8E" w:rsidRPr="002A68E9" w:rsidRDefault="00210D8E" w:rsidP="002A68E9">
            <w:r w:rsidRPr="002A68E9">
              <w:t xml:space="preserve">Ms Laing was a member of the OECD task team that developed International VAT Guidelines published in 2014. She spent four years on the Corporate Tax Association Executive and is a member of Certified Practicing Accountants (CPA) Australia. </w:t>
            </w:r>
          </w:p>
          <w:p w14:paraId="100C2A63" w14:textId="5852798D" w:rsidR="00B0178E" w:rsidRPr="00453C0B" w:rsidRDefault="00210D8E" w:rsidP="002A68E9">
            <w:r w:rsidRPr="002A68E9">
              <w:t>Ms Laing was appointed as a part time member of the Board for a three</w:t>
            </w:r>
            <w:r w:rsidR="00360869">
              <w:noBreakHyphen/>
            </w:r>
            <w:r w:rsidRPr="002A68E9">
              <w:t>year period from 21</w:t>
            </w:r>
            <w:r w:rsidR="00B476D2" w:rsidRPr="002A68E9">
              <w:t> </w:t>
            </w:r>
            <w:r w:rsidRPr="002A68E9">
              <w:t>October</w:t>
            </w:r>
            <w:r w:rsidR="00B476D2" w:rsidRPr="002A68E9">
              <w:t> </w:t>
            </w:r>
            <w:r w:rsidRPr="002A68E9">
              <w:t>2021.</w:t>
            </w:r>
          </w:p>
        </w:tc>
      </w:tr>
    </w:tbl>
    <w:p w14:paraId="33D3B424" w14:textId="77777777" w:rsidR="00B0178E" w:rsidRDefault="00B0178E" w:rsidP="006F27B9"/>
    <w:tbl>
      <w:tblPr>
        <w:tblStyle w:val="GridTable5Dark-Accent32"/>
        <w:tblW w:w="5000" w:type="pct"/>
        <w:tblLayout w:type="fixed"/>
        <w:tblLook w:val="0620" w:firstRow="1" w:lastRow="0" w:firstColumn="0" w:lastColumn="0" w:noHBand="1" w:noVBand="1"/>
      </w:tblPr>
      <w:tblGrid>
        <w:gridCol w:w="2268"/>
        <w:gridCol w:w="7373"/>
      </w:tblGrid>
      <w:tr w:rsidR="00B476D2" w:rsidRPr="00453C0B" w14:paraId="0B312073"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bookmarkStart w:id="31" w:name="_Hlk209088886" w:displacedByCustomXml="next"/>
          <w:sdt>
            <w:sdtPr>
              <w:id w:val="-1562712211"/>
              <w:picture/>
            </w:sdtPr>
            <w:sdtEndPr/>
            <w:sdtContent>
              <w:p w14:paraId="5AEB6873" w14:textId="77777777" w:rsidR="00B476D2" w:rsidRPr="00453C0B" w:rsidRDefault="00B476D2" w:rsidP="008F1B97">
                <w:pPr>
                  <w:spacing w:before="180" w:after="0"/>
                </w:pPr>
                <w:r w:rsidRPr="00453C0B">
                  <w:rPr>
                    <w:noProof/>
                  </w:rPr>
                  <w:drawing>
                    <wp:inline distT="0" distB="0" distL="0" distR="0" wp14:anchorId="76B69385" wp14:editId="54301927">
                      <wp:extent cx="1080000" cy="1080000"/>
                      <wp:effectExtent l="0" t="0" r="6350" b="6350"/>
                      <wp:docPr id="515543356" name="Picture 515543356" descr="Andrew Mills&#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43356" name="Picture 515543356" descr="Andrew Mills&#10;Board member, Board of Taxation"/>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1412E736" w14:textId="4A73A435" w:rsidR="00B476D2" w:rsidRPr="00453C0B" w:rsidRDefault="00B476D2" w:rsidP="008F1B97">
            <w:pPr>
              <w:pStyle w:val="TableHeading1"/>
            </w:pPr>
            <w:r w:rsidRPr="00B476D2">
              <w:t>Andrew Mills</w:t>
            </w:r>
          </w:p>
          <w:p w14:paraId="343CB785" w14:textId="77777777" w:rsidR="00B476D2" w:rsidRDefault="00B476D2" w:rsidP="008F1B97">
            <w:pPr>
              <w:pStyle w:val="TableTextLeft"/>
              <w:rPr>
                <w:bCs w:val="0"/>
              </w:rPr>
            </w:pPr>
            <w:r w:rsidRPr="004F59CF">
              <w:t>Private sector Board member</w:t>
            </w:r>
          </w:p>
          <w:p w14:paraId="185925F0" w14:textId="405B4A87" w:rsidR="00B476D2" w:rsidRPr="00767886" w:rsidRDefault="00B476D2" w:rsidP="008F1B97">
            <w:pPr>
              <w:pStyle w:val="TableTextLeft"/>
              <w:rPr>
                <w:b/>
                <w:bCs w:val="0"/>
              </w:rPr>
            </w:pPr>
            <w:r w:rsidRPr="00767886">
              <w:rPr>
                <w:b/>
                <w:bCs w:val="0"/>
              </w:rPr>
              <w:t xml:space="preserve">Term start date: </w:t>
            </w:r>
            <w:r w:rsidRPr="00B476D2">
              <w:rPr>
                <w:b/>
                <w:bCs w:val="0"/>
              </w:rPr>
              <w:t>8</w:t>
            </w:r>
            <w:r>
              <w:rPr>
                <w:b/>
                <w:bCs w:val="0"/>
              </w:rPr>
              <w:t> </w:t>
            </w:r>
            <w:r w:rsidRPr="00B476D2">
              <w:rPr>
                <w:b/>
                <w:bCs w:val="0"/>
              </w:rPr>
              <w:t>December</w:t>
            </w:r>
            <w:r>
              <w:rPr>
                <w:b/>
                <w:bCs w:val="0"/>
              </w:rPr>
              <w:t> </w:t>
            </w:r>
            <w:r w:rsidRPr="00B476D2">
              <w:rPr>
                <w:b/>
                <w:bCs w:val="0"/>
              </w:rPr>
              <w:t>2023</w:t>
            </w:r>
          </w:p>
        </w:tc>
        <w:tc>
          <w:tcPr>
            <w:tcW w:w="3824" w:type="pct"/>
          </w:tcPr>
          <w:p w14:paraId="7C0D1770" w14:textId="744694ED" w:rsidR="0008009E" w:rsidRPr="00133626" w:rsidRDefault="00B476D2" w:rsidP="0008009E">
            <w:pPr>
              <w:rPr>
                <w:rFonts w:cs="Calibri"/>
              </w:rPr>
            </w:pPr>
            <w:r w:rsidRPr="00453C0B">
              <w:rPr>
                <w:noProof/>
              </w:rPr>
              <mc:AlternateContent>
                <mc:Choice Requires="wps">
                  <w:drawing>
                    <wp:anchor distT="0" distB="0" distL="114300" distR="114300" simplePos="0" relativeHeight="251658247" behindDoc="0" locked="0" layoutInCell="1" allowOverlap="1" wp14:anchorId="071A97C1" wp14:editId="542A66E7">
                      <wp:simplePos x="0" y="0"/>
                      <wp:positionH relativeFrom="column">
                        <wp:posOffset>-164080</wp:posOffset>
                      </wp:positionH>
                      <wp:positionV relativeFrom="paragraph">
                        <wp:posOffset>111598</wp:posOffset>
                      </wp:positionV>
                      <wp:extent cx="0" cy="3779949"/>
                      <wp:effectExtent l="0" t="0" r="38100" b="30480"/>
                      <wp:wrapNone/>
                      <wp:docPr id="1401608606" name="Straight Connector 1401608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79949"/>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1A9AF8" id="Straight Connector 1401608606"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8pt" to="-12.9pt,3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" strokecolor="window" strokeweight=".5pt">
                      <v:stroke joinstyle="miter"/>
                    </v:line>
                  </w:pict>
                </mc:Fallback>
              </mc:AlternateContent>
            </w:r>
            <w:r>
              <w:rPr>
                <w:bCs w:val="0"/>
              </w:rPr>
              <w:t>M</w:t>
            </w:r>
            <w:r w:rsidR="0008009E">
              <w:rPr>
                <w:bCs w:val="0"/>
              </w:rPr>
              <w:t xml:space="preserve">r </w:t>
            </w:r>
            <w:r w:rsidR="0008009E" w:rsidRPr="00133626">
              <w:rPr>
                <w:rFonts w:cs="Calibri"/>
              </w:rPr>
              <w:t>Mills has over 40 years</w:t>
            </w:r>
            <w:r w:rsidR="00360869">
              <w:rPr>
                <w:rFonts w:cs="Calibri"/>
              </w:rPr>
              <w:t>’</w:t>
            </w:r>
            <w:r w:rsidR="0008009E" w:rsidRPr="00133626">
              <w:rPr>
                <w:rFonts w:cs="Calibri"/>
              </w:rPr>
              <w:t xml:space="preserve"> experience in senior commercial, accounting and legal practice, government and academic roles.</w:t>
            </w:r>
          </w:p>
          <w:p w14:paraId="1D492983" w14:textId="77777777" w:rsidR="0008009E" w:rsidRPr="00133626" w:rsidRDefault="0008009E" w:rsidP="0008009E">
            <w:pPr>
              <w:rPr>
                <w:rFonts w:cs="Calibri"/>
              </w:rPr>
            </w:pPr>
            <w:r w:rsidRPr="00133626">
              <w:rPr>
                <w:rFonts w:cs="Calibri"/>
              </w:rPr>
              <w:t>He is currently Chair of the Financial Reporting Council, Chair of Cemeteries and Crematoria NSW, Chair of the NSW Independent Planning Commission and a Senior Fellow of the University of Melbourne Law School.</w:t>
            </w:r>
          </w:p>
          <w:p w14:paraId="1ACA49F4" w14:textId="77777777" w:rsidR="0008009E" w:rsidRPr="00133626" w:rsidRDefault="0008009E" w:rsidP="0008009E">
            <w:pPr>
              <w:rPr>
                <w:rFonts w:cs="Calibri"/>
              </w:rPr>
            </w:pPr>
            <w:r w:rsidRPr="00133626">
              <w:rPr>
                <w:rFonts w:cs="Calibri"/>
              </w:rPr>
              <w:t>Mr Mills is also a member of the Tax and Transfer Policy Institute Advisory Committee and of the executive committee of the International Fiscal Association, Australia Branch.</w:t>
            </w:r>
          </w:p>
          <w:p w14:paraId="5D83D46E" w14:textId="5A4AF7E5" w:rsidR="0008009E" w:rsidRPr="00133626" w:rsidRDefault="0008009E" w:rsidP="0008009E">
            <w:pPr>
              <w:rPr>
                <w:rFonts w:cs="Calibri"/>
              </w:rPr>
            </w:pPr>
            <w:r w:rsidRPr="00133626">
              <w:rPr>
                <w:rFonts w:cs="Calibri"/>
              </w:rPr>
              <w:t xml:space="preserve">Previously, Mr Mills served as Second Commissioner of Taxation at the Australian Taxation Office. He was also a </w:t>
            </w:r>
            <w:proofErr w:type="gramStart"/>
            <w:r w:rsidRPr="00133626">
              <w:rPr>
                <w:rFonts w:cs="Calibri"/>
              </w:rPr>
              <w:t>Director</w:t>
            </w:r>
            <w:proofErr w:type="gramEnd"/>
            <w:r w:rsidR="00360869">
              <w:rPr>
                <w:rFonts w:cs="Calibri"/>
              </w:rPr>
              <w:noBreakHyphen/>
            </w:r>
            <w:r w:rsidRPr="00133626">
              <w:rPr>
                <w:rFonts w:cs="Calibri"/>
              </w:rPr>
              <w:t>Partner at Greenwoods &amp; Freehills for over 20 years, including Managing Director of the firm between 2006 and 2011 and has held senior roles in the financial services sector.</w:t>
            </w:r>
          </w:p>
          <w:p w14:paraId="2579620B" w14:textId="77777777" w:rsidR="0008009E" w:rsidRPr="00133626" w:rsidRDefault="0008009E" w:rsidP="0008009E">
            <w:pPr>
              <w:rPr>
                <w:rFonts w:cs="Calibri"/>
              </w:rPr>
            </w:pPr>
            <w:r w:rsidRPr="00133626">
              <w:rPr>
                <w:rFonts w:cs="Calibri"/>
              </w:rPr>
              <w:t>Mr Mills has qualifications in business and law. He is a Certified Practising Accountant, a Chartered Tax Adviser (Life), a Graduate of the Australian Institute of Company Directors, a Fellow of the Governance Institute of Australia and a member of the International Fiscal Association.</w:t>
            </w:r>
          </w:p>
          <w:p w14:paraId="40189C4E" w14:textId="2AFC4F9F" w:rsidR="00B476D2" w:rsidRPr="00453C0B" w:rsidRDefault="0008009E" w:rsidP="0008009E">
            <w:pPr>
              <w:rPr>
                <w:bCs w:val="0"/>
              </w:rPr>
            </w:pPr>
            <w:r w:rsidRPr="00133626">
              <w:rPr>
                <w:rFonts w:cs="Calibri"/>
              </w:rPr>
              <w:t>Mr Mills was appointed as a part</w:t>
            </w:r>
            <w:r w:rsidR="00360869">
              <w:rPr>
                <w:rFonts w:cs="Calibri"/>
              </w:rPr>
              <w:noBreakHyphen/>
            </w:r>
            <w:r w:rsidRPr="00133626">
              <w:rPr>
                <w:rFonts w:cs="Calibri"/>
              </w:rPr>
              <w:t xml:space="preserve">time Board member for a </w:t>
            </w:r>
            <w:r>
              <w:rPr>
                <w:rFonts w:cs="Calibri"/>
              </w:rPr>
              <w:t>three</w:t>
            </w:r>
            <w:r w:rsidR="00360869">
              <w:rPr>
                <w:rFonts w:cs="Calibri"/>
              </w:rPr>
              <w:noBreakHyphen/>
            </w:r>
            <w:r w:rsidRPr="00133626">
              <w:rPr>
                <w:rFonts w:cs="Calibri"/>
              </w:rPr>
              <w:t>year period from 8 December 2023.</w:t>
            </w:r>
          </w:p>
        </w:tc>
      </w:tr>
      <w:bookmarkEnd w:id="31"/>
    </w:tbl>
    <w:p w14:paraId="01F59301" w14:textId="77777777" w:rsidR="003067D7" w:rsidRDefault="003067D7" w:rsidP="00520295">
      <w:pPr>
        <w:spacing w:before="0"/>
      </w:pPr>
    </w:p>
    <w:tbl>
      <w:tblPr>
        <w:tblStyle w:val="GridTable5Dark-Accent32"/>
        <w:tblW w:w="5000" w:type="pct"/>
        <w:tblLayout w:type="fixed"/>
        <w:tblLook w:val="0620" w:firstRow="1" w:lastRow="0" w:firstColumn="0" w:lastColumn="0" w:noHBand="1" w:noVBand="1"/>
      </w:tblPr>
      <w:tblGrid>
        <w:gridCol w:w="2268"/>
        <w:gridCol w:w="7373"/>
      </w:tblGrid>
      <w:tr w:rsidR="006877BF" w:rsidRPr="00453C0B" w14:paraId="23CE6EDD"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bookmarkStart w:id="32" w:name="_Hlk209089207" w:displacedByCustomXml="next"/>
          <w:sdt>
            <w:sdtPr>
              <w:id w:val="845441551"/>
              <w:picture/>
            </w:sdtPr>
            <w:sdtEndPr/>
            <w:sdtContent>
              <w:p w14:paraId="0CD018FA" w14:textId="77777777" w:rsidR="006877BF" w:rsidRPr="00453C0B" w:rsidRDefault="006877BF" w:rsidP="008F1B97">
                <w:pPr>
                  <w:spacing w:before="180" w:after="0"/>
                </w:pPr>
                <w:r w:rsidRPr="00453C0B">
                  <w:rPr>
                    <w:noProof/>
                  </w:rPr>
                  <w:drawing>
                    <wp:inline distT="0" distB="0" distL="0" distR="0" wp14:anchorId="417FD77F" wp14:editId="484D0DC3">
                      <wp:extent cx="1080000" cy="1080000"/>
                      <wp:effectExtent l="0" t="0" r="6350" b="6350"/>
                      <wp:docPr id="1418409565" name="Picture 1418409565" descr="Judy O'Connell&#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09565" name="Picture 1418409565" descr="Judy O'Connell&#10;Board member, Board of Taxation"/>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265AE419" w14:textId="61E574EB" w:rsidR="006877BF" w:rsidRPr="00453C0B" w:rsidRDefault="006877BF" w:rsidP="008F1B97">
            <w:pPr>
              <w:pStyle w:val="TableHeading1"/>
            </w:pPr>
            <w:r w:rsidRPr="006877BF">
              <w:t>Judy O</w:t>
            </w:r>
            <w:r w:rsidR="00360869">
              <w:t>’</w:t>
            </w:r>
            <w:r w:rsidRPr="006877BF">
              <w:t>Connell</w:t>
            </w:r>
          </w:p>
          <w:p w14:paraId="07ED4C2E" w14:textId="77777777" w:rsidR="006877BF" w:rsidRDefault="006877BF" w:rsidP="008F1B97">
            <w:pPr>
              <w:pStyle w:val="TableTextLeft"/>
              <w:rPr>
                <w:bCs w:val="0"/>
              </w:rPr>
            </w:pPr>
            <w:r w:rsidRPr="004F59CF">
              <w:t>Private sector Board member</w:t>
            </w:r>
          </w:p>
          <w:p w14:paraId="359043EC" w14:textId="77777777" w:rsidR="006877BF" w:rsidRPr="00767886" w:rsidRDefault="006877BF" w:rsidP="008F1B97">
            <w:pPr>
              <w:pStyle w:val="TableTextLeft"/>
              <w:rPr>
                <w:b/>
                <w:bCs w:val="0"/>
              </w:rPr>
            </w:pPr>
            <w:r w:rsidRPr="00767886">
              <w:rPr>
                <w:b/>
                <w:bCs w:val="0"/>
              </w:rPr>
              <w:t xml:space="preserve">Term start date: </w:t>
            </w:r>
            <w:r w:rsidRPr="00B476D2">
              <w:rPr>
                <w:b/>
                <w:bCs w:val="0"/>
              </w:rPr>
              <w:t>8</w:t>
            </w:r>
            <w:r>
              <w:rPr>
                <w:b/>
                <w:bCs w:val="0"/>
              </w:rPr>
              <w:t> </w:t>
            </w:r>
            <w:r w:rsidRPr="00B476D2">
              <w:rPr>
                <w:b/>
                <w:bCs w:val="0"/>
              </w:rPr>
              <w:t>December</w:t>
            </w:r>
            <w:r>
              <w:rPr>
                <w:b/>
                <w:bCs w:val="0"/>
              </w:rPr>
              <w:t> </w:t>
            </w:r>
            <w:r w:rsidRPr="00B476D2">
              <w:rPr>
                <w:b/>
                <w:bCs w:val="0"/>
              </w:rPr>
              <w:t>2023</w:t>
            </w:r>
          </w:p>
        </w:tc>
        <w:tc>
          <w:tcPr>
            <w:tcW w:w="3824" w:type="pct"/>
          </w:tcPr>
          <w:p w14:paraId="4672596D" w14:textId="70F0C6DA" w:rsidR="006877BF" w:rsidRPr="00CA3FD7" w:rsidRDefault="006877BF" w:rsidP="00CA3FD7">
            <w:r w:rsidRPr="00CA3FD7">
              <w:rPr>
                <w:noProof/>
              </w:rPr>
              <mc:AlternateContent>
                <mc:Choice Requires="wps">
                  <w:drawing>
                    <wp:anchor distT="0" distB="0" distL="114300" distR="114300" simplePos="0" relativeHeight="251658248" behindDoc="0" locked="0" layoutInCell="1" allowOverlap="1" wp14:anchorId="68E33904" wp14:editId="107B2914">
                      <wp:simplePos x="0" y="0"/>
                      <wp:positionH relativeFrom="column">
                        <wp:posOffset>-164080</wp:posOffset>
                      </wp:positionH>
                      <wp:positionV relativeFrom="paragraph">
                        <wp:posOffset>111107</wp:posOffset>
                      </wp:positionV>
                      <wp:extent cx="0" cy="3960254"/>
                      <wp:effectExtent l="0" t="0" r="38100" b="21590"/>
                      <wp:wrapNone/>
                      <wp:docPr id="1487066904" name="Straight Connector 14870669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960254"/>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DD3B8A" id="Straight Connector 1487066904"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75pt" to="-12.9pt,3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" strokecolor="window" strokeweight=".5pt">
                      <v:stroke joinstyle="miter"/>
                    </v:line>
                  </w:pict>
                </mc:Fallback>
              </mc:AlternateContent>
            </w:r>
            <w:r w:rsidRPr="00CA3FD7">
              <w:t>Ms O</w:t>
            </w:r>
            <w:r w:rsidR="00360869">
              <w:t>’</w:t>
            </w:r>
            <w:r w:rsidRPr="00CA3FD7">
              <w:t>Connell has extensive domestic and global experience in tax administration, having worked at the Australian Taxation Office (ATO) for 35 years.</w:t>
            </w:r>
          </w:p>
          <w:p w14:paraId="2BDD87CF" w14:textId="77777777" w:rsidR="006877BF" w:rsidRPr="00CA3FD7" w:rsidRDefault="006877BF" w:rsidP="00CA3FD7">
            <w:r w:rsidRPr="00CA3FD7">
              <w:t>She was appointed Assistant Commissioner from 2005 to 2016, working in various tax compliance and information technology roles. She was a key executive driving the changes to improve the experience for small business owners when dealing with the ATO.</w:t>
            </w:r>
          </w:p>
          <w:p w14:paraId="6CAFE88A" w14:textId="68BF4D49" w:rsidR="006877BF" w:rsidRPr="00CA3FD7" w:rsidRDefault="006877BF" w:rsidP="00CA3FD7">
            <w:r w:rsidRPr="00CA3FD7">
              <w:t>Ms O</w:t>
            </w:r>
            <w:r w:rsidR="00360869">
              <w:t>’</w:t>
            </w:r>
            <w:r w:rsidRPr="00CA3FD7">
              <w:t>Connell was the former Victorian Small Business Commissioner between 2016 and 2021.</w:t>
            </w:r>
          </w:p>
          <w:p w14:paraId="3378D5E4" w14:textId="12729EAF" w:rsidR="006877BF" w:rsidRPr="00CA3FD7" w:rsidRDefault="006877BF" w:rsidP="00CA3FD7">
            <w:r w:rsidRPr="00CA3FD7">
              <w:t>She also worked at the Organisation for Economic Co</w:t>
            </w:r>
            <w:r w:rsidR="00360869">
              <w:noBreakHyphen/>
            </w:r>
            <w:r w:rsidRPr="00CA3FD7">
              <w:t>operation and Development (OECD) in Paris as Head of Unit at the Fiscal Affairs Division, where she led the development of an online international tax dialogue between tax administrations.</w:t>
            </w:r>
          </w:p>
          <w:p w14:paraId="3DB26B10" w14:textId="6B95E640" w:rsidR="006877BF" w:rsidRPr="00CA3FD7" w:rsidRDefault="006877BF" w:rsidP="00CA3FD7">
            <w:r w:rsidRPr="00CA3FD7">
              <w:t>Ms O</w:t>
            </w:r>
            <w:r w:rsidR="00360869">
              <w:t>’</w:t>
            </w:r>
            <w:r w:rsidRPr="00CA3FD7">
              <w:t>Connell works as a short</w:t>
            </w:r>
            <w:r w:rsidR="00360869">
              <w:noBreakHyphen/>
            </w:r>
            <w:r w:rsidRPr="00CA3FD7">
              <w:t>term Tax Expert in the Fiscal Affairs Department of the IMF, providing technical assistance to tax administrations. She has a Bachelor of Economics from Melbourne University.</w:t>
            </w:r>
          </w:p>
          <w:p w14:paraId="68912893" w14:textId="07C72123" w:rsidR="006877BF" w:rsidRPr="00453C0B" w:rsidRDefault="006877BF" w:rsidP="00CA3FD7">
            <w:pPr>
              <w:rPr>
                <w:bCs w:val="0"/>
              </w:rPr>
            </w:pPr>
            <w:r w:rsidRPr="00CA3FD7">
              <w:t>Ms O</w:t>
            </w:r>
            <w:r w:rsidR="00360869">
              <w:t>’</w:t>
            </w:r>
            <w:r w:rsidRPr="00CA3FD7">
              <w:t>Connell was appointed as a part</w:t>
            </w:r>
            <w:r w:rsidR="00360869">
              <w:noBreakHyphen/>
            </w:r>
            <w:r w:rsidRPr="00CA3FD7">
              <w:t>time Board member for a three</w:t>
            </w:r>
            <w:r w:rsidR="00360869">
              <w:noBreakHyphen/>
            </w:r>
            <w:r w:rsidRPr="00CA3FD7">
              <w:t>year period from 8 December 2023.</w:t>
            </w:r>
          </w:p>
        </w:tc>
      </w:tr>
      <w:bookmarkEnd w:id="32"/>
    </w:tbl>
    <w:p w14:paraId="11B475A5" w14:textId="146FB086" w:rsidR="009F168A" w:rsidRDefault="009F168A">
      <w:r>
        <w:br w:type="page"/>
      </w:r>
    </w:p>
    <w:tbl>
      <w:tblPr>
        <w:tblStyle w:val="GridTable5Dark-Accent32"/>
        <w:tblW w:w="5000" w:type="pct"/>
        <w:tblLayout w:type="fixed"/>
        <w:tblLook w:val="0620" w:firstRow="1" w:lastRow="0" w:firstColumn="0" w:lastColumn="0" w:noHBand="1" w:noVBand="1"/>
      </w:tblPr>
      <w:tblGrid>
        <w:gridCol w:w="2268"/>
        <w:gridCol w:w="7373"/>
      </w:tblGrid>
      <w:tr w:rsidR="00520295" w:rsidRPr="00453C0B" w14:paraId="663595DF"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sdt>
            <w:sdtPr>
              <w:id w:val="1064144266"/>
              <w:picture/>
            </w:sdtPr>
            <w:sdtEndPr/>
            <w:sdtContent>
              <w:p w14:paraId="1B8CCA20" w14:textId="77777777" w:rsidR="00520295" w:rsidRPr="00453C0B" w:rsidRDefault="00520295" w:rsidP="008F1B97">
                <w:pPr>
                  <w:spacing w:before="180" w:after="0"/>
                </w:pPr>
                <w:r w:rsidRPr="00453C0B">
                  <w:rPr>
                    <w:noProof/>
                  </w:rPr>
                  <w:drawing>
                    <wp:inline distT="0" distB="0" distL="0" distR="0" wp14:anchorId="30C37609" wp14:editId="13E9AF9B">
                      <wp:extent cx="1080000" cy="1080000"/>
                      <wp:effectExtent l="0" t="0" r="6350" b="6350"/>
                      <wp:docPr id="1044661238" name="Picture 1044661238" descr="Rob Heferen, Commissioner of Taxation, Ex-officio Board mem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1238" name="Picture 1044661238" descr="Rob Heferen, Commissioner of Taxation, Ex-officio Board member&#10;"/>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0332F4A9" w14:textId="561CEAC6" w:rsidR="00520295" w:rsidRPr="00453C0B" w:rsidRDefault="00520295" w:rsidP="008F1B97">
            <w:pPr>
              <w:pStyle w:val="TableHeading1"/>
            </w:pPr>
            <w:r w:rsidRPr="00D307EE">
              <w:rPr>
                <w:noProof/>
                <w:color w:val="142147" w:themeColor="accent1"/>
                <w:szCs w:val="34"/>
              </w:rPr>
              <w:t>Rob Heferen</w:t>
            </w:r>
          </w:p>
          <w:p w14:paraId="2D90DF3A" w14:textId="4FF45255" w:rsidR="00520295" w:rsidRDefault="00520295" w:rsidP="008F1B97">
            <w:pPr>
              <w:pStyle w:val="TableTextLeft"/>
              <w:rPr>
                <w:bCs w:val="0"/>
              </w:rPr>
            </w:pPr>
            <w:r w:rsidRPr="00520295">
              <w:t>Commissioner of</w:t>
            </w:r>
            <w:r>
              <w:t> </w:t>
            </w:r>
            <w:r w:rsidRPr="00520295">
              <w:t>Taxation, Ex</w:t>
            </w:r>
            <w:r w:rsidR="00360869">
              <w:noBreakHyphen/>
            </w:r>
            <w:r w:rsidRPr="00520295">
              <w:t>officio Board member</w:t>
            </w:r>
          </w:p>
          <w:p w14:paraId="4B2771C1" w14:textId="268106D1" w:rsidR="00520295" w:rsidRPr="00767886" w:rsidRDefault="00520295" w:rsidP="008F1B97">
            <w:pPr>
              <w:pStyle w:val="TableTextLeft"/>
              <w:rPr>
                <w:b/>
                <w:bCs w:val="0"/>
              </w:rPr>
            </w:pPr>
            <w:r w:rsidRPr="00767886">
              <w:rPr>
                <w:b/>
                <w:bCs w:val="0"/>
              </w:rPr>
              <w:t xml:space="preserve">Term start date: </w:t>
            </w:r>
            <w:r>
              <w:rPr>
                <w:b/>
                <w:bCs w:val="0"/>
              </w:rPr>
              <w:t>1 March </w:t>
            </w:r>
            <w:r w:rsidRPr="00B476D2">
              <w:rPr>
                <w:b/>
                <w:bCs w:val="0"/>
              </w:rPr>
              <w:t>202</w:t>
            </w:r>
            <w:r>
              <w:rPr>
                <w:b/>
                <w:bCs w:val="0"/>
              </w:rPr>
              <w:t>4</w:t>
            </w:r>
          </w:p>
        </w:tc>
        <w:tc>
          <w:tcPr>
            <w:tcW w:w="3824" w:type="pct"/>
          </w:tcPr>
          <w:p w14:paraId="2199F7DB" w14:textId="3A28B004" w:rsidR="00637159" w:rsidRPr="00E567CD" w:rsidRDefault="00637159" w:rsidP="00E567CD">
            <w:r w:rsidRPr="00E567CD">
              <w:rPr>
                <w:noProof/>
              </w:rPr>
              <mc:AlternateContent>
                <mc:Choice Requires="wps">
                  <w:drawing>
                    <wp:anchor distT="0" distB="0" distL="114300" distR="114300" simplePos="0" relativeHeight="251658249" behindDoc="0" locked="0" layoutInCell="1" allowOverlap="1" wp14:anchorId="6298EFFF" wp14:editId="45F55AAD">
                      <wp:simplePos x="0" y="0"/>
                      <wp:positionH relativeFrom="column">
                        <wp:posOffset>-156845</wp:posOffset>
                      </wp:positionH>
                      <wp:positionV relativeFrom="paragraph">
                        <wp:posOffset>106680</wp:posOffset>
                      </wp:positionV>
                      <wp:extent cx="6350" cy="3486150"/>
                      <wp:effectExtent l="0" t="0" r="31750" b="19050"/>
                      <wp:wrapNone/>
                      <wp:docPr id="1376407467" name="Straight Connector 13764074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3486150"/>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D699B6" id="Straight Connector 1376407467" o:spid="_x0000_s1026" alt="&quot;&quot;"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8.4pt" to="-11.85pt,2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" strokecolor="window" strokeweight=".5pt">
                      <v:stroke joinstyle="miter"/>
                    </v:line>
                  </w:pict>
                </mc:Fallback>
              </mc:AlternateContent>
            </w:r>
            <w:r w:rsidRPr="00E567CD">
              <w:t xml:space="preserve">Mr </w:t>
            </w:r>
            <w:proofErr w:type="spellStart"/>
            <w:r w:rsidRPr="00E567CD">
              <w:t>Heferen</w:t>
            </w:r>
            <w:proofErr w:type="spellEnd"/>
            <w:r w:rsidRPr="00E567CD">
              <w:t xml:space="preserve"> was appointed as the 13th Commissioner of Taxation on 1 March 2024.</w:t>
            </w:r>
          </w:p>
          <w:p w14:paraId="2AC640A3" w14:textId="7F636C12" w:rsidR="00637159" w:rsidRPr="00E567CD" w:rsidRDefault="00637159" w:rsidP="00E567CD">
            <w:r w:rsidRPr="00E567CD">
              <w:t>He has had a long career in the Australian Public Service, beginning in 1989 as a graduate at the Australian Customs Service. Over 35 years, he</w:t>
            </w:r>
            <w:r w:rsidR="00360869">
              <w:t>’</w:t>
            </w:r>
            <w:r w:rsidRPr="00E567CD">
              <w:t>s accumulated diverse experience across policy development and program delivery in a range of portfolios.</w:t>
            </w:r>
          </w:p>
          <w:p w14:paraId="12AA69E9" w14:textId="14194FE6" w:rsidR="00637159" w:rsidRPr="00E567CD" w:rsidRDefault="00637159" w:rsidP="00E567CD">
            <w:r w:rsidRPr="00E567CD">
              <w:t xml:space="preserve">Mr </w:t>
            </w:r>
            <w:proofErr w:type="spellStart"/>
            <w:r w:rsidRPr="00E567CD">
              <w:t>Heferen</w:t>
            </w:r>
            <w:proofErr w:type="spellEnd"/>
            <w:r w:rsidRPr="00E567CD">
              <w:t xml:space="preserve"> has represented Australia in international forums including the United Nations, International Energy Agency and Organisation for Economic Co</w:t>
            </w:r>
            <w:r w:rsidR="00360869">
              <w:noBreakHyphen/>
            </w:r>
            <w:r w:rsidRPr="00E567CD">
              <w:t>operation and Development (OECD).</w:t>
            </w:r>
          </w:p>
          <w:p w14:paraId="2EADC811" w14:textId="19F27CBC" w:rsidR="00637159" w:rsidRPr="00E567CD" w:rsidRDefault="00637159" w:rsidP="00E567CD">
            <w:r w:rsidRPr="00E567CD">
              <w:t xml:space="preserve">For almost 20 years, Mr </w:t>
            </w:r>
            <w:proofErr w:type="spellStart"/>
            <w:r w:rsidRPr="00E567CD">
              <w:t>Heferen</w:t>
            </w:r>
            <w:r w:rsidR="00360869">
              <w:t>’</w:t>
            </w:r>
            <w:r w:rsidRPr="00E567CD">
              <w:t>s</w:t>
            </w:r>
            <w:proofErr w:type="spellEnd"/>
            <w:r w:rsidRPr="00E567CD">
              <w:t xml:space="preserve"> interest and expertise in economics and tax policy led him to various roles in the Australian Taxation Office and Commonwealth Treasury. This included leading the Secretariat for the Australia</w:t>
            </w:r>
            <w:r w:rsidR="00360869">
              <w:t>’</w:t>
            </w:r>
            <w:r w:rsidRPr="00E567CD">
              <w:t>s Future Tax System Review (the Henry Tax Review) and culminated in his role as Deputy Secretary, Revenue Group at the Commonwealth Treasury between 2011 and 2016. In that role he had responsibility for tax policy, tax legislation and revenue forecasting.</w:t>
            </w:r>
          </w:p>
          <w:p w14:paraId="705ACB49" w14:textId="66540D17" w:rsidR="00520295" w:rsidRPr="00453C0B" w:rsidRDefault="00637159" w:rsidP="00E567CD">
            <w:pPr>
              <w:rPr>
                <w:bCs w:val="0"/>
              </w:rPr>
            </w:pPr>
            <w:r w:rsidRPr="00E567CD">
              <w:t xml:space="preserve">Mr </w:t>
            </w:r>
            <w:proofErr w:type="spellStart"/>
            <w:r w:rsidRPr="00E567CD">
              <w:t>Heferen</w:t>
            </w:r>
            <w:proofErr w:type="spellEnd"/>
            <w:r w:rsidRPr="00E567CD">
              <w:t xml:space="preserve"> has been an ex</w:t>
            </w:r>
            <w:r w:rsidR="00360869">
              <w:noBreakHyphen/>
            </w:r>
            <w:r w:rsidRPr="00E567CD">
              <w:t>officio Board member since 1 March 2024.</w:t>
            </w:r>
            <w:r w:rsidRPr="00852846">
              <w:rPr>
                <w:rStyle w:val="FootnoteReference"/>
              </w:rPr>
              <w:footnoteReference w:id="4"/>
            </w:r>
          </w:p>
        </w:tc>
      </w:tr>
    </w:tbl>
    <w:p w14:paraId="45738949" w14:textId="77777777" w:rsidR="00637159" w:rsidRDefault="00637159">
      <w:r>
        <w:br w:type="page"/>
      </w:r>
    </w:p>
    <w:tbl>
      <w:tblPr>
        <w:tblStyle w:val="GridTable5Dark-Accent32"/>
        <w:tblW w:w="5000" w:type="pct"/>
        <w:tblLayout w:type="fixed"/>
        <w:tblLook w:val="0620" w:firstRow="1" w:lastRow="0" w:firstColumn="0" w:lastColumn="0" w:noHBand="1" w:noVBand="1"/>
      </w:tblPr>
      <w:tblGrid>
        <w:gridCol w:w="2268"/>
        <w:gridCol w:w="7373"/>
      </w:tblGrid>
      <w:tr w:rsidR="00637159" w:rsidRPr="00453C0B" w14:paraId="4076292B"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sdt>
            <w:sdtPr>
              <w:id w:val="1361242210"/>
              <w:picture/>
            </w:sdtPr>
            <w:sdtEndPr/>
            <w:sdtContent>
              <w:p w14:paraId="38D182BA" w14:textId="77777777" w:rsidR="00637159" w:rsidRPr="00453C0B" w:rsidRDefault="00637159" w:rsidP="008F1B97">
                <w:pPr>
                  <w:spacing w:before="180" w:after="0"/>
                </w:pPr>
                <w:r w:rsidRPr="00453C0B">
                  <w:rPr>
                    <w:noProof/>
                  </w:rPr>
                  <w:drawing>
                    <wp:inline distT="0" distB="0" distL="0" distR="0" wp14:anchorId="101624D9" wp14:editId="563AF8C6">
                      <wp:extent cx="1080000" cy="1080000"/>
                      <wp:effectExtent l="0" t="0" r="6350" b="6350"/>
                      <wp:docPr id="1461030484" name="Picture 1461030484" descr="Dr Steven Kennedy PSM&#10;Secretary to the Treasury, Ex-officio 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30484" name="Picture 1461030484" descr="Dr Steven Kennedy PSM&#10;Secretary to the Treasury, Ex-officio Board member, Board of Taxation"/>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5890F3DC" w14:textId="3599BAD2" w:rsidR="00637159" w:rsidRPr="00453C0B" w:rsidRDefault="002C35FB" w:rsidP="008F1B97">
            <w:pPr>
              <w:pStyle w:val="TableHeading1"/>
            </w:pPr>
            <w:r>
              <w:rPr>
                <w:noProof/>
                <w:color w:val="142147" w:themeColor="accent1"/>
              </w:rPr>
              <w:t>Dr Steven Kennedy PSM</w:t>
            </w:r>
          </w:p>
          <w:p w14:paraId="10AEC243" w14:textId="7FCCF927" w:rsidR="00402242" w:rsidRDefault="00402242" w:rsidP="008F1B97">
            <w:pPr>
              <w:pStyle w:val="TableTextLeft"/>
              <w:rPr>
                <w:bCs w:val="0"/>
              </w:rPr>
            </w:pPr>
            <w:r w:rsidRPr="00402242">
              <w:t>Secretary to the Treasury, Ex</w:t>
            </w:r>
            <w:r w:rsidR="00360869">
              <w:noBreakHyphen/>
            </w:r>
            <w:r w:rsidRPr="00402242">
              <w:t>officio Board member</w:t>
            </w:r>
          </w:p>
          <w:p w14:paraId="2155AAA9" w14:textId="342923A4" w:rsidR="00637159" w:rsidRPr="00767886" w:rsidRDefault="00637159" w:rsidP="008F1B97">
            <w:pPr>
              <w:pStyle w:val="TableTextLeft"/>
              <w:rPr>
                <w:b/>
                <w:bCs w:val="0"/>
              </w:rPr>
            </w:pPr>
            <w:r w:rsidRPr="00767886">
              <w:rPr>
                <w:b/>
                <w:bCs w:val="0"/>
              </w:rPr>
              <w:t xml:space="preserve">Term start date: </w:t>
            </w:r>
            <w:r w:rsidR="00402242" w:rsidRPr="00402242">
              <w:rPr>
                <w:b/>
                <w:bCs w:val="0"/>
              </w:rPr>
              <w:t>2</w:t>
            </w:r>
            <w:r w:rsidR="00402242">
              <w:rPr>
                <w:b/>
                <w:bCs w:val="0"/>
              </w:rPr>
              <w:t> </w:t>
            </w:r>
            <w:r w:rsidR="00402242" w:rsidRPr="00402242">
              <w:rPr>
                <w:b/>
                <w:bCs w:val="0"/>
              </w:rPr>
              <w:t>September 2019</w:t>
            </w:r>
          </w:p>
        </w:tc>
        <w:tc>
          <w:tcPr>
            <w:tcW w:w="3824" w:type="pct"/>
          </w:tcPr>
          <w:p w14:paraId="5C6420D1" w14:textId="25EEF3DB" w:rsidR="00402242" w:rsidRPr="00A35A2F" w:rsidRDefault="00637159" w:rsidP="00402242">
            <w:pPr>
              <w:rPr>
                <w:spacing w:val="-2"/>
              </w:rPr>
            </w:pPr>
            <w:r w:rsidRPr="00453C0B">
              <w:rPr>
                <w:noProof/>
              </w:rPr>
              <mc:AlternateContent>
                <mc:Choice Requires="wps">
                  <w:drawing>
                    <wp:anchor distT="0" distB="0" distL="114300" distR="114300" simplePos="0" relativeHeight="251658250" behindDoc="0" locked="0" layoutInCell="1" allowOverlap="1" wp14:anchorId="0A6F9A79" wp14:editId="543115DD">
                      <wp:simplePos x="0" y="0"/>
                      <wp:positionH relativeFrom="column">
                        <wp:posOffset>-164338</wp:posOffset>
                      </wp:positionH>
                      <wp:positionV relativeFrom="paragraph">
                        <wp:posOffset>112395</wp:posOffset>
                      </wp:positionV>
                      <wp:extent cx="30480" cy="5620512"/>
                      <wp:effectExtent l="0" t="0" r="26670" b="37465"/>
                      <wp:wrapNone/>
                      <wp:docPr id="2015093600" name="Straight Connector 20150936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 cy="5620512"/>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4A2186" id="Straight Connector 2015093600" o:spid="_x0000_s1026" alt="&quot;&quot;"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8.85pt" to="-10.55pt,4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" strokecolor="window" strokeweight=".5pt">
                      <v:stroke joinstyle="miter"/>
                    </v:line>
                  </w:pict>
                </mc:Fallback>
              </mc:AlternateContent>
            </w:r>
            <w:r w:rsidR="00402242">
              <w:rPr>
                <w:bCs w:val="0"/>
              </w:rPr>
              <w:t>Dr </w:t>
            </w:r>
            <w:r w:rsidR="00402242" w:rsidRPr="00A35A2F">
              <w:rPr>
                <w:spacing w:val="-2"/>
              </w:rPr>
              <w:t>Steven Kennedy commenced as Secretary to the Treasury in September 2019.</w:t>
            </w:r>
          </w:p>
          <w:p w14:paraId="084BD2E3" w14:textId="77777777" w:rsidR="00402242" w:rsidRPr="006677C7" w:rsidRDefault="00402242" w:rsidP="00402242">
            <w:r w:rsidRPr="006677C7">
              <w:t>Prior to his appointment, Steven was Secretary of the Department of Infrastructure, Transport, Cities and Regional Development between September 2017 and August 2019.</w:t>
            </w:r>
          </w:p>
          <w:p w14:paraId="5FE60396" w14:textId="77777777" w:rsidR="00402242" w:rsidRPr="006677C7" w:rsidRDefault="00402242" w:rsidP="00402242">
            <w:r w:rsidRPr="006677C7">
              <w:t xml:space="preserve">During his 30 years in the public service, </w:t>
            </w:r>
            <w:r>
              <w:t>Dr Kennedy</w:t>
            </w:r>
            <w:r w:rsidRPr="006677C7">
              <w:t xml:space="preserve"> held other senior positions including Deputy Secretary at the Department of the Prime Minister and Cabinet; Deputy Secretary at the Department of Industry, Innovation and Science; Deputy Secretary at the Department of the Environment; Deputy Secretary at the Department of Climate Change and Energy Efficiency, and the Head of Secretariat of the Garnaut Climate Change Review – Update 2011.</w:t>
            </w:r>
          </w:p>
          <w:p w14:paraId="16248961" w14:textId="77777777" w:rsidR="00402242" w:rsidRPr="006677C7" w:rsidRDefault="00402242" w:rsidP="00402242">
            <w:r>
              <w:t>Dr Kennedy</w:t>
            </w:r>
            <w:r w:rsidRPr="006677C7">
              <w:t xml:space="preserve"> began his public service career in 1992 as a cadet at the Australian Bureau of Statistics. Prior to joining the public service, he trained and worked as a nurse.</w:t>
            </w:r>
          </w:p>
          <w:p w14:paraId="12B719B2" w14:textId="77777777" w:rsidR="00402242" w:rsidRPr="006677C7" w:rsidRDefault="00402242" w:rsidP="00402242">
            <w:r>
              <w:t>Dr Kennedy</w:t>
            </w:r>
            <w:r w:rsidRPr="006677C7">
              <w:t xml:space="preserve"> has served on </w:t>
            </w:r>
            <w:proofErr w:type="gramStart"/>
            <w:r w:rsidRPr="006677C7">
              <w:t>a number of</w:t>
            </w:r>
            <w:proofErr w:type="gramEnd"/>
            <w:r w:rsidRPr="006677C7">
              <w:t xml:space="preserve"> boards and is a member of the Reserve Bank Board, Council of Financial Regulators, </w:t>
            </w:r>
            <w:proofErr w:type="spellStart"/>
            <w:r w:rsidRPr="006677C7">
              <w:t>Trans Tasman</w:t>
            </w:r>
            <w:proofErr w:type="spellEnd"/>
            <w:r w:rsidRPr="006677C7">
              <w:t xml:space="preserve"> Council on Banking Supervision, Board of Taxation, New Zealand Treasury Board, the Sir Roland Wilson Foundation and the Centre for Market Design Advisory Board.</w:t>
            </w:r>
          </w:p>
          <w:p w14:paraId="156171C5" w14:textId="77777777" w:rsidR="00402242" w:rsidRPr="006677C7" w:rsidRDefault="00402242" w:rsidP="00402242">
            <w:r>
              <w:t>Dr Kennedy</w:t>
            </w:r>
            <w:r w:rsidRPr="006677C7">
              <w:t xml:space="preserve"> was awarded a Public Service Medal in 2016 for outstanding public service </w:t>
            </w:r>
            <w:proofErr w:type="gramStart"/>
            <w:r w:rsidRPr="006677C7">
              <w:t>in the area of</w:t>
            </w:r>
            <w:proofErr w:type="gramEnd"/>
            <w:r w:rsidRPr="006677C7">
              <w:t xml:space="preserve"> climate change policy.</w:t>
            </w:r>
          </w:p>
          <w:p w14:paraId="56565D92" w14:textId="2949FA1B" w:rsidR="00402242" w:rsidRPr="006677C7" w:rsidRDefault="00402242" w:rsidP="00402242">
            <w:r>
              <w:t>Dr Kennedy</w:t>
            </w:r>
            <w:r w:rsidRPr="006677C7">
              <w:t xml:space="preserve"> holds a PhD and a master degree in Economics from the Australian National University, and a Bachelor of Economics (First</w:t>
            </w:r>
            <w:r w:rsidR="00E83487">
              <w:t> </w:t>
            </w:r>
            <w:r w:rsidRPr="006677C7">
              <w:t>Class</w:t>
            </w:r>
            <w:r w:rsidR="00E83487">
              <w:t> </w:t>
            </w:r>
            <w:r w:rsidRPr="006677C7">
              <w:t>Honours) from the University of Sydney.</w:t>
            </w:r>
          </w:p>
          <w:p w14:paraId="5A8F2473" w14:textId="2B18E374" w:rsidR="00637159" w:rsidRPr="00453C0B" w:rsidRDefault="00402242" w:rsidP="00402242">
            <w:pPr>
              <w:rPr>
                <w:bCs w:val="0"/>
              </w:rPr>
            </w:pPr>
            <w:r w:rsidRPr="00115D89">
              <w:rPr>
                <w:rFonts w:cs="Calibri"/>
                <w:lang w:val="en-US"/>
              </w:rPr>
              <w:t xml:space="preserve">Dr Kennedy </w:t>
            </w:r>
            <w:r w:rsidR="005C1321">
              <w:rPr>
                <w:rFonts w:cs="Calibri"/>
                <w:lang w:val="en-US"/>
              </w:rPr>
              <w:t>w</w:t>
            </w:r>
            <w:r w:rsidRPr="00115D89">
              <w:rPr>
                <w:rFonts w:cs="Calibri"/>
                <w:lang w:val="en-US"/>
              </w:rPr>
              <w:t>as an ex</w:t>
            </w:r>
            <w:r w:rsidR="00360869">
              <w:rPr>
                <w:rFonts w:cs="Calibri"/>
                <w:lang w:val="en-US"/>
              </w:rPr>
              <w:noBreakHyphen/>
            </w:r>
            <w:r w:rsidRPr="00115D89">
              <w:rPr>
                <w:rFonts w:cs="Calibri"/>
                <w:lang w:val="en-US"/>
              </w:rPr>
              <w:t xml:space="preserve">officio member </w:t>
            </w:r>
            <w:r>
              <w:rPr>
                <w:rFonts w:cs="Calibri"/>
                <w:lang w:val="en-US"/>
              </w:rPr>
              <w:t xml:space="preserve">of the Board </w:t>
            </w:r>
            <w:r w:rsidR="005C1321">
              <w:rPr>
                <w:rFonts w:cs="Calibri"/>
                <w:lang w:val="en-US"/>
              </w:rPr>
              <w:t xml:space="preserve">from </w:t>
            </w:r>
            <w:r w:rsidRPr="00115D89">
              <w:rPr>
                <w:rFonts w:cs="Calibri"/>
                <w:lang w:val="en-US"/>
              </w:rPr>
              <w:t>2</w:t>
            </w:r>
            <w:r>
              <w:rPr>
                <w:rFonts w:cs="Calibri"/>
                <w:lang w:val="en-US"/>
              </w:rPr>
              <w:t> September </w:t>
            </w:r>
            <w:r w:rsidRPr="00115D89">
              <w:rPr>
                <w:rFonts w:cs="Calibri"/>
                <w:lang w:val="en-US"/>
              </w:rPr>
              <w:t>2019</w:t>
            </w:r>
            <w:r w:rsidR="005C1321">
              <w:rPr>
                <w:rFonts w:cs="Calibri"/>
                <w:lang w:val="en-US"/>
              </w:rPr>
              <w:t xml:space="preserve"> to 16 June 2025</w:t>
            </w:r>
            <w:r w:rsidRPr="00115D89">
              <w:rPr>
                <w:rFonts w:cs="Calibri"/>
                <w:lang w:val="en-US"/>
              </w:rPr>
              <w:t>.</w:t>
            </w:r>
          </w:p>
        </w:tc>
      </w:tr>
    </w:tbl>
    <w:p w14:paraId="0F01445B" w14:textId="77777777" w:rsidR="003A05AB" w:rsidRDefault="003A05AB">
      <w:r>
        <w:br w:type="page"/>
      </w:r>
    </w:p>
    <w:tbl>
      <w:tblPr>
        <w:tblStyle w:val="GridTable5Dark-Accent32"/>
        <w:tblW w:w="5000" w:type="pct"/>
        <w:tblLayout w:type="fixed"/>
        <w:tblLook w:val="0620" w:firstRow="1" w:lastRow="0" w:firstColumn="0" w:lastColumn="0" w:noHBand="1" w:noVBand="1"/>
      </w:tblPr>
      <w:tblGrid>
        <w:gridCol w:w="2268"/>
        <w:gridCol w:w="7373"/>
      </w:tblGrid>
      <w:tr w:rsidR="00BA26C1" w:rsidRPr="00453C0B" w14:paraId="766C15D9"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sdt>
            <w:sdtPr>
              <w:id w:val="1247846516"/>
              <w:picture/>
            </w:sdtPr>
            <w:sdtEndPr/>
            <w:sdtContent>
              <w:p w14:paraId="6AAB5FDF" w14:textId="77777777" w:rsidR="00BA26C1" w:rsidRPr="00453C0B" w:rsidRDefault="00BA26C1" w:rsidP="008F1B97">
                <w:pPr>
                  <w:spacing w:before="180" w:after="0"/>
                </w:pPr>
                <w:r w:rsidRPr="00453C0B">
                  <w:rPr>
                    <w:noProof/>
                  </w:rPr>
                  <w:drawing>
                    <wp:inline distT="0" distB="0" distL="0" distR="0" wp14:anchorId="2B8F0F42" wp14:editId="0BFB15A9">
                      <wp:extent cx="1080000" cy="1080000"/>
                      <wp:effectExtent l="0" t="0" r="6350" b="6350"/>
                      <wp:docPr id="1500096350" name="Picture 1500096350" descr="Meredith Leigh&#10;First Parliamentary Counsel, Ex-officio 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6350" name="Picture 1500096350" descr="Meredith Leigh&#10;First Parliamentary Counsel, Ex-officio Board member, Board of Taxation"/>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4B89CC1F" w14:textId="640DBB7A" w:rsidR="00BA26C1" w:rsidRPr="00453C0B" w:rsidRDefault="00BA26C1" w:rsidP="008F1B97">
            <w:pPr>
              <w:pStyle w:val="TableHeading1"/>
            </w:pPr>
            <w:r w:rsidRPr="00BA26C1">
              <w:rPr>
                <w:noProof/>
                <w:color w:val="142147" w:themeColor="accent1"/>
                <w:szCs w:val="34"/>
              </w:rPr>
              <w:t>Meredith Leigh</w:t>
            </w:r>
          </w:p>
          <w:p w14:paraId="0068A080" w14:textId="3884EDAE" w:rsidR="00BA26C1" w:rsidRDefault="00BA26C1" w:rsidP="008F1B97">
            <w:pPr>
              <w:pStyle w:val="TableTextLeft"/>
              <w:rPr>
                <w:bCs w:val="0"/>
              </w:rPr>
            </w:pPr>
            <w:r w:rsidRPr="00BA26C1">
              <w:t>First Parliamentary Counsel, Ex</w:t>
            </w:r>
            <w:r w:rsidR="00360869">
              <w:noBreakHyphen/>
            </w:r>
            <w:r w:rsidRPr="00BA26C1">
              <w:t>officio Board member</w:t>
            </w:r>
          </w:p>
          <w:p w14:paraId="48E1FCCE" w14:textId="6A5753B0" w:rsidR="00BA26C1" w:rsidRPr="00767886" w:rsidRDefault="00BA26C1" w:rsidP="008F1B97">
            <w:pPr>
              <w:pStyle w:val="TableTextLeft"/>
              <w:rPr>
                <w:b/>
                <w:bCs w:val="0"/>
              </w:rPr>
            </w:pPr>
            <w:r w:rsidRPr="00767886">
              <w:rPr>
                <w:b/>
                <w:bCs w:val="0"/>
              </w:rPr>
              <w:t xml:space="preserve">Term start date: </w:t>
            </w:r>
            <w:r w:rsidRPr="00BA26C1">
              <w:rPr>
                <w:b/>
                <w:bCs w:val="0"/>
              </w:rPr>
              <w:t>11</w:t>
            </w:r>
            <w:r>
              <w:rPr>
                <w:b/>
                <w:bCs w:val="0"/>
              </w:rPr>
              <w:t> </w:t>
            </w:r>
            <w:r w:rsidRPr="00BA26C1">
              <w:rPr>
                <w:b/>
                <w:bCs w:val="0"/>
              </w:rPr>
              <w:t>October</w:t>
            </w:r>
            <w:r>
              <w:rPr>
                <w:b/>
                <w:bCs w:val="0"/>
              </w:rPr>
              <w:t> </w:t>
            </w:r>
            <w:r w:rsidRPr="00BA26C1">
              <w:rPr>
                <w:b/>
                <w:bCs w:val="0"/>
              </w:rPr>
              <w:t>2021</w:t>
            </w:r>
          </w:p>
        </w:tc>
        <w:tc>
          <w:tcPr>
            <w:tcW w:w="3824" w:type="pct"/>
          </w:tcPr>
          <w:p w14:paraId="5F7974C3" w14:textId="221FE699" w:rsidR="00BA26C1" w:rsidRPr="00BA26C1" w:rsidRDefault="00BA26C1" w:rsidP="00BA26C1">
            <w:r w:rsidRPr="00E567CD">
              <w:rPr>
                <w:noProof/>
              </w:rPr>
              <mc:AlternateContent>
                <mc:Choice Requires="wps">
                  <w:drawing>
                    <wp:anchor distT="0" distB="0" distL="114300" distR="114300" simplePos="0" relativeHeight="251658251" behindDoc="0" locked="0" layoutInCell="1" allowOverlap="1" wp14:anchorId="526A300C" wp14:editId="4EC22E06">
                      <wp:simplePos x="0" y="0"/>
                      <wp:positionH relativeFrom="column">
                        <wp:posOffset>-156845</wp:posOffset>
                      </wp:positionH>
                      <wp:positionV relativeFrom="paragraph">
                        <wp:posOffset>106680</wp:posOffset>
                      </wp:positionV>
                      <wp:extent cx="6350" cy="3486150"/>
                      <wp:effectExtent l="0" t="0" r="31750" b="19050"/>
                      <wp:wrapNone/>
                      <wp:docPr id="968507248" name="Straight Connector 9685072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3486150"/>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817B7B" id="Straight Connector 968507248" o:spid="_x0000_s1026" alt="&quot;&quot;"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8.4pt" to="-11.85pt,2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" strokecolor="window" strokeweight=".5pt">
                      <v:stroke joinstyle="miter"/>
                    </v:line>
                  </w:pict>
                </mc:Fallback>
              </mc:AlternateContent>
            </w:r>
            <w:r w:rsidRPr="00E567CD">
              <w:t>M</w:t>
            </w:r>
            <w:r>
              <w:t>s</w:t>
            </w:r>
            <w:r w:rsidRPr="00E567CD">
              <w:t xml:space="preserve"> </w:t>
            </w:r>
            <w:r w:rsidRPr="00BA26C1">
              <w:rPr>
                <w:lang w:val="en-US"/>
              </w:rPr>
              <w:t>Leigh is the First Parliamentary Counsel with the Office of Parliamentary Counsel (OPC), which is responsible for drafting all principal legislation, all regulations, and a range of legislative instruments for the Australian</w:t>
            </w:r>
            <w:r w:rsidR="00A952D7">
              <w:rPr>
                <w:lang w:val="en-US"/>
              </w:rPr>
              <w:t> </w:t>
            </w:r>
            <w:r w:rsidRPr="00BA26C1">
              <w:rPr>
                <w:lang w:val="en-US"/>
              </w:rPr>
              <w:t xml:space="preserve">Government. OPC is also responsible for the publication of Commonwealth legislation through the Federal Register of </w:t>
            </w:r>
            <w:r w:rsidRPr="00BA26C1">
              <w:t>Legislation.</w:t>
            </w:r>
          </w:p>
          <w:p w14:paraId="51815852" w14:textId="172DA196" w:rsidR="00BA26C1" w:rsidRPr="00BA26C1" w:rsidRDefault="00BA26C1" w:rsidP="00BA26C1">
            <w:pPr>
              <w:rPr>
                <w:lang w:val="en-US"/>
              </w:rPr>
            </w:pPr>
            <w:proofErr w:type="spellStart"/>
            <w:r w:rsidRPr="00BA26C1">
              <w:rPr>
                <w:lang w:val="en-US"/>
              </w:rPr>
              <w:t>Ms</w:t>
            </w:r>
            <w:proofErr w:type="spellEnd"/>
            <w:r w:rsidRPr="00BA26C1">
              <w:rPr>
                <w:lang w:val="en-US"/>
              </w:rPr>
              <w:t xml:space="preserve"> Leigh has over 25</w:t>
            </w:r>
            <w:r w:rsidR="0062593C">
              <w:rPr>
                <w:lang w:val="en-US"/>
              </w:rPr>
              <w:t> </w:t>
            </w:r>
            <w:r w:rsidRPr="00BA26C1">
              <w:rPr>
                <w:lang w:val="en-US"/>
              </w:rPr>
              <w:t xml:space="preserve">years of drafting experience. She has worked extensively with all Departments and many agencies, including Treasury and the ATO, including in the areas of tax, </w:t>
            </w:r>
            <w:proofErr w:type="gramStart"/>
            <w:r w:rsidRPr="00BA26C1">
              <w:rPr>
                <w:lang w:val="en-US"/>
              </w:rPr>
              <w:t>corporations</w:t>
            </w:r>
            <w:proofErr w:type="gramEnd"/>
            <w:r w:rsidRPr="00BA26C1">
              <w:rPr>
                <w:lang w:val="en-US"/>
              </w:rPr>
              <w:t xml:space="preserve"> law, education, counter</w:t>
            </w:r>
            <w:r w:rsidR="00360869">
              <w:rPr>
                <w:lang w:val="en-US"/>
              </w:rPr>
              <w:noBreakHyphen/>
            </w:r>
            <w:r w:rsidRPr="00BA26C1">
              <w:rPr>
                <w:lang w:val="en-US"/>
              </w:rPr>
              <w:t>terrorism legislation and electoral legislation.</w:t>
            </w:r>
          </w:p>
          <w:p w14:paraId="6A2628D0" w14:textId="6CCA14E0" w:rsidR="00BA26C1" w:rsidRPr="00BA26C1" w:rsidRDefault="00BA26C1" w:rsidP="00BA26C1">
            <w:pPr>
              <w:rPr>
                <w:lang w:val="en-US"/>
              </w:rPr>
            </w:pPr>
            <w:r w:rsidRPr="00BA26C1">
              <w:rPr>
                <w:lang w:val="en-US"/>
              </w:rPr>
              <w:t>She was also a member of the inaugural Board of the Australian Government Legal Service (AGLS) during 2021 and 2022. The AGLS supports a whole</w:t>
            </w:r>
            <w:r w:rsidR="00360869">
              <w:rPr>
                <w:lang w:val="en-US"/>
              </w:rPr>
              <w:noBreakHyphen/>
            </w:r>
            <w:r w:rsidRPr="00BA26C1">
              <w:rPr>
                <w:lang w:val="en-US"/>
              </w:rPr>
              <w:t>of</w:t>
            </w:r>
            <w:r w:rsidR="00360869">
              <w:rPr>
                <w:lang w:val="en-US"/>
              </w:rPr>
              <w:noBreakHyphen/>
            </w:r>
            <w:r w:rsidRPr="00BA26C1">
              <w:rPr>
                <w:lang w:val="en-US"/>
              </w:rPr>
              <w:t>government, high quality, consistent and coordinated approach to the delivery of legal services and the management of legal risk across the</w:t>
            </w:r>
            <w:r w:rsidR="00A952D7">
              <w:rPr>
                <w:lang w:val="en-US"/>
              </w:rPr>
              <w:t> </w:t>
            </w:r>
            <w:r w:rsidRPr="00BA26C1">
              <w:rPr>
                <w:lang w:val="en-US"/>
              </w:rPr>
              <w:t>Commonwealth.</w:t>
            </w:r>
          </w:p>
          <w:p w14:paraId="54F8AA66" w14:textId="56E58EB4" w:rsidR="00BA26C1" w:rsidRPr="00BA26C1" w:rsidRDefault="00BA26C1" w:rsidP="00BA26C1">
            <w:pPr>
              <w:rPr>
                <w:lang w:val="en-US"/>
              </w:rPr>
            </w:pPr>
            <w:r w:rsidRPr="00BA26C1">
              <w:rPr>
                <w:lang w:val="en-US"/>
              </w:rPr>
              <w:t xml:space="preserve">Before joining OPC, </w:t>
            </w:r>
            <w:proofErr w:type="spellStart"/>
            <w:r w:rsidRPr="00BA26C1">
              <w:rPr>
                <w:lang w:val="en-US"/>
              </w:rPr>
              <w:t>Ms</w:t>
            </w:r>
            <w:proofErr w:type="spellEnd"/>
            <w:r w:rsidRPr="00BA26C1">
              <w:rPr>
                <w:lang w:val="en-US"/>
              </w:rPr>
              <w:t xml:space="preserve"> Leigh worked for a short period as a corporate</w:t>
            </w:r>
            <w:r w:rsidR="00A952D7">
              <w:rPr>
                <w:lang w:val="en-US"/>
              </w:rPr>
              <w:t> </w:t>
            </w:r>
            <w:r w:rsidRPr="00BA26C1">
              <w:rPr>
                <w:lang w:val="en-US"/>
              </w:rPr>
              <w:t>lawyer at Allen, Allen and Hemsley.</w:t>
            </w:r>
          </w:p>
          <w:p w14:paraId="17A37FD7" w14:textId="694F7F8C" w:rsidR="00BA26C1" w:rsidRPr="00453C0B" w:rsidRDefault="00BA26C1" w:rsidP="00BA26C1">
            <w:pPr>
              <w:rPr>
                <w:bCs w:val="0"/>
              </w:rPr>
            </w:pPr>
            <w:proofErr w:type="spellStart"/>
            <w:r w:rsidRPr="00BA26C1">
              <w:rPr>
                <w:lang w:val="en-US"/>
              </w:rPr>
              <w:t>Ms</w:t>
            </w:r>
            <w:proofErr w:type="spellEnd"/>
            <w:r w:rsidRPr="00BA26C1">
              <w:rPr>
                <w:lang w:val="en-US"/>
              </w:rPr>
              <w:t xml:space="preserve"> </w:t>
            </w:r>
            <w:r w:rsidRPr="00BA26C1">
              <w:t>Leigh has been an ex</w:t>
            </w:r>
            <w:r w:rsidR="00360869">
              <w:noBreakHyphen/>
            </w:r>
            <w:r w:rsidRPr="00BA26C1">
              <w:t>officio member of the Board since</w:t>
            </w:r>
            <w:r w:rsidRPr="00BA26C1">
              <w:rPr>
                <w:lang w:val="en-US"/>
              </w:rPr>
              <w:t xml:space="preserve"> 11</w:t>
            </w:r>
            <w:r w:rsidR="00A952D7">
              <w:rPr>
                <w:lang w:val="en-US"/>
              </w:rPr>
              <w:t> </w:t>
            </w:r>
            <w:r w:rsidRPr="00BA26C1">
              <w:rPr>
                <w:lang w:val="en-US"/>
              </w:rPr>
              <w:t>October</w:t>
            </w:r>
            <w:r w:rsidR="00A952D7">
              <w:rPr>
                <w:lang w:val="en-US"/>
              </w:rPr>
              <w:t> </w:t>
            </w:r>
            <w:r w:rsidRPr="00BA26C1">
              <w:rPr>
                <w:lang w:val="en-US"/>
              </w:rPr>
              <w:t>2021.</w:t>
            </w:r>
          </w:p>
        </w:tc>
      </w:tr>
    </w:tbl>
    <w:p w14:paraId="2533E9DE" w14:textId="77777777" w:rsidR="002F3E00" w:rsidRDefault="002F3E00" w:rsidP="006F27B9"/>
    <w:p w14:paraId="33B1280B" w14:textId="77777777" w:rsidR="00835F65" w:rsidRDefault="00835F65" w:rsidP="00835F65">
      <w:pPr>
        <w:pStyle w:val="Heading1"/>
        <w:sectPr w:rsidR="00835F65" w:rsidSect="002C76F0">
          <w:headerReference w:type="even" r:id="rId39"/>
          <w:headerReference w:type="default" r:id="rId40"/>
          <w:footerReference w:type="even" r:id="rId41"/>
          <w:footerReference w:type="default" r:id="rId42"/>
          <w:headerReference w:type="first" r:id="rId43"/>
          <w:footerReference w:type="first" r:id="rId44"/>
          <w:pgSz w:w="11909" w:h="16834" w:code="9"/>
          <w:pgMar w:top="1985" w:right="1134" w:bottom="1985" w:left="1134" w:header="1134" w:footer="1134" w:gutter="0"/>
          <w:pgNumType w:start="1"/>
          <w:cols w:space="708"/>
          <w:docGrid w:linePitch="360"/>
        </w:sectPr>
      </w:pPr>
      <w:bookmarkStart w:id="33" w:name="_Toc149905528"/>
    </w:p>
    <w:p w14:paraId="22A50509" w14:textId="04D169DE" w:rsidR="002F3E00" w:rsidRPr="007D0FA4" w:rsidRDefault="002F3E00" w:rsidP="00835F65">
      <w:pPr>
        <w:pStyle w:val="Heading1"/>
        <w:spacing w:before="0"/>
      </w:pPr>
      <w:bookmarkStart w:id="34" w:name="_Toc209006409"/>
      <w:bookmarkStart w:id="35" w:name="_Toc209006589"/>
      <w:r w:rsidRPr="00835F65">
        <w:lastRenderedPageBreak/>
        <w:t>Stakeholder</w:t>
      </w:r>
      <w:r>
        <w:t xml:space="preserve"> communication and</w:t>
      </w:r>
      <w:r w:rsidR="009D4CF0">
        <w:t xml:space="preserve"> </w:t>
      </w:r>
      <w:r>
        <w:t>engagement</w:t>
      </w:r>
      <w:bookmarkEnd w:id="33"/>
      <w:bookmarkEnd w:id="34"/>
      <w:bookmarkEnd w:id="35"/>
    </w:p>
    <w:p w14:paraId="579A472C" w14:textId="4945D46D" w:rsidR="00D345B8" w:rsidRDefault="002F3E00" w:rsidP="006F268C">
      <w:pPr>
        <w:spacing w:after="200"/>
      </w:pPr>
      <w:r w:rsidRPr="005014BA">
        <w:t>The role of the Board is to be a trusted adviser to the Government</w:t>
      </w:r>
      <w:r w:rsidR="00165F3F">
        <w:t xml:space="preserve">, and to bring a </w:t>
      </w:r>
      <w:r w:rsidR="00CD429F">
        <w:t>business and community perspective on the tax system</w:t>
      </w:r>
      <w:r w:rsidRPr="005014BA">
        <w:t xml:space="preserve">. </w:t>
      </w:r>
      <w:r w:rsidR="00BB1D11" w:rsidRPr="00BB1D11">
        <w:t xml:space="preserve">Our role is to operate as an independent advisory voice, providing </w:t>
      </w:r>
      <w:r w:rsidR="00D22FAD">
        <w:t>an informed and practical</w:t>
      </w:r>
      <w:r w:rsidR="00BB1D11" w:rsidRPr="00BB1D11">
        <w:t xml:space="preserve"> lens to the formulation, administration and implementation of tax laws</w:t>
      </w:r>
      <w:r w:rsidR="00D22FAD">
        <w:t xml:space="preserve">. </w:t>
      </w:r>
      <w:r w:rsidRPr="005014BA">
        <w:t>The Board</w:t>
      </w:r>
      <w:r w:rsidRPr="005014BA" w:rsidDel="00D22FAD">
        <w:t xml:space="preserve"> </w:t>
      </w:r>
      <w:r w:rsidRPr="005014BA">
        <w:t>strives to engage with the community on taxation matters through a variety of different channels, including virtual and in</w:t>
      </w:r>
      <w:r w:rsidR="00360869">
        <w:noBreakHyphen/>
      </w:r>
      <w:r w:rsidRPr="005014BA">
        <w:t>person interactions, social media platforms and via the Board</w:t>
      </w:r>
      <w:r w:rsidR="00360869">
        <w:t>’</w:t>
      </w:r>
      <w:r w:rsidRPr="005014BA">
        <w:t xml:space="preserve">s website. </w:t>
      </w:r>
    </w:p>
    <w:p w14:paraId="2D66D8B0" w14:textId="0D3F67E3" w:rsidR="000F4F37" w:rsidRDefault="00892EDD" w:rsidP="006F268C">
      <w:pPr>
        <w:spacing w:after="200"/>
      </w:pPr>
      <w:r>
        <w:t>During the 2023</w:t>
      </w:r>
      <w:r w:rsidR="00BF2C32">
        <w:t>–</w:t>
      </w:r>
      <w:r>
        <w:t>24 reporting year, the Board introduced an</w:t>
      </w:r>
      <w:r w:rsidR="0053178F">
        <w:t xml:space="preserve"> updated stakeholder engagement strategy which </w:t>
      </w:r>
      <w:r w:rsidR="0069220D">
        <w:t>modernised</w:t>
      </w:r>
      <w:r w:rsidR="009A745E">
        <w:t xml:space="preserve"> its</w:t>
      </w:r>
      <w:r w:rsidR="005260AE">
        <w:t xml:space="preserve"> approach </w:t>
      </w:r>
      <w:r w:rsidR="009A745E">
        <w:t xml:space="preserve">to </w:t>
      </w:r>
      <w:r w:rsidR="0028049F">
        <w:t xml:space="preserve">external engagement. The strategy focused on regular stakeholder events </w:t>
      </w:r>
      <w:r w:rsidR="002357A3">
        <w:t xml:space="preserve">on specific </w:t>
      </w:r>
      <w:r w:rsidR="000D3929">
        <w:t xml:space="preserve">tax </w:t>
      </w:r>
      <w:r w:rsidR="002357A3">
        <w:t>topics or themes</w:t>
      </w:r>
      <w:r w:rsidR="009D0A71">
        <w:t>,</w:t>
      </w:r>
      <w:r w:rsidR="002357A3">
        <w:t xml:space="preserve"> </w:t>
      </w:r>
      <w:r w:rsidR="006D226B">
        <w:t>inviting</w:t>
      </w:r>
      <w:r w:rsidR="000D3929">
        <w:t xml:space="preserve"> attendees with experience and interest in that issue from a cross section of the community (such as industry </w:t>
      </w:r>
      <w:r w:rsidR="004702FB">
        <w:t xml:space="preserve">and peak </w:t>
      </w:r>
      <w:r w:rsidR="000D3929">
        <w:t xml:space="preserve">bodies, academia and private sector stakeholders) </w:t>
      </w:r>
      <w:r w:rsidR="001F03BF" w:rsidRPr="00147D77">
        <w:t>to</w:t>
      </w:r>
      <w:r w:rsidR="009D0A71">
        <w:t xml:space="preserve"> attend and</w:t>
      </w:r>
      <w:r w:rsidR="001F03BF">
        <w:t xml:space="preserve"> </w:t>
      </w:r>
      <w:r w:rsidR="000D3929">
        <w:t xml:space="preserve">provide insights. These meetings </w:t>
      </w:r>
      <w:r w:rsidR="00991BFC">
        <w:t>were</w:t>
      </w:r>
      <w:r w:rsidR="000D3929">
        <w:t xml:space="preserve"> held in conjunction with the Board</w:t>
      </w:r>
      <w:r w:rsidR="00360869">
        <w:t>’</w:t>
      </w:r>
      <w:r w:rsidR="000D3929">
        <w:t>s regular Board meeting</w:t>
      </w:r>
      <w:r w:rsidR="00C16F21">
        <w:t xml:space="preserve"> and other targeted meetings with stakeholders. </w:t>
      </w:r>
    </w:p>
    <w:p w14:paraId="7D366A3C" w14:textId="782674BB" w:rsidR="00D479CF" w:rsidRDefault="00572E36" w:rsidP="006F268C">
      <w:pPr>
        <w:spacing w:after="200"/>
      </w:pPr>
      <w:r w:rsidRPr="00572E36">
        <w:t>The Board</w:t>
      </w:r>
      <w:r w:rsidR="00360869">
        <w:t>’</w:t>
      </w:r>
      <w:r>
        <w:t xml:space="preserve">s </w:t>
      </w:r>
      <w:r w:rsidRPr="00572E36">
        <w:t>stakeholders span a variety of groups and market segments</w:t>
      </w:r>
      <w:r w:rsidR="0069220D">
        <w:t>,</w:t>
      </w:r>
      <w:r w:rsidRPr="00572E36">
        <w:t xml:space="preserve"> and th</w:t>
      </w:r>
      <w:r w:rsidR="004632A2">
        <w:t>is</w:t>
      </w:r>
      <w:r>
        <w:t xml:space="preserve"> </w:t>
      </w:r>
      <w:r w:rsidR="004632A2">
        <w:t xml:space="preserve">strategy </w:t>
      </w:r>
      <w:r w:rsidR="00042B2C">
        <w:t>provides</w:t>
      </w:r>
      <w:r w:rsidR="004632A2">
        <w:t xml:space="preserve"> those</w:t>
      </w:r>
      <w:r w:rsidRPr="00572E36">
        <w:t xml:space="preserve"> groups </w:t>
      </w:r>
      <w:r w:rsidR="004632A2">
        <w:t>with</w:t>
      </w:r>
      <w:r w:rsidRPr="00572E36">
        <w:t xml:space="preserve"> the opportunity to engage </w:t>
      </w:r>
      <w:r w:rsidR="004632A2">
        <w:t xml:space="preserve">directly </w:t>
      </w:r>
      <w:r w:rsidRPr="00572E36">
        <w:t>with the Board.</w:t>
      </w:r>
      <w:r w:rsidR="00185CEC">
        <w:t xml:space="preserve"> </w:t>
      </w:r>
    </w:p>
    <w:p w14:paraId="2091D226" w14:textId="6BE53275" w:rsidR="002357A3" w:rsidRPr="005014BA" w:rsidRDefault="002357A3" w:rsidP="002357A3">
      <w:pPr>
        <w:spacing w:after="200"/>
      </w:pPr>
      <w:r>
        <w:t xml:space="preserve">Moving forward, the Board plans on expanding its communication and engagement strategy to include </w:t>
      </w:r>
      <w:r w:rsidR="00432060">
        <w:t xml:space="preserve">featured </w:t>
      </w:r>
      <w:r>
        <w:t xml:space="preserve">Podcasts and other digital media publications. </w:t>
      </w:r>
    </w:p>
    <w:p w14:paraId="4C9208EA" w14:textId="626B9D5A" w:rsidR="002F3E00" w:rsidRDefault="002F3E00" w:rsidP="006F268C">
      <w:pPr>
        <w:spacing w:after="200"/>
      </w:pPr>
      <w:r w:rsidRPr="005014BA">
        <w:t>The Board</w:t>
      </w:r>
      <w:r w:rsidR="006C5BB2">
        <w:t xml:space="preserve"> would like to thank those</w:t>
      </w:r>
      <w:r w:rsidR="00FD25C6">
        <w:t xml:space="preserve"> who engaged with </w:t>
      </w:r>
      <w:r w:rsidR="008A3E4D">
        <w:t>us</w:t>
      </w:r>
      <w:r w:rsidR="00FD25C6">
        <w:t xml:space="preserve"> </w:t>
      </w:r>
      <w:r w:rsidR="00242FE8">
        <w:t xml:space="preserve">over the course of </w:t>
      </w:r>
      <w:r w:rsidR="00FD25C6">
        <w:t xml:space="preserve">the </w:t>
      </w:r>
      <w:r w:rsidR="00242FE8">
        <w:t>2023</w:t>
      </w:r>
      <w:r w:rsidR="00505523">
        <w:t>–</w:t>
      </w:r>
      <w:r w:rsidR="00242FE8">
        <w:t xml:space="preserve">24 reporting year. </w:t>
      </w:r>
      <w:r w:rsidR="008A3E4D">
        <w:t>We</w:t>
      </w:r>
      <w:r w:rsidR="00E61F32">
        <w:t xml:space="preserve"> appreciate </w:t>
      </w:r>
      <w:r w:rsidR="00234BB3">
        <w:t xml:space="preserve">stakeholders </w:t>
      </w:r>
      <w:r w:rsidR="00437706">
        <w:t>taking the time</w:t>
      </w:r>
      <w:r w:rsidR="00234BB3">
        <w:t xml:space="preserve"> </w:t>
      </w:r>
      <w:r w:rsidR="008A3E4D">
        <w:t xml:space="preserve">to provide </w:t>
      </w:r>
      <w:r w:rsidR="00234BB3">
        <w:t xml:space="preserve">insights </w:t>
      </w:r>
      <w:r w:rsidR="00020CBF">
        <w:t xml:space="preserve">and share experiences with </w:t>
      </w:r>
      <w:r w:rsidR="00437706">
        <w:t>the Board</w:t>
      </w:r>
      <w:r w:rsidR="00020CBF">
        <w:t xml:space="preserve">, </w:t>
      </w:r>
      <w:r w:rsidR="00234BB3">
        <w:t>which make</w:t>
      </w:r>
      <w:r w:rsidR="00437706">
        <w:t>s</w:t>
      </w:r>
      <w:r w:rsidR="00234BB3">
        <w:t xml:space="preserve"> a tangible difference in the quality of </w:t>
      </w:r>
      <w:r w:rsidR="00437706">
        <w:t>our</w:t>
      </w:r>
      <w:r w:rsidR="00234BB3">
        <w:t xml:space="preserve"> discussions, recommendations and overall progress in shaping the future of tax reform in Australia.</w:t>
      </w:r>
    </w:p>
    <w:p w14:paraId="383240D3" w14:textId="56A13193" w:rsidR="00A00E17" w:rsidRDefault="00A00E17">
      <w:r>
        <w:br w:type="page"/>
      </w:r>
    </w:p>
    <w:p w14:paraId="2A677102" w14:textId="2CEB0A5E" w:rsidR="00EB566E" w:rsidRPr="00EB566E" w:rsidRDefault="002F3E00" w:rsidP="00430BF7">
      <w:pPr>
        <w:pStyle w:val="Heading2"/>
      </w:pPr>
      <w:bookmarkStart w:id="36" w:name="_Toc159253844"/>
      <w:bookmarkStart w:id="37" w:name="_Toc209006590"/>
      <w:r w:rsidDel="00315AA5">
        <w:lastRenderedPageBreak/>
        <w:t xml:space="preserve">Review </w:t>
      </w:r>
      <w:r w:rsidRPr="00EB566E" w:rsidDel="00315AA5">
        <w:t>consultations</w:t>
      </w:r>
      <w:bookmarkEnd w:id="36"/>
      <w:bookmarkEnd w:id="37"/>
    </w:p>
    <w:p w14:paraId="7E43BB27" w14:textId="514CF519" w:rsidR="00A00E17" w:rsidRDefault="00A00E17" w:rsidP="00A00E17">
      <w:r w:rsidRPr="00A00E17">
        <w:rPr>
          <w:noProof/>
        </w:rPr>
        <w:drawing>
          <wp:inline distT="0" distB="0" distL="0" distR="0" wp14:anchorId="106394C1" wp14:editId="23FDDBC4">
            <wp:extent cx="6066000" cy="3038400"/>
            <wp:effectExtent l="0" t="0" r="0" b="0"/>
            <wp:docPr id="453805776" name="Picture 453805776" descr="A graphic for a Consultation open announcement for the Board of Tax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05776" name="Picture 453805776" descr="A graphic for a Consultation open announcement for the Board of Taxation.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66000" cy="3038400"/>
                    </a:xfrm>
                    <a:prstGeom prst="rect">
                      <a:avLst/>
                    </a:prstGeom>
                    <a:noFill/>
                    <a:ln>
                      <a:noFill/>
                    </a:ln>
                  </pic:spPr>
                </pic:pic>
              </a:graphicData>
            </a:graphic>
          </wp:inline>
        </w:drawing>
      </w:r>
    </w:p>
    <w:p w14:paraId="524C7CC3" w14:textId="45809A50" w:rsidR="00A00E17" w:rsidRPr="00EB566E" w:rsidRDefault="00A00E17" w:rsidP="00A00E17">
      <w:pPr>
        <w:pStyle w:val="Caption"/>
      </w:pPr>
      <w:r w:rsidRPr="00A00E17">
        <w:t xml:space="preserve">Image: a graphic for a Consultation open announcement for the Board of Taxation. </w:t>
      </w:r>
    </w:p>
    <w:p w14:paraId="6C8C1AFB" w14:textId="33D5E751" w:rsidR="00621D7E" w:rsidRDefault="00033209" w:rsidP="00840002">
      <w:pPr>
        <w:spacing w:after="200"/>
      </w:pPr>
      <w:proofErr w:type="gramStart"/>
      <w:r w:rsidRPr="005014BA" w:rsidDel="00315AA5">
        <w:t>During the course of</w:t>
      </w:r>
      <w:proofErr w:type="gramEnd"/>
      <w:r w:rsidRPr="005014BA" w:rsidDel="00315AA5">
        <w:t xml:space="preserve"> a review the</w:t>
      </w:r>
      <w:r w:rsidDel="00315AA5">
        <w:t xml:space="preserve"> Board</w:t>
      </w:r>
      <w:r w:rsidRPr="005014BA" w:rsidDel="00315AA5">
        <w:t xml:space="preserve"> </w:t>
      </w:r>
      <w:r w:rsidR="00840002">
        <w:t>will</w:t>
      </w:r>
      <w:r w:rsidR="00840002" w:rsidRPr="005014BA" w:rsidDel="00315AA5">
        <w:t xml:space="preserve"> </w:t>
      </w:r>
      <w:r w:rsidRPr="005014BA" w:rsidDel="00315AA5">
        <w:t xml:space="preserve">canvass stakeholder views </w:t>
      </w:r>
      <w:r w:rsidR="00840002">
        <w:t xml:space="preserve">to inform its work. </w:t>
      </w:r>
      <w:r w:rsidR="0023716A">
        <w:t>Upon commencement</w:t>
      </w:r>
      <w:r w:rsidR="00E01276">
        <w:t xml:space="preserve">, </w:t>
      </w:r>
      <w:r w:rsidR="00E70639">
        <w:t xml:space="preserve">the Board </w:t>
      </w:r>
      <w:r w:rsidR="004B3FCB">
        <w:t>publishes</w:t>
      </w:r>
      <w:r w:rsidR="00E70639">
        <w:t xml:space="preserve"> a consultation paper seeking </w:t>
      </w:r>
      <w:r w:rsidR="00D75FE1">
        <w:t xml:space="preserve">feedback from a broad cross section of stakeholders to help inform its views on the </w:t>
      </w:r>
      <w:proofErr w:type="gramStart"/>
      <w:r w:rsidR="00D75FE1">
        <w:t xml:space="preserve">particular </w:t>
      </w:r>
      <w:r w:rsidR="00220132">
        <w:t>t</w:t>
      </w:r>
      <w:r w:rsidR="008801DA">
        <w:t>erms</w:t>
      </w:r>
      <w:proofErr w:type="gramEnd"/>
      <w:r w:rsidR="008801DA">
        <w:t xml:space="preserve"> of </w:t>
      </w:r>
      <w:r w:rsidR="00220132">
        <w:t>r</w:t>
      </w:r>
      <w:r w:rsidR="00D75FE1">
        <w:t>eference</w:t>
      </w:r>
      <w:r w:rsidR="00BE554D">
        <w:t>. Consultation papers are published on the Board</w:t>
      </w:r>
      <w:r w:rsidR="00360869">
        <w:t>’</w:t>
      </w:r>
      <w:r w:rsidR="00BE554D">
        <w:t>s website and promoted through the Board</w:t>
      </w:r>
      <w:r w:rsidR="00360869">
        <w:t>’</w:t>
      </w:r>
      <w:r w:rsidR="00BE554D">
        <w:t xml:space="preserve">s </w:t>
      </w:r>
      <w:r w:rsidR="00314EBF">
        <w:t>social media platform</w:t>
      </w:r>
      <w:r w:rsidR="007F0A3E">
        <w:t xml:space="preserve"> on</w:t>
      </w:r>
      <w:r w:rsidR="00314EBF">
        <w:t xml:space="preserve"> LinkedIn</w:t>
      </w:r>
      <w:r w:rsidR="007F0A3E">
        <w:t>.</w:t>
      </w:r>
      <w:r w:rsidR="00025A90">
        <w:t xml:space="preserve"> The Board seeks </w:t>
      </w:r>
      <w:r w:rsidR="00065FF9">
        <w:t>feedback through written</w:t>
      </w:r>
      <w:r w:rsidR="00B31470">
        <w:t xml:space="preserve"> submissions </w:t>
      </w:r>
      <w:r w:rsidR="00065FF9">
        <w:t>as well as through</w:t>
      </w:r>
      <w:r w:rsidR="00B31470">
        <w:t xml:space="preserve"> roundtable</w:t>
      </w:r>
      <w:r w:rsidR="00771EA7">
        <w:t xml:space="preserve"> meetings</w:t>
      </w:r>
      <w:r w:rsidR="007C5D19">
        <w:t>, which are open to all interested stakeholders</w:t>
      </w:r>
      <w:r w:rsidR="00DE1E7A">
        <w:t xml:space="preserve">. </w:t>
      </w:r>
    </w:p>
    <w:p w14:paraId="7694A2E1" w14:textId="1EA99C39" w:rsidR="00F4365A" w:rsidRDefault="00810B57" w:rsidP="00EB566E">
      <w:r>
        <w:t>In addition to the formal consultation process, f</w:t>
      </w:r>
      <w:r w:rsidR="00621D7E">
        <w:t xml:space="preserve">or each </w:t>
      </w:r>
      <w:r w:rsidR="006C11F2">
        <w:t xml:space="preserve">review the </w:t>
      </w:r>
      <w:r w:rsidR="006A4B43">
        <w:t>Secretariat manages a</w:t>
      </w:r>
      <w:r w:rsidR="006C11F2">
        <w:t xml:space="preserve"> functional mailbox, </w:t>
      </w:r>
      <w:r>
        <w:t xml:space="preserve">and interested parties are </w:t>
      </w:r>
      <w:r w:rsidR="00065FF9">
        <w:t>encouraged</w:t>
      </w:r>
      <w:r>
        <w:t xml:space="preserve"> to engage with the Board throughout the course</w:t>
      </w:r>
      <w:r w:rsidR="00E94B13">
        <w:t xml:space="preserve"> </w:t>
      </w:r>
      <w:r>
        <w:t xml:space="preserve">of the review. </w:t>
      </w:r>
      <w:r w:rsidR="00065FF9">
        <w:t>This information is promoted through the Board</w:t>
      </w:r>
      <w:r w:rsidR="00360869">
        <w:t>’</w:t>
      </w:r>
      <w:r w:rsidR="00065FF9">
        <w:t>s website and social media channels.</w:t>
      </w:r>
    </w:p>
    <w:p w14:paraId="36120691" w14:textId="477B7949" w:rsidR="008D08F7" w:rsidRDefault="00A86EAB" w:rsidP="00EB566E">
      <w:r w:rsidRPr="0005242D">
        <w:t xml:space="preserve">To support the Board in addressing the </w:t>
      </w:r>
      <w:r w:rsidR="00152A60">
        <w:t>t</w:t>
      </w:r>
      <w:r w:rsidRPr="0005242D">
        <w:t xml:space="preserve">erms of </w:t>
      </w:r>
      <w:r w:rsidR="00152A60">
        <w:t>r</w:t>
      </w:r>
      <w:r w:rsidRPr="0005242D">
        <w:t xml:space="preserve">eference for </w:t>
      </w:r>
      <w:r w:rsidR="00152A60">
        <w:t>a</w:t>
      </w:r>
      <w:r w:rsidRPr="0005242D">
        <w:t xml:space="preserve"> review, </w:t>
      </w:r>
      <w:r w:rsidR="00B6289C" w:rsidRPr="0005242D">
        <w:t>the</w:t>
      </w:r>
      <w:r w:rsidR="002F3E00" w:rsidRPr="0005242D" w:rsidDel="00315AA5">
        <w:t xml:space="preserve"> Board utilises a working group model. </w:t>
      </w:r>
      <w:r w:rsidR="001717F1" w:rsidRPr="0005242D">
        <w:t>S</w:t>
      </w:r>
      <w:r w:rsidR="002F3E00" w:rsidRPr="0005242D" w:rsidDel="00315AA5">
        <w:t>ubject matter experts</w:t>
      </w:r>
      <w:r w:rsidR="001717F1" w:rsidRPr="0005242D">
        <w:t xml:space="preserve"> are </w:t>
      </w:r>
      <w:r w:rsidR="004E5BD3">
        <w:t xml:space="preserve">generally </w:t>
      </w:r>
      <w:r w:rsidR="001717F1" w:rsidRPr="0005242D">
        <w:t>identified by the Board through the consultation process and invited</w:t>
      </w:r>
      <w:r w:rsidR="002F3E00" w:rsidRPr="0005242D" w:rsidDel="00315AA5">
        <w:t xml:space="preserve"> to become part of the working group for the duration of the review project.</w:t>
      </w:r>
    </w:p>
    <w:p w14:paraId="344719A4" w14:textId="46782C14" w:rsidR="00EB566E" w:rsidRDefault="00380243" w:rsidP="00956A03">
      <w:pPr>
        <w:pStyle w:val="Heading2"/>
      </w:pPr>
      <w:bookmarkStart w:id="38" w:name="_Ref150947848"/>
      <w:bookmarkStart w:id="39" w:name="_Ref150947858"/>
      <w:bookmarkStart w:id="40" w:name="_Ref150947874"/>
      <w:bookmarkStart w:id="41" w:name="_Ref150947896"/>
      <w:bookmarkStart w:id="42" w:name="_Ref150947989"/>
      <w:bookmarkStart w:id="43" w:name="_Toc159253845"/>
      <w:bookmarkStart w:id="44" w:name="_Toc209006591"/>
      <w:r>
        <w:t xml:space="preserve">Business </w:t>
      </w:r>
      <w:r w:rsidRPr="00801F2F">
        <w:t>and</w:t>
      </w:r>
      <w:r>
        <w:t xml:space="preserve"> </w:t>
      </w:r>
      <w:r w:rsidRPr="00956A03">
        <w:t>community</w:t>
      </w:r>
      <w:r>
        <w:t xml:space="preserve"> </w:t>
      </w:r>
      <w:r w:rsidR="00A216CF">
        <w:t>consultations</w:t>
      </w:r>
      <w:bookmarkEnd w:id="38"/>
      <w:bookmarkEnd w:id="39"/>
      <w:bookmarkEnd w:id="40"/>
      <w:bookmarkEnd w:id="41"/>
      <w:bookmarkEnd w:id="42"/>
      <w:bookmarkEnd w:id="43"/>
      <w:bookmarkEnd w:id="44"/>
    </w:p>
    <w:p w14:paraId="044AFB5B" w14:textId="33AF51CC" w:rsidR="00EE49D1" w:rsidRDefault="004114C2" w:rsidP="00EB566E">
      <w:r>
        <w:t>A</w:t>
      </w:r>
      <w:r w:rsidR="00BA6948">
        <w:t xml:space="preserve">dopting </w:t>
      </w:r>
      <w:r>
        <w:t>the updated format for stakeholder</w:t>
      </w:r>
      <w:r w:rsidR="006B4F1A">
        <w:t xml:space="preserve"> engagement</w:t>
      </w:r>
      <w:r>
        <w:t>,</w:t>
      </w:r>
      <w:r w:rsidR="00587D7B">
        <w:t xml:space="preserve"> the Board enjoyed </w:t>
      </w:r>
      <w:r w:rsidR="00671A0A">
        <w:t xml:space="preserve">hosting a </w:t>
      </w:r>
      <w:r w:rsidR="009049A5">
        <w:t>series</w:t>
      </w:r>
      <w:r w:rsidR="00671A0A">
        <w:t xml:space="preserve"> of stakeholder events </w:t>
      </w:r>
      <w:r w:rsidR="000A33B1">
        <w:t>focusing on</w:t>
      </w:r>
      <w:r w:rsidR="00424A26">
        <w:t xml:space="preserve"> a variety of topic areas or themes</w:t>
      </w:r>
      <w:r w:rsidR="006E0D79">
        <w:t xml:space="preserve"> </w:t>
      </w:r>
      <w:r w:rsidR="00587D7B">
        <w:t xml:space="preserve">in </w:t>
      </w:r>
      <w:r w:rsidR="00671A0A">
        <w:t>Canberra,</w:t>
      </w:r>
      <w:r w:rsidR="00587D7B">
        <w:t xml:space="preserve"> Sydney, and Melbourne</w:t>
      </w:r>
      <w:r w:rsidR="00671A0A">
        <w:t xml:space="preserve"> during the 2023</w:t>
      </w:r>
      <w:r w:rsidR="00663D21">
        <w:t>–</w:t>
      </w:r>
      <w:r w:rsidR="00671A0A">
        <w:t>24 reporting year</w:t>
      </w:r>
      <w:r w:rsidR="00792A15">
        <w:t xml:space="preserve">. </w:t>
      </w:r>
      <w:r w:rsidR="00587D7B">
        <w:t>These events provided the Board with an opportunity to hear from the business community</w:t>
      </w:r>
      <w:r w:rsidR="00912786">
        <w:t xml:space="preserve"> </w:t>
      </w:r>
      <w:r w:rsidR="00946740">
        <w:t>about the specific tax issues impacting them</w:t>
      </w:r>
      <w:r w:rsidR="001450EE">
        <w:t xml:space="preserve">, </w:t>
      </w:r>
      <w:r w:rsidR="00946740">
        <w:t>enabl</w:t>
      </w:r>
      <w:r w:rsidR="001450EE">
        <w:t>ing</w:t>
      </w:r>
      <w:r w:rsidR="00946740">
        <w:t xml:space="preserve"> the Board to meet with over</w:t>
      </w:r>
      <w:r w:rsidR="00956A03">
        <w:t xml:space="preserve"> </w:t>
      </w:r>
      <w:r w:rsidR="00946740">
        <w:lastRenderedPageBreak/>
        <w:t>50</w:t>
      </w:r>
      <w:r w:rsidR="00956A03">
        <w:t> </w:t>
      </w:r>
      <w:r w:rsidR="00946740">
        <w:t>representatives from over 20</w:t>
      </w:r>
      <w:r w:rsidR="00956A03">
        <w:t> </w:t>
      </w:r>
      <w:r w:rsidR="00946740">
        <w:t>organisations</w:t>
      </w:r>
      <w:r w:rsidR="001450EE">
        <w:t>, such as:</w:t>
      </w:r>
      <w:r w:rsidR="00F50621">
        <w:t xml:space="preserve"> stakeholders </w:t>
      </w:r>
      <w:r w:rsidR="005F566A">
        <w:t xml:space="preserve">from </w:t>
      </w:r>
      <w:r w:rsidR="004D7906">
        <w:t xml:space="preserve">the financial services sector, members of the small business community, including the </w:t>
      </w:r>
      <w:r w:rsidR="00634665">
        <w:t xml:space="preserve">Council of small Business Organisations Australia (COSBOA) and the </w:t>
      </w:r>
      <w:r w:rsidR="004D7906">
        <w:t xml:space="preserve">Australian Small Business and Family Enterprise Ombudsman (ASBFEO), stakeholders interacting with the voluntary tax transparency code, and members from Victorian Bar Association. </w:t>
      </w:r>
      <w:r w:rsidR="00792A15">
        <w:t>Additionally, the Board met with key stakeholders from the ATO, Treasury and the Australian Charities and Not</w:t>
      </w:r>
      <w:r w:rsidR="00BF2C32">
        <w:t>–</w:t>
      </w:r>
      <w:r w:rsidR="00792A15">
        <w:t>for</w:t>
      </w:r>
      <w:r w:rsidR="00BF2C32">
        <w:t>–</w:t>
      </w:r>
      <w:r w:rsidR="00D51DD4">
        <w:t>p</w:t>
      </w:r>
      <w:r w:rsidR="00792A15">
        <w:t>rofit</w:t>
      </w:r>
      <w:r w:rsidR="00D51DD4">
        <w:t>s</w:t>
      </w:r>
      <w:r w:rsidR="00792A15">
        <w:t xml:space="preserve"> </w:t>
      </w:r>
      <w:r w:rsidR="00EE49D1">
        <w:t xml:space="preserve">Commission </w:t>
      </w:r>
      <w:r w:rsidR="00792A15">
        <w:t>(ACNC).</w:t>
      </w:r>
      <w:r w:rsidR="00DB5B2E">
        <w:t xml:space="preserve"> </w:t>
      </w:r>
    </w:p>
    <w:p w14:paraId="4BFC45F7" w14:textId="4F658277" w:rsidR="00587D7B" w:rsidRPr="00495AE7" w:rsidRDefault="008C69AF" w:rsidP="00EB566E">
      <w:pPr>
        <w:rPr>
          <w:b/>
          <w:bCs/>
        </w:rPr>
      </w:pPr>
      <w:r>
        <w:t xml:space="preserve">A </w:t>
      </w:r>
      <w:r w:rsidR="00792A15">
        <w:t xml:space="preserve">full </w:t>
      </w:r>
      <w:r>
        <w:t xml:space="preserve">list of </w:t>
      </w:r>
      <w:r w:rsidR="00ED4EA1">
        <w:t>Stakeholder event</w:t>
      </w:r>
      <w:r w:rsidR="00C36E5A">
        <w:t>s hosted by the</w:t>
      </w:r>
      <w:r w:rsidR="001A0215">
        <w:t xml:space="preserve"> Board</w:t>
      </w:r>
      <w:r w:rsidR="00ED4EA1">
        <w:t xml:space="preserve"> is </w:t>
      </w:r>
      <w:r w:rsidR="001A0215">
        <w:t>included</w:t>
      </w:r>
      <w:r w:rsidR="00ED4EA1">
        <w:t xml:space="preserve"> </w:t>
      </w:r>
      <w:r w:rsidR="001A0215">
        <w:t xml:space="preserve">at </w:t>
      </w:r>
      <w:r w:rsidR="00C36E5A" w:rsidRPr="00BF2C32">
        <w:rPr>
          <w:rStyle w:val="Strong"/>
        </w:rPr>
        <w:t>Appendix D</w:t>
      </w:r>
      <w:r w:rsidR="00C10585" w:rsidRPr="00BF2C32">
        <w:rPr>
          <w:rStyle w:val="Strong"/>
        </w:rPr>
        <w:t>: Board meetings and stakeholder events.</w:t>
      </w:r>
    </w:p>
    <w:p w14:paraId="67653335" w14:textId="0DFDD5F4" w:rsidR="00376470" w:rsidRPr="00CF573F" w:rsidRDefault="00376470" w:rsidP="00CF573F">
      <w:pPr>
        <w:pStyle w:val="Heading2"/>
      </w:pPr>
      <w:bookmarkStart w:id="45" w:name="_Toc159253846"/>
      <w:bookmarkStart w:id="46" w:name="_Toc209006592"/>
      <w:r w:rsidRPr="00CF573F">
        <w:t>Presentations at events, conferences, and</w:t>
      </w:r>
      <w:r w:rsidR="00EB566E" w:rsidRPr="00CF573F">
        <w:t> </w:t>
      </w:r>
      <w:r w:rsidRPr="00CF573F">
        <w:t>discussion</w:t>
      </w:r>
      <w:r w:rsidR="00EB566E" w:rsidRPr="00CF573F">
        <w:t> </w:t>
      </w:r>
      <w:r w:rsidRPr="00CF573F">
        <w:t>groups</w:t>
      </w:r>
      <w:bookmarkEnd w:id="45"/>
      <w:bookmarkEnd w:id="46"/>
      <w:r w:rsidRPr="00CF573F">
        <w:t xml:space="preserve"> </w:t>
      </w:r>
    </w:p>
    <w:p w14:paraId="07648A05" w14:textId="3ADDF139" w:rsidR="00EE49D1" w:rsidRDefault="00152A60" w:rsidP="00F36D98">
      <w:bookmarkStart w:id="47" w:name="_Ref150947882"/>
      <w:r w:rsidRPr="00376470">
        <w:t xml:space="preserve">In addition to the events hosted by the Board when it regularly meets, Board members also </w:t>
      </w:r>
      <w:r>
        <w:t xml:space="preserve">presented at and </w:t>
      </w:r>
      <w:r w:rsidRPr="00376470">
        <w:t>attended events, conference</w:t>
      </w:r>
      <w:r w:rsidR="00CC60E7">
        <w:t>s</w:t>
      </w:r>
      <w:r w:rsidRPr="00376470">
        <w:t xml:space="preserve"> and discussions hosted by </w:t>
      </w:r>
      <w:r>
        <w:t>various</w:t>
      </w:r>
      <w:r w:rsidRPr="00376470">
        <w:t xml:space="preserve"> organisations</w:t>
      </w:r>
      <w:r>
        <w:t xml:space="preserve"> such as the CPA</w:t>
      </w:r>
      <w:r w:rsidR="008E00AE">
        <w:t xml:space="preserve"> Australia</w:t>
      </w:r>
      <w:r w:rsidR="00D51DD4">
        <w:t xml:space="preserve">, </w:t>
      </w:r>
      <w:r w:rsidRPr="00F36D98">
        <w:t>Australia</w:t>
      </w:r>
      <w:r w:rsidR="00D51DD4">
        <w:t xml:space="preserve"> Taxation Office and Deloitte Australia.</w:t>
      </w:r>
      <w:r w:rsidRPr="00F36D98">
        <w:t xml:space="preserve"> </w:t>
      </w:r>
    </w:p>
    <w:p w14:paraId="4C981035" w14:textId="024EA8E2" w:rsidR="00152A60" w:rsidRPr="00F36D98" w:rsidRDefault="00152A60" w:rsidP="00F36D98">
      <w:r w:rsidRPr="00F36D98">
        <w:t xml:space="preserve">A comprehensive list is provided in </w:t>
      </w:r>
      <w:r w:rsidR="00EC4FB7">
        <w:t>the</w:t>
      </w:r>
      <w:r w:rsidRPr="00F36D98">
        <w:t xml:space="preserve"> table in </w:t>
      </w:r>
      <w:r w:rsidRPr="00C10585">
        <w:rPr>
          <w:b/>
          <w:bCs/>
        </w:rPr>
        <w:fldChar w:fldCharType="begin"/>
      </w:r>
      <w:r w:rsidRPr="00C10585">
        <w:rPr>
          <w:b/>
          <w:bCs/>
        </w:rPr>
        <w:instrText xml:space="preserve"> REF _Ref151722637 \h </w:instrText>
      </w:r>
      <w:r w:rsidR="00EB566E" w:rsidRPr="00C10585">
        <w:rPr>
          <w:b/>
          <w:bCs/>
        </w:rPr>
        <w:instrText xml:space="preserve"> \* MERGEFORMAT </w:instrText>
      </w:r>
      <w:r w:rsidRPr="00C10585">
        <w:rPr>
          <w:b/>
          <w:bCs/>
        </w:rPr>
      </w:r>
      <w:r w:rsidRPr="00C10585">
        <w:rPr>
          <w:b/>
          <w:bCs/>
        </w:rPr>
        <w:fldChar w:fldCharType="separate"/>
      </w:r>
      <w:r w:rsidR="00E256A4" w:rsidRPr="00E256A4">
        <w:rPr>
          <w:b/>
          <w:bCs/>
        </w:rPr>
        <w:t>Appendix E: Presentations at events, conferences, and discussion groups</w:t>
      </w:r>
      <w:r w:rsidRPr="00C10585">
        <w:rPr>
          <w:b/>
          <w:bCs/>
        </w:rPr>
        <w:fldChar w:fldCharType="end"/>
      </w:r>
      <w:r w:rsidRPr="00F36D98">
        <w:t>.</w:t>
      </w:r>
    </w:p>
    <w:p w14:paraId="669F60F6" w14:textId="1D6C536A" w:rsidR="00380243" w:rsidRPr="00CF573F" w:rsidRDefault="00380243" w:rsidP="00CF573F">
      <w:pPr>
        <w:pStyle w:val="Heading2"/>
      </w:pPr>
      <w:bookmarkStart w:id="48" w:name="_Toc159253847"/>
      <w:bookmarkStart w:id="49" w:name="_Toc209006593"/>
      <w:r w:rsidRPr="00CF573F">
        <w:t xml:space="preserve">Engagement with </w:t>
      </w:r>
      <w:r w:rsidR="008D67A1" w:rsidRPr="00CF573F">
        <w:t>the Government, Treasury and</w:t>
      </w:r>
      <w:r w:rsidR="00EB3412" w:rsidRPr="00CF573F">
        <w:t> </w:t>
      </w:r>
      <w:r w:rsidR="008D67A1" w:rsidRPr="00CF573F">
        <w:t>the</w:t>
      </w:r>
      <w:r w:rsidR="00835F65" w:rsidRPr="00CF573F">
        <w:t> </w:t>
      </w:r>
      <w:r w:rsidR="008D67A1" w:rsidRPr="00CF573F">
        <w:t>ATO</w:t>
      </w:r>
      <w:bookmarkEnd w:id="47"/>
      <w:bookmarkEnd w:id="48"/>
      <w:bookmarkEnd w:id="49"/>
    </w:p>
    <w:p w14:paraId="7F8842CB" w14:textId="15E5B541" w:rsidR="00380243" w:rsidRDefault="00016AA7" w:rsidP="00835F65">
      <w:r>
        <w:t>The Board has continued to embrace its role as a trusted advis</w:t>
      </w:r>
      <w:r w:rsidR="00C44F64">
        <w:t>e</w:t>
      </w:r>
      <w:r>
        <w:t xml:space="preserve">r to </w:t>
      </w:r>
      <w:r w:rsidR="00867351">
        <w:t>g</w:t>
      </w:r>
      <w:r>
        <w:t xml:space="preserve">overnment, Treasury, and </w:t>
      </w:r>
      <w:r w:rsidR="00FE21ED">
        <w:t>ATO</w:t>
      </w:r>
      <w:r>
        <w:t xml:space="preserve"> by providing advice throughout the 202</w:t>
      </w:r>
      <w:r w:rsidR="008A332F">
        <w:t>3</w:t>
      </w:r>
      <w:r w:rsidR="005348C7">
        <w:t>–</w:t>
      </w:r>
      <w:r>
        <w:t>2</w:t>
      </w:r>
      <w:r w:rsidR="008A332F">
        <w:t>4</w:t>
      </w:r>
      <w:r>
        <w:t xml:space="preserve"> </w:t>
      </w:r>
      <w:r w:rsidR="00152A60">
        <w:t>reporting year</w:t>
      </w:r>
      <w:r w:rsidR="004313E4">
        <w:t>.</w:t>
      </w:r>
    </w:p>
    <w:p w14:paraId="3DD4C2F0" w14:textId="4D02A8F2" w:rsidR="00867351" w:rsidRDefault="00CC1940" w:rsidP="00835F65">
      <w:r>
        <w:t>Th</w:t>
      </w:r>
      <w:r w:rsidR="00EB0AF0">
        <w:t xml:space="preserve">roughout the </w:t>
      </w:r>
      <w:r w:rsidR="00152A60">
        <w:t>reporting year</w:t>
      </w:r>
      <w:r w:rsidR="00EB0AF0">
        <w:t>, th</w:t>
      </w:r>
      <w:r>
        <w:t xml:space="preserve">e Chair </w:t>
      </w:r>
      <w:r w:rsidR="00EB0AF0">
        <w:t>met</w:t>
      </w:r>
      <w:r>
        <w:t xml:space="preserve"> with the Treasurer, the Hon Dr Jim Chalmers MP</w:t>
      </w:r>
      <w:r w:rsidR="006B73F2">
        <w:t xml:space="preserve"> and</w:t>
      </w:r>
      <w:r>
        <w:t xml:space="preserve"> the </w:t>
      </w:r>
      <w:r w:rsidR="00262E05">
        <w:t xml:space="preserve">Assistant Treasurer, the </w:t>
      </w:r>
      <w:r>
        <w:t>Hon Stephen Jones MP</w:t>
      </w:r>
      <w:r w:rsidR="00262E05">
        <w:rPr>
          <w:rStyle w:val="FootnoteReference"/>
        </w:rPr>
        <w:footnoteReference w:id="5"/>
      </w:r>
      <w:r w:rsidR="006B73F2">
        <w:t xml:space="preserve"> </w:t>
      </w:r>
      <w:r>
        <w:t>to discuss the Board</w:t>
      </w:r>
      <w:r w:rsidR="00360869">
        <w:t>’</w:t>
      </w:r>
      <w:r>
        <w:t>s work program and provide advice on the tax issues that</w:t>
      </w:r>
      <w:r w:rsidR="00152A60">
        <w:t xml:space="preserve"> are</w:t>
      </w:r>
      <w:r>
        <w:t xml:space="preserve"> important to the business and wider community. </w:t>
      </w:r>
      <w:r w:rsidR="00DC7898">
        <w:t xml:space="preserve">Additionally, </w:t>
      </w:r>
      <w:r w:rsidR="006D1DDD">
        <w:t xml:space="preserve">during the </w:t>
      </w:r>
      <w:r w:rsidR="00152A60">
        <w:t>reporting year</w:t>
      </w:r>
      <w:r w:rsidR="006D1DDD">
        <w:t xml:space="preserve">, </w:t>
      </w:r>
      <w:r w:rsidR="00DC7898">
        <w:t>the</w:t>
      </w:r>
      <w:r w:rsidR="005348C7">
        <w:t> </w:t>
      </w:r>
      <w:r w:rsidR="00DC7898">
        <w:t xml:space="preserve">Chair </w:t>
      </w:r>
      <w:r w:rsidR="00ED36E2">
        <w:t xml:space="preserve">had </w:t>
      </w:r>
      <w:proofErr w:type="gramStart"/>
      <w:r w:rsidR="00ED36E2">
        <w:t>a number of</w:t>
      </w:r>
      <w:proofErr w:type="gramEnd"/>
      <w:r w:rsidR="00ED36E2">
        <w:t xml:space="preserve"> meetings</w:t>
      </w:r>
      <w:r w:rsidR="00DC7898">
        <w:t xml:space="preserve"> with the</w:t>
      </w:r>
      <w:r w:rsidR="006D1DDD">
        <w:t xml:space="preserve"> Commissioner of Taxation, along with other senior ATO and Treasury representatives. </w:t>
      </w:r>
    </w:p>
    <w:p w14:paraId="25F7D063" w14:textId="77777777" w:rsidR="005755B9" w:rsidRPr="00816017" w:rsidRDefault="005755B9" w:rsidP="00816017">
      <w:bookmarkStart w:id="50" w:name="_Toc159253849"/>
      <w:bookmarkStart w:id="51" w:name="_Toc209006594"/>
      <w:r>
        <w:br w:type="page"/>
      </w:r>
    </w:p>
    <w:p w14:paraId="72E4D57C" w14:textId="14B95B7F" w:rsidR="00EB3412" w:rsidRPr="00EB566E" w:rsidRDefault="002F3E00" w:rsidP="00EB3412">
      <w:pPr>
        <w:pStyle w:val="Heading2"/>
      </w:pPr>
      <w:r w:rsidRPr="000F181E">
        <w:lastRenderedPageBreak/>
        <w:t>Sounding </w:t>
      </w:r>
      <w:r w:rsidRPr="00835F65">
        <w:t>Board</w:t>
      </w:r>
      <w:r w:rsidRPr="000F181E">
        <w:t> +</w:t>
      </w:r>
      <w:bookmarkEnd w:id="50"/>
      <w:bookmarkEnd w:id="51"/>
    </w:p>
    <w:p w14:paraId="35AA045A" w14:textId="44DB9F9A" w:rsidR="005755B9" w:rsidRDefault="005755B9" w:rsidP="005755B9">
      <w:r w:rsidRPr="005755B9">
        <w:rPr>
          <w:noProof/>
        </w:rPr>
        <w:drawing>
          <wp:inline distT="0" distB="0" distL="0" distR="0" wp14:anchorId="3886B581" wp14:editId="3C1C00A3">
            <wp:extent cx="5978769" cy="2972098"/>
            <wp:effectExtent l="0" t="0" r="3175" b="0"/>
            <wp:docPr id="941393323" name="Picture 941393323" descr="A graphic inviting people to Submit your ideas to the Board of Tax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graphic inviting people to Submit your ideas to the Board of Taxation. "/>
                    <pic:cNvPicPr/>
                  </pic:nvPicPr>
                  <pic:blipFill rotWithShape="1">
                    <a:blip r:embed="rId46"/>
                    <a:srcRect l="874" t="2026"/>
                    <a:stretch/>
                  </pic:blipFill>
                  <pic:spPr bwMode="auto">
                    <a:xfrm>
                      <a:off x="0" y="0"/>
                      <a:ext cx="6002869" cy="2984078"/>
                    </a:xfrm>
                    <a:prstGeom prst="rect">
                      <a:avLst/>
                    </a:prstGeom>
                    <a:ln>
                      <a:noFill/>
                    </a:ln>
                    <a:extLst>
                      <a:ext uri="{53640926-AAD7-44D8-BBD7-CCE9431645EC}">
                        <a14:shadowObscured xmlns:a14="http://schemas.microsoft.com/office/drawing/2010/main"/>
                      </a:ext>
                    </a:extLst>
                  </pic:spPr>
                </pic:pic>
              </a:graphicData>
            </a:graphic>
          </wp:inline>
        </w:drawing>
      </w:r>
    </w:p>
    <w:p w14:paraId="48419944" w14:textId="77777777" w:rsidR="005755B9" w:rsidRPr="005755B9" w:rsidRDefault="005755B9" w:rsidP="005755B9">
      <w:pPr>
        <w:pStyle w:val="Caption"/>
      </w:pPr>
      <w:r w:rsidRPr="005755B9">
        <w:t xml:space="preserve">Image: a graphic inviting people to Submit your ideas to the Board of Taxation. </w:t>
      </w:r>
    </w:p>
    <w:p w14:paraId="0F81DF68" w14:textId="11C6F7E3" w:rsidR="00B674E9" w:rsidRDefault="002F3E00" w:rsidP="00F36D98">
      <w:r w:rsidRPr="005014BA" w:rsidDel="00CD405B">
        <w:t xml:space="preserve">The Board invites contributions from stakeholders through </w:t>
      </w:r>
      <w:r w:rsidRPr="005014BA">
        <w:t>Sounding Board +</w:t>
      </w:r>
      <w:r w:rsidRPr="005014BA" w:rsidDel="00CD405B">
        <w:t>, a web</w:t>
      </w:r>
      <w:r w:rsidR="00505523">
        <w:t>–</w:t>
      </w:r>
      <w:r w:rsidRPr="005014BA" w:rsidDel="00CD405B">
        <w:t xml:space="preserve">based collaborative platform where stakeholders from the broader community can submit ideas to improve the </w:t>
      </w:r>
      <w:r w:rsidRPr="005014BA">
        <w:t>Australian</w:t>
      </w:r>
      <w:r w:rsidRPr="005014BA" w:rsidDel="00CD405B">
        <w:t xml:space="preserve"> tax</w:t>
      </w:r>
      <w:r w:rsidRPr="005014BA">
        <w:t>ation</w:t>
      </w:r>
      <w:r w:rsidRPr="005014BA" w:rsidDel="00CD405B">
        <w:t xml:space="preserve"> system</w:t>
      </w:r>
      <w:r w:rsidRPr="005014BA">
        <w:t>.</w:t>
      </w:r>
      <w:r>
        <w:rPr>
          <w:rStyle w:val="FootnoteReference"/>
        </w:rPr>
        <w:footnoteReference w:id="6"/>
      </w:r>
      <w:r w:rsidRPr="005014BA">
        <w:t xml:space="preserve"> </w:t>
      </w:r>
      <w:r w:rsidR="00FF3024" w:rsidRPr="005014BA">
        <w:t xml:space="preserve">At each of the regular Board meetings, the Board looks at all new ideas </w:t>
      </w:r>
      <w:r w:rsidR="000D6A2A" w:rsidRPr="00202B87">
        <w:t>submitted</w:t>
      </w:r>
      <w:r w:rsidR="00FF3024" w:rsidRPr="00202B87">
        <w:t xml:space="preserve"> </w:t>
      </w:r>
      <w:r w:rsidR="00FF3024" w:rsidRPr="005014BA">
        <w:t xml:space="preserve">to Sounding Board +. </w:t>
      </w:r>
      <w:r w:rsidR="00B674E9" w:rsidRPr="005014BA">
        <w:t>Where suitable, the Board will advocate a pathway for their implementation via legislative or administrative means</w:t>
      </w:r>
      <w:r w:rsidR="00B674E9">
        <w:t>.</w:t>
      </w:r>
    </w:p>
    <w:p w14:paraId="496EEC6B" w14:textId="2BAF5228" w:rsidR="002F3E00" w:rsidRPr="00026B43" w:rsidRDefault="00B674E9" w:rsidP="00F36D98">
      <w:r w:rsidRPr="005014BA">
        <w:t>The Board has continued to focus on increasing the awareness of</w:t>
      </w:r>
      <w:r w:rsidRPr="000E4B4C">
        <w:t xml:space="preserve"> the</w:t>
      </w:r>
      <w:r w:rsidRPr="005014BA">
        <w:t xml:space="preserve"> Sounding Board + to encourage the community to be involved in the conversation on ideas for taxation system improvement in Australia.</w:t>
      </w:r>
      <w:r w:rsidR="00FF3024">
        <w:t xml:space="preserve"> During the 202</w:t>
      </w:r>
      <w:r w:rsidR="00AF7EE4">
        <w:t>3</w:t>
      </w:r>
      <w:r w:rsidR="0024114E">
        <w:t>–</w:t>
      </w:r>
      <w:r w:rsidR="00FF3024">
        <w:t>2</w:t>
      </w:r>
      <w:r w:rsidR="00AF7EE4">
        <w:t>4</w:t>
      </w:r>
      <w:r w:rsidR="00FF3024">
        <w:t xml:space="preserve"> </w:t>
      </w:r>
      <w:r w:rsidR="00152A60">
        <w:t>reporting year</w:t>
      </w:r>
      <w:r w:rsidR="00FF3024">
        <w:t xml:space="preserve">, the Board </w:t>
      </w:r>
      <w:r w:rsidR="008034B0">
        <w:t xml:space="preserve">continued to promote the platform through social media </w:t>
      </w:r>
      <w:r w:rsidR="003A1182">
        <w:t>and</w:t>
      </w:r>
      <w:r w:rsidR="00E13136">
        <w:t xml:space="preserve"> </w:t>
      </w:r>
      <w:r w:rsidR="003A1182">
        <w:t>at stakeholder meetings and speaking engagements.</w:t>
      </w:r>
      <w:r w:rsidR="00FF3024">
        <w:t xml:space="preserve"> </w:t>
      </w:r>
      <w:r w:rsidR="002F3E00" w:rsidRPr="005014BA">
        <w:t xml:space="preserve">Ideas for taxation system improvement can be submitted via Sounding Board +. </w:t>
      </w:r>
    </w:p>
    <w:p w14:paraId="3F7091D3" w14:textId="77777777" w:rsidR="002F3E00" w:rsidRDefault="002F3E00">
      <w:r>
        <w:br w:type="page"/>
      </w:r>
    </w:p>
    <w:p w14:paraId="796D3771" w14:textId="4B72C033" w:rsidR="00E95862" w:rsidRPr="00E95862" w:rsidRDefault="00901C66" w:rsidP="0031220C">
      <w:pPr>
        <w:pStyle w:val="Heading1"/>
      </w:pPr>
      <w:bookmarkStart w:id="52" w:name="_Ref150950427"/>
      <w:bookmarkStart w:id="53" w:name="_Toc209006410"/>
      <w:bookmarkStart w:id="54" w:name="_Toc209006595"/>
      <w:bookmarkStart w:id="55" w:name="_Toc149905530"/>
      <w:r w:rsidRPr="0031220C">
        <w:lastRenderedPageBreak/>
        <w:t>Activities</w:t>
      </w:r>
      <w:r>
        <w:t xml:space="preserve"> </w:t>
      </w:r>
      <w:r w:rsidRPr="0024114E">
        <w:t>of</w:t>
      </w:r>
      <w:r>
        <w:t xml:space="preserve"> the Board in 202</w:t>
      </w:r>
      <w:r w:rsidR="00957881">
        <w:t>3</w:t>
      </w:r>
      <w:r w:rsidR="0024114E">
        <w:t>–</w:t>
      </w:r>
      <w:r>
        <w:t>2</w:t>
      </w:r>
      <w:bookmarkEnd w:id="52"/>
      <w:r w:rsidR="00957881">
        <w:t>4</w:t>
      </w:r>
      <w:bookmarkEnd w:id="53"/>
      <w:bookmarkEnd w:id="54"/>
    </w:p>
    <w:p w14:paraId="50FA79CD" w14:textId="77777777" w:rsidR="00FB6EA2" w:rsidRPr="0024114E" w:rsidRDefault="00FB6EA2" w:rsidP="0031220C">
      <w:pPr>
        <w:pStyle w:val="Heading2"/>
        <w:spacing w:before="120"/>
      </w:pPr>
      <w:bookmarkStart w:id="56" w:name="_Ref150943725"/>
      <w:bookmarkStart w:id="57" w:name="_Ref160099060"/>
      <w:bookmarkStart w:id="58" w:name="_Toc209006596"/>
      <w:bookmarkStart w:id="59" w:name="_Toc149905531"/>
      <w:bookmarkStart w:id="60" w:name="_Ref150856772"/>
      <w:bookmarkStart w:id="61" w:name="_Toc159253852"/>
      <w:bookmarkEnd w:id="55"/>
      <w:r w:rsidRPr="0031220C">
        <w:t>Completed</w:t>
      </w:r>
      <w:r>
        <w:t xml:space="preserve"> reviews/projects</w:t>
      </w:r>
      <w:bookmarkEnd w:id="56"/>
      <w:bookmarkEnd w:id="57"/>
      <w:bookmarkEnd w:id="58"/>
    </w:p>
    <w:p w14:paraId="26CBFB7B" w14:textId="37BBA6E2" w:rsidR="002F3E00" w:rsidRDefault="002F3E00" w:rsidP="0024114E">
      <w:pPr>
        <w:pStyle w:val="Heading3"/>
      </w:pPr>
      <w:bookmarkStart w:id="62" w:name="_Ref160098996"/>
      <w:bookmarkEnd w:id="59"/>
      <w:bookmarkEnd w:id="60"/>
      <w:bookmarkEnd w:id="61"/>
      <w:r>
        <w:t xml:space="preserve">Review of the </w:t>
      </w:r>
      <w:r w:rsidR="006609F1">
        <w:t>T</w:t>
      </w:r>
      <w:r>
        <w:t xml:space="preserve">ax </w:t>
      </w:r>
      <w:r w:rsidR="006609F1">
        <w:t>T</w:t>
      </w:r>
      <w:r>
        <w:t xml:space="preserve">reatment of </w:t>
      </w:r>
      <w:r w:rsidR="006609F1">
        <w:t>D</w:t>
      </w:r>
      <w:r>
        <w:t xml:space="preserve">igital </w:t>
      </w:r>
      <w:r w:rsidR="00DB00C6">
        <w:t>A</w:t>
      </w:r>
      <w:r>
        <w:t xml:space="preserve">ssets and </w:t>
      </w:r>
      <w:r w:rsidR="00DB00C6">
        <w:t>T</w:t>
      </w:r>
      <w:r>
        <w:t>ransactions in</w:t>
      </w:r>
      <w:r w:rsidR="0024114E">
        <w:t> </w:t>
      </w:r>
      <w:r>
        <w:t>Australia</w:t>
      </w:r>
      <w:bookmarkEnd w:id="62"/>
    </w:p>
    <w:p w14:paraId="7A7B6A2F" w14:textId="7025C7EA" w:rsidR="002F3E00" w:rsidRPr="005014BA" w:rsidRDefault="002F3E00" w:rsidP="002F3E00">
      <w:pPr>
        <w:spacing w:after="200"/>
      </w:pPr>
      <w:r w:rsidRPr="005014BA">
        <w:t xml:space="preserve">On 21 March 2022, the former </w:t>
      </w:r>
      <w:r w:rsidR="0010706A">
        <w:t>g</w:t>
      </w:r>
      <w:r w:rsidRPr="005014BA">
        <w:t xml:space="preserve">overnment released the Terms of Reference for a review of the </w:t>
      </w:r>
      <w:r w:rsidR="00BB7CFB">
        <w:t>t</w:t>
      </w:r>
      <w:r w:rsidRPr="005014BA">
        <w:t>axation</w:t>
      </w:r>
      <w:r>
        <w:t xml:space="preserve"> treatment</w:t>
      </w:r>
      <w:r w:rsidRPr="005014BA">
        <w:t xml:space="preserve"> of </w:t>
      </w:r>
      <w:r>
        <w:t>d</w:t>
      </w:r>
      <w:r w:rsidRPr="005014BA">
        <w:t xml:space="preserve">igital </w:t>
      </w:r>
      <w:r>
        <w:t>a</w:t>
      </w:r>
      <w:r w:rsidRPr="005014BA">
        <w:t xml:space="preserve">ssets (crypto assets) and </w:t>
      </w:r>
      <w:r>
        <w:t>t</w:t>
      </w:r>
      <w:r w:rsidRPr="005014BA">
        <w:t xml:space="preserve">ransactions in Australia which were confirmed by the </w:t>
      </w:r>
      <w:r w:rsidR="002C5149">
        <w:t xml:space="preserve">current </w:t>
      </w:r>
      <w:r w:rsidRPr="005014BA">
        <w:t>Government in August 2022</w:t>
      </w:r>
      <w:r>
        <w:t>.</w:t>
      </w:r>
    </w:p>
    <w:p w14:paraId="6BA583DF" w14:textId="0D2D9A9D" w:rsidR="002F3E00" w:rsidRPr="00316C6A" w:rsidRDefault="002F3E00" w:rsidP="002F3E00">
      <w:pPr>
        <w:spacing w:after="200"/>
      </w:pPr>
      <w:r w:rsidRPr="00316C6A">
        <w:t>The purpose of th</w:t>
      </w:r>
      <w:r>
        <w:t>e</w:t>
      </w:r>
      <w:r w:rsidRPr="00316C6A">
        <w:t xml:space="preserve"> review</w:t>
      </w:r>
      <w:r w:rsidR="00657F8A">
        <w:t xml:space="preserve"> was </w:t>
      </w:r>
      <w:r w:rsidRPr="00316C6A">
        <w:t xml:space="preserve">to consider the appropriate framework for the taxation of digital assets and transactions. The review </w:t>
      </w:r>
      <w:r w:rsidRPr="003C693A">
        <w:t>analyse</w:t>
      </w:r>
      <w:r w:rsidR="00BB3812" w:rsidRPr="003C693A">
        <w:t>d</w:t>
      </w:r>
      <w:r w:rsidRPr="00316C6A">
        <w:t xml:space="preserve"> the characteristics of digital assets and transactions in the market, </w:t>
      </w:r>
      <w:r w:rsidR="00374C16">
        <w:t xml:space="preserve">their </w:t>
      </w:r>
      <w:r w:rsidRPr="00316C6A">
        <w:t>Australia</w:t>
      </w:r>
      <w:r w:rsidR="00360869">
        <w:t>’</w:t>
      </w:r>
      <w:r w:rsidRPr="00316C6A">
        <w:t xml:space="preserve">s tax treatment, investor awareness of that treatment, the international experience in the taxation of these assets and whether any changes to Australian taxation laws and/or their administration </w:t>
      </w:r>
      <w:r w:rsidR="002D6A2C">
        <w:t>w</w:t>
      </w:r>
      <w:r w:rsidRPr="00316C6A">
        <w:t>e</w:t>
      </w:r>
      <w:r w:rsidR="002D6A2C">
        <w:t>re</w:t>
      </w:r>
      <w:r w:rsidRPr="00316C6A">
        <w:t xml:space="preserve"> required. </w:t>
      </w:r>
    </w:p>
    <w:p w14:paraId="7EF7B66A" w14:textId="7F364731" w:rsidR="003110F1" w:rsidRPr="00326C00" w:rsidRDefault="003110F1" w:rsidP="003110F1">
      <w:r w:rsidRPr="00326C00">
        <w:t xml:space="preserve">The </w:t>
      </w:r>
      <w:r>
        <w:t xml:space="preserve">Board appointed a </w:t>
      </w:r>
      <w:r w:rsidRPr="00326C00">
        <w:t>working group</w:t>
      </w:r>
      <w:r>
        <w:t xml:space="preserve"> to conduct the review, which </w:t>
      </w:r>
      <w:r w:rsidRPr="00326C00">
        <w:t>included at various times Board members Mr Anthony Klein, Ms Tanya Titman, Ms Andrea Laing, Dr</w:t>
      </w:r>
      <w:r w:rsidR="00155C36">
        <w:t> </w:t>
      </w:r>
      <w:r w:rsidRPr="00326C00">
        <w:t>Julianne Jaques KC</w:t>
      </w:r>
      <w:r w:rsidR="009A2C7D">
        <w:t xml:space="preserve">, </w:t>
      </w:r>
      <w:r w:rsidRPr="00326C00">
        <w:t xml:space="preserve">Mr Ian Kellock </w:t>
      </w:r>
      <w:r w:rsidR="009A2C7D">
        <w:t xml:space="preserve">and </w:t>
      </w:r>
      <w:r w:rsidRPr="00326C00">
        <w:t>Mrs Rosheen </w:t>
      </w:r>
      <w:proofErr w:type="spellStart"/>
      <w:r w:rsidRPr="00326C00">
        <w:t>Garnon</w:t>
      </w:r>
      <w:proofErr w:type="spellEnd"/>
      <w:r w:rsidRPr="00326C00">
        <w:t>.</w:t>
      </w:r>
    </w:p>
    <w:p w14:paraId="001DEA9C" w14:textId="45450F86" w:rsidR="003110F1" w:rsidRPr="00326C00" w:rsidRDefault="003110F1" w:rsidP="003110F1">
      <w:r>
        <w:t>T</w:t>
      </w:r>
      <w:r w:rsidRPr="00326C00">
        <w:t xml:space="preserve">he working group was </w:t>
      </w:r>
      <w:r>
        <w:t xml:space="preserve">also </w:t>
      </w:r>
      <w:r w:rsidRPr="00326C00">
        <w:t xml:space="preserve">comprised of specialists in taxation and </w:t>
      </w:r>
      <w:r w:rsidR="005B0F34">
        <w:t xml:space="preserve">crypto </w:t>
      </w:r>
      <w:r w:rsidRPr="00326C00">
        <w:t>assets across academia, the tax</w:t>
      </w:r>
      <w:r w:rsidR="0018603B">
        <w:t> </w:t>
      </w:r>
      <w:r w:rsidRPr="00326C00">
        <w:t>profession</w:t>
      </w:r>
      <w:r w:rsidR="00B97694">
        <w:t xml:space="preserve">, the </w:t>
      </w:r>
      <w:r w:rsidRPr="00326C00">
        <w:t>digital asset</w:t>
      </w:r>
      <w:r w:rsidR="00B97694">
        <w:t>s</w:t>
      </w:r>
      <w:r w:rsidRPr="00326C00">
        <w:t xml:space="preserve"> industry, and officials from </w:t>
      </w:r>
      <w:r w:rsidR="00B97694">
        <w:t>t</w:t>
      </w:r>
      <w:r w:rsidRPr="00326C00">
        <w:t>he Treasury and the A</w:t>
      </w:r>
      <w:r w:rsidR="00514E5C">
        <w:t>TO</w:t>
      </w:r>
      <w:r w:rsidRPr="00326C00">
        <w:t>.</w:t>
      </w:r>
    </w:p>
    <w:p w14:paraId="2C67FB20" w14:textId="1BB77CD9" w:rsidR="003110F1" w:rsidRDefault="002F3E00" w:rsidP="00194B0B">
      <w:r w:rsidRPr="004F37A8">
        <w:t xml:space="preserve">The </w:t>
      </w:r>
      <w:r w:rsidR="004129DB">
        <w:t xml:space="preserve">review spanned 26 </w:t>
      </w:r>
      <w:r w:rsidR="00C10585">
        <w:t>months and</w:t>
      </w:r>
      <w:r w:rsidR="004129DB">
        <w:t xml:space="preserve"> saw the Board </w:t>
      </w:r>
      <w:r w:rsidRPr="004F37A8">
        <w:t>receiv</w:t>
      </w:r>
      <w:r w:rsidR="004129DB">
        <w:t>ing</w:t>
      </w:r>
      <w:r w:rsidRPr="004F37A8">
        <w:t xml:space="preserve"> extensive </w:t>
      </w:r>
      <w:r w:rsidR="00BC02A6">
        <w:t>input</w:t>
      </w:r>
      <w:r w:rsidR="00BC02A6" w:rsidRPr="004F37A8">
        <w:t xml:space="preserve"> </w:t>
      </w:r>
      <w:r w:rsidRPr="004F37A8">
        <w:t xml:space="preserve">from stakeholders across the </w:t>
      </w:r>
      <w:r>
        <w:t xml:space="preserve">tax and </w:t>
      </w:r>
      <w:r w:rsidRPr="004F37A8">
        <w:t>crypto asset community,</w:t>
      </w:r>
      <w:r w:rsidR="008525C1">
        <w:t xml:space="preserve"> through</w:t>
      </w:r>
      <w:r w:rsidR="008525C1" w:rsidDel="003B483C">
        <w:t xml:space="preserve"> </w:t>
      </w:r>
      <w:r w:rsidR="008525C1">
        <w:t xml:space="preserve">nine </w:t>
      </w:r>
      <w:r w:rsidR="00AC1097">
        <w:t xml:space="preserve">public consultation sessions </w:t>
      </w:r>
      <w:r w:rsidR="00D1511F">
        <w:t>and via the</w:t>
      </w:r>
      <w:r w:rsidRPr="004F37A8">
        <w:t xml:space="preserve"> 41</w:t>
      </w:r>
      <w:r w:rsidR="0024114E">
        <w:t> </w:t>
      </w:r>
      <w:r w:rsidRPr="004F37A8">
        <w:t xml:space="preserve">written </w:t>
      </w:r>
      <w:r w:rsidR="005460BD">
        <w:br/>
      </w:r>
      <w:r w:rsidR="00D1511F">
        <w:t>non</w:t>
      </w:r>
      <w:r w:rsidR="00360869">
        <w:noBreakHyphen/>
      </w:r>
      <w:r w:rsidR="00D1511F">
        <w:t xml:space="preserve">confidential </w:t>
      </w:r>
      <w:r w:rsidRPr="004F37A8">
        <w:t>submissions</w:t>
      </w:r>
      <w:r w:rsidR="00D1511F">
        <w:t xml:space="preserve"> received</w:t>
      </w:r>
      <w:r w:rsidR="00D21FCE">
        <w:t xml:space="preserve">. </w:t>
      </w:r>
    </w:p>
    <w:p w14:paraId="65F78FFA" w14:textId="2CA29231" w:rsidR="003C6915" w:rsidRDefault="003110F1" w:rsidP="00DC0EFE">
      <w:r>
        <w:t>C</w:t>
      </w:r>
      <w:r w:rsidR="00A608EC">
        <w:t xml:space="preserve">onsultation sessions were </w:t>
      </w:r>
      <w:r>
        <w:t xml:space="preserve">well </w:t>
      </w:r>
      <w:r w:rsidR="00A608EC">
        <w:t>attended by both Australian and international parties</w:t>
      </w:r>
      <w:r w:rsidR="00243396">
        <w:t xml:space="preserve">, </w:t>
      </w:r>
      <w:r>
        <w:t>with over 60</w:t>
      </w:r>
      <w:r w:rsidR="001325DF">
        <w:t> </w:t>
      </w:r>
      <w:r>
        <w:t>attendees representing 41</w:t>
      </w:r>
      <w:r w:rsidR="0031220C">
        <w:t> </w:t>
      </w:r>
      <w:r>
        <w:t>organisation</w:t>
      </w:r>
      <w:r w:rsidDel="000F5C28">
        <w:t>s</w:t>
      </w:r>
      <w:r w:rsidR="000F5C28">
        <w:t xml:space="preserve">, and </w:t>
      </w:r>
      <w:r w:rsidR="00243396">
        <w:t xml:space="preserve">with representation from </w:t>
      </w:r>
      <w:r w:rsidR="003C6915">
        <w:t>the following</w:t>
      </w:r>
      <w:r w:rsidR="00DE1918">
        <w:t xml:space="preserve"> groups:</w:t>
      </w:r>
    </w:p>
    <w:p w14:paraId="3B359F71" w14:textId="67696594" w:rsidR="00DC0EFE" w:rsidRPr="005755B9" w:rsidRDefault="00243396" w:rsidP="005755B9">
      <w:pPr>
        <w:pStyle w:val="Bullet"/>
        <w:spacing w:after="0"/>
      </w:pPr>
      <w:r w:rsidRPr="005755B9">
        <w:t xml:space="preserve">academics, </w:t>
      </w:r>
    </w:p>
    <w:p w14:paraId="6335B394" w14:textId="77777777" w:rsidR="00DC0EFE" w:rsidRPr="005755B9" w:rsidRDefault="00243396" w:rsidP="005755B9">
      <w:pPr>
        <w:pStyle w:val="Bullet"/>
        <w:spacing w:after="0"/>
      </w:pPr>
      <w:r w:rsidRPr="005755B9">
        <w:t xml:space="preserve">professional advisers, </w:t>
      </w:r>
    </w:p>
    <w:p w14:paraId="10EE8D0D" w14:textId="77777777" w:rsidR="00FB11FA" w:rsidRPr="005755B9" w:rsidRDefault="00243396" w:rsidP="005755B9">
      <w:pPr>
        <w:pStyle w:val="Bullet"/>
        <w:spacing w:after="0"/>
      </w:pPr>
      <w:r w:rsidRPr="005755B9">
        <w:t>crypto asset and blockchain analyst organisations,</w:t>
      </w:r>
    </w:p>
    <w:p w14:paraId="521B6270" w14:textId="77777777" w:rsidR="00FB11FA" w:rsidRPr="005755B9" w:rsidRDefault="00243396" w:rsidP="005755B9">
      <w:pPr>
        <w:pStyle w:val="Bullet"/>
        <w:spacing w:after="0"/>
      </w:pPr>
      <w:r w:rsidRPr="005755B9">
        <w:t xml:space="preserve"> crypto asset exchanges and platforms, </w:t>
      </w:r>
    </w:p>
    <w:p w14:paraId="04F637B7" w14:textId="6E0AE106" w:rsidR="00FB11FA" w:rsidRPr="005755B9" w:rsidRDefault="00243396" w:rsidP="005755B9">
      <w:pPr>
        <w:pStyle w:val="Bullet"/>
        <w:spacing w:after="0"/>
      </w:pPr>
      <w:r w:rsidRPr="005755B9">
        <w:t xml:space="preserve">industry bodies </w:t>
      </w:r>
      <w:r w:rsidR="00194B0B" w:rsidRPr="005755B9">
        <w:t>representing advisers, blockchain</w:t>
      </w:r>
      <w:r w:rsidR="00FB11FA" w:rsidRPr="005755B9">
        <w:t xml:space="preserve"> analysts</w:t>
      </w:r>
      <w:r w:rsidR="00194B0B" w:rsidRPr="005755B9">
        <w:t>, financial services and the self</w:t>
      </w:r>
      <w:r w:rsidR="00360869">
        <w:noBreakHyphen/>
      </w:r>
      <w:r w:rsidR="00194B0B" w:rsidRPr="005755B9">
        <w:t xml:space="preserve">managed superannuation fund industries, </w:t>
      </w:r>
    </w:p>
    <w:p w14:paraId="6597890C" w14:textId="77777777" w:rsidR="00FB11FA" w:rsidRPr="005755B9" w:rsidRDefault="00194B0B" w:rsidP="005755B9">
      <w:pPr>
        <w:pStyle w:val="Bullet"/>
        <w:spacing w:after="0"/>
      </w:pPr>
      <w:r w:rsidRPr="005755B9">
        <w:t xml:space="preserve">crypto tax software providers and </w:t>
      </w:r>
    </w:p>
    <w:p w14:paraId="56D5B1CC" w14:textId="3228E2F4" w:rsidR="00F80057" w:rsidRPr="005755B9" w:rsidRDefault="00194B0B" w:rsidP="005755B9">
      <w:pPr>
        <w:pStyle w:val="Bullet"/>
        <w:spacing w:after="0"/>
      </w:pPr>
      <w:r w:rsidRPr="005755B9">
        <w:t>a crypto business operator.</w:t>
      </w:r>
    </w:p>
    <w:p w14:paraId="658A395B" w14:textId="1D649780" w:rsidR="002F3E00" w:rsidRPr="004F37A8" w:rsidRDefault="002F3E00" w:rsidP="0024114E">
      <w:r w:rsidRPr="004F37A8">
        <w:lastRenderedPageBreak/>
        <w:t>Additionally, the Board undertook consultation</w:t>
      </w:r>
      <w:r w:rsidR="00BA4AC3">
        <w:t>s</w:t>
      </w:r>
      <w:r w:rsidRPr="004F37A8">
        <w:t xml:space="preserve"> with </w:t>
      </w:r>
      <w:r w:rsidR="00D52BF7">
        <w:t xml:space="preserve">five </w:t>
      </w:r>
      <w:r w:rsidRPr="004F37A8">
        <w:t>international revenue authorities in</w:t>
      </w:r>
      <w:r w:rsidR="00D52BF7">
        <w:t>cluding</w:t>
      </w:r>
      <w:r w:rsidRPr="004F37A8">
        <w:t xml:space="preserve"> </w:t>
      </w:r>
      <w:r w:rsidR="00EA2D5D" w:rsidRPr="004F37A8">
        <w:t>Canada</w:t>
      </w:r>
      <w:r w:rsidR="00EA2D5D">
        <w:t>,</w:t>
      </w:r>
      <w:r w:rsidR="00EA2D5D" w:rsidRPr="004F37A8">
        <w:t xml:space="preserve"> </w:t>
      </w:r>
      <w:r w:rsidRPr="004F37A8">
        <w:t xml:space="preserve">New Zealand, </w:t>
      </w:r>
      <w:r w:rsidR="00EA2D5D" w:rsidRPr="004F37A8">
        <w:t>Singapore</w:t>
      </w:r>
      <w:r w:rsidR="00EA2D5D">
        <w:t>,</w:t>
      </w:r>
      <w:r w:rsidR="00EA2D5D" w:rsidRPr="004F37A8">
        <w:t xml:space="preserve"> </w:t>
      </w:r>
      <w:r w:rsidRPr="004F37A8">
        <w:t>United Kingdom</w:t>
      </w:r>
      <w:r w:rsidR="00EA2D5D">
        <w:t xml:space="preserve"> and</w:t>
      </w:r>
      <w:r w:rsidRPr="004F37A8">
        <w:t xml:space="preserve"> United States in relation to the tax administration of crypto assets and transactions. </w:t>
      </w:r>
    </w:p>
    <w:p w14:paraId="7FD2499E" w14:textId="27E3F1E2" w:rsidR="002F3E00" w:rsidRDefault="002F3E00" w:rsidP="0024114E">
      <w:pPr>
        <w:rPr>
          <w:spacing w:val="-2"/>
        </w:rPr>
      </w:pPr>
      <w:r w:rsidRPr="0024114E">
        <w:rPr>
          <w:spacing w:val="-2"/>
        </w:rPr>
        <w:t>The</w:t>
      </w:r>
      <w:r w:rsidR="00F37ACE">
        <w:rPr>
          <w:spacing w:val="-2"/>
        </w:rPr>
        <w:t xml:space="preserve"> Board delivered its</w:t>
      </w:r>
      <w:r w:rsidR="00C32D43">
        <w:rPr>
          <w:spacing w:val="-2"/>
        </w:rPr>
        <w:t xml:space="preserve"> </w:t>
      </w:r>
      <w:proofErr w:type="gramStart"/>
      <w:r w:rsidR="00C32D43">
        <w:rPr>
          <w:spacing w:val="-2"/>
        </w:rPr>
        <w:t>289</w:t>
      </w:r>
      <w:r w:rsidR="005B5E0D">
        <w:rPr>
          <w:spacing w:val="-2"/>
        </w:rPr>
        <w:t xml:space="preserve"> </w:t>
      </w:r>
      <w:r w:rsidR="00C32D43">
        <w:rPr>
          <w:spacing w:val="-2"/>
        </w:rPr>
        <w:t>page</w:t>
      </w:r>
      <w:proofErr w:type="gramEnd"/>
      <w:r w:rsidR="00BB2C96">
        <w:rPr>
          <w:spacing w:val="-2"/>
        </w:rPr>
        <w:t xml:space="preserve"> </w:t>
      </w:r>
      <w:r w:rsidR="00510628">
        <w:rPr>
          <w:spacing w:val="-2"/>
        </w:rPr>
        <w:t>final</w:t>
      </w:r>
      <w:r w:rsidRPr="0024114E">
        <w:rPr>
          <w:spacing w:val="-2"/>
        </w:rPr>
        <w:t xml:space="preserve"> report to Government </w:t>
      </w:r>
      <w:r w:rsidR="00F37ACE">
        <w:rPr>
          <w:spacing w:val="-2"/>
        </w:rPr>
        <w:t>o</w:t>
      </w:r>
      <w:r w:rsidR="00326C00">
        <w:rPr>
          <w:spacing w:val="-2"/>
        </w:rPr>
        <w:t>n</w:t>
      </w:r>
      <w:r w:rsidR="005B5E0D">
        <w:rPr>
          <w:spacing w:val="-2"/>
        </w:rPr>
        <w:t xml:space="preserve"> </w:t>
      </w:r>
      <w:r w:rsidR="00F37ACE">
        <w:rPr>
          <w:spacing w:val="-2"/>
        </w:rPr>
        <w:t>23</w:t>
      </w:r>
      <w:r w:rsidR="00BB507F">
        <w:rPr>
          <w:spacing w:val="-2"/>
        </w:rPr>
        <w:t> </w:t>
      </w:r>
      <w:r w:rsidR="00BB2C96">
        <w:rPr>
          <w:spacing w:val="-2"/>
        </w:rPr>
        <w:t>February</w:t>
      </w:r>
      <w:r w:rsidR="00BB507F">
        <w:rPr>
          <w:spacing w:val="-2"/>
        </w:rPr>
        <w:t> </w:t>
      </w:r>
      <w:r w:rsidR="00BB2C96">
        <w:rPr>
          <w:spacing w:val="-2"/>
        </w:rPr>
        <w:t>2024</w:t>
      </w:r>
      <w:r w:rsidR="001D5A50">
        <w:rPr>
          <w:spacing w:val="-2"/>
        </w:rPr>
        <w:t>.</w:t>
      </w:r>
    </w:p>
    <w:p w14:paraId="3EA3A6FE" w14:textId="67A6F36F" w:rsidR="00A27215" w:rsidRDefault="00A27215" w:rsidP="0024114E">
      <w:r>
        <w:rPr>
          <w:spacing w:val="-2"/>
        </w:rPr>
        <w:t xml:space="preserve">The Board </w:t>
      </w:r>
      <w:r w:rsidRPr="005014BA">
        <w:t xml:space="preserve">would like to </w:t>
      </w:r>
      <w:r w:rsidR="00E44AA7">
        <w:t xml:space="preserve">express its gratitude </w:t>
      </w:r>
      <w:r w:rsidR="00A81C55">
        <w:t>for</w:t>
      </w:r>
      <w:r w:rsidR="00E44AA7">
        <w:t xml:space="preserve"> the level of engagement received from the tax and crypto asset community</w:t>
      </w:r>
      <w:r w:rsidR="00936935">
        <w:t>. We appreciate those who were</w:t>
      </w:r>
      <w:r w:rsidRPr="005014BA">
        <w:t xml:space="preserve"> involved in the review and consultation process</w:t>
      </w:r>
      <w:r w:rsidR="00BF049A">
        <w:t xml:space="preserve"> </w:t>
      </w:r>
      <w:r w:rsidRPr="005014BA">
        <w:t>and</w:t>
      </w:r>
      <w:r w:rsidR="00BF049A">
        <w:t>/or</w:t>
      </w:r>
      <w:r w:rsidR="00936935">
        <w:t xml:space="preserve"> </w:t>
      </w:r>
      <w:r w:rsidRPr="005014BA">
        <w:t>made a written submission</w:t>
      </w:r>
      <w:r w:rsidR="00936935">
        <w:t xml:space="preserve"> to the review. </w:t>
      </w:r>
    </w:p>
    <w:p w14:paraId="1CFFB8BE" w14:textId="6C8C76DB" w:rsidR="002F3E00" w:rsidRDefault="002F3E00" w:rsidP="0024114E">
      <w:pPr>
        <w:pStyle w:val="Heading2"/>
      </w:pPr>
      <w:bookmarkStart w:id="63" w:name="_Toc149905533"/>
      <w:bookmarkStart w:id="64" w:name="_Toc159253854"/>
      <w:bookmarkStart w:id="65" w:name="_Toc209006597"/>
      <w:r>
        <w:t xml:space="preserve">Other </w:t>
      </w:r>
      <w:r w:rsidRPr="0024114E">
        <w:t>ongoing</w:t>
      </w:r>
      <w:r>
        <w:t xml:space="preserve"> work</w:t>
      </w:r>
      <w:bookmarkEnd w:id="63"/>
      <w:bookmarkEnd w:id="64"/>
      <w:bookmarkEnd w:id="65"/>
    </w:p>
    <w:p w14:paraId="50FE2B96" w14:textId="42BE5FBE" w:rsidR="00C8560D" w:rsidRDefault="00C8560D" w:rsidP="00C8560D">
      <w:pPr>
        <w:pStyle w:val="Heading3"/>
      </w:pPr>
      <w:bookmarkStart w:id="66" w:name="_Ref150943605"/>
      <w:r>
        <w:t>Development of the Board</w:t>
      </w:r>
      <w:r w:rsidR="00360869">
        <w:t>’</w:t>
      </w:r>
      <w:r>
        <w:t>s Future work program</w:t>
      </w:r>
    </w:p>
    <w:p w14:paraId="23D83BDA" w14:textId="77777777" w:rsidR="009D3347" w:rsidRDefault="00C8560D" w:rsidP="00C8560D">
      <w:r>
        <w:t xml:space="preserve">Following the delivery of the final report of the </w:t>
      </w:r>
      <w:r w:rsidR="003016AD">
        <w:t xml:space="preserve">Review of the tax treatment of digital assets and transactions in Australia in </w:t>
      </w:r>
      <w:r w:rsidR="00853FF1">
        <w:t xml:space="preserve">early 2024, the </w:t>
      </w:r>
      <w:r>
        <w:t>Board focused on developing its future work program</w:t>
      </w:r>
      <w:r w:rsidR="009D3347">
        <w:t xml:space="preserve"> in line with the priorities of the government. </w:t>
      </w:r>
    </w:p>
    <w:p w14:paraId="691F7F24" w14:textId="70880A7D" w:rsidR="00C8560D" w:rsidRPr="00C8560D" w:rsidRDefault="00994147" w:rsidP="00C8560D">
      <w:r>
        <w:t>The Board</w:t>
      </w:r>
      <w:r w:rsidR="00360869">
        <w:t>’</w:t>
      </w:r>
      <w:r>
        <w:t xml:space="preserve">s updated stakeholder engagement strategy allowed for the Board to hear directly from stakeholders on </w:t>
      </w:r>
      <w:r w:rsidR="009F3701">
        <w:t xml:space="preserve">current </w:t>
      </w:r>
      <w:r>
        <w:t>issues that are impacting their industr</w:t>
      </w:r>
      <w:r w:rsidR="00F328E1">
        <w:t>ies</w:t>
      </w:r>
      <w:r>
        <w:t xml:space="preserve"> </w:t>
      </w:r>
      <w:r w:rsidR="009F3701">
        <w:t xml:space="preserve">and emerging trends. </w:t>
      </w:r>
      <w:r w:rsidR="00142A3D" w:rsidRPr="00142A3D">
        <w:t>These sessions have been a great way to connect with different parts of the business and wider community</w:t>
      </w:r>
      <w:r w:rsidR="00142A3D">
        <w:t xml:space="preserve">. </w:t>
      </w:r>
      <w:r w:rsidR="00142A3D" w:rsidRPr="00142A3D">
        <w:t xml:space="preserve">What we hear from </w:t>
      </w:r>
      <w:r w:rsidR="00142A3D">
        <w:t>stakeholders</w:t>
      </w:r>
      <w:r w:rsidR="00142A3D" w:rsidRPr="00142A3D">
        <w:t xml:space="preserve"> informs our future work program and allows us to provide timely feedback to Government as part of our role as a trusted </w:t>
      </w:r>
      <w:r w:rsidR="00142A3D" w:rsidRPr="00B80FB1">
        <w:t>advisor.</w:t>
      </w:r>
    </w:p>
    <w:p w14:paraId="2C1B9AF0" w14:textId="3DAE838F" w:rsidR="00FD2212" w:rsidRDefault="006E11D1" w:rsidP="00C8560D">
      <w:pPr>
        <w:pStyle w:val="Heading3"/>
      </w:pPr>
      <w:r>
        <w:t>Trusted advis</w:t>
      </w:r>
      <w:r w:rsidR="00B80FB1">
        <w:t>o</w:t>
      </w:r>
      <w:r>
        <w:t xml:space="preserve">r to Treasury </w:t>
      </w:r>
      <w:r w:rsidRPr="0024114E">
        <w:t>and</w:t>
      </w:r>
      <w:r>
        <w:t xml:space="preserve"> the ATO</w:t>
      </w:r>
      <w:bookmarkEnd w:id="66"/>
    </w:p>
    <w:p w14:paraId="6D738394" w14:textId="3A1E8E60" w:rsidR="00BA232D" w:rsidRDefault="0045200E" w:rsidP="0024114E">
      <w:r>
        <w:t xml:space="preserve">The Board has continued to embrace its role as a trusted </w:t>
      </w:r>
      <w:r w:rsidRPr="00B80FB1">
        <w:t>advis</w:t>
      </w:r>
      <w:r w:rsidR="00A9616A" w:rsidRPr="00B80FB1">
        <w:t>o</w:t>
      </w:r>
      <w:r w:rsidR="00A9616A">
        <w:t>r</w:t>
      </w:r>
      <w:r>
        <w:t xml:space="preserve"> to Government, the Treasury, and the </w:t>
      </w:r>
      <w:r w:rsidR="00152A60">
        <w:t>ATO</w:t>
      </w:r>
      <w:r w:rsidR="005348C7">
        <w:t> </w:t>
      </w:r>
      <w:r>
        <w:t>by providing regular ad hoc advice throughout the year</w:t>
      </w:r>
      <w:r w:rsidR="00DE1E7A">
        <w:t xml:space="preserve">. </w:t>
      </w:r>
    </w:p>
    <w:p w14:paraId="2E2557C6" w14:textId="03802EA0" w:rsidR="005E2B9A" w:rsidRDefault="0045200E" w:rsidP="00E76A6F">
      <w:r>
        <w:t>During the 202</w:t>
      </w:r>
      <w:r w:rsidR="00B96B8B">
        <w:t>3</w:t>
      </w:r>
      <w:r w:rsidR="0024114E">
        <w:t>–</w:t>
      </w:r>
      <w:r>
        <w:t>2</w:t>
      </w:r>
      <w:r w:rsidR="00B96B8B">
        <w:t>4</w:t>
      </w:r>
      <w:r>
        <w:t xml:space="preserve"> year the Board was pleased to support Treasury</w:t>
      </w:r>
      <w:r w:rsidR="00BF004D">
        <w:t xml:space="preserve"> and the ATO</w:t>
      </w:r>
      <w:r>
        <w:t xml:space="preserve"> </w:t>
      </w:r>
      <w:r w:rsidR="005D3937">
        <w:t>by providing consultation and feedback in relation to</w:t>
      </w:r>
      <w:r w:rsidR="00BA6215">
        <w:t xml:space="preserve"> </w:t>
      </w:r>
      <w:proofErr w:type="gramStart"/>
      <w:r w:rsidR="00BF004D">
        <w:t>a number of</w:t>
      </w:r>
      <w:proofErr w:type="gramEnd"/>
      <w:r w:rsidR="00BF004D">
        <w:t xml:space="preserve"> </w:t>
      </w:r>
      <w:r w:rsidR="00E76A6F">
        <w:t>tax and administrati</w:t>
      </w:r>
      <w:r w:rsidR="009877CA">
        <w:t>ve</w:t>
      </w:r>
      <w:r w:rsidR="00E76A6F">
        <w:t xml:space="preserve"> measures and guidance products. </w:t>
      </w:r>
    </w:p>
    <w:p w14:paraId="1744F730" w14:textId="77777777" w:rsidR="00FD7EDF" w:rsidRPr="005D4866" w:rsidRDefault="00FD7EDF" w:rsidP="005D4866">
      <w:r>
        <w:br w:type="page"/>
      </w:r>
    </w:p>
    <w:p w14:paraId="1D81E696" w14:textId="2379EB4F" w:rsidR="002F3E00" w:rsidRDefault="00495EE7" w:rsidP="0024114E">
      <w:pPr>
        <w:pStyle w:val="Heading3"/>
      </w:pPr>
      <w:r>
        <w:lastRenderedPageBreak/>
        <w:t xml:space="preserve">Voluntary </w:t>
      </w:r>
      <w:r w:rsidR="002F3E00">
        <w:t xml:space="preserve">Tax </w:t>
      </w:r>
      <w:r w:rsidR="002F3E00" w:rsidRPr="0024114E">
        <w:t>Transparency</w:t>
      </w:r>
      <w:r w:rsidR="002F3E00">
        <w:t xml:space="preserve"> Code and Register</w:t>
      </w:r>
    </w:p>
    <w:p w14:paraId="27D0B5CF" w14:textId="3D23A3AC" w:rsidR="00607338" w:rsidRDefault="00073385" w:rsidP="0024114E">
      <w:pPr>
        <w:rPr>
          <w:rFonts w:cs="Calibri"/>
        </w:rPr>
      </w:pPr>
      <w:r>
        <w:t>Increasing transparency about the tax affairs of businesses operating in Australia provides benefits to both businesses and the wider community.</w:t>
      </w:r>
      <w:r w:rsidR="005B0BB2">
        <w:t xml:space="preserve"> </w:t>
      </w:r>
    </w:p>
    <w:p w14:paraId="21FC4C70" w14:textId="7AE4A68D" w:rsidR="006F3D35" w:rsidRDefault="00635935" w:rsidP="006E31F0">
      <w:pPr>
        <w:pStyle w:val="Bullet"/>
      </w:pPr>
      <w:r>
        <w:t>Through transparent taxation reporting, a</w:t>
      </w:r>
      <w:r w:rsidR="00607338">
        <w:t xml:space="preserve"> business </w:t>
      </w:r>
      <w:r w:rsidR="00AE63A7">
        <w:t>can</w:t>
      </w:r>
      <w:r w:rsidR="00607338">
        <w:t xml:space="preserve"> demonstrate good governance on tax matters,</w:t>
      </w:r>
      <w:r>
        <w:t xml:space="preserve"> </w:t>
      </w:r>
      <w:r w:rsidR="00607338">
        <w:t>engagement at the Board / senior management level on tax governance and a commitment to responsible tax practices</w:t>
      </w:r>
      <w:r>
        <w:t>.</w:t>
      </w:r>
    </w:p>
    <w:p w14:paraId="5C6461AC" w14:textId="13D43BBF" w:rsidR="00607338" w:rsidRDefault="00607338" w:rsidP="006E31F0">
      <w:pPr>
        <w:pStyle w:val="Bullet"/>
      </w:pPr>
      <w:r>
        <w:t>Increased tax transparency can help protect a business</w:t>
      </w:r>
      <w:r w:rsidR="00360869">
        <w:t>’</w:t>
      </w:r>
      <w:r>
        <w:t xml:space="preserve"> </w:t>
      </w:r>
      <w:r w:rsidR="00360869">
        <w:t>‘</w:t>
      </w:r>
      <w:r>
        <w:t>social licence to operate</w:t>
      </w:r>
      <w:r w:rsidR="00360869">
        <w:t>’</w:t>
      </w:r>
      <w:r>
        <w:t xml:space="preserve"> and lower reputational risk</w:t>
      </w:r>
      <w:r w:rsidR="00CA0161">
        <w:t>.</w:t>
      </w:r>
    </w:p>
    <w:p w14:paraId="1203E39F" w14:textId="30D66BE8" w:rsidR="00607338" w:rsidRDefault="00607338" w:rsidP="006E31F0">
      <w:pPr>
        <w:pStyle w:val="Bullet"/>
      </w:pPr>
      <w:r>
        <w:t xml:space="preserve">Publishing additional tax information can make a business more attractive to investors by highlighting good governance, a lower tax risk profile and/or providing additional information </w:t>
      </w:r>
      <w:r w:rsidR="00073C96">
        <w:t>for fully informed</w:t>
      </w:r>
      <w:r>
        <w:t xml:space="preserve"> investment decisions</w:t>
      </w:r>
      <w:r w:rsidR="00933803">
        <w:t>.</w:t>
      </w:r>
    </w:p>
    <w:p w14:paraId="444B58DC" w14:textId="45B6B24C" w:rsidR="00607338" w:rsidRDefault="00607338" w:rsidP="00607338">
      <w:pPr>
        <w:rPr>
          <w:rFonts w:asciiTheme="minorHAnsi" w:hAnsiTheme="minorHAnsi" w:cs="Calibri"/>
        </w:rPr>
      </w:pPr>
      <w:r>
        <w:rPr>
          <w:rFonts w:asciiTheme="minorHAnsi" w:hAnsiTheme="minorHAnsi" w:cs="Calibri"/>
        </w:rPr>
        <w:t>Participating in tax transparency sends a strong message to investors and other stakeholders that the business is principled in its approach to managing its tax obligations and values responsible tax practices</w:t>
      </w:r>
      <w:r w:rsidR="00E958BD">
        <w:rPr>
          <w:rFonts w:asciiTheme="minorHAnsi" w:hAnsiTheme="minorHAnsi" w:cs="Calibri"/>
        </w:rPr>
        <w:t>, as</w:t>
      </w:r>
      <w:r w:rsidR="00E910D5">
        <w:rPr>
          <w:rFonts w:asciiTheme="minorHAnsi" w:hAnsiTheme="minorHAnsi" w:cs="Calibri"/>
        </w:rPr>
        <w:t> </w:t>
      </w:r>
      <w:r w:rsidR="00E958BD">
        <w:rPr>
          <w:rFonts w:asciiTheme="minorHAnsi" w:hAnsiTheme="minorHAnsi" w:cs="Calibri"/>
        </w:rPr>
        <w:t xml:space="preserve">well as demonstrating their </w:t>
      </w:r>
      <w:r w:rsidR="00FF529A">
        <w:rPr>
          <w:rFonts w:asciiTheme="minorHAnsi" w:hAnsiTheme="minorHAnsi" w:cs="Calibri"/>
        </w:rPr>
        <w:t>e</w:t>
      </w:r>
      <w:r w:rsidR="006B68E5">
        <w:rPr>
          <w:rFonts w:asciiTheme="minorHAnsi" w:hAnsiTheme="minorHAnsi" w:cs="Calibri"/>
        </w:rPr>
        <w:t xml:space="preserve">nvironmental, </w:t>
      </w:r>
      <w:r w:rsidR="00FF529A">
        <w:rPr>
          <w:rFonts w:asciiTheme="minorHAnsi" w:hAnsiTheme="minorHAnsi" w:cs="Calibri"/>
        </w:rPr>
        <w:t>s</w:t>
      </w:r>
      <w:r w:rsidR="006B68E5">
        <w:rPr>
          <w:rFonts w:asciiTheme="minorHAnsi" w:hAnsiTheme="minorHAnsi" w:cs="Calibri"/>
        </w:rPr>
        <w:t>ocial and</w:t>
      </w:r>
      <w:r w:rsidR="00FF529A">
        <w:rPr>
          <w:rFonts w:asciiTheme="minorHAnsi" w:hAnsiTheme="minorHAnsi" w:cs="Calibri"/>
        </w:rPr>
        <w:t xml:space="preserve"> corporate</w:t>
      </w:r>
      <w:r w:rsidR="006B68E5">
        <w:rPr>
          <w:rFonts w:asciiTheme="minorHAnsi" w:hAnsiTheme="minorHAnsi" w:cs="Calibri"/>
        </w:rPr>
        <w:t xml:space="preserve"> </w:t>
      </w:r>
      <w:r w:rsidR="00933803">
        <w:rPr>
          <w:rFonts w:asciiTheme="minorHAnsi" w:hAnsiTheme="minorHAnsi" w:cs="Calibri"/>
        </w:rPr>
        <w:t>g</w:t>
      </w:r>
      <w:r w:rsidR="006B68E5">
        <w:rPr>
          <w:rFonts w:asciiTheme="minorHAnsi" w:hAnsiTheme="minorHAnsi" w:cs="Calibri"/>
        </w:rPr>
        <w:t>overnance</w:t>
      </w:r>
      <w:r w:rsidR="00E958BD">
        <w:rPr>
          <w:rFonts w:asciiTheme="minorHAnsi" w:hAnsiTheme="minorHAnsi" w:cs="Calibri"/>
        </w:rPr>
        <w:t xml:space="preserve"> contributions to the public through transparent reporting. </w:t>
      </w:r>
    </w:p>
    <w:p w14:paraId="1B77BE5E" w14:textId="637F5695" w:rsidR="002F3E00" w:rsidRPr="005014BA" w:rsidRDefault="002F3E00" w:rsidP="002F3E00">
      <w:pPr>
        <w:spacing w:after="200"/>
      </w:pPr>
      <w:r w:rsidRPr="005014BA">
        <w:t xml:space="preserve">The </w:t>
      </w:r>
      <w:r w:rsidR="00A77C00">
        <w:t xml:space="preserve">Voluntary </w:t>
      </w:r>
      <w:r w:rsidRPr="005014BA">
        <w:t>Tax Transparency Code (</w:t>
      </w:r>
      <w:r w:rsidR="00A77C00">
        <w:t>V</w:t>
      </w:r>
      <w:r w:rsidRPr="005014BA">
        <w:t>TTC) is a set of principles and minimum standards to guide disclosure of tax information by businesses and was developed by the Board at the Government</w:t>
      </w:r>
      <w:r w:rsidR="00360869">
        <w:t>’</w:t>
      </w:r>
      <w:r w:rsidRPr="005014BA">
        <w:t xml:space="preserve">s request: </w:t>
      </w:r>
    </w:p>
    <w:p w14:paraId="2B727718" w14:textId="5E8BCFF8" w:rsidR="002F3E00" w:rsidRPr="0096043B" w:rsidRDefault="002F3E00" w:rsidP="0024114E">
      <w:pPr>
        <w:pStyle w:val="Bullet"/>
        <w:rPr>
          <w:spacing w:val="-2"/>
        </w:rPr>
      </w:pPr>
      <w:r w:rsidRPr="0096043B">
        <w:rPr>
          <w:spacing w:val="-2"/>
        </w:rPr>
        <w:t>To encourage large and medium sized businesses to publicly disclose their tax affairs to highlight those that are paying their fair share and to encourage all businesses not to engage in aggressive tax avoidance</w:t>
      </w:r>
      <w:r w:rsidR="00CA0161" w:rsidRPr="0096043B">
        <w:rPr>
          <w:spacing w:val="-2"/>
        </w:rPr>
        <w:t>.</w:t>
      </w:r>
    </w:p>
    <w:p w14:paraId="614FADEE" w14:textId="7D72DFFE" w:rsidR="00036758" w:rsidRPr="005014BA" w:rsidRDefault="002F3E00" w:rsidP="0024114E">
      <w:pPr>
        <w:pStyle w:val="Bullet"/>
      </w:pPr>
      <w:r w:rsidRPr="005014BA">
        <w:t>For large businesses to take the lead, to become more transparent and help educate the public about their compliance with Australia</w:t>
      </w:r>
      <w:r w:rsidR="00360869">
        <w:t>’</w:t>
      </w:r>
      <w:r w:rsidRPr="005014BA">
        <w:t xml:space="preserve">s tax laws. </w:t>
      </w:r>
    </w:p>
    <w:p w14:paraId="55D497AD" w14:textId="62709C35" w:rsidR="00E958BD" w:rsidRDefault="00E958BD" w:rsidP="0024114E">
      <w:r>
        <w:t xml:space="preserve">By adopting the </w:t>
      </w:r>
      <w:r w:rsidR="00A77C00">
        <w:t>V</w:t>
      </w:r>
      <w:r>
        <w:t>TTC, a business is contributing to informed public debate on tax matters and helping restore public trust in multinational companies.</w:t>
      </w:r>
    </w:p>
    <w:p w14:paraId="48D077F9" w14:textId="1276963B" w:rsidR="002F3E00" w:rsidRDefault="002F3E00" w:rsidP="0024114E">
      <w:r w:rsidRPr="005014BA">
        <w:t xml:space="preserve">The Board is responsible for maintaining the register of signatories to the code. </w:t>
      </w:r>
    </w:p>
    <w:p w14:paraId="5253A2A0" w14:textId="3E72F16B" w:rsidR="009715B1" w:rsidRDefault="000C4E06" w:rsidP="0024114E">
      <w:r w:rsidRPr="001E6E72">
        <w:t xml:space="preserve">There </w:t>
      </w:r>
      <w:r w:rsidR="007F24BD" w:rsidRPr="001E6E72">
        <w:t>were 21</w:t>
      </w:r>
      <w:r w:rsidR="00490302" w:rsidRPr="001E6E72">
        <w:t>9</w:t>
      </w:r>
      <w:r w:rsidR="007F24BD" w:rsidRPr="001E6E72">
        <w:t xml:space="preserve"> signatories to the </w:t>
      </w:r>
      <w:r w:rsidR="00EE1E7D">
        <w:t>V</w:t>
      </w:r>
      <w:r w:rsidR="007F24BD" w:rsidRPr="001E6E72">
        <w:t xml:space="preserve">TTC as </w:t>
      </w:r>
      <w:r w:rsidR="00E3117E" w:rsidRPr="001E6E72">
        <w:t>of</w:t>
      </w:r>
      <w:r w:rsidR="007F24BD" w:rsidRPr="001E6E72">
        <w:t xml:space="preserve"> 30 June 202</w:t>
      </w:r>
      <w:r w:rsidR="00490302" w:rsidRPr="001E6E72">
        <w:t>4</w:t>
      </w:r>
      <w:r w:rsidR="00536717" w:rsidRPr="001E6E72">
        <w:t xml:space="preserve">, an increase of </w:t>
      </w:r>
      <w:r w:rsidR="00490302" w:rsidRPr="001E6E72">
        <w:t>8</w:t>
      </w:r>
      <w:r w:rsidR="00536717" w:rsidRPr="001E6E72">
        <w:t xml:space="preserve"> from the 2</w:t>
      </w:r>
      <w:r w:rsidR="00490302" w:rsidRPr="001E6E72">
        <w:t>11</w:t>
      </w:r>
      <w:r w:rsidR="00536717" w:rsidRPr="001E6E72">
        <w:t xml:space="preserve"> reported in the Board</w:t>
      </w:r>
      <w:r w:rsidR="00360869">
        <w:t>’</w:t>
      </w:r>
      <w:r w:rsidR="00536717" w:rsidRPr="001E6E72">
        <w:t>s 202</w:t>
      </w:r>
      <w:r w:rsidR="00490302" w:rsidRPr="001E6E72">
        <w:t>2</w:t>
      </w:r>
      <w:r w:rsidR="00E910D5" w:rsidRPr="001E6E72">
        <w:t>–</w:t>
      </w:r>
      <w:r w:rsidR="00536717" w:rsidRPr="001E6E72">
        <w:t>2</w:t>
      </w:r>
      <w:r w:rsidR="00490302" w:rsidRPr="001E6E72">
        <w:t>3</w:t>
      </w:r>
      <w:r w:rsidR="00536717" w:rsidRPr="001E6E72">
        <w:t xml:space="preserve"> Annual Report</w:t>
      </w:r>
      <w:r w:rsidR="00944E55" w:rsidRPr="001E6E72">
        <w:t>. Of these</w:t>
      </w:r>
      <w:r w:rsidR="00221BAC" w:rsidRPr="001E6E72">
        <w:t xml:space="preserve"> 21</w:t>
      </w:r>
      <w:r w:rsidR="00490302" w:rsidRPr="001E6E72">
        <w:t>9</w:t>
      </w:r>
      <w:r w:rsidR="00221BAC" w:rsidRPr="001E6E72">
        <w:t xml:space="preserve"> signatories</w:t>
      </w:r>
      <w:r w:rsidR="00944E55" w:rsidRPr="001E6E72">
        <w:t xml:space="preserve">, </w:t>
      </w:r>
      <w:r w:rsidR="00686D3C" w:rsidRPr="001E6E72">
        <w:t>2</w:t>
      </w:r>
      <w:r w:rsidR="001E6E72" w:rsidRPr="001E6E72">
        <w:t>1</w:t>
      </w:r>
      <w:r w:rsidR="00686D3C" w:rsidRPr="001E6E72">
        <w:t>7</w:t>
      </w:r>
      <w:r w:rsidR="00A373D1" w:rsidRPr="001E6E72">
        <w:t xml:space="preserve"> signatories had notified </w:t>
      </w:r>
      <w:r w:rsidR="002524EA" w:rsidRPr="001E6E72">
        <w:t xml:space="preserve">of at least one published report </w:t>
      </w:r>
      <w:r w:rsidR="007A78B0" w:rsidRPr="001E6E72">
        <w:t xml:space="preserve">as </w:t>
      </w:r>
      <w:r w:rsidR="00E3117E" w:rsidRPr="001E6E72">
        <w:t>of</w:t>
      </w:r>
      <w:r w:rsidR="002524EA" w:rsidRPr="001E6E72">
        <w:t xml:space="preserve"> 30</w:t>
      </w:r>
      <w:r w:rsidR="00FB6E3E">
        <w:t> </w:t>
      </w:r>
      <w:r w:rsidR="002524EA" w:rsidRPr="001E6E72">
        <w:t>June</w:t>
      </w:r>
      <w:r w:rsidR="00FB6E3E">
        <w:t> </w:t>
      </w:r>
      <w:r w:rsidR="005F59E0" w:rsidRPr="001E6E72">
        <w:t>202</w:t>
      </w:r>
      <w:r w:rsidR="001E6E72" w:rsidRPr="001E6E72">
        <w:t>4</w:t>
      </w:r>
      <w:r w:rsidR="005F59E0" w:rsidRPr="001E6E72">
        <w:t>.</w:t>
      </w:r>
      <w:r w:rsidR="005F59E0">
        <w:t xml:space="preserve"> </w:t>
      </w:r>
    </w:p>
    <w:p w14:paraId="17A52113" w14:textId="77777777" w:rsidR="005D4866" w:rsidRDefault="005D4866">
      <w:r>
        <w:br w:type="page"/>
      </w:r>
    </w:p>
    <w:p w14:paraId="3CB6D16E" w14:textId="6F3F233B" w:rsidR="003A3C1F" w:rsidRPr="00182490" w:rsidRDefault="001279A8" w:rsidP="00E0750B">
      <w:pPr>
        <w:sectPr w:rsidR="003A3C1F" w:rsidRPr="00182490" w:rsidSect="00A00E17">
          <w:pgSz w:w="11909" w:h="16834" w:code="9"/>
          <w:pgMar w:top="2268" w:right="1134" w:bottom="1985" w:left="1134" w:header="1134" w:footer="1134" w:gutter="0"/>
          <w:cols w:space="708"/>
          <w:docGrid w:linePitch="360"/>
        </w:sectPr>
      </w:pPr>
      <w:r w:rsidRPr="00182490">
        <w:lastRenderedPageBreak/>
        <w:t>As reported in the ATO</w:t>
      </w:r>
      <w:r w:rsidR="00360869">
        <w:t>’</w:t>
      </w:r>
      <w:r w:rsidR="00C3586B" w:rsidRPr="00182490">
        <w:t>s</w:t>
      </w:r>
      <w:r w:rsidRPr="00182490">
        <w:t xml:space="preserve"> </w:t>
      </w:r>
      <w:r w:rsidR="00C760C5" w:rsidRPr="00182490">
        <w:t xml:space="preserve">Voluntary Tax Transparency statistics for </w:t>
      </w:r>
      <w:r w:rsidR="00C2359D" w:rsidRPr="00182490">
        <w:t>30 June 202</w:t>
      </w:r>
      <w:r w:rsidR="00A713A8" w:rsidRPr="00182490">
        <w:t>4</w:t>
      </w:r>
      <w:r w:rsidR="00C2359D" w:rsidRPr="00182490">
        <w:t>, the 2</w:t>
      </w:r>
      <w:r w:rsidR="00182490" w:rsidRPr="00182490">
        <w:t>19</w:t>
      </w:r>
      <w:r w:rsidR="00C2359D" w:rsidRPr="00182490">
        <w:t xml:space="preserve"> signatories </w:t>
      </w:r>
      <w:r w:rsidR="00DB711A" w:rsidRPr="00182490">
        <w:t xml:space="preserve">are represented </w:t>
      </w:r>
      <w:r w:rsidR="00376018" w:rsidRPr="00182490">
        <w:t>as follows</w:t>
      </w:r>
      <w:r w:rsidR="00DB711A" w:rsidRPr="00182490">
        <w:t>:</w:t>
      </w:r>
      <w:r w:rsidR="00990537" w:rsidRPr="00182490">
        <w:rPr>
          <w:rStyle w:val="FootnoteReference"/>
        </w:rPr>
        <w:footnoteReference w:id="7"/>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963"/>
        <w:gridCol w:w="4678"/>
      </w:tblGrid>
      <w:tr w:rsidR="00F92685" w14:paraId="07D94B85" w14:textId="77777777" w:rsidTr="003818A6">
        <w:tc>
          <w:tcPr>
            <w:tcW w:w="2608" w:type="pct"/>
          </w:tcPr>
          <w:p w14:paraId="39A4B4F7" w14:textId="6291491C" w:rsidR="00F92685" w:rsidRPr="00F92685" w:rsidRDefault="00F92685" w:rsidP="006B5457">
            <w:pPr>
              <w:pStyle w:val="TableHeading1"/>
            </w:pPr>
            <w:r>
              <w:t xml:space="preserve">Signatories by </w:t>
            </w:r>
            <w:r w:rsidR="00E910D5">
              <w:t>s</w:t>
            </w:r>
            <w:r>
              <w:t>ize</w:t>
            </w:r>
            <w:r w:rsidR="00E910D5">
              <w:t> </w:t>
            </w:r>
            <w:r>
              <w:t>of</w:t>
            </w:r>
            <w:r w:rsidR="00E910D5">
              <w:t> </w:t>
            </w:r>
            <w:r>
              <w:t>signatory*:</w:t>
            </w:r>
          </w:p>
        </w:tc>
        <w:tc>
          <w:tcPr>
            <w:tcW w:w="2392" w:type="pct"/>
          </w:tcPr>
          <w:p w14:paraId="7EBF3175" w14:textId="68357B06" w:rsidR="00F92685" w:rsidRPr="00F92685" w:rsidRDefault="00F92685" w:rsidP="006B5457">
            <w:pPr>
              <w:pStyle w:val="TableHeading1"/>
            </w:pPr>
            <w:r>
              <w:t>Signatories by origin of</w:t>
            </w:r>
            <w:r w:rsidR="00E910D5">
              <w:t xml:space="preserve"> </w:t>
            </w:r>
            <w:r>
              <w:t>ultimate</w:t>
            </w:r>
            <w:r w:rsidR="00E910D5">
              <w:t xml:space="preserve"> </w:t>
            </w:r>
            <w:r>
              <w:t>holding</w:t>
            </w:r>
            <w:r w:rsidR="000A63B0">
              <w:t> </w:t>
            </w:r>
            <w:r>
              <w:t>company*:</w:t>
            </w:r>
          </w:p>
        </w:tc>
      </w:tr>
      <w:tr w:rsidR="00F92685" w14:paraId="00EE76DC" w14:textId="77777777" w:rsidTr="003818A6">
        <w:trPr>
          <w:trHeight w:val="2124"/>
        </w:trPr>
        <w:tc>
          <w:tcPr>
            <w:tcW w:w="2608" w:type="pct"/>
          </w:tcPr>
          <w:tbl>
            <w:tblPr>
              <w:tblStyle w:val="ListTable3-Accent1"/>
              <w:tblW w:w="4678" w:type="dxa"/>
              <w:tblBorders>
                <w:top w:val="single" w:sz="2" w:space="0" w:color="701F4D" w:themeColor="accent2"/>
                <w:left w:val="none" w:sz="0" w:space="0" w:color="auto"/>
                <w:bottom w:val="single" w:sz="2" w:space="0" w:color="701F4D" w:themeColor="accent2"/>
                <w:right w:val="none" w:sz="0" w:space="0" w:color="auto"/>
                <w:insideH w:val="single" w:sz="2" w:space="0" w:color="701F4D" w:themeColor="accent2"/>
              </w:tblBorders>
              <w:tblCellMar>
                <w:top w:w="57" w:type="dxa"/>
                <w:bottom w:w="57" w:type="dxa"/>
                <w:right w:w="0" w:type="dxa"/>
              </w:tblCellMar>
              <w:tblLook w:val="04A0" w:firstRow="1" w:lastRow="0" w:firstColumn="1" w:lastColumn="0" w:noHBand="0" w:noVBand="1"/>
            </w:tblPr>
            <w:tblGrid>
              <w:gridCol w:w="2488"/>
              <w:gridCol w:w="883"/>
              <w:gridCol w:w="1307"/>
            </w:tblGrid>
            <w:tr w:rsidR="00D209AF" w:rsidRPr="00E0750B" w14:paraId="5BA41E4E" w14:textId="77777777" w:rsidTr="00D209AF">
              <w:trPr>
                <w:cnfStyle w:val="100000000000" w:firstRow="1" w:lastRow="0" w:firstColumn="0" w:lastColumn="0" w:oddVBand="0" w:evenVBand="0" w:oddHBand="0" w:evenHBand="0" w:firstRowFirstColumn="0" w:firstRowLastColumn="0" w:lastRowFirstColumn="0" w:lastRowLastColumn="0"/>
                <w:trHeight w:val="79"/>
              </w:trPr>
              <w:tc>
                <w:tcPr>
                  <w:cnfStyle w:val="001000000100" w:firstRow="0" w:lastRow="0" w:firstColumn="1" w:lastColumn="0" w:oddVBand="0" w:evenVBand="0" w:oddHBand="0" w:evenHBand="0" w:firstRowFirstColumn="1" w:firstRowLastColumn="0" w:lastRowFirstColumn="0" w:lastRowLastColumn="0"/>
                  <w:tcW w:w="2488" w:type="dxa"/>
                  <w:tcBorders>
                    <w:top w:val="nil"/>
                    <w:bottom w:val="single" w:sz="4" w:space="0" w:color="701F4D" w:themeColor="accent2"/>
                  </w:tcBorders>
                  <w:shd w:val="clear" w:color="auto" w:fill="701F4D" w:themeFill="accent2"/>
                  <w:vAlign w:val="center"/>
                </w:tcPr>
                <w:p w14:paraId="34B82E64" w14:textId="567EF612" w:rsidR="00D209AF" w:rsidRPr="00D209AF" w:rsidRDefault="00D209AF" w:rsidP="00D209AF">
                  <w:pPr>
                    <w:pStyle w:val="TableHeaderCellLeft"/>
                  </w:pPr>
                  <w:r w:rsidRPr="00D209AF">
                    <w:t>Size of signatory</w:t>
                  </w:r>
                </w:p>
              </w:tc>
              <w:tc>
                <w:tcPr>
                  <w:tcW w:w="883" w:type="dxa"/>
                  <w:tcBorders>
                    <w:top w:val="nil"/>
                    <w:bottom w:val="single" w:sz="4" w:space="0" w:color="701F4D" w:themeColor="accent2"/>
                  </w:tcBorders>
                  <w:shd w:val="clear" w:color="auto" w:fill="701F4D" w:themeFill="accent2"/>
                  <w:vAlign w:val="center"/>
                </w:tcPr>
                <w:p w14:paraId="18D88799" w14:textId="77777777" w:rsidR="00D209AF" w:rsidRPr="009501BA" w:rsidRDefault="00D209AF" w:rsidP="009501BA">
                  <w:pPr>
                    <w:pStyle w:val="TableBodyCellRight"/>
                    <w:cnfStyle w:val="100000000000" w:firstRow="1" w:lastRow="0" w:firstColumn="0" w:lastColumn="0" w:oddVBand="0" w:evenVBand="0" w:oddHBand="0" w:evenHBand="0" w:firstRowFirstColumn="0" w:firstRowLastColumn="0" w:lastRowFirstColumn="0" w:lastRowLastColumn="0"/>
                  </w:pPr>
                </w:p>
              </w:tc>
              <w:tc>
                <w:tcPr>
                  <w:tcW w:w="1307" w:type="dxa"/>
                  <w:tcBorders>
                    <w:top w:val="nil"/>
                    <w:bottom w:val="single" w:sz="4" w:space="0" w:color="701F4D" w:themeColor="accent2"/>
                  </w:tcBorders>
                  <w:shd w:val="clear" w:color="auto" w:fill="701F4D" w:themeFill="accent2"/>
                  <w:vAlign w:val="center"/>
                </w:tcPr>
                <w:p w14:paraId="45D6C72F" w14:textId="77777777" w:rsidR="00D209AF" w:rsidRPr="009501BA" w:rsidRDefault="00D209AF" w:rsidP="009501BA">
                  <w:pPr>
                    <w:pStyle w:val="TableBodyCellRight"/>
                    <w:cnfStyle w:val="100000000000" w:firstRow="1" w:lastRow="0" w:firstColumn="0" w:lastColumn="0" w:oddVBand="0" w:evenVBand="0" w:oddHBand="0" w:evenHBand="0" w:firstRowFirstColumn="0" w:firstRowLastColumn="0" w:lastRowFirstColumn="0" w:lastRowLastColumn="0"/>
                  </w:pPr>
                </w:p>
              </w:tc>
            </w:tr>
            <w:tr w:rsidR="00F92685" w:rsidRPr="00E0750B" w14:paraId="46779D7C" w14:textId="77777777" w:rsidTr="00AF0F5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488" w:type="dxa"/>
                  <w:tcBorders>
                    <w:top w:val="nil"/>
                    <w:bottom w:val="single" w:sz="4" w:space="0" w:color="701F4D" w:themeColor="accent2"/>
                  </w:tcBorders>
                  <w:shd w:val="clear" w:color="auto" w:fill="F6F2ED" w:themeFill="accent3" w:themeFillTint="33"/>
                  <w:vAlign w:val="center"/>
                </w:tcPr>
                <w:p w14:paraId="19F4CF1F" w14:textId="77777777" w:rsidR="00F92685" w:rsidRPr="009501BA" w:rsidRDefault="00F92685" w:rsidP="009501BA">
                  <w:pPr>
                    <w:pStyle w:val="TableBodyCellLeft"/>
                  </w:pPr>
                </w:p>
              </w:tc>
              <w:tc>
                <w:tcPr>
                  <w:tcW w:w="883" w:type="dxa"/>
                  <w:tcBorders>
                    <w:top w:val="nil"/>
                    <w:bottom w:val="single" w:sz="4" w:space="0" w:color="701F4D" w:themeColor="accent2"/>
                  </w:tcBorders>
                  <w:vAlign w:val="center"/>
                </w:tcPr>
                <w:p w14:paraId="5FBAA2E4" w14:textId="77777777"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Number</w:t>
                  </w:r>
                </w:p>
              </w:tc>
              <w:tc>
                <w:tcPr>
                  <w:tcW w:w="1307" w:type="dxa"/>
                  <w:tcBorders>
                    <w:top w:val="nil"/>
                    <w:bottom w:val="single" w:sz="4" w:space="0" w:color="701F4D" w:themeColor="accent2"/>
                  </w:tcBorders>
                  <w:vAlign w:val="center"/>
                </w:tcPr>
                <w:p w14:paraId="1607DB60" w14:textId="77777777"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Percentage</w:t>
                  </w:r>
                </w:p>
              </w:tc>
            </w:tr>
            <w:tr w:rsidR="00F92685" w:rsidRPr="00E0750B" w14:paraId="5BD12D6E" w14:textId="77777777" w:rsidTr="00AF0F58">
              <w:tc>
                <w:tcPr>
                  <w:cnfStyle w:val="001000000000" w:firstRow="0" w:lastRow="0" w:firstColumn="1" w:lastColumn="0" w:oddVBand="0" w:evenVBand="0" w:oddHBand="0" w:evenHBand="0" w:firstRowFirstColumn="0" w:firstRowLastColumn="0" w:lastRowFirstColumn="0" w:lastRowLastColumn="0"/>
                  <w:tcW w:w="2488" w:type="dxa"/>
                  <w:tcBorders>
                    <w:top w:val="single" w:sz="4" w:space="0" w:color="701F4D" w:themeColor="accent2"/>
                    <w:bottom w:val="single" w:sz="4" w:space="0" w:color="701F4D" w:themeColor="accent2"/>
                  </w:tcBorders>
                  <w:shd w:val="clear" w:color="auto" w:fill="F6F2ED" w:themeFill="accent3" w:themeFillTint="33"/>
                  <w:vAlign w:val="center"/>
                </w:tcPr>
                <w:p w14:paraId="75E16CF2" w14:textId="77777777" w:rsidR="00F92685" w:rsidRPr="009501BA" w:rsidRDefault="00F92685" w:rsidP="009501BA">
                  <w:pPr>
                    <w:pStyle w:val="TableBodyCellLeft"/>
                  </w:pPr>
                  <w:r w:rsidRPr="009501BA">
                    <w:t>Large</w:t>
                  </w:r>
                </w:p>
              </w:tc>
              <w:tc>
                <w:tcPr>
                  <w:tcW w:w="883" w:type="dxa"/>
                  <w:tcBorders>
                    <w:top w:val="single" w:sz="4" w:space="0" w:color="701F4D" w:themeColor="accent2"/>
                    <w:bottom w:val="single" w:sz="4" w:space="0" w:color="701F4D" w:themeColor="accent2"/>
                  </w:tcBorders>
                  <w:vAlign w:val="center"/>
                </w:tcPr>
                <w:p w14:paraId="641D6404" w14:textId="6E3BD9A2" w:rsidR="00F92685" w:rsidRPr="009501BA" w:rsidRDefault="00F92685" w:rsidP="009501BA">
                  <w:pPr>
                    <w:pStyle w:val="TableBodyCellRight"/>
                    <w:cnfStyle w:val="000000000000" w:firstRow="0" w:lastRow="0" w:firstColumn="0" w:lastColumn="0" w:oddVBand="0" w:evenVBand="0" w:oddHBand="0" w:evenHBand="0" w:firstRowFirstColumn="0" w:firstRowLastColumn="0" w:lastRowFirstColumn="0" w:lastRowLastColumn="0"/>
                  </w:pPr>
                  <w:r w:rsidRPr="009501BA">
                    <w:t>17</w:t>
                  </w:r>
                  <w:r w:rsidR="004955A7">
                    <w:t>8</w:t>
                  </w:r>
                </w:p>
              </w:tc>
              <w:tc>
                <w:tcPr>
                  <w:tcW w:w="1307" w:type="dxa"/>
                  <w:tcBorders>
                    <w:top w:val="single" w:sz="4" w:space="0" w:color="701F4D" w:themeColor="accent2"/>
                    <w:bottom w:val="single" w:sz="4" w:space="0" w:color="701F4D" w:themeColor="accent2"/>
                  </w:tcBorders>
                  <w:vAlign w:val="center"/>
                </w:tcPr>
                <w:p w14:paraId="5692E111" w14:textId="2113B1CE" w:rsidR="00F92685" w:rsidRPr="009501BA" w:rsidRDefault="00F92685" w:rsidP="009501BA">
                  <w:pPr>
                    <w:pStyle w:val="TableBodyCellRight"/>
                    <w:cnfStyle w:val="000000000000" w:firstRow="0" w:lastRow="0" w:firstColumn="0" w:lastColumn="0" w:oddVBand="0" w:evenVBand="0" w:oddHBand="0" w:evenHBand="0" w:firstRowFirstColumn="0" w:firstRowLastColumn="0" w:lastRowFirstColumn="0" w:lastRowLastColumn="0"/>
                  </w:pPr>
                  <w:r w:rsidRPr="009501BA">
                    <w:t>8</w:t>
                  </w:r>
                  <w:r w:rsidR="004955A7">
                    <w:t>2</w:t>
                  </w:r>
                  <w:r w:rsidRPr="009501BA">
                    <w:t>%</w:t>
                  </w:r>
                </w:p>
              </w:tc>
            </w:tr>
            <w:tr w:rsidR="00F92685" w:rsidRPr="00E0750B" w14:paraId="16FD8842" w14:textId="77777777" w:rsidTr="00AF0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Borders>
                    <w:top w:val="single" w:sz="4" w:space="0" w:color="701F4D" w:themeColor="accent2"/>
                    <w:bottom w:val="single" w:sz="4" w:space="0" w:color="701F4D" w:themeColor="accent2"/>
                  </w:tcBorders>
                  <w:shd w:val="clear" w:color="auto" w:fill="F6F2ED" w:themeFill="accent3" w:themeFillTint="33"/>
                  <w:vAlign w:val="center"/>
                </w:tcPr>
                <w:p w14:paraId="02C8B027" w14:textId="77777777" w:rsidR="00F92685" w:rsidRPr="009501BA" w:rsidRDefault="00F92685" w:rsidP="009501BA">
                  <w:pPr>
                    <w:pStyle w:val="TableBodyCellLeft"/>
                  </w:pPr>
                  <w:r w:rsidRPr="009501BA">
                    <w:t>Medium</w:t>
                  </w:r>
                </w:p>
              </w:tc>
              <w:tc>
                <w:tcPr>
                  <w:tcW w:w="883" w:type="dxa"/>
                  <w:tcBorders>
                    <w:top w:val="single" w:sz="4" w:space="0" w:color="701F4D" w:themeColor="accent2"/>
                    <w:bottom w:val="single" w:sz="4" w:space="0" w:color="701F4D" w:themeColor="accent2"/>
                  </w:tcBorders>
                  <w:vAlign w:val="center"/>
                </w:tcPr>
                <w:p w14:paraId="681A7DD1" w14:textId="1928C99C"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3</w:t>
                  </w:r>
                  <w:r w:rsidR="004955A7">
                    <w:t>1</w:t>
                  </w:r>
                </w:p>
              </w:tc>
              <w:tc>
                <w:tcPr>
                  <w:tcW w:w="1307" w:type="dxa"/>
                  <w:tcBorders>
                    <w:top w:val="single" w:sz="4" w:space="0" w:color="701F4D" w:themeColor="accent2"/>
                    <w:bottom w:val="single" w:sz="4" w:space="0" w:color="701F4D" w:themeColor="accent2"/>
                  </w:tcBorders>
                  <w:vAlign w:val="center"/>
                </w:tcPr>
                <w:p w14:paraId="5B5996DD" w14:textId="09A689FE"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1</w:t>
                  </w:r>
                  <w:r w:rsidR="004955A7">
                    <w:t>4</w:t>
                  </w:r>
                  <w:r w:rsidRPr="009501BA">
                    <w:t>%</w:t>
                  </w:r>
                </w:p>
              </w:tc>
            </w:tr>
            <w:tr w:rsidR="00F92685" w:rsidRPr="00E0750B" w14:paraId="77D4361E" w14:textId="77777777" w:rsidTr="00AF0F58">
              <w:tc>
                <w:tcPr>
                  <w:cnfStyle w:val="001000000000" w:firstRow="0" w:lastRow="0" w:firstColumn="1" w:lastColumn="0" w:oddVBand="0" w:evenVBand="0" w:oddHBand="0" w:evenHBand="0" w:firstRowFirstColumn="0" w:firstRowLastColumn="0" w:lastRowFirstColumn="0" w:lastRowLastColumn="0"/>
                  <w:tcW w:w="2488" w:type="dxa"/>
                  <w:tcBorders>
                    <w:top w:val="single" w:sz="4" w:space="0" w:color="701F4D" w:themeColor="accent2"/>
                    <w:bottom w:val="single" w:sz="8" w:space="0" w:color="701F4D" w:themeColor="accent2"/>
                  </w:tcBorders>
                  <w:shd w:val="clear" w:color="auto" w:fill="F6F2ED" w:themeFill="accent3" w:themeFillTint="33"/>
                  <w:vAlign w:val="center"/>
                </w:tcPr>
                <w:p w14:paraId="17611C01" w14:textId="77777777" w:rsidR="00F92685" w:rsidRPr="009501BA" w:rsidRDefault="00F92685" w:rsidP="009501BA">
                  <w:pPr>
                    <w:pStyle w:val="TableBodyCellLeft"/>
                  </w:pPr>
                  <w:r w:rsidRPr="009501BA">
                    <w:t>Small</w:t>
                  </w:r>
                </w:p>
              </w:tc>
              <w:tc>
                <w:tcPr>
                  <w:tcW w:w="883" w:type="dxa"/>
                  <w:tcBorders>
                    <w:top w:val="single" w:sz="4" w:space="0" w:color="701F4D" w:themeColor="accent2"/>
                    <w:bottom w:val="single" w:sz="8" w:space="0" w:color="701F4D" w:themeColor="accent2"/>
                  </w:tcBorders>
                  <w:vAlign w:val="center"/>
                </w:tcPr>
                <w:p w14:paraId="037C058B" w14:textId="77777777" w:rsidR="00F92685" w:rsidRPr="009501BA" w:rsidRDefault="00F92685" w:rsidP="009501BA">
                  <w:pPr>
                    <w:pStyle w:val="TableBodyCellRight"/>
                    <w:cnfStyle w:val="000000000000" w:firstRow="0" w:lastRow="0" w:firstColumn="0" w:lastColumn="0" w:oddVBand="0" w:evenVBand="0" w:oddHBand="0" w:evenHBand="0" w:firstRowFirstColumn="0" w:firstRowLastColumn="0" w:lastRowFirstColumn="0" w:lastRowLastColumn="0"/>
                  </w:pPr>
                  <w:r w:rsidRPr="009501BA">
                    <w:t>8</w:t>
                  </w:r>
                </w:p>
              </w:tc>
              <w:tc>
                <w:tcPr>
                  <w:tcW w:w="1307" w:type="dxa"/>
                  <w:tcBorders>
                    <w:top w:val="single" w:sz="4" w:space="0" w:color="701F4D" w:themeColor="accent2"/>
                    <w:bottom w:val="single" w:sz="8" w:space="0" w:color="701F4D" w:themeColor="accent2"/>
                  </w:tcBorders>
                  <w:vAlign w:val="center"/>
                </w:tcPr>
                <w:p w14:paraId="47ED5B4B" w14:textId="77777777" w:rsidR="00F92685" w:rsidRPr="009501BA" w:rsidRDefault="00F92685" w:rsidP="009501BA">
                  <w:pPr>
                    <w:pStyle w:val="TableBodyCellRight"/>
                    <w:cnfStyle w:val="000000000000" w:firstRow="0" w:lastRow="0" w:firstColumn="0" w:lastColumn="0" w:oddVBand="0" w:evenVBand="0" w:oddHBand="0" w:evenHBand="0" w:firstRowFirstColumn="0" w:firstRowLastColumn="0" w:lastRowFirstColumn="0" w:lastRowLastColumn="0"/>
                  </w:pPr>
                  <w:r w:rsidRPr="009501BA">
                    <w:t>4%</w:t>
                  </w:r>
                </w:p>
              </w:tc>
            </w:tr>
          </w:tbl>
          <w:p w14:paraId="7F9C9FE7" w14:textId="77777777" w:rsidR="00F92685" w:rsidRDefault="00F92685" w:rsidP="007732E2"/>
        </w:tc>
        <w:tc>
          <w:tcPr>
            <w:tcW w:w="2392" w:type="pct"/>
          </w:tcPr>
          <w:tbl>
            <w:tblPr>
              <w:tblStyle w:val="ListTable3-Accent1"/>
              <w:tblW w:w="4678" w:type="dxa"/>
              <w:tblBorders>
                <w:top w:val="single" w:sz="2" w:space="0" w:color="701F4D" w:themeColor="accent2"/>
                <w:left w:val="none" w:sz="0" w:space="0" w:color="auto"/>
                <w:bottom w:val="single" w:sz="2" w:space="0" w:color="701F4D" w:themeColor="accent2"/>
                <w:right w:val="none" w:sz="0" w:space="0" w:color="auto"/>
                <w:insideH w:val="single" w:sz="2" w:space="0" w:color="701F4D" w:themeColor="accent2"/>
              </w:tblBorders>
              <w:tblCellMar>
                <w:top w:w="57" w:type="dxa"/>
                <w:bottom w:w="57" w:type="dxa"/>
                <w:right w:w="0" w:type="dxa"/>
              </w:tblCellMar>
              <w:tblLook w:val="04A0" w:firstRow="1" w:lastRow="0" w:firstColumn="1" w:lastColumn="0" w:noHBand="0" w:noVBand="1"/>
            </w:tblPr>
            <w:tblGrid>
              <w:gridCol w:w="2566"/>
              <w:gridCol w:w="854"/>
              <w:gridCol w:w="1236"/>
              <w:gridCol w:w="22"/>
            </w:tblGrid>
            <w:tr w:rsidR="00A6464E" w:rsidRPr="00E0750B" w14:paraId="6F699DA7" w14:textId="77777777" w:rsidTr="00A646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gridSpan w:val="4"/>
                  <w:shd w:val="clear" w:color="auto" w:fill="701F4D" w:themeFill="accent2"/>
                  <w:vAlign w:val="center"/>
                </w:tcPr>
                <w:p w14:paraId="41C64C4A" w14:textId="77777777" w:rsidR="00A6464E" w:rsidRPr="00E910D5" w:rsidRDefault="00A6464E" w:rsidP="00F6614B">
                  <w:pPr>
                    <w:pStyle w:val="TableHeaderCellLeft"/>
                  </w:pPr>
                  <w:r w:rsidRPr="00E910D5">
                    <w:t>Origin of ultimate holding company</w:t>
                  </w:r>
                </w:p>
              </w:tc>
            </w:tr>
            <w:tr w:rsidR="000A63B0" w:rsidRPr="00E0750B" w14:paraId="32BCC221" w14:textId="77777777" w:rsidTr="00A6464E">
              <w:trPr>
                <w:gridAfter w:val="1"/>
                <w:cnfStyle w:val="000000100000" w:firstRow="0" w:lastRow="0" w:firstColumn="0" w:lastColumn="0" w:oddVBand="0" w:evenVBand="0" w:oddHBand="1" w:evenHBand="0" w:firstRowFirstColumn="0" w:firstRowLastColumn="0" w:lastRowFirstColumn="0" w:lastRowLastColumn="0"/>
                <w:wAfter w:w="22" w:type="dxa"/>
              </w:trPr>
              <w:tc>
                <w:tcPr>
                  <w:cnfStyle w:val="001000000000" w:firstRow="0" w:lastRow="0" w:firstColumn="1" w:lastColumn="0" w:oddVBand="0" w:evenVBand="0" w:oddHBand="0" w:evenHBand="0" w:firstRowFirstColumn="0" w:firstRowLastColumn="0" w:lastRowFirstColumn="0" w:lastRowLastColumn="0"/>
                  <w:tcW w:w="2566" w:type="dxa"/>
                  <w:tcBorders>
                    <w:top w:val="nil"/>
                    <w:bottom w:val="single" w:sz="4" w:space="0" w:color="701F4D" w:themeColor="accent2"/>
                  </w:tcBorders>
                  <w:shd w:val="clear" w:color="auto" w:fill="F6F2ED" w:themeFill="accent3" w:themeFillTint="33"/>
                  <w:vAlign w:val="center"/>
                </w:tcPr>
                <w:p w14:paraId="41D209A7" w14:textId="77777777" w:rsidR="00F92685" w:rsidRPr="00E0750B" w:rsidRDefault="00F92685" w:rsidP="00F6614B">
                  <w:pPr>
                    <w:pStyle w:val="TableBodyCellLeft"/>
                  </w:pPr>
                </w:p>
              </w:tc>
              <w:tc>
                <w:tcPr>
                  <w:tcW w:w="854" w:type="dxa"/>
                  <w:tcBorders>
                    <w:top w:val="nil"/>
                    <w:bottom w:val="single" w:sz="4" w:space="0" w:color="701F4D" w:themeColor="accent2"/>
                  </w:tcBorders>
                  <w:vAlign w:val="center"/>
                </w:tcPr>
                <w:p w14:paraId="31C91A6B" w14:textId="77777777"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Number</w:t>
                  </w:r>
                </w:p>
              </w:tc>
              <w:tc>
                <w:tcPr>
                  <w:tcW w:w="1236" w:type="dxa"/>
                  <w:tcBorders>
                    <w:top w:val="nil"/>
                    <w:bottom w:val="single" w:sz="4" w:space="0" w:color="701F4D" w:themeColor="accent2"/>
                  </w:tcBorders>
                  <w:vAlign w:val="center"/>
                </w:tcPr>
                <w:p w14:paraId="0B07510B" w14:textId="77777777"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Percentage</w:t>
                  </w:r>
                </w:p>
              </w:tc>
            </w:tr>
            <w:tr w:rsidR="000A63B0" w:rsidRPr="00E0750B" w14:paraId="637C3B3B" w14:textId="77777777" w:rsidTr="00A6464E">
              <w:trPr>
                <w:gridAfter w:val="1"/>
                <w:wAfter w:w="22" w:type="dxa"/>
              </w:trPr>
              <w:tc>
                <w:tcPr>
                  <w:cnfStyle w:val="001000000000" w:firstRow="0" w:lastRow="0" w:firstColumn="1" w:lastColumn="0" w:oddVBand="0" w:evenVBand="0" w:oddHBand="0" w:evenHBand="0" w:firstRowFirstColumn="0" w:firstRowLastColumn="0" w:lastRowFirstColumn="0" w:lastRowLastColumn="0"/>
                  <w:tcW w:w="2566" w:type="dxa"/>
                  <w:tcBorders>
                    <w:top w:val="single" w:sz="4" w:space="0" w:color="701F4D" w:themeColor="accent2"/>
                    <w:bottom w:val="single" w:sz="4" w:space="0" w:color="701F4D" w:themeColor="accent2"/>
                  </w:tcBorders>
                  <w:shd w:val="clear" w:color="auto" w:fill="F6F2ED" w:themeFill="accent3" w:themeFillTint="33"/>
                  <w:vAlign w:val="center"/>
                </w:tcPr>
                <w:p w14:paraId="0E702922" w14:textId="77777777" w:rsidR="00F92685" w:rsidRPr="000A63B0" w:rsidRDefault="00F92685" w:rsidP="00F6614B">
                  <w:pPr>
                    <w:pStyle w:val="TableBodyCellLeft"/>
                  </w:pPr>
                  <w:r w:rsidRPr="000A63B0">
                    <w:t>Australia</w:t>
                  </w:r>
                </w:p>
              </w:tc>
              <w:tc>
                <w:tcPr>
                  <w:tcW w:w="854" w:type="dxa"/>
                  <w:tcBorders>
                    <w:top w:val="single" w:sz="4" w:space="0" w:color="701F4D" w:themeColor="accent2"/>
                    <w:bottom w:val="single" w:sz="4" w:space="0" w:color="701F4D" w:themeColor="accent2"/>
                  </w:tcBorders>
                  <w:vAlign w:val="center"/>
                </w:tcPr>
                <w:p w14:paraId="7FE6B937" w14:textId="3EB5F55F" w:rsidR="00F92685" w:rsidRPr="009501BA" w:rsidRDefault="00F92685" w:rsidP="009501BA">
                  <w:pPr>
                    <w:pStyle w:val="TableBodyCellRight"/>
                    <w:cnfStyle w:val="000000000000" w:firstRow="0" w:lastRow="0" w:firstColumn="0" w:lastColumn="0" w:oddVBand="0" w:evenVBand="0" w:oddHBand="0" w:evenHBand="0" w:firstRowFirstColumn="0" w:firstRowLastColumn="0" w:lastRowFirstColumn="0" w:lastRowLastColumn="0"/>
                  </w:pPr>
                  <w:r w:rsidRPr="009501BA">
                    <w:t>1</w:t>
                  </w:r>
                  <w:r w:rsidR="004955A7">
                    <w:t>6</w:t>
                  </w:r>
                  <w:r w:rsidRPr="009501BA">
                    <w:t>5</w:t>
                  </w:r>
                </w:p>
              </w:tc>
              <w:tc>
                <w:tcPr>
                  <w:tcW w:w="1236" w:type="dxa"/>
                  <w:tcBorders>
                    <w:top w:val="single" w:sz="4" w:space="0" w:color="701F4D" w:themeColor="accent2"/>
                    <w:bottom w:val="single" w:sz="4" w:space="0" w:color="701F4D" w:themeColor="accent2"/>
                  </w:tcBorders>
                  <w:vAlign w:val="center"/>
                </w:tcPr>
                <w:p w14:paraId="515C7834" w14:textId="4075861B" w:rsidR="00F92685" w:rsidRPr="009501BA" w:rsidRDefault="00F92685" w:rsidP="009501BA">
                  <w:pPr>
                    <w:pStyle w:val="TableBodyCellRight"/>
                    <w:cnfStyle w:val="000000000000" w:firstRow="0" w:lastRow="0" w:firstColumn="0" w:lastColumn="0" w:oddVBand="0" w:evenVBand="0" w:oddHBand="0" w:evenHBand="0" w:firstRowFirstColumn="0" w:firstRowLastColumn="0" w:lastRowFirstColumn="0" w:lastRowLastColumn="0"/>
                  </w:pPr>
                  <w:r w:rsidRPr="009501BA">
                    <w:t>7</w:t>
                  </w:r>
                  <w:r w:rsidR="00B87624">
                    <w:t>5</w:t>
                  </w:r>
                  <w:r w:rsidRPr="009501BA">
                    <w:t>%</w:t>
                  </w:r>
                </w:p>
              </w:tc>
            </w:tr>
            <w:tr w:rsidR="000A63B0" w:rsidRPr="00E0750B" w14:paraId="4D804CFC" w14:textId="77777777" w:rsidTr="00A6464E">
              <w:trPr>
                <w:gridAfter w:val="1"/>
                <w:cnfStyle w:val="000000100000" w:firstRow="0" w:lastRow="0" w:firstColumn="0" w:lastColumn="0" w:oddVBand="0" w:evenVBand="0" w:oddHBand="1" w:evenHBand="0" w:firstRowFirstColumn="0" w:firstRowLastColumn="0" w:lastRowFirstColumn="0" w:lastRowLastColumn="0"/>
                <w:wAfter w:w="22" w:type="dxa"/>
                <w:trHeight w:val="27"/>
              </w:trPr>
              <w:tc>
                <w:tcPr>
                  <w:cnfStyle w:val="001000000000" w:firstRow="0" w:lastRow="0" w:firstColumn="1" w:lastColumn="0" w:oddVBand="0" w:evenVBand="0" w:oddHBand="0" w:evenHBand="0" w:firstRowFirstColumn="0" w:firstRowLastColumn="0" w:lastRowFirstColumn="0" w:lastRowLastColumn="0"/>
                  <w:tcW w:w="2566" w:type="dxa"/>
                  <w:tcBorders>
                    <w:top w:val="single" w:sz="4" w:space="0" w:color="701F4D" w:themeColor="accent2"/>
                    <w:bottom w:val="single" w:sz="4" w:space="0" w:color="701F4D" w:themeColor="accent2"/>
                  </w:tcBorders>
                  <w:shd w:val="clear" w:color="auto" w:fill="F6F2ED" w:themeFill="accent3" w:themeFillTint="33"/>
                  <w:vAlign w:val="center"/>
                </w:tcPr>
                <w:p w14:paraId="2FF92631" w14:textId="77777777" w:rsidR="00F92685" w:rsidRPr="000A63B0" w:rsidRDefault="00F92685" w:rsidP="00F6614B">
                  <w:pPr>
                    <w:pStyle w:val="TableBodyCellLeft"/>
                  </w:pPr>
                  <w:r w:rsidRPr="000A63B0">
                    <w:t>Foreign</w:t>
                  </w:r>
                </w:p>
              </w:tc>
              <w:tc>
                <w:tcPr>
                  <w:tcW w:w="854" w:type="dxa"/>
                  <w:tcBorders>
                    <w:top w:val="single" w:sz="4" w:space="0" w:color="701F4D" w:themeColor="accent2"/>
                    <w:bottom w:val="single" w:sz="4" w:space="0" w:color="701F4D" w:themeColor="accent2"/>
                  </w:tcBorders>
                  <w:vAlign w:val="center"/>
                </w:tcPr>
                <w:p w14:paraId="043B04E4" w14:textId="2FC5260D"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4</w:t>
                  </w:r>
                  <w:r w:rsidR="004955A7">
                    <w:t>4</w:t>
                  </w:r>
                </w:p>
              </w:tc>
              <w:tc>
                <w:tcPr>
                  <w:tcW w:w="1236" w:type="dxa"/>
                  <w:tcBorders>
                    <w:top w:val="single" w:sz="4" w:space="0" w:color="701F4D" w:themeColor="accent2"/>
                    <w:bottom w:val="single" w:sz="4" w:space="0" w:color="701F4D" w:themeColor="accent2"/>
                  </w:tcBorders>
                  <w:vAlign w:val="center"/>
                </w:tcPr>
                <w:p w14:paraId="67373F32" w14:textId="77777777" w:rsidR="00F92685" w:rsidRPr="009501BA" w:rsidRDefault="00F92685" w:rsidP="009501BA">
                  <w:pPr>
                    <w:pStyle w:val="TableBodyCellRight"/>
                    <w:cnfStyle w:val="000000100000" w:firstRow="0" w:lastRow="0" w:firstColumn="0" w:lastColumn="0" w:oddVBand="0" w:evenVBand="0" w:oddHBand="1" w:evenHBand="0" w:firstRowFirstColumn="0" w:firstRowLastColumn="0" w:lastRowFirstColumn="0" w:lastRowLastColumn="0"/>
                  </w:pPr>
                  <w:r w:rsidRPr="009501BA">
                    <w:t>20%</w:t>
                  </w:r>
                </w:p>
              </w:tc>
            </w:tr>
            <w:tr w:rsidR="000A63B0" w:rsidRPr="00E0750B" w14:paraId="2D2BCA13" w14:textId="77777777" w:rsidTr="00A6464E">
              <w:trPr>
                <w:gridAfter w:val="1"/>
                <w:wAfter w:w="22" w:type="dxa"/>
                <w:trHeight w:val="212"/>
              </w:trPr>
              <w:tc>
                <w:tcPr>
                  <w:cnfStyle w:val="001000000000" w:firstRow="0" w:lastRow="0" w:firstColumn="1" w:lastColumn="0" w:oddVBand="0" w:evenVBand="0" w:oddHBand="0" w:evenHBand="0" w:firstRowFirstColumn="0" w:firstRowLastColumn="0" w:lastRowFirstColumn="0" w:lastRowLastColumn="0"/>
                  <w:tcW w:w="2566" w:type="dxa"/>
                  <w:tcBorders>
                    <w:top w:val="single" w:sz="4" w:space="0" w:color="701F4D" w:themeColor="accent2"/>
                    <w:bottom w:val="single" w:sz="4" w:space="0" w:color="701F4D" w:themeColor="accent2"/>
                  </w:tcBorders>
                  <w:shd w:val="clear" w:color="auto" w:fill="F6F2ED" w:themeFill="accent3" w:themeFillTint="33"/>
                  <w:vAlign w:val="center"/>
                </w:tcPr>
                <w:p w14:paraId="4E1647FF" w14:textId="5C6B1500" w:rsidR="00F92685" w:rsidRPr="000A63B0" w:rsidRDefault="00F92685" w:rsidP="00F6614B">
                  <w:pPr>
                    <w:pStyle w:val="TableBodyCellLeft"/>
                    <w:rPr>
                      <w:spacing w:val="-6"/>
                    </w:rPr>
                  </w:pPr>
                  <w:r w:rsidRPr="000A63B0">
                    <w:rPr>
                      <w:spacing w:val="-6"/>
                    </w:rPr>
                    <w:t xml:space="preserve">Australia </w:t>
                  </w:r>
                  <w:r w:rsidR="000A63B0" w:rsidRPr="000A63B0">
                    <w:rPr>
                      <w:spacing w:val="-6"/>
                    </w:rPr>
                    <w:t>&amp;</w:t>
                  </w:r>
                  <w:r w:rsidRPr="000A63B0">
                    <w:rPr>
                      <w:spacing w:val="-6"/>
                    </w:rPr>
                    <w:t xml:space="preserve"> Foreign </w:t>
                  </w:r>
                  <w:r w:rsidR="00E0750B" w:rsidRPr="000A63B0">
                    <w:rPr>
                      <w:spacing w:val="-6"/>
                    </w:rPr>
                    <w:t>d</w:t>
                  </w:r>
                  <w:r w:rsidRPr="000A63B0">
                    <w:rPr>
                      <w:spacing w:val="-6"/>
                    </w:rPr>
                    <w:t xml:space="preserve">ual </w:t>
                  </w:r>
                  <w:r w:rsidR="00E0750B" w:rsidRPr="000A63B0">
                    <w:rPr>
                      <w:spacing w:val="-6"/>
                    </w:rPr>
                    <w:t>l</w:t>
                  </w:r>
                  <w:r w:rsidRPr="000A63B0">
                    <w:rPr>
                      <w:spacing w:val="-6"/>
                    </w:rPr>
                    <w:t>isted</w:t>
                  </w:r>
                </w:p>
              </w:tc>
              <w:tc>
                <w:tcPr>
                  <w:tcW w:w="854" w:type="dxa"/>
                  <w:tcBorders>
                    <w:top w:val="single" w:sz="4" w:space="0" w:color="701F4D" w:themeColor="accent2"/>
                    <w:bottom w:val="single" w:sz="4" w:space="0" w:color="701F4D" w:themeColor="accent2"/>
                  </w:tcBorders>
                  <w:vAlign w:val="center"/>
                </w:tcPr>
                <w:p w14:paraId="47D4E36B" w14:textId="1EA8E7EC" w:rsidR="00F92685" w:rsidRPr="009501BA" w:rsidRDefault="00B87624" w:rsidP="009501BA">
                  <w:pPr>
                    <w:pStyle w:val="TableBodyCellRight"/>
                    <w:cnfStyle w:val="000000000000" w:firstRow="0" w:lastRow="0" w:firstColumn="0" w:lastColumn="0" w:oddVBand="0" w:evenVBand="0" w:oddHBand="0" w:evenHBand="0" w:firstRowFirstColumn="0" w:firstRowLastColumn="0" w:lastRowFirstColumn="0" w:lastRowLastColumn="0"/>
                  </w:pPr>
                  <w:r>
                    <w:t>8</w:t>
                  </w:r>
                </w:p>
              </w:tc>
              <w:tc>
                <w:tcPr>
                  <w:tcW w:w="1236" w:type="dxa"/>
                  <w:tcBorders>
                    <w:top w:val="single" w:sz="4" w:space="0" w:color="701F4D" w:themeColor="accent2"/>
                    <w:bottom w:val="single" w:sz="4" w:space="0" w:color="701F4D" w:themeColor="accent2"/>
                  </w:tcBorders>
                  <w:vAlign w:val="center"/>
                </w:tcPr>
                <w:p w14:paraId="4D255B48" w14:textId="391D34FF" w:rsidR="00F92685" w:rsidRPr="009501BA" w:rsidRDefault="00B87624" w:rsidP="009501BA">
                  <w:pPr>
                    <w:pStyle w:val="TableBodyCellRight"/>
                    <w:cnfStyle w:val="000000000000" w:firstRow="0" w:lastRow="0" w:firstColumn="0" w:lastColumn="0" w:oddVBand="0" w:evenVBand="0" w:oddHBand="0" w:evenHBand="0" w:firstRowFirstColumn="0" w:firstRowLastColumn="0" w:lastRowFirstColumn="0" w:lastRowLastColumn="0"/>
                  </w:pPr>
                  <w:r>
                    <w:t>4</w:t>
                  </w:r>
                  <w:r w:rsidR="00F92685" w:rsidRPr="009501BA">
                    <w:t>%</w:t>
                  </w:r>
                </w:p>
              </w:tc>
            </w:tr>
            <w:tr w:rsidR="00FC0B67" w:rsidRPr="00E0750B" w14:paraId="40BF83CF" w14:textId="77777777" w:rsidTr="00A6464E">
              <w:trPr>
                <w:gridAfter w:val="1"/>
                <w:cnfStyle w:val="000000100000" w:firstRow="0" w:lastRow="0" w:firstColumn="0" w:lastColumn="0" w:oddVBand="0" w:evenVBand="0" w:oddHBand="1" w:evenHBand="0" w:firstRowFirstColumn="0" w:firstRowLastColumn="0" w:lastRowFirstColumn="0" w:lastRowLastColumn="0"/>
                <w:wAfter w:w="22" w:type="dxa"/>
                <w:trHeight w:val="212"/>
              </w:trPr>
              <w:tc>
                <w:tcPr>
                  <w:cnfStyle w:val="001000000000" w:firstRow="0" w:lastRow="0" w:firstColumn="1" w:lastColumn="0" w:oddVBand="0" w:evenVBand="0" w:oddHBand="0" w:evenHBand="0" w:firstRowFirstColumn="0" w:firstRowLastColumn="0" w:lastRowFirstColumn="0" w:lastRowLastColumn="0"/>
                  <w:tcW w:w="2566" w:type="dxa"/>
                  <w:tcBorders>
                    <w:top w:val="single" w:sz="4" w:space="0" w:color="701F4D" w:themeColor="accent2"/>
                    <w:bottom w:val="single" w:sz="8" w:space="0" w:color="701F4D" w:themeColor="accent2"/>
                  </w:tcBorders>
                  <w:shd w:val="clear" w:color="auto" w:fill="F6F2ED" w:themeFill="accent3" w:themeFillTint="33"/>
                  <w:vAlign w:val="center"/>
                </w:tcPr>
                <w:p w14:paraId="18814A8A" w14:textId="359045F0" w:rsidR="00FC0B67" w:rsidRPr="000A63B0" w:rsidRDefault="00FC0B67" w:rsidP="00F6614B">
                  <w:pPr>
                    <w:pStyle w:val="TableBodyCellLeft"/>
                    <w:rPr>
                      <w:spacing w:val="-6"/>
                    </w:rPr>
                  </w:pPr>
                  <w:r>
                    <w:rPr>
                      <w:spacing w:val="-6"/>
                    </w:rPr>
                    <w:t>Undisclosed</w:t>
                  </w:r>
                </w:p>
              </w:tc>
              <w:tc>
                <w:tcPr>
                  <w:tcW w:w="854" w:type="dxa"/>
                  <w:tcBorders>
                    <w:top w:val="single" w:sz="4" w:space="0" w:color="701F4D" w:themeColor="accent2"/>
                    <w:bottom w:val="single" w:sz="8" w:space="0" w:color="701F4D" w:themeColor="accent2"/>
                  </w:tcBorders>
                  <w:vAlign w:val="center"/>
                </w:tcPr>
                <w:p w14:paraId="33155B49" w14:textId="03BF1B60" w:rsidR="00FC0B67" w:rsidRDefault="00BE72E8" w:rsidP="009501BA">
                  <w:pPr>
                    <w:pStyle w:val="TableBodyCellRight"/>
                    <w:cnfStyle w:val="000000100000" w:firstRow="0" w:lastRow="0" w:firstColumn="0" w:lastColumn="0" w:oddVBand="0" w:evenVBand="0" w:oddHBand="1" w:evenHBand="0" w:firstRowFirstColumn="0" w:firstRowLastColumn="0" w:lastRowFirstColumn="0" w:lastRowLastColumn="0"/>
                  </w:pPr>
                  <w:r>
                    <w:t>2</w:t>
                  </w:r>
                </w:p>
              </w:tc>
              <w:tc>
                <w:tcPr>
                  <w:tcW w:w="1236" w:type="dxa"/>
                  <w:tcBorders>
                    <w:top w:val="single" w:sz="4" w:space="0" w:color="701F4D" w:themeColor="accent2"/>
                    <w:bottom w:val="single" w:sz="8" w:space="0" w:color="701F4D" w:themeColor="accent2"/>
                  </w:tcBorders>
                  <w:vAlign w:val="center"/>
                </w:tcPr>
                <w:p w14:paraId="555BE07A" w14:textId="26C8F3D4" w:rsidR="00FC0B67" w:rsidRDefault="00BE72E8" w:rsidP="009501BA">
                  <w:pPr>
                    <w:pStyle w:val="TableBodyCellRight"/>
                    <w:cnfStyle w:val="000000100000" w:firstRow="0" w:lastRow="0" w:firstColumn="0" w:lastColumn="0" w:oddVBand="0" w:evenVBand="0" w:oddHBand="1" w:evenHBand="0" w:firstRowFirstColumn="0" w:firstRowLastColumn="0" w:lastRowFirstColumn="0" w:lastRowLastColumn="0"/>
                  </w:pPr>
                  <w:r>
                    <w:t>1%</w:t>
                  </w:r>
                </w:p>
              </w:tc>
            </w:tr>
          </w:tbl>
          <w:p w14:paraId="36AF5F79" w14:textId="77777777" w:rsidR="00F92685" w:rsidRDefault="00F92685" w:rsidP="000A63B0">
            <w:pPr>
              <w:spacing w:before="0" w:after="0"/>
            </w:pPr>
          </w:p>
        </w:tc>
      </w:tr>
    </w:tbl>
    <w:p w14:paraId="6576B8BE" w14:textId="77777777" w:rsidR="005D5124" w:rsidRDefault="00F92685" w:rsidP="00FD7EDF">
      <w:pPr>
        <w:pStyle w:val="Note"/>
      </w:pPr>
      <w:r w:rsidRPr="000A63B0">
        <w:t xml:space="preserve">*Excludes </w:t>
      </w:r>
      <w:r w:rsidR="00BE72E8">
        <w:t>2</w:t>
      </w:r>
      <w:r w:rsidRPr="000A63B0">
        <w:t xml:space="preserve"> signatories which are yet to notify of publication of TTC reports</w:t>
      </w:r>
      <w:bookmarkStart w:id="67" w:name="_Toc149905534"/>
    </w:p>
    <w:p w14:paraId="26EE1C65" w14:textId="5274CA03" w:rsidR="00FE7A25" w:rsidRPr="005D5124" w:rsidRDefault="00FE7A25" w:rsidP="005D5124">
      <w:r>
        <w:br w:type="page"/>
      </w:r>
    </w:p>
    <w:p w14:paraId="4DADE868" w14:textId="53CB77BA" w:rsidR="00036758" w:rsidRDefault="00036758" w:rsidP="00A33917">
      <w:pPr>
        <w:pStyle w:val="Heading1"/>
        <w:spacing w:before="0"/>
      </w:pPr>
      <w:bookmarkStart w:id="68" w:name="_Toc209006411"/>
      <w:bookmarkStart w:id="69" w:name="_Toc209006598"/>
      <w:r w:rsidRPr="00D51DD4">
        <w:lastRenderedPageBreak/>
        <w:t>The year ahead</w:t>
      </w:r>
      <w:bookmarkEnd w:id="67"/>
      <w:r w:rsidR="004272DA">
        <w:t xml:space="preserve"> – 2024</w:t>
      </w:r>
      <w:r w:rsidR="00852846">
        <w:t>–</w:t>
      </w:r>
      <w:r w:rsidR="004272DA">
        <w:t>25 reporting year</w:t>
      </w:r>
      <w:bookmarkEnd w:id="68"/>
      <w:bookmarkEnd w:id="69"/>
    </w:p>
    <w:p w14:paraId="23B9BE4B" w14:textId="4B21F164" w:rsidR="00036758" w:rsidRPr="005014BA" w:rsidRDefault="00BE52F8" w:rsidP="00036758">
      <w:r>
        <w:t>The 2024</w:t>
      </w:r>
      <w:r w:rsidR="00663D21">
        <w:t>–</w:t>
      </w:r>
      <w:r>
        <w:t xml:space="preserve">25 reporting year will be a </w:t>
      </w:r>
      <w:r w:rsidR="00027519">
        <w:t xml:space="preserve">year of </w:t>
      </w:r>
      <w:r w:rsidR="008A71BB">
        <w:t xml:space="preserve">consolidation </w:t>
      </w:r>
      <w:r w:rsidR="000221A2">
        <w:t>for the Board, with an increased focus on transparency</w:t>
      </w:r>
      <w:r w:rsidR="00557F99">
        <w:t xml:space="preserve">, both from a tax lens and from a </w:t>
      </w:r>
      <w:r w:rsidR="00762445">
        <w:t xml:space="preserve">Board </w:t>
      </w:r>
      <w:r w:rsidR="00557F99">
        <w:t>governance perspective</w:t>
      </w:r>
      <w:r w:rsidR="000221A2">
        <w:t xml:space="preserve">. </w:t>
      </w:r>
      <w:r w:rsidR="00762445">
        <w:t xml:space="preserve">While the </w:t>
      </w:r>
      <w:r w:rsidR="00036758" w:rsidRPr="005014BA">
        <w:t>Board will continue to provide proactive policy advice to the Government on issues as they come to hand</w:t>
      </w:r>
      <w:r w:rsidR="00762445">
        <w:t xml:space="preserve">, there will be an increased focus on how the Board </w:t>
      </w:r>
      <w:r w:rsidR="00046706">
        <w:t xml:space="preserve">promotes and </w:t>
      </w:r>
      <w:r w:rsidR="00762445">
        <w:t xml:space="preserve">presents itself to </w:t>
      </w:r>
      <w:r w:rsidR="00327C3D">
        <w:t>our stakeholders</w:t>
      </w:r>
      <w:r w:rsidR="00036758" w:rsidRPr="005014BA">
        <w:t xml:space="preserve">. </w:t>
      </w:r>
      <w:r w:rsidR="00A85791">
        <w:t>T</w:t>
      </w:r>
      <w:r w:rsidR="00036758" w:rsidRPr="005014BA">
        <w:t xml:space="preserve">he Board will </w:t>
      </w:r>
      <w:r w:rsidR="00A85791">
        <w:t xml:space="preserve">also </w:t>
      </w:r>
      <w:r w:rsidR="00036758" w:rsidRPr="005014BA">
        <w:t xml:space="preserve">continue to action any other matters referred to the Board by Ministers. </w:t>
      </w:r>
    </w:p>
    <w:p w14:paraId="27C60064" w14:textId="39D5A32E" w:rsidR="00036758" w:rsidRPr="005014BA" w:rsidRDefault="00036758" w:rsidP="00036758">
      <w:r w:rsidRPr="005014BA">
        <w:t>A key focus for the Board in 202</w:t>
      </w:r>
      <w:r w:rsidR="00160A2C">
        <w:t>4</w:t>
      </w:r>
      <w:r w:rsidR="00DD011F">
        <w:t>–</w:t>
      </w:r>
      <w:r w:rsidRPr="005014BA">
        <w:t>2</w:t>
      </w:r>
      <w:r w:rsidR="00160A2C">
        <w:t>5</w:t>
      </w:r>
      <w:r w:rsidRPr="005014BA">
        <w:t xml:space="preserve"> will be working with the Government and the taxation community on delivering its objectives. </w:t>
      </w:r>
      <w:r w:rsidR="00865CAA">
        <w:t>T</w:t>
      </w:r>
      <w:r w:rsidR="00865CAA" w:rsidRPr="005014BA">
        <w:t>he Board</w:t>
      </w:r>
      <w:r w:rsidR="00360869">
        <w:t>’</w:t>
      </w:r>
      <w:r w:rsidR="00145889">
        <w:t xml:space="preserve">s updated stakeholder engagement strategy will see the Board hosting more targeted </w:t>
      </w:r>
      <w:r w:rsidR="005E6C06">
        <w:t>stakeholder</w:t>
      </w:r>
      <w:r w:rsidR="00145889">
        <w:t xml:space="preserve"> events so we can hear about the current issues and emerging trends impacting the business and tax community. As mentioned above, the key themes coming out of these events will feed into the Board</w:t>
      </w:r>
      <w:r w:rsidR="00360869">
        <w:t>’</w:t>
      </w:r>
      <w:r w:rsidR="00145889">
        <w:t xml:space="preserve">s future work program to shape </w:t>
      </w:r>
      <w:r w:rsidR="005E6C06">
        <w:t xml:space="preserve">the projects we undertake. </w:t>
      </w:r>
      <w:r w:rsidR="001611F4">
        <w:t xml:space="preserve">The Board will focus on modernising our website and </w:t>
      </w:r>
      <w:r w:rsidR="00AA521C">
        <w:t xml:space="preserve">improve the way we communicate with stakeholders and promote the Board. </w:t>
      </w:r>
    </w:p>
    <w:p w14:paraId="7209B831" w14:textId="34C8FAB1" w:rsidR="00036758" w:rsidRPr="005014BA" w:rsidRDefault="001F50D7" w:rsidP="00036758">
      <w:r>
        <w:t>The Board</w:t>
      </w:r>
      <w:r w:rsidR="00181D8A">
        <w:t xml:space="preserve"> </w:t>
      </w:r>
      <w:r w:rsidR="00036758" w:rsidRPr="005014BA">
        <w:t xml:space="preserve">looks forward to </w:t>
      </w:r>
      <w:r w:rsidR="00A55DF1">
        <w:t xml:space="preserve">continuing its </w:t>
      </w:r>
      <w:r w:rsidR="00A31568">
        <w:t>engag</w:t>
      </w:r>
      <w:r w:rsidR="00A55DF1">
        <w:t>ement</w:t>
      </w:r>
      <w:r w:rsidR="00A31568">
        <w:t xml:space="preserve"> </w:t>
      </w:r>
      <w:r w:rsidR="00036758" w:rsidRPr="005014BA">
        <w:t>with</w:t>
      </w:r>
      <w:r>
        <w:t xml:space="preserve"> stakeholders </w:t>
      </w:r>
      <w:r w:rsidR="00A31568">
        <w:t>during the 2024</w:t>
      </w:r>
      <w:r w:rsidR="00663D21">
        <w:t>–</w:t>
      </w:r>
      <w:r w:rsidR="00A31568">
        <w:t>25 reporting year to hear about issues impacting them. The Board</w:t>
      </w:r>
      <w:r w:rsidR="00B06D5F">
        <w:t xml:space="preserve"> </w:t>
      </w:r>
      <w:r w:rsidR="000F5093">
        <w:t>is</w:t>
      </w:r>
      <w:r w:rsidR="00A31568">
        <w:t xml:space="preserve"> </w:t>
      </w:r>
      <w:r w:rsidR="00B60D8F">
        <w:t>also committed to working with the</w:t>
      </w:r>
      <w:r w:rsidR="00036758" w:rsidRPr="005014BA">
        <w:t xml:space="preserve"> Government to </w:t>
      </w:r>
      <w:r w:rsidR="00AE71D4">
        <w:t>lay</w:t>
      </w:r>
      <w:r w:rsidR="00612BDB">
        <w:t xml:space="preserve"> </w:t>
      </w:r>
      <w:r w:rsidR="00AE71D4">
        <w:t>out</w:t>
      </w:r>
      <w:r w:rsidR="00036758" w:rsidRPr="005014BA">
        <w:t xml:space="preserve"> the Board</w:t>
      </w:r>
      <w:r w:rsidR="00360869">
        <w:t>’</w:t>
      </w:r>
      <w:r w:rsidR="00036758" w:rsidRPr="005014BA">
        <w:t>s future work program and</w:t>
      </w:r>
      <w:r w:rsidR="00AE71D4">
        <w:t xml:space="preserve"> discuss</w:t>
      </w:r>
      <w:r w:rsidR="00036758" w:rsidRPr="005014BA">
        <w:t xml:space="preserve"> how the Board can continue to contribute to Australia</w:t>
      </w:r>
      <w:r w:rsidR="00360869">
        <w:t>’</w:t>
      </w:r>
      <w:r w:rsidR="00036758" w:rsidRPr="005014BA">
        <w:t xml:space="preserve">s tax system. </w:t>
      </w:r>
    </w:p>
    <w:p w14:paraId="75BAFF84" w14:textId="77777777" w:rsidR="00036758" w:rsidRDefault="00036758">
      <w:r>
        <w:br w:type="page"/>
      </w:r>
    </w:p>
    <w:p w14:paraId="21E97127" w14:textId="2785D1B2" w:rsidR="00036758" w:rsidRDefault="00036758" w:rsidP="00A33917">
      <w:pPr>
        <w:pStyle w:val="Heading1"/>
        <w:spacing w:before="0"/>
      </w:pPr>
      <w:bookmarkStart w:id="70" w:name="_Toc149905535"/>
      <w:bookmarkStart w:id="71" w:name="_Ref158727428"/>
      <w:bookmarkStart w:id="72" w:name="_Toc209006412"/>
      <w:bookmarkStart w:id="73" w:name="_Toc209006599"/>
      <w:r>
        <w:lastRenderedPageBreak/>
        <w:t>Appendix A: The Board</w:t>
      </w:r>
      <w:r w:rsidR="00360869">
        <w:t>’</w:t>
      </w:r>
      <w:r>
        <w:t>s Charter</w:t>
      </w:r>
      <w:bookmarkEnd w:id="70"/>
      <w:bookmarkEnd w:id="71"/>
      <w:bookmarkEnd w:id="72"/>
      <w:bookmarkEnd w:id="73"/>
    </w:p>
    <w:p w14:paraId="13A6A4EF" w14:textId="025EC2EB" w:rsidR="00036758" w:rsidRDefault="00036758" w:rsidP="00DD011F">
      <w:pPr>
        <w:pStyle w:val="Heading2"/>
      </w:pPr>
      <w:bookmarkStart w:id="74" w:name="_Toc149905536"/>
      <w:bookmarkStart w:id="75" w:name="_Toc159253857"/>
      <w:bookmarkStart w:id="76" w:name="_Toc209006600"/>
      <w:r>
        <w:t xml:space="preserve">The </w:t>
      </w:r>
      <w:r w:rsidRPr="00DD011F">
        <w:t>Charter</w:t>
      </w:r>
      <w:bookmarkEnd w:id="74"/>
      <w:bookmarkEnd w:id="75"/>
      <w:bookmarkEnd w:id="76"/>
    </w:p>
    <w:p w14:paraId="7B122E67" w14:textId="77777777" w:rsidR="00036758" w:rsidRPr="00DD011F" w:rsidRDefault="00036758" w:rsidP="00DD011F">
      <w:pPr>
        <w:pStyle w:val="Heading3"/>
      </w:pPr>
      <w:r>
        <w:t>Mission</w:t>
      </w:r>
    </w:p>
    <w:p w14:paraId="038B0D7F" w14:textId="03124DAA" w:rsidR="00036758" w:rsidRDefault="00036758" w:rsidP="00DD011F">
      <w:r>
        <w:t>Recognising the Government</w:t>
      </w:r>
      <w:r w:rsidR="00360869">
        <w:t>’</w:t>
      </w:r>
      <w:r>
        <w:t>s responsibility for determining taxation policy and the statutory roles of the Commissioner of Taxation and the Inspector General of Taxation, the Board</w:t>
      </w:r>
      <w:r w:rsidR="00360869">
        <w:t>’</w:t>
      </w:r>
      <w:r>
        <w:t>s mission is to contribute a business and broader community perspective to improving the design of taxation laws and their operation.</w:t>
      </w:r>
    </w:p>
    <w:p w14:paraId="08918028" w14:textId="77777777" w:rsidR="00036758" w:rsidRDefault="00036758" w:rsidP="00036758">
      <w:pPr>
        <w:pStyle w:val="Heading3"/>
      </w:pPr>
      <w:r>
        <w:t>Membership</w:t>
      </w:r>
    </w:p>
    <w:p w14:paraId="50EE28CA" w14:textId="4C1F01EB" w:rsidR="00036758" w:rsidRDefault="00036758" w:rsidP="00DD011F">
      <w:r>
        <w:t xml:space="preserve">Members of the Board will be appointed by the Treasurer, for a term of up to </w:t>
      </w:r>
      <w:r w:rsidR="0032350C">
        <w:t>3</w:t>
      </w:r>
      <w:r>
        <w:t xml:space="preserve"> years, in their personal capacity. It is expected that members will be appointed from within the business and wider community having regard to their ability to contribute at the highest level to the development of the taxation system. The Chair will be appointed by the Treasurer from among these members of the Board. If the Treasurer decides to appoint a Deputy Chair, he or she will also be appointed from among these members of the Board. Members may be re</w:t>
      </w:r>
      <w:r w:rsidR="00360869">
        <w:noBreakHyphen/>
      </w:r>
      <w:r>
        <w:t>appointed.</w:t>
      </w:r>
    </w:p>
    <w:p w14:paraId="5B9FB84E" w14:textId="5BCCDC71" w:rsidR="00036758" w:rsidRDefault="00036758" w:rsidP="00DD011F">
      <w:r>
        <w:t>In addition, the Secretary to the Department of the Treasury, the Commissioner of Taxation and the First Parliamentary Counsel will also be members of the Board. Each may be represented by a delegate.</w:t>
      </w:r>
    </w:p>
    <w:p w14:paraId="196E69E5" w14:textId="77777777" w:rsidR="00036758" w:rsidRDefault="00036758" w:rsidP="00DD011F">
      <w:pPr>
        <w:pStyle w:val="Heading3"/>
      </w:pPr>
      <w:r w:rsidRPr="00DD011F">
        <w:t>Function</w:t>
      </w:r>
    </w:p>
    <w:p w14:paraId="3BE13CB3" w14:textId="77777777" w:rsidR="00036758" w:rsidRDefault="00036758" w:rsidP="00DD011F">
      <w:r>
        <w:t>The Board will provide advice to the Treasurer on:</w:t>
      </w:r>
    </w:p>
    <w:p w14:paraId="4AE275F2" w14:textId="711E7762" w:rsidR="00036758" w:rsidRDefault="00036758" w:rsidP="00DD011F">
      <w:pPr>
        <w:pStyle w:val="Bullet"/>
      </w:pPr>
      <w:r>
        <w:t>the quality and effectiveness of taxation legislation and the processes for its development, including the processes of community consultation and other aspects of taxation design</w:t>
      </w:r>
    </w:p>
    <w:p w14:paraId="0BC93772" w14:textId="6D4B8EBA" w:rsidR="00036758" w:rsidRDefault="00036758" w:rsidP="00DD011F">
      <w:pPr>
        <w:pStyle w:val="Bullet"/>
      </w:pPr>
      <w:r>
        <w:t>improvements to the general integrity and functioning of the taxation system</w:t>
      </w:r>
    </w:p>
    <w:p w14:paraId="3A1F3E4B" w14:textId="773762AF" w:rsidR="00036758" w:rsidRDefault="00036758" w:rsidP="00DD011F">
      <w:pPr>
        <w:pStyle w:val="Bullet"/>
      </w:pPr>
      <w:r>
        <w:t>research and other studies commissioned by the Board on topics approved or referred by the Treasurer</w:t>
      </w:r>
    </w:p>
    <w:p w14:paraId="77EA904E" w14:textId="77777777" w:rsidR="00036758" w:rsidRDefault="00036758" w:rsidP="00DD011F">
      <w:pPr>
        <w:pStyle w:val="Bullet"/>
      </w:pPr>
      <w:r>
        <w:t>other taxation matters referred to the Board by the Treasurer.</w:t>
      </w:r>
    </w:p>
    <w:p w14:paraId="7CAEF05A" w14:textId="77777777" w:rsidR="00036758" w:rsidRDefault="00036758" w:rsidP="00DD011F">
      <w:pPr>
        <w:pStyle w:val="Heading3"/>
      </w:pPr>
      <w:r>
        <w:lastRenderedPageBreak/>
        <w:t>Relationship to other boards and bodies</w:t>
      </w:r>
    </w:p>
    <w:p w14:paraId="5E479BD0" w14:textId="2AF7AF06" w:rsidR="00036758" w:rsidRDefault="00036758" w:rsidP="00DD011F">
      <w:r>
        <w:t xml:space="preserve">From time to time the Government or the Treasurer may establish other boards or bodies with set terms of reference to advise on aspects of the taxation law. The Treasurer will advise the Board on a </w:t>
      </w:r>
      <w:r w:rsidR="0CF61607" w:rsidRPr="1FE0D6BA">
        <w:t>case</w:t>
      </w:r>
      <w:r w:rsidR="00360869">
        <w:noBreakHyphen/>
      </w:r>
      <w:r>
        <w:t>by</w:t>
      </w:r>
      <w:r w:rsidR="00360869">
        <w:noBreakHyphen/>
      </w:r>
      <w:r>
        <w:t>case basis of its responsibilities, if any, in respect of issues covered by other boards and bodies.</w:t>
      </w:r>
    </w:p>
    <w:p w14:paraId="7C3162C9" w14:textId="1880D32F" w:rsidR="00036758" w:rsidRDefault="00036758" w:rsidP="00DD011F">
      <w:pPr>
        <w:pStyle w:val="Heading3"/>
      </w:pPr>
      <w:r>
        <w:t>Report</w:t>
      </w:r>
      <w:r w:rsidR="4817A6B5">
        <w:t xml:space="preserve"> </w:t>
      </w:r>
    </w:p>
    <w:p w14:paraId="0DA7AC43" w14:textId="77777777" w:rsidR="00036758" w:rsidRDefault="00036758" w:rsidP="00DD011F">
      <w:r>
        <w:t xml:space="preserve">The Chair of the Board will report to the Treasurer, at least annually, on the operation of the Board during </w:t>
      </w:r>
      <w:r w:rsidRPr="00DD011F">
        <w:t>the year.</w:t>
      </w:r>
    </w:p>
    <w:p w14:paraId="748847E6" w14:textId="77777777" w:rsidR="00036758" w:rsidRDefault="00036758" w:rsidP="00036758">
      <w:pPr>
        <w:pStyle w:val="Heading3"/>
      </w:pPr>
      <w:r>
        <w:t>Secretariat</w:t>
      </w:r>
    </w:p>
    <w:p w14:paraId="2B3B4049" w14:textId="77777777" w:rsidR="00036758" w:rsidRDefault="00036758" w:rsidP="00DD011F">
      <w:r>
        <w:t>The Board will be supported by a Secretariat provided by the Treasury who may engage secondees from the private sector or other government agencies to fill certain roles.</w:t>
      </w:r>
    </w:p>
    <w:p w14:paraId="1B1E0292" w14:textId="77777777" w:rsidR="00036758" w:rsidRDefault="00036758" w:rsidP="00DD011F">
      <w:pPr>
        <w:pStyle w:val="Heading3"/>
      </w:pPr>
      <w:r w:rsidRPr="00DD011F">
        <w:t>Other</w:t>
      </w:r>
    </w:p>
    <w:p w14:paraId="69554A8B" w14:textId="01F37C50" w:rsidR="00036758" w:rsidRDefault="00036758" w:rsidP="00DD011F">
      <w:r>
        <w:t>Members will meet regularly during the year as determined by the Board</w:t>
      </w:r>
      <w:r w:rsidR="00360869">
        <w:t>’</w:t>
      </w:r>
      <w:r>
        <w:t>s work program and priorities.</w:t>
      </w:r>
    </w:p>
    <w:p w14:paraId="0819967C" w14:textId="2368964B" w:rsidR="00036758" w:rsidRDefault="00036758" w:rsidP="00DD011F">
      <w:r>
        <w:t>Non</w:t>
      </w:r>
      <w:r w:rsidR="00360869">
        <w:noBreakHyphen/>
      </w:r>
      <w:r>
        <w:t>government members will receive remuneration and allowances to cover travelling and other expenses, at rates in accordance with Remuneration Tribunal determinations for part time public offices.</w:t>
      </w:r>
    </w:p>
    <w:p w14:paraId="58AEBA4F" w14:textId="77777777" w:rsidR="00036758" w:rsidRDefault="00036758" w:rsidP="00DD011F">
      <w:r>
        <w:t>The Government will determine an annual budget allocation for the Board.</w:t>
      </w:r>
    </w:p>
    <w:p w14:paraId="422E496F" w14:textId="77777777" w:rsidR="00036758" w:rsidRDefault="00036758" w:rsidP="00036758">
      <w:r>
        <w:br w:type="page"/>
      </w:r>
    </w:p>
    <w:p w14:paraId="04C3EDE9" w14:textId="77777777" w:rsidR="00036758" w:rsidRPr="00F41AB1" w:rsidRDefault="00036758" w:rsidP="000B246A">
      <w:pPr>
        <w:pStyle w:val="Heading1"/>
        <w:spacing w:before="0"/>
      </w:pPr>
      <w:bookmarkStart w:id="77" w:name="_Toc149905537"/>
      <w:bookmarkStart w:id="78" w:name="_Toc209006413"/>
      <w:bookmarkStart w:id="79" w:name="_Toc209006601"/>
      <w:r>
        <w:lastRenderedPageBreak/>
        <w:t xml:space="preserve">Appendix B: Membership of the </w:t>
      </w:r>
      <w:r w:rsidRPr="00DD011F">
        <w:t>Board</w:t>
      </w:r>
      <w:bookmarkEnd w:id="77"/>
      <w:bookmarkEnd w:id="78"/>
      <w:bookmarkEnd w:id="79"/>
    </w:p>
    <w:p w14:paraId="6B8ABB2A" w14:textId="77777777" w:rsidR="00036758" w:rsidRDefault="00036758" w:rsidP="00036758">
      <w:pPr>
        <w:pStyle w:val="Heading2"/>
      </w:pPr>
      <w:bookmarkStart w:id="80" w:name="_Toc149905538"/>
      <w:bookmarkStart w:id="81" w:name="_Toc159253859"/>
      <w:bookmarkStart w:id="82" w:name="_Toc209006602"/>
      <w:r>
        <w:t>Terms of Board members</w:t>
      </w:r>
      <w:bookmarkEnd w:id="80"/>
      <w:bookmarkEnd w:id="81"/>
      <w:bookmarkEnd w:id="82"/>
    </w:p>
    <w:p w14:paraId="443B2AF3" w14:textId="76F725CA" w:rsidR="00036758" w:rsidRDefault="00036758" w:rsidP="00036758">
      <w:r>
        <w:t>The terms of members of the Board during the 202</w:t>
      </w:r>
      <w:r w:rsidR="00B868A0">
        <w:t>3</w:t>
      </w:r>
      <w:r w:rsidR="005348C7">
        <w:t>–</w:t>
      </w:r>
      <w:r>
        <w:t>2</w:t>
      </w:r>
      <w:r w:rsidR="00B868A0">
        <w:t>4</w:t>
      </w:r>
      <w:r>
        <w:t xml:space="preserve"> year are set out in the following table.</w:t>
      </w:r>
    </w:p>
    <w:p w14:paraId="2CEB8D50" w14:textId="77777777" w:rsidR="00036758" w:rsidRDefault="00036758" w:rsidP="00F6614B">
      <w:pPr>
        <w:pStyle w:val="TableHeading1"/>
      </w:pPr>
      <w:r>
        <w:t>Table 1: Terms of Board members</w:t>
      </w:r>
    </w:p>
    <w:tbl>
      <w:tblPr>
        <w:tblStyle w:val="ListTable3-Accent1"/>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bottom w:w="57" w:type="dxa"/>
        </w:tblCellMar>
        <w:tblLook w:val="04A0" w:firstRow="1" w:lastRow="0" w:firstColumn="1" w:lastColumn="0" w:noHBand="0" w:noVBand="1"/>
      </w:tblPr>
      <w:tblGrid>
        <w:gridCol w:w="3214"/>
        <w:gridCol w:w="3213"/>
        <w:gridCol w:w="3214"/>
      </w:tblGrid>
      <w:tr w:rsidR="00044314" w14:paraId="2EA3A29D" w14:textId="77777777" w:rsidTr="008F4F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10" w:type="dxa"/>
          </w:tcPr>
          <w:p w14:paraId="6398F227" w14:textId="77777777" w:rsidR="00036758" w:rsidRPr="00F04C7B" w:rsidRDefault="00036758" w:rsidP="00647DF1">
            <w:pPr>
              <w:pStyle w:val="TableHeaderCellLeft"/>
            </w:pPr>
            <w:r>
              <w:t>Member</w:t>
            </w:r>
          </w:p>
        </w:tc>
        <w:tc>
          <w:tcPr>
            <w:tcW w:w="3210" w:type="dxa"/>
            <w:tcBorders>
              <w:bottom w:val="nil"/>
            </w:tcBorders>
          </w:tcPr>
          <w:p w14:paraId="7D8EB5EE" w14:textId="77777777" w:rsidR="00036758" w:rsidRPr="00F04C7B" w:rsidRDefault="00036758" w:rsidP="00647DF1">
            <w:pPr>
              <w:pStyle w:val="TableHeaderCellLeft"/>
              <w:cnfStyle w:val="100000000000" w:firstRow="1" w:lastRow="0" w:firstColumn="0" w:lastColumn="0" w:oddVBand="0" w:evenVBand="0" w:oddHBand="0" w:evenHBand="0" w:firstRowFirstColumn="0" w:firstRowLastColumn="0" w:lastRowFirstColumn="0" w:lastRowLastColumn="0"/>
            </w:pPr>
            <w:r>
              <w:t>Initial term commenced</w:t>
            </w:r>
          </w:p>
        </w:tc>
        <w:tc>
          <w:tcPr>
            <w:tcW w:w="3211" w:type="dxa"/>
            <w:tcBorders>
              <w:bottom w:val="nil"/>
            </w:tcBorders>
          </w:tcPr>
          <w:p w14:paraId="66E65DA6" w14:textId="77777777" w:rsidR="00036758" w:rsidRPr="00F04C7B" w:rsidRDefault="00036758" w:rsidP="00647DF1">
            <w:pPr>
              <w:pStyle w:val="TableHeaderCellLeft"/>
              <w:cnfStyle w:val="100000000000" w:firstRow="1" w:lastRow="0" w:firstColumn="0" w:lastColumn="0" w:oddVBand="0" w:evenVBand="0" w:oddHBand="0" w:evenHBand="0" w:firstRowFirstColumn="0" w:firstRowLastColumn="0" w:lastRowFirstColumn="0" w:lastRowLastColumn="0"/>
            </w:pPr>
            <w:r>
              <w:t>Term expires/ceased</w:t>
            </w:r>
          </w:p>
        </w:tc>
      </w:tr>
      <w:tr w:rsidR="00036758" w14:paraId="4C9799E2" w14:textId="77777777" w:rsidTr="008F4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top w:val="nil"/>
            </w:tcBorders>
            <w:shd w:val="clear" w:color="auto" w:fill="F6F2ED" w:themeFill="accent3" w:themeFillTint="33"/>
          </w:tcPr>
          <w:p w14:paraId="56A23DCC" w14:textId="77777777" w:rsidR="00036758" w:rsidRDefault="00036758" w:rsidP="00647DF1">
            <w:pPr>
              <w:pStyle w:val="TableBodyCellLeft"/>
            </w:pPr>
            <w:r>
              <w:t xml:space="preserve">Rosheen </w:t>
            </w:r>
            <w:proofErr w:type="spellStart"/>
            <w:r>
              <w:t>Garnon</w:t>
            </w:r>
            <w:proofErr w:type="spellEnd"/>
            <w:r>
              <w:t>, Chair</w:t>
            </w:r>
          </w:p>
        </w:tc>
        <w:tc>
          <w:tcPr>
            <w:tcW w:w="3210" w:type="dxa"/>
            <w:tcBorders>
              <w:top w:val="nil"/>
            </w:tcBorders>
            <w:vAlign w:val="center"/>
          </w:tcPr>
          <w:p w14:paraId="29299001" w14:textId="77777777"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26</w:t>
            </w:r>
            <w:r>
              <w:t> March </w:t>
            </w:r>
            <w:r w:rsidRPr="00E56C9E">
              <w:t>2020</w:t>
            </w:r>
          </w:p>
        </w:tc>
        <w:tc>
          <w:tcPr>
            <w:tcW w:w="3211" w:type="dxa"/>
            <w:tcBorders>
              <w:top w:val="nil"/>
            </w:tcBorders>
            <w:vAlign w:val="center"/>
          </w:tcPr>
          <w:p w14:paraId="3A86487C" w14:textId="77777777"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25</w:t>
            </w:r>
            <w:r>
              <w:t> March </w:t>
            </w:r>
            <w:r w:rsidRPr="00E56C9E">
              <w:t>202</w:t>
            </w:r>
            <w:r>
              <w:t>6</w:t>
            </w:r>
          </w:p>
        </w:tc>
      </w:tr>
      <w:tr w:rsidR="00036758" w14:paraId="44D059A7" w14:textId="77777777" w:rsidTr="008F4F2F">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142147" w:themeColor="accent1"/>
              <w:bottom w:val="single" w:sz="4" w:space="0" w:color="142147" w:themeColor="accent1"/>
            </w:tcBorders>
            <w:shd w:val="clear" w:color="auto" w:fill="F6F2ED" w:themeFill="accent3" w:themeFillTint="33"/>
          </w:tcPr>
          <w:p w14:paraId="6EF74EF6" w14:textId="77777777" w:rsidR="00036758" w:rsidRPr="003A3F3C" w:rsidRDefault="00036758" w:rsidP="00647DF1">
            <w:pPr>
              <w:pStyle w:val="TableBodyCellLeft"/>
              <w:rPr>
                <w:lang w:val="fr-FR"/>
              </w:rPr>
            </w:pPr>
            <w:r w:rsidRPr="003A3F3C">
              <w:rPr>
                <w:lang w:val="fr-FR"/>
              </w:rPr>
              <w:t>Dr Julianne Jaques KC</w:t>
            </w:r>
            <w:r w:rsidRPr="003A3F3C">
              <w:rPr>
                <w:vertAlign w:val="superscript"/>
                <w:lang w:val="fr-FR"/>
              </w:rPr>
              <w:t>(a)</w:t>
            </w:r>
          </w:p>
        </w:tc>
        <w:tc>
          <w:tcPr>
            <w:tcW w:w="3210" w:type="dxa"/>
            <w:tcBorders>
              <w:top w:val="single" w:sz="4" w:space="0" w:color="142147" w:themeColor="accent1"/>
              <w:bottom w:val="single" w:sz="4" w:space="0" w:color="142147" w:themeColor="accent1"/>
            </w:tcBorders>
            <w:vAlign w:val="center"/>
          </w:tcPr>
          <w:p w14:paraId="209D27BC"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1</w:t>
            </w:r>
            <w:r>
              <w:t> July </w:t>
            </w:r>
            <w:r w:rsidRPr="00E56C9E">
              <w:t>2017</w:t>
            </w:r>
          </w:p>
        </w:tc>
        <w:tc>
          <w:tcPr>
            <w:tcW w:w="3211" w:type="dxa"/>
            <w:tcBorders>
              <w:top w:val="single" w:sz="4" w:space="0" w:color="142147" w:themeColor="accent1"/>
              <w:bottom w:val="single" w:sz="4" w:space="0" w:color="142147" w:themeColor="accent1"/>
            </w:tcBorders>
            <w:vAlign w:val="center"/>
          </w:tcPr>
          <w:p w14:paraId="480A0E38" w14:textId="0EBD7D40"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30</w:t>
            </w:r>
            <w:r w:rsidR="00F51054">
              <w:t xml:space="preserve"> September 2025</w:t>
            </w:r>
          </w:p>
        </w:tc>
      </w:tr>
      <w:tr w:rsidR="00036758" w14:paraId="09855C02" w14:textId="77777777" w:rsidTr="008F4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shd w:val="clear" w:color="auto" w:fill="F6F2ED" w:themeFill="accent3" w:themeFillTint="33"/>
          </w:tcPr>
          <w:p w14:paraId="080C374F" w14:textId="77777777" w:rsidR="00036758" w:rsidRDefault="00036758" w:rsidP="00647DF1">
            <w:pPr>
              <w:pStyle w:val="TableBodyCellLeft"/>
            </w:pPr>
            <w:r>
              <w:t>Ian Kellock</w:t>
            </w:r>
          </w:p>
        </w:tc>
        <w:tc>
          <w:tcPr>
            <w:tcW w:w="3210" w:type="dxa"/>
            <w:vAlign w:val="center"/>
          </w:tcPr>
          <w:p w14:paraId="57B28ACB" w14:textId="75E77F4A"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12</w:t>
            </w:r>
            <w:r>
              <w:t> May </w:t>
            </w:r>
            <w:r w:rsidRPr="00E56C9E">
              <w:t>202</w:t>
            </w:r>
            <w:r w:rsidR="00B3622C">
              <w:t>1</w:t>
            </w:r>
          </w:p>
        </w:tc>
        <w:tc>
          <w:tcPr>
            <w:tcW w:w="3211" w:type="dxa"/>
            <w:vAlign w:val="center"/>
          </w:tcPr>
          <w:p w14:paraId="77837751" w14:textId="01696959"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11</w:t>
            </w:r>
            <w:r>
              <w:t> </w:t>
            </w:r>
            <w:r w:rsidR="00886E33" w:rsidRPr="00754C00">
              <w:t>August</w:t>
            </w:r>
            <w:r>
              <w:t> </w:t>
            </w:r>
            <w:r w:rsidRPr="00E56C9E">
              <w:t>202</w:t>
            </w:r>
            <w:r w:rsidR="00886E33">
              <w:t>7</w:t>
            </w:r>
          </w:p>
        </w:tc>
      </w:tr>
      <w:tr w:rsidR="00036758" w14:paraId="09AC6BFF" w14:textId="77777777" w:rsidTr="008F4F2F">
        <w:tc>
          <w:tcPr>
            <w:cnfStyle w:val="001000000000" w:firstRow="0" w:lastRow="0" w:firstColumn="1" w:lastColumn="0" w:oddVBand="0" w:evenVBand="0" w:oddHBand="0" w:evenHBand="0" w:firstRowFirstColumn="0" w:firstRowLastColumn="0" w:lastRowFirstColumn="0" w:lastRowLastColumn="0"/>
            <w:tcW w:w="3210" w:type="dxa"/>
            <w:shd w:val="clear" w:color="auto" w:fill="F6F2ED" w:themeFill="accent3" w:themeFillTint="33"/>
          </w:tcPr>
          <w:p w14:paraId="6BC88633" w14:textId="77777777" w:rsidR="00036758" w:rsidRDefault="00036758" w:rsidP="00647DF1">
            <w:pPr>
              <w:pStyle w:val="TableBodyCellLeft"/>
            </w:pPr>
            <w:r>
              <w:t>Andrea Laing</w:t>
            </w:r>
          </w:p>
        </w:tc>
        <w:tc>
          <w:tcPr>
            <w:tcW w:w="3210" w:type="dxa"/>
            <w:vAlign w:val="center"/>
          </w:tcPr>
          <w:p w14:paraId="06D13A75"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t>21 October 2021</w:t>
            </w:r>
          </w:p>
        </w:tc>
        <w:tc>
          <w:tcPr>
            <w:tcW w:w="3211" w:type="dxa"/>
            <w:vAlign w:val="center"/>
          </w:tcPr>
          <w:p w14:paraId="23BC4B96"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t>21 October 2024</w:t>
            </w:r>
          </w:p>
        </w:tc>
      </w:tr>
      <w:tr w:rsidR="00036758" w14:paraId="6AC61D5E" w14:textId="77777777" w:rsidTr="008F4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shd w:val="clear" w:color="auto" w:fill="F6F2ED" w:themeFill="accent3" w:themeFillTint="33"/>
          </w:tcPr>
          <w:p w14:paraId="36B7D973" w14:textId="77777777" w:rsidR="00036758" w:rsidRDefault="00036758" w:rsidP="00647DF1">
            <w:pPr>
              <w:pStyle w:val="TableBodyCellLeft"/>
            </w:pPr>
            <w:r>
              <w:t>Tanya Titman</w:t>
            </w:r>
          </w:p>
        </w:tc>
        <w:tc>
          <w:tcPr>
            <w:tcW w:w="3210" w:type="dxa"/>
            <w:vAlign w:val="center"/>
          </w:tcPr>
          <w:p w14:paraId="461DD304" w14:textId="77777777"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12</w:t>
            </w:r>
            <w:r>
              <w:t> May </w:t>
            </w:r>
            <w:r w:rsidRPr="00E56C9E">
              <w:t>2021</w:t>
            </w:r>
          </w:p>
        </w:tc>
        <w:tc>
          <w:tcPr>
            <w:tcW w:w="3211" w:type="dxa"/>
            <w:vAlign w:val="center"/>
          </w:tcPr>
          <w:p w14:paraId="013509D0" w14:textId="77777777"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11</w:t>
            </w:r>
            <w:r>
              <w:t> May </w:t>
            </w:r>
            <w:r w:rsidRPr="00E56C9E">
              <w:t>2024</w:t>
            </w:r>
          </w:p>
        </w:tc>
      </w:tr>
      <w:tr w:rsidR="00043FF7" w14:paraId="7C9DF2E2" w14:textId="77777777" w:rsidTr="008F4F2F">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142147" w:themeColor="accent1"/>
              <w:bottom w:val="single" w:sz="4" w:space="0" w:color="142147" w:themeColor="accent1"/>
            </w:tcBorders>
            <w:shd w:val="clear" w:color="auto" w:fill="F6F2ED" w:themeFill="accent3" w:themeFillTint="33"/>
          </w:tcPr>
          <w:p w14:paraId="48B8AA6F" w14:textId="44CAE248" w:rsidR="00043FF7" w:rsidRDefault="00043FF7" w:rsidP="00647DF1">
            <w:pPr>
              <w:pStyle w:val="TableBodyCellLeft"/>
            </w:pPr>
            <w:r>
              <w:t>Andrew Mills</w:t>
            </w:r>
          </w:p>
        </w:tc>
        <w:tc>
          <w:tcPr>
            <w:tcW w:w="3210" w:type="dxa"/>
            <w:tcBorders>
              <w:top w:val="single" w:sz="4" w:space="0" w:color="142147" w:themeColor="accent1"/>
              <w:bottom w:val="single" w:sz="4" w:space="0" w:color="142147" w:themeColor="accent1"/>
            </w:tcBorders>
            <w:vAlign w:val="center"/>
          </w:tcPr>
          <w:p w14:paraId="6F6F50BE" w14:textId="0CAEDFBF" w:rsidR="00043FF7" w:rsidRPr="00E56C9E" w:rsidRDefault="00845477" w:rsidP="00647DF1">
            <w:pPr>
              <w:pStyle w:val="TableBodyCellLeft"/>
              <w:cnfStyle w:val="000000000000" w:firstRow="0" w:lastRow="0" w:firstColumn="0" w:lastColumn="0" w:oddVBand="0" w:evenVBand="0" w:oddHBand="0" w:evenHBand="0" w:firstRowFirstColumn="0" w:firstRowLastColumn="0" w:lastRowFirstColumn="0" w:lastRowLastColumn="0"/>
            </w:pPr>
            <w:r>
              <w:t>8 December 2023</w:t>
            </w:r>
          </w:p>
        </w:tc>
        <w:tc>
          <w:tcPr>
            <w:tcW w:w="3211" w:type="dxa"/>
            <w:tcBorders>
              <w:top w:val="single" w:sz="4" w:space="0" w:color="142147" w:themeColor="accent1"/>
              <w:bottom w:val="single" w:sz="4" w:space="0" w:color="142147" w:themeColor="accent1"/>
            </w:tcBorders>
            <w:vAlign w:val="center"/>
          </w:tcPr>
          <w:p w14:paraId="1C7982DC" w14:textId="591B4A7D" w:rsidR="00043FF7" w:rsidRPr="00E56C9E" w:rsidRDefault="00845477" w:rsidP="00647DF1">
            <w:pPr>
              <w:pStyle w:val="TableBodyCellLeft"/>
              <w:cnfStyle w:val="000000000000" w:firstRow="0" w:lastRow="0" w:firstColumn="0" w:lastColumn="0" w:oddVBand="0" w:evenVBand="0" w:oddHBand="0" w:evenHBand="0" w:firstRowFirstColumn="0" w:firstRowLastColumn="0" w:lastRowFirstColumn="0" w:lastRowLastColumn="0"/>
            </w:pPr>
            <w:r>
              <w:t>7 December 2026</w:t>
            </w:r>
          </w:p>
        </w:tc>
      </w:tr>
      <w:tr w:rsidR="00043FF7" w14:paraId="7B3C95A9" w14:textId="77777777" w:rsidTr="008F4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shd w:val="clear" w:color="auto" w:fill="F6F2ED" w:themeFill="accent3" w:themeFillTint="33"/>
          </w:tcPr>
          <w:p w14:paraId="1CDE57BD" w14:textId="69C424E5" w:rsidR="00043FF7" w:rsidRDefault="00043FF7" w:rsidP="00647DF1">
            <w:pPr>
              <w:pStyle w:val="TableBodyCellLeft"/>
            </w:pPr>
            <w:r>
              <w:t>Judy O</w:t>
            </w:r>
            <w:r w:rsidR="00360869">
              <w:t>’</w:t>
            </w:r>
            <w:r>
              <w:t>Connell</w:t>
            </w:r>
          </w:p>
        </w:tc>
        <w:tc>
          <w:tcPr>
            <w:tcW w:w="3210" w:type="dxa"/>
            <w:vAlign w:val="center"/>
          </w:tcPr>
          <w:p w14:paraId="18D8B78B" w14:textId="1D2E273D" w:rsidR="00043FF7" w:rsidRPr="00E56C9E" w:rsidRDefault="00845477" w:rsidP="00647DF1">
            <w:pPr>
              <w:pStyle w:val="TableBodyCellLeft"/>
              <w:cnfStyle w:val="000000100000" w:firstRow="0" w:lastRow="0" w:firstColumn="0" w:lastColumn="0" w:oddVBand="0" w:evenVBand="0" w:oddHBand="1" w:evenHBand="0" w:firstRowFirstColumn="0" w:firstRowLastColumn="0" w:lastRowFirstColumn="0" w:lastRowLastColumn="0"/>
            </w:pPr>
            <w:r>
              <w:t>8 December 2023</w:t>
            </w:r>
          </w:p>
        </w:tc>
        <w:tc>
          <w:tcPr>
            <w:tcW w:w="3211" w:type="dxa"/>
            <w:vAlign w:val="center"/>
          </w:tcPr>
          <w:p w14:paraId="4D0606B8" w14:textId="21B0E8C4" w:rsidR="00043FF7" w:rsidRPr="00E56C9E" w:rsidRDefault="00845477" w:rsidP="00647DF1">
            <w:pPr>
              <w:pStyle w:val="TableBodyCellLeft"/>
              <w:cnfStyle w:val="000000100000" w:firstRow="0" w:lastRow="0" w:firstColumn="0" w:lastColumn="0" w:oddVBand="0" w:evenVBand="0" w:oddHBand="1" w:evenHBand="0" w:firstRowFirstColumn="0" w:firstRowLastColumn="0" w:lastRowFirstColumn="0" w:lastRowLastColumn="0"/>
            </w:pPr>
            <w:r>
              <w:t>7 December 2026</w:t>
            </w:r>
          </w:p>
        </w:tc>
      </w:tr>
      <w:tr w:rsidR="00036758" w14:paraId="0DCE52A7" w14:textId="77777777" w:rsidTr="008F4F2F">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142147" w:themeColor="accent1"/>
              <w:bottom w:val="single" w:sz="4" w:space="0" w:color="142147" w:themeColor="accent1"/>
            </w:tcBorders>
            <w:shd w:val="clear" w:color="auto" w:fill="F6F2ED" w:themeFill="accent3" w:themeFillTint="33"/>
          </w:tcPr>
          <w:p w14:paraId="15B5F705" w14:textId="77777777" w:rsidR="00036758" w:rsidRDefault="00036758" w:rsidP="00647DF1">
            <w:pPr>
              <w:pStyle w:val="TableBodyCellLeft"/>
            </w:pPr>
            <w:r>
              <w:t>Chris Jordan</w:t>
            </w:r>
            <w:r w:rsidRPr="00E87607">
              <w:rPr>
                <w:vertAlign w:val="superscript"/>
              </w:rPr>
              <w:t>(b)</w:t>
            </w:r>
            <w:r>
              <w:t xml:space="preserve"> AO</w:t>
            </w:r>
          </w:p>
        </w:tc>
        <w:tc>
          <w:tcPr>
            <w:tcW w:w="3210" w:type="dxa"/>
            <w:tcBorders>
              <w:top w:val="single" w:sz="4" w:space="0" w:color="142147" w:themeColor="accent1"/>
              <w:bottom w:val="single" w:sz="4" w:space="0" w:color="142147" w:themeColor="accent1"/>
            </w:tcBorders>
            <w:vAlign w:val="center"/>
          </w:tcPr>
          <w:p w14:paraId="00D245AD" w14:textId="67ED83F3"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1</w:t>
            </w:r>
            <w:r>
              <w:t> January </w:t>
            </w:r>
            <w:r w:rsidRPr="00E56C9E">
              <w:t>2013</w:t>
            </w:r>
          </w:p>
        </w:tc>
        <w:tc>
          <w:tcPr>
            <w:tcW w:w="3211" w:type="dxa"/>
            <w:tcBorders>
              <w:top w:val="single" w:sz="4" w:space="0" w:color="142147" w:themeColor="accent1"/>
              <w:bottom w:val="single" w:sz="4" w:space="0" w:color="142147" w:themeColor="accent1"/>
            </w:tcBorders>
            <w:vAlign w:val="center"/>
          </w:tcPr>
          <w:p w14:paraId="1DC79C92" w14:textId="6F47F603" w:rsidR="00036758" w:rsidRDefault="00442628" w:rsidP="00647DF1">
            <w:pPr>
              <w:pStyle w:val="TableBodyCellLeft"/>
              <w:cnfStyle w:val="000000000000" w:firstRow="0" w:lastRow="0" w:firstColumn="0" w:lastColumn="0" w:oddVBand="0" w:evenVBand="0" w:oddHBand="0" w:evenHBand="0" w:firstRowFirstColumn="0" w:firstRowLastColumn="0" w:lastRowFirstColumn="0" w:lastRowLastColumn="0"/>
            </w:pPr>
            <w:r>
              <w:t>2</w:t>
            </w:r>
            <w:r w:rsidR="00A74F9E">
              <w:t>9</w:t>
            </w:r>
            <w:r>
              <w:t xml:space="preserve"> February 2024 – Ex</w:t>
            </w:r>
            <w:r w:rsidR="00360869">
              <w:noBreakHyphen/>
            </w:r>
            <w:r>
              <w:t>officio</w:t>
            </w:r>
          </w:p>
        </w:tc>
      </w:tr>
      <w:tr w:rsidR="008819DD" w14:paraId="56AECC0E" w14:textId="77777777" w:rsidTr="008F4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shd w:val="clear" w:color="auto" w:fill="F6F2ED" w:themeFill="accent3" w:themeFillTint="33"/>
          </w:tcPr>
          <w:p w14:paraId="0FC17EE1" w14:textId="2E060114" w:rsidR="008819DD" w:rsidRDefault="008819DD" w:rsidP="00647DF1">
            <w:pPr>
              <w:pStyle w:val="TableBodyCellLeft"/>
            </w:pPr>
            <w:r>
              <w:t xml:space="preserve">Rob </w:t>
            </w:r>
            <w:proofErr w:type="spellStart"/>
            <w:r>
              <w:t>Heferen</w:t>
            </w:r>
            <w:proofErr w:type="spellEnd"/>
            <w:r w:rsidR="007A5DC8" w:rsidRPr="00E87607">
              <w:rPr>
                <w:vertAlign w:val="superscript"/>
              </w:rPr>
              <w:t>(</w:t>
            </w:r>
            <w:r w:rsidR="007A5DC8">
              <w:rPr>
                <w:vertAlign w:val="superscript"/>
              </w:rPr>
              <w:t>c</w:t>
            </w:r>
            <w:r w:rsidR="007A5DC8" w:rsidRPr="00E87607">
              <w:rPr>
                <w:vertAlign w:val="superscript"/>
              </w:rPr>
              <w:t>)</w:t>
            </w:r>
          </w:p>
        </w:tc>
        <w:tc>
          <w:tcPr>
            <w:tcW w:w="3210" w:type="dxa"/>
            <w:vAlign w:val="center"/>
          </w:tcPr>
          <w:p w14:paraId="0D2D3138" w14:textId="0C3A3D3E" w:rsidR="008819DD" w:rsidRPr="00E56C9E" w:rsidRDefault="00442628" w:rsidP="00647DF1">
            <w:pPr>
              <w:pStyle w:val="TableBodyCellLeft"/>
              <w:cnfStyle w:val="000000100000" w:firstRow="0" w:lastRow="0" w:firstColumn="0" w:lastColumn="0" w:oddVBand="0" w:evenVBand="0" w:oddHBand="1" w:evenHBand="0" w:firstRowFirstColumn="0" w:firstRowLastColumn="0" w:lastRowFirstColumn="0" w:lastRowLastColumn="0"/>
            </w:pPr>
            <w:r>
              <w:t>1 March 2024</w:t>
            </w:r>
          </w:p>
        </w:tc>
        <w:tc>
          <w:tcPr>
            <w:tcW w:w="3211" w:type="dxa"/>
            <w:vAlign w:val="center"/>
          </w:tcPr>
          <w:p w14:paraId="19C5DCA8" w14:textId="712BB432" w:rsidR="008819DD" w:rsidRPr="00E56C9E" w:rsidRDefault="00442628" w:rsidP="00647DF1">
            <w:pPr>
              <w:pStyle w:val="TableBodyCellLeft"/>
              <w:cnfStyle w:val="000000100000" w:firstRow="0" w:lastRow="0" w:firstColumn="0" w:lastColumn="0" w:oddVBand="0" w:evenVBand="0" w:oddHBand="1" w:evenHBand="0" w:firstRowFirstColumn="0" w:firstRowLastColumn="0" w:lastRowFirstColumn="0" w:lastRowLastColumn="0"/>
            </w:pPr>
            <w:r>
              <w:t>Ex</w:t>
            </w:r>
            <w:r w:rsidR="005B5E0D">
              <w:t>-o</w:t>
            </w:r>
            <w:r>
              <w:t>fficio</w:t>
            </w:r>
          </w:p>
        </w:tc>
      </w:tr>
      <w:tr w:rsidR="00036758" w14:paraId="127B34D3" w14:textId="77777777" w:rsidTr="008F4F2F">
        <w:tc>
          <w:tcPr>
            <w:cnfStyle w:val="001000000000" w:firstRow="0" w:lastRow="0" w:firstColumn="1" w:lastColumn="0" w:oddVBand="0" w:evenVBand="0" w:oddHBand="0" w:evenHBand="0" w:firstRowFirstColumn="0" w:firstRowLastColumn="0" w:lastRowFirstColumn="0" w:lastRowLastColumn="0"/>
            <w:tcW w:w="3210" w:type="dxa"/>
            <w:shd w:val="clear" w:color="auto" w:fill="F6F2ED" w:themeFill="accent3" w:themeFillTint="33"/>
          </w:tcPr>
          <w:p w14:paraId="3F4585D4" w14:textId="77777777" w:rsidR="00036758" w:rsidRDefault="00036758" w:rsidP="00647DF1">
            <w:pPr>
              <w:pStyle w:val="TableBodyCellLeft"/>
            </w:pPr>
            <w:r>
              <w:t>Dr Steven Kennedy PSM</w:t>
            </w:r>
          </w:p>
        </w:tc>
        <w:tc>
          <w:tcPr>
            <w:tcW w:w="3210" w:type="dxa"/>
            <w:vAlign w:val="center"/>
          </w:tcPr>
          <w:p w14:paraId="692BFE34"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2</w:t>
            </w:r>
            <w:r>
              <w:t> September </w:t>
            </w:r>
            <w:r w:rsidRPr="00E56C9E">
              <w:t>2019</w:t>
            </w:r>
          </w:p>
        </w:tc>
        <w:tc>
          <w:tcPr>
            <w:tcW w:w="3211" w:type="dxa"/>
            <w:vAlign w:val="center"/>
          </w:tcPr>
          <w:p w14:paraId="57C3ED80" w14:textId="77FCFE0F"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Ex</w:t>
            </w:r>
            <w:r w:rsidR="00360869">
              <w:noBreakHyphen/>
            </w:r>
            <w:r w:rsidRPr="00E56C9E">
              <w:t>officio</w:t>
            </w:r>
          </w:p>
        </w:tc>
      </w:tr>
      <w:tr w:rsidR="00036758" w14:paraId="7AFF43A9" w14:textId="77777777" w:rsidTr="008F4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bottom w:val="single" w:sz="8" w:space="0" w:color="142147" w:themeColor="accent1"/>
            </w:tcBorders>
            <w:shd w:val="clear" w:color="auto" w:fill="F6F2ED" w:themeFill="accent3" w:themeFillTint="33"/>
          </w:tcPr>
          <w:p w14:paraId="1BA636A8" w14:textId="77777777" w:rsidR="00036758" w:rsidRDefault="00036758" w:rsidP="00647DF1">
            <w:pPr>
              <w:pStyle w:val="TableBodyCellLeft"/>
            </w:pPr>
            <w:r>
              <w:t>Meredith Leigh</w:t>
            </w:r>
          </w:p>
        </w:tc>
        <w:tc>
          <w:tcPr>
            <w:tcW w:w="3210" w:type="dxa"/>
            <w:tcBorders>
              <w:bottom w:val="single" w:sz="8" w:space="0" w:color="142147" w:themeColor="accent1"/>
            </w:tcBorders>
            <w:vAlign w:val="center"/>
          </w:tcPr>
          <w:p w14:paraId="528B80C1" w14:textId="77777777"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t>11 October 2021</w:t>
            </w:r>
          </w:p>
        </w:tc>
        <w:tc>
          <w:tcPr>
            <w:tcW w:w="3211" w:type="dxa"/>
            <w:tcBorders>
              <w:bottom w:val="single" w:sz="8" w:space="0" w:color="142147" w:themeColor="accent1"/>
            </w:tcBorders>
            <w:vAlign w:val="center"/>
          </w:tcPr>
          <w:p w14:paraId="4CD74F05" w14:textId="318F50DD"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Ex</w:t>
            </w:r>
            <w:r w:rsidR="00360869">
              <w:noBreakHyphen/>
            </w:r>
            <w:r w:rsidRPr="00E56C9E">
              <w:t>officio</w:t>
            </w:r>
          </w:p>
        </w:tc>
      </w:tr>
    </w:tbl>
    <w:p w14:paraId="2DD3AA39" w14:textId="055E4C29" w:rsidR="00036758" w:rsidRPr="00F6614B" w:rsidRDefault="00036758" w:rsidP="000B246A">
      <w:pPr>
        <w:pStyle w:val="Notealpha"/>
      </w:pPr>
      <w:r w:rsidRPr="00F6614B">
        <w:t xml:space="preserve">The Government reappointed Dr Julianne Jaques KC </w:t>
      </w:r>
      <w:r w:rsidR="0029028A" w:rsidRPr="00F6614B">
        <w:t xml:space="preserve">on 8 December 2023 for a further term to </w:t>
      </w:r>
      <w:r w:rsidR="00F51054" w:rsidRPr="00F6614B">
        <w:t>30 September 2025.</w:t>
      </w:r>
    </w:p>
    <w:p w14:paraId="2C36220D" w14:textId="339F4B21" w:rsidR="00036758" w:rsidRDefault="00036758" w:rsidP="000B246A">
      <w:pPr>
        <w:pStyle w:val="Notealpha"/>
      </w:pPr>
      <w:r w:rsidRPr="00F6614B">
        <w:t>Chris Jordan AO has been a member of the Board in various capacities since 14 September 2000.</w:t>
      </w:r>
      <w:r w:rsidR="00442628">
        <w:t xml:space="preserve"> Chris Jordan</w:t>
      </w:r>
      <w:r w:rsidR="00360869">
        <w:t>’</w:t>
      </w:r>
      <w:r w:rsidR="00442628">
        <w:t>s term as Commissioner of Taxation ended on 2</w:t>
      </w:r>
      <w:r w:rsidR="00FC2BD0">
        <w:t>9</w:t>
      </w:r>
      <w:r w:rsidR="00A67169">
        <w:t> </w:t>
      </w:r>
      <w:r w:rsidR="00442628">
        <w:t xml:space="preserve">February 2024. </w:t>
      </w:r>
    </w:p>
    <w:p w14:paraId="7E5F7283" w14:textId="56096809" w:rsidR="007A5DC8" w:rsidRPr="00F6614B" w:rsidRDefault="00555465" w:rsidP="000B246A">
      <w:pPr>
        <w:pStyle w:val="Notealpha"/>
      </w:pPr>
      <w:r>
        <w:t xml:space="preserve">Rob </w:t>
      </w:r>
      <w:proofErr w:type="spellStart"/>
      <w:r>
        <w:t>Heferen</w:t>
      </w:r>
      <w:proofErr w:type="spellEnd"/>
      <w:r>
        <w:t xml:space="preserve"> was appointed as the 13</w:t>
      </w:r>
      <w:r w:rsidRPr="00555465">
        <w:rPr>
          <w:vertAlign w:val="superscript"/>
        </w:rPr>
        <w:t>th</w:t>
      </w:r>
      <w:r>
        <w:t xml:space="preserve"> Commissioner of Taxation </w:t>
      </w:r>
      <w:r w:rsidR="00B45907">
        <w:t>from</w:t>
      </w:r>
      <w:r>
        <w:t xml:space="preserve"> 1</w:t>
      </w:r>
      <w:r w:rsidR="00C33AC3">
        <w:t> </w:t>
      </w:r>
      <w:r>
        <w:t>March</w:t>
      </w:r>
      <w:r w:rsidR="00C33AC3">
        <w:t> </w:t>
      </w:r>
      <w:r>
        <w:t>202</w:t>
      </w:r>
      <w:r w:rsidR="00640BD6">
        <w:t xml:space="preserve">4. </w:t>
      </w:r>
    </w:p>
    <w:p w14:paraId="33C5224B" w14:textId="77777777" w:rsidR="00036758" w:rsidRDefault="00036758">
      <w:r>
        <w:br w:type="page"/>
      </w:r>
    </w:p>
    <w:p w14:paraId="00C82060" w14:textId="77777777" w:rsidR="004C4363" w:rsidRPr="00FC0C6C" w:rsidRDefault="00C4491D" w:rsidP="004C4363">
      <w:pPr>
        <w:pStyle w:val="Heading1"/>
      </w:pPr>
      <w:bookmarkStart w:id="83" w:name="_Toc209006414"/>
      <w:bookmarkStart w:id="84" w:name="_Toc209006603"/>
      <w:bookmarkStart w:id="85" w:name="_Toc149905539"/>
      <w:r>
        <w:lastRenderedPageBreak/>
        <w:t xml:space="preserve">Appendix C: </w:t>
      </w:r>
      <w:r w:rsidR="004C4363" w:rsidRPr="00FC0C6C">
        <w:t>Attendance at</w:t>
      </w:r>
      <w:r w:rsidR="004C4363">
        <w:t> </w:t>
      </w:r>
      <w:r w:rsidR="004C4363" w:rsidRPr="00FC0C6C">
        <w:t>Board</w:t>
      </w:r>
      <w:r w:rsidR="004C4363">
        <w:t> </w:t>
      </w:r>
      <w:r w:rsidR="004C4363" w:rsidRPr="00FC0C6C">
        <w:t>meetings</w:t>
      </w:r>
      <w:bookmarkEnd w:id="83"/>
      <w:bookmarkEnd w:id="84"/>
    </w:p>
    <w:p w14:paraId="188EAF16" w14:textId="7E4D600C" w:rsidR="004C4363" w:rsidRDefault="004C4363" w:rsidP="004C4363">
      <w:pPr>
        <w:pStyle w:val="TableHeading1"/>
      </w:pPr>
      <w:r>
        <w:t xml:space="preserve"> Table </w:t>
      </w:r>
      <w:r w:rsidR="00273418">
        <w:t>2</w:t>
      </w:r>
      <w:r>
        <w:t>: Attendance at Board meetings, 2023–24</w:t>
      </w:r>
    </w:p>
    <w:tbl>
      <w:tblPr>
        <w:tblStyle w:val="ListTable3-Accent1"/>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bottom w:w="57" w:type="dxa"/>
        </w:tblCellMar>
        <w:tblLook w:val="04A0" w:firstRow="1" w:lastRow="0" w:firstColumn="1" w:lastColumn="0" w:noHBand="0" w:noVBand="1"/>
      </w:tblPr>
      <w:tblGrid>
        <w:gridCol w:w="2838"/>
        <w:gridCol w:w="3589"/>
        <w:gridCol w:w="3214"/>
      </w:tblGrid>
      <w:tr w:rsidR="00DA443C" w14:paraId="1CBC479A" w14:textId="77777777" w:rsidTr="001067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14:paraId="34DF98EA" w14:textId="77777777" w:rsidR="004C4363" w:rsidRPr="007938CC" w:rsidRDefault="004C4363" w:rsidP="00FC612B">
            <w:pPr>
              <w:pStyle w:val="TableHeaderCellLeft"/>
            </w:pPr>
            <w:r w:rsidRPr="007938CC">
              <w:t>Member</w:t>
            </w:r>
          </w:p>
        </w:tc>
        <w:tc>
          <w:tcPr>
            <w:tcW w:w="3585" w:type="dxa"/>
            <w:tcBorders>
              <w:bottom w:val="nil"/>
            </w:tcBorders>
          </w:tcPr>
          <w:p w14:paraId="00FA17A6" w14:textId="77777777" w:rsidR="004C4363" w:rsidRPr="007938CC" w:rsidRDefault="004C4363" w:rsidP="00FC612B">
            <w:pPr>
              <w:pStyle w:val="TableHeaderCellLeft"/>
              <w:cnfStyle w:val="100000000000" w:firstRow="1" w:lastRow="0" w:firstColumn="0" w:lastColumn="0" w:oddVBand="0" w:evenVBand="0" w:oddHBand="0" w:evenHBand="0" w:firstRowFirstColumn="0" w:firstRowLastColumn="0" w:lastRowFirstColumn="0" w:lastRowLastColumn="0"/>
            </w:pPr>
            <w:r w:rsidRPr="007938CC">
              <w:t>Number of meetings eligible to attend</w:t>
            </w:r>
          </w:p>
        </w:tc>
        <w:tc>
          <w:tcPr>
            <w:tcW w:w="3210" w:type="dxa"/>
            <w:tcBorders>
              <w:bottom w:val="nil"/>
            </w:tcBorders>
          </w:tcPr>
          <w:p w14:paraId="1569F3D7" w14:textId="77777777" w:rsidR="004C4363" w:rsidRPr="007938CC" w:rsidRDefault="004C4363" w:rsidP="00FC612B">
            <w:pPr>
              <w:pStyle w:val="TableHeaderCellLeft"/>
              <w:cnfStyle w:val="100000000000" w:firstRow="1" w:lastRow="0" w:firstColumn="0" w:lastColumn="0" w:oddVBand="0" w:evenVBand="0" w:oddHBand="0" w:evenHBand="0" w:firstRowFirstColumn="0" w:firstRowLastColumn="0" w:lastRowFirstColumn="0" w:lastRowLastColumn="0"/>
            </w:pPr>
            <w:r w:rsidRPr="007938CC">
              <w:t>Number of meetings attended</w:t>
            </w:r>
          </w:p>
        </w:tc>
      </w:tr>
      <w:tr w:rsidR="004C4363" w14:paraId="60F47F57" w14:textId="77777777" w:rsidTr="0010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tcBorders>
            <w:shd w:val="clear" w:color="auto" w:fill="F6F2ED" w:themeFill="accent3" w:themeFillTint="33"/>
            <w:vAlign w:val="center"/>
          </w:tcPr>
          <w:p w14:paraId="7E13A706" w14:textId="77777777" w:rsidR="004C4363" w:rsidRDefault="004C4363" w:rsidP="00FC612B">
            <w:pPr>
              <w:pStyle w:val="TableBodyCellLeft"/>
            </w:pPr>
            <w:r w:rsidRPr="00655E8B">
              <w:t xml:space="preserve">Rosheen </w:t>
            </w:r>
            <w:proofErr w:type="spellStart"/>
            <w:r w:rsidRPr="00655E8B">
              <w:t>Garnon</w:t>
            </w:r>
            <w:proofErr w:type="spellEnd"/>
            <w:r>
              <w:t>, Chair</w:t>
            </w:r>
          </w:p>
        </w:tc>
        <w:tc>
          <w:tcPr>
            <w:tcW w:w="3585" w:type="dxa"/>
            <w:tcBorders>
              <w:top w:val="nil"/>
            </w:tcBorders>
            <w:vAlign w:val="center"/>
          </w:tcPr>
          <w:p w14:paraId="52FB8757"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c>
          <w:tcPr>
            <w:tcW w:w="3210" w:type="dxa"/>
            <w:tcBorders>
              <w:top w:val="nil"/>
            </w:tcBorders>
            <w:vAlign w:val="center"/>
          </w:tcPr>
          <w:p w14:paraId="1683FFAE"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r>
      <w:tr w:rsidR="004C4363" w14:paraId="27F78907" w14:textId="77777777" w:rsidTr="001067A0">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142147" w:themeColor="accent1"/>
              <w:bottom w:val="single" w:sz="4" w:space="0" w:color="142147" w:themeColor="accent1"/>
            </w:tcBorders>
            <w:shd w:val="clear" w:color="auto" w:fill="F6F2ED" w:themeFill="accent3" w:themeFillTint="33"/>
            <w:vAlign w:val="center"/>
          </w:tcPr>
          <w:p w14:paraId="1EC6113D" w14:textId="77777777" w:rsidR="004C4363" w:rsidRDefault="004C4363" w:rsidP="00FC612B">
            <w:pPr>
              <w:pStyle w:val="TableBodyCellLeft"/>
            </w:pPr>
            <w:r w:rsidRPr="00655E8B">
              <w:t>Dr Julianne Jaques</w:t>
            </w:r>
            <w:r>
              <w:t xml:space="preserve"> KC</w:t>
            </w:r>
          </w:p>
        </w:tc>
        <w:tc>
          <w:tcPr>
            <w:tcW w:w="3585" w:type="dxa"/>
            <w:tcBorders>
              <w:top w:val="single" w:sz="4" w:space="0" w:color="142147" w:themeColor="accent1"/>
              <w:bottom w:val="single" w:sz="4" w:space="0" w:color="142147" w:themeColor="accent1"/>
            </w:tcBorders>
            <w:vAlign w:val="center"/>
          </w:tcPr>
          <w:p w14:paraId="2F900277"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0" w:type="dxa"/>
            <w:tcBorders>
              <w:top w:val="single" w:sz="4" w:space="0" w:color="142147" w:themeColor="accent1"/>
              <w:bottom w:val="single" w:sz="4" w:space="0" w:color="142147" w:themeColor="accent1"/>
            </w:tcBorders>
            <w:vAlign w:val="center"/>
          </w:tcPr>
          <w:p w14:paraId="42BB56A3"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r>
      <w:tr w:rsidR="004C4363" w14:paraId="2FFD27B0" w14:textId="77777777" w:rsidTr="0010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6F2ED" w:themeFill="accent3" w:themeFillTint="33"/>
            <w:vAlign w:val="center"/>
          </w:tcPr>
          <w:p w14:paraId="5E5094E7" w14:textId="77777777" w:rsidR="004C4363" w:rsidRDefault="004C4363" w:rsidP="00FC612B">
            <w:pPr>
              <w:pStyle w:val="TableBodyCellLeft"/>
            </w:pPr>
            <w:r w:rsidRPr="00655E8B">
              <w:t>Ian Kellock</w:t>
            </w:r>
          </w:p>
        </w:tc>
        <w:tc>
          <w:tcPr>
            <w:tcW w:w="3585" w:type="dxa"/>
            <w:vAlign w:val="center"/>
          </w:tcPr>
          <w:p w14:paraId="546D4712"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c>
          <w:tcPr>
            <w:tcW w:w="3210" w:type="dxa"/>
            <w:vAlign w:val="center"/>
          </w:tcPr>
          <w:p w14:paraId="7F4C5F9E"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r>
      <w:tr w:rsidR="004C4363" w14:paraId="6812D596" w14:textId="77777777" w:rsidTr="001067A0">
        <w:tc>
          <w:tcPr>
            <w:cnfStyle w:val="001000000000" w:firstRow="0" w:lastRow="0" w:firstColumn="1" w:lastColumn="0" w:oddVBand="0" w:evenVBand="0" w:oddHBand="0" w:evenHBand="0" w:firstRowFirstColumn="0" w:firstRowLastColumn="0" w:lastRowFirstColumn="0" w:lastRowLastColumn="0"/>
            <w:tcW w:w="2835" w:type="dxa"/>
            <w:shd w:val="clear" w:color="auto" w:fill="F6F2ED" w:themeFill="accent3" w:themeFillTint="33"/>
            <w:vAlign w:val="center"/>
          </w:tcPr>
          <w:p w14:paraId="1DE84502" w14:textId="77777777" w:rsidR="004C4363" w:rsidRDefault="004C4363" w:rsidP="00FC612B">
            <w:pPr>
              <w:pStyle w:val="TableBodyCellLeft"/>
            </w:pPr>
            <w:r w:rsidRPr="0061442E">
              <w:t>Andrea Laing</w:t>
            </w:r>
          </w:p>
        </w:tc>
        <w:tc>
          <w:tcPr>
            <w:tcW w:w="3585" w:type="dxa"/>
            <w:vAlign w:val="center"/>
          </w:tcPr>
          <w:p w14:paraId="72AC2ECC"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0" w:type="dxa"/>
            <w:vAlign w:val="center"/>
          </w:tcPr>
          <w:p w14:paraId="528C367A"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5</w:t>
            </w:r>
          </w:p>
        </w:tc>
      </w:tr>
      <w:tr w:rsidR="004C4363" w14:paraId="7C444AB3" w14:textId="77777777" w:rsidTr="0010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6F2ED" w:themeFill="accent3" w:themeFillTint="33"/>
            <w:vAlign w:val="center"/>
          </w:tcPr>
          <w:p w14:paraId="3598D195" w14:textId="77777777" w:rsidR="004C4363" w:rsidRDefault="004C4363" w:rsidP="00FC612B">
            <w:pPr>
              <w:pStyle w:val="TableBodyCellLeft"/>
            </w:pPr>
            <w:r w:rsidRPr="00655E8B">
              <w:t>Tanya Titman</w:t>
            </w:r>
            <w:r w:rsidRPr="00ED24C0">
              <w:rPr>
                <w:vertAlign w:val="superscript"/>
              </w:rPr>
              <w:t>(</w:t>
            </w:r>
            <w:r>
              <w:rPr>
                <w:vertAlign w:val="superscript"/>
              </w:rPr>
              <w:t>a</w:t>
            </w:r>
            <w:r w:rsidRPr="00ED24C0">
              <w:rPr>
                <w:vertAlign w:val="superscript"/>
              </w:rPr>
              <w:t>)</w:t>
            </w:r>
          </w:p>
        </w:tc>
        <w:tc>
          <w:tcPr>
            <w:tcW w:w="3585" w:type="dxa"/>
            <w:vAlign w:val="center"/>
          </w:tcPr>
          <w:p w14:paraId="42ACFECC"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6</w:t>
            </w:r>
          </w:p>
        </w:tc>
        <w:tc>
          <w:tcPr>
            <w:tcW w:w="3210" w:type="dxa"/>
            <w:vAlign w:val="center"/>
          </w:tcPr>
          <w:p w14:paraId="01B79E65"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6</w:t>
            </w:r>
          </w:p>
        </w:tc>
      </w:tr>
      <w:tr w:rsidR="004C4363" w14:paraId="5DB956B6" w14:textId="77777777" w:rsidTr="001067A0">
        <w:tc>
          <w:tcPr>
            <w:cnfStyle w:val="001000000000" w:firstRow="0" w:lastRow="0" w:firstColumn="1" w:lastColumn="0" w:oddVBand="0" w:evenVBand="0" w:oddHBand="0" w:evenHBand="0" w:firstRowFirstColumn="0" w:firstRowLastColumn="0" w:lastRowFirstColumn="0" w:lastRowLastColumn="0"/>
            <w:tcW w:w="2835" w:type="dxa"/>
            <w:shd w:val="clear" w:color="auto" w:fill="F6F2ED" w:themeFill="accent3" w:themeFillTint="33"/>
            <w:vAlign w:val="center"/>
          </w:tcPr>
          <w:p w14:paraId="62F2B634" w14:textId="77777777" w:rsidR="004C4363" w:rsidRPr="00655E8B" w:rsidRDefault="004C4363" w:rsidP="00FC612B">
            <w:pPr>
              <w:pStyle w:val="TableBodyCellLeft"/>
            </w:pPr>
            <w:r>
              <w:t>Andrew Mills</w:t>
            </w:r>
            <w:r w:rsidRPr="00ED24C0">
              <w:rPr>
                <w:vertAlign w:val="superscript"/>
              </w:rPr>
              <w:t>(</w:t>
            </w:r>
            <w:r>
              <w:rPr>
                <w:vertAlign w:val="superscript"/>
              </w:rPr>
              <w:t>b</w:t>
            </w:r>
            <w:r w:rsidRPr="00ED24C0">
              <w:rPr>
                <w:vertAlign w:val="superscript"/>
              </w:rPr>
              <w:t>)</w:t>
            </w:r>
          </w:p>
        </w:tc>
        <w:tc>
          <w:tcPr>
            <w:tcW w:w="3585" w:type="dxa"/>
            <w:vAlign w:val="center"/>
          </w:tcPr>
          <w:p w14:paraId="1444DF81"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3</w:t>
            </w:r>
          </w:p>
        </w:tc>
        <w:tc>
          <w:tcPr>
            <w:tcW w:w="3210" w:type="dxa"/>
            <w:vAlign w:val="center"/>
          </w:tcPr>
          <w:p w14:paraId="313F1FF2"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3</w:t>
            </w:r>
          </w:p>
        </w:tc>
      </w:tr>
      <w:tr w:rsidR="004C4363" w14:paraId="530937D1" w14:textId="77777777" w:rsidTr="0010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6F2ED" w:themeFill="accent3" w:themeFillTint="33"/>
            <w:vAlign w:val="center"/>
          </w:tcPr>
          <w:p w14:paraId="2A406F1E" w14:textId="2881A35E" w:rsidR="004C4363" w:rsidRDefault="004C4363" w:rsidP="00FC612B">
            <w:pPr>
              <w:pStyle w:val="TableBodyCellLeft"/>
            </w:pPr>
            <w:r>
              <w:t>Judy O</w:t>
            </w:r>
            <w:r w:rsidR="00360869">
              <w:t>’</w:t>
            </w:r>
            <w:r>
              <w:t>Connell</w:t>
            </w:r>
            <w:r w:rsidRPr="00ED24C0">
              <w:rPr>
                <w:vertAlign w:val="superscript"/>
              </w:rPr>
              <w:t>(</w:t>
            </w:r>
            <w:r>
              <w:rPr>
                <w:vertAlign w:val="superscript"/>
              </w:rPr>
              <w:t>c</w:t>
            </w:r>
            <w:r w:rsidRPr="00ED24C0">
              <w:rPr>
                <w:vertAlign w:val="superscript"/>
              </w:rPr>
              <w:t>)</w:t>
            </w:r>
          </w:p>
        </w:tc>
        <w:tc>
          <w:tcPr>
            <w:tcW w:w="3585" w:type="dxa"/>
            <w:vAlign w:val="center"/>
          </w:tcPr>
          <w:p w14:paraId="04F39410"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3</w:t>
            </w:r>
          </w:p>
        </w:tc>
        <w:tc>
          <w:tcPr>
            <w:tcW w:w="3210" w:type="dxa"/>
            <w:vAlign w:val="center"/>
          </w:tcPr>
          <w:p w14:paraId="0F83EC34"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3</w:t>
            </w:r>
          </w:p>
        </w:tc>
      </w:tr>
      <w:tr w:rsidR="004C4363" w14:paraId="0ABC2CE6" w14:textId="77777777" w:rsidTr="001067A0">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142147" w:themeColor="accent1"/>
              <w:bottom w:val="single" w:sz="4" w:space="0" w:color="142147" w:themeColor="accent1"/>
            </w:tcBorders>
            <w:shd w:val="clear" w:color="auto" w:fill="F6F2ED" w:themeFill="accent3" w:themeFillTint="33"/>
            <w:vAlign w:val="center"/>
          </w:tcPr>
          <w:p w14:paraId="23AF3E38" w14:textId="77777777" w:rsidR="004C4363" w:rsidRPr="00655E8B" w:rsidRDefault="004C4363" w:rsidP="00FC612B">
            <w:pPr>
              <w:pStyle w:val="TableBodyCellLeft"/>
            </w:pPr>
            <w:r w:rsidRPr="00655E8B">
              <w:t>Chris Jordan AO</w:t>
            </w:r>
            <w:r w:rsidRPr="00ED24C0">
              <w:rPr>
                <w:vertAlign w:val="superscript"/>
              </w:rPr>
              <w:t>(</w:t>
            </w:r>
            <w:r>
              <w:rPr>
                <w:vertAlign w:val="superscript"/>
              </w:rPr>
              <w:t>d</w:t>
            </w:r>
            <w:proofErr w:type="gramStart"/>
            <w:r w:rsidRPr="00ED24C0">
              <w:rPr>
                <w:vertAlign w:val="superscript"/>
              </w:rPr>
              <w:t>)</w:t>
            </w:r>
            <w:r>
              <w:rPr>
                <w:vertAlign w:val="superscript"/>
              </w:rPr>
              <w:t>(</w:t>
            </w:r>
            <w:proofErr w:type="gramEnd"/>
            <w:r>
              <w:rPr>
                <w:vertAlign w:val="superscript"/>
              </w:rPr>
              <w:t>#)</w:t>
            </w:r>
          </w:p>
        </w:tc>
        <w:tc>
          <w:tcPr>
            <w:tcW w:w="3585" w:type="dxa"/>
            <w:tcBorders>
              <w:top w:val="single" w:sz="4" w:space="0" w:color="142147" w:themeColor="accent1"/>
              <w:bottom w:val="single" w:sz="4" w:space="0" w:color="142147" w:themeColor="accent1"/>
            </w:tcBorders>
            <w:vAlign w:val="center"/>
          </w:tcPr>
          <w:p w14:paraId="14F2B666"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5</w:t>
            </w:r>
          </w:p>
        </w:tc>
        <w:tc>
          <w:tcPr>
            <w:tcW w:w="3210" w:type="dxa"/>
            <w:tcBorders>
              <w:top w:val="single" w:sz="4" w:space="0" w:color="142147" w:themeColor="accent1"/>
              <w:bottom w:val="single" w:sz="4" w:space="0" w:color="142147" w:themeColor="accent1"/>
            </w:tcBorders>
            <w:vAlign w:val="center"/>
          </w:tcPr>
          <w:p w14:paraId="3E4C288B"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5 – via delegate</w:t>
            </w:r>
          </w:p>
        </w:tc>
      </w:tr>
      <w:tr w:rsidR="004C4363" w14:paraId="60722449" w14:textId="77777777" w:rsidTr="0010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6F2ED" w:themeFill="accent3" w:themeFillTint="33"/>
            <w:vAlign w:val="center"/>
          </w:tcPr>
          <w:p w14:paraId="70132335" w14:textId="77777777" w:rsidR="004C4363" w:rsidRPr="00655E8B" w:rsidRDefault="004C4363" w:rsidP="00FC612B">
            <w:pPr>
              <w:pStyle w:val="TableBodyCellLeft"/>
            </w:pPr>
            <w:r>
              <w:t xml:space="preserve">Rob </w:t>
            </w:r>
            <w:proofErr w:type="spellStart"/>
            <w:r>
              <w:t>Heferen</w:t>
            </w:r>
            <w:proofErr w:type="spellEnd"/>
            <w:r w:rsidRPr="00ED24C0">
              <w:rPr>
                <w:vertAlign w:val="superscript"/>
              </w:rPr>
              <w:t>(</w:t>
            </w:r>
            <w:r>
              <w:rPr>
                <w:vertAlign w:val="superscript"/>
              </w:rPr>
              <w:t>e</w:t>
            </w:r>
            <w:r w:rsidRPr="00ED24C0">
              <w:rPr>
                <w:vertAlign w:val="superscript"/>
              </w:rPr>
              <w:t>)</w:t>
            </w:r>
            <w:r>
              <w:t xml:space="preserve"> </w:t>
            </w:r>
          </w:p>
        </w:tc>
        <w:tc>
          <w:tcPr>
            <w:tcW w:w="3585" w:type="dxa"/>
            <w:vAlign w:val="center"/>
          </w:tcPr>
          <w:p w14:paraId="293A962D"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2</w:t>
            </w:r>
          </w:p>
        </w:tc>
        <w:tc>
          <w:tcPr>
            <w:tcW w:w="3210" w:type="dxa"/>
            <w:vAlign w:val="center"/>
          </w:tcPr>
          <w:p w14:paraId="47A001CE"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2</w:t>
            </w:r>
          </w:p>
        </w:tc>
      </w:tr>
      <w:tr w:rsidR="004C4363" w14:paraId="14D4A8E5" w14:textId="77777777" w:rsidTr="001067A0">
        <w:tc>
          <w:tcPr>
            <w:cnfStyle w:val="001000000000" w:firstRow="0" w:lastRow="0" w:firstColumn="1" w:lastColumn="0" w:oddVBand="0" w:evenVBand="0" w:oddHBand="0" w:evenHBand="0" w:firstRowFirstColumn="0" w:firstRowLastColumn="0" w:lastRowFirstColumn="0" w:lastRowLastColumn="0"/>
            <w:tcW w:w="2835" w:type="dxa"/>
            <w:shd w:val="clear" w:color="auto" w:fill="F6F2ED" w:themeFill="accent3" w:themeFillTint="33"/>
            <w:vAlign w:val="center"/>
          </w:tcPr>
          <w:p w14:paraId="15E6E64E" w14:textId="77777777" w:rsidR="004C4363" w:rsidRPr="00655E8B" w:rsidRDefault="004C4363" w:rsidP="00FC612B">
            <w:pPr>
              <w:pStyle w:val="TableBodyCellLeft"/>
            </w:pPr>
            <w:r w:rsidRPr="00655E8B">
              <w:t>Dr Steven Kennedy</w:t>
            </w:r>
            <w:r>
              <w:t xml:space="preserve"> </w:t>
            </w:r>
            <w:proofErr w:type="gramStart"/>
            <w:r>
              <w:t>PSM</w:t>
            </w:r>
            <w:r w:rsidRPr="00ED24C0">
              <w:rPr>
                <w:vertAlign w:val="superscript"/>
              </w:rPr>
              <w:t>(</w:t>
            </w:r>
            <w:proofErr w:type="gramEnd"/>
            <w:r>
              <w:rPr>
                <w:vertAlign w:val="superscript"/>
              </w:rPr>
              <w:t>#</w:t>
            </w:r>
            <w:r w:rsidRPr="00ED24C0">
              <w:rPr>
                <w:vertAlign w:val="superscript"/>
              </w:rPr>
              <w:t>)</w:t>
            </w:r>
          </w:p>
        </w:tc>
        <w:tc>
          <w:tcPr>
            <w:tcW w:w="3585" w:type="dxa"/>
            <w:vAlign w:val="center"/>
          </w:tcPr>
          <w:p w14:paraId="561DF362"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0" w:type="dxa"/>
            <w:vAlign w:val="center"/>
          </w:tcPr>
          <w:p w14:paraId="560EE784"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 – via delegate</w:t>
            </w:r>
          </w:p>
        </w:tc>
      </w:tr>
      <w:tr w:rsidR="004C4363" w14:paraId="62FC68CD" w14:textId="77777777" w:rsidTr="0010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bottom w:val="single" w:sz="8" w:space="0" w:color="142147" w:themeColor="accent1"/>
            </w:tcBorders>
            <w:shd w:val="clear" w:color="auto" w:fill="F6F2ED" w:themeFill="accent3" w:themeFillTint="33"/>
            <w:vAlign w:val="center"/>
          </w:tcPr>
          <w:p w14:paraId="3D6008EC" w14:textId="77777777" w:rsidR="004C4363" w:rsidRPr="00655E8B" w:rsidRDefault="004C4363" w:rsidP="00FC612B">
            <w:pPr>
              <w:pStyle w:val="TableBodyCellLeft"/>
            </w:pPr>
            <w:r w:rsidRPr="00C2752A">
              <w:t>Meredith Leigh</w:t>
            </w:r>
          </w:p>
        </w:tc>
        <w:tc>
          <w:tcPr>
            <w:tcW w:w="3585" w:type="dxa"/>
            <w:tcBorders>
              <w:bottom w:val="single" w:sz="8" w:space="0" w:color="142147" w:themeColor="accent1"/>
            </w:tcBorders>
            <w:vAlign w:val="center"/>
          </w:tcPr>
          <w:p w14:paraId="28431443"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c>
          <w:tcPr>
            <w:tcW w:w="3210" w:type="dxa"/>
            <w:tcBorders>
              <w:bottom w:val="single" w:sz="8" w:space="0" w:color="142147" w:themeColor="accent1"/>
            </w:tcBorders>
            <w:vAlign w:val="center"/>
          </w:tcPr>
          <w:p w14:paraId="306D0F9B"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r>
    </w:tbl>
    <w:p w14:paraId="084D62DB" w14:textId="1059BA55" w:rsidR="004C4363" w:rsidRDefault="004C4363" w:rsidP="00BD586B">
      <w:pPr>
        <w:pStyle w:val="Notealpha"/>
        <w:numPr>
          <w:ilvl w:val="0"/>
          <w:numId w:val="46"/>
        </w:numPr>
        <w:ind w:left="709" w:hanging="709"/>
      </w:pPr>
      <w:r>
        <w:t>Tanya Titman</w:t>
      </w:r>
      <w:r w:rsidR="00360869">
        <w:t>’</w:t>
      </w:r>
      <w:r>
        <w:t>s term ended on 11</w:t>
      </w:r>
      <w:r w:rsidR="0005412B">
        <w:t> </w:t>
      </w:r>
      <w:r>
        <w:t>May</w:t>
      </w:r>
      <w:r w:rsidR="0005412B">
        <w:t> </w:t>
      </w:r>
      <w:r>
        <w:t>2024</w:t>
      </w:r>
    </w:p>
    <w:p w14:paraId="1BD631FE" w14:textId="01C59509" w:rsidR="004C4363" w:rsidRDefault="004C4363" w:rsidP="00BD586B">
      <w:pPr>
        <w:pStyle w:val="Notealpha"/>
      </w:pPr>
      <w:r>
        <w:t>Andrew Mills term commenced on 8</w:t>
      </w:r>
      <w:r w:rsidR="0005412B">
        <w:t> </w:t>
      </w:r>
      <w:r>
        <w:t>December</w:t>
      </w:r>
      <w:r w:rsidR="0005412B">
        <w:t> </w:t>
      </w:r>
      <w:r>
        <w:t>2023</w:t>
      </w:r>
    </w:p>
    <w:p w14:paraId="0348AD3A" w14:textId="16FD4761" w:rsidR="004C4363" w:rsidRDefault="004C4363" w:rsidP="00BD586B">
      <w:pPr>
        <w:pStyle w:val="Notealpha"/>
      </w:pPr>
      <w:r>
        <w:t>Judy O</w:t>
      </w:r>
      <w:r w:rsidR="00360869">
        <w:t>’</w:t>
      </w:r>
      <w:r>
        <w:t>Connell</w:t>
      </w:r>
      <w:r w:rsidR="00360869">
        <w:t>’</w:t>
      </w:r>
      <w:r>
        <w:t>s term commenced on 8</w:t>
      </w:r>
      <w:r w:rsidR="0005412B">
        <w:t> </w:t>
      </w:r>
      <w:r>
        <w:t>December</w:t>
      </w:r>
      <w:r w:rsidR="0005412B">
        <w:t> </w:t>
      </w:r>
      <w:r>
        <w:t>2023</w:t>
      </w:r>
    </w:p>
    <w:p w14:paraId="162A3648" w14:textId="066CF8EB" w:rsidR="004C4363" w:rsidRDefault="004C4363" w:rsidP="00BD586B">
      <w:pPr>
        <w:pStyle w:val="Notealpha"/>
      </w:pPr>
      <w:r>
        <w:t>Chris Jordan AO</w:t>
      </w:r>
      <w:r w:rsidR="00360869">
        <w:t>’</w:t>
      </w:r>
      <w:r>
        <w:t>s term, as Commissioner of Taxation ended on 2</w:t>
      </w:r>
      <w:r w:rsidR="00A74F9E">
        <w:t>9</w:t>
      </w:r>
      <w:r w:rsidR="0005412B">
        <w:t> </w:t>
      </w:r>
      <w:r>
        <w:t>February</w:t>
      </w:r>
      <w:r w:rsidR="0005412B">
        <w:t> </w:t>
      </w:r>
      <w:r>
        <w:t>2024</w:t>
      </w:r>
    </w:p>
    <w:p w14:paraId="6C712213" w14:textId="1E8235CF" w:rsidR="004C4363" w:rsidRDefault="004C4363" w:rsidP="00B92C0D">
      <w:pPr>
        <w:pStyle w:val="Notealpha"/>
        <w:spacing w:after="0"/>
      </w:pPr>
      <w:r>
        <w:t xml:space="preserve">Rob </w:t>
      </w:r>
      <w:proofErr w:type="spellStart"/>
      <w:r>
        <w:t>Heferen</w:t>
      </w:r>
      <w:r w:rsidR="00360869">
        <w:t>’</w:t>
      </w:r>
      <w:r>
        <w:t>s</w:t>
      </w:r>
      <w:proofErr w:type="spellEnd"/>
      <w:r>
        <w:t xml:space="preserve"> term as Commissioner of Taxation commenced on 1</w:t>
      </w:r>
      <w:r w:rsidR="0005412B">
        <w:t> </w:t>
      </w:r>
      <w:r>
        <w:t>March</w:t>
      </w:r>
      <w:r w:rsidR="0005412B">
        <w:t> </w:t>
      </w:r>
      <w:r>
        <w:t>2024</w:t>
      </w:r>
    </w:p>
    <w:p w14:paraId="4B353367" w14:textId="19F6F987" w:rsidR="004C4363" w:rsidRPr="001A4C28" w:rsidRDefault="004C4363" w:rsidP="0005412B">
      <w:pPr>
        <w:pStyle w:val="Note"/>
        <w:spacing w:before="0" w:after="0"/>
      </w:pPr>
      <w:r>
        <w:t>(#)</w:t>
      </w:r>
      <w:r w:rsidR="0086698D">
        <w:t xml:space="preserve"> </w:t>
      </w:r>
      <w:r w:rsidR="0005412B">
        <w:tab/>
      </w:r>
      <w:r w:rsidRPr="001A4C28">
        <w:t>The Board</w:t>
      </w:r>
      <w:r w:rsidR="00360869">
        <w:t>’</w:t>
      </w:r>
      <w:r w:rsidRPr="001A4C28">
        <w:t>s Charter allows for ex</w:t>
      </w:r>
      <w:r w:rsidR="00360869">
        <w:noBreakHyphen/>
      </w:r>
      <w:r w:rsidRPr="001A4C28">
        <w:t>officio members of the Board to be represented by a delegate at Board meetings</w:t>
      </w:r>
      <w:r>
        <w:t xml:space="preserve">. </w:t>
      </w:r>
    </w:p>
    <w:p w14:paraId="5301E40A" w14:textId="062E02BA" w:rsidR="008E2DA1" w:rsidRDefault="008E2DA1">
      <w:r>
        <w:br w:type="page"/>
      </w:r>
    </w:p>
    <w:p w14:paraId="2E43D5CD" w14:textId="61BF5DE9" w:rsidR="00C4491D" w:rsidRDefault="004C4363" w:rsidP="00C4491D">
      <w:pPr>
        <w:pStyle w:val="Heading1"/>
      </w:pPr>
      <w:bookmarkStart w:id="86" w:name="_Toc209006415"/>
      <w:bookmarkStart w:id="87" w:name="_Toc209006604"/>
      <w:r>
        <w:lastRenderedPageBreak/>
        <w:t xml:space="preserve">Appendix D: </w:t>
      </w:r>
      <w:r w:rsidR="00C4491D">
        <w:t>Board Meetings and Stakeholder Events</w:t>
      </w:r>
      <w:bookmarkEnd w:id="86"/>
      <w:bookmarkEnd w:id="87"/>
    </w:p>
    <w:p w14:paraId="396A107B" w14:textId="7C9424F7" w:rsidR="00C4491D" w:rsidRDefault="00C4491D" w:rsidP="00C4491D">
      <w:r>
        <w:t xml:space="preserve">The Board met </w:t>
      </w:r>
      <w:r w:rsidR="00273418">
        <w:t>seven</w:t>
      </w:r>
      <w:r>
        <w:t xml:space="preserve"> times in the 2023</w:t>
      </w:r>
      <w:r w:rsidR="00416251">
        <w:t>–</w:t>
      </w:r>
      <w:r>
        <w:t>24 reporting year in locations throughout Australia.</w:t>
      </w:r>
      <w:r w:rsidR="00262F10">
        <w:t xml:space="preserve"> </w:t>
      </w:r>
      <w:r>
        <w:t>The</w:t>
      </w:r>
      <w:r w:rsidR="002752D8">
        <w:t> </w:t>
      </w:r>
      <w:r>
        <w:t>Board</w:t>
      </w:r>
      <w:r w:rsidR="002752D8">
        <w:t> </w:t>
      </w:r>
      <w:r>
        <w:t>hosted Stakeholder events in conjunction with these Board meetings</w:t>
      </w:r>
      <w:r>
        <w:rPr>
          <w:rStyle w:val="FootnoteReference"/>
        </w:rPr>
        <w:footnoteReference w:id="8"/>
      </w:r>
    </w:p>
    <w:p w14:paraId="32997B0B" w14:textId="7E9722B5" w:rsidR="00037D61" w:rsidRDefault="00037D61" w:rsidP="00037D61">
      <w:pPr>
        <w:pStyle w:val="TableHeading1"/>
      </w:pPr>
      <w:r>
        <w:t>Table 3: Board meetings, 2023–24</w:t>
      </w:r>
    </w:p>
    <w:tbl>
      <w:tblPr>
        <w:tblStyle w:val="ListTable3-Accent1"/>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bottom w:w="57" w:type="dxa"/>
        </w:tblCellMar>
        <w:tblLook w:val="04A0" w:firstRow="1" w:lastRow="0" w:firstColumn="1" w:lastColumn="0" w:noHBand="0" w:noVBand="1"/>
      </w:tblPr>
      <w:tblGrid>
        <w:gridCol w:w="2170"/>
        <w:gridCol w:w="3950"/>
        <w:gridCol w:w="3521"/>
      </w:tblGrid>
      <w:tr w:rsidR="00725359" w14:paraId="40DB28B3" w14:textId="29BBFB66" w:rsidTr="007253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0" w:type="dxa"/>
            <w:vAlign w:val="center"/>
          </w:tcPr>
          <w:p w14:paraId="4BA50C36" w14:textId="77777777" w:rsidR="00725359" w:rsidRPr="008133E0" w:rsidRDefault="00725359" w:rsidP="008F1B97">
            <w:pPr>
              <w:pStyle w:val="TableHeaderCellLeft"/>
            </w:pPr>
            <w:r>
              <w:t>Board meeting</w:t>
            </w:r>
          </w:p>
        </w:tc>
        <w:tc>
          <w:tcPr>
            <w:tcW w:w="3950" w:type="dxa"/>
            <w:tcBorders>
              <w:bottom w:val="nil"/>
            </w:tcBorders>
            <w:vAlign w:val="center"/>
          </w:tcPr>
          <w:p w14:paraId="15D25387" w14:textId="77777777" w:rsidR="00725359" w:rsidRPr="008133E0" w:rsidRDefault="00725359" w:rsidP="008F1B97">
            <w:pPr>
              <w:pStyle w:val="TableHeaderCellLeft"/>
              <w:cnfStyle w:val="100000000000" w:firstRow="1" w:lastRow="0" w:firstColumn="0" w:lastColumn="0" w:oddVBand="0" w:evenVBand="0" w:oddHBand="0" w:evenHBand="0" w:firstRowFirstColumn="0" w:firstRowLastColumn="0" w:lastRowFirstColumn="0" w:lastRowLastColumn="0"/>
            </w:pPr>
            <w:r>
              <w:t>Location</w:t>
            </w:r>
          </w:p>
        </w:tc>
        <w:tc>
          <w:tcPr>
            <w:tcW w:w="3521" w:type="dxa"/>
            <w:tcBorders>
              <w:bottom w:val="nil"/>
            </w:tcBorders>
          </w:tcPr>
          <w:p w14:paraId="2BA83DE4" w14:textId="37C2CC1A" w:rsidR="00725359" w:rsidRDefault="00725359" w:rsidP="008F1B97">
            <w:pPr>
              <w:pStyle w:val="TableHeaderCellLeft"/>
              <w:cnfStyle w:val="100000000000" w:firstRow="1" w:lastRow="0" w:firstColumn="0" w:lastColumn="0" w:oddVBand="0" w:evenVBand="0" w:oddHBand="0" w:evenHBand="0" w:firstRowFirstColumn="0" w:firstRowLastColumn="0" w:lastRowFirstColumn="0" w:lastRowLastColumn="0"/>
            </w:pPr>
            <w:r>
              <w:t>Stakeholder event</w:t>
            </w:r>
          </w:p>
        </w:tc>
      </w:tr>
      <w:tr w:rsidR="00725359" w14:paraId="0833C31C" w14:textId="705B1264" w:rsidTr="00725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0" w:type="dxa"/>
            <w:tcBorders>
              <w:top w:val="nil"/>
            </w:tcBorders>
            <w:shd w:val="clear" w:color="auto" w:fill="F6F2ED" w:themeFill="accent3" w:themeFillTint="33"/>
            <w:vAlign w:val="center"/>
          </w:tcPr>
          <w:p w14:paraId="32B53FE2" w14:textId="50CCFF56" w:rsidR="00725359" w:rsidRDefault="00725359" w:rsidP="008F1B97">
            <w:pPr>
              <w:pStyle w:val="TableBodyCellLeft"/>
            </w:pPr>
            <w:r w:rsidRPr="000E599E">
              <w:t>21</w:t>
            </w:r>
            <w:r>
              <w:t xml:space="preserve"> July 2023</w:t>
            </w:r>
          </w:p>
        </w:tc>
        <w:tc>
          <w:tcPr>
            <w:tcW w:w="3950" w:type="dxa"/>
            <w:tcBorders>
              <w:top w:val="nil"/>
            </w:tcBorders>
            <w:vAlign w:val="center"/>
          </w:tcPr>
          <w:p w14:paraId="6E60874F" w14:textId="02BFD60A"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pPr>
            <w:r>
              <w:t>Virtual meeting</w:t>
            </w:r>
            <w:r>
              <w:br/>
              <w:t>Via video conferencing facilities</w:t>
            </w:r>
            <w:r>
              <w:rPr>
                <w:lang w:val="en-US"/>
              </w:rPr>
              <w:t xml:space="preserve"> </w:t>
            </w:r>
          </w:p>
        </w:tc>
        <w:tc>
          <w:tcPr>
            <w:tcW w:w="3521" w:type="dxa"/>
            <w:tcBorders>
              <w:top w:val="nil"/>
            </w:tcBorders>
          </w:tcPr>
          <w:p w14:paraId="70DD79DD" w14:textId="3C87571C"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t>No event held</w:t>
            </w:r>
          </w:p>
        </w:tc>
      </w:tr>
      <w:tr w:rsidR="00725359" w14:paraId="418D59C6" w14:textId="7B991715" w:rsidTr="00725359">
        <w:tc>
          <w:tcPr>
            <w:cnfStyle w:val="001000000000" w:firstRow="0" w:lastRow="0" w:firstColumn="1" w:lastColumn="0" w:oddVBand="0" w:evenVBand="0" w:oddHBand="0" w:evenHBand="0" w:firstRowFirstColumn="0" w:firstRowLastColumn="0" w:lastRowFirstColumn="0" w:lastRowLastColumn="0"/>
            <w:tcW w:w="2170" w:type="dxa"/>
            <w:tcBorders>
              <w:top w:val="single" w:sz="4" w:space="0" w:color="142147" w:themeColor="accent1"/>
              <w:bottom w:val="single" w:sz="4" w:space="0" w:color="142147" w:themeColor="accent1"/>
            </w:tcBorders>
            <w:shd w:val="clear" w:color="auto" w:fill="F6F2ED" w:themeFill="accent3" w:themeFillTint="33"/>
            <w:vAlign w:val="center"/>
          </w:tcPr>
          <w:p w14:paraId="44D0C1BE" w14:textId="47C11F98" w:rsidR="00725359" w:rsidRDefault="00725359" w:rsidP="008F1B97">
            <w:pPr>
              <w:pStyle w:val="TableBodyCellLeft"/>
            </w:pPr>
            <w:r>
              <w:t>8 September 2023</w:t>
            </w:r>
          </w:p>
        </w:tc>
        <w:tc>
          <w:tcPr>
            <w:tcW w:w="3950" w:type="dxa"/>
            <w:tcBorders>
              <w:top w:val="single" w:sz="4" w:space="0" w:color="142147" w:themeColor="accent1"/>
              <w:bottom w:val="single" w:sz="4" w:space="0" w:color="142147" w:themeColor="accent1"/>
            </w:tcBorders>
            <w:vAlign w:val="center"/>
          </w:tcPr>
          <w:p w14:paraId="17A5752F" w14:textId="3692DF1E" w:rsidR="00725359" w:rsidRDefault="00725359" w:rsidP="008F1B97">
            <w:pPr>
              <w:pStyle w:val="TableBodyCellLeft"/>
              <w:cnfStyle w:val="000000000000" w:firstRow="0" w:lastRow="0" w:firstColumn="0" w:lastColumn="0" w:oddVBand="0" w:evenVBand="0" w:oddHBand="0" w:evenHBand="0" w:firstRowFirstColumn="0" w:firstRowLastColumn="0" w:lastRowFirstColumn="0" w:lastRowLastColumn="0"/>
            </w:pPr>
            <w:r>
              <w:t>Treasury</w:t>
            </w:r>
            <w:r>
              <w:br/>
              <w:t>Langton Crescent, Parkes, ACT</w:t>
            </w:r>
          </w:p>
        </w:tc>
        <w:tc>
          <w:tcPr>
            <w:tcW w:w="3521" w:type="dxa"/>
            <w:tcBorders>
              <w:top w:val="single" w:sz="4" w:space="0" w:color="142147" w:themeColor="accent1"/>
              <w:bottom w:val="single" w:sz="4" w:space="0" w:color="142147" w:themeColor="accent1"/>
            </w:tcBorders>
          </w:tcPr>
          <w:p w14:paraId="3B176DF3" w14:textId="0ADC3085" w:rsidR="00725359" w:rsidRDefault="00725359"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t>Treasury and the ATO</w:t>
            </w:r>
          </w:p>
        </w:tc>
      </w:tr>
      <w:tr w:rsidR="00725359" w14:paraId="77224852" w14:textId="0CE1DDB8" w:rsidTr="00725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0" w:type="dxa"/>
            <w:shd w:val="clear" w:color="auto" w:fill="F6F2ED" w:themeFill="accent3" w:themeFillTint="33"/>
            <w:vAlign w:val="center"/>
          </w:tcPr>
          <w:p w14:paraId="66B9E8A1" w14:textId="35D87FE3" w:rsidR="00725359" w:rsidRDefault="00725359" w:rsidP="008F1B97">
            <w:pPr>
              <w:pStyle w:val="TableBodyCellLeft"/>
            </w:pPr>
            <w:r>
              <w:t>27 October 2023</w:t>
            </w:r>
          </w:p>
        </w:tc>
        <w:tc>
          <w:tcPr>
            <w:tcW w:w="3950" w:type="dxa"/>
            <w:vAlign w:val="center"/>
          </w:tcPr>
          <w:p w14:paraId="051E5151" w14:textId="676F1571"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pPr>
            <w:r>
              <w:t>Treasury</w:t>
            </w:r>
            <w:r>
              <w:br/>
              <w:t>Level 29, 201 Kent Street, Sydney, NSW</w:t>
            </w:r>
          </w:p>
        </w:tc>
        <w:tc>
          <w:tcPr>
            <w:tcW w:w="3521" w:type="dxa"/>
          </w:tcPr>
          <w:p w14:paraId="50039889" w14:textId="2054A030"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t>Financial Service Sector</w:t>
            </w:r>
          </w:p>
        </w:tc>
      </w:tr>
      <w:tr w:rsidR="00725359" w14:paraId="7CE36304" w14:textId="34FF9E8E" w:rsidTr="00725359">
        <w:tc>
          <w:tcPr>
            <w:cnfStyle w:val="001000000000" w:firstRow="0" w:lastRow="0" w:firstColumn="1" w:lastColumn="0" w:oddVBand="0" w:evenVBand="0" w:oddHBand="0" w:evenHBand="0" w:firstRowFirstColumn="0" w:firstRowLastColumn="0" w:lastRowFirstColumn="0" w:lastRowLastColumn="0"/>
            <w:tcW w:w="2170" w:type="dxa"/>
            <w:tcBorders>
              <w:top w:val="single" w:sz="4" w:space="0" w:color="142147" w:themeColor="accent1"/>
              <w:bottom w:val="single" w:sz="4" w:space="0" w:color="142147" w:themeColor="accent1"/>
            </w:tcBorders>
            <w:shd w:val="clear" w:color="auto" w:fill="F6F2ED" w:themeFill="accent3" w:themeFillTint="33"/>
            <w:vAlign w:val="center"/>
          </w:tcPr>
          <w:p w14:paraId="793D5EF5" w14:textId="6C610846" w:rsidR="00725359" w:rsidRDefault="00725359" w:rsidP="008F1B97">
            <w:pPr>
              <w:pStyle w:val="TableBodyCellLeft"/>
            </w:pPr>
            <w:r>
              <w:t>8 December 2023</w:t>
            </w:r>
          </w:p>
        </w:tc>
        <w:tc>
          <w:tcPr>
            <w:tcW w:w="3950" w:type="dxa"/>
            <w:tcBorders>
              <w:top w:val="single" w:sz="4" w:space="0" w:color="142147" w:themeColor="accent1"/>
              <w:bottom w:val="single" w:sz="4" w:space="0" w:color="142147" w:themeColor="accent1"/>
            </w:tcBorders>
            <w:vAlign w:val="center"/>
          </w:tcPr>
          <w:p w14:paraId="4270CFDF" w14:textId="20301D69" w:rsidR="00725359" w:rsidRDefault="00725359" w:rsidP="008F1B97">
            <w:pPr>
              <w:pStyle w:val="TableBodyCellLeft"/>
              <w:cnfStyle w:val="000000000000" w:firstRow="0" w:lastRow="0" w:firstColumn="0" w:lastColumn="0" w:oddVBand="0" w:evenVBand="0" w:oddHBand="0" w:evenHBand="0" w:firstRowFirstColumn="0" w:firstRowLastColumn="0" w:lastRowFirstColumn="0" w:lastRowLastColumn="0"/>
            </w:pPr>
            <w:r>
              <w:rPr>
                <w:lang w:val="en-US"/>
              </w:rPr>
              <w:t xml:space="preserve">Bar Council Chambers </w:t>
            </w:r>
            <w:r>
              <w:rPr>
                <w:lang w:val="en-US"/>
              </w:rPr>
              <w:br/>
              <w:t xml:space="preserve">Level 1, Owen Dixon Chambers East, </w:t>
            </w:r>
            <w:r>
              <w:rPr>
                <w:lang w:val="en-US"/>
              </w:rPr>
              <w:br/>
              <w:t>205 Williams Street, Melbourne, VIC</w:t>
            </w:r>
          </w:p>
        </w:tc>
        <w:tc>
          <w:tcPr>
            <w:tcW w:w="3521" w:type="dxa"/>
            <w:tcBorders>
              <w:top w:val="single" w:sz="4" w:space="0" w:color="142147" w:themeColor="accent1"/>
              <w:bottom w:val="single" w:sz="4" w:space="0" w:color="142147" w:themeColor="accent1"/>
            </w:tcBorders>
          </w:tcPr>
          <w:p w14:paraId="4D727ECF" w14:textId="76EC2250" w:rsidR="00725359" w:rsidRDefault="00725359"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rPr>
                <w:lang w:val="en-US"/>
              </w:rPr>
              <w:t>Victorian Bar Association</w:t>
            </w:r>
          </w:p>
        </w:tc>
      </w:tr>
      <w:tr w:rsidR="00725359" w14:paraId="680FCA7D" w14:textId="3C77A124" w:rsidTr="00725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0" w:type="dxa"/>
            <w:shd w:val="clear" w:color="auto" w:fill="F6F2ED" w:themeFill="accent3" w:themeFillTint="33"/>
            <w:vAlign w:val="center"/>
          </w:tcPr>
          <w:p w14:paraId="3A5A9BD2" w14:textId="12B90143" w:rsidR="00725359" w:rsidRDefault="00725359" w:rsidP="008F1B97">
            <w:pPr>
              <w:pStyle w:val="TableBodyCellLeft"/>
            </w:pPr>
            <w:r>
              <w:t>9 February 2024</w:t>
            </w:r>
          </w:p>
        </w:tc>
        <w:tc>
          <w:tcPr>
            <w:tcW w:w="3950" w:type="dxa"/>
            <w:vAlign w:val="center"/>
          </w:tcPr>
          <w:p w14:paraId="41189B6F" w14:textId="06C8D458"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pPr>
            <w:r>
              <w:t>Treasury</w:t>
            </w:r>
            <w:r>
              <w:br/>
              <w:t>Level 29, 201 Kent Street, Sydney, NSW</w:t>
            </w:r>
            <w:r>
              <w:rPr>
                <w:lang w:val="en-US"/>
              </w:rPr>
              <w:t xml:space="preserve"> </w:t>
            </w:r>
          </w:p>
        </w:tc>
        <w:tc>
          <w:tcPr>
            <w:tcW w:w="3521" w:type="dxa"/>
          </w:tcPr>
          <w:p w14:paraId="546DC907" w14:textId="502A9724"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t>Tax Transparency</w:t>
            </w:r>
          </w:p>
        </w:tc>
      </w:tr>
      <w:tr w:rsidR="00725359" w14:paraId="03243199" w14:textId="12C6016A" w:rsidTr="00725359">
        <w:tc>
          <w:tcPr>
            <w:cnfStyle w:val="001000000000" w:firstRow="0" w:lastRow="0" w:firstColumn="1" w:lastColumn="0" w:oddVBand="0" w:evenVBand="0" w:oddHBand="0" w:evenHBand="0" w:firstRowFirstColumn="0" w:firstRowLastColumn="0" w:lastRowFirstColumn="0" w:lastRowLastColumn="0"/>
            <w:tcW w:w="2170" w:type="dxa"/>
            <w:tcBorders>
              <w:top w:val="single" w:sz="4" w:space="0" w:color="142147" w:themeColor="accent1"/>
              <w:bottom w:val="single" w:sz="4" w:space="0" w:color="142147" w:themeColor="accent1"/>
            </w:tcBorders>
            <w:shd w:val="clear" w:color="auto" w:fill="F6F2ED" w:themeFill="accent3" w:themeFillTint="33"/>
            <w:vAlign w:val="center"/>
          </w:tcPr>
          <w:p w14:paraId="40D7FD18" w14:textId="24684913" w:rsidR="00725359" w:rsidRDefault="00725359" w:rsidP="008F1B97">
            <w:pPr>
              <w:pStyle w:val="TableBodyCellLeft"/>
            </w:pPr>
            <w:r>
              <w:t>22 March 2024</w:t>
            </w:r>
          </w:p>
        </w:tc>
        <w:tc>
          <w:tcPr>
            <w:tcW w:w="3950" w:type="dxa"/>
            <w:tcBorders>
              <w:top w:val="single" w:sz="4" w:space="0" w:color="142147" w:themeColor="accent1"/>
              <w:bottom w:val="single" w:sz="4" w:space="0" w:color="142147" w:themeColor="accent1"/>
            </w:tcBorders>
            <w:vAlign w:val="center"/>
          </w:tcPr>
          <w:p w14:paraId="391559D6" w14:textId="7F5E29AA" w:rsidR="00725359" w:rsidRDefault="00725359" w:rsidP="008F1B97">
            <w:pPr>
              <w:pStyle w:val="TableBodyCellLeft"/>
              <w:cnfStyle w:val="000000000000" w:firstRow="0" w:lastRow="0" w:firstColumn="0" w:lastColumn="0" w:oddVBand="0" w:evenVBand="0" w:oddHBand="0" w:evenHBand="0" w:firstRowFirstColumn="0" w:firstRowLastColumn="0" w:lastRowFirstColumn="0" w:lastRowLastColumn="0"/>
            </w:pPr>
            <w:r>
              <w:t>Virtual meeting</w:t>
            </w:r>
            <w:r>
              <w:br/>
              <w:t>Via video conferencing facilities</w:t>
            </w:r>
          </w:p>
        </w:tc>
        <w:tc>
          <w:tcPr>
            <w:tcW w:w="3521" w:type="dxa"/>
            <w:tcBorders>
              <w:top w:val="single" w:sz="4" w:space="0" w:color="142147" w:themeColor="accent1"/>
              <w:bottom w:val="single" w:sz="4" w:space="0" w:color="142147" w:themeColor="accent1"/>
            </w:tcBorders>
          </w:tcPr>
          <w:p w14:paraId="5130FA40" w14:textId="77F060CB" w:rsidR="00725359" w:rsidRDefault="00725359"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t>No event held</w:t>
            </w:r>
          </w:p>
        </w:tc>
      </w:tr>
      <w:tr w:rsidR="00725359" w14:paraId="5B8754F5" w14:textId="5EFD52AC" w:rsidTr="00725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0" w:type="dxa"/>
            <w:shd w:val="clear" w:color="auto" w:fill="F6F2ED" w:themeFill="accent3" w:themeFillTint="33"/>
            <w:vAlign w:val="center"/>
          </w:tcPr>
          <w:p w14:paraId="1E8F7FAB" w14:textId="686CFD53" w:rsidR="00725359" w:rsidRDefault="00725359" w:rsidP="008F1B97">
            <w:pPr>
              <w:pStyle w:val="TableBodyCellLeft"/>
            </w:pPr>
            <w:r>
              <w:t>24 May 2024</w:t>
            </w:r>
          </w:p>
        </w:tc>
        <w:tc>
          <w:tcPr>
            <w:tcW w:w="3950" w:type="dxa"/>
            <w:vAlign w:val="center"/>
          </w:tcPr>
          <w:p w14:paraId="022188BC" w14:textId="59896376"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pPr>
            <w:r>
              <w:t xml:space="preserve">Treasury </w:t>
            </w:r>
            <w:r>
              <w:br/>
              <w:t>Langton Crescent, Parkes, ACT</w:t>
            </w:r>
          </w:p>
        </w:tc>
        <w:tc>
          <w:tcPr>
            <w:tcW w:w="3521" w:type="dxa"/>
          </w:tcPr>
          <w:p w14:paraId="37598021" w14:textId="7515B9B2" w:rsidR="00725359" w:rsidRDefault="00725359"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t>Small Business</w:t>
            </w:r>
          </w:p>
        </w:tc>
      </w:tr>
    </w:tbl>
    <w:p w14:paraId="2B36647C" w14:textId="77777777" w:rsidR="00C4491D" w:rsidRPr="002F4A51" w:rsidRDefault="00C4491D" w:rsidP="002F4A51">
      <w:r>
        <w:br w:type="page"/>
      </w:r>
    </w:p>
    <w:p w14:paraId="3F070EFD" w14:textId="6E2AFE0D" w:rsidR="00036758" w:rsidRPr="005014BA" w:rsidRDefault="00036758" w:rsidP="0079353B">
      <w:pPr>
        <w:pStyle w:val="Heading1"/>
      </w:pPr>
      <w:bookmarkStart w:id="88" w:name="_Toc146100271"/>
      <w:bookmarkStart w:id="89" w:name="_Toc149905540"/>
      <w:bookmarkStart w:id="90" w:name="_Ref151722637"/>
      <w:bookmarkStart w:id="91" w:name="_Toc209006416"/>
      <w:bookmarkStart w:id="92" w:name="_Toc209006605"/>
      <w:bookmarkEnd w:id="85"/>
      <w:r w:rsidRPr="00D51DD4">
        <w:lastRenderedPageBreak/>
        <w:t xml:space="preserve">Appendix </w:t>
      </w:r>
      <w:r w:rsidR="008D266A" w:rsidRPr="00D51DD4">
        <w:t>E</w:t>
      </w:r>
      <w:r w:rsidRPr="00D51DD4">
        <w:t>: Presentations</w:t>
      </w:r>
      <w:r>
        <w:t xml:space="preserve"> at events, conferences, and discussion groups</w:t>
      </w:r>
      <w:bookmarkEnd w:id="88"/>
      <w:bookmarkEnd w:id="89"/>
      <w:bookmarkEnd w:id="90"/>
      <w:bookmarkEnd w:id="91"/>
      <w:bookmarkEnd w:id="92"/>
      <w:r>
        <w:t xml:space="preserve"> </w:t>
      </w:r>
    </w:p>
    <w:p w14:paraId="0CD6E36B" w14:textId="25A28D5D" w:rsidR="00036758" w:rsidRDefault="00036758" w:rsidP="00FC0C6C">
      <w:pPr>
        <w:pStyle w:val="TableHeading1"/>
      </w:pPr>
      <w:r>
        <w:t xml:space="preserve">Table </w:t>
      </w:r>
      <w:r w:rsidR="000722B0">
        <w:t>4</w:t>
      </w:r>
      <w:r>
        <w:t>: External presentations, 202</w:t>
      </w:r>
      <w:r w:rsidR="00D60AA6">
        <w:t>3</w:t>
      </w:r>
      <w:r w:rsidR="00FC0C6C">
        <w:t>–</w:t>
      </w:r>
      <w:r>
        <w:t>2</w:t>
      </w:r>
      <w:r w:rsidR="00D60AA6">
        <w:t>4</w:t>
      </w:r>
    </w:p>
    <w:tbl>
      <w:tblPr>
        <w:tblStyle w:val="ListTable3-Accent1"/>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bottom w:w="57" w:type="dxa"/>
        </w:tblCellMar>
        <w:tblLook w:val="04A0" w:firstRow="1" w:lastRow="0" w:firstColumn="1" w:lastColumn="0" w:noHBand="0" w:noVBand="1"/>
      </w:tblPr>
      <w:tblGrid>
        <w:gridCol w:w="2271"/>
        <w:gridCol w:w="7370"/>
      </w:tblGrid>
      <w:tr w:rsidR="009C734A" w14:paraId="1331E683" w14:textId="77777777" w:rsidTr="00F23E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vAlign w:val="center"/>
          </w:tcPr>
          <w:p w14:paraId="2ADF3BBE" w14:textId="77777777" w:rsidR="00036758" w:rsidRPr="008133E0" w:rsidRDefault="00036758" w:rsidP="00FC0C6C">
            <w:pPr>
              <w:pStyle w:val="TableHeaderCellLeft"/>
            </w:pPr>
            <w:r w:rsidRPr="008133E0">
              <w:t>Organisation</w:t>
            </w:r>
          </w:p>
        </w:tc>
        <w:tc>
          <w:tcPr>
            <w:tcW w:w="7362" w:type="dxa"/>
            <w:tcBorders>
              <w:bottom w:val="nil"/>
            </w:tcBorders>
            <w:vAlign w:val="center"/>
          </w:tcPr>
          <w:p w14:paraId="5103A085" w14:textId="77777777" w:rsidR="00036758" w:rsidRPr="008133E0" w:rsidRDefault="00036758" w:rsidP="00FC0C6C">
            <w:pPr>
              <w:pStyle w:val="TableHeaderCellLeft"/>
              <w:cnfStyle w:val="100000000000" w:firstRow="1" w:lastRow="0" w:firstColumn="0" w:lastColumn="0" w:oddVBand="0" w:evenVBand="0" w:oddHBand="0" w:evenHBand="0" w:firstRowFirstColumn="0" w:firstRowLastColumn="0" w:lastRowFirstColumn="0" w:lastRowLastColumn="0"/>
            </w:pPr>
            <w:r w:rsidRPr="008133E0">
              <w:t>Events</w:t>
            </w:r>
          </w:p>
        </w:tc>
      </w:tr>
      <w:tr w:rsidR="00036758" w14:paraId="23EF1FFF" w14:textId="77777777" w:rsidTr="00F23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tcBorders>
            <w:shd w:val="clear" w:color="auto" w:fill="F6F2ED" w:themeFill="accent3" w:themeFillTint="33"/>
            <w:vAlign w:val="center"/>
          </w:tcPr>
          <w:p w14:paraId="7C64DB0B" w14:textId="59150663" w:rsidR="00036758" w:rsidRPr="00272BAD" w:rsidRDefault="00EC5EE2" w:rsidP="00FC0C6C">
            <w:pPr>
              <w:pStyle w:val="TableBodyCellLeft"/>
            </w:pPr>
            <w:r w:rsidRPr="00272BAD">
              <w:t>CTA</w:t>
            </w:r>
          </w:p>
        </w:tc>
        <w:tc>
          <w:tcPr>
            <w:tcW w:w="7362" w:type="dxa"/>
            <w:tcBorders>
              <w:top w:val="nil"/>
            </w:tcBorders>
            <w:vAlign w:val="center"/>
          </w:tcPr>
          <w:p w14:paraId="443442B0" w14:textId="2B437369" w:rsidR="00036758" w:rsidRDefault="00EC5EE2" w:rsidP="00FC0C6C">
            <w:pPr>
              <w:pStyle w:val="TableBodyCellLeft"/>
              <w:cnfStyle w:val="000000100000" w:firstRow="0" w:lastRow="0" w:firstColumn="0" w:lastColumn="0" w:oddVBand="0" w:evenVBand="0" w:oddHBand="1" w:evenHBand="0" w:firstRowFirstColumn="0" w:firstRowLastColumn="0" w:lastRowFirstColumn="0" w:lastRowLastColumn="0"/>
            </w:pPr>
            <w:r>
              <w:t>CTA Convention</w:t>
            </w:r>
            <w:r w:rsidR="000D1FB0">
              <w:t xml:space="preserve"> </w:t>
            </w:r>
            <w:r w:rsidR="00D06DB5">
              <w:t>–</w:t>
            </w:r>
            <w:r w:rsidR="000D1FB0">
              <w:t xml:space="preserve"> Melbourne</w:t>
            </w:r>
            <w:r w:rsidR="000D1FB0">
              <w:br/>
            </w:r>
            <w:r w:rsidR="00472B7B">
              <w:t>9 &amp; 10 October 2023</w:t>
            </w:r>
            <w:r w:rsidR="000D1FB0">
              <w:br/>
            </w:r>
            <w:r w:rsidR="00472B7B">
              <w:t>Dr Julianne Jaques KC</w:t>
            </w:r>
            <w:r w:rsidR="00EC1408">
              <w:t xml:space="preserve"> </w:t>
            </w:r>
          </w:p>
        </w:tc>
      </w:tr>
      <w:tr w:rsidR="00036758" w14:paraId="049F00F6" w14:textId="77777777" w:rsidTr="00F23E7A">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142147" w:themeColor="accent1"/>
              <w:bottom w:val="single" w:sz="4" w:space="0" w:color="142147" w:themeColor="accent1"/>
            </w:tcBorders>
            <w:shd w:val="clear" w:color="auto" w:fill="F6F2ED" w:themeFill="accent3" w:themeFillTint="33"/>
            <w:vAlign w:val="center"/>
          </w:tcPr>
          <w:p w14:paraId="27AB4D1C" w14:textId="18548BBC" w:rsidR="00036758" w:rsidRPr="00272BAD" w:rsidRDefault="00472B7B" w:rsidP="00FC0C6C">
            <w:pPr>
              <w:pStyle w:val="TableBodyCellLeft"/>
            </w:pPr>
            <w:r w:rsidRPr="00272BAD">
              <w:t>ATO</w:t>
            </w:r>
          </w:p>
        </w:tc>
        <w:tc>
          <w:tcPr>
            <w:tcW w:w="7362" w:type="dxa"/>
            <w:tcBorders>
              <w:top w:val="single" w:sz="4" w:space="0" w:color="142147" w:themeColor="accent1"/>
              <w:bottom w:val="single" w:sz="4" w:space="0" w:color="142147" w:themeColor="accent1"/>
            </w:tcBorders>
            <w:vAlign w:val="center"/>
          </w:tcPr>
          <w:p w14:paraId="71B9EBFB" w14:textId="6A659491" w:rsidR="00036758" w:rsidRDefault="00472B7B" w:rsidP="00FC0C6C">
            <w:pPr>
              <w:pStyle w:val="TableBodyCellLeft"/>
              <w:cnfStyle w:val="000000000000" w:firstRow="0" w:lastRow="0" w:firstColumn="0" w:lastColumn="0" w:oddVBand="0" w:evenVBand="0" w:oddHBand="0" w:evenHBand="0" w:firstRowFirstColumn="0" w:firstRowLastColumn="0" w:lastRowFirstColumn="0" w:lastRowLastColumn="0"/>
            </w:pPr>
            <w:r>
              <w:t xml:space="preserve">Large Business Stewardship </w:t>
            </w:r>
            <w:r w:rsidR="00815BA7">
              <w:t xml:space="preserve">Group (LBSG) </w:t>
            </w:r>
            <w:r>
              <w:t xml:space="preserve">meeting </w:t>
            </w:r>
            <w:r w:rsidR="00DF064A">
              <w:t xml:space="preserve">– </w:t>
            </w:r>
            <w:r w:rsidR="00EC1408">
              <w:t>Sydne</w:t>
            </w:r>
            <w:r w:rsidR="00070563">
              <w:t>y</w:t>
            </w:r>
            <w:r w:rsidR="00070563">
              <w:br/>
              <w:t>15 November 2023</w:t>
            </w:r>
            <w:r w:rsidR="00EC1408">
              <w:t xml:space="preserve"> </w:t>
            </w:r>
            <w:r w:rsidR="00C11E91">
              <w:br/>
            </w:r>
            <w:r w:rsidR="00D7381B">
              <w:t>Michelle Calder</w:t>
            </w:r>
            <w:r w:rsidR="00C11E91">
              <w:t xml:space="preserve"> – Chief Executive, Board Secretariat</w:t>
            </w:r>
          </w:p>
        </w:tc>
      </w:tr>
      <w:tr w:rsidR="00036758" w14:paraId="153D9DE8" w14:textId="77777777" w:rsidTr="00F23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6F2ED" w:themeFill="accent3" w:themeFillTint="33"/>
            <w:vAlign w:val="center"/>
          </w:tcPr>
          <w:p w14:paraId="62F48BBF" w14:textId="5C78E986" w:rsidR="00036758" w:rsidRPr="00272BAD" w:rsidRDefault="00D7381B" w:rsidP="00FC0C6C">
            <w:pPr>
              <w:pStyle w:val="TableBodyCellLeft"/>
            </w:pPr>
            <w:r w:rsidRPr="00272BAD">
              <w:t>Deloitte</w:t>
            </w:r>
          </w:p>
        </w:tc>
        <w:tc>
          <w:tcPr>
            <w:tcW w:w="7362" w:type="dxa"/>
            <w:vAlign w:val="center"/>
          </w:tcPr>
          <w:p w14:paraId="5AA208EF" w14:textId="3B4ABC36" w:rsidR="00036758" w:rsidRPr="00FC0C6C" w:rsidRDefault="00D7381B" w:rsidP="00FC0C6C">
            <w:pPr>
              <w:pStyle w:val="TableBodyCellLeft"/>
              <w:cnfStyle w:val="000000100000" w:firstRow="0" w:lastRow="0" w:firstColumn="0" w:lastColumn="0" w:oddVBand="0" w:evenVBand="0" w:oddHBand="1" w:evenHBand="0" w:firstRowFirstColumn="0" w:firstRowLastColumn="0" w:lastRowFirstColumn="0" w:lastRowLastColumn="0"/>
              <w:rPr>
                <w:spacing w:val="-4"/>
              </w:rPr>
            </w:pPr>
            <w:r>
              <w:rPr>
                <w:spacing w:val="-4"/>
              </w:rPr>
              <w:t xml:space="preserve">FSAA Tax Day </w:t>
            </w:r>
            <w:r w:rsidR="00C11E91">
              <w:rPr>
                <w:spacing w:val="-4"/>
              </w:rPr>
              <w:t>– Sydney</w:t>
            </w:r>
            <w:r w:rsidR="00B12454">
              <w:rPr>
                <w:spacing w:val="-4"/>
              </w:rPr>
              <w:br/>
            </w:r>
            <w:r w:rsidR="006F6CE0">
              <w:rPr>
                <w:spacing w:val="-4"/>
              </w:rPr>
              <w:t>17 November</w:t>
            </w:r>
            <w:r w:rsidR="00DF064A">
              <w:rPr>
                <w:spacing w:val="-4"/>
              </w:rPr>
              <w:t xml:space="preserve"> </w:t>
            </w:r>
            <w:r w:rsidR="006F6CE0">
              <w:rPr>
                <w:spacing w:val="-4"/>
              </w:rPr>
              <w:t xml:space="preserve">2023 </w:t>
            </w:r>
            <w:r w:rsidR="00B12454">
              <w:rPr>
                <w:spacing w:val="-4"/>
              </w:rPr>
              <w:br/>
            </w:r>
            <w:r>
              <w:rPr>
                <w:spacing w:val="-4"/>
              </w:rPr>
              <w:t>Keynote Address</w:t>
            </w:r>
            <w:r w:rsidR="00B12454">
              <w:rPr>
                <w:spacing w:val="-4"/>
              </w:rPr>
              <w:t xml:space="preserve"> –</w:t>
            </w:r>
            <w:r>
              <w:rPr>
                <w:spacing w:val="-4"/>
              </w:rPr>
              <w:t xml:space="preserve"> Rosheen </w:t>
            </w:r>
            <w:proofErr w:type="spellStart"/>
            <w:r>
              <w:rPr>
                <w:spacing w:val="-4"/>
              </w:rPr>
              <w:t>Garnon</w:t>
            </w:r>
            <w:proofErr w:type="spellEnd"/>
          </w:p>
        </w:tc>
      </w:tr>
      <w:tr w:rsidR="005A0725" w14:paraId="40F07126" w14:textId="77777777" w:rsidTr="00F23E7A">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142147" w:themeColor="accent1"/>
              <w:bottom w:val="single" w:sz="4" w:space="0" w:color="142147" w:themeColor="accent1"/>
            </w:tcBorders>
            <w:shd w:val="clear" w:color="auto" w:fill="F6F2ED" w:themeFill="accent3" w:themeFillTint="33"/>
            <w:vAlign w:val="center"/>
          </w:tcPr>
          <w:p w14:paraId="290FD530" w14:textId="13DFCC3F" w:rsidR="005A0725" w:rsidRPr="00272BAD" w:rsidRDefault="005A0725" w:rsidP="005A0725">
            <w:pPr>
              <w:pStyle w:val="TableBodyCellLeft"/>
            </w:pPr>
            <w:r w:rsidRPr="00272BAD">
              <w:t>ATO</w:t>
            </w:r>
          </w:p>
        </w:tc>
        <w:tc>
          <w:tcPr>
            <w:tcW w:w="7362" w:type="dxa"/>
            <w:tcBorders>
              <w:top w:val="single" w:sz="4" w:space="0" w:color="142147" w:themeColor="accent1"/>
              <w:bottom w:val="single" w:sz="4" w:space="0" w:color="142147" w:themeColor="accent1"/>
            </w:tcBorders>
            <w:vAlign w:val="center"/>
          </w:tcPr>
          <w:p w14:paraId="5F7259EB" w14:textId="2E3FF5A9" w:rsidR="005A0725" w:rsidRDefault="001E01F9" w:rsidP="005A0725">
            <w:pPr>
              <w:pStyle w:val="TableBodyCellLeft"/>
              <w:cnfStyle w:val="000000000000" w:firstRow="0" w:lastRow="0" w:firstColumn="0" w:lastColumn="0" w:oddVBand="0" w:evenVBand="0" w:oddHBand="0" w:evenHBand="0" w:firstRowFirstColumn="0" w:firstRowLastColumn="0" w:lastRowFirstColumn="0" w:lastRowLastColumn="0"/>
            </w:pPr>
            <w:r>
              <w:t>LBSG</w:t>
            </w:r>
            <w:r w:rsidR="005A0725">
              <w:t xml:space="preserve"> meeting – </w:t>
            </w:r>
            <w:r w:rsidR="00454A4C">
              <w:t>Sydney</w:t>
            </w:r>
            <w:r w:rsidR="00454A4C">
              <w:br/>
            </w:r>
            <w:r w:rsidR="005A0725">
              <w:t>20 March 2024</w:t>
            </w:r>
            <w:r w:rsidR="00454A4C">
              <w:br/>
            </w:r>
            <w:r w:rsidR="005A0725">
              <w:t>Michelle Calder</w:t>
            </w:r>
            <w:r w:rsidR="00454A4C">
              <w:t xml:space="preserve"> – Chief Executive, Board Secretariat</w:t>
            </w:r>
          </w:p>
        </w:tc>
      </w:tr>
    </w:tbl>
    <w:p w14:paraId="52954827" w14:textId="77777777" w:rsidR="00036758" w:rsidRPr="00D73E44" w:rsidRDefault="00036758" w:rsidP="00036758"/>
    <w:p w14:paraId="43FDE253" w14:textId="77777777" w:rsidR="00036758" w:rsidRDefault="00036758">
      <w:r>
        <w:br w:type="page"/>
      </w:r>
    </w:p>
    <w:p w14:paraId="7126FAD5" w14:textId="50542B76" w:rsidR="00036758" w:rsidRDefault="00036758" w:rsidP="00036758">
      <w:pPr>
        <w:pStyle w:val="Heading1"/>
      </w:pPr>
      <w:bookmarkStart w:id="93" w:name="_Toc149905544"/>
      <w:bookmarkStart w:id="94" w:name="_Toc209006417"/>
      <w:bookmarkStart w:id="95" w:name="_Toc209006606"/>
      <w:r>
        <w:lastRenderedPageBreak/>
        <w:t xml:space="preserve">Appendix </w:t>
      </w:r>
      <w:r w:rsidR="00C4491D">
        <w:t>F</w:t>
      </w:r>
      <w:r>
        <w:t>: Financial Statements</w:t>
      </w:r>
      <w:bookmarkEnd w:id="93"/>
      <w:bookmarkEnd w:id="94"/>
      <w:bookmarkEnd w:id="95"/>
    </w:p>
    <w:p w14:paraId="4DAE578D" w14:textId="25A6ECD3" w:rsidR="00527FF7" w:rsidRPr="004E0A23" w:rsidRDefault="00036758" w:rsidP="009672D7">
      <w:pPr>
        <w:pStyle w:val="TableHeading1"/>
      </w:pPr>
      <w:r>
        <w:t xml:space="preserve">Table </w:t>
      </w:r>
      <w:r w:rsidR="00273418">
        <w:t>5</w:t>
      </w:r>
      <w:r>
        <w:t xml:space="preserve">: Revenue, </w:t>
      </w:r>
      <w:r w:rsidR="00344AE7">
        <w:t>expenses,</w:t>
      </w:r>
      <w:r>
        <w:t xml:space="preserve"> and operating result</w:t>
      </w:r>
    </w:p>
    <w:tbl>
      <w:tblPr>
        <w:tblW w:w="9531" w:type="dxa"/>
        <w:tblInd w:w="108" w:type="dxa"/>
        <w:tblCellMar>
          <w:left w:w="30" w:type="dxa"/>
          <w:right w:w="30" w:type="dxa"/>
        </w:tblCellMar>
        <w:tblLook w:val="0020" w:firstRow="1" w:lastRow="0" w:firstColumn="0" w:lastColumn="0" w:noHBand="0" w:noVBand="0"/>
      </w:tblPr>
      <w:tblGrid>
        <w:gridCol w:w="5003"/>
        <w:gridCol w:w="2263"/>
        <w:gridCol w:w="2265"/>
      </w:tblGrid>
      <w:tr w:rsidR="00B22875" w:rsidRPr="00B22875" w14:paraId="36D9456A" w14:textId="77777777" w:rsidTr="00216488">
        <w:trPr>
          <w:trHeight w:val="277"/>
        </w:trPr>
        <w:tc>
          <w:tcPr>
            <w:tcW w:w="2625" w:type="pct"/>
            <w:tcBorders>
              <w:top w:val="single" w:sz="4" w:space="0" w:color="000080"/>
            </w:tcBorders>
            <w:shd w:val="clear" w:color="auto" w:fill="701F4D" w:themeFill="accent2"/>
            <w:tcMar>
              <w:left w:w="108" w:type="dxa"/>
              <w:right w:w="108" w:type="dxa"/>
            </w:tcMar>
            <w:vAlign w:val="center"/>
          </w:tcPr>
          <w:p w14:paraId="34618893" w14:textId="77777777" w:rsidR="00527FF7" w:rsidRPr="00B22875" w:rsidRDefault="00527FF7" w:rsidP="00FC612B">
            <w:pPr>
              <w:pStyle w:val="TableTextLeft"/>
              <w:rPr>
                <w:color w:val="FFFFFF" w:themeColor="background1"/>
              </w:rPr>
            </w:pPr>
            <w:r w:rsidRPr="00B22875">
              <w:rPr>
                <w:rFonts w:cs="Arial"/>
                <w:color w:val="FFFFFF" w:themeColor="background1"/>
              </w:rPr>
              <w:t> </w:t>
            </w:r>
          </w:p>
        </w:tc>
        <w:tc>
          <w:tcPr>
            <w:tcW w:w="1187" w:type="pct"/>
            <w:tcBorders>
              <w:top w:val="single" w:sz="4" w:space="0" w:color="000080"/>
            </w:tcBorders>
            <w:shd w:val="clear" w:color="auto" w:fill="701F4D" w:themeFill="accent2"/>
          </w:tcPr>
          <w:p w14:paraId="1CC14CC4" w14:textId="40C1534F" w:rsidR="00527FF7" w:rsidRPr="002D5122" w:rsidRDefault="00527FF7" w:rsidP="002D5122">
            <w:pPr>
              <w:pStyle w:val="TableHeaderCellRight"/>
              <w:rPr>
                <w:color w:val="FFFFFF" w:themeColor="background1"/>
              </w:rPr>
            </w:pPr>
            <w:r w:rsidRPr="002D5122">
              <w:rPr>
                <w:color w:val="FFFFFF" w:themeColor="background1"/>
              </w:rPr>
              <w:t>2022</w:t>
            </w:r>
            <w:r w:rsidR="00416251" w:rsidRPr="002D5122">
              <w:rPr>
                <w:color w:val="FFFFFF" w:themeColor="background1"/>
              </w:rPr>
              <w:t>–</w:t>
            </w:r>
            <w:r w:rsidRPr="002D5122">
              <w:rPr>
                <w:color w:val="FFFFFF" w:themeColor="background1"/>
              </w:rPr>
              <w:t>23</w:t>
            </w:r>
          </w:p>
        </w:tc>
        <w:tc>
          <w:tcPr>
            <w:tcW w:w="1188" w:type="pct"/>
            <w:tcBorders>
              <w:top w:val="single" w:sz="4" w:space="0" w:color="000080"/>
            </w:tcBorders>
            <w:shd w:val="clear" w:color="auto" w:fill="701F4D" w:themeFill="accent2"/>
          </w:tcPr>
          <w:p w14:paraId="3EAABB1E" w14:textId="7DF23BEC" w:rsidR="00527FF7" w:rsidRPr="002D5122" w:rsidRDefault="00527FF7" w:rsidP="002D5122">
            <w:pPr>
              <w:pStyle w:val="TableHeaderCellRight"/>
              <w:rPr>
                <w:color w:val="FFFFFF" w:themeColor="background1"/>
              </w:rPr>
            </w:pPr>
            <w:r w:rsidRPr="002D5122">
              <w:rPr>
                <w:color w:val="FFFFFF" w:themeColor="background1"/>
              </w:rPr>
              <w:t>2023</w:t>
            </w:r>
            <w:r w:rsidR="00416251" w:rsidRPr="002D5122">
              <w:rPr>
                <w:color w:val="FFFFFF" w:themeColor="background1"/>
              </w:rPr>
              <w:t>–</w:t>
            </w:r>
            <w:r w:rsidRPr="002D5122">
              <w:rPr>
                <w:color w:val="FFFFFF" w:themeColor="background1"/>
              </w:rPr>
              <w:t>24</w:t>
            </w:r>
          </w:p>
        </w:tc>
      </w:tr>
      <w:tr w:rsidR="00B22875" w:rsidRPr="00B22875" w14:paraId="143AD690" w14:textId="77777777" w:rsidTr="00216488">
        <w:trPr>
          <w:trHeight w:val="289"/>
        </w:trPr>
        <w:tc>
          <w:tcPr>
            <w:tcW w:w="2625" w:type="pct"/>
            <w:shd w:val="clear" w:color="auto" w:fill="701F4D" w:themeFill="accent2"/>
            <w:tcMar>
              <w:left w:w="108" w:type="dxa"/>
              <w:right w:w="108" w:type="dxa"/>
            </w:tcMar>
            <w:vAlign w:val="center"/>
          </w:tcPr>
          <w:p w14:paraId="4848D357" w14:textId="77777777" w:rsidR="00527FF7" w:rsidRPr="00B22875" w:rsidRDefault="00527FF7" w:rsidP="00FC612B">
            <w:pPr>
              <w:pStyle w:val="TableTextLeft"/>
              <w:rPr>
                <w:color w:val="FFFFFF" w:themeColor="background1"/>
              </w:rPr>
            </w:pPr>
          </w:p>
        </w:tc>
        <w:tc>
          <w:tcPr>
            <w:tcW w:w="1187" w:type="pct"/>
            <w:shd w:val="clear" w:color="auto" w:fill="701F4D" w:themeFill="accent2"/>
          </w:tcPr>
          <w:p w14:paraId="2CE096A9" w14:textId="77777777" w:rsidR="00527FF7" w:rsidRPr="002D5122" w:rsidRDefault="00527FF7" w:rsidP="002D5122">
            <w:pPr>
              <w:pStyle w:val="TableHeaderCellRight"/>
              <w:rPr>
                <w:color w:val="FFFFFF" w:themeColor="background1"/>
              </w:rPr>
            </w:pPr>
            <w:r w:rsidRPr="002D5122">
              <w:rPr>
                <w:color w:val="FFFFFF" w:themeColor="background1"/>
              </w:rPr>
              <w:t>$</w:t>
            </w:r>
          </w:p>
        </w:tc>
        <w:tc>
          <w:tcPr>
            <w:tcW w:w="1188" w:type="pct"/>
            <w:shd w:val="clear" w:color="auto" w:fill="701F4D" w:themeFill="accent2"/>
          </w:tcPr>
          <w:p w14:paraId="3F009402" w14:textId="77777777" w:rsidR="00527FF7" w:rsidRPr="002D5122" w:rsidRDefault="00527FF7" w:rsidP="002D5122">
            <w:pPr>
              <w:pStyle w:val="TableHeaderCellRight"/>
              <w:rPr>
                <w:color w:val="FFFFFF" w:themeColor="background1"/>
              </w:rPr>
            </w:pPr>
            <w:r w:rsidRPr="002D5122">
              <w:rPr>
                <w:color w:val="FFFFFF" w:themeColor="background1"/>
              </w:rPr>
              <w:t>$</w:t>
            </w:r>
          </w:p>
        </w:tc>
      </w:tr>
      <w:tr w:rsidR="000361AA" w:rsidRPr="004E0A23" w14:paraId="21AD868F" w14:textId="77777777" w:rsidTr="00216488">
        <w:trPr>
          <w:trHeight w:val="289"/>
        </w:trPr>
        <w:tc>
          <w:tcPr>
            <w:tcW w:w="2625" w:type="pct"/>
            <w:tcBorders>
              <w:bottom w:val="single" w:sz="2" w:space="0" w:color="701F4D" w:themeColor="accent2"/>
            </w:tcBorders>
            <w:tcMar>
              <w:left w:w="108" w:type="dxa"/>
              <w:right w:w="108" w:type="dxa"/>
            </w:tcMar>
            <w:vAlign w:val="center"/>
          </w:tcPr>
          <w:p w14:paraId="304610E1" w14:textId="77777777" w:rsidR="00527FF7" w:rsidRPr="00EC55B4" w:rsidRDefault="00527FF7" w:rsidP="00EC55B4">
            <w:pPr>
              <w:pStyle w:val="TableBodyCellLeft"/>
              <w:rPr>
                <w:b/>
                <w:bCs/>
              </w:rPr>
            </w:pPr>
            <w:r w:rsidRPr="00EC55B4">
              <w:rPr>
                <w:b/>
                <w:bCs/>
              </w:rPr>
              <w:t>Revenue</w:t>
            </w:r>
          </w:p>
        </w:tc>
        <w:tc>
          <w:tcPr>
            <w:tcW w:w="1187" w:type="pct"/>
            <w:tcBorders>
              <w:bottom w:val="single" w:sz="2" w:space="0" w:color="701F4D" w:themeColor="accent2"/>
            </w:tcBorders>
          </w:tcPr>
          <w:p w14:paraId="0B0254EB" w14:textId="77777777" w:rsidR="00527FF7" w:rsidRPr="004E0A23" w:rsidRDefault="00527FF7" w:rsidP="00EC55B4">
            <w:pPr>
              <w:pStyle w:val="TableBodyCellRight"/>
              <w:rPr>
                <w:snapToGrid w:val="0"/>
                <w:lang w:eastAsia="en-US"/>
              </w:rPr>
            </w:pPr>
          </w:p>
        </w:tc>
        <w:tc>
          <w:tcPr>
            <w:tcW w:w="1188" w:type="pct"/>
            <w:tcBorders>
              <w:bottom w:val="single" w:sz="2" w:space="0" w:color="701F4D" w:themeColor="accent2"/>
            </w:tcBorders>
            <w:shd w:val="clear" w:color="auto" w:fill="F6F2ED" w:themeFill="accent3" w:themeFillTint="33"/>
          </w:tcPr>
          <w:p w14:paraId="7380724A" w14:textId="77777777" w:rsidR="00527FF7" w:rsidRPr="004E0A23" w:rsidRDefault="00527FF7" w:rsidP="00EC55B4">
            <w:pPr>
              <w:pStyle w:val="TableBodyCellRight"/>
              <w:rPr>
                <w:snapToGrid w:val="0"/>
                <w:lang w:eastAsia="en-US"/>
              </w:rPr>
            </w:pPr>
          </w:p>
        </w:tc>
      </w:tr>
      <w:tr w:rsidR="000361AA" w:rsidRPr="004E0A23" w14:paraId="0F87F599" w14:textId="77777777" w:rsidTr="00216488">
        <w:trPr>
          <w:trHeight w:val="29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190FD13A" w14:textId="3DC141A9" w:rsidR="00527FF7" w:rsidRPr="004E0A23" w:rsidRDefault="00527FF7" w:rsidP="009C5071">
            <w:pPr>
              <w:pStyle w:val="TableBodyCellLeftIndented"/>
            </w:pPr>
            <w:r>
              <w:t>Revenue – Department of the Treasury budget allocation</w:t>
            </w:r>
          </w:p>
        </w:tc>
        <w:tc>
          <w:tcPr>
            <w:tcW w:w="1187" w:type="pct"/>
            <w:tcBorders>
              <w:top w:val="single" w:sz="2" w:space="0" w:color="701F4D" w:themeColor="accent2"/>
              <w:bottom w:val="single" w:sz="2" w:space="0" w:color="701F4D" w:themeColor="accent2"/>
            </w:tcBorders>
            <w:vAlign w:val="center"/>
          </w:tcPr>
          <w:p w14:paraId="0EDA572B" w14:textId="77777777" w:rsidR="00527FF7" w:rsidRDefault="00527FF7" w:rsidP="00EC55B4">
            <w:pPr>
              <w:pStyle w:val="TableBodyCellRight"/>
              <w:rPr>
                <w:snapToGrid w:val="0"/>
                <w:lang w:eastAsia="en-US"/>
              </w:rPr>
            </w:pPr>
            <w:r>
              <w:t>1,460,973</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694ECFD4" w14:textId="77777777" w:rsidR="00527FF7" w:rsidRDefault="00527FF7" w:rsidP="00EC55B4">
            <w:pPr>
              <w:pStyle w:val="TableBodyCellRight"/>
              <w:rPr>
                <w:snapToGrid w:val="0"/>
                <w:lang w:eastAsia="en-US"/>
              </w:rPr>
            </w:pPr>
            <w:r>
              <w:t>1,270,678</w:t>
            </w:r>
          </w:p>
        </w:tc>
      </w:tr>
      <w:tr w:rsidR="000361AA" w:rsidRPr="000961FC" w14:paraId="7E3CCA3D"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6DE5B28A" w14:textId="0A440D44" w:rsidR="00527FF7" w:rsidRPr="004E0A23" w:rsidRDefault="00527FF7" w:rsidP="00EC55B4">
            <w:pPr>
              <w:pStyle w:val="TableBodyCellLeftIndented"/>
            </w:pPr>
            <w:r>
              <w:t>Revenue</w:t>
            </w:r>
            <w:r w:rsidR="00360869">
              <w:t xml:space="preserve"> – </w:t>
            </w:r>
            <w:r>
              <w:t>Other</w:t>
            </w:r>
          </w:p>
        </w:tc>
        <w:tc>
          <w:tcPr>
            <w:tcW w:w="1187" w:type="pct"/>
            <w:tcBorders>
              <w:top w:val="single" w:sz="2" w:space="0" w:color="701F4D" w:themeColor="accent2"/>
              <w:bottom w:val="single" w:sz="2" w:space="0" w:color="701F4D" w:themeColor="accent2"/>
            </w:tcBorders>
            <w:vAlign w:val="center"/>
          </w:tcPr>
          <w:p w14:paraId="1FFF4EAC" w14:textId="77777777" w:rsidR="00527FF7" w:rsidRDefault="00527FF7" w:rsidP="00EC55B4">
            <w:pPr>
              <w:pStyle w:val="TableBodyCellRight"/>
              <w:rPr>
                <w:snapToGrid w:val="0"/>
                <w:lang w:eastAsia="en-US"/>
              </w:rPr>
            </w:pPr>
            <w:r w:rsidRPr="009544E7">
              <w:t>398,169</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2079DDC0" w14:textId="77777777" w:rsidR="00527FF7" w:rsidRPr="000961FC" w:rsidRDefault="00527FF7" w:rsidP="00EC55B4">
            <w:pPr>
              <w:pStyle w:val="TableBodyCellRight"/>
              <w:rPr>
                <w:snapToGrid w:val="0"/>
                <w:color w:val="auto"/>
                <w:lang w:eastAsia="en-US"/>
              </w:rPr>
            </w:pPr>
            <w:r w:rsidRPr="000961FC">
              <w:rPr>
                <w:color w:val="auto"/>
              </w:rPr>
              <w:t>192,525</w:t>
            </w:r>
          </w:p>
        </w:tc>
      </w:tr>
      <w:tr w:rsidR="000361AA" w:rsidRPr="000961FC" w14:paraId="29D7845F"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7D278EE7" w14:textId="77777777" w:rsidR="00527FF7" w:rsidRPr="00EC55B4" w:rsidRDefault="00527FF7" w:rsidP="00EC55B4">
            <w:pPr>
              <w:pStyle w:val="TableBodyCellLeft"/>
              <w:rPr>
                <w:b/>
                <w:bCs/>
              </w:rPr>
            </w:pPr>
            <w:r w:rsidRPr="00EC55B4">
              <w:rPr>
                <w:b/>
                <w:bCs/>
              </w:rPr>
              <w:t>Total revenue</w:t>
            </w:r>
          </w:p>
        </w:tc>
        <w:tc>
          <w:tcPr>
            <w:tcW w:w="1187" w:type="pct"/>
            <w:tcBorders>
              <w:top w:val="single" w:sz="2" w:space="0" w:color="701F4D" w:themeColor="accent2"/>
              <w:bottom w:val="single" w:sz="2" w:space="0" w:color="701F4D" w:themeColor="accent2"/>
            </w:tcBorders>
            <w:vAlign w:val="center"/>
          </w:tcPr>
          <w:p w14:paraId="71A220C9" w14:textId="77777777" w:rsidR="00527FF7" w:rsidRDefault="00527FF7" w:rsidP="00EC55B4">
            <w:pPr>
              <w:pStyle w:val="TableBodyCellRight"/>
              <w:rPr>
                <w:b/>
                <w:snapToGrid w:val="0"/>
                <w:lang w:eastAsia="en-US"/>
              </w:rPr>
            </w:pPr>
            <w:r w:rsidRPr="009544E7">
              <w:rPr>
                <w:b/>
                <w:bCs/>
              </w:rPr>
              <w:t>1,859,142</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73D0BC5F" w14:textId="77777777" w:rsidR="00527FF7" w:rsidRPr="000961FC" w:rsidRDefault="00527FF7" w:rsidP="00EC55B4">
            <w:pPr>
              <w:pStyle w:val="TableBodyCellRight"/>
              <w:rPr>
                <w:b/>
                <w:snapToGrid w:val="0"/>
                <w:lang w:eastAsia="en-US"/>
              </w:rPr>
            </w:pPr>
            <w:r w:rsidRPr="000961FC">
              <w:rPr>
                <w:b/>
                <w:bCs/>
              </w:rPr>
              <w:t>1,463,203</w:t>
            </w:r>
          </w:p>
        </w:tc>
      </w:tr>
      <w:tr w:rsidR="000361AA" w:rsidRPr="004E0A23" w14:paraId="1E8811E7"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4BFDEDBA" w14:textId="77777777" w:rsidR="00527FF7" w:rsidRPr="00EC55B4" w:rsidRDefault="00527FF7" w:rsidP="00EC55B4">
            <w:pPr>
              <w:pStyle w:val="TableBodyCellLeft"/>
              <w:rPr>
                <w:b/>
                <w:bCs/>
              </w:rPr>
            </w:pPr>
            <w:r w:rsidRPr="00EC55B4">
              <w:rPr>
                <w:b/>
                <w:bCs/>
              </w:rPr>
              <w:t>Expenses</w:t>
            </w:r>
          </w:p>
        </w:tc>
        <w:tc>
          <w:tcPr>
            <w:tcW w:w="1187" w:type="pct"/>
            <w:tcBorders>
              <w:top w:val="single" w:sz="2" w:space="0" w:color="701F4D" w:themeColor="accent2"/>
              <w:bottom w:val="single" w:sz="2" w:space="0" w:color="701F4D" w:themeColor="accent2"/>
            </w:tcBorders>
            <w:vAlign w:val="center"/>
          </w:tcPr>
          <w:p w14:paraId="6795E1C4" w14:textId="77777777" w:rsidR="00527FF7" w:rsidRPr="004E0A23" w:rsidRDefault="00527FF7" w:rsidP="00EC55B4">
            <w:pPr>
              <w:pStyle w:val="TableBodyCellRight"/>
              <w:rPr>
                <w:snapToGrid w:val="0"/>
                <w:lang w:eastAsia="en-US"/>
              </w:rPr>
            </w:pP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7C031D4D" w14:textId="77777777" w:rsidR="00527FF7" w:rsidRPr="004E0A23" w:rsidRDefault="00527FF7" w:rsidP="00EC55B4">
            <w:pPr>
              <w:pStyle w:val="TableBodyCellRight"/>
              <w:rPr>
                <w:snapToGrid w:val="0"/>
                <w:lang w:eastAsia="en-US"/>
              </w:rPr>
            </w:pPr>
          </w:p>
        </w:tc>
      </w:tr>
      <w:tr w:rsidR="000361AA" w:rsidRPr="004E0A23" w14:paraId="172D6492"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6523995E" w14:textId="77777777" w:rsidR="00527FF7" w:rsidRPr="00EC55B4" w:rsidRDefault="00527FF7" w:rsidP="00EC55B4">
            <w:pPr>
              <w:pStyle w:val="TableBodyCellLeft"/>
              <w:rPr>
                <w:b/>
                <w:bCs/>
                <w:i/>
              </w:rPr>
            </w:pPr>
            <w:r w:rsidRPr="00EC55B4">
              <w:rPr>
                <w:b/>
                <w:bCs/>
                <w:i/>
                <w:iCs/>
              </w:rPr>
              <w:t>Employee expenses</w:t>
            </w:r>
          </w:p>
        </w:tc>
        <w:tc>
          <w:tcPr>
            <w:tcW w:w="1187" w:type="pct"/>
            <w:tcBorders>
              <w:top w:val="single" w:sz="2" w:space="0" w:color="701F4D" w:themeColor="accent2"/>
              <w:bottom w:val="single" w:sz="2" w:space="0" w:color="701F4D" w:themeColor="accent2"/>
            </w:tcBorders>
            <w:vAlign w:val="center"/>
          </w:tcPr>
          <w:p w14:paraId="21BF8BCF" w14:textId="77777777" w:rsidR="00527FF7" w:rsidRPr="004E0A23" w:rsidRDefault="00527FF7" w:rsidP="00EC55B4">
            <w:pPr>
              <w:pStyle w:val="TableBodyCellRight"/>
              <w:rPr>
                <w:snapToGrid w:val="0"/>
                <w:lang w:eastAsia="en-US"/>
              </w:rPr>
            </w:pP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4C6343D0" w14:textId="77777777" w:rsidR="00527FF7" w:rsidRPr="004E0A23" w:rsidRDefault="00527FF7" w:rsidP="00EC55B4">
            <w:pPr>
              <w:pStyle w:val="TableBodyCellRight"/>
              <w:rPr>
                <w:snapToGrid w:val="0"/>
                <w:lang w:eastAsia="en-US"/>
              </w:rPr>
            </w:pPr>
          </w:p>
        </w:tc>
      </w:tr>
      <w:tr w:rsidR="000361AA" w:rsidRPr="004E0A23" w14:paraId="0765E316"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4377FEFE" w14:textId="77777777" w:rsidR="00527FF7" w:rsidRPr="004E0A23" w:rsidRDefault="00527FF7" w:rsidP="00EC55B4">
            <w:pPr>
              <w:pStyle w:val="TableBodyCellLeftIndented"/>
            </w:pPr>
            <w:r>
              <w:t>Wages</w:t>
            </w:r>
          </w:p>
        </w:tc>
        <w:tc>
          <w:tcPr>
            <w:tcW w:w="1187" w:type="pct"/>
            <w:tcBorders>
              <w:top w:val="single" w:sz="2" w:space="0" w:color="701F4D" w:themeColor="accent2"/>
              <w:bottom w:val="single" w:sz="2" w:space="0" w:color="701F4D" w:themeColor="accent2"/>
            </w:tcBorders>
            <w:vAlign w:val="center"/>
          </w:tcPr>
          <w:p w14:paraId="6D7E3AD3" w14:textId="77777777" w:rsidR="00527FF7" w:rsidRDefault="00527FF7" w:rsidP="00EC55B4">
            <w:pPr>
              <w:pStyle w:val="TableBodyCellRight"/>
              <w:rPr>
                <w:snapToGrid w:val="0"/>
                <w:lang w:eastAsia="en-US"/>
              </w:rPr>
            </w:pPr>
            <w:r>
              <w:t>424,756</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1EA3A7B7" w14:textId="77777777" w:rsidR="00527FF7" w:rsidRDefault="00527FF7" w:rsidP="00EC55B4">
            <w:pPr>
              <w:pStyle w:val="TableBodyCellRight"/>
              <w:rPr>
                <w:snapToGrid w:val="0"/>
                <w:lang w:eastAsia="en-US"/>
              </w:rPr>
            </w:pPr>
            <w:r>
              <w:t>504,166</w:t>
            </w:r>
          </w:p>
        </w:tc>
      </w:tr>
      <w:tr w:rsidR="000361AA" w:rsidRPr="004E0A23" w14:paraId="46895868"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6AC58108" w14:textId="77777777" w:rsidR="00527FF7" w:rsidRPr="004E0A23" w:rsidRDefault="00527FF7" w:rsidP="00EC55B4">
            <w:pPr>
              <w:pStyle w:val="TableBodyCellLeftIndented"/>
            </w:pPr>
            <w:r>
              <w:t>Superannuation</w:t>
            </w:r>
          </w:p>
        </w:tc>
        <w:tc>
          <w:tcPr>
            <w:tcW w:w="1187" w:type="pct"/>
            <w:tcBorders>
              <w:top w:val="single" w:sz="2" w:space="0" w:color="701F4D" w:themeColor="accent2"/>
              <w:bottom w:val="single" w:sz="2" w:space="0" w:color="701F4D" w:themeColor="accent2"/>
            </w:tcBorders>
            <w:vAlign w:val="center"/>
          </w:tcPr>
          <w:p w14:paraId="35F3F908" w14:textId="77777777" w:rsidR="00527FF7" w:rsidRDefault="00527FF7" w:rsidP="00EC55B4">
            <w:pPr>
              <w:pStyle w:val="TableBodyCellRight"/>
              <w:rPr>
                <w:snapToGrid w:val="0"/>
                <w:lang w:eastAsia="en-US"/>
              </w:rPr>
            </w:pPr>
            <w:r>
              <w:t>134,475</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6BA57BC0" w14:textId="77777777" w:rsidR="00527FF7" w:rsidRDefault="00527FF7" w:rsidP="00EC55B4">
            <w:pPr>
              <w:pStyle w:val="TableBodyCellRight"/>
              <w:rPr>
                <w:snapToGrid w:val="0"/>
                <w:lang w:eastAsia="en-US"/>
              </w:rPr>
            </w:pPr>
            <w:r>
              <w:t>144,074</w:t>
            </w:r>
          </w:p>
        </w:tc>
      </w:tr>
      <w:tr w:rsidR="000361AA" w:rsidRPr="004E0A23" w14:paraId="26530EB9" w14:textId="77777777" w:rsidTr="00216488">
        <w:trPr>
          <w:trHeight w:val="277"/>
        </w:trPr>
        <w:tc>
          <w:tcPr>
            <w:tcW w:w="2625" w:type="pct"/>
            <w:tcBorders>
              <w:top w:val="single" w:sz="2" w:space="0" w:color="701F4D" w:themeColor="accent2"/>
              <w:bottom w:val="single" w:sz="2" w:space="0" w:color="701F4D" w:themeColor="accent2"/>
            </w:tcBorders>
            <w:tcMar>
              <w:left w:w="108" w:type="dxa"/>
              <w:right w:w="108" w:type="dxa"/>
            </w:tcMar>
            <w:vAlign w:val="center"/>
          </w:tcPr>
          <w:p w14:paraId="1E1157BD" w14:textId="77777777" w:rsidR="00527FF7" w:rsidRPr="004E0A23" w:rsidRDefault="00527FF7" w:rsidP="00EC55B4">
            <w:pPr>
              <w:pStyle w:val="TableBodyCellLeftIndented"/>
            </w:pPr>
            <w:r>
              <w:t>Other employee expenses</w:t>
            </w:r>
          </w:p>
        </w:tc>
        <w:tc>
          <w:tcPr>
            <w:tcW w:w="1187" w:type="pct"/>
            <w:tcBorders>
              <w:top w:val="single" w:sz="2" w:space="0" w:color="701F4D" w:themeColor="accent2"/>
              <w:bottom w:val="single" w:sz="2" w:space="0" w:color="701F4D" w:themeColor="accent2"/>
            </w:tcBorders>
            <w:vAlign w:val="center"/>
          </w:tcPr>
          <w:p w14:paraId="1A5FABDA" w14:textId="77777777" w:rsidR="00527FF7" w:rsidRDefault="00527FF7" w:rsidP="00EC55B4">
            <w:pPr>
              <w:pStyle w:val="TableBodyCellRight"/>
              <w:rPr>
                <w:snapToGrid w:val="0"/>
                <w:lang w:eastAsia="en-US"/>
              </w:rPr>
            </w:pPr>
            <w:r>
              <w:t>529,668</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63509AE4" w14:textId="77777777" w:rsidR="00527FF7" w:rsidRDefault="00527FF7" w:rsidP="00EC55B4">
            <w:pPr>
              <w:pStyle w:val="TableBodyCellRight"/>
              <w:rPr>
                <w:snapToGrid w:val="0"/>
                <w:lang w:eastAsia="en-US"/>
              </w:rPr>
            </w:pPr>
            <w:r>
              <w:t>507,667</w:t>
            </w:r>
          </w:p>
        </w:tc>
      </w:tr>
      <w:tr w:rsidR="000361AA" w:rsidRPr="00EF3EEF" w14:paraId="4DDC8AC0"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5B688647" w14:textId="77777777" w:rsidR="00527FF7" w:rsidRPr="00EC55B4" w:rsidRDefault="00527FF7" w:rsidP="00EC55B4">
            <w:pPr>
              <w:pStyle w:val="TableBodyCellLeft"/>
              <w:rPr>
                <w:b/>
                <w:bCs/>
                <w:i/>
                <w:iCs/>
              </w:rPr>
            </w:pPr>
            <w:r w:rsidRPr="00EC55B4">
              <w:rPr>
                <w:b/>
                <w:bCs/>
                <w:i/>
                <w:iCs/>
              </w:rPr>
              <w:t>Total employee expenses</w:t>
            </w:r>
          </w:p>
        </w:tc>
        <w:tc>
          <w:tcPr>
            <w:tcW w:w="1187" w:type="pct"/>
            <w:tcBorders>
              <w:top w:val="single" w:sz="2" w:space="0" w:color="701F4D" w:themeColor="accent2"/>
              <w:bottom w:val="single" w:sz="2" w:space="0" w:color="701F4D" w:themeColor="accent2"/>
            </w:tcBorders>
            <w:vAlign w:val="center"/>
          </w:tcPr>
          <w:p w14:paraId="53F43F0A" w14:textId="77777777" w:rsidR="00527FF7" w:rsidRPr="00467060" w:rsidRDefault="00527FF7" w:rsidP="00EC55B4">
            <w:pPr>
              <w:pStyle w:val="TableBodyCellRight"/>
              <w:rPr>
                <w:b/>
                <w:i/>
                <w:iCs/>
                <w:snapToGrid w:val="0"/>
                <w:lang w:eastAsia="en-US"/>
              </w:rPr>
            </w:pPr>
            <w:r w:rsidRPr="00467060">
              <w:rPr>
                <w:b/>
                <w:bCs/>
                <w:i/>
                <w:iCs/>
              </w:rPr>
              <w:t>1,088,899</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5C233607" w14:textId="77777777" w:rsidR="00527FF7" w:rsidRPr="00467060" w:rsidRDefault="00527FF7" w:rsidP="00EC55B4">
            <w:pPr>
              <w:pStyle w:val="TableBodyCellRight"/>
              <w:rPr>
                <w:b/>
                <w:i/>
                <w:iCs/>
                <w:snapToGrid w:val="0"/>
                <w:lang w:eastAsia="en-US"/>
              </w:rPr>
            </w:pPr>
            <w:r w:rsidRPr="00467060">
              <w:rPr>
                <w:b/>
                <w:bCs/>
                <w:i/>
                <w:iCs/>
              </w:rPr>
              <w:t>1,</w:t>
            </w:r>
            <w:r>
              <w:rPr>
                <w:b/>
                <w:bCs/>
                <w:i/>
                <w:iCs/>
              </w:rPr>
              <w:t>155</w:t>
            </w:r>
            <w:r w:rsidRPr="00467060">
              <w:rPr>
                <w:b/>
                <w:bCs/>
                <w:i/>
                <w:iCs/>
              </w:rPr>
              <w:t>,</w:t>
            </w:r>
            <w:r>
              <w:rPr>
                <w:b/>
                <w:bCs/>
                <w:i/>
                <w:iCs/>
              </w:rPr>
              <w:t>907</w:t>
            </w:r>
          </w:p>
        </w:tc>
      </w:tr>
      <w:tr w:rsidR="000361AA" w:rsidRPr="004E0A23" w14:paraId="0B475313"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20C3CA48" w14:textId="77777777" w:rsidR="00527FF7" w:rsidRPr="00EC55B4" w:rsidRDefault="00527FF7" w:rsidP="00EC55B4">
            <w:pPr>
              <w:pStyle w:val="TableBodyCellLeft"/>
              <w:rPr>
                <w:b/>
                <w:bCs/>
                <w:i/>
                <w:iCs/>
              </w:rPr>
            </w:pPr>
            <w:r w:rsidRPr="00EC55B4">
              <w:rPr>
                <w:b/>
                <w:bCs/>
                <w:i/>
                <w:iCs/>
              </w:rPr>
              <w:t>Other expenses</w:t>
            </w:r>
          </w:p>
        </w:tc>
        <w:tc>
          <w:tcPr>
            <w:tcW w:w="1187" w:type="pct"/>
            <w:tcBorders>
              <w:top w:val="single" w:sz="2" w:space="0" w:color="701F4D" w:themeColor="accent2"/>
              <w:bottom w:val="single" w:sz="2" w:space="0" w:color="701F4D" w:themeColor="accent2"/>
            </w:tcBorders>
          </w:tcPr>
          <w:p w14:paraId="12340087" w14:textId="77777777" w:rsidR="00527FF7" w:rsidRPr="004E0A23" w:rsidRDefault="00527FF7" w:rsidP="00EC55B4">
            <w:pPr>
              <w:pStyle w:val="TableBodyCellRight"/>
              <w:rPr>
                <w:rFonts w:ascii="Arial" w:hAnsi="Arial"/>
                <w:snapToGrid w:val="0"/>
                <w:lang w:eastAsia="en-US"/>
              </w:rPr>
            </w:pPr>
          </w:p>
        </w:tc>
        <w:tc>
          <w:tcPr>
            <w:tcW w:w="1188" w:type="pct"/>
            <w:tcBorders>
              <w:top w:val="single" w:sz="2" w:space="0" w:color="701F4D" w:themeColor="accent2"/>
              <w:bottom w:val="single" w:sz="2" w:space="0" w:color="701F4D" w:themeColor="accent2"/>
            </w:tcBorders>
            <w:shd w:val="clear" w:color="auto" w:fill="F6F2ED" w:themeFill="accent3" w:themeFillTint="33"/>
          </w:tcPr>
          <w:p w14:paraId="700502BF" w14:textId="77777777" w:rsidR="00527FF7" w:rsidRPr="004E0A23" w:rsidRDefault="00527FF7" w:rsidP="00EC55B4">
            <w:pPr>
              <w:pStyle w:val="TableBodyCellRight"/>
              <w:rPr>
                <w:rFonts w:ascii="Arial" w:hAnsi="Arial"/>
                <w:snapToGrid w:val="0"/>
                <w:lang w:eastAsia="en-US"/>
              </w:rPr>
            </w:pPr>
          </w:p>
        </w:tc>
      </w:tr>
      <w:tr w:rsidR="000361AA" w:rsidRPr="004E0A23" w14:paraId="705702DF"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4A4AB2C7" w14:textId="2BFA7D6A" w:rsidR="00527FF7" w:rsidRPr="004E0A23" w:rsidRDefault="00527FF7" w:rsidP="00EC55B4">
            <w:pPr>
              <w:pStyle w:val="TableBodyCellLeftIndented"/>
            </w:pPr>
            <w:r>
              <w:t>Travel</w:t>
            </w:r>
            <w:r w:rsidR="004121E8">
              <w:t xml:space="preserve"> </w:t>
            </w:r>
            <w:r w:rsidR="000058D9" w:rsidRPr="001453D9">
              <w:rPr>
                <w:vertAlign w:val="superscript"/>
              </w:rPr>
              <w:t>(a)</w:t>
            </w:r>
          </w:p>
        </w:tc>
        <w:tc>
          <w:tcPr>
            <w:tcW w:w="1187" w:type="pct"/>
            <w:tcBorders>
              <w:top w:val="single" w:sz="2" w:space="0" w:color="701F4D" w:themeColor="accent2"/>
              <w:bottom w:val="single" w:sz="2" w:space="0" w:color="701F4D" w:themeColor="accent2"/>
            </w:tcBorders>
            <w:vAlign w:val="center"/>
          </w:tcPr>
          <w:p w14:paraId="2EB962F2" w14:textId="77777777" w:rsidR="00527FF7" w:rsidRDefault="00527FF7" w:rsidP="00EC55B4">
            <w:pPr>
              <w:pStyle w:val="TableBodyCellRight"/>
              <w:rPr>
                <w:rFonts w:ascii="Arial" w:hAnsi="Arial"/>
              </w:rPr>
            </w:pPr>
            <w:r>
              <w:t>141,398</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1915B1E9" w14:textId="77777777" w:rsidR="00527FF7" w:rsidRDefault="00527FF7" w:rsidP="00EC55B4">
            <w:pPr>
              <w:pStyle w:val="TableBodyCellRight"/>
              <w:rPr>
                <w:rFonts w:ascii="Arial" w:hAnsi="Arial"/>
              </w:rPr>
            </w:pPr>
            <w:r>
              <w:t>60,962</w:t>
            </w:r>
          </w:p>
        </w:tc>
      </w:tr>
      <w:tr w:rsidR="000361AA" w:rsidRPr="004E0A23" w14:paraId="4EB4D5DE"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55160CF0" w14:textId="77777777" w:rsidR="00527FF7" w:rsidRPr="004E0A23" w:rsidRDefault="00527FF7" w:rsidP="00EC55B4">
            <w:pPr>
              <w:pStyle w:val="TableBodyCellLeftIndented"/>
            </w:pPr>
            <w:r>
              <w:t>Conferences and training</w:t>
            </w:r>
          </w:p>
        </w:tc>
        <w:tc>
          <w:tcPr>
            <w:tcW w:w="1187" w:type="pct"/>
            <w:tcBorders>
              <w:top w:val="single" w:sz="2" w:space="0" w:color="701F4D" w:themeColor="accent2"/>
              <w:bottom w:val="single" w:sz="2" w:space="0" w:color="701F4D" w:themeColor="accent2"/>
            </w:tcBorders>
            <w:vAlign w:val="center"/>
          </w:tcPr>
          <w:p w14:paraId="49FB2AA1" w14:textId="77777777" w:rsidR="00527FF7" w:rsidRDefault="00527FF7" w:rsidP="00EC55B4">
            <w:pPr>
              <w:pStyle w:val="TableBodyCellRight"/>
              <w:rPr>
                <w:rFonts w:ascii="Arial" w:hAnsi="Arial"/>
              </w:rPr>
            </w:pPr>
            <w:r>
              <w:t>1,127</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439F3B5A" w14:textId="77777777" w:rsidR="00527FF7" w:rsidRDefault="00527FF7" w:rsidP="00EC55B4">
            <w:pPr>
              <w:pStyle w:val="TableBodyCellRight"/>
              <w:rPr>
                <w:rFonts w:ascii="Arial" w:hAnsi="Arial"/>
              </w:rPr>
            </w:pPr>
            <w:r>
              <w:t>3,550</w:t>
            </w:r>
          </w:p>
        </w:tc>
      </w:tr>
      <w:tr w:rsidR="000361AA" w:rsidRPr="00467060" w14:paraId="0FFB18FD"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0A7D8E40" w14:textId="6C058059" w:rsidR="00527FF7" w:rsidRPr="004E0A23" w:rsidRDefault="00527FF7" w:rsidP="00EC55B4">
            <w:pPr>
              <w:pStyle w:val="TableBodyCellLeftIndented"/>
            </w:pPr>
            <w:r>
              <w:t>Seconded Employees</w:t>
            </w:r>
            <w:r w:rsidR="000058D9" w:rsidRPr="001453D9">
              <w:rPr>
                <w:vertAlign w:val="superscript"/>
              </w:rPr>
              <w:t>(</w:t>
            </w:r>
            <w:r w:rsidR="000058D9">
              <w:rPr>
                <w:vertAlign w:val="superscript"/>
              </w:rPr>
              <w:t>b)</w:t>
            </w:r>
          </w:p>
        </w:tc>
        <w:tc>
          <w:tcPr>
            <w:tcW w:w="1187" w:type="pct"/>
            <w:tcBorders>
              <w:top w:val="single" w:sz="2" w:space="0" w:color="701F4D" w:themeColor="accent2"/>
              <w:bottom w:val="single" w:sz="2" w:space="0" w:color="701F4D" w:themeColor="accent2"/>
            </w:tcBorders>
            <w:vAlign w:val="center"/>
          </w:tcPr>
          <w:p w14:paraId="0DC6F69C" w14:textId="77777777" w:rsidR="00527FF7" w:rsidRDefault="00527FF7" w:rsidP="00EC55B4">
            <w:pPr>
              <w:pStyle w:val="TableBodyCellRight"/>
              <w:rPr>
                <w:rFonts w:ascii="Arial" w:hAnsi="Arial"/>
              </w:rPr>
            </w:pPr>
            <w:r w:rsidRPr="009544E7">
              <w:t>613,314</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24EF6B7B" w14:textId="77777777" w:rsidR="00527FF7" w:rsidRPr="000961FC" w:rsidRDefault="00527FF7" w:rsidP="00EC55B4">
            <w:pPr>
              <w:pStyle w:val="TableBodyCellRight"/>
              <w:rPr>
                <w:rFonts w:ascii="Arial" w:hAnsi="Arial"/>
              </w:rPr>
            </w:pPr>
            <w:r w:rsidRPr="000961FC">
              <w:t>228,470</w:t>
            </w:r>
          </w:p>
        </w:tc>
      </w:tr>
      <w:tr w:rsidR="000361AA" w:rsidRPr="004E0A23" w14:paraId="77234782" w14:textId="77777777" w:rsidTr="00216488">
        <w:trPr>
          <w:trHeight w:val="242"/>
        </w:trPr>
        <w:tc>
          <w:tcPr>
            <w:tcW w:w="2625" w:type="pct"/>
            <w:tcBorders>
              <w:top w:val="single" w:sz="2" w:space="0" w:color="701F4D" w:themeColor="accent2"/>
              <w:bottom w:val="single" w:sz="2" w:space="0" w:color="701F4D" w:themeColor="accent2"/>
            </w:tcBorders>
            <w:tcMar>
              <w:left w:w="108" w:type="dxa"/>
              <w:right w:w="108" w:type="dxa"/>
            </w:tcMar>
            <w:vAlign w:val="center"/>
          </w:tcPr>
          <w:p w14:paraId="2EFA6A71" w14:textId="77777777" w:rsidR="00527FF7" w:rsidRPr="004E0A23" w:rsidRDefault="00527FF7" w:rsidP="00EC55B4">
            <w:pPr>
              <w:pStyle w:val="TableBodyCellLeftIndented"/>
            </w:pPr>
            <w:r>
              <w:t>Office supplies</w:t>
            </w:r>
          </w:p>
        </w:tc>
        <w:tc>
          <w:tcPr>
            <w:tcW w:w="1187" w:type="pct"/>
            <w:tcBorders>
              <w:top w:val="single" w:sz="2" w:space="0" w:color="701F4D" w:themeColor="accent2"/>
              <w:bottom w:val="single" w:sz="2" w:space="0" w:color="701F4D" w:themeColor="accent2"/>
            </w:tcBorders>
            <w:vAlign w:val="center"/>
          </w:tcPr>
          <w:p w14:paraId="57D2444C" w14:textId="42A0AE17" w:rsidR="00527FF7" w:rsidRDefault="00360869" w:rsidP="00EC55B4">
            <w:pPr>
              <w:pStyle w:val="TableBodyCellRight"/>
              <w:rPr>
                <w:rFonts w:ascii="Arial" w:hAnsi="Arial"/>
                <w:snapToGrid w:val="0"/>
                <w:lang w:eastAsia="en-US"/>
              </w:rPr>
            </w:pPr>
            <w:r>
              <w:noBreakHyphen/>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3892E9E2" w14:textId="77777777" w:rsidR="00527FF7" w:rsidRPr="000961FC" w:rsidRDefault="00527FF7" w:rsidP="00EC55B4">
            <w:pPr>
              <w:pStyle w:val="TableBodyCellRight"/>
              <w:rPr>
                <w:rFonts w:ascii="Arial" w:hAnsi="Arial"/>
                <w:snapToGrid w:val="0"/>
                <w:lang w:eastAsia="en-US"/>
              </w:rPr>
            </w:pPr>
            <w:r w:rsidRPr="000961FC">
              <w:rPr>
                <w:rFonts w:ascii="Arial" w:hAnsi="Arial"/>
                <w:snapToGrid w:val="0"/>
              </w:rPr>
              <w:t>432</w:t>
            </w:r>
          </w:p>
        </w:tc>
      </w:tr>
      <w:tr w:rsidR="000361AA" w:rsidRPr="004E0A23" w14:paraId="65878AEB"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1F7B4036" w14:textId="77777777" w:rsidR="00527FF7" w:rsidRPr="004E0A23" w:rsidRDefault="00527FF7" w:rsidP="00EC55B4">
            <w:pPr>
              <w:pStyle w:val="TableBodyCellLeftIndented"/>
            </w:pPr>
            <w:r>
              <w:t>Other supplier expenses</w:t>
            </w:r>
          </w:p>
        </w:tc>
        <w:tc>
          <w:tcPr>
            <w:tcW w:w="1187" w:type="pct"/>
            <w:tcBorders>
              <w:top w:val="single" w:sz="2" w:space="0" w:color="701F4D" w:themeColor="accent2"/>
              <w:bottom w:val="single" w:sz="2" w:space="0" w:color="701F4D" w:themeColor="accent2"/>
            </w:tcBorders>
            <w:vAlign w:val="center"/>
          </w:tcPr>
          <w:p w14:paraId="565B265E" w14:textId="77777777" w:rsidR="00527FF7" w:rsidRDefault="00527FF7" w:rsidP="00EC55B4">
            <w:pPr>
              <w:pStyle w:val="TableBodyCellRight"/>
              <w:rPr>
                <w:rFonts w:ascii="Arial" w:hAnsi="Arial"/>
                <w:snapToGrid w:val="0"/>
                <w:lang w:eastAsia="en-US"/>
              </w:rPr>
            </w:pPr>
            <w:r>
              <w:t>14,404</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01DBBA52" w14:textId="77777777" w:rsidR="00527FF7" w:rsidRPr="000961FC" w:rsidRDefault="00527FF7" w:rsidP="00EC55B4">
            <w:pPr>
              <w:pStyle w:val="TableBodyCellRight"/>
              <w:rPr>
                <w:rFonts w:ascii="Arial" w:hAnsi="Arial"/>
                <w:snapToGrid w:val="0"/>
                <w:lang w:eastAsia="en-US"/>
              </w:rPr>
            </w:pPr>
            <w:r w:rsidRPr="000961FC">
              <w:t>13,881</w:t>
            </w:r>
          </w:p>
        </w:tc>
      </w:tr>
      <w:tr w:rsidR="000361AA" w:rsidRPr="00EF3EEF" w14:paraId="3724D23F" w14:textId="77777777" w:rsidTr="00216488">
        <w:trPr>
          <w:trHeight w:val="289"/>
        </w:trPr>
        <w:tc>
          <w:tcPr>
            <w:tcW w:w="2625" w:type="pct"/>
            <w:tcBorders>
              <w:top w:val="single" w:sz="2" w:space="0" w:color="701F4D" w:themeColor="accent2"/>
              <w:bottom w:val="single" w:sz="2" w:space="0" w:color="701F4D" w:themeColor="accent2"/>
            </w:tcBorders>
            <w:tcMar>
              <w:left w:w="108" w:type="dxa"/>
              <w:right w:w="108" w:type="dxa"/>
            </w:tcMar>
            <w:vAlign w:val="center"/>
          </w:tcPr>
          <w:p w14:paraId="1BE93CE1" w14:textId="77777777" w:rsidR="00527FF7" w:rsidRPr="00EF3EEF" w:rsidRDefault="00527FF7" w:rsidP="00FC612B">
            <w:pPr>
              <w:pStyle w:val="TableTextLeft"/>
              <w:rPr>
                <w:b/>
                <w:i/>
              </w:rPr>
            </w:pPr>
            <w:r>
              <w:rPr>
                <w:rFonts w:cs="Arial"/>
                <w:b/>
                <w:bCs/>
                <w:i/>
                <w:iCs/>
              </w:rPr>
              <w:t>Total operating expenses</w:t>
            </w:r>
          </w:p>
        </w:tc>
        <w:tc>
          <w:tcPr>
            <w:tcW w:w="1187" w:type="pct"/>
            <w:tcBorders>
              <w:top w:val="single" w:sz="2" w:space="0" w:color="701F4D" w:themeColor="accent2"/>
              <w:bottom w:val="single" w:sz="2" w:space="0" w:color="701F4D" w:themeColor="accent2"/>
            </w:tcBorders>
            <w:vAlign w:val="center"/>
          </w:tcPr>
          <w:p w14:paraId="5DD1569C" w14:textId="77777777" w:rsidR="00527FF7" w:rsidRPr="00A7720A" w:rsidRDefault="00527FF7" w:rsidP="00A7720A">
            <w:pPr>
              <w:pStyle w:val="TableBodyCellRight"/>
              <w:rPr>
                <w:b/>
                <w:bCs/>
                <w:i/>
                <w:iCs/>
              </w:rPr>
            </w:pPr>
            <w:r w:rsidRPr="00A7720A">
              <w:rPr>
                <w:b/>
                <w:bCs/>
                <w:i/>
                <w:iCs/>
              </w:rPr>
              <w:t>770,243</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42F47477" w14:textId="77777777" w:rsidR="00527FF7" w:rsidRPr="00A7720A" w:rsidRDefault="00527FF7" w:rsidP="00A7720A">
            <w:pPr>
              <w:pStyle w:val="TableBodyCellRight"/>
              <w:rPr>
                <w:b/>
                <w:bCs/>
                <w:i/>
                <w:iCs/>
              </w:rPr>
            </w:pPr>
            <w:r w:rsidRPr="00A7720A">
              <w:rPr>
                <w:b/>
                <w:bCs/>
                <w:i/>
                <w:iCs/>
              </w:rPr>
              <w:t>307,296</w:t>
            </w:r>
          </w:p>
        </w:tc>
      </w:tr>
      <w:tr w:rsidR="000361AA" w:rsidRPr="004E0A23" w14:paraId="48A79D55" w14:textId="77777777" w:rsidTr="00216488">
        <w:trPr>
          <w:trHeight w:val="277"/>
        </w:trPr>
        <w:tc>
          <w:tcPr>
            <w:tcW w:w="2625" w:type="pct"/>
            <w:tcBorders>
              <w:top w:val="single" w:sz="2" w:space="0" w:color="701F4D" w:themeColor="accent2"/>
              <w:bottom w:val="single" w:sz="2" w:space="0" w:color="701F4D" w:themeColor="accent2"/>
            </w:tcBorders>
            <w:tcMar>
              <w:left w:w="108" w:type="dxa"/>
              <w:right w:w="108" w:type="dxa"/>
            </w:tcMar>
            <w:vAlign w:val="center"/>
          </w:tcPr>
          <w:p w14:paraId="1AA28CA3" w14:textId="77777777" w:rsidR="00527FF7" w:rsidRPr="004E0A23" w:rsidRDefault="00527FF7" w:rsidP="00FC612B">
            <w:pPr>
              <w:pStyle w:val="TableTextLeft"/>
            </w:pPr>
            <w:r>
              <w:rPr>
                <w:rFonts w:cs="Arial"/>
                <w:b/>
                <w:bCs/>
              </w:rPr>
              <w:t>Total expenses</w:t>
            </w:r>
          </w:p>
        </w:tc>
        <w:tc>
          <w:tcPr>
            <w:tcW w:w="1187" w:type="pct"/>
            <w:tcBorders>
              <w:top w:val="single" w:sz="2" w:space="0" w:color="701F4D" w:themeColor="accent2"/>
              <w:bottom w:val="single" w:sz="2" w:space="0" w:color="701F4D" w:themeColor="accent2"/>
            </w:tcBorders>
            <w:vAlign w:val="center"/>
          </w:tcPr>
          <w:p w14:paraId="68FA0335" w14:textId="77777777" w:rsidR="00527FF7" w:rsidRPr="00A7720A" w:rsidRDefault="00527FF7" w:rsidP="00A7720A">
            <w:pPr>
              <w:pStyle w:val="TableBodyCellRight"/>
              <w:rPr>
                <w:b/>
                <w:bCs/>
              </w:rPr>
            </w:pPr>
            <w:r w:rsidRPr="00A7720A">
              <w:rPr>
                <w:b/>
                <w:bCs/>
              </w:rPr>
              <w:t>1,859,142</w:t>
            </w:r>
          </w:p>
        </w:tc>
        <w:tc>
          <w:tcPr>
            <w:tcW w:w="1188" w:type="pct"/>
            <w:tcBorders>
              <w:top w:val="single" w:sz="2" w:space="0" w:color="701F4D" w:themeColor="accent2"/>
              <w:left w:val="nil"/>
              <w:bottom w:val="single" w:sz="2" w:space="0" w:color="701F4D" w:themeColor="accent2"/>
              <w:right w:val="nil"/>
            </w:tcBorders>
            <w:shd w:val="clear" w:color="auto" w:fill="F6F2ED" w:themeFill="accent3" w:themeFillTint="33"/>
            <w:vAlign w:val="center"/>
          </w:tcPr>
          <w:p w14:paraId="5A59F8B8" w14:textId="77777777" w:rsidR="00527FF7" w:rsidRPr="00A7720A" w:rsidRDefault="00527FF7" w:rsidP="00A7720A">
            <w:pPr>
              <w:pStyle w:val="TableBodyCellRight"/>
              <w:rPr>
                <w:b/>
                <w:bCs/>
              </w:rPr>
            </w:pPr>
            <w:r w:rsidRPr="00A7720A">
              <w:rPr>
                <w:b/>
                <w:bCs/>
              </w:rPr>
              <w:t>1,463,203</w:t>
            </w:r>
          </w:p>
        </w:tc>
      </w:tr>
      <w:tr w:rsidR="000361AA" w:rsidRPr="00EE3B04" w14:paraId="318ED2F8" w14:textId="77777777" w:rsidTr="00216488">
        <w:trPr>
          <w:trHeight w:val="301"/>
        </w:trPr>
        <w:tc>
          <w:tcPr>
            <w:tcW w:w="2625" w:type="pct"/>
            <w:tcBorders>
              <w:top w:val="single" w:sz="2" w:space="0" w:color="701F4D" w:themeColor="accent2"/>
              <w:bottom w:val="single" w:sz="4" w:space="0" w:color="000000"/>
            </w:tcBorders>
            <w:tcMar>
              <w:left w:w="108" w:type="dxa"/>
              <w:right w:w="108" w:type="dxa"/>
            </w:tcMar>
            <w:vAlign w:val="center"/>
          </w:tcPr>
          <w:p w14:paraId="614BB4B2" w14:textId="77777777" w:rsidR="00527FF7" w:rsidRPr="004E0A23" w:rsidRDefault="00527FF7" w:rsidP="00FC612B">
            <w:pPr>
              <w:pStyle w:val="TableTextLeft"/>
            </w:pPr>
            <w:r>
              <w:rPr>
                <w:rFonts w:cs="Arial"/>
                <w:b/>
                <w:bCs/>
              </w:rPr>
              <w:t>Operating surplus</w:t>
            </w:r>
          </w:p>
        </w:tc>
        <w:tc>
          <w:tcPr>
            <w:tcW w:w="1187" w:type="pct"/>
            <w:tcBorders>
              <w:top w:val="single" w:sz="2" w:space="0" w:color="701F4D" w:themeColor="accent2"/>
              <w:bottom w:val="single" w:sz="4" w:space="0" w:color="000000"/>
            </w:tcBorders>
          </w:tcPr>
          <w:p w14:paraId="3060034E" w14:textId="1B45E81A" w:rsidR="00527FF7" w:rsidRDefault="00360869" w:rsidP="00EC55B4">
            <w:pPr>
              <w:pStyle w:val="TableBodyCellRight"/>
              <w:rPr>
                <w:b/>
                <w:bCs/>
              </w:rPr>
            </w:pPr>
            <w:r>
              <w:rPr>
                <w:b/>
                <w:bCs/>
              </w:rPr>
              <w:noBreakHyphen/>
            </w:r>
          </w:p>
        </w:tc>
        <w:tc>
          <w:tcPr>
            <w:tcW w:w="1188" w:type="pct"/>
            <w:tcBorders>
              <w:top w:val="single" w:sz="2" w:space="0" w:color="701F4D" w:themeColor="accent2"/>
              <w:bottom w:val="single" w:sz="4" w:space="0" w:color="000000"/>
            </w:tcBorders>
            <w:shd w:val="clear" w:color="auto" w:fill="F6F2ED" w:themeFill="accent3" w:themeFillTint="33"/>
          </w:tcPr>
          <w:p w14:paraId="6E6B9DBA" w14:textId="05AA8722" w:rsidR="00527FF7" w:rsidRDefault="00360869" w:rsidP="00EC55B4">
            <w:pPr>
              <w:pStyle w:val="TableBodyCellRight"/>
              <w:rPr>
                <w:rFonts w:cs="Helvetica"/>
                <w:b/>
                <w:bCs/>
              </w:rPr>
            </w:pPr>
            <w:r>
              <w:rPr>
                <w:rFonts w:cs="Helvetica"/>
                <w:b/>
                <w:bCs/>
              </w:rPr>
              <w:noBreakHyphen/>
            </w:r>
          </w:p>
        </w:tc>
      </w:tr>
    </w:tbl>
    <w:p w14:paraId="0AEC526C" w14:textId="50E47F00" w:rsidR="00FB3C10" w:rsidRPr="00971CEB" w:rsidRDefault="00FB3C10" w:rsidP="00971CEB">
      <w:pPr>
        <w:pStyle w:val="Note"/>
        <w:rPr>
          <w:b/>
          <w:bCs/>
        </w:rPr>
      </w:pPr>
      <w:r w:rsidRPr="00971CEB">
        <w:rPr>
          <w:b/>
          <w:bCs/>
        </w:rPr>
        <w:t>Notes the Financial Statements</w:t>
      </w:r>
    </w:p>
    <w:p w14:paraId="2722BF85" w14:textId="26FB0D30" w:rsidR="00FB3C10" w:rsidRDefault="00FB3C10" w:rsidP="004D2D12">
      <w:pPr>
        <w:pStyle w:val="Notealpha"/>
        <w:numPr>
          <w:ilvl w:val="0"/>
          <w:numId w:val="47"/>
        </w:numPr>
        <w:ind w:left="709" w:hanging="709"/>
      </w:pPr>
      <w:r w:rsidRPr="00E77626">
        <w:t>During the 202</w:t>
      </w:r>
      <w:r w:rsidR="00AC1815">
        <w:t>3</w:t>
      </w:r>
      <w:r w:rsidRPr="00E77626">
        <w:t>–2</w:t>
      </w:r>
      <w:r w:rsidR="00AC1815">
        <w:t>4</w:t>
      </w:r>
      <w:r w:rsidRPr="00E77626">
        <w:t xml:space="preserve"> reporting year, the Board </w:t>
      </w:r>
      <w:r w:rsidR="00AC1815">
        <w:t xml:space="preserve">held </w:t>
      </w:r>
      <w:r w:rsidR="00690E02">
        <w:t xml:space="preserve">seven Board meetings, </w:t>
      </w:r>
      <w:r w:rsidR="00AC1815">
        <w:t xml:space="preserve">two </w:t>
      </w:r>
      <w:r w:rsidR="00690E02">
        <w:t xml:space="preserve">were held </w:t>
      </w:r>
      <w:r w:rsidR="00AC1815">
        <w:t>virtual</w:t>
      </w:r>
      <w:r w:rsidR="00690E02">
        <w:t>ly</w:t>
      </w:r>
      <w:r w:rsidR="00B805EF">
        <w:t xml:space="preserve"> and the remaining five meetings were hosted in Canberra, Sydney and Melbourne (Table </w:t>
      </w:r>
      <w:r w:rsidR="0042356D">
        <w:t>3 refers). This</w:t>
      </w:r>
      <w:r w:rsidR="00690E02">
        <w:t xml:space="preserve"> resulted in a reduction of travel costs in comparison to the 2022</w:t>
      </w:r>
      <w:r w:rsidR="00416251">
        <w:t>–</w:t>
      </w:r>
      <w:r w:rsidR="00690E02">
        <w:t>23 reporting year where the Board held eight in</w:t>
      </w:r>
      <w:r w:rsidR="00360869">
        <w:noBreakHyphen/>
      </w:r>
      <w:r w:rsidR="001B6B69">
        <w:t>person meetings,</w:t>
      </w:r>
      <w:r w:rsidRPr="00E77626">
        <w:t xml:space="preserve"> hosted in Adelaide, Melbourne, Sydney, Perth and Brisbane</w:t>
      </w:r>
      <w:r w:rsidR="0042356D">
        <w:t>.</w:t>
      </w:r>
    </w:p>
    <w:p w14:paraId="0E57D942" w14:textId="6DFF10C5" w:rsidR="000058D9" w:rsidRPr="00E77626" w:rsidRDefault="0042356D" w:rsidP="004D2D12">
      <w:pPr>
        <w:pStyle w:val="Notealpha"/>
      </w:pPr>
      <w:r>
        <w:t xml:space="preserve">The reduction in </w:t>
      </w:r>
      <w:r w:rsidR="00975AC3">
        <w:t>Seconded Employees expenses relates to p</w:t>
      </w:r>
      <w:r>
        <w:t>rivate sector secondees terms end</w:t>
      </w:r>
      <w:r w:rsidR="00975AC3">
        <w:t>ing</w:t>
      </w:r>
      <w:r>
        <w:t xml:space="preserve"> during the 2023</w:t>
      </w:r>
      <w:r w:rsidR="00416251">
        <w:t>–</w:t>
      </w:r>
      <w:r>
        <w:t>24 reporting year</w:t>
      </w:r>
      <w:r w:rsidR="00975AC3">
        <w:t xml:space="preserve"> and not </w:t>
      </w:r>
      <w:r w:rsidR="00273418">
        <w:t xml:space="preserve">being </w:t>
      </w:r>
      <w:r w:rsidR="00975AC3">
        <w:t xml:space="preserve">renewed. </w:t>
      </w:r>
    </w:p>
    <w:p w14:paraId="57B82FDF" w14:textId="10533981" w:rsidR="00036758" w:rsidRDefault="00036758" w:rsidP="00976452">
      <w:pPr>
        <w:pStyle w:val="TableHeading1"/>
      </w:pPr>
      <w:r w:rsidRPr="00527FF7">
        <w:t xml:space="preserve">Table </w:t>
      </w:r>
      <w:r w:rsidR="00273418">
        <w:t>6</w:t>
      </w:r>
      <w:r w:rsidRPr="00527FF7">
        <w:t>: Remuneration</w:t>
      </w:r>
      <w:r>
        <w:t xml:space="preserve"> paid to non</w:t>
      </w:r>
      <w:r w:rsidR="00360869">
        <w:noBreakHyphen/>
      </w:r>
      <w:r>
        <w:t>government Board members</w:t>
      </w:r>
    </w:p>
    <w:tbl>
      <w:tblPr>
        <w:tblStyle w:val="ListTable3-Accent1"/>
        <w:tblW w:w="0" w:type="auto"/>
        <w:tblBorders>
          <w:top w:val="single" w:sz="2" w:space="0" w:color="701F4D" w:themeColor="accent2"/>
          <w:left w:val="none" w:sz="0" w:space="0" w:color="auto"/>
          <w:bottom w:val="single" w:sz="2" w:space="0" w:color="701F4D" w:themeColor="accent2"/>
          <w:right w:val="none" w:sz="0" w:space="0" w:color="auto"/>
          <w:insideH w:val="single" w:sz="2" w:space="0" w:color="701F4D" w:themeColor="accent2"/>
        </w:tblBorders>
        <w:tblCellMar>
          <w:top w:w="57" w:type="dxa"/>
          <w:bottom w:w="57" w:type="dxa"/>
        </w:tblCellMar>
        <w:tblLook w:val="04A0" w:firstRow="1" w:lastRow="0" w:firstColumn="1" w:lastColumn="0" w:noHBand="0" w:noVBand="1"/>
      </w:tblPr>
      <w:tblGrid>
        <w:gridCol w:w="7230"/>
        <w:gridCol w:w="2401"/>
      </w:tblGrid>
      <w:tr w:rsidR="006A3162" w14:paraId="0C841248" w14:textId="77777777" w:rsidTr="00FC61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0" w:type="dxa"/>
            <w:shd w:val="clear" w:color="auto" w:fill="701F4D" w:themeFill="accent2"/>
          </w:tcPr>
          <w:p w14:paraId="60F40A6D" w14:textId="01FC52F7" w:rsidR="006A3162" w:rsidRDefault="006A3162" w:rsidP="00FC612B">
            <w:pPr>
              <w:pStyle w:val="TableHeaderCellLeft"/>
            </w:pPr>
            <w:r>
              <w:t>Board members 2023–24</w:t>
            </w:r>
          </w:p>
        </w:tc>
        <w:tc>
          <w:tcPr>
            <w:tcW w:w="2401" w:type="dxa"/>
            <w:tcBorders>
              <w:bottom w:val="nil"/>
            </w:tcBorders>
            <w:shd w:val="clear" w:color="auto" w:fill="701F4D" w:themeFill="accent2"/>
          </w:tcPr>
          <w:p w14:paraId="0D40DDA7" w14:textId="77777777" w:rsidR="006A3162" w:rsidRDefault="006A3162" w:rsidP="00FC612B">
            <w:pPr>
              <w:pStyle w:val="TableHeaderCellRight"/>
              <w:cnfStyle w:val="100000000000" w:firstRow="1" w:lastRow="0" w:firstColumn="0" w:lastColumn="0" w:oddVBand="0" w:evenVBand="0" w:oddHBand="0" w:evenHBand="0" w:firstRowFirstColumn="0" w:firstRowLastColumn="0" w:lastRowFirstColumn="0" w:lastRowLastColumn="0"/>
            </w:pPr>
            <w:r>
              <w:t>$</w:t>
            </w:r>
          </w:p>
        </w:tc>
      </w:tr>
      <w:tr w:rsidR="009C734A" w14:paraId="24EC7C49" w14:textId="77777777" w:rsidTr="00C37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nil"/>
              <w:bottom w:val="single" w:sz="8" w:space="0" w:color="701F4D" w:themeColor="accent2"/>
            </w:tcBorders>
          </w:tcPr>
          <w:p w14:paraId="41BE19FD" w14:textId="77777777" w:rsidR="006A3162" w:rsidRDefault="006A3162" w:rsidP="00FC612B">
            <w:pPr>
              <w:pStyle w:val="TableBodyCellLeft"/>
            </w:pPr>
            <w:r>
              <w:t>Total*</w:t>
            </w:r>
          </w:p>
        </w:tc>
        <w:tc>
          <w:tcPr>
            <w:tcW w:w="2401" w:type="dxa"/>
            <w:tcBorders>
              <w:top w:val="nil"/>
              <w:bottom w:val="single" w:sz="8" w:space="0" w:color="701F4D" w:themeColor="accent2"/>
            </w:tcBorders>
            <w:shd w:val="clear" w:color="auto" w:fill="F6F2ED" w:themeFill="accent3" w:themeFillTint="33"/>
          </w:tcPr>
          <w:p w14:paraId="34F7E3D7" w14:textId="1DE2C25D" w:rsidR="006A3162" w:rsidRPr="001453D9" w:rsidRDefault="00DD151B" w:rsidP="00FC612B">
            <w:pPr>
              <w:pStyle w:val="TableBodyCellRight"/>
              <w:cnfStyle w:val="000000100000" w:firstRow="0" w:lastRow="0" w:firstColumn="0" w:lastColumn="0" w:oddVBand="0" w:evenVBand="0" w:oddHBand="1" w:evenHBand="0" w:firstRowFirstColumn="0" w:firstRowLastColumn="0" w:lastRowFirstColumn="0" w:lastRowLastColumn="0"/>
              <w:rPr>
                <w:b/>
                <w:bCs/>
              </w:rPr>
            </w:pPr>
            <w:r>
              <w:rPr>
                <w:b/>
                <w:bCs/>
              </w:rPr>
              <w:t>476,432</w:t>
            </w:r>
          </w:p>
        </w:tc>
      </w:tr>
    </w:tbl>
    <w:p w14:paraId="1F68B372" w14:textId="021FAFD9" w:rsidR="006A3162" w:rsidRDefault="006A3162" w:rsidP="001C029F">
      <w:pPr>
        <w:pStyle w:val="Note"/>
      </w:pPr>
      <w:r w:rsidRPr="003A29AA">
        <w:t>*Total remuneration</w:t>
      </w:r>
      <w:r w:rsidRPr="000151F9">
        <w:t xml:space="preserve"> paid to non</w:t>
      </w:r>
      <w:r w:rsidR="00360869">
        <w:noBreakHyphen/>
      </w:r>
      <w:r w:rsidRPr="000151F9">
        <w:t>government Board members, 202</w:t>
      </w:r>
      <w:r w:rsidR="0038224D">
        <w:t>3</w:t>
      </w:r>
      <w:r>
        <w:t>–</w:t>
      </w:r>
      <w:r w:rsidRPr="000151F9">
        <w:t>2</w:t>
      </w:r>
      <w:r w:rsidR="0038224D">
        <w:t>4</w:t>
      </w:r>
      <w:r>
        <w:t xml:space="preserve"> includes allowances and superannuation guarantee.</w:t>
      </w:r>
    </w:p>
    <w:p w14:paraId="4DB2F9D8" w14:textId="77777777" w:rsidR="00975AC3" w:rsidRPr="000A75E4" w:rsidRDefault="00975AC3" w:rsidP="000A75E4">
      <w:bookmarkStart w:id="96" w:name="_Toc149905545"/>
      <w:r>
        <w:br w:type="page"/>
      </w:r>
    </w:p>
    <w:p w14:paraId="530565CC" w14:textId="6A3350E3" w:rsidR="007F3561" w:rsidRDefault="007F3561" w:rsidP="007F3561">
      <w:pPr>
        <w:pStyle w:val="Heading1"/>
      </w:pPr>
      <w:bookmarkStart w:id="97" w:name="_Toc209006418"/>
      <w:bookmarkStart w:id="98" w:name="_Toc209006607"/>
      <w:r>
        <w:lastRenderedPageBreak/>
        <w:t xml:space="preserve">Contact </w:t>
      </w:r>
      <w:r w:rsidRPr="000D6A1F">
        <w:t>details</w:t>
      </w:r>
      <w:bookmarkEnd w:id="96"/>
      <w:bookmarkEnd w:id="97"/>
      <w:bookmarkEnd w:id="98"/>
    </w:p>
    <w:p w14:paraId="111F1263" w14:textId="77777777" w:rsidR="007F3561" w:rsidRPr="005F7575" w:rsidRDefault="007F3561" w:rsidP="00FC293F">
      <w:r w:rsidRPr="005F7575">
        <w:t>Inquiries regarding this report may be directed to:</w:t>
      </w:r>
    </w:p>
    <w:p w14:paraId="70111A2E" w14:textId="77777777" w:rsidR="007F3561" w:rsidRDefault="007F3561" w:rsidP="00FC293F">
      <w:pPr>
        <w:spacing w:after="0"/>
        <w:rPr>
          <w:b/>
          <w:bCs/>
        </w:rPr>
      </w:pPr>
      <w:r w:rsidRPr="007932D5">
        <w:rPr>
          <w:b/>
          <w:bCs/>
        </w:rPr>
        <w:t>Board Of Taxation Secretariat</w:t>
      </w:r>
    </w:p>
    <w:p w14:paraId="5B265C15" w14:textId="77777777" w:rsidR="007F3561" w:rsidRDefault="007F3561" w:rsidP="00FC293F">
      <w:pPr>
        <w:spacing w:before="0" w:after="0"/>
      </w:pPr>
      <w:r w:rsidRPr="005F7575">
        <w:t xml:space="preserve">C/O </w:t>
      </w:r>
      <w:r>
        <w:t>–</w:t>
      </w:r>
      <w:r w:rsidRPr="005F7575">
        <w:t xml:space="preserve"> The Treasury</w:t>
      </w:r>
    </w:p>
    <w:p w14:paraId="69A777C1" w14:textId="77777777" w:rsidR="007F3561" w:rsidRDefault="007F3561" w:rsidP="00FC293F">
      <w:pPr>
        <w:spacing w:before="0" w:after="0"/>
      </w:pPr>
      <w:r w:rsidRPr="005F7575">
        <w:t>Langton Crescent</w:t>
      </w:r>
    </w:p>
    <w:p w14:paraId="58AA170E" w14:textId="77777777" w:rsidR="007F3561" w:rsidRDefault="007F3561" w:rsidP="00FC293F">
      <w:pPr>
        <w:spacing w:before="0" w:after="0"/>
      </w:pPr>
      <w:r w:rsidRPr="005F7575">
        <w:t>Parkes ACT 2600</w:t>
      </w:r>
    </w:p>
    <w:p w14:paraId="03337634" w14:textId="246151C9" w:rsidR="007F3561" w:rsidRDefault="007F3561" w:rsidP="00FC293F">
      <w:pPr>
        <w:spacing w:before="0" w:after="0"/>
      </w:pPr>
      <w:r w:rsidRPr="005F7575">
        <w:t>Email</w:t>
      </w:r>
      <w:r>
        <w:t xml:space="preserve">: </w:t>
      </w:r>
      <w:hyperlink r:id="rId47" w:history="1">
        <w:r w:rsidR="00161AC8" w:rsidRPr="008A0EC7">
          <w:rPr>
            <w:rStyle w:val="Hyperlink"/>
          </w:rPr>
          <w:t>taxboard@taxboard.gov.au</w:t>
        </w:r>
      </w:hyperlink>
    </w:p>
    <w:p w14:paraId="684A4C2E" w14:textId="77777777" w:rsidR="007F3561" w:rsidRDefault="007F3561" w:rsidP="00FC293F">
      <w:r>
        <w:br w:type="page"/>
      </w:r>
    </w:p>
    <w:p w14:paraId="05596FC3" w14:textId="77777777" w:rsidR="007F3561" w:rsidRPr="00174FA5" w:rsidRDefault="007F3561" w:rsidP="007F3561">
      <w:pPr>
        <w:pStyle w:val="Heading1"/>
      </w:pPr>
      <w:bookmarkStart w:id="99" w:name="_Toc149905546"/>
      <w:bookmarkStart w:id="100" w:name="_Toc209006419"/>
      <w:bookmarkStart w:id="101" w:name="_Toc209006608"/>
      <w:r w:rsidRPr="001D7081">
        <w:lastRenderedPageBreak/>
        <w:t>Glossary</w:t>
      </w:r>
      <w:r>
        <w:t xml:space="preserve"> of terms</w:t>
      </w:r>
      <w:bookmarkEnd w:id="99"/>
      <w:bookmarkEnd w:id="100"/>
      <w:bookmarkEnd w:id="101"/>
    </w:p>
    <w:p w14:paraId="5321374C" w14:textId="77777777" w:rsidR="007F3561" w:rsidRDefault="007F3561" w:rsidP="007F3561">
      <w:pPr>
        <w:spacing w:after="240"/>
      </w:pPr>
      <w:r>
        <w:t xml:space="preserve">The following abbreviations </w:t>
      </w:r>
      <w:r w:rsidRPr="00417C25">
        <w:t>and</w:t>
      </w:r>
      <w:r>
        <w:t xml:space="preserve"> acronyms are used throughout this report.</w:t>
      </w:r>
    </w:p>
    <w:tbl>
      <w:tblPr>
        <w:tblStyle w:val="ListTable3-Accent2"/>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left w:w="142" w:type="dxa"/>
          <w:bottom w:w="57" w:type="dxa"/>
          <w:right w:w="142" w:type="dxa"/>
        </w:tblCellMar>
        <w:tblLook w:val="04A0" w:firstRow="1" w:lastRow="0" w:firstColumn="1" w:lastColumn="0" w:noHBand="0" w:noVBand="1"/>
      </w:tblPr>
      <w:tblGrid>
        <w:gridCol w:w="2410"/>
        <w:gridCol w:w="7231"/>
      </w:tblGrid>
      <w:tr w:rsidR="007A72F2" w:rsidRPr="00174FA5" w14:paraId="6211C93C" w14:textId="77777777" w:rsidTr="00FC612B">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250" w:type="pct"/>
            <w:shd w:val="clear" w:color="auto" w:fill="142147" w:themeFill="accent1"/>
            <w:vAlign w:val="center"/>
          </w:tcPr>
          <w:p w14:paraId="3B892F6D" w14:textId="77777777" w:rsidR="007A72F2" w:rsidRPr="00365D1B" w:rsidRDefault="007A72F2" w:rsidP="00FC612B">
            <w:pPr>
              <w:pStyle w:val="TableHeaderCellLeft"/>
              <w:spacing w:before="20" w:after="20"/>
            </w:pPr>
            <w:r w:rsidRPr="00365D1B">
              <w:t>Abbreviation</w:t>
            </w:r>
          </w:p>
        </w:tc>
        <w:tc>
          <w:tcPr>
            <w:tcW w:w="3750" w:type="pct"/>
            <w:tcBorders>
              <w:bottom w:val="nil"/>
            </w:tcBorders>
            <w:shd w:val="clear" w:color="auto" w:fill="142147" w:themeFill="accent1"/>
            <w:vAlign w:val="center"/>
          </w:tcPr>
          <w:p w14:paraId="18ED48E2" w14:textId="77777777" w:rsidR="007A72F2" w:rsidRPr="00174FA5" w:rsidRDefault="007A72F2" w:rsidP="00FC612B">
            <w:pPr>
              <w:pStyle w:val="TableHeaderCellLeft"/>
              <w:spacing w:before="20" w:after="20"/>
              <w:cnfStyle w:val="100000000000" w:firstRow="1" w:lastRow="0" w:firstColumn="0" w:lastColumn="0" w:oddVBand="0" w:evenVBand="0" w:oddHBand="0" w:evenHBand="0" w:firstRowFirstColumn="0" w:firstRowLastColumn="0" w:lastRowFirstColumn="0" w:lastRowLastColumn="0"/>
            </w:pPr>
            <w:r w:rsidRPr="00174FA5">
              <w:t>Definition</w:t>
            </w:r>
          </w:p>
        </w:tc>
      </w:tr>
      <w:tr w:rsidR="007A72F2" w:rsidRPr="00174FA5" w14:paraId="2FCAF5DF"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nil"/>
              <w:bottom w:val="single" w:sz="4" w:space="0" w:color="142147" w:themeColor="accent1"/>
            </w:tcBorders>
            <w:shd w:val="clear" w:color="auto" w:fill="F6F2ED" w:themeFill="accent3" w:themeFillTint="33"/>
            <w:vAlign w:val="center"/>
          </w:tcPr>
          <w:p w14:paraId="5F61F968" w14:textId="77777777" w:rsidR="007A72F2" w:rsidRDefault="007A72F2" w:rsidP="00FC612B">
            <w:pPr>
              <w:pStyle w:val="TableBodyCellLeft"/>
            </w:pPr>
            <w:r>
              <w:t>ACNC</w:t>
            </w:r>
          </w:p>
        </w:tc>
        <w:tc>
          <w:tcPr>
            <w:tcW w:w="3750" w:type="pct"/>
            <w:tcBorders>
              <w:top w:val="nil"/>
              <w:bottom w:val="single" w:sz="4" w:space="0" w:color="142147" w:themeColor="accent1"/>
            </w:tcBorders>
            <w:vAlign w:val="center"/>
          </w:tcPr>
          <w:p w14:paraId="4CA9F93A" w14:textId="4845E610" w:rsidR="007A72F2" w:rsidRPr="00893C90" w:rsidRDefault="007A72F2" w:rsidP="00FC612B">
            <w:pPr>
              <w:pStyle w:val="TableBodyCellLeft"/>
              <w:cnfStyle w:val="000000100000" w:firstRow="0" w:lastRow="0" w:firstColumn="0" w:lastColumn="0" w:oddVBand="0" w:evenVBand="0" w:oddHBand="1" w:evenHBand="0" w:firstRowFirstColumn="0" w:firstRowLastColumn="0" w:lastRowFirstColumn="0" w:lastRowLastColumn="0"/>
              <w:rPr>
                <w:lang w:val="en-US"/>
              </w:rPr>
            </w:pPr>
            <w:r>
              <w:t>Australian Charities and Not</w:t>
            </w:r>
            <w:r w:rsidR="00360869">
              <w:noBreakHyphen/>
            </w:r>
            <w:r>
              <w:t>for</w:t>
            </w:r>
            <w:r w:rsidR="00360869">
              <w:noBreakHyphen/>
            </w:r>
            <w:r>
              <w:t>profits Commission</w:t>
            </w:r>
          </w:p>
        </w:tc>
      </w:tr>
      <w:tr w:rsidR="007A72F2" w:rsidRPr="00174FA5" w14:paraId="565374F4"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nil"/>
              <w:bottom w:val="single" w:sz="4" w:space="0" w:color="142147" w:themeColor="accent1"/>
            </w:tcBorders>
            <w:shd w:val="clear" w:color="auto" w:fill="F6F2ED" w:themeFill="accent3" w:themeFillTint="33"/>
            <w:vAlign w:val="center"/>
          </w:tcPr>
          <w:p w14:paraId="23753FA1" w14:textId="77777777" w:rsidR="007A72F2" w:rsidRDefault="007A72F2" w:rsidP="00FC612B">
            <w:pPr>
              <w:pStyle w:val="TableBodyCellLeft"/>
            </w:pPr>
            <w:r>
              <w:t>AGLS</w:t>
            </w:r>
          </w:p>
        </w:tc>
        <w:tc>
          <w:tcPr>
            <w:tcW w:w="3750" w:type="pct"/>
            <w:tcBorders>
              <w:top w:val="nil"/>
              <w:bottom w:val="single" w:sz="4" w:space="0" w:color="142147" w:themeColor="accent1"/>
            </w:tcBorders>
            <w:vAlign w:val="center"/>
          </w:tcPr>
          <w:p w14:paraId="6416B610" w14:textId="77777777" w:rsidR="007A72F2"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rsidRPr="00893C90">
              <w:rPr>
                <w:lang w:val="en-US"/>
              </w:rPr>
              <w:t>Australian Government</w:t>
            </w:r>
            <w:r>
              <w:rPr>
                <w:lang w:val="en-US"/>
              </w:rPr>
              <w:t> </w:t>
            </w:r>
            <w:r w:rsidRPr="00893C90">
              <w:rPr>
                <w:lang w:val="en-US"/>
              </w:rPr>
              <w:t>Legal Service</w:t>
            </w:r>
          </w:p>
        </w:tc>
      </w:tr>
      <w:tr w:rsidR="007A72F2" w:rsidRPr="00174FA5" w14:paraId="2D52F6EC"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nil"/>
              <w:bottom w:val="single" w:sz="4" w:space="0" w:color="142147" w:themeColor="accent1"/>
            </w:tcBorders>
            <w:shd w:val="clear" w:color="auto" w:fill="F6F2ED" w:themeFill="accent3" w:themeFillTint="33"/>
            <w:vAlign w:val="center"/>
          </w:tcPr>
          <w:p w14:paraId="5ABA991E" w14:textId="77777777" w:rsidR="007A72F2" w:rsidRDefault="007A72F2" w:rsidP="00FC612B">
            <w:pPr>
              <w:pStyle w:val="TableBodyCellLeft"/>
            </w:pPr>
            <w:r>
              <w:t>ASBFEO</w:t>
            </w:r>
          </w:p>
        </w:tc>
        <w:tc>
          <w:tcPr>
            <w:tcW w:w="3750" w:type="pct"/>
            <w:tcBorders>
              <w:top w:val="nil"/>
              <w:bottom w:val="single" w:sz="4" w:space="0" w:color="142147" w:themeColor="accent1"/>
            </w:tcBorders>
            <w:vAlign w:val="center"/>
          </w:tcPr>
          <w:p w14:paraId="439103FE" w14:textId="77777777" w:rsidR="007A72F2" w:rsidRPr="00893C90" w:rsidRDefault="007A72F2" w:rsidP="00FC612B">
            <w:pPr>
              <w:pStyle w:val="TableBodyCellLeft"/>
              <w:cnfStyle w:val="000000100000" w:firstRow="0" w:lastRow="0" w:firstColumn="0" w:lastColumn="0" w:oddVBand="0" w:evenVBand="0" w:oddHBand="1" w:evenHBand="0" w:firstRowFirstColumn="0" w:firstRowLastColumn="0" w:lastRowFirstColumn="0" w:lastRowLastColumn="0"/>
              <w:rPr>
                <w:lang w:val="en-US"/>
              </w:rPr>
            </w:pPr>
            <w:r>
              <w:t>Australian Small Business and Family Enterprise Ombudsman</w:t>
            </w:r>
          </w:p>
        </w:tc>
      </w:tr>
      <w:tr w:rsidR="007A72F2" w:rsidRPr="00174FA5" w14:paraId="18074D98"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nil"/>
              <w:bottom w:val="single" w:sz="4" w:space="0" w:color="142147" w:themeColor="accent1"/>
            </w:tcBorders>
            <w:shd w:val="clear" w:color="auto" w:fill="F6F2ED" w:themeFill="accent3" w:themeFillTint="33"/>
            <w:vAlign w:val="center"/>
          </w:tcPr>
          <w:p w14:paraId="62D798CB" w14:textId="77777777" w:rsidR="007A72F2" w:rsidRPr="00935ED2" w:rsidRDefault="007A72F2" w:rsidP="00FC612B">
            <w:pPr>
              <w:pStyle w:val="TableBodyCellLeft"/>
            </w:pPr>
            <w:r>
              <w:t>Ashurst</w:t>
            </w:r>
          </w:p>
        </w:tc>
        <w:tc>
          <w:tcPr>
            <w:tcW w:w="3750" w:type="pct"/>
            <w:tcBorders>
              <w:top w:val="nil"/>
              <w:bottom w:val="single" w:sz="4" w:space="0" w:color="142147" w:themeColor="accent1"/>
            </w:tcBorders>
            <w:vAlign w:val="center"/>
          </w:tcPr>
          <w:p w14:paraId="040D9484" w14:textId="77777777"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Ashurst Australia</w:t>
            </w:r>
          </w:p>
        </w:tc>
      </w:tr>
      <w:tr w:rsidR="007A72F2" w:rsidRPr="00174FA5" w14:paraId="56E09F38"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6B387830" w14:textId="77777777" w:rsidR="007A72F2" w:rsidRPr="00935ED2" w:rsidRDefault="007A72F2" w:rsidP="00FC612B">
            <w:pPr>
              <w:pStyle w:val="TableBodyCellLeft"/>
            </w:pPr>
            <w:r w:rsidRPr="00F9643E">
              <w:t>ATO</w:t>
            </w:r>
          </w:p>
        </w:tc>
        <w:tc>
          <w:tcPr>
            <w:tcW w:w="3750" w:type="pct"/>
            <w:tcBorders>
              <w:top w:val="single" w:sz="4" w:space="0" w:color="142147" w:themeColor="accent1"/>
              <w:bottom w:val="single" w:sz="4" w:space="0" w:color="142147" w:themeColor="accent1"/>
            </w:tcBorders>
            <w:vAlign w:val="center"/>
          </w:tcPr>
          <w:p w14:paraId="7067BD93"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rsidRPr="00FA70F5">
              <w:t>Australian Taxation Office</w:t>
            </w:r>
          </w:p>
        </w:tc>
      </w:tr>
      <w:tr w:rsidR="007A72F2" w:rsidRPr="00174FA5" w14:paraId="5768817A"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02491A10" w14:textId="77777777" w:rsidR="007A72F2" w:rsidRPr="00F9643E" w:rsidRDefault="007A72F2" w:rsidP="00FC612B">
            <w:pPr>
              <w:pStyle w:val="TableBodyCellLeft"/>
            </w:pPr>
            <w:r>
              <w:t>AO</w:t>
            </w:r>
          </w:p>
        </w:tc>
        <w:tc>
          <w:tcPr>
            <w:tcW w:w="3750" w:type="pct"/>
            <w:tcBorders>
              <w:top w:val="single" w:sz="4" w:space="0" w:color="142147" w:themeColor="accent1"/>
              <w:bottom w:val="single" w:sz="4" w:space="0" w:color="142147" w:themeColor="accent1"/>
            </w:tcBorders>
            <w:vAlign w:val="center"/>
          </w:tcPr>
          <w:p w14:paraId="49798ECF" w14:textId="397A7506" w:rsidR="007A72F2" w:rsidRPr="00FA70F5" w:rsidRDefault="001D0EAF" w:rsidP="00FC612B">
            <w:pPr>
              <w:pStyle w:val="TableBodyCellLeft"/>
              <w:cnfStyle w:val="000000000000" w:firstRow="0" w:lastRow="0" w:firstColumn="0" w:lastColumn="0" w:oddVBand="0" w:evenVBand="0" w:oddHBand="0" w:evenHBand="0" w:firstRowFirstColumn="0" w:firstRowLastColumn="0" w:lastRowFirstColumn="0" w:lastRowLastColumn="0"/>
            </w:pPr>
            <w:r>
              <w:t>Officer of the Order of Austral</w:t>
            </w:r>
            <w:r w:rsidR="000E664E">
              <w:t>ia</w:t>
            </w:r>
          </w:p>
        </w:tc>
      </w:tr>
      <w:tr w:rsidR="007A72F2" w:rsidRPr="00174FA5" w14:paraId="7C676C23"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5AC2B75D" w14:textId="77777777" w:rsidR="007A72F2" w:rsidRPr="00935ED2" w:rsidRDefault="007A72F2" w:rsidP="00FC612B">
            <w:pPr>
              <w:pStyle w:val="TableBodyCellLeft"/>
            </w:pPr>
            <w:r>
              <w:t>T</w:t>
            </w:r>
            <w:r w:rsidRPr="00F9643E">
              <w:t>he Board</w:t>
            </w:r>
          </w:p>
        </w:tc>
        <w:tc>
          <w:tcPr>
            <w:tcW w:w="3750" w:type="pct"/>
            <w:tcBorders>
              <w:top w:val="single" w:sz="4" w:space="0" w:color="142147" w:themeColor="accent1"/>
              <w:bottom w:val="single" w:sz="4" w:space="0" w:color="142147" w:themeColor="accent1"/>
            </w:tcBorders>
            <w:vAlign w:val="center"/>
          </w:tcPr>
          <w:p w14:paraId="7B015003"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rsidRPr="00FA70F5">
              <w:t>The Board of Taxation</w:t>
            </w:r>
          </w:p>
        </w:tc>
      </w:tr>
      <w:tr w:rsidR="007A72F2" w:rsidRPr="00174FA5" w14:paraId="3F094910"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6AC6E08" w14:textId="77777777" w:rsidR="007A72F2" w:rsidRPr="00935ED2" w:rsidRDefault="007A72F2" w:rsidP="00FC612B">
            <w:pPr>
              <w:pStyle w:val="TableBodyCellLeft"/>
            </w:pPr>
            <w:r>
              <w:t>CGT</w:t>
            </w:r>
          </w:p>
        </w:tc>
        <w:tc>
          <w:tcPr>
            <w:tcW w:w="3750" w:type="pct"/>
            <w:tcBorders>
              <w:top w:val="single" w:sz="4" w:space="0" w:color="142147" w:themeColor="accent1"/>
              <w:bottom w:val="single" w:sz="4" w:space="0" w:color="142147" w:themeColor="accent1"/>
            </w:tcBorders>
            <w:vAlign w:val="center"/>
          </w:tcPr>
          <w:p w14:paraId="4005F15D" w14:textId="77777777"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Capital gains tax</w:t>
            </w:r>
          </w:p>
        </w:tc>
      </w:tr>
      <w:tr w:rsidR="007A72F2" w:rsidRPr="00174FA5" w14:paraId="6907FA14"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D162189" w14:textId="77777777" w:rsidR="007A72F2" w:rsidRPr="00935ED2" w:rsidRDefault="007A72F2" w:rsidP="00FC612B">
            <w:pPr>
              <w:pStyle w:val="TableBodyCellLeft"/>
            </w:pPr>
            <w:r>
              <w:t xml:space="preserve">CPA </w:t>
            </w:r>
          </w:p>
        </w:tc>
        <w:tc>
          <w:tcPr>
            <w:tcW w:w="3750" w:type="pct"/>
            <w:tcBorders>
              <w:top w:val="single" w:sz="4" w:space="0" w:color="142147" w:themeColor="accent1"/>
              <w:bottom w:val="single" w:sz="4" w:space="0" w:color="142147" w:themeColor="accent1"/>
            </w:tcBorders>
            <w:vAlign w:val="center"/>
          </w:tcPr>
          <w:p w14:paraId="65117024"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Certified Practicing Accountant</w:t>
            </w:r>
          </w:p>
        </w:tc>
      </w:tr>
      <w:tr w:rsidR="007A72F2" w:rsidRPr="00174FA5" w14:paraId="71182C8D"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7211CBC5" w14:textId="77777777" w:rsidR="007A72F2" w:rsidRPr="00935ED2" w:rsidRDefault="007A72F2" w:rsidP="00FC612B">
            <w:pPr>
              <w:pStyle w:val="TableBodyCellLeft"/>
            </w:pPr>
            <w:r>
              <w:t>CTA</w:t>
            </w:r>
          </w:p>
        </w:tc>
        <w:tc>
          <w:tcPr>
            <w:tcW w:w="3750" w:type="pct"/>
            <w:tcBorders>
              <w:top w:val="single" w:sz="4" w:space="0" w:color="142147" w:themeColor="accent1"/>
              <w:bottom w:val="single" w:sz="4" w:space="0" w:color="142147" w:themeColor="accent1"/>
            </w:tcBorders>
            <w:vAlign w:val="center"/>
          </w:tcPr>
          <w:p w14:paraId="2FC34418" w14:textId="77777777"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 xml:space="preserve">Corporate Tax Association </w:t>
            </w:r>
          </w:p>
        </w:tc>
      </w:tr>
      <w:tr w:rsidR="007A72F2" w:rsidRPr="00174FA5" w14:paraId="6D81845A"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7720346" w14:textId="77777777" w:rsidR="007A72F2" w:rsidRPr="00935ED2" w:rsidRDefault="007A72F2" w:rsidP="00FC612B">
            <w:pPr>
              <w:pStyle w:val="TableBodyCellLeft"/>
            </w:pPr>
            <w:r>
              <w:t>FCPA</w:t>
            </w:r>
          </w:p>
        </w:tc>
        <w:tc>
          <w:tcPr>
            <w:tcW w:w="3750" w:type="pct"/>
            <w:tcBorders>
              <w:top w:val="single" w:sz="4" w:space="0" w:color="142147" w:themeColor="accent1"/>
              <w:bottom w:val="single" w:sz="4" w:space="0" w:color="142147" w:themeColor="accent1"/>
            </w:tcBorders>
            <w:vAlign w:val="center"/>
          </w:tcPr>
          <w:p w14:paraId="7BF47D8D"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rsidRPr="00951224">
              <w:t>Fellow Certified Practicing Accountant</w:t>
            </w:r>
          </w:p>
        </w:tc>
      </w:tr>
      <w:tr w:rsidR="007A72F2" w:rsidRPr="00174FA5" w14:paraId="331B6AF5"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1CBF73E6" w14:textId="77777777" w:rsidR="007A72F2" w:rsidRDefault="007A72F2" w:rsidP="00FC612B">
            <w:pPr>
              <w:pStyle w:val="TableBodyCellLeft"/>
            </w:pPr>
            <w:r>
              <w:t>FSAA</w:t>
            </w:r>
          </w:p>
        </w:tc>
        <w:tc>
          <w:tcPr>
            <w:tcW w:w="3750" w:type="pct"/>
            <w:tcBorders>
              <w:top w:val="single" w:sz="4" w:space="0" w:color="142147" w:themeColor="accent1"/>
              <w:bottom w:val="single" w:sz="4" w:space="0" w:color="142147" w:themeColor="accent1"/>
            </w:tcBorders>
            <w:vAlign w:val="center"/>
          </w:tcPr>
          <w:p w14:paraId="77CDF420" w14:textId="6A493809" w:rsidR="007A72F2" w:rsidRPr="00951224" w:rsidRDefault="005D1CDA" w:rsidP="00FC612B">
            <w:pPr>
              <w:pStyle w:val="TableBodyCellLeft"/>
              <w:cnfStyle w:val="000000000000" w:firstRow="0" w:lastRow="0" w:firstColumn="0" w:lastColumn="0" w:oddVBand="0" w:evenVBand="0" w:oddHBand="0" w:evenHBand="0" w:firstRowFirstColumn="0" w:firstRowLastColumn="0" w:lastRowFirstColumn="0" w:lastRowLastColumn="0"/>
            </w:pPr>
            <w:r>
              <w:t>Financial Services Accountants Association</w:t>
            </w:r>
          </w:p>
        </w:tc>
      </w:tr>
      <w:tr w:rsidR="007A72F2" w:rsidRPr="00174FA5" w14:paraId="4E08EFCC"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7FFAD831" w14:textId="77777777" w:rsidR="007A72F2" w:rsidRPr="00935ED2" w:rsidRDefault="007A72F2" w:rsidP="00FC612B">
            <w:pPr>
              <w:pStyle w:val="TableBodyCellLeft"/>
            </w:pPr>
            <w:r>
              <w:t>GST</w:t>
            </w:r>
          </w:p>
        </w:tc>
        <w:tc>
          <w:tcPr>
            <w:tcW w:w="3750" w:type="pct"/>
            <w:tcBorders>
              <w:top w:val="single" w:sz="4" w:space="0" w:color="142147" w:themeColor="accent1"/>
              <w:bottom w:val="single" w:sz="4" w:space="0" w:color="142147" w:themeColor="accent1"/>
            </w:tcBorders>
            <w:vAlign w:val="center"/>
          </w:tcPr>
          <w:p w14:paraId="5544DE17"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Goods and Services Tax</w:t>
            </w:r>
          </w:p>
        </w:tc>
      </w:tr>
      <w:tr w:rsidR="007A72F2" w:rsidRPr="00174FA5" w14:paraId="673D0016"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7E43DF9" w14:textId="77777777" w:rsidR="007A72F2" w:rsidRDefault="007A72F2" w:rsidP="00FC612B">
            <w:pPr>
              <w:pStyle w:val="TableBodyCellLeft"/>
            </w:pPr>
            <w:r>
              <w:t>Hon</w:t>
            </w:r>
          </w:p>
        </w:tc>
        <w:tc>
          <w:tcPr>
            <w:tcW w:w="3750" w:type="pct"/>
            <w:tcBorders>
              <w:top w:val="single" w:sz="4" w:space="0" w:color="142147" w:themeColor="accent1"/>
              <w:bottom w:val="single" w:sz="4" w:space="0" w:color="142147" w:themeColor="accent1"/>
            </w:tcBorders>
            <w:vAlign w:val="center"/>
          </w:tcPr>
          <w:p w14:paraId="1A2A63A2" w14:textId="77777777" w:rsidR="007A72F2"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 xml:space="preserve">Honourable </w:t>
            </w:r>
          </w:p>
        </w:tc>
      </w:tr>
      <w:tr w:rsidR="007A72F2" w:rsidRPr="00174FA5" w14:paraId="58DD4A2F"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A393BB6" w14:textId="77777777" w:rsidR="007A72F2" w:rsidRDefault="007A72F2" w:rsidP="00FC612B">
            <w:pPr>
              <w:pStyle w:val="TableBodyCellLeft"/>
            </w:pPr>
            <w:r>
              <w:t>IMF</w:t>
            </w:r>
          </w:p>
        </w:tc>
        <w:tc>
          <w:tcPr>
            <w:tcW w:w="3750" w:type="pct"/>
            <w:tcBorders>
              <w:top w:val="single" w:sz="4" w:space="0" w:color="142147" w:themeColor="accent1"/>
              <w:bottom w:val="single" w:sz="4" w:space="0" w:color="142147" w:themeColor="accent1"/>
            </w:tcBorders>
            <w:vAlign w:val="center"/>
          </w:tcPr>
          <w:p w14:paraId="70B48849" w14:textId="413E5D6C" w:rsidR="007A72F2" w:rsidRDefault="00901A77" w:rsidP="00FC612B">
            <w:pPr>
              <w:pStyle w:val="TableBodyCellLeft"/>
              <w:cnfStyle w:val="000000100000" w:firstRow="0" w:lastRow="0" w:firstColumn="0" w:lastColumn="0" w:oddVBand="0" w:evenVBand="0" w:oddHBand="1" w:evenHBand="0" w:firstRowFirstColumn="0" w:firstRowLastColumn="0" w:lastRowFirstColumn="0" w:lastRowLastColumn="0"/>
            </w:pPr>
            <w:r>
              <w:t>International Monetary Fund</w:t>
            </w:r>
          </w:p>
        </w:tc>
      </w:tr>
      <w:tr w:rsidR="007A72F2" w:rsidRPr="00174FA5" w14:paraId="3ABD21C5"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3C73DC0B" w14:textId="77777777" w:rsidR="007A72F2" w:rsidRPr="00935ED2" w:rsidRDefault="007A72F2" w:rsidP="00FC612B">
            <w:pPr>
              <w:pStyle w:val="TableBodyCellLeft"/>
            </w:pPr>
            <w:r>
              <w:t>KC</w:t>
            </w:r>
          </w:p>
        </w:tc>
        <w:tc>
          <w:tcPr>
            <w:tcW w:w="3750" w:type="pct"/>
            <w:tcBorders>
              <w:top w:val="single" w:sz="4" w:space="0" w:color="142147" w:themeColor="accent1"/>
              <w:bottom w:val="single" w:sz="4" w:space="0" w:color="142147" w:themeColor="accent1"/>
            </w:tcBorders>
            <w:vAlign w:val="center"/>
          </w:tcPr>
          <w:p w14:paraId="43CD6C36" w14:textId="32ED134F"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King</w:t>
            </w:r>
            <w:r w:rsidR="00360869">
              <w:t>’</w:t>
            </w:r>
            <w:r>
              <w:t>s Counsel</w:t>
            </w:r>
          </w:p>
        </w:tc>
      </w:tr>
      <w:tr w:rsidR="007A72F2" w:rsidRPr="00174FA5" w14:paraId="3850A741"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04C5475B" w14:textId="77777777" w:rsidR="007A72F2" w:rsidRPr="00935ED2" w:rsidRDefault="007A72F2" w:rsidP="00FC612B">
            <w:pPr>
              <w:pStyle w:val="TableBodyCellLeft"/>
            </w:pPr>
            <w:r>
              <w:t>KPMG</w:t>
            </w:r>
          </w:p>
        </w:tc>
        <w:tc>
          <w:tcPr>
            <w:tcW w:w="3750" w:type="pct"/>
            <w:tcBorders>
              <w:top w:val="single" w:sz="4" w:space="0" w:color="142147" w:themeColor="accent1"/>
              <w:bottom w:val="single" w:sz="4" w:space="0" w:color="142147" w:themeColor="accent1"/>
            </w:tcBorders>
            <w:vAlign w:val="center"/>
          </w:tcPr>
          <w:p w14:paraId="1F4F17CC"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proofErr w:type="spellStart"/>
            <w:r w:rsidRPr="00951224">
              <w:t>Klynveld</w:t>
            </w:r>
            <w:proofErr w:type="spellEnd"/>
            <w:r w:rsidRPr="00951224">
              <w:t xml:space="preserve"> Peat Marwick </w:t>
            </w:r>
            <w:proofErr w:type="spellStart"/>
            <w:r w:rsidRPr="00951224">
              <w:t>Goerdeler</w:t>
            </w:r>
            <w:proofErr w:type="spellEnd"/>
          </w:p>
        </w:tc>
      </w:tr>
      <w:tr w:rsidR="007A72F2" w:rsidRPr="00174FA5" w14:paraId="765F7093"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092D40A8" w14:textId="77777777" w:rsidR="007A72F2" w:rsidRDefault="007A72F2" w:rsidP="00FC612B">
            <w:pPr>
              <w:pStyle w:val="TableBodyCellLeft"/>
            </w:pPr>
            <w:r>
              <w:t>LBSG</w:t>
            </w:r>
          </w:p>
        </w:tc>
        <w:tc>
          <w:tcPr>
            <w:tcW w:w="3750" w:type="pct"/>
            <w:tcBorders>
              <w:top w:val="single" w:sz="4" w:space="0" w:color="142147" w:themeColor="accent1"/>
              <w:bottom w:val="single" w:sz="4" w:space="0" w:color="142147" w:themeColor="accent1"/>
            </w:tcBorders>
            <w:vAlign w:val="center"/>
          </w:tcPr>
          <w:p w14:paraId="281630EB" w14:textId="77777777" w:rsidR="007A72F2" w:rsidRPr="00951224"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Large Business Stewardship Group</w:t>
            </w:r>
          </w:p>
        </w:tc>
      </w:tr>
      <w:tr w:rsidR="007A72F2" w:rsidRPr="00174FA5" w14:paraId="6E5164A3"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66EA300" w14:textId="77777777" w:rsidR="007A72F2" w:rsidRDefault="007A72F2" w:rsidP="00FC612B">
            <w:pPr>
              <w:pStyle w:val="TableBodyCellLeft"/>
            </w:pPr>
            <w:r>
              <w:t>MP</w:t>
            </w:r>
          </w:p>
        </w:tc>
        <w:tc>
          <w:tcPr>
            <w:tcW w:w="3750" w:type="pct"/>
            <w:tcBorders>
              <w:top w:val="single" w:sz="4" w:space="0" w:color="142147" w:themeColor="accent1"/>
              <w:bottom w:val="single" w:sz="4" w:space="0" w:color="142147" w:themeColor="accent1"/>
            </w:tcBorders>
            <w:vAlign w:val="center"/>
          </w:tcPr>
          <w:p w14:paraId="1D700A8C" w14:textId="2B049942" w:rsidR="007A72F2" w:rsidRPr="00951224" w:rsidRDefault="003801EF" w:rsidP="00FC612B">
            <w:pPr>
              <w:pStyle w:val="TableBodyCellLeft"/>
              <w:cnfStyle w:val="000000100000" w:firstRow="0" w:lastRow="0" w:firstColumn="0" w:lastColumn="0" w:oddVBand="0" w:evenVBand="0" w:oddHBand="1" w:evenHBand="0" w:firstRowFirstColumn="0" w:firstRowLastColumn="0" w:lastRowFirstColumn="0" w:lastRowLastColumn="0"/>
            </w:pPr>
            <w:r>
              <w:t>Member of Parliament</w:t>
            </w:r>
          </w:p>
        </w:tc>
      </w:tr>
      <w:tr w:rsidR="007A72F2" w:rsidRPr="00174FA5" w14:paraId="195001E0"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053E5CD" w14:textId="77777777" w:rsidR="007A72F2" w:rsidRPr="00935ED2" w:rsidRDefault="007A72F2" w:rsidP="00FC612B">
            <w:pPr>
              <w:pStyle w:val="TableBodyCellLeft"/>
            </w:pPr>
            <w:r w:rsidRPr="00F9643E">
              <w:t>OECD</w:t>
            </w:r>
          </w:p>
        </w:tc>
        <w:tc>
          <w:tcPr>
            <w:tcW w:w="3750" w:type="pct"/>
            <w:tcBorders>
              <w:top w:val="single" w:sz="4" w:space="0" w:color="142147" w:themeColor="accent1"/>
              <w:bottom w:val="single" w:sz="4" w:space="0" w:color="142147" w:themeColor="accent1"/>
            </w:tcBorders>
            <w:vAlign w:val="center"/>
          </w:tcPr>
          <w:p w14:paraId="4DA3A078" w14:textId="264376A5"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rsidRPr="00FA70F5">
              <w:t>Organisation for Economic Co</w:t>
            </w:r>
            <w:r w:rsidR="00360869">
              <w:noBreakHyphen/>
            </w:r>
            <w:r w:rsidRPr="00FA70F5">
              <w:t>operation and Development</w:t>
            </w:r>
          </w:p>
        </w:tc>
      </w:tr>
      <w:tr w:rsidR="007A72F2" w:rsidRPr="00174FA5" w14:paraId="6E74C06D"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D649F88" w14:textId="77777777" w:rsidR="007A72F2" w:rsidRPr="00935ED2" w:rsidRDefault="007A72F2" w:rsidP="00FC612B">
            <w:pPr>
              <w:pStyle w:val="TableBodyCellLeft"/>
            </w:pPr>
            <w:r w:rsidRPr="00F9643E">
              <w:t>OPC</w:t>
            </w:r>
          </w:p>
        </w:tc>
        <w:tc>
          <w:tcPr>
            <w:tcW w:w="3750" w:type="pct"/>
            <w:tcBorders>
              <w:top w:val="single" w:sz="4" w:space="0" w:color="142147" w:themeColor="accent1"/>
              <w:bottom w:val="single" w:sz="4" w:space="0" w:color="142147" w:themeColor="accent1"/>
            </w:tcBorders>
            <w:vAlign w:val="center"/>
          </w:tcPr>
          <w:p w14:paraId="0848DDE1"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rsidRPr="00FA70F5">
              <w:t>Office of Parliamentary Counsel</w:t>
            </w:r>
          </w:p>
        </w:tc>
      </w:tr>
      <w:tr w:rsidR="007A72F2" w:rsidRPr="00174FA5" w14:paraId="210F822A"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332D1BA3" w14:textId="77777777" w:rsidR="007A72F2" w:rsidRPr="00F9643E" w:rsidRDefault="007A72F2" w:rsidP="00FC612B">
            <w:pPr>
              <w:pStyle w:val="TableBodyCellLeft"/>
            </w:pPr>
            <w:r w:rsidRPr="00F9643E">
              <w:t>PSM</w:t>
            </w:r>
          </w:p>
        </w:tc>
        <w:tc>
          <w:tcPr>
            <w:tcW w:w="3750" w:type="pct"/>
            <w:tcBorders>
              <w:top w:val="single" w:sz="4" w:space="0" w:color="142147" w:themeColor="accent1"/>
              <w:bottom w:val="single" w:sz="4" w:space="0" w:color="142147" w:themeColor="accent1"/>
            </w:tcBorders>
            <w:vAlign w:val="center"/>
          </w:tcPr>
          <w:p w14:paraId="648A19E0" w14:textId="77777777" w:rsidR="007A72F2" w:rsidRPr="00FA70F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rsidRPr="00FA70F5">
              <w:t>Public Service Medal</w:t>
            </w:r>
          </w:p>
        </w:tc>
      </w:tr>
      <w:tr w:rsidR="007A72F2" w:rsidRPr="00174FA5" w14:paraId="2EBADA06"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6B014C4A" w14:textId="77777777" w:rsidR="007A72F2" w:rsidRPr="00F9643E" w:rsidRDefault="007A72F2" w:rsidP="00FC612B">
            <w:pPr>
              <w:pStyle w:val="TableBodyCellLeft"/>
            </w:pPr>
            <w:r>
              <w:t>S&amp;TC</w:t>
            </w:r>
          </w:p>
        </w:tc>
        <w:tc>
          <w:tcPr>
            <w:tcW w:w="3750" w:type="pct"/>
            <w:tcBorders>
              <w:top w:val="single" w:sz="4" w:space="0" w:color="142147" w:themeColor="accent1"/>
              <w:bottom w:val="single" w:sz="4" w:space="0" w:color="142147" w:themeColor="accent1"/>
            </w:tcBorders>
            <w:vAlign w:val="center"/>
          </w:tcPr>
          <w:p w14:paraId="2BD89437" w14:textId="77777777" w:rsidR="007A72F2" w:rsidRPr="00FA70F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Secretary and Tax Counsel</w:t>
            </w:r>
          </w:p>
        </w:tc>
      </w:tr>
      <w:tr w:rsidR="007A72F2" w:rsidRPr="00174FA5" w14:paraId="10D7FBEC"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8" w:space="0" w:color="142147" w:themeColor="accent1"/>
            </w:tcBorders>
            <w:shd w:val="clear" w:color="auto" w:fill="F6F2ED" w:themeFill="accent3" w:themeFillTint="33"/>
            <w:vAlign w:val="center"/>
          </w:tcPr>
          <w:p w14:paraId="697F1249" w14:textId="77777777" w:rsidR="007A72F2" w:rsidRPr="00F9643E" w:rsidRDefault="007A72F2" w:rsidP="00FC612B">
            <w:pPr>
              <w:pStyle w:val="TableBodyCellLeft"/>
            </w:pPr>
            <w:r>
              <w:t>VTTC</w:t>
            </w:r>
          </w:p>
        </w:tc>
        <w:tc>
          <w:tcPr>
            <w:tcW w:w="3750" w:type="pct"/>
            <w:tcBorders>
              <w:top w:val="single" w:sz="4" w:space="0" w:color="142147" w:themeColor="accent1"/>
              <w:bottom w:val="single" w:sz="8" w:space="0" w:color="142147" w:themeColor="accent1"/>
            </w:tcBorders>
            <w:vAlign w:val="center"/>
          </w:tcPr>
          <w:p w14:paraId="4AED68BD" w14:textId="77777777" w:rsidR="007A72F2" w:rsidRPr="00FA70F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Voluntary Tax Transparency Code</w:t>
            </w:r>
          </w:p>
        </w:tc>
      </w:tr>
    </w:tbl>
    <w:p w14:paraId="06C5679F" w14:textId="77777777" w:rsidR="00036758" w:rsidRPr="006F27B9" w:rsidRDefault="00036758" w:rsidP="002A7CB4"/>
    <w:sectPr w:rsidR="00036758" w:rsidRPr="006F27B9" w:rsidSect="00B01075">
      <w:type w:val="continuous"/>
      <w:pgSz w:w="11909" w:h="16834" w:code="9"/>
      <w:pgMar w:top="2268" w:right="1134" w:bottom="198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883B" w14:textId="77777777" w:rsidR="00B11843" w:rsidRDefault="00B11843">
      <w:r>
        <w:separator/>
      </w:r>
    </w:p>
  </w:endnote>
  <w:endnote w:type="continuationSeparator" w:id="0">
    <w:p w14:paraId="585FA01C" w14:textId="77777777" w:rsidR="00B11843" w:rsidRDefault="00B11843">
      <w:r>
        <w:continuationSeparator/>
      </w:r>
    </w:p>
  </w:endnote>
  <w:endnote w:type="continuationNotice" w:id="1">
    <w:p w14:paraId="5349CBA0" w14:textId="77777777" w:rsidR="00B11843" w:rsidRDefault="00B118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2D8F" w14:textId="77777777" w:rsidR="00D3340C" w:rsidRDefault="00D3340C">
    <w:pPr>
      <w:pStyle w:val="FooterEven"/>
      <w:rPr>
        <w:rStyle w:val="PageNumber"/>
      </w:rPr>
    </w:pPr>
    <w:r>
      <w:t xml:space="preserve">Page </w:t>
    </w:r>
    <w:r w:rsidR="00841199">
      <w:rPr>
        <w:rStyle w:val="PageNumber"/>
      </w:rPr>
      <w:fldChar w:fldCharType="begin"/>
    </w:r>
    <w:r>
      <w:rPr>
        <w:rStyle w:val="PageNumber"/>
      </w:rPr>
      <w:instrText xml:space="preserve"> PAGE </w:instrText>
    </w:r>
    <w:r w:rsidR="00841199">
      <w:rPr>
        <w:rStyle w:val="PageNumber"/>
      </w:rPr>
      <w:fldChar w:fldCharType="separate"/>
    </w:r>
    <w:r w:rsidR="00A43962">
      <w:rPr>
        <w:rStyle w:val="PageNumber"/>
        <w:noProof/>
      </w:rPr>
      <w:t>2</w:t>
    </w:r>
    <w:r w:rsidR="0084119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5C6A" w14:textId="77777777" w:rsidR="00D3340C" w:rsidRDefault="00D3340C">
    <w:pPr>
      <w:pStyle w:val="FooterOdd"/>
      <w:rPr>
        <w:rStyle w:val="PageNumber"/>
      </w:rPr>
    </w:pPr>
    <w:r>
      <w:t xml:space="preserve">Page </w:t>
    </w:r>
    <w:r w:rsidR="00841199">
      <w:rPr>
        <w:rStyle w:val="PageNumber"/>
      </w:rPr>
      <w:fldChar w:fldCharType="begin"/>
    </w:r>
    <w:r>
      <w:rPr>
        <w:rStyle w:val="PageNumber"/>
      </w:rPr>
      <w:instrText xml:space="preserve"> PAGE </w:instrText>
    </w:r>
    <w:r w:rsidR="00841199">
      <w:rPr>
        <w:rStyle w:val="PageNumber"/>
      </w:rPr>
      <w:fldChar w:fldCharType="separate"/>
    </w:r>
    <w:r w:rsidR="006256BA">
      <w:rPr>
        <w:rStyle w:val="PageNumber"/>
        <w:noProof/>
      </w:rPr>
      <w:t>3</w:t>
    </w:r>
    <w:r w:rsidR="0084119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C4C8" w14:textId="3D7776C1" w:rsidR="009779D0" w:rsidRDefault="009779D0" w:rsidP="009779D0">
    <w:pPr>
      <w:pStyle w:val="Footer"/>
      <w:rPr>
        <w:noProof/>
      </w:rPr>
    </w:pPr>
  </w:p>
  <w:p w14:paraId="1BD3536C" w14:textId="6DF9D2E1" w:rsidR="00D23941" w:rsidRDefault="00D6630B" w:rsidP="00D23941">
    <w:pP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D23941">
      <w:rPr>
        <w:noProof/>
      </w:rPr>
      <w:fldChar w:fldCharType="begin"/>
    </w:r>
    <w:r w:rsidR="00D23941">
      <w:rPr>
        <w:noProof/>
      </w:rPr>
      <w:instrText xml:space="preserve"> DOCPROPERTY WorkingDocStatus \* MERGEFORMAT </w:instrText>
    </w:r>
    <w:r w:rsidR="00D2394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A596" w14:textId="7A3FC04F" w:rsidR="00D23941" w:rsidRDefault="00111646" w:rsidP="00411947">
    <w:pPr>
      <w:pStyle w:val="FooterEven"/>
      <w:rPr>
        <w:noProof/>
      </w:rPr>
    </w:pPr>
    <w:r>
      <w:t xml:space="preserve">Page </w:t>
    </w:r>
    <w:r>
      <w:fldChar w:fldCharType="begin"/>
    </w:r>
    <w:r>
      <w:instrText xml:space="preserve"> PAGE  \* Arabic  \* MERGEFORMAT </w:instrText>
    </w:r>
    <w:r>
      <w:fldChar w:fldCharType="separate"/>
    </w:r>
    <w:r>
      <w:rPr>
        <w:noProof/>
      </w:rPr>
      <w:t>2</w:t>
    </w:r>
    <w:r>
      <w:rPr>
        <w:noProof/>
      </w:rPr>
      <w:fldChar w:fldCharType="end"/>
    </w:r>
    <w:r>
      <w:rPr>
        <w:noProof/>
      </w:rPr>
      <w:tab/>
    </w:r>
    <w:fldSimple w:instr="STYLEREF  &quot;Heading 1&quot;  \* MERGEFORMAT">
      <w:r w:rsidR="00E256A4">
        <w:rPr>
          <w:noProof/>
        </w:rPr>
        <w:t>2023–24 Board overview</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1AA2" w14:textId="6E683D71" w:rsidR="006256BA" w:rsidRPr="00111646" w:rsidRDefault="00E256A4" w:rsidP="00111646">
    <w:pPr>
      <w:pStyle w:val="FooterOdd"/>
    </w:pPr>
    <w:fldSimple w:instr="STYLEREF  &quot;Heading 1&quot;  \* MERGEFORMAT">
      <w:r>
        <w:rPr>
          <w:noProof/>
        </w:rPr>
        <w:t>2023–24 Board overview</w:t>
      </w:r>
    </w:fldSimple>
    <w:r w:rsidR="00677AAC" w:rsidRPr="00111646">
      <w:tab/>
    </w:r>
    <w:r w:rsidR="006256BA" w:rsidRPr="00111646">
      <w:t xml:space="preserve">Page </w:t>
    </w:r>
    <w:r w:rsidR="006256BA" w:rsidRPr="00111646">
      <w:fldChar w:fldCharType="begin"/>
    </w:r>
    <w:r w:rsidR="006256BA" w:rsidRPr="00111646">
      <w:instrText xml:space="preserve"> PAGE   \* MERGEFORMAT </w:instrText>
    </w:r>
    <w:r w:rsidR="006256BA" w:rsidRPr="00111646">
      <w:fldChar w:fldCharType="separate"/>
    </w:r>
    <w:r w:rsidR="00522E34" w:rsidRPr="00111646">
      <w:t>14</w:t>
    </w:r>
    <w:r w:rsidR="006256BA" w:rsidRPr="00111646">
      <w:fldChar w:fldCharType="end"/>
    </w:r>
  </w:p>
  <w:p w14:paraId="0C89B23D" w14:textId="77777777" w:rsidR="00CD2944" w:rsidRDefault="00CD294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9EEE" w14:textId="0074F796" w:rsidR="00D23941" w:rsidRDefault="005E0DC1" w:rsidP="00411947">
    <w:pPr>
      <w:pStyle w:val="FooterOdd"/>
    </w:pPr>
    <w:r w:rsidRPr="00912467">
      <w:t>Page</w:t>
    </w:r>
    <w:r>
      <w:t xml:space="preserve"> </w:t>
    </w:r>
    <w:r w:rsidR="00FE7652">
      <w:fldChar w:fldCharType="begin"/>
    </w:r>
    <w:r w:rsidR="00FE7652">
      <w:instrText xml:space="preserve"> PAGE  \* roman </w:instrText>
    </w:r>
    <w:r w:rsidR="00FE7652">
      <w:fldChar w:fldCharType="separate"/>
    </w:r>
    <w:r w:rsidR="00FE7652">
      <w:rPr>
        <w:noProof/>
      </w:rPr>
      <w:t>iii</w:t>
    </w:r>
    <w:r w:rsidR="00FE765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A96" w14:textId="2089290A" w:rsidR="00D23941" w:rsidRDefault="001D6A8A" w:rsidP="00411947">
    <w:pPr>
      <w:pStyle w:val="FooterEven"/>
      <w:rPr>
        <w:noProof/>
      </w:rPr>
    </w:pPr>
    <w:r w:rsidRPr="001D6A8A">
      <w:t>Page</w:t>
    </w:r>
    <w:r>
      <w:t xml:space="preserve"> </w:t>
    </w:r>
    <w:r>
      <w:fldChar w:fldCharType="begin"/>
    </w:r>
    <w:r>
      <w:instrText xml:space="preserve"> PAGE  \* Arabic  \* MERGEFORMAT </w:instrText>
    </w:r>
    <w:r>
      <w:fldChar w:fldCharType="separate"/>
    </w:r>
    <w:r>
      <w:rPr>
        <w:noProof/>
      </w:rPr>
      <w:t>2</w:t>
    </w:r>
    <w:r>
      <w:rPr>
        <w:noProof/>
      </w:rPr>
      <w:fldChar w:fldCharType="end"/>
    </w:r>
    <w:r>
      <w:rPr>
        <w:noProof/>
      </w:rPr>
      <w:tab/>
    </w:r>
    <w:fldSimple w:instr="STYLEREF  &quot;Heading 1&quot;  \* MERGEFORMAT">
      <w:r w:rsidR="00E256A4">
        <w:rPr>
          <w:noProof/>
        </w:rPr>
        <w:t>2023–24 Board overview</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26BE" w14:textId="3CA86816" w:rsidR="00D23941" w:rsidRDefault="00E256A4" w:rsidP="00411947">
    <w:pPr>
      <w:pStyle w:val="FooterOdd"/>
    </w:pPr>
    <w:fldSimple w:instr="STYLEREF  &quot;Heading 1&quot;  \* MERGEFORMAT">
      <w:r w:rsidR="006E5B4A">
        <w:rPr>
          <w:noProof/>
        </w:rPr>
        <w:t>Activities of the Board in 2023–24</w:t>
      </w:r>
    </w:fldSimple>
    <w:r w:rsidR="001D6A8A" w:rsidRPr="00111646">
      <w:tab/>
    </w:r>
    <w:r w:rsidR="001D6A8A" w:rsidRPr="001D6A8A">
      <w:t>Page</w:t>
    </w:r>
    <w:r w:rsidR="001D6A8A" w:rsidRPr="00111646">
      <w:t xml:space="preserve"> </w:t>
    </w:r>
    <w:r w:rsidR="001D6A8A" w:rsidRPr="00111646">
      <w:fldChar w:fldCharType="begin"/>
    </w:r>
    <w:r w:rsidR="001D6A8A" w:rsidRPr="00111646">
      <w:instrText xml:space="preserve"> PAGE   \* MERGEFORMAT </w:instrText>
    </w:r>
    <w:r w:rsidR="001D6A8A" w:rsidRPr="00111646">
      <w:fldChar w:fldCharType="separate"/>
    </w:r>
    <w:r w:rsidR="001D6A8A" w:rsidRPr="00111646">
      <w:t>14</w:t>
    </w:r>
    <w:r w:rsidR="001D6A8A" w:rsidRPr="0011164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21D9" w14:textId="77777777" w:rsidR="001D6A8A" w:rsidRDefault="001D6A8A" w:rsidP="005E0DC1">
    <w:pPr>
      <w:pStyle w:val="FooterOdd"/>
    </w:pPr>
    <w:r w:rsidRPr="00912467">
      <w:t>Page</w:t>
    </w:r>
    <w:r>
      <w:t xml:space="preserve"> </w:t>
    </w:r>
    <w:r>
      <w:fldChar w:fldCharType="begin"/>
    </w:r>
    <w:r>
      <w:instrText xml:space="preserve"> PAGE  \* Arabic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A1C6" w14:textId="77777777" w:rsidR="00B11843" w:rsidRDefault="00B11843">
      <w:r>
        <w:separator/>
      </w:r>
    </w:p>
  </w:footnote>
  <w:footnote w:type="continuationSeparator" w:id="0">
    <w:p w14:paraId="4DD9BC49" w14:textId="77777777" w:rsidR="00B11843" w:rsidRDefault="00B11843">
      <w:r>
        <w:continuationSeparator/>
      </w:r>
    </w:p>
  </w:footnote>
  <w:footnote w:type="continuationNotice" w:id="1">
    <w:p w14:paraId="21D9F24C" w14:textId="77777777" w:rsidR="00B11843" w:rsidRDefault="00B11843">
      <w:pPr>
        <w:spacing w:before="0" w:after="0"/>
      </w:pPr>
    </w:p>
  </w:footnote>
  <w:footnote w:id="2">
    <w:p w14:paraId="3BFBF8CD" w14:textId="2EF51CD6" w:rsidR="002F3E00" w:rsidRPr="00704EE1" w:rsidRDefault="00360869" w:rsidP="00704EE1">
      <w:pPr>
        <w:pStyle w:val="FootnoteText"/>
      </w:pPr>
      <w:r w:rsidRPr="00360869">
        <w:rPr>
          <w:rStyle w:val="FootnoteReference"/>
          <w:sz w:val="18"/>
          <w:szCs w:val="18"/>
          <w:vertAlign w:val="baseline"/>
        </w:rPr>
        <w:footnoteRef/>
      </w:r>
      <w:r w:rsidR="002F3E00" w:rsidRPr="00704EE1">
        <w:t xml:space="preserve"> </w:t>
      </w:r>
      <w:r w:rsidR="002F3E00" w:rsidRPr="00704EE1">
        <w:tab/>
        <w:t xml:space="preserve">The Board had </w:t>
      </w:r>
      <w:r w:rsidR="00EF7205">
        <w:t>ten</w:t>
      </w:r>
      <w:r w:rsidR="002F3E00" w:rsidRPr="00704EE1">
        <w:t xml:space="preserve"> members during the period to</w:t>
      </w:r>
      <w:r w:rsidR="00B45907">
        <w:t xml:space="preserve"> </w:t>
      </w:r>
      <w:r w:rsidR="00E428BA">
        <w:t xml:space="preserve">1 July 2023 to </w:t>
      </w:r>
      <w:r w:rsidR="00B45907">
        <w:t>11 May 202</w:t>
      </w:r>
      <w:r w:rsidR="00E50FAC">
        <w:t>4 when Ms Tanya Titman</w:t>
      </w:r>
      <w:r>
        <w:t>’</w:t>
      </w:r>
      <w:r w:rsidR="00E50FAC">
        <w:t>s term ended.</w:t>
      </w:r>
      <w:r w:rsidR="002F3E00" w:rsidRPr="00704EE1">
        <w:t xml:space="preserve"> Board member numbers reduced to </w:t>
      </w:r>
      <w:r w:rsidR="00EF7205">
        <w:t>nine</w:t>
      </w:r>
      <w:r w:rsidR="002F3E00" w:rsidRPr="00704EE1">
        <w:t xml:space="preserve"> following completion of</w:t>
      </w:r>
      <w:r w:rsidR="00C30468">
        <w:t> </w:t>
      </w:r>
      <w:r w:rsidR="00497576">
        <w:t>Ms Tanya Titman</w:t>
      </w:r>
      <w:r>
        <w:t>’</w:t>
      </w:r>
      <w:r w:rsidR="00497576">
        <w:t>s</w:t>
      </w:r>
      <w:r w:rsidR="002F3E00" w:rsidRPr="00704EE1">
        <w:t xml:space="preserve"> term</w:t>
      </w:r>
      <w:r w:rsidR="00E50FAC">
        <w:t>.</w:t>
      </w:r>
    </w:p>
  </w:footnote>
  <w:footnote w:id="3">
    <w:p w14:paraId="7916F813" w14:textId="5B75D7D2" w:rsidR="003C414B" w:rsidRPr="00E2063F" w:rsidRDefault="00360869" w:rsidP="008B3A1A">
      <w:pPr>
        <w:pStyle w:val="FootnoteText"/>
      </w:pPr>
      <w:r w:rsidRPr="00360869">
        <w:rPr>
          <w:rStyle w:val="FootnoteReference"/>
          <w:sz w:val="18"/>
          <w:szCs w:val="18"/>
          <w:vertAlign w:val="baseline"/>
        </w:rPr>
        <w:footnoteRef/>
      </w:r>
      <w:r w:rsidR="003C414B" w:rsidRPr="008B3A1A">
        <w:rPr>
          <w:rStyle w:val="FootnoteReference"/>
          <w:sz w:val="18"/>
          <w:szCs w:val="18"/>
          <w:vertAlign w:val="baseline"/>
        </w:rPr>
        <w:t xml:space="preserve"> </w:t>
      </w:r>
      <w:r w:rsidR="00E2063F" w:rsidRPr="008B3A1A">
        <w:rPr>
          <w:rStyle w:val="FootnoteReference"/>
          <w:sz w:val="18"/>
          <w:szCs w:val="18"/>
          <w:vertAlign w:val="baseline"/>
        </w:rPr>
        <w:tab/>
        <w:t>Board membership includes current members of the Board as of 30 June 2024 but does not include members whose term</w:t>
      </w:r>
      <w:r>
        <w:rPr>
          <w:rStyle w:val="FootnoteReference"/>
          <w:sz w:val="18"/>
          <w:szCs w:val="18"/>
          <w:vertAlign w:val="baseline"/>
        </w:rPr>
        <w:t>’</w:t>
      </w:r>
      <w:r w:rsidR="00E2063F" w:rsidRPr="008B3A1A">
        <w:rPr>
          <w:rStyle w:val="FootnoteReference"/>
          <w:sz w:val="18"/>
          <w:szCs w:val="18"/>
          <w:vertAlign w:val="baseline"/>
        </w:rPr>
        <w:t>s ended during the reporting period (1 July 2023 – 30 June 2024).</w:t>
      </w:r>
    </w:p>
  </w:footnote>
  <w:footnote w:id="4">
    <w:p w14:paraId="36899A5C" w14:textId="4739556B" w:rsidR="00637159" w:rsidRPr="00C9557B" w:rsidRDefault="00360869" w:rsidP="00637159">
      <w:pPr>
        <w:pStyle w:val="FootnoteText"/>
      </w:pPr>
      <w:r w:rsidRPr="00360869">
        <w:rPr>
          <w:rStyle w:val="FootnoteReference"/>
          <w:sz w:val="18"/>
          <w:szCs w:val="18"/>
          <w:vertAlign w:val="baseline"/>
        </w:rPr>
        <w:footnoteRef/>
      </w:r>
      <w:r w:rsidR="00637159" w:rsidRPr="001463A2">
        <w:rPr>
          <w:rStyle w:val="FootnoteReference"/>
          <w:sz w:val="18"/>
          <w:szCs w:val="18"/>
          <w:vertAlign w:val="baseline"/>
        </w:rPr>
        <w:t xml:space="preserve"> </w:t>
      </w:r>
      <w:r w:rsidR="00637159" w:rsidRPr="001463A2">
        <w:rPr>
          <w:rStyle w:val="FootnoteReference"/>
          <w:sz w:val="18"/>
          <w:szCs w:val="18"/>
          <w:vertAlign w:val="baseline"/>
        </w:rPr>
        <w:tab/>
        <w:t>On 7 December 2023, the Hon Dr Jim Chalmers MP Treasurer announced the appointment of Mr Rob Heferen as the next Commissioner of Taxation. Mr Jordan</w:t>
      </w:r>
      <w:r>
        <w:rPr>
          <w:rStyle w:val="FootnoteReference"/>
          <w:sz w:val="18"/>
          <w:szCs w:val="18"/>
          <w:vertAlign w:val="baseline"/>
        </w:rPr>
        <w:t>’</w:t>
      </w:r>
      <w:r w:rsidR="00637159" w:rsidRPr="001463A2">
        <w:rPr>
          <w:rStyle w:val="FootnoteReference"/>
          <w:sz w:val="18"/>
          <w:szCs w:val="18"/>
          <w:vertAlign w:val="baseline"/>
        </w:rPr>
        <w:t>s term ended on 29 February 2024.</w:t>
      </w:r>
      <w:r w:rsidR="00637159">
        <w:t xml:space="preserve"> </w:t>
      </w:r>
    </w:p>
  </w:footnote>
  <w:footnote w:id="5">
    <w:p w14:paraId="5A5C810D" w14:textId="15030604" w:rsidR="00262E05" w:rsidRDefault="00360869">
      <w:pPr>
        <w:pStyle w:val="FootnoteText"/>
      </w:pPr>
      <w:r w:rsidRPr="00360869">
        <w:rPr>
          <w:rStyle w:val="FootnoteReference"/>
          <w:sz w:val="18"/>
          <w:szCs w:val="18"/>
          <w:vertAlign w:val="baseline"/>
        </w:rPr>
        <w:footnoteRef/>
      </w:r>
      <w:r w:rsidR="00262E05" w:rsidRPr="001463A2">
        <w:rPr>
          <w:rStyle w:val="FootnoteReference"/>
          <w:sz w:val="18"/>
          <w:szCs w:val="18"/>
          <w:vertAlign w:val="baseline"/>
        </w:rPr>
        <w:t xml:space="preserve"> </w:t>
      </w:r>
      <w:r w:rsidR="001463A2">
        <w:rPr>
          <w:rStyle w:val="FootnoteReference"/>
          <w:sz w:val="18"/>
          <w:szCs w:val="18"/>
          <w:vertAlign w:val="baseline"/>
        </w:rPr>
        <w:tab/>
      </w:r>
      <w:r w:rsidR="00262E05" w:rsidRPr="001463A2">
        <w:rPr>
          <w:rStyle w:val="FootnoteReference"/>
          <w:sz w:val="18"/>
          <w:szCs w:val="18"/>
          <w:vertAlign w:val="baseline"/>
        </w:rPr>
        <w:t xml:space="preserve">The Hon Stephen Jones was the Assistant Treasurer </w:t>
      </w:r>
      <w:r w:rsidR="00421333" w:rsidRPr="001463A2">
        <w:rPr>
          <w:rStyle w:val="FootnoteReference"/>
          <w:sz w:val="18"/>
          <w:szCs w:val="18"/>
          <w:vertAlign w:val="baseline"/>
        </w:rPr>
        <w:t xml:space="preserve">as </w:t>
      </w:r>
      <w:r w:rsidR="00104519" w:rsidRPr="001463A2">
        <w:rPr>
          <w:rStyle w:val="FootnoteReference"/>
          <w:sz w:val="18"/>
          <w:szCs w:val="18"/>
          <w:vertAlign w:val="baseline"/>
        </w:rPr>
        <w:t>of</w:t>
      </w:r>
      <w:r w:rsidR="00421333" w:rsidRPr="001463A2">
        <w:rPr>
          <w:rStyle w:val="FootnoteReference"/>
          <w:sz w:val="18"/>
          <w:szCs w:val="18"/>
          <w:vertAlign w:val="baseline"/>
        </w:rPr>
        <w:t xml:space="preserve"> </w:t>
      </w:r>
      <w:r w:rsidR="00262E05" w:rsidRPr="001463A2">
        <w:rPr>
          <w:rStyle w:val="FootnoteReference"/>
          <w:sz w:val="18"/>
          <w:szCs w:val="18"/>
          <w:vertAlign w:val="baseline"/>
        </w:rPr>
        <w:t>30 June 2024.</w:t>
      </w:r>
      <w:r w:rsidR="00262E05">
        <w:t xml:space="preserve"> </w:t>
      </w:r>
    </w:p>
  </w:footnote>
  <w:footnote w:id="6">
    <w:p w14:paraId="15A6B1D8" w14:textId="070D459A" w:rsidR="002F3E00" w:rsidRPr="005B4FC0" w:rsidRDefault="00360869" w:rsidP="005B4FC0">
      <w:pPr>
        <w:pStyle w:val="FootnoteText"/>
      </w:pPr>
      <w:r w:rsidRPr="00360869">
        <w:rPr>
          <w:rStyle w:val="FootnoteReference"/>
          <w:sz w:val="18"/>
          <w:szCs w:val="18"/>
          <w:vertAlign w:val="baseline"/>
        </w:rPr>
        <w:footnoteRef/>
      </w:r>
      <w:r w:rsidR="002F3E00" w:rsidRPr="003E4A03">
        <w:rPr>
          <w:rStyle w:val="FootnoteReference"/>
          <w:sz w:val="18"/>
          <w:szCs w:val="18"/>
          <w:vertAlign w:val="baseline"/>
        </w:rPr>
        <w:t xml:space="preserve"> </w:t>
      </w:r>
      <w:r w:rsidR="005B4FC0" w:rsidRPr="003E4A03">
        <w:rPr>
          <w:rStyle w:val="FootnoteReference"/>
          <w:sz w:val="18"/>
          <w:szCs w:val="18"/>
          <w:vertAlign w:val="baseline"/>
        </w:rPr>
        <w:tab/>
      </w:r>
      <w:r w:rsidR="002F3E00" w:rsidRPr="003E4A03">
        <w:rPr>
          <w:rStyle w:val="FootnoteReference"/>
          <w:sz w:val="18"/>
          <w:szCs w:val="18"/>
          <w:vertAlign w:val="baseline"/>
        </w:rPr>
        <w:t xml:space="preserve">Sounding Board + website: </w:t>
      </w:r>
      <w:hyperlink r:id="rId1" w:history="1">
        <w:r w:rsidR="002F3E00" w:rsidRPr="003E4A03">
          <w:rPr>
            <w:rStyle w:val="Hyperlink"/>
          </w:rPr>
          <w:t>https://taxboard.gov.au/sounding</w:t>
        </w:r>
        <w:r>
          <w:rPr>
            <w:rStyle w:val="Hyperlink"/>
          </w:rPr>
          <w:noBreakHyphen/>
        </w:r>
        <w:r w:rsidR="002F3E00" w:rsidRPr="003E4A03">
          <w:rPr>
            <w:rStyle w:val="Hyperlink"/>
          </w:rPr>
          <w:t>board</w:t>
        </w:r>
        <w:r>
          <w:rPr>
            <w:rStyle w:val="Hyperlink"/>
          </w:rPr>
          <w:noBreakHyphen/>
        </w:r>
        <w:r w:rsidR="002F3E00" w:rsidRPr="003E4A03">
          <w:rPr>
            <w:rStyle w:val="Hyperlink"/>
          </w:rPr>
          <w:t>plus</w:t>
        </w:r>
      </w:hyperlink>
    </w:p>
  </w:footnote>
  <w:footnote w:id="7">
    <w:p w14:paraId="0D7420D2" w14:textId="7BB2DB50" w:rsidR="00990537" w:rsidRPr="0096043B" w:rsidRDefault="00360869" w:rsidP="0096043B">
      <w:pPr>
        <w:pStyle w:val="FootnoteText"/>
      </w:pPr>
      <w:r w:rsidRPr="00360869">
        <w:footnoteRef/>
      </w:r>
      <w:r w:rsidR="0096043B" w:rsidRPr="005B4FC0">
        <w:tab/>
      </w:r>
      <w:r>
        <w:t>‘</w:t>
      </w:r>
      <w:hyperlink r:id="rId2" w:history="1">
        <w:r w:rsidR="00D53EEB" w:rsidRPr="005B4FC0">
          <w:t>Voluntary Tax Transparency Code</w:t>
        </w:r>
      </w:hyperlink>
      <w:r>
        <w:t>‘</w:t>
      </w:r>
      <w:r w:rsidR="009F3B91" w:rsidRPr="0096043B">
        <w:t>, Australian Government data.gov.au (Web Page, online 30 June 202</w:t>
      </w:r>
      <w:r w:rsidR="00B96B8B">
        <w:t>4</w:t>
      </w:r>
      <w:r w:rsidR="009F3B91" w:rsidRPr="0096043B">
        <w:t>)</w:t>
      </w:r>
      <w:r w:rsidR="00A51417" w:rsidRPr="0096043B">
        <w:t>.</w:t>
      </w:r>
    </w:p>
  </w:footnote>
  <w:footnote w:id="8">
    <w:p w14:paraId="01E21918" w14:textId="3970BAF5" w:rsidR="00C4491D" w:rsidRDefault="00360869" w:rsidP="00C4491D">
      <w:pPr>
        <w:pStyle w:val="FootnoteText"/>
      </w:pPr>
      <w:r w:rsidRPr="00360869">
        <w:footnoteRef/>
      </w:r>
      <w:r w:rsidR="00C4491D">
        <w:t xml:space="preserve"> </w:t>
      </w:r>
      <w:r w:rsidR="00420E78">
        <w:tab/>
      </w:r>
      <w:r w:rsidR="00C4491D">
        <w:t xml:space="preserve">The Board did not host Stakeholder events when Board meetings were held virtually.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C272" w14:textId="68A0D4F6" w:rsidR="00D3340C" w:rsidRDefault="00D3340C">
    <w:pPr>
      <w:pStyle w:val="HeaderEven"/>
    </w:pPr>
    <w:r>
      <w:t>Chapter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4802" w14:textId="3B02FE75" w:rsidR="006256BA" w:rsidRDefault="006256BA">
    <w:pPr>
      <w:framePr w:wrap="around" w:hAnchor="page" w:x="14460" w:yAlign="top" w:anchorLock="1"/>
      <w:textDirection w:val="tbRl"/>
      <w:rPr>
        <w:rStyle w:val="FramedHeader"/>
      </w:rPr>
    </w:pPr>
    <w:r>
      <w:rPr>
        <w:rStyle w:val="FramedHeader"/>
      </w:rPr>
      <w:t>Publication Title</w:t>
    </w:r>
  </w:p>
  <w:p w14:paraId="22219198" w14:textId="17162603" w:rsidR="00CD2944" w:rsidRDefault="006256BA" w:rsidP="00411947">
    <w:pPr>
      <w:pStyle w:val="HeaderEven"/>
    </w:pPr>
    <w:r>
      <w:t>Publication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28E1" w14:textId="5FE83EB7" w:rsidR="006256BA" w:rsidRPr="004909C9" w:rsidRDefault="00E256A4" w:rsidP="004B2603">
    <w:pPr>
      <w:pStyle w:val="HeaderOdd"/>
    </w:pPr>
    <w:fldSimple w:instr="STYLEREF  &quot;Cover Title Main&quot;  \* MERGEFORMAT">
      <w:r>
        <w:rPr>
          <w:noProof/>
        </w:rPr>
        <w:t>Annual Report 2023–24</w:t>
      </w:r>
    </w:fldSimple>
  </w:p>
  <w:p w14:paraId="610CF443" w14:textId="77777777" w:rsidR="00CD2944" w:rsidRDefault="00CD29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F996" w14:textId="5DBED52C" w:rsidR="00CD2944" w:rsidRPr="002634E0" w:rsidRDefault="00CD2944" w:rsidP="002634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894E" w14:textId="32DCCD9F" w:rsidR="001D6A8A" w:rsidRDefault="001D6A8A">
    <w:pPr>
      <w:framePr w:wrap="around" w:hAnchor="page" w:x="14460" w:yAlign="top" w:anchorLock="1"/>
      <w:textDirection w:val="tbRl"/>
      <w:rPr>
        <w:rStyle w:val="FramedHeader"/>
      </w:rPr>
    </w:pPr>
    <w:r>
      <w:rPr>
        <w:rStyle w:val="FramedHeader"/>
      </w:rPr>
      <w:t>Publication Title</w:t>
    </w:r>
  </w:p>
  <w:p w14:paraId="78EA1B65" w14:textId="0A29B737" w:rsidR="001D6A8A" w:rsidRPr="005E0DC1" w:rsidRDefault="00E256A4" w:rsidP="0067738D">
    <w:pPr>
      <w:pStyle w:val="HeaderEven"/>
    </w:pPr>
    <w:fldSimple w:instr="STYLEREF  &quot;Cover Title Main&quot;  \* MERGEFORMAT">
      <w:r>
        <w:rPr>
          <w:noProof/>
        </w:rPr>
        <w:t>Annual Report 2023–24</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1DD6" w14:textId="0DFB41DC" w:rsidR="001D6A8A" w:rsidRPr="00411947" w:rsidRDefault="00A77B02" w:rsidP="00A77B02">
    <w:pPr>
      <w:pStyle w:val="HeaderOdd"/>
    </w:pPr>
    <w:r w:rsidRPr="005E0DC1">
      <w:rPr>
        <w:noProof/>
      </w:rPr>
      <w:drawing>
        <wp:anchor distT="0" distB="0" distL="114300" distR="114300" simplePos="0" relativeHeight="251658240" behindDoc="1" locked="1" layoutInCell="1" allowOverlap="1" wp14:anchorId="59A5C749" wp14:editId="47DB1835">
          <wp:simplePos x="904875" y="800100"/>
          <wp:positionH relativeFrom="page">
            <wp:align>center</wp:align>
          </wp:positionH>
          <wp:positionV relativeFrom="page">
            <wp:align>top</wp:align>
          </wp:positionV>
          <wp:extent cx="7559675" cy="1258570"/>
          <wp:effectExtent l="0" t="0" r="3175" b="0"/>
          <wp:wrapNone/>
          <wp:docPr id="992550083" name="Picture 992550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fldSimple w:instr="STYLEREF  &quot;Cover Title Main&quot;  \* MERGEFORMAT">
      <w:r w:rsidR="006E5B4A">
        <w:rPr>
          <w:noProof/>
        </w:rPr>
        <w:t>Annual Report 2023–24</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194" w14:textId="5927448D" w:rsidR="00622D85" w:rsidRPr="002634E0" w:rsidRDefault="00622D85" w:rsidP="0026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68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E3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42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66FB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B0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8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4CD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86F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5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804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BC1"/>
    <w:multiLevelType w:val="hybridMultilevel"/>
    <w:tmpl w:val="381CF09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BA0B92"/>
    <w:multiLevelType w:val="multilevel"/>
    <w:tmpl w:val="F720083A"/>
    <w:lvl w:ilvl="0">
      <w:start w:val="1"/>
      <w:numFmt w:val="decimal"/>
      <w:lvlRestart w:val="0"/>
      <w:suff w:val="nothing"/>
      <w:lvlText w:val="%1"/>
      <w:lvlJc w:val="left"/>
      <w:pPr>
        <w:ind w:left="0" w:firstLine="0"/>
      </w:pPr>
      <w:rPr>
        <w:rFonts w:hint="default"/>
        <w:b w:val="0"/>
        <w:i w:val="0"/>
        <w:color w:val="000000"/>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2" w15:restartNumberingAfterBreak="0">
    <w:nsid w:val="10C21F48"/>
    <w:multiLevelType w:val="singleLevel"/>
    <w:tmpl w:val="F0B87A5C"/>
    <w:name w:val="Case study bullet List"/>
    <w:lvl w:ilvl="0">
      <w:start w:val="1"/>
      <w:numFmt w:val="bullet"/>
      <w:lvlRestart w:val="0"/>
      <w:lvlText w:val="•"/>
      <w:lvlJc w:val="left"/>
      <w:pPr>
        <w:tabs>
          <w:tab w:val="num" w:pos="283"/>
        </w:tabs>
        <w:ind w:left="283" w:hanging="283"/>
      </w:pPr>
      <w:rPr>
        <w:rFonts w:ascii="Book Antiqua" w:hAnsi="Book Antiqua"/>
        <w:b w:val="0"/>
        <w:i w:val="0"/>
        <w:color w:val="000080"/>
        <w:sz w:val="16"/>
      </w:rPr>
    </w:lvl>
  </w:abstractNum>
  <w:abstractNum w:abstractNumId="13" w15:restartNumberingAfterBreak="0">
    <w:nsid w:val="164A4E0E"/>
    <w:multiLevelType w:val="multilevel"/>
    <w:tmpl w:val="6B2272A8"/>
    <w:name w:val="BoTStandardBulletedList"/>
    <w:lvl w:ilvl="0">
      <w:start w:val="1"/>
      <w:numFmt w:val="bullet"/>
      <w:lvlRestart w:val="0"/>
      <w:lvlText w:val="•"/>
      <w:lvlJc w:val="left"/>
      <w:pPr>
        <w:tabs>
          <w:tab w:val="num" w:pos="567"/>
        </w:tabs>
        <w:ind w:left="567" w:hanging="567"/>
      </w:pPr>
      <w:rPr>
        <w:rFonts w:ascii="Times New Roman" w:hAnsi="Times New Roman" w:cs="Times New Roman"/>
        <w:b w:val="0"/>
        <w:i w:val="0"/>
      </w:rPr>
    </w:lvl>
    <w:lvl w:ilvl="1">
      <w:start w:val="1"/>
      <w:numFmt w:val="bullet"/>
      <w:lvlText w:val="–"/>
      <w:lvlJc w:val="left"/>
      <w:pPr>
        <w:tabs>
          <w:tab w:val="num" w:pos="1134"/>
        </w:tabs>
        <w:ind w:left="1134" w:hanging="567"/>
      </w:pPr>
      <w:rPr>
        <w:rFonts w:ascii="Times New Roman" w:hAnsi="Times New Roman" w:cs="Times New Roman"/>
        <w:b w:val="0"/>
        <w:i w:val="0"/>
      </w:rPr>
    </w:lvl>
    <w:lvl w:ilvl="2">
      <w:start w:val="1"/>
      <w:numFmt w:val="bullet"/>
      <w:lvlText w:val=":"/>
      <w:lvlJc w:val="left"/>
      <w:pPr>
        <w:tabs>
          <w:tab w:val="num" w:pos="1701"/>
        </w:tabs>
        <w:ind w:left="1701" w:hanging="567"/>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90E618E"/>
    <w:multiLevelType w:val="hybridMultilevel"/>
    <w:tmpl w:val="BB06588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19C960FD"/>
    <w:multiLevelType w:val="multilevel"/>
    <w:tmpl w:val="0CAC953E"/>
    <w:name w:val="OneLevelNumberedParagraphList"/>
    <w:lvl w:ilvl="0">
      <w:start w:val="1"/>
      <w:numFmt w:val="decimal"/>
      <w:lvlRestart w:val="0"/>
      <w:lvlText w:val="%1."/>
      <w:lvlJc w:val="left"/>
      <w:pPr>
        <w:tabs>
          <w:tab w:val="num" w:pos="567"/>
        </w:tabs>
        <w:ind w:left="567" w:hanging="567"/>
      </w:pPr>
      <w:rPr>
        <w:rFonts w:asciiTheme="minorHAnsi" w:hAnsiTheme="minorHAns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6" w15:restartNumberingAfterBreak="0">
    <w:nsid w:val="1AE751AB"/>
    <w:multiLevelType w:val="multilevel"/>
    <w:tmpl w:val="89E0BCBA"/>
    <w:lvl w:ilvl="0">
      <w:start w:val="1"/>
      <w:numFmt w:val="decimal"/>
      <w:lvlRestart w:val="0"/>
      <w:suff w:val="nothing"/>
      <w:lvlText w:val="Chapter %1"/>
      <w:lvlJc w:val="left"/>
      <w:pPr>
        <w:ind w:left="0" w:firstLine="0"/>
      </w:pPr>
      <w:rPr>
        <w:rFonts w:ascii="Times New Roman" w:hAnsi="Times New Roman" w:cs="Times New Roman" w:hint="default"/>
        <w:b w:val="0"/>
        <w:i w:val="0"/>
        <w:color w:val="000000"/>
      </w:rPr>
    </w:lvl>
    <w:lvl w:ilvl="1">
      <w:start w:val="1"/>
      <w:numFmt w:val="decimal"/>
      <w:lvlText w:val="%1.%2"/>
      <w:lvlJc w:val="left"/>
      <w:pPr>
        <w:tabs>
          <w:tab w:val="num" w:pos="850"/>
        </w:tabs>
        <w:ind w:left="0" w:firstLine="0"/>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7" w15:restartNumberingAfterBreak="0">
    <w:nsid w:val="20FF002D"/>
    <w:multiLevelType w:val="multilevel"/>
    <w:tmpl w:val="721AB7AE"/>
    <w:lvl w:ilvl="0">
      <w:start w:val="1"/>
      <w:numFmt w:val="decimal"/>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851"/>
        </w:tabs>
        <w:ind w:left="1418" w:hanging="851"/>
      </w:pPr>
      <w:rPr>
        <w:rFonts w:hint="default"/>
        <w:b w:val="0"/>
        <w:i w:val="0"/>
        <w:color w:val="000000"/>
      </w:rPr>
    </w:lvl>
    <w:lvl w:ilvl="3">
      <w:start w:val="1"/>
      <w:numFmt w:val="decimal"/>
      <w:lvlText w:val="%1.%2.%3.%4"/>
      <w:lvlJc w:val="left"/>
      <w:pPr>
        <w:tabs>
          <w:tab w:val="num" w:pos="1134"/>
        </w:tabs>
        <w:ind w:left="2552" w:hanging="1134"/>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8" w15:restartNumberingAfterBreak="0">
    <w:nsid w:val="244237C5"/>
    <w:multiLevelType w:val="multilevel"/>
    <w:tmpl w:val="F0BE3518"/>
    <w:name w:val="StandardNumberedList"/>
    <w:lvl w:ilvl="0">
      <w:start w:val="1"/>
      <w:numFmt w:val="decimal"/>
      <w:lvlRestart w:val="0"/>
      <w:pStyle w:val="NumberedList1"/>
      <w:lvlText w:val="%1."/>
      <w:lvlJc w:val="left"/>
      <w:pPr>
        <w:tabs>
          <w:tab w:val="num" w:pos="567"/>
        </w:tabs>
        <w:ind w:left="567" w:hanging="567"/>
      </w:pPr>
      <w:rPr>
        <w:b w:val="0"/>
        <w:i w:val="0"/>
      </w:rPr>
    </w:lvl>
    <w:lvl w:ilvl="1">
      <w:start w:val="1"/>
      <w:numFmt w:val="decimal"/>
      <w:pStyle w:val="NumberedList11"/>
      <w:lvlText w:val="%1.%2."/>
      <w:lvlJc w:val="left"/>
      <w:pPr>
        <w:tabs>
          <w:tab w:val="num" w:pos="1134"/>
        </w:tabs>
        <w:ind w:left="1134" w:hanging="567"/>
      </w:pPr>
      <w:rPr>
        <w:b w:val="0"/>
        <w:i w:val="0"/>
      </w:rPr>
    </w:lvl>
    <w:lvl w:ilvl="2">
      <w:start w:val="1"/>
      <w:numFmt w:val="decimal"/>
      <w:pStyle w:val="NumberedList111"/>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440C8B"/>
    <w:multiLevelType w:val="multilevel"/>
    <w:tmpl w:val="1A2A19BE"/>
    <w:name w:val="NewParagraphList"/>
    <w:lvl w:ilvl="0">
      <w:start w:val="1"/>
      <w:numFmt w:val="decimal"/>
      <w:lvlRestart w:val="0"/>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0" w15:restartNumberingAfterBreak="0">
    <w:nsid w:val="293042B6"/>
    <w:multiLevelType w:val="hybridMultilevel"/>
    <w:tmpl w:val="AF7E10C8"/>
    <w:lvl w:ilvl="0" w:tplc="4286996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665DFA"/>
    <w:multiLevelType w:val="singleLevel"/>
    <w:tmpl w:val="C0868FF0"/>
    <w:name w:val="RecommendationAlphaList"/>
    <w:lvl w:ilvl="0">
      <w:start w:val="1"/>
      <w:numFmt w:val="lowerLetter"/>
      <w:pStyle w:val="AlphaParagraph"/>
      <w:lvlText w:val="(%1)"/>
      <w:lvlJc w:val="left"/>
      <w:pPr>
        <w:ind w:left="360" w:hanging="360"/>
      </w:pPr>
      <w:rPr>
        <w:rFonts w:ascii="Calibri" w:hAnsi="Calibri" w:cs="Times New Roman" w:hint="default"/>
        <w:b w:val="0"/>
        <w:i w:val="0"/>
        <w:color w:val="auto"/>
        <w:sz w:val="22"/>
      </w:rPr>
    </w:lvl>
  </w:abstractNum>
  <w:abstractNum w:abstractNumId="22" w15:restartNumberingAfterBreak="0">
    <w:nsid w:val="3077770F"/>
    <w:multiLevelType w:val="multilevel"/>
    <w:tmpl w:val="71CABCBA"/>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3700C6"/>
    <w:multiLevelType w:val="multilevel"/>
    <w:tmpl w:val="91921BC0"/>
    <w:lvl w:ilvl="0">
      <w:start w:val="1"/>
      <w:numFmt w:val="decimal"/>
      <w:pStyle w:val="NumberedParagraph1"/>
      <w:lvlText w:val="%1"/>
      <w:lvlJc w:val="left"/>
      <w:pPr>
        <w:ind w:left="567" w:hanging="567"/>
      </w:pPr>
      <w:rPr>
        <w:rFonts w:asciiTheme="minorHAnsi" w:hAnsiTheme="minorHAnsi" w:hint="default"/>
        <w:b w:val="0"/>
        <w:i w:val="0"/>
        <w:vanish w:val="0"/>
        <w:sz w:val="22"/>
      </w:rPr>
    </w:lvl>
    <w:lvl w:ilvl="1">
      <w:start w:val="1"/>
      <w:numFmt w:val="decimal"/>
      <w:pStyle w:val="NumberedParagraph11"/>
      <w:lvlText w:val="%1.%2"/>
      <w:lvlJc w:val="left"/>
      <w:pPr>
        <w:ind w:left="567" w:hanging="567"/>
      </w:pPr>
      <w:rPr>
        <w:rFonts w:hint="default"/>
        <w:b w:val="0"/>
        <w:i w:val="0"/>
      </w:rPr>
    </w:lvl>
    <w:lvl w:ilvl="2">
      <w:start w:val="1"/>
      <w:numFmt w:val="decimal"/>
      <w:pStyle w:val="NumberedParagraph111"/>
      <w:lvlText w:val="%1.%2.%3"/>
      <w:lvlJc w:val="left"/>
      <w:pPr>
        <w:ind w:left="567" w:hanging="567"/>
      </w:pPr>
      <w:rPr>
        <w:rFonts w:hint="default"/>
        <w:b w:val="0"/>
        <w:i w:val="0"/>
      </w:rPr>
    </w:lvl>
    <w:lvl w:ilvl="3">
      <w:start w:val="1"/>
      <w:numFmt w:val="lowerLetter"/>
      <w:pStyle w:val="NumberedParagraphalpha"/>
      <w:lvlText w:val="(%4)"/>
      <w:lvlJc w:val="left"/>
      <w:pPr>
        <w:ind w:left="1134" w:hanging="567"/>
      </w:pPr>
      <w:rPr>
        <w:rFonts w:hint="default"/>
        <w:b w:val="0"/>
        <w:i w:val="0"/>
      </w:rPr>
    </w:lvl>
    <w:lvl w:ilvl="4">
      <w:start w:val="1"/>
      <w:numFmt w:val="decimal"/>
      <w:pStyle w:val="NumberedParagraphnumbers"/>
      <w:lvlText w:val="(%5)"/>
      <w:lvlJc w:val="left"/>
      <w:pPr>
        <w:ind w:left="1134" w:hanging="567"/>
      </w:pPr>
      <w:rPr>
        <w:rFonts w:hint="default"/>
        <w:b w:val="0"/>
        <w:i w:val="0"/>
      </w:rPr>
    </w:lvl>
    <w:lvl w:ilvl="5">
      <w:start w:val="1"/>
      <w:numFmt w:val="lowerRoman"/>
      <w:pStyle w:val="NumberedParagraphroman"/>
      <w:lvlText w:val="(%6)"/>
      <w:lvlJc w:val="left"/>
      <w:pPr>
        <w:ind w:left="1134" w:hanging="567"/>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470A060D"/>
    <w:multiLevelType w:val="singleLevel"/>
    <w:tmpl w:val="7DD26AF0"/>
    <w:lvl w:ilvl="0">
      <w:start w:val="1"/>
      <w:numFmt w:val="lowerLetter"/>
      <w:lvlText w:val="(%1)"/>
      <w:lvlJc w:val="left"/>
      <w:pPr>
        <w:ind w:left="360" w:hanging="360"/>
      </w:pPr>
      <w:rPr>
        <w:rFonts w:ascii="Calibri" w:hAnsi="Calibri" w:cs="Times New Roman" w:hint="default"/>
        <w:b w:val="0"/>
        <w:i w:val="0"/>
        <w:color w:val="auto"/>
      </w:rPr>
    </w:lvl>
  </w:abstractNum>
  <w:abstractNum w:abstractNumId="26" w15:restartNumberingAfterBreak="0">
    <w:nsid w:val="4CE06931"/>
    <w:multiLevelType w:val="singleLevel"/>
    <w:tmpl w:val="4BF4570C"/>
    <w:lvl w:ilvl="0">
      <w:start w:val="1"/>
      <w:numFmt w:val="lowerLetter"/>
      <w:pStyle w:val="Notealpha"/>
      <w:lvlText w:val="%1)"/>
      <w:lvlJc w:val="left"/>
      <w:pPr>
        <w:ind w:left="360" w:hanging="360"/>
      </w:pPr>
      <w:rPr>
        <w:rFonts w:hint="default"/>
        <w:b w:val="0"/>
        <w:i w:val="0"/>
        <w:color w:val="000000"/>
        <w:sz w:val="16"/>
      </w:rPr>
    </w:lvl>
  </w:abstractNum>
  <w:abstractNum w:abstractNumId="27" w15:restartNumberingAfterBreak="0">
    <w:nsid w:val="4DCF3A8E"/>
    <w:multiLevelType w:val="singleLevel"/>
    <w:tmpl w:val="00087A28"/>
    <w:name w:val="Roman numeral list"/>
    <w:lvl w:ilvl="0">
      <w:start w:val="1"/>
      <w:numFmt w:val="lowerRoman"/>
      <w:lvlRestart w:val="0"/>
      <w:pStyle w:val="Romannumeral"/>
      <w:lvlText w:val="(%1)"/>
      <w:lvlJc w:val="left"/>
      <w:pPr>
        <w:tabs>
          <w:tab w:val="num" w:pos="1134"/>
        </w:tabs>
        <w:ind w:left="1134" w:hanging="567"/>
      </w:pPr>
      <w:rPr>
        <w:b w:val="0"/>
        <w:i w:val="0"/>
        <w:color w:val="000000"/>
      </w:rPr>
    </w:lvl>
  </w:abstractNum>
  <w:abstractNum w:abstractNumId="28" w15:restartNumberingAfterBreak="0">
    <w:nsid w:val="540D4B0B"/>
    <w:multiLevelType w:val="hybridMultilevel"/>
    <w:tmpl w:val="466C0638"/>
    <w:lvl w:ilvl="0" w:tplc="64348868">
      <w:start w:val="1"/>
      <w:numFmt w:val="bullet"/>
      <w:lvlText w:val="-"/>
      <w:lvlJc w:val="left"/>
      <w:pPr>
        <w:ind w:left="720" w:hanging="360"/>
      </w:pPr>
      <w:rPr>
        <w:rFonts w:ascii="Calibri" w:hAnsi="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101827"/>
    <w:multiLevelType w:val="multilevel"/>
    <w:tmpl w:val="5C8E20D0"/>
    <w:name w:val="BoxBulletedList"/>
    <w:lvl w:ilvl="0">
      <w:start w:val="1"/>
      <w:numFmt w:val="bullet"/>
      <w:pStyle w:val="BoxBullet"/>
      <w:lvlText w:val="•"/>
      <w:lvlJc w:val="left"/>
      <w:pPr>
        <w:ind w:left="284" w:hanging="284"/>
      </w:pPr>
      <w:rPr>
        <w:rFonts w:ascii="Segoe UI" w:hAnsi="Segoe U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xDash"/>
      <w:lvlText w:val="–"/>
      <w:lvlJc w:val="left"/>
      <w:pPr>
        <w:tabs>
          <w:tab w:val="num" w:pos="567"/>
        </w:tabs>
        <w:ind w:left="568" w:hanging="284"/>
      </w:pPr>
      <w:rPr>
        <w:rFonts w:hint="default"/>
        <w:b w:val="0"/>
        <w:i w:val="0"/>
      </w:rPr>
    </w:lvl>
    <w:lvl w:ilvl="2">
      <w:start w:val="1"/>
      <w:numFmt w:val="bullet"/>
      <w:pStyle w:val="BoxDoubleDo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abstractNum w:abstractNumId="30" w15:restartNumberingAfterBreak="0">
    <w:nsid w:val="5C9F0BD3"/>
    <w:multiLevelType w:val="hybridMultilevel"/>
    <w:tmpl w:val="8A8485AE"/>
    <w:lvl w:ilvl="0" w:tplc="95F8DE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15:restartNumberingAfterBreak="0">
    <w:nsid w:val="61A55171"/>
    <w:multiLevelType w:val="hybridMultilevel"/>
    <w:tmpl w:val="39F01B74"/>
    <w:lvl w:ilvl="0" w:tplc="BA3ACEAC">
      <w:start w:val="9"/>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C5361A"/>
    <w:multiLevelType w:val="hybridMultilevel"/>
    <w:tmpl w:val="C6C639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2442AE"/>
    <w:multiLevelType w:val="singleLevel"/>
    <w:tmpl w:val="A87ABB18"/>
    <w:lvl w:ilvl="0">
      <w:start w:val="1"/>
      <w:numFmt w:val="lowerRoman"/>
      <w:lvlRestart w:val="0"/>
      <w:lvlText w:val="(%1)"/>
      <w:lvlJc w:val="left"/>
      <w:pPr>
        <w:tabs>
          <w:tab w:val="num" w:pos="567"/>
        </w:tabs>
        <w:ind w:left="0" w:firstLine="0"/>
      </w:pPr>
      <w:rPr>
        <w:rFonts w:ascii="Times New Roman" w:hAnsi="Times New Roman" w:cs="Times New Roman"/>
        <w:b w:val="0"/>
        <w:i w:val="0"/>
        <w:color w:val="000000"/>
      </w:rPr>
    </w:lvl>
  </w:abstractNum>
  <w:abstractNum w:abstractNumId="35" w15:restartNumberingAfterBreak="0">
    <w:nsid w:val="674D38C9"/>
    <w:multiLevelType w:val="hybridMultilevel"/>
    <w:tmpl w:val="42702D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2E1A9B"/>
    <w:multiLevelType w:val="hybridMultilevel"/>
    <w:tmpl w:val="ABCC5744"/>
    <w:lvl w:ilvl="0" w:tplc="BA3ACEAC">
      <w:start w:val="9"/>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14D08"/>
    <w:multiLevelType w:val="multilevel"/>
    <w:tmpl w:val="60BA2B64"/>
    <w:lvl w:ilvl="0">
      <w:start w:val="1"/>
      <w:numFmt w:val="decimal"/>
      <w:lvlText w:val="%1."/>
      <w:lvlJc w:val="left"/>
      <w:pPr>
        <w:ind w:left="1080" w:hanging="7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E5F0A9B"/>
    <w:multiLevelType w:val="hybridMultilevel"/>
    <w:tmpl w:val="2D64C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9A4EBB"/>
    <w:multiLevelType w:val="hybridMultilevel"/>
    <w:tmpl w:val="8F0C5940"/>
    <w:lvl w:ilvl="0" w:tplc="CEB6C30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2F3D1C"/>
    <w:multiLevelType w:val="hybridMultilevel"/>
    <w:tmpl w:val="0CEC1718"/>
    <w:lvl w:ilvl="0" w:tplc="C1DA5D7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3C6932"/>
    <w:multiLevelType w:val="hybridMultilevel"/>
    <w:tmpl w:val="C7442168"/>
    <w:lvl w:ilvl="0" w:tplc="132A90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5A12A2"/>
    <w:multiLevelType w:val="hybridMultilevel"/>
    <w:tmpl w:val="D5B2C2E6"/>
    <w:lvl w:ilvl="0" w:tplc="4AF02EDA">
      <w:start w:val="1"/>
      <w:numFmt w:val="bullet"/>
      <w:lvlText w:val=":"/>
      <w:lvlJc w:val="left"/>
      <w:pPr>
        <w:ind w:left="720" w:hanging="360"/>
      </w:pPr>
      <w:rPr>
        <w:rFonts w:ascii="Calibri" w:hAnsi="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408905">
    <w:abstractNumId w:val="18"/>
  </w:num>
  <w:num w:numId="2" w16cid:durableId="982851464">
    <w:abstractNumId w:val="21"/>
  </w:num>
  <w:num w:numId="3" w16cid:durableId="1114134390">
    <w:abstractNumId w:val="26"/>
  </w:num>
  <w:num w:numId="4" w16cid:durableId="1722971660">
    <w:abstractNumId w:val="29"/>
  </w:num>
  <w:num w:numId="5" w16cid:durableId="465584620">
    <w:abstractNumId w:val="15"/>
  </w:num>
  <w:num w:numId="6" w16cid:durableId="1988051516">
    <w:abstractNumId w:val="25"/>
  </w:num>
  <w:num w:numId="7" w16cid:durableId="544752425">
    <w:abstractNumId w:val="34"/>
  </w:num>
  <w:num w:numId="8" w16cid:durableId="2021270453">
    <w:abstractNumId w:val="12"/>
  </w:num>
  <w:num w:numId="9" w16cid:durableId="1459106374">
    <w:abstractNumId w:val="11"/>
  </w:num>
  <w:num w:numId="10" w16cid:durableId="1784569137">
    <w:abstractNumId w:val="27"/>
  </w:num>
  <w:num w:numId="11" w16cid:durableId="163060655">
    <w:abstractNumId w:val="31"/>
  </w:num>
  <w:num w:numId="12" w16cid:durableId="1615557831">
    <w:abstractNumId w:val="17"/>
  </w:num>
  <w:num w:numId="13" w16cid:durableId="439109307">
    <w:abstractNumId w:val="39"/>
  </w:num>
  <w:num w:numId="14" w16cid:durableId="1364671709">
    <w:abstractNumId w:val="28"/>
  </w:num>
  <w:num w:numId="15" w16cid:durableId="1842045373">
    <w:abstractNumId w:val="42"/>
  </w:num>
  <w:num w:numId="16" w16cid:durableId="281880946">
    <w:abstractNumId w:val="20"/>
  </w:num>
  <w:num w:numId="17" w16cid:durableId="744259204">
    <w:abstractNumId w:val="24"/>
  </w:num>
  <w:num w:numId="18" w16cid:durableId="1699771984">
    <w:abstractNumId w:val="23"/>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1293096655">
    <w:abstractNumId w:val="23"/>
  </w:num>
  <w:num w:numId="20" w16cid:durableId="866067138">
    <w:abstractNumId w:val="22"/>
  </w:num>
  <w:num w:numId="21" w16cid:durableId="1231381608">
    <w:abstractNumId w:val="9"/>
  </w:num>
  <w:num w:numId="22" w16cid:durableId="1435131293">
    <w:abstractNumId w:val="7"/>
  </w:num>
  <w:num w:numId="23" w16cid:durableId="977760185">
    <w:abstractNumId w:val="6"/>
  </w:num>
  <w:num w:numId="24" w16cid:durableId="1864050206">
    <w:abstractNumId w:val="5"/>
  </w:num>
  <w:num w:numId="25" w16cid:durableId="1043403270">
    <w:abstractNumId w:val="4"/>
  </w:num>
  <w:num w:numId="26" w16cid:durableId="1530412670">
    <w:abstractNumId w:val="8"/>
  </w:num>
  <w:num w:numId="27" w16cid:durableId="1661618011">
    <w:abstractNumId w:val="3"/>
  </w:num>
  <w:num w:numId="28" w16cid:durableId="1373652150">
    <w:abstractNumId w:val="2"/>
  </w:num>
  <w:num w:numId="29" w16cid:durableId="1278172958">
    <w:abstractNumId w:val="1"/>
  </w:num>
  <w:num w:numId="30" w16cid:durableId="1586955393">
    <w:abstractNumId w:val="0"/>
  </w:num>
  <w:num w:numId="31" w16cid:durableId="1932928291">
    <w:abstractNumId w:val="40"/>
  </w:num>
  <w:num w:numId="32" w16cid:durableId="1017536307">
    <w:abstractNumId w:val="37"/>
  </w:num>
  <w:num w:numId="33" w16cid:durableId="1939408527">
    <w:abstractNumId w:val="38"/>
  </w:num>
  <w:num w:numId="34" w16cid:durableId="1866404053">
    <w:abstractNumId w:val="33"/>
  </w:num>
  <w:num w:numId="35" w16cid:durableId="1817987451">
    <w:abstractNumId w:val="16"/>
  </w:num>
  <w:num w:numId="36" w16cid:durableId="1012872994">
    <w:abstractNumId w:val="30"/>
  </w:num>
  <w:num w:numId="37" w16cid:durableId="1460100918">
    <w:abstractNumId w:val="41"/>
  </w:num>
  <w:num w:numId="38" w16cid:durableId="884871667">
    <w:abstractNumId w:val="41"/>
    <w:lvlOverride w:ilvl="0">
      <w:startOverride w:val="1"/>
    </w:lvlOverride>
  </w:num>
  <w:num w:numId="39" w16cid:durableId="983045236">
    <w:abstractNumId w:val="41"/>
    <w:lvlOverride w:ilvl="0">
      <w:startOverride w:val="1"/>
    </w:lvlOverride>
  </w:num>
  <w:num w:numId="40" w16cid:durableId="1632439308">
    <w:abstractNumId w:val="41"/>
    <w:lvlOverride w:ilvl="0">
      <w:startOverride w:val="1"/>
    </w:lvlOverride>
  </w:num>
  <w:num w:numId="41" w16cid:durableId="1308899730">
    <w:abstractNumId w:val="32"/>
  </w:num>
  <w:num w:numId="42" w16cid:durableId="1125270361">
    <w:abstractNumId w:val="36"/>
  </w:num>
  <w:num w:numId="43" w16cid:durableId="1861579957">
    <w:abstractNumId w:val="10"/>
  </w:num>
  <w:num w:numId="44" w16cid:durableId="1422406863">
    <w:abstractNumId w:val="14"/>
  </w:num>
  <w:num w:numId="45" w16cid:durableId="362756310">
    <w:abstractNumId w:val="35"/>
  </w:num>
  <w:num w:numId="46" w16cid:durableId="1271468444">
    <w:abstractNumId w:val="26"/>
    <w:lvlOverride w:ilvl="0">
      <w:startOverride w:val="1"/>
    </w:lvlOverride>
  </w:num>
  <w:num w:numId="47" w16cid:durableId="52001873">
    <w:abstractNumId w:val="2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080C5D"/>
    <w:rsid w:val="00000A47"/>
    <w:rsid w:val="00000CE0"/>
    <w:rsid w:val="000023C4"/>
    <w:rsid w:val="00002D1A"/>
    <w:rsid w:val="000031D5"/>
    <w:rsid w:val="00003A0D"/>
    <w:rsid w:val="000044D0"/>
    <w:rsid w:val="000047FE"/>
    <w:rsid w:val="00005665"/>
    <w:rsid w:val="000058D9"/>
    <w:rsid w:val="000063F1"/>
    <w:rsid w:val="00007A75"/>
    <w:rsid w:val="0001128F"/>
    <w:rsid w:val="00013B1C"/>
    <w:rsid w:val="0001545C"/>
    <w:rsid w:val="00015591"/>
    <w:rsid w:val="0001584B"/>
    <w:rsid w:val="00015CE8"/>
    <w:rsid w:val="00015E36"/>
    <w:rsid w:val="00016AA7"/>
    <w:rsid w:val="00016D41"/>
    <w:rsid w:val="00016E5B"/>
    <w:rsid w:val="0001710C"/>
    <w:rsid w:val="00017E3B"/>
    <w:rsid w:val="000200E9"/>
    <w:rsid w:val="00020AF7"/>
    <w:rsid w:val="00020CBF"/>
    <w:rsid w:val="00020F3E"/>
    <w:rsid w:val="00021043"/>
    <w:rsid w:val="00021D73"/>
    <w:rsid w:val="000221A2"/>
    <w:rsid w:val="00022499"/>
    <w:rsid w:val="000227EE"/>
    <w:rsid w:val="000229E5"/>
    <w:rsid w:val="00022F04"/>
    <w:rsid w:val="000244B0"/>
    <w:rsid w:val="0002472C"/>
    <w:rsid w:val="00024831"/>
    <w:rsid w:val="0002497D"/>
    <w:rsid w:val="00025A90"/>
    <w:rsid w:val="00026A89"/>
    <w:rsid w:val="00026BA2"/>
    <w:rsid w:val="0002750E"/>
    <w:rsid w:val="00027519"/>
    <w:rsid w:val="00027673"/>
    <w:rsid w:val="000277CE"/>
    <w:rsid w:val="00027A47"/>
    <w:rsid w:val="00030196"/>
    <w:rsid w:val="000319C4"/>
    <w:rsid w:val="00031AE8"/>
    <w:rsid w:val="00031D00"/>
    <w:rsid w:val="00031E2B"/>
    <w:rsid w:val="00031E96"/>
    <w:rsid w:val="00033209"/>
    <w:rsid w:val="00033413"/>
    <w:rsid w:val="0003400F"/>
    <w:rsid w:val="00034875"/>
    <w:rsid w:val="000361AA"/>
    <w:rsid w:val="000361B1"/>
    <w:rsid w:val="000362A6"/>
    <w:rsid w:val="00036758"/>
    <w:rsid w:val="00036BA7"/>
    <w:rsid w:val="00036D94"/>
    <w:rsid w:val="000370DC"/>
    <w:rsid w:val="0003731A"/>
    <w:rsid w:val="0003749A"/>
    <w:rsid w:val="0003759C"/>
    <w:rsid w:val="000375CE"/>
    <w:rsid w:val="00037AC8"/>
    <w:rsid w:val="00037B8A"/>
    <w:rsid w:val="00037D61"/>
    <w:rsid w:val="00037F49"/>
    <w:rsid w:val="000400BD"/>
    <w:rsid w:val="0004022E"/>
    <w:rsid w:val="00040693"/>
    <w:rsid w:val="00041252"/>
    <w:rsid w:val="00042890"/>
    <w:rsid w:val="00042B2C"/>
    <w:rsid w:val="0004321C"/>
    <w:rsid w:val="00043AF2"/>
    <w:rsid w:val="00043B0F"/>
    <w:rsid w:val="00043FF7"/>
    <w:rsid w:val="00044314"/>
    <w:rsid w:val="000446C8"/>
    <w:rsid w:val="00044A90"/>
    <w:rsid w:val="0004513B"/>
    <w:rsid w:val="000452FB"/>
    <w:rsid w:val="0004569F"/>
    <w:rsid w:val="00045804"/>
    <w:rsid w:val="00046706"/>
    <w:rsid w:val="00046EC5"/>
    <w:rsid w:val="00046FF4"/>
    <w:rsid w:val="00047CE9"/>
    <w:rsid w:val="00050EC0"/>
    <w:rsid w:val="0005242D"/>
    <w:rsid w:val="00052AC9"/>
    <w:rsid w:val="00053244"/>
    <w:rsid w:val="00053F19"/>
    <w:rsid w:val="0005412B"/>
    <w:rsid w:val="000547A6"/>
    <w:rsid w:val="00054A06"/>
    <w:rsid w:val="00055E02"/>
    <w:rsid w:val="00056B7E"/>
    <w:rsid w:val="0006030C"/>
    <w:rsid w:val="00060A38"/>
    <w:rsid w:val="0006137D"/>
    <w:rsid w:val="000615BA"/>
    <w:rsid w:val="0006166B"/>
    <w:rsid w:val="00061CFF"/>
    <w:rsid w:val="00061D4A"/>
    <w:rsid w:val="00062314"/>
    <w:rsid w:val="000623D5"/>
    <w:rsid w:val="00063D60"/>
    <w:rsid w:val="000644E8"/>
    <w:rsid w:val="000650A2"/>
    <w:rsid w:val="00065363"/>
    <w:rsid w:val="000653E8"/>
    <w:rsid w:val="0006547E"/>
    <w:rsid w:val="000658E4"/>
    <w:rsid w:val="00065E41"/>
    <w:rsid w:val="00065FF9"/>
    <w:rsid w:val="00066CCE"/>
    <w:rsid w:val="00067EED"/>
    <w:rsid w:val="00070228"/>
    <w:rsid w:val="00070563"/>
    <w:rsid w:val="0007098F"/>
    <w:rsid w:val="00070F5B"/>
    <w:rsid w:val="00071BEF"/>
    <w:rsid w:val="000722B0"/>
    <w:rsid w:val="000727D5"/>
    <w:rsid w:val="000729C6"/>
    <w:rsid w:val="00072FDA"/>
    <w:rsid w:val="00073092"/>
    <w:rsid w:val="00073385"/>
    <w:rsid w:val="00073C96"/>
    <w:rsid w:val="000747EA"/>
    <w:rsid w:val="00074B1B"/>
    <w:rsid w:val="00077094"/>
    <w:rsid w:val="0008009E"/>
    <w:rsid w:val="000807C5"/>
    <w:rsid w:val="00080B28"/>
    <w:rsid w:val="00080B69"/>
    <w:rsid w:val="00080C5D"/>
    <w:rsid w:val="00081456"/>
    <w:rsid w:val="000817B2"/>
    <w:rsid w:val="00081AD2"/>
    <w:rsid w:val="00081F97"/>
    <w:rsid w:val="00082250"/>
    <w:rsid w:val="0008243C"/>
    <w:rsid w:val="00082AFE"/>
    <w:rsid w:val="00084C5C"/>
    <w:rsid w:val="0008512F"/>
    <w:rsid w:val="0008548C"/>
    <w:rsid w:val="0008640A"/>
    <w:rsid w:val="000866C8"/>
    <w:rsid w:val="00086DB1"/>
    <w:rsid w:val="00087817"/>
    <w:rsid w:val="00087C70"/>
    <w:rsid w:val="00090DF9"/>
    <w:rsid w:val="00090F8E"/>
    <w:rsid w:val="00091760"/>
    <w:rsid w:val="000919A4"/>
    <w:rsid w:val="00091C2A"/>
    <w:rsid w:val="0009352C"/>
    <w:rsid w:val="00093F1D"/>
    <w:rsid w:val="0009407E"/>
    <w:rsid w:val="0009596D"/>
    <w:rsid w:val="00095DC9"/>
    <w:rsid w:val="000966E1"/>
    <w:rsid w:val="00096B15"/>
    <w:rsid w:val="00096BC6"/>
    <w:rsid w:val="0009723F"/>
    <w:rsid w:val="000976ED"/>
    <w:rsid w:val="000A0916"/>
    <w:rsid w:val="000A18FC"/>
    <w:rsid w:val="000A2831"/>
    <w:rsid w:val="000A2E5B"/>
    <w:rsid w:val="000A33B1"/>
    <w:rsid w:val="000A38C9"/>
    <w:rsid w:val="000A4466"/>
    <w:rsid w:val="000A4471"/>
    <w:rsid w:val="000A448D"/>
    <w:rsid w:val="000A4A85"/>
    <w:rsid w:val="000A4C69"/>
    <w:rsid w:val="000A4CCC"/>
    <w:rsid w:val="000A546A"/>
    <w:rsid w:val="000A63B0"/>
    <w:rsid w:val="000A75E4"/>
    <w:rsid w:val="000A7B19"/>
    <w:rsid w:val="000A7D56"/>
    <w:rsid w:val="000B0836"/>
    <w:rsid w:val="000B14FE"/>
    <w:rsid w:val="000B246A"/>
    <w:rsid w:val="000B2F53"/>
    <w:rsid w:val="000B36A5"/>
    <w:rsid w:val="000B38FC"/>
    <w:rsid w:val="000B424E"/>
    <w:rsid w:val="000B4783"/>
    <w:rsid w:val="000B58B8"/>
    <w:rsid w:val="000B598F"/>
    <w:rsid w:val="000B5A29"/>
    <w:rsid w:val="000B628E"/>
    <w:rsid w:val="000B7B40"/>
    <w:rsid w:val="000B7D35"/>
    <w:rsid w:val="000B7E0B"/>
    <w:rsid w:val="000C181C"/>
    <w:rsid w:val="000C27CD"/>
    <w:rsid w:val="000C2F0B"/>
    <w:rsid w:val="000C2F2A"/>
    <w:rsid w:val="000C3859"/>
    <w:rsid w:val="000C3B3A"/>
    <w:rsid w:val="000C4C0A"/>
    <w:rsid w:val="000C4E06"/>
    <w:rsid w:val="000C51FC"/>
    <w:rsid w:val="000C5C71"/>
    <w:rsid w:val="000C68A0"/>
    <w:rsid w:val="000C6AAD"/>
    <w:rsid w:val="000C7974"/>
    <w:rsid w:val="000C7C7E"/>
    <w:rsid w:val="000D05BA"/>
    <w:rsid w:val="000D0708"/>
    <w:rsid w:val="000D07E0"/>
    <w:rsid w:val="000D18BE"/>
    <w:rsid w:val="000D1FB0"/>
    <w:rsid w:val="000D3929"/>
    <w:rsid w:val="000D5B7B"/>
    <w:rsid w:val="000D61BB"/>
    <w:rsid w:val="000D6A2A"/>
    <w:rsid w:val="000D7D21"/>
    <w:rsid w:val="000E0400"/>
    <w:rsid w:val="000E199E"/>
    <w:rsid w:val="000E2264"/>
    <w:rsid w:val="000E226A"/>
    <w:rsid w:val="000E262D"/>
    <w:rsid w:val="000E273F"/>
    <w:rsid w:val="000E290E"/>
    <w:rsid w:val="000E2F7A"/>
    <w:rsid w:val="000E4562"/>
    <w:rsid w:val="000E4B4C"/>
    <w:rsid w:val="000E599E"/>
    <w:rsid w:val="000E59A8"/>
    <w:rsid w:val="000E5CD9"/>
    <w:rsid w:val="000E624D"/>
    <w:rsid w:val="000E662E"/>
    <w:rsid w:val="000E664E"/>
    <w:rsid w:val="000E66AF"/>
    <w:rsid w:val="000E71FD"/>
    <w:rsid w:val="000E775B"/>
    <w:rsid w:val="000F0594"/>
    <w:rsid w:val="000F0890"/>
    <w:rsid w:val="000F0BB3"/>
    <w:rsid w:val="000F1199"/>
    <w:rsid w:val="000F15E0"/>
    <w:rsid w:val="000F181E"/>
    <w:rsid w:val="000F2F78"/>
    <w:rsid w:val="000F44E1"/>
    <w:rsid w:val="000F4660"/>
    <w:rsid w:val="000F46AD"/>
    <w:rsid w:val="000F4F06"/>
    <w:rsid w:val="000F4F37"/>
    <w:rsid w:val="000F507F"/>
    <w:rsid w:val="000F5093"/>
    <w:rsid w:val="000F50F5"/>
    <w:rsid w:val="000F53D2"/>
    <w:rsid w:val="000F5A3C"/>
    <w:rsid w:val="000F5C28"/>
    <w:rsid w:val="000F5F44"/>
    <w:rsid w:val="000F6896"/>
    <w:rsid w:val="000F6E46"/>
    <w:rsid w:val="001005B9"/>
    <w:rsid w:val="001016BB"/>
    <w:rsid w:val="00101717"/>
    <w:rsid w:val="00101792"/>
    <w:rsid w:val="001028AC"/>
    <w:rsid w:val="001028D8"/>
    <w:rsid w:val="00102D0B"/>
    <w:rsid w:val="00103004"/>
    <w:rsid w:val="0010317B"/>
    <w:rsid w:val="00103B5B"/>
    <w:rsid w:val="00104519"/>
    <w:rsid w:val="001048CD"/>
    <w:rsid w:val="001048F1"/>
    <w:rsid w:val="00105D17"/>
    <w:rsid w:val="00106318"/>
    <w:rsid w:val="001067A0"/>
    <w:rsid w:val="001067C6"/>
    <w:rsid w:val="00106EE8"/>
    <w:rsid w:val="0010706A"/>
    <w:rsid w:val="0010744D"/>
    <w:rsid w:val="0010754B"/>
    <w:rsid w:val="0011010E"/>
    <w:rsid w:val="001105E1"/>
    <w:rsid w:val="0011097F"/>
    <w:rsid w:val="0011105C"/>
    <w:rsid w:val="00111646"/>
    <w:rsid w:val="0011234D"/>
    <w:rsid w:val="0011306B"/>
    <w:rsid w:val="001133A3"/>
    <w:rsid w:val="00114342"/>
    <w:rsid w:val="00114651"/>
    <w:rsid w:val="00116DB4"/>
    <w:rsid w:val="00117011"/>
    <w:rsid w:val="00117388"/>
    <w:rsid w:val="001200E8"/>
    <w:rsid w:val="001200FD"/>
    <w:rsid w:val="00120CE3"/>
    <w:rsid w:val="0012118B"/>
    <w:rsid w:val="00121CCD"/>
    <w:rsid w:val="0012257C"/>
    <w:rsid w:val="00123B78"/>
    <w:rsid w:val="00123D5B"/>
    <w:rsid w:val="00123E1E"/>
    <w:rsid w:val="00124728"/>
    <w:rsid w:val="00124F89"/>
    <w:rsid w:val="001251F3"/>
    <w:rsid w:val="0012587B"/>
    <w:rsid w:val="00125ED1"/>
    <w:rsid w:val="00126D52"/>
    <w:rsid w:val="001270E5"/>
    <w:rsid w:val="0012779A"/>
    <w:rsid w:val="001279A8"/>
    <w:rsid w:val="00130576"/>
    <w:rsid w:val="00130D30"/>
    <w:rsid w:val="00130ECC"/>
    <w:rsid w:val="001325DF"/>
    <w:rsid w:val="001326BB"/>
    <w:rsid w:val="00132936"/>
    <w:rsid w:val="0013296C"/>
    <w:rsid w:val="001330D5"/>
    <w:rsid w:val="0013339C"/>
    <w:rsid w:val="00133538"/>
    <w:rsid w:val="00133626"/>
    <w:rsid w:val="0013389D"/>
    <w:rsid w:val="001338B0"/>
    <w:rsid w:val="00133FD1"/>
    <w:rsid w:val="00134030"/>
    <w:rsid w:val="0013416C"/>
    <w:rsid w:val="001343FA"/>
    <w:rsid w:val="001346CA"/>
    <w:rsid w:val="00134DF2"/>
    <w:rsid w:val="00134FAC"/>
    <w:rsid w:val="0013514E"/>
    <w:rsid w:val="0013542D"/>
    <w:rsid w:val="00135969"/>
    <w:rsid w:val="001360EE"/>
    <w:rsid w:val="00137340"/>
    <w:rsid w:val="0014029E"/>
    <w:rsid w:val="00140BD3"/>
    <w:rsid w:val="001429ED"/>
    <w:rsid w:val="00142A3D"/>
    <w:rsid w:val="00142D4B"/>
    <w:rsid w:val="0014336A"/>
    <w:rsid w:val="00143725"/>
    <w:rsid w:val="001437AF"/>
    <w:rsid w:val="00144494"/>
    <w:rsid w:val="0014453E"/>
    <w:rsid w:val="00144A98"/>
    <w:rsid w:val="00144CCC"/>
    <w:rsid w:val="001450EE"/>
    <w:rsid w:val="001451E2"/>
    <w:rsid w:val="001453D9"/>
    <w:rsid w:val="001453E5"/>
    <w:rsid w:val="00145889"/>
    <w:rsid w:val="00145CE9"/>
    <w:rsid w:val="001463A2"/>
    <w:rsid w:val="001479E1"/>
    <w:rsid w:val="00147D77"/>
    <w:rsid w:val="0015011C"/>
    <w:rsid w:val="001503B8"/>
    <w:rsid w:val="001524F0"/>
    <w:rsid w:val="00152A60"/>
    <w:rsid w:val="00152A80"/>
    <w:rsid w:val="00153DD1"/>
    <w:rsid w:val="00154D49"/>
    <w:rsid w:val="00154DC1"/>
    <w:rsid w:val="001554F0"/>
    <w:rsid w:val="001558FB"/>
    <w:rsid w:val="00155C36"/>
    <w:rsid w:val="00156E34"/>
    <w:rsid w:val="00157690"/>
    <w:rsid w:val="00157776"/>
    <w:rsid w:val="0016065C"/>
    <w:rsid w:val="00160A2C"/>
    <w:rsid w:val="00160ABA"/>
    <w:rsid w:val="001611F4"/>
    <w:rsid w:val="0016197D"/>
    <w:rsid w:val="00161AC8"/>
    <w:rsid w:val="00162D8A"/>
    <w:rsid w:val="001635C5"/>
    <w:rsid w:val="0016368D"/>
    <w:rsid w:val="0016452A"/>
    <w:rsid w:val="00164B39"/>
    <w:rsid w:val="00165037"/>
    <w:rsid w:val="00165E22"/>
    <w:rsid w:val="00165F3F"/>
    <w:rsid w:val="00167061"/>
    <w:rsid w:val="00167068"/>
    <w:rsid w:val="00167A4F"/>
    <w:rsid w:val="001704CB"/>
    <w:rsid w:val="001717F1"/>
    <w:rsid w:val="00171FD7"/>
    <w:rsid w:val="001720DD"/>
    <w:rsid w:val="00172DFF"/>
    <w:rsid w:val="00173814"/>
    <w:rsid w:val="00173C49"/>
    <w:rsid w:val="00173CB5"/>
    <w:rsid w:val="00174E54"/>
    <w:rsid w:val="0017501E"/>
    <w:rsid w:val="00175145"/>
    <w:rsid w:val="0017624F"/>
    <w:rsid w:val="0017747D"/>
    <w:rsid w:val="001775FD"/>
    <w:rsid w:val="00177BA4"/>
    <w:rsid w:val="001807C4"/>
    <w:rsid w:val="00180CD0"/>
    <w:rsid w:val="001814F9"/>
    <w:rsid w:val="0018183E"/>
    <w:rsid w:val="00181886"/>
    <w:rsid w:val="00181D8A"/>
    <w:rsid w:val="00181F12"/>
    <w:rsid w:val="001820C5"/>
    <w:rsid w:val="00182490"/>
    <w:rsid w:val="00182C9D"/>
    <w:rsid w:val="00183998"/>
    <w:rsid w:val="00183BBE"/>
    <w:rsid w:val="00183C89"/>
    <w:rsid w:val="0018426A"/>
    <w:rsid w:val="0018487A"/>
    <w:rsid w:val="001850C5"/>
    <w:rsid w:val="00185789"/>
    <w:rsid w:val="00185CEC"/>
    <w:rsid w:val="00185D61"/>
    <w:rsid w:val="0018603B"/>
    <w:rsid w:val="001862CF"/>
    <w:rsid w:val="00186A9A"/>
    <w:rsid w:val="001905B4"/>
    <w:rsid w:val="00190FE3"/>
    <w:rsid w:val="0019187F"/>
    <w:rsid w:val="00191905"/>
    <w:rsid w:val="0019295D"/>
    <w:rsid w:val="00193885"/>
    <w:rsid w:val="00193F2E"/>
    <w:rsid w:val="0019411F"/>
    <w:rsid w:val="0019439E"/>
    <w:rsid w:val="00194B0B"/>
    <w:rsid w:val="00194C19"/>
    <w:rsid w:val="00194CF6"/>
    <w:rsid w:val="00195193"/>
    <w:rsid w:val="00195D66"/>
    <w:rsid w:val="00196369"/>
    <w:rsid w:val="00196521"/>
    <w:rsid w:val="001966F9"/>
    <w:rsid w:val="00196DD9"/>
    <w:rsid w:val="001975E2"/>
    <w:rsid w:val="00197835"/>
    <w:rsid w:val="001A0215"/>
    <w:rsid w:val="001A10DA"/>
    <w:rsid w:val="001A24D8"/>
    <w:rsid w:val="001A2B44"/>
    <w:rsid w:val="001A37BD"/>
    <w:rsid w:val="001A460E"/>
    <w:rsid w:val="001A4BA2"/>
    <w:rsid w:val="001A55CF"/>
    <w:rsid w:val="001A6659"/>
    <w:rsid w:val="001A6DFA"/>
    <w:rsid w:val="001A798B"/>
    <w:rsid w:val="001A7CBB"/>
    <w:rsid w:val="001A7DDC"/>
    <w:rsid w:val="001A7F00"/>
    <w:rsid w:val="001B0601"/>
    <w:rsid w:val="001B08D8"/>
    <w:rsid w:val="001B09AE"/>
    <w:rsid w:val="001B0BCD"/>
    <w:rsid w:val="001B18F8"/>
    <w:rsid w:val="001B25C9"/>
    <w:rsid w:val="001B2892"/>
    <w:rsid w:val="001B2B5A"/>
    <w:rsid w:val="001B4096"/>
    <w:rsid w:val="001B49A1"/>
    <w:rsid w:val="001B506E"/>
    <w:rsid w:val="001B52BD"/>
    <w:rsid w:val="001B52FD"/>
    <w:rsid w:val="001B67FD"/>
    <w:rsid w:val="001B6B69"/>
    <w:rsid w:val="001B799F"/>
    <w:rsid w:val="001C0227"/>
    <w:rsid w:val="001C029F"/>
    <w:rsid w:val="001C0362"/>
    <w:rsid w:val="001C0BBE"/>
    <w:rsid w:val="001C1167"/>
    <w:rsid w:val="001C12A4"/>
    <w:rsid w:val="001C1321"/>
    <w:rsid w:val="001C329B"/>
    <w:rsid w:val="001C4CB3"/>
    <w:rsid w:val="001C500A"/>
    <w:rsid w:val="001C599C"/>
    <w:rsid w:val="001C5DFD"/>
    <w:rsid w:val="001C5F80"/>
    <w:rsid w:val="001C7841"/>
    <w:rsid w:val="001C7C9C"/>
    <w:rsid w:val="001D0783"/>
    <w:rsid w:val="001D0EAF"/>
    <w:rsid w:val="001D0EF2"/>
    <w:rsid w:val="001D10A0"/>
    <w:rsid w:val="001D18A2"/>
    <w:rsid w:val="001D298C"/>
    <w:rsid w:val="001D2DCF"/>
    <w:rsid w:val="001D3014"/>
    <w:rsid w:val="001D580D"/>
    <w:rsid w:val="001D5A50"/>
    <w:rsid w:val="001D5CCF"/>
    <w:rsid w:val="001D6298"/>
    <w:rsid w:val="001D6A8A"/>
    <w:rsid w:val="001D6D38"/>
    <w:rsid w:val="001D6EBE"/>
    <w:rsid w:val="001D7081"/>
    <w:rsid w:val="001D741E"/>
    <w:rsid w:val="001E01F9"/>
    <w:rsid w:val="001E031C"/>
    <w:rsid w:val="001E053C"/>
    <w:rsid w:val="001E0633"/>
    <w:rsid w:val="001E185E"/>
    <w:rsid w:val="001E19A7"/>
    <w:rsid w:val="001E1BAF"/>
    <w:rsid w:val="001E1E23"/>
    <w:rsid w:val="001E1FEF"/>
    <w:rsid w:val="001E246E"/>
    <w:rsid w:val="001E2AB6"/>
    <w:rsid w:val="001E31CB"/>
    <w:rsid w:val="001E395A"/>
    <w:rsid w:val="001E39BE"/>
    <w:rsid w:val="001E3E0B"/>
    <w:rsid w:val="001E41E6"/>
    <w:rsid w:val="001E4B54"/>
    <w:rsid w:val="001E4C1D"/>
    <w:rsid w:val="001E4D40"/>
    <w:rsid w:val="001E53B4"/>
    <w:rsid w:val="001E685C"/>
    <w:rsid w:val="001E6D10"/>
    <w:rsid w:val="001E6E72"/>
    <w:rsid w:val="001E7019"/>
    <w:rsid w:val="001F0205"/>
    <w:rsid w:val="001F03BF"/>
    <w:rsid w:val="001F054B"/>
    <w:rsid w:val="001F117B"/>
    <w:rsid w:val="001F1EC1"/>
    <w:rsid w:val="001F2FAD"/>
    <w:rsid w:val="001F32DC"/>
    <w:rsid w:val="001F3917"/>
    <w:rsid w:val="001F3E0F"/>
    <w:rsid w:val="001F4B81"/>
    <w:rsid w:val="001F50D7"/>
    <w:rsid w:val="001F55A7"/>
    <w:rsid w:val="001F5EDD"/>
    <w:rsid w:val="001F6098"/>
    <w:rsid w:val="001F6DC6"/>
    <w:rsid w:val="001F782D"/>
    <w:rsid w:val="001F7E21"/>
    <w:rsid w:val="001F7E9C"/>
    <w:rsid w:val="002002EC"/>
    <w:rsid w:val="00202B87"/>
    <w:rsid w:val="002037AE"/>
    <w:rsid w:val="00203D6C"/>
    <w:rsid w:val="002053F7"/>
    <w:rsid w:val="00206297"/>
    <w:rsid w:val="00206BC4"/>
    <w:rsid w:val="00206C41"/>
    <w:rsid w:val="00206DCA"/>
    <w:rsid w:val="002073A7"/>
    <w:rsid w:val="00207AC9"/>
    <w:rsid w:val="0021087E"/>
    <w:rsid w:val="00210D8E"/>
    <w:rsid w:val="00211755"/>
    <w:rsid w:val="00211A90"/>
    <w:rsid w:val="00211C81"/>
    <w:rsid w:val="00211DC0"/>
    <w:rsid w:val="00211E5C"/>
    <w:rsid w:val="00213128"/>
    <w:rsid w:val="002134E8"/>
    <w:rsid w:val="002142A7"/>
    <w:rsid w:val="002142D8"/>
    <w:rsid w:val="00214A3B"/>
    <w:rsid w:val="00216275"/>
    <w:rsid w:val="00216488"/>
    <w:rsid w:val="00216985"/>
    <w:rsid w:val="002177AE"/>
    <w:rsid w:val="00220132"/>
    <w:rsid w:val="00220212"/>
    <w:rsid w:val="00220452"/>
    <w:rsid w:val="0022085C"/>
    <w:rsid w:val="002209BC"/>
    <w:rsid w:val="00220BFA"/>
    <w:rsid w:val="00221BAC"/>
    <w:rsid w:val="00221C13"/>
    <w:rsid w:val="00222162"/>
    <w:rsid w:val="002225B8"/>
    <w:rsid w:val="00222878"/>
    <w:rsid w:val="00222C39"/>
    <w:rsid w:val="0022381B"/>
    <w:rsid w:val="00223DB5"/>
    <w:rsid w:val="0022453E"/>
    <w:rsid w:val="00224D5D"/>
    <w:rsid w:val="00225545"/>
    <w:rsid w:val="00225987"/>
    <w:rsid w:val="002266AA"/>
    <w:rsid w:val="00226A6F"/>
    <w:rsid w:val="002277FA"/>
    <w:rsid w:val="00230FCF"/>
    <w:rsid w:val="00231520"/>
    <w:rsid w:val="00234BB3"/>
    <w:rsid w:val="00235525"/>
    <w:rsid w:val="002357A3"/>
    <w:rsid w:val="00235E36"/>
    <w:rsid w:val="002367C2"/>
    <w:rsid w:val="0023716A"/>
    <w:rsid w:val="0023727B"/>
    <w:rsid w:val="00237479"/>
    <w:rsid w:val="00237EEF"/>
    <w:rsid w:val="002401D6"/>
    <w:rsid w:val="002402B3"/>
    <w:rsid w:val="002406C4"/>
    <w:rsid w:val="00240DA6"/>
    <w:rsid w:val="00240DDE"/>
    <w:rsid w:val="0024114E"/>
    <w:rsid w:val="00241232"/>
    <w:rsid w:val="002413CB"/>
    <w:rsid w:val="0024231A"/>
    <w:rsid w:val="002426E0"/>
    <w:rsid w:val="00242FE8"/>
    <w:rsid w:val="00243396"/>
    <w:rsid w:val="00243761"/>
    <w:rsid w:val="00243AC7"/>
    <w:rsid w:val="002444BA"/>
    <w:rsid w:val="002450B1"/>
    <w:rsid w:val="00246175"/>
    <w:rsid w:val="00246A60"/>
    <w:rsid w:val="00247900"/>
    <w:rsid w:val="00250125"/>
    <w:rsid w:val="00250495"/>
    <w:rsid w:val="002509EC"/>
    <w:rsid w:val="00251526"/>
    <w:rsid w:val="0025173B"/>
    <w:rsid w:val="002519E7"/>
    <w:rsid w:val="00251B24"/>
    <w:rsid w:val="002524EA"/>
    <w:rsid w:val="00252FDC"/>
    <w:rsid w:val="002537D2"/>
    <w:rsid w:val="002538FE"/>
    <w:rsid w:val="00253FD3"/>
    <w:rsid w:val="00254391"/>
    <w:rsid w:val="002543B2"/>
    <w:rsid w:val="00255D68"/>
    <w:rsid w:val="00255E31"/>
    <w:rsid w:val="00255FA9"/>
    <w:rsid w:val="00256158"/>
    <w:rsid w:val="002568B6"/>
    <w:rsid w:val="002576DC"/>
    <w:rsid w:val="00257836"/>
    <w:rsid w:val="00257BB4"/>
    <w:rsid w:val="00257BDE"/>
    <w:rsid w:val="00257D87"/>
    <w:rsid w:val="00257FED"/>
    <w:rsid w:val="00260259"/>
    <w:rsid w:val="00260D92"/>
    <w:rsid w:val="002619DA"/>
    <w:rsid w:val="00261CCF"/>
    <w:rsid w:val="00262E05"/>
    <w:rsid w:val="00262F10"/>
    <w:rsid w:val="002634E0"/>
    <w:rsid w:val="00263B2E"/>
    <w:rsid w:val="00263FBC"/>
    <w:rsid w:val="0026457F"/>
    <w:rsid w:val="00264DC0"/>
    <w:rsid w:val="002655AE"/>
    <w:rsid w:val="0026560D"/>
    <w:rsid w:val="00265701"/>
    <w:rsid w:val="00265FD4"/>
    <w:rsid w:val="002663D4"/>
    <w:rsid w:val="00266742"/>
    <w:rsid w:val="00266840"/>
    <w:rsid w:val="002668BE"/>
    <w:rsid w:val="00267295"/>
    <w:rsid w:val="00267677"/>
    <w:rsid w:val="00267FB0"/>
    <w:rsid w:val="0027017E"/>
    <w:rsid w:val="00270408"/>
    <w:rsid w:val="002706F6"/>
    <w:rsid w:val="002708BE"/>
    <w:rsid w:val="00270BDD"/>
    <w:rsid w:val="00270FB3"/>
    <w:rsid w:val="0027117C"/>
    <w:rsid w:val="002714E5"/>
    <w:rsid w:val="002719B0"/>
    <w:rsid w:val="00272BAD"/>
    <w:rsid w:val="00272C9A"/>
    <w:rsid w:val="00273418"/>
    <w:rsid w:val="00274437"/>
    <w:rsid w:val="00274C3E"/>
    <w:rsid w:val="002752D8"/>
    <w:rsid w:val="00275761"/>
    <w:rsid w:val="00275FC6"/>
    <w:rsid w:val="00275FD0"/>
    <w:rsid w:val="0027704C"/>
    <w:rsid w:val="0027727B"/>
    <w:rsid w:val="0027730C"/>
    <w:rsid w:val="0028049F"/>
    <w:rsid w:val="00281527"/>
    <w:rsid w:val="0028175C"/>
    <w:rsid w:val="002823F1"/>
    <w:rsid w:val="0028252E"/>
    <w:rsid w:val="00284567"/>
    <w:rsid w:val="00284F92"/>
    <w:rsid w:val="002851B1"/>
    <w:rsid w:val="00285B1B"/>
    <w:rsid w:val="0028634E"/>
    <w:rsid w:val="00287773"/>
    <w:rsid w:val="002901D5"/>
    <w:rsid w:val="0029028A"/>
    <w:rsid w:val="00290717"/>
    <w:rsid w:val="00291458"/>
    <w:rsid w:val="00291C1B"/>
    <w:rsid w:val="00292036"/>
    <w:rsid w:val="002920EA"/>
    <w:rsid w:val="00292491"/>
    <w:rsid w:val="002924E0"/>
    <w:rsid w:val="0029290A"/>
    <w:rsid w:val="00292977"/>
    <w:rsid w:val="00292D93"/>
    <w:rsid w:val="002930C3"/>
    <w:rsid w:val="0029313C"/>
    <w:rsid w:val="002932FC"/>
    <w:rsid w:val="00293F25"/>
    <w:rsid w:val="00294B56"/>
    <w:rsid w:val="002959E4"/>
    <w:rsid w:val="0029607D"/>
    <w:rsid w:val="002962B2"/>
    <w:rsid w:val="00296CAE"/>
    <w:rsid w:val="00297A44"/>
    <w:rsid w:val="002A07CB"/>
    <w:rsid w:val="002A15DE"/>
    <w:rsid w:val="002A232E"/>
    <w:rsid w:val="002A2AF8"/>
    <w:rsid w:val="002A31D3"/>
    <w:rsid w:val="002A3575"/>
    <w:rsid w:val="002A37EC"/>
    <w:rsid w:val="002A3994"/>
    <w:rsid w:val="002A3B5C"/>
    <w:rsid w:val="002A4144"/>
    <w:rsid w:val="002A6696"/>
    <w:rsid w:val="002A68E9"/>
    <w:rsid w:val="002A7CB4"/>
    <w:rsid w:val="002B0CE1"/>
    <w:rsid w:val="002B1906"/>
    <w:rsid w:val="002B1A59"/>
    <w:rsid w:val="002B1CC7"/>
    <w:rsid w:val="002B32D6"/>
    <w:rsid w:val="002B349D"/>
    <w:rsid w:val="002B36A8"/>
    <w:rsid w:val="002B3AE0"/>
    <w:rsid w:val="002B3D82"/>
    <w:rsid w:val="002B41DF"/>
    <w:rsid w:val="002B47B8"/>
    <w:rsid w:val="002B51A3"/>
    <w:rsid w:val="002B5BF5"/>
    <w:rsid w:val="002B5C1A"/>
    <w:rsid w:val="002B5D26"/>
    <w:rsid w:val="002B6AB3"/>
    <w:rsid w:val="002B77BB"/>
    <w:rsid w:val="002C1134"/>
    <w:rsid w:val="002C141A"/>
    <w:rsid w:val="002C18EB"/>
    <w:rsid w:val="002C2BB6"/>
    <w:rsid w:val="002C35FB"/>
    <w:rsid w:val="002C369E"/>
    <w:rsid w:val="002C36DC"/>
    <w:rsid w:val="002C3B14"/>
    <w:rsid w:val="002C433D"/>
    <w:rsid w:val="002C4861"/>
    <w:rsid w:val="002C5149"/>
    <w:rsid w:val="002C59AC"/>
    <w:rsid w:val="002C5B56"/>
    <w:rsid w:val="002C6659"/>
    <w:rsid w:val="002C76F0"/>
    <w:rsid w:val="002C7FEA"/>
    <w:rsid w:val="002D02B0"/>
    <w:rsid w:val="002D09D3"/>
    <w:rsid w:val="002D2B46"/>
    <w:rsid w:val="002D308F"/>
    <w:rsid w:val="002D33B2"/>
    <w:rsid w:val="002D3453"/>
    <w:rsid w:val="002D36AF"/>
    <w:rsid w:val="002D49E3"/>
    <w:rsid w:val="002D4C0C"/>
    <w:rsid w:val="002D4FB2"/>
    <w:rsid w:val="002D5122"/>
    <w:rsid w:val="002D5DFC"/>
    <w:rsid w:val="002D6003"/>
    <w:rsid w:val="002D63A5"/>
    <w:rsid w:val="002D6A2C"/>
    <w:rsid w:val="002D6B07"/>
    <w:rsid w:val="002E0874"/>
    <w:rsid w:val="002E0D9E"/>
    <w:rsid w:val="002E1390"/>
    <w:rsid w:val="002E22F9"/>
    <w:rsid w:val="002E2EEE"/>
    <w:rsid w:val="002E3079"/>
    <w:rsid w:val="002E39A8"/>
    <w:rsid w:val="002E3A9B"/>
    <w:rsid w:val="002E3CD1"/>
    <w:rsid w:val="002E3CF8"/>
    <w:rsid w:val="002E4E69"/>
    <w:rsid w:val="002E4EE0"/>
    <w:rsid w:val="002E6458"/>
    <w:rsid w:val="002E752A"/>
    <w:rsid w:val="002E7809"/>
    <w:rsid w:val="002F11F9"/>
    <w:rsid w:val="002F1557"/>
    <w:rsid w:val="002F20BB"/>
    <w:rsid w:val="002F2289"/>
    <w:rsid w:val="002F27A2"/>
    <w:rsid w:val="002F28EE"/>
    <w:rsid w:val="002F2E1B"/>
    <w:rsid w:val="002F30EC"/>
    <w:rsid w:val="002F36E2"/>
    <w:rsid w:val="002F3851"/>
    <w:rsid w:val="002F38A8"/>
    <w:rsid w:val="002F3E00"/>
    <w:rsid w:val="002F47CF"/>
    <w:rsid w:val="002F4A51"/>
    <w:rsid w:val="002F5712"/>
    <w:rsid w:val="002F5C2B"/>
    <w:rsid w:val="002F5D0E"/>
    <w:rsid w:val="002F6A21"/>
    <w:rsid w:val="002F6B3B"/>
    <w:rsid w:val="002F706C"/>
    <w:rsid w:val="003001C5"/>
    <w:rsid w:val="0030119E"/>
    <w:rsid w:val="00301335"/>
    <w:rsid w:val="003016AD"/>
    <w:rsid w:val="00301C3F"/>
    <w:rsid w:val="00302391"/>
    <w:rsid w:val="003039D1"/>
    <w:rsid w:val="00303EC6"/>
    <w:rsid w:val="003049B4"/>
    <w:rsid w:val="00305FCE"/>
    <w:rsid w:val="003067B2"/>
    <w:rsid w:val="003067D7"/>
    <w:rsid w:val="0030680A"/>
    <w:rsid w:val="00307613"/>
    <w:rsid w:val="00307C08"/>
    <w:rsid w:val="00310139"/>
    <w:rsid w:val="003101F6"/>
    <w:rsid w:val="00310D27"/>
    <w:rsid w:val="003110F1"/>
    <w:rsid w:val="003115A3"/>
    <w:rsid w:val="00311726"/>
    <w:rsid w:val="00311C67"/>
    <w:rsid w:val="00311D33"/>
    <w:rsid w:val="00311EF0"/>
    <w:rsid w:val="0031220C"/>
    <w:rsid w:val="00312963"/>
    <w:rsid w:val="00312C65"/>
    <w:rsid w:val="00312E7F"/>
    <w:rsid w:val="0031398D"/>
    <w:rsid w:val="003139D7"/>
    <w:rsid w:val="00313BB5"/>
    <w:rsid w:val="003148D0"/>
    <w:rsid w:val="00314E8E"/>
    <w:rsid w:val="00314EBF"/>
    <w:rsid w:val="00315AA5"/>
    <w:rsid w:val="003162F5"/>
    <w:rsid w:val="00316528"/>
    <w:rsid w:val="00316C48"/>
    <w:rsid w:val="003175C2"/>
    <w:rsid w:val="00320307"/>
    <w:rsid w:val="00320330"/>
    <w:rsid w:val="00321086"/>
    <w:rsid w:val="00321093"/>
    <w:rsid w:val="003211F8"/>
    <w:rsid w:val="0032297C"/>
    <w:rsid w:val="0032350C"/>
    <w:rsid w:val="003247A2"/>
    <w:rsid w:val="00324CDB"/>
    <w:rsid w:val="003254B4"/>
    <w:rsid w:val="00325656"/>
    <w:rsid w:val="003259C2"/>
    <w:rsid w:val="00325D65"/>
    <w:rsid w:val="00326C00"/>
    <w:rsid w:val="00327181"/>
    <w:rsid w:val="0032780B"/>
    <w:rsid w:val="00327C3D"/>
    <w:rsid w:val="0033155B"/>
    <w:rsid w:val="00332116"/>
    <w:rsid w:val="00333B8F"/>
    <w:rsid w:val="003352C9"/>
    <w:rsid w:val="00335DFF"/>
    <w:rsid w:val="00336FA8"/>
    <w:rsid w:val="00337888"/>
    <w:rsid w:val="0033796D"/>
    <w:rsid w:val="00337AF3"/>
    <w:rsid w:val="00337C75"/>
    <w:rsid w:val="00337EE9"/>
    <w:rsid w:val="00340A3A"/>
    <w:rsid w:val="00340D52"/>
    <w:rsid w:val="00340FB9"/>
    <w:rsid w:val="00341030"/>
    <w:rsid w:val="003433F1"/>
    <w:rsid w:val="00343840"/>
    <w:rsid w:val="003439F8"/>
    <w:rsid w:val="00343FE0"/>
    <w:rsid w:val="00344AE7"/>
    <w:rsid w:val="003475EA"/>
    <w:rsid w:val="00350455"/>
    <w:rsid w:val="003505E0"/>
    <w:rsid w:val="00350A50"/>
    <w:rsid w:val="00350C2D"/>
    <w:rsid w:val="00351639"/>
    <w:rsid w:val="00351F12"/>
    <w:rsid w:val="00352F50"/>
    <w:rsid w:val="00352F78"/>
    <w:rsid w:val="00352F87"/>
    <w:rsid w:val="00353359"/>
    <w:rsid w:val="003544A4"/>
    <w:rsid w:val="00354E2C"/>
    <w:rsid w:val="00354FA1"/>
    <w:rsid w:val="003553F1"/>
    <w:rsid w:val="0035559F"/>
    <w:rsid w:val="00355B8C"/>
    <w:rsid w:val="00355C5F"/>
    <w:rsid w:val="00355C76"/>
    <w:rsid w:val="00355FE9"/>
    <w:rsid w:val="003565A0"/>
    <w:rsid w:val="00356A2B"/>
    <w:rsid w:val="00356AF7"/>
    <w:rsid w:val="003571EA"/>
    <w:rsid w:val="00357609"/>
    <w:rsid w:val="00357C92"/>
    <w:rsid w:val="00360869"/>
    <w:rsid w:val="00360E1B"/>
    <w:rsid w:val="00360F5E"/>
    <w:rsid w:val="0036155C"/>
    <w:rsid w:val="003621B5"/>
    <w:rsid w:val="00362925"/>
    <w:rsid w:val="00362D00"/>
    <w:rsid w:val="0036337B"/>
    <w:rsid w:val="003647A0"/>
    <w:rsid w:val="00364A52"/>
    <w:rsid w:val="00364DC6"/>
    <w:rsid w:val="003657EB"/>
    <w:rsid w:val="0036616A"/>
    <w:rsid w:val="00366E59"/>
    <w:rsid w:val="003670ED"/>
    <w:rsid w:val="0037058F"/>
    <w:rsid w:val="00370927"/>
    <w:rsid w:val="00370E1B"/>
    <w:rsid w:val="00370E5C"/>
    <w:rsid w:val="0037181A"/>
    <w:rsid w:val="00372291"/>
    <w:rsid w:val="00373F29"/>
    <w:rsid w:val="003740E6"/>
    <w:rsid w:val="00374C16"/>
    <w:rsid w:val="00374D4E"/>
    <w:rsid w:val="003754E1"/>
    <w:rsid w:val="00375BAF"/>
    <w:rsid w:val="00375C85"/>
    <w:rsid w:val="00376018"/>
    <w:rsid w:val="00376458"/>
    <w:rsid w:val="00376470"/>
    <w:rsid w:val="003765AD"/>
    <w:rsid w:val="0037768F"/>
    <w:rsid w:val="00377D8C"/>
    <w:rsid w:val="00377DA0"/>
    <w:rsid w:val="00377FBD"/>
    <w:rsid w:val="00380024"/>
    <w:rsid w:val="003801EF"/>
    <w:rsid w:val="00380243"/>
    <w:rsid w:val="00380938"/>
    <w:rsid w:val="00381043"/>
    <w:rsid w:val="0038161A"/>
    <w:rsid w:val="003818A6"/>
    <w:rsid w:val="00381D18"/>
    <w:rsid w:val="0038224D"/>
    <w:rsid w:val="003827E3"/>
    <w:rsid w:val="00382FDD"/>
    <w:rsid w:val="00383F38"/>
    <w:rsid w:val="00385635"/>
    <w:rsid w:val="003859B7"/>
    <w:rsid w:val="00385A4D"/>
    <w:rsid w:val="00385CBA"/>
    <w:rsid w:val="0038653E"/>
    <w:rsid w:val="003870DF"/>
    <w:rsid w:val="003873DD"/>
    <w:rsid w:val="00387F5F"/>
    <w:rsid w:val="00391184"/>
    <w:rsid w:val="00392CC9"/>
    <w:rsid w:val="00393308"/>
    <w:rsid w:val="0039330E"/>
    <w:rsid w:val="0039392E"/>
    <w:rsid w:val="00393D14"/>
    <w:rsid w:val="00394831"/>
    <w:rsid w:val="00394AFD"/>
    <w:rsid w:val="00397547"/>
    <w:rsid w:val="00397BFA"/>
    <w:rsid w:val="003A0375"/>
    <w:rsid w:val="003A05AB"/>
    <w:rsid w:val="003A1182"/>
    <w:rsid w:val="003A1877"/>
    <w:rsid w:val="003A1A57"/>
    <w:rsid w:val="003A2984"/>
    <w:rsid w:val="003A31B5"/>
    <w:rsid w:val="003A3C1F"/>
    <w:rsid w:val="003A3F3C"/>
    <w:rsid w:val="003A42D0"/>
    <w:rsid w:val="003A469D"/>
    <w:rsid w:val="003A4875"/>
    <w:rsid w:val="003A4968"/>
    <w:rsid w:val="003A5201"/>
    <w:rsid w:val="003A58CB"/>
    <w:rsid w:val="003A5C02"/>
    <w:rsid w:val="003A634D"/>
    <w:rsid w:val="003A7308"/>
    <w:rsid w:val="003A753A"/>
    <w:rsid w:val="003A755A"/>
    <w:rsid w:val="003A761F"/>
    <w:rsid w:val="003B026A"/>
    <w:rsid w:val="003B0C45"/>
    <w:rsid w:val="003B0D7A"/>
    <w:rsid w:val="003B0E9E"/>
    <w:rsid w:val="003B1554"/>
    <w:rsid w:val="003B1AA5"/>
    <w:rsid w:val="003B266C"/>
    <w:rsid w:val="003B2C3F"/>
    <w:rsid w:val="003B2C5A"/>
    <w:rsid w:val="003B3F7A"/>
    <w:rsid w:val="003B4317"/>
    <w:rsid w:val="003B483B"/>
    <w:rsid w:val="003B483C"/>
    <w:rsid w:val="003B4936"/>
    <w:rsid w:val="003B5F08"/>
    <w:rsid w:val="003B6222"/>
    <w:rsid w:val="003B786C"/>
    <w:rsid w:val="003C038E"/>
    <w:rsid w:val="003C0AF2"/>
    <w:rsid w:val="003C2CCD"/>
    <w:rsid w:val="003C33F9"/>
    <w:rsid w:val="003C3AA5"/>
    <w:rsid w:val="003C414B"/>
    <w:rsid w:val="003C6861"/>
    <w:rsid w:val="003C68F6"/>
    <w:rsid w:val="003C6915"/>
    <w:rsid w:val="003C693A"/>
    <w:rsid w:val="003C75FA"/>
    <w:rsid w:val="003D01F2"/>
    <w:rsid w:val="003D071A"/>
    <w:rsid w:val="003D2A23"/>
    <w:rsid w:val="003D3595"/>
    <w:rsid w:val="003D3FC2"/>
    <w:rsid w:val="003D50E1"/>
    <w:rsid w:val="003D57A6"/>
    <w:rsid w:val="003D58CD"/>
    <w:rsid w:val="003D5E59"/>
    <w:rsid w:val="003D61CD"/>
    <w:rsid w:val="003D65C3"/>
    <w:rsid w:val="003D7A65"/>
    <w:rsid w:val="003E0318"/>
    <w:rsid w:val="003E067A"/>
    <w:rsid w:val="003E0FBA"/>
    <w:rsid w:val="003E1638"/>
    <w:rsid w:val="003E19A9"/>
    <w:rsid w:val="003E1E97"/>
    <w:rsid w:val="003E22F9"/>
    <w:rsid w:val="003E2BEF"/>
    <w:rsid w:val="003E3A05"/>
    <w:rsid w:val="003E3BD2"/>
    <w:rsid w:val="003E3E70"/>
    <w:rsid w:val="003E4A03"/>
    <w:rsid w:val="003E4FC4"/>
    <w:rsid w:val="003E570E"/>
    <w:rsid w:val="003E5C14"/>
    <w:rsid w:val="003E63A8"/>
    <w:rsid w:val="003E657F"/>
    <w:rsid w:val="003E68C7"/>
    <w:rsid w:val="003E6C63"/>
    <w:rsid w:val="003E707E"/>
    <w:rsid w:val="003E73B9"/>
    <w:rsid w:val="003E7E1E"/>
    <w:rsid w:val="003F0766"/>
    <w:rsid w:val="003F1A5B"/>
    <w:rsid w:val="003F1BA0"/>
    <w:rsid w:val="003F1D68"/>
    <w:rsid w:val="003F20B1"/>
    <w:rsid w:val="003F2268"/>
    <w:rsid w:val="003F2C30"/>
    <w:rsid w:val="003F530F"/>
    <w:rsid w:val="003F54F6"/>
    <w:rsid w:val="003F575E"/>
    <w:rsid w:val="003F5D73"/>
    <w:rsid w:val="003F5E0A"/>
    <w:rsid w:val="003F62B6"/>
    <w:rsid w:val="003F76AC"/>
    <w:rsid w:val="0040031C"/>
    <w:rsid w:val="00400A84"/>
    <w:rsid w:val="00402242"/>
    <w:rsid w:val="00407341"/>
    <w:rsid w:val="00410390"/>
    <w:rsid w:val="0041073D"/>
    <w:rsid w:val="00410812"/>
    <w:rsid w:val="004114C2"/>
    <w:rsid w:val="00411947"/>
    <w:rsid w:val="004121E8"/>
    <w:rsid w:val="004127CC"/>
    <w:rsid w:val="004129DB"/>
    <w:rsid w:val="004129F8"/>
    <w:rsid w:val="00412C86"/>
    <w:rsid w:val="0041363E"/>
    <w:rsid w:val="0041373D"/>
    <w:rsid w:val="00414BD5"/>
    <w:rsid w:val="00414D36"/>
    <w:rsid w:val="00416251"/>
    <w:rsid w:val="004165F3"/>
    <w:rsid w:val="00416FBD"/>
    <w:rsid w:val="00417C25"/>
    <w:rsid w:val="00417D2A"/>
    <w:rsid w:val="00420768"/>
    <w:rsid w:val="00420E78"/>
    <w:rsid w:val="004210C1"/>
    <w:rsid w:val="00421333"/>
    <w:rsid w:val="004228D3"/>
    <w:rsid w:val="00422DDB"/>
    <w:rsid w:val="004231B4"/>
    <w:rsid w:val="0042335A"/>
    <w:rsid w:val="0042356D"/>
    <w:rsid w:val="00424096"/>
    <w:rsid w:val="00424679"/>
    <w:rsid w:val="00424A26"/>
    <w:rsid w:val="00424AD1"/>
    <w:rsid w:val="00425786"/>
    <w:rsid w:val="00425C90"/>
    <w:rsid w:val="004263E8"/>
    <w:rsid w:val="00426E61"/>
    <w:rsid w:val="004272DA"/>
    <w:rsid w:val="00427E68"/>
    <w:rsid w:val="004300F3"/>
    <w:rsid w:val="004304A5"/>
    <w:rsid w:val="004306D0"/>
    <w:rsid w:val="00430B55"/>
    <w:rsid w:val="00430BF7"/>
    <w:rsid w:val="00430D51"/>
    <w:rsid w:val="004313E4"/>
    <w:rsid w:val="00432060"/>
    <w:rsid w:val="00432149"/>
    <w:rsid w:val="0043262A"/>
    <w:rsid w:val="00433329"/>
    <w:rsid w:val="0043518D"/>
    <w:rsid w:val="00435423"/>
    <w:rsid w:val="00436219"/>
    <w:rsid w:val="00436C9E"/>
    <w:rsid w:val="00436F1E"/>
    <w:rsid w:val="0043713D"/>
    <w:rsid w:val="004374EB"/>
    <w:rsid w:val="00437706"/>
    <w:rsid w:val="00442628"/>
    <w:rsid w:val="00442745"/>
    <w:rsid w:val="0044327D"/>
    <w:rsid w:val="00443657"/>
    <w:rsid w:val="00443D84"/>
    <w:rsid w:val="00444728"/>
    <w:rsid w:val="00444B94"/>
    <w:rsid w:val="004455F1"/>
    <w:rsid w:val="00445A12"/>
    <w:rsid w:val="00446783"/>
    <w:rsid w:val="004505E1"/>
    <w:rsid w:val="004509B8"/>
    <w:rsid w:val="00450AD2"/>
    <w:rsid w:val="0045111C"/>
    <w:rsid w:val="0045192A"/>
    <w:rsid w:val="00451B92"/>
    <w:rsid w:val="0045200E"/>
    <w:rsid w:val="004520AB"/>
    <w:rsid w:val="00452698"/>
    <w:rsid w:val="0045387A"/>
    <w:rsid w:val="00453C0B"/>
    <w:rsid w:val="00454A4C"/>
    <w:rsid w:val="00455E44"/>
    <w:rsid w:val="00456DC8"/>
    <w:rsid w:val="00457853"/>
    <w:rsid w:val="00457BCB"/>
    <w:rsid w:val="00460190"/>
    <w:rsid w:val="00460BD8"/>
    <w:rsid w:val="004615F0"/>
    <w:rsid w:val="004624EA"/>
    <w:rsid w:val="00462939"/>
    <w:rsid w:val="004632A2"/>
    <w:rsid w:val="00464D61"/>
    <w:rsid w:val="00465125"/>
    <w:rsid w:val="00465426"/>
    <w:rsid w:val="00465C81"/>
    <w:rsid w:val="00466A66"/>
    <w:rsid w:val="00466C67"/>
    <w:rsid w:val="00466DEF"/>
    <w:rsid w:val="00466E9B"/>
    <w:rsid w:val="00466F72"/>
    <w:rsid w:val="0046750D"/>
    <w:rsid w:val="004702FB"/>
    <w:rsid w:val="004713E8"/>
    <w:rsid w:val="004718F6"/>
    <w:rsid w:val="004722D0"/>
    <w:rsid w:val="00472B7B"/>
    <w:rsid w:val="0047484E"/>
    <w:rsid w:val="00476DA7"/>
    <w:rsid w:val="004771E8"/>
    <w:rsid w:val="00477DDE"/>
    <w:rsid w:val="00477FAB"/>
    <w:rsid w:val="0048093F"/>
    <w:rsid w:val="004813EE"/>
    <w:rsid w:val="00481B33"/>
    <w:rsid w:val="004821D1"/>
    <w:rsid w:val="00482A43"/>
    <w:rsid w:val="004832A8"/>
    <w:rsid w:val="00483578"/>
    <w:rsid w:val="00483B2B"/>
    <w:rsid w:val="00484C6A"/>
    <w:rsid w:val="00484CAA"/>
    <w:rsid w:val="004854A5"/>
    <w:rsid w:val="0048656D"/>
    <w:rsid w:val="00486666"/>
    <w:rsid w:val="00490302"/>
    <w:rsid w:val="00490623"/>
    <w:rsid w:val="00490652"/>
    <w:rsid w:val="004909C9"/>
    <w:rsid w:val="00491AD4"/>
    <w:rsid w:val="00492042"/>
    <w:rsid w:val="00492F32"/>
    <w:rsid w:val="00493508"/>
    <w:rsid w:val="00493751"/>
    <w:rsid w:val="004942B9"/>
    <w:rsid w:val="004955A7"/>
    <w:rsid w:val="00495640"/>
    <w:rsid w:val="00495AE7"/>
    <w:rsid w:val="00495EE7"/>
    <w:rsid w:val="00495F43"/>
    <w:rsid w:val="00496050"/>
    <w:rsid w:val="00496502"/>
    <w:rsid w:val="00496F26"/>
    <w:rsid w:val="004973F2"/>
    <w:rsid w:val="00497576"/>
    <w:rsid w:val="004977A5"/>
    <w:rsid w:val="004A0756"/>
    <w:rsid w:val="004A07F8"/>
    <w:rsid w:val="004A0B5C"/>
    <w:rsid w:val="004A213D"/>
    <w:rsid w:val="004A22C8"/>
    <w:rsid w:val="004A34C9"/>
    <w:rsid w:val="004A35C8"/>
    <w:rsid w:val="004A3620"/>
    <w:rsid w:val="004A4EF9"/>
    <w:rsid w:val="004A50A4"/>
    <w:rsid w:val="004A5D34"/>
    <w:rsid w:val="004A5D88"/>
    <w:rsid w:val="004A6012"/>
    <w:rsid w:val="004A66BE"/>
    <w:rsid w:val="004A71C3"/>
    <w:rsid w:val="004B02EF"/>
    <w:rsid w:val="004B0A86"/>
    <w:rsid w:val="004B0E35"/>
    <w:rsid w:val="004B1E60"/>
    <w:rsid w:val="004B23FA"/>
    <w:rsid w:val="004B2603"/>
    <w:rsid w:val="004B2B6A"/>
    <w:rsid w:val="004B2D21"/>
    <w:rsid w:val="004B2E12"/>
    <w:rsid w:val="004B2F9A"/>
    <w:rsid w:val="004B374F"/>
    <w:rsid w:val="004B3899"/>
    <w:rsid w:val="004B3E56"/>
    <w:rsid w:val="004B3FCB"/>
    <w:rsid w:val="004B42C7"/>
    <w:rsid w:val="004B4B1A"/>
    <w:rsid w:val="004B61C6"/>
    <w:rsid w:val="004B68A2"/>
    <w:rsid w:val="004B6F89"/>
    <w:rsid w:val="004C0BEC"/>
    <w:rsid w:val="004C1BCF"/>
    <w:rsid w:val="004C1C10"/>
    <w:rsid w:val="004C28D0"/>
    <w:rsid w:val="004C2DE1"/>
    <w:rsid w:val="004C2E2B"/>
    <w:rsid w:val="004C3189"/>
    <w:rsid w:val="004C37E8"/>
    <w:rsid w:val="004C381B"/>
    <w:rsid w:val="004C386D"/>
    <w:rsid w:val="004C4363"/>
    <w:rsid w:val="004C46B7"/>
    <w:rsid w:val="004C4900"/>
    <w:rsid w:val="004C5313"/>
    <w:rsid w:val="004C680F"/>
    <w:rsid w:val="004C6947"/>
    <w:rsid w:val="004C7B7E"/>
    <w:rsid w:val="004D0E3D"/>
    <w:rsid w:val="004D112B"/>
    <w:rsid w:val="004D27E4"/>
    <w:rsid w:val="004D280F"/>
    <w:rsid w:val="004D2A01"/>
    <w:rsid w:val="004D2D12"/>
    <w:rsid w:val="004D397A"/>
    <w:rsid w:val="004D4AB3"/>
    <w:rsid w:val="004D53D5"/>
    <w:rsid w:val="004D5AF5"/>
    <w:rsid w:val="004D638C"/>
    <w:rsid w:val="004D6A22"/>
    <w:rsid w:val="004D7906"/>
    <w:rsid w:val="004E0001"/>
    <w:rsid w:val="004E02D2"/>
    <w:rsid w:val="004E048C"/>
    <w:rsid w:val="004E14BF"/>
    <w:rsid w:val="004E17BC"/>
    <w:rsid w:val="004E22A1"/>
    <w:rsid w:val="004E2C14"/>
    <w:rsid w:val="004E34FA"/>
    <w:rsid w:val="004E3A53"/>
    <w:rsid w:val="004E3E21"/>
    <w:rsid w:val="004E44F3"/>
    <w:rsid w:val="004E5ADF"/>
    <w:rsid w:val="004E5BD3"/>
    <w:rsid w:val="004E7359"/>
    <w:rsid w:val="004E7CDB"/>
    <w:rsid w:val="004E7FF6"/>
    <w:rsid w:val="004F0F2A"/>
    <w:rsid w:val="004F1221"/>
    <w:rsid w:val="004F149E"/>
    <w:rsid w:val="004F1670"/>
    <w:rsid w:val="004F173E"/>
    <w:rsid w:val="004F1871"/>
    <w:rsid w:val="004F3C55"/>
    <w:rsid w:val="004F3DAF"/>
    <w:rsid w:val="004F45F1"/>
    <w:rsid w:val="004F4680"/>
    <w:rsid w:val="004F4AC7"/>
    <w:rsid w:val="004F5992"/>
    <w:rsid w:val="004F59CF"/>
    <w:rsid w:val="004F5A4F"/>
    <w:rsid w:val="004F65F8"/>
    <w:rsid w:val="004F72B7"/>
    <w:rsid w:val="00501490"/>
    <w:rsid w:val="005028B0"/>
    <w:rsid w:val="00503383"/>
    <w:rsid w:val="00503455"/>
    <w:rsid w:val="005037AA"/>
    <w:rsid w:val="00503826"/>
    <w:rsid w:val="00503DF8"/>
    <w:rsid w:val="0050487E"/>
    <w:rsid w:val="00504B18"/>
    <w:rsid w:val="00505523"/>
    <w:rsid w:val="0050553B"/>
    <w:rsid w:val="005058B1"/>
    <w:rsid w:val="0050590C"/>
    <w:rsid w:val="00506A1C"/>
    <w:rsid w:val="0051023E"/>
    <w:rsid w:val="00510628"/>
    <w:rsid w:val="00511844"/>
    <w:rsid w:val="00513FE5"/>
    <w:rsid w:val="005140F7"/>
    <w:rsid w:val="005145C5"/>
    <w:rsid w:val="00514E5C"/>
    <w:rsid w:val="00516933"/>
    <w:rsid w:val="0051702D"/>
    <w:rsid w:val="00517491"/>
    <w:rsid w:val="00520295"/>
    <w:rsid w:val="00520574"/>
    <w:rsid w:val="00522429"/>
    <w:rsid w:val="005226DF"/>
    <w:rsid w:val="00522740"/>
    <w:rsid w:val="0052274F"/>
    <w:rsid w:val="00522824"/>
    <w:rsid w:val="00522E34"/>
    <w:rsid w:val="005231CE"/>
    <w:rsid w:val="00523A4B"/>
    <w:rsid w:val="00523BEE"/>
    <w:rsid w:val="00524378"/>
    <w:rsid w:val="005260AE"/>
    <w:rsid w:val="00526470"/>
    <w:rsid w:val="0052756C"/>
    <w:rsid w:val="0052759C"/>
    <w:rsid w:val="00527FF7"/>
    <w:rsid w:val="0053178F"/>
    <w:rsid w:val="0053226F"/>
    <w:rsid w:val="00532DF3"/>
    <w:rsid w:val="00533F73"/>
    <w:rsid w:val="005342B1"/>
    <w:rsid w:val="00534450"/>
    <w:rsid w:val="005348C7"/>
    <w:rsid w:val="00535B86"/>
    <w:rsid w:val="005361D1"/>
    <w:rsid w:val="00536717"/>
    <w:rsid w:val="005368B1"/>
    <w:rsid w:val="00536FBE"/>
    <w:rsid w:val="0053728E"/>
    <w:rsid w:val="00537311"/>
    <w:rsid w:val="00537D67"/>
    <w:rsid w:val="00537E8E"/>
    <w:rsid w:val="00540E50"/>
    <w:rsid w:val="00540F89"/>
    <w:rsid w:val="00541EF3"/>
    <w:rsid w:val="005440BC"/>
    <w:rsid w:val="00544104"/>
    <w:rsid w:val="005441A8"/>
    <w:rsid w:val="00544265"/>
    <w:rsid w:val="00545687"/>
    <w:rsid w:val="005460BD"/>
    <w:rsid w:val="005465AC"/>
    <w:rsid w:val="00546B63"/>
    <w:rsid w:val="00546C08"/>
    <w:rsid w:val="00547920"/>
    <w:rsid w:val="005500DE"/>
    <w:rsid w:val="00551035"/>
    <w:rsid w:val="00552771"/>
    <w:rsid w:val="005529D0"/>
    <w:rsid w:val="005529E3"/>
    <w:rsid w:val="005530EB"/>
    <w:rsid w:val="005532C6"/>
    <w:rsid w:val="00553B1E"/>
    <w:rsid w:val="00554629"/>
    <w:rsid w:val="00554B45"/>
    <w:rsid w:val="00554D31"/>
    <w:rsid w:val="00555465"/>
    <w:rsid w:val="00557335"/>
    <w:rsid w:val="00557F99"/>
    <w:rsid w:val="00560506"/>
    <w:rsid w:val="0056079C"/>
    <w:rsid w:val="00560B01"/>
    <w:rsid w:val="00561360"/>
    <w:rsid w:val="00561595"/>
    <w:rsid w:val="005616DA"/>
    <w:rsid w:val="00563021"/>
    <w:rsid w:val="0056326A"/>
    <w:rsid w:val="00563732"/>
    <w:rsid w:val="0056418C"/>
    <w:rsid w:val="00564864"/>
    <w:rsid w:val="0056489D"/>
    <w:rsid w:val="00564EEE"/>
    <w:rsid w:val="00565C8F"/>
    <w:rsid w:val="00565E05"/>
    <w:rsid w:val="00566027"/>
    <w:rsid w:val="005662BD"/>
    <w:rsid w:val="005662E0"/>
    <w:rsid w:val="00566A67"/>
    <w:rsid w:val="00566B61"/>
    <w:rsid w:val="005674D5"/>
    <w:rsid w:val="00567A93"/>
    <w:rsid w:val="00570DC0"/>
    <w:rsid w:val="00571373"/>
    <w:rsid w:val="00571ECE"/>
    <w:rsid w:val="00571F19"/>
    <w:rsid w:val="00572E36"/>
    <w:rsid w:val="00573F65"/>
    <w:rsid w:val="00574675"/>
    <w:rsid w:val="005746E5"/>
    <w:rsid w:val="00574A08"/>
    <w:rsid w:val="00575099"/>
    <w:rsid w:val="00575477"/>
    <w:rsid w:val="005755B9"/>
    <w:rsid w:val="00580265"/>
    <w:rsid w:val="005809B9"/>
    <w:rsid w:val="00581085"/>
    <w:rsid w:val="005820B5"/>
    <w:rsid w:val="005821C3"/>
    <w:rsid w:val="00582969"/>
    <w:rsid w:val="00582B4B"/>
    <w:rsid w:val="00583B2F"/>
    <w:rsid w:val="00583C24"/>
    <w:rsid w:val="0058466F"/>
    <w:rsid w:val="005849A7"/>
    <w:rsid w:val="005849F6"/>
    <w:rsid w:val="00587A2F"/>
    <w:rsid w:val="00587D72"/>
    <w:rsid w:val="00587D7B"/>
    <w:rsid w:val="0059069B"/>
    <w:rsid w:val="00591E16"/>
    <w:rsid w:val="0059214F"/>
    <w:rsid w:val="0059249E"/>
    <w:rsid w:val="005929C7"/>
    <w:rsid w:val="00592E0B"/>
    <w:rsid w:val="00593451"/>
    <w:rsid w:val="00594E88"/>
    <w:rsid w:val="005957BB"/>
    <w:rsid w:val="0059683B"/>
    <w:rsid w:val="00596F9E"/>
    <w:rsid w:val="0059733F"/>
    <w:rsid w:val="005977B8"/>
    <w:rsid w:val="005A0725"/>
    <w:rsid w:val="005A0B1C"/>
    <w:rsid w:val="005A1391"/>
    <w:rsid w:val="005A1655"/>
    <w:rsid w:val="005A18AA"/>
    <w:rsid w:val="005A23DA"/>
    <w:rsid w:val="005A2AD4"/>
    <w:rsid w:val="005A4988"/>
    <w:rsid w:val="005A4B56"/>
    <w:rsid w:val="005A52CF"/>
    <w:rsid w:val="005A5C72"/>
    <w:rsid w:val="005A662E"/>
    <w:rsid w:val="005A6A92"/>
    <w:rsid w:val="005A7490"/>
    <w:rsid w:val="005A78AD"/>
    <w:rsid w:val="005B0463"/>
    <w:rsid w:val="005B0A24"/>
    <w:rsid w:val="005B0BB2"/>
    <w:rsid w:val="005B0F34"/>
    <w:rsid w:val="005B1004"/>
    <w:rsid w:val="005B1412"/>
    <w:rsid w:val="005B1A22"/>
    <w:rsid w:val="005B213E"/>
    <w:rsid w:val="005B3336"/>
    <w:rsid w:val="005B36F6"/>
    <w:rsid w:val="005B3BCC"/>
    <w:rsid w:val="005B3EEF"/>
    <w:rsid w:val="005B40DC"/>
    <w:rsid w:val="005B436B"/>
    <w:rsid w:val="005B4852"/>
    <w:rsid w:val="005B498C"/>
    <w:rsid w:val="005B4D64"/>
    <w:rsid w:val="005B4FC0"/>
    <w:rsid w:val="005B5848"/>
    <w:rsid w:val="005B5E0D"/>
    <w:rsid w:val="005B64AA"/>
    <w:rsid w:val="005B6639"/>
    <w:rsid w:val="005B79ED"/>
    <w:rsid w:val="005C1321"/>
    <w:rsid w:val="005C1856"/>
    <w:rsid w:val="005C1B9F"/>
    <w:rsid w:val="005C23C0"/>
    <w:rsid w:val="005C30D6"/>
    <w:rsid w:val="005C3125"/>
    <w:rsid w:val="005C3214"/>
    <w:rsid w:val="005C35CD"/>
    <w:rsid w:val="005C3A01"/>
    <w:rsid w:val="005C3F58"/>
    <w:rsid w:val="005C47CE"/>
    <w:rsid w:val="005C4EE9"/>
    <w:rsid w:val="005C4F9E"/>
    <w:rsid w:val="005C53E0"/>
    <w:rsid w:val="005C662F"/>
    <w:rsid w:val="005C732E"/>
    <w:rsid w:val="005C7465"/>
    <w:rsid w:val="005C7B6D"/>
    <w:rsid w:val="005C7D8D"/>
    <w:rsid w:val="005D114E"/>
    <w:rsid w:val="005D199C"/>
    <w:rsid w:val="005D1CDA"/>
    <w:rsid w:val="005D2582"/>
    <w:rsid w:val="005D35F7"/>
    <w:rsid w:val="005D3937"/>
    <w:rsid w:val="005D3E16"/>
    <w:rsid w:val="005D43DB"/>
    <w:rsid w:val="005D4866"/>
    <w:rsid w:val="005D4B98"/>
    <w:rsid w:val="005D5124"/>
    <w:rsid w:val="005D6530"/>
    <w:rsid w:val="005D6948"/>
    <w:rsid w:val="005D69AC"/>
    <w:rsid w:val="005E0302"/>
    <w:rsid w:val="005E0DC1"/>
    <w:rsid w:val="005E1022"/>
    <w:rsid w:val="005E1D16"/>
    <w:rsid w:val="005E2536"/>
    <w:rsid w:val="005E2A65"/>
    <w:rsid w:val="005E2B9A"/>
    <w:rsid w:val="005E40E3"/>
    <w:rsid w:val="005E4808"/>
    <w:rsid w:val="005E4DB3"/>
    <w:rsid w:val="005E5500"/>
    <w:rsid w:val="005E5CDB"/>
    <w:rsid w:val="005E60A4"/>
    <w:rsid w:val="005E6B40"/>
    <w:rsid w:val="005E6C01"/>
    <w:rsid w:val="005E6C06"/>
    <w:rsid w:val="005E6D40"/>
    <w:rsid w:val="005E7167"/>
    <w:rsid w:val="005E7706"/>
    <w:rsid w:val="005F02C4"/>
    <w:rsid w:val="005F0478"/>
    <w:rsid w:val="005F09BA"/>
    <w:rsid w:val="005F12B5"/>
    <w:rsid w:val="005F133F"/>
    <w:rsid w:val="005F15A7"/>
    <w:rsid w:val="005F25BF"/>
    <w:rsid w:val="005F2983"/>
    <w:rsid w:val="005F2B27"/>
    <w:rsid w:val="005F39D5"/>
    <w:rsid w:val="005F39FE"/>
    <w:rsid w:val="005F4A59"/>
    <w:rsid w:val="005F566A"/>
    <w:rsid w:val="005F571B"/>
    <w:rsid w:val="005F59E0"/>
    <w:rsid w:val="005F5B51"/>
    <w:rsid w:val="005F5BE9"/>
    <w:rsid w:val="005F63DD"/>
    <w:rsid w:val="005F647D"/>
    <w:rsid w:val="005F6AF2"/>
    <w:rsid w:val="005F7726"/>
    <w:rsid w:val="00600243"/>
    <w:rsid w:val="006002A4"/>
    <w:rsid w:val="00601202"/>
    <w:rsid w:val="006012B4"/>
    <w:rsid w:val="006013D1"/>
    <w:rsid w:val="00601649"/>
    <w:rsid w:val="0060196D"/>
    <w:rsid w:val="00602FE4"/>
    <w:rsid w:val="00603952"/>
    <w:rsid w:val="006044D3"/>
    <w:rsid w:val="0060471C"/>
    <w:rsid w:val="00604909"/>
    <w:rsid w:val="00604F3C"/>
    <w:rsid w:val="00605FCE"/>
    <w:rsid w:val="0060670C"/>
    <w:rsid w:val="006068CA"/>
    <w:rsid w:val="00606DCF"/>
    <w:rsid w:val="006072F0"/>
    <w:rsid w:val="00607338"/>
    <w:rsid w:val="006074CA"/>
    <w:rsid w:val="00607705"/>
    <w:rsid w:val="00607C74"/>
    <w:rsid w:val="00607E7B"/>
    <w:rsid w:val="00607EE7"/>
    <w:rsid w:val="006109FE"/>
    <w:rsid w:val="00610CDD"/>
    <w:rsid w:val="00610D9F"/>
    <w:rsid w:val="006116E4"/>
    <w:rsid w:val="00611E1F"/>
    <w:rsid w:val="0061216E"/>
    <w:rsid w:val="00612753"/>
    <w:rsid w:val="00612BDB"/>
    <w:rsid w:val="00612E0B"/>
    <w:rsid w:val="006133E3"/>
    <w:rsid w:val="00613775"/>
    <w:rsid w:val="00614138"/>
    <w:rsid w:val="00614915"/>
    <w:rsid w:val="00614E54"/>
    <w:rsid w:val="00615847"/>
    <w:rsid w:val="00615E7B"/>
    <w:rsid w:val="00616125"/>
    <w:rsid w:val="0061651E"/>
    <w:rsid w:val="00616AD5"/>
    <w:rsid w:val="006179BB"/>
    <w:rsid w:val="006202EF"/>
    <w:rsid w:val="00621546"/>
    <w:rsid w:val="00621D7E"/>
    <w:rsid w:val="00622D85"/>
    <w:rsid w:val="00622E20"/>
    <w:rsid w:val="00625669"/>
    <w:rsid w:val="006256BA"/>
    <w:rsid w:val="0062593C"/>
    <w:rsid w:val="00625B2A"/>
    <w:rsid w:val="00625DA8"/>
    <w:rsid w:val="006268FB"/>
    <w:rsid w:val="006275D2"/>
    <w:rsid w:val="00630637"/>
    <w:rsid w:val="00630CF5"/>
    <w:rsid w:val="006314A4"/>
    <w:rsid w:val="00631603"/>
    <w:rsid w:val="00631924"/>
    <w:rsid w:val="00631DCB"/>
    <w:rsid w:val="00632457"/>
    <w:rsid w:val="00632CED"/>
    <w:rsid w:val="00632CF6"/>
    <w:rsid w:val="00633425"/>
    <w:rsid w:val="0063413F"/>
    <w:rsid w:val="006343F9"/>
    <w:rsid w:val="00634459"/>
    <w:rsid w:val="00634665"/>
    <w:rsid w:val="006346F5"/>
    <w:rsid w:val="0063508C"/>
    <w:rsid w:val="00635916"/>
    <w:rsid w:val="00635935"/>
    <w:rsid w:val="00637159"/>
    <w:rsid w:val="00637215"/>
    <w:rsid w:val="006376BE"/>
    <w:rsid w:val="00637F74"/>
    <w:rsid w:val="00640036"/>
    <w:rsid w:val="00640BD6"/>
    <w:rsid w:val="00641071"/>
    <w:rsid w:val="00641F52"/>
    <w:rsid w:val="00642989"/>
    <w:rsid w:val="00642A9E"/>
    <w:rsid w:val="0064308B"/>
    <w:rsid w:val="00645EC2"/>
    <w:rsid w:val="006461AB"/>
    <w:rsid w:val="006461B0"/>
    <w:rsid w:val="006472A2"/>
    <w:rsid w:val="00647DF1"/>
    <w:rsid w:val="00650A6C"/>
    <w:rsid w:val="0065241A"/>
    <w:rsid w:val="0065258B"/>
    <w:rsid w:val="00652DF2"/>
    <w:rsid w:val="00653061"/>
    <w:rsid w:val="006532B6"/>
    <w:rsid w:val="006535FF"/>
    <w:rsid w:val="00654DAB"/>
    <w:rsid w:val="00655429"/>
    <w:rsid w:val="006561E9"/>
    <w:rsid w:val="00657AC5"/>
    <w:rsid w:val="00657E4D"/>
    <w:rsid w:val="00657F11"/>
    <w:rsid w:val="00657F8A"/>
    <w:rsid w:val="00660059"/>
    <w:rsid w:val="0066015C"/>
    <w:rsid w:val="00660341"/>
    <w:rsid w:val="006607BC"/>
    <w:rsid w:val="006609F1"/>
    <w:rsid w:val="00663D21"/>
    <w:rsid w:val="006640F7"/>
    <w:rsid w:val="00664951"/>
    <w:rsid w:val="00664BA8"/>
    <w:rsid w:val="00664D78"/>
    <w:rsid w:val="00665392"/>
    <w:rsid w:val="006658C6"/>
    <w:rsid w:val="00665FBD"/>
    <w:rsid w:val="006661AC"/>
    <w:rsid w:val="006662A7"/>
    <w:rsid w:val="006662CE"/>
    <w:rsid w:val="00666514"/>
    <w:rsid w:val="0066696B"/>
    <w:rsid w:val="0066769F"/>
    <w:rsid w:val="00667779"/>
    <w:rsid w:val="00670B99"/>
    <w:rsid w:val="00670E0C"/>
    <w:rsid w:val="00670E69"/>
    <w:rsid w:val="00671A0A"/>
    <w:rsid w:val="00671A23"/>
    <w:rsid w:val="00671A51"/>
    <w:rsid w:val="00672608"/>
    <w:rsid w:val="0067312A"/>
    <w:rsid w:val="0067457E"/>
    <w:rsid w:val="00674991"/>
    <w:rsid w:val="00675121"/>
    <w:rsid w:val="006751FD"/>
    <w:rsid w:val="006759DA"/>
    <w:rsid w:val="0067615D"/>
    <w:rsid w:val="00676D8C"/>
    <w:rsid w:val="0067738D"/>
    <w:rsid w:val="00677AAC"/>
    <w:rsid w:val="00677D8B"/>
    <w:rsid w:val="0068170F"/>
    <w:rsid w:val="0068196F"/>
    <w:rsid w:val="00682248"/>
    <w:rsid w:val="006822E5"/>
    <w:rsid w:val="006823A5"/>
    <w:rsid w:val="00682FF6"/>
    <w:rsid w:val="00683363"/>
    <w:rsid w:val="00683E08"/>
    <w:rsid w:val="006841EF"/>
    <w:rsid w:val="006844CB"/>
    <w:rsid w:val="006845AF"/>
    <w:rsid w:val="00684635"/>
    <w:rsid w:val="00685755"/>
    <w:rsid w:val="0068624E"/>
    <w:rsid w:val="00686262"/>
    <w:rsid w:val="006865F3"/>
    <w:rsid w:val="00686D3C"/>
    <w:rsid w:val="00686D5C"/>
    <w:rsid w:val="006877BF"/>
    <w:rsid w:val="00687DD7"/>
    <w:rsid w:val="00690B9A"/>
    <w:rsid w:val="00690E02"/>
    <w:rsid w:val="0069220D"/>
    <w:rsid w:val="006923A0"/>
    <w:rsid w:val="006927EE"/>
    <w:rsid w:val="006929B5"/>
    <w:rsid w:val="0069415A"/>
    <w:rsid w:val="006947DC"/>
    <w:rsid w:val="00694897"/>
    <w:rsid w:val="00694C70"/>
    <w:rsid w:val="00697931"/>
    <w:rsid w:val="006A0034"/>
    <w:rsid w:val="006A03EA"/>
    <w:rsid w:val="006A093F"/>
    <w:rsid w:val="006A2617"/>
    <w:rsid w:val="006A3162"/>
    <w:rsid w:val="006A47C5"/>
    <w:rsid w:val="006A4B43"/>
    <w:rsid w:val="006A4CB6"/>
    <w:rsid w:val="006A531F"/>
    <w:rsid w:val="006A5420"/>
    <w:rsid w:val="006A5B9E"/>
    <w:rsid w:val="006A6A6B"/>
    <w:rsid w:val="006A6AAD"/>
    <w:rsid w:val="006A6B09"/>
    <w:rsid w:val="006A6C56"/>
    <w:rsid w:val="006A7198"/>
    <w:rsid w:val="006A78A6"/>
    <w:rsid w:val="006B02D3"/>
    <w:rsid w:val="006B0901"/>
    <w:rsid w:val="006B13A4"/>
    <w:rsid w:val="006B171D"/>
    <w:rsid w:val="006B18FF"/>
    <w:rsid w:val="006B234D"/>
    <w:rsid w:val="006B23DE"/>
    <w:rsid w:val="006B31E4"/>
    <w:rsid w:val="006B37D5"/>
    <w:rsid w:val="006B3950"/>
    <w:rsid w:val="006B43A1"/>
    <w:rsid w:val="006B464F"/>
    <w:rsid w:val="006B4B87"/>
    <w:rsid w:val="006B4F1A"/>
    <w:rsid w:val="006B4FE8"/>
    <w:rsid w:val="006B53CB"/>
    <w:rsid w:val="006B5457"/>
    <w:rsid w:val="006B5E9E"/>
    <w:rsid w:val="006B60C1"/>
    <w:rsid w:val="006B62CC"/>
    <w:rsid w:val="006B660A"/>
    <w:rsid w:val="006B67AE"/>
    <w:rsid w:val="006B68DF"/>
    <w:rsid w:val="006B68E5"/>
    <w:rsid w:val="006B73F2"/>
    <w:rsid w:val="006C0FFE"/>
    <w:rsid w:val="006C116E"/>
    <w:rsid w:val="006C1175"/>
    <w:rsid w:val="006C11F2"/>
    <w:rsid w:val="006C17C4"/>
    <w:rsid w:val="006C25D3"/>
    <w:rsid w:val="006C25DC"/>
    <w:rsid w:val="006C36A7"/>
    <w:rsid w:val="006C3A64"/>
    <w:rsid w:val="006C4F13"/>
    <w:rsid w:val="006C50B3"/>
    <w:rsid w:val="006C5A16"/>
    <w:rsid w:val="006C5BB2"/>
    <w:rsid w:val="006C5E11"/>
    <w:rsid w:val="006C6758"/>
    <w:rsid w:val="006C730A"/>
    <w:rsid w:val="006D0168"/>
    <w:rsid w:val="006D02FE"/>
    <w:rsid w:val="006D0606"/>
    <w:rsid w:val="006D073C"/>
    <w:rsid w:val="006D0B36"/>
    <w:rsid w:val="006D11A5"/>
    <w:rsid w:val="006D1DDD"/>
    <w:rsid w:val="006D226B"/>
    <w:rsid w:val="006D237C"/>
    <w:rsid w:val="006D24C9"/>
    <w:rsid w:val="006D28A1"/>
    <w:rsid w:val="006D3EC2"/>
    <w:rsid w:val="006D4625"/>
    <w:rsid w:val="006D511A"/>
    <w:rsid w:val="006D57BF"/>
    <w:rsid w:val="006D6DFE"/>
    <w:rsid w:val="006D7BEA"/>
    <w:rsid w:val="006E0745"/>
    <w:rsid w:val="006E0D79"/>
    <w:rsid w:val="006E11D1"/>
    <w:rsid w:val="006E1679"/>
    <w:rsid w:val="006E178C"/>
    <w:rsid w:val="006E31F0"/>
    <w:rsid w:val="006E4D36"/>
    <w:rsid w:val="006E4E51"/>
    <w:rsid w:val="006E53DB"/>
    <w:rsid w:val="006E5992"/>
    <w:rsid w:val="006E5B4A"/>
    <w:rsid w:val="006E5DFA"/>
    <w:rsid w:val="006E7A90"/>
    <w:rsid w:val="006F0CF0"/>
    <w:rsid w:val="006F1148"/>
    <w:rsid w:val="006F202B"/>
    <w:rsid w:val="006F268C"/>
    <w:rsid w:val="006F27B9"/>
    <w:rsid w:val="006F2BB2"/>
    <w:rsid w:val="006F322D"/>
    <w:rsid w:val="006F3D35"/>
    <w:rsid w:val="006F41EB"/>
    <w:rsid w:val="006F444D"/>
    <w:rsid w:val="006F5A5C"/>
    <w:rsid w:val="006F697A"/>
    <w:rsid w:val="006F6AE0"/>
    <w:rsid w:val="006F6CBB"/>
    <w:rsid w:val="006F6CE0"/>
    <w:rsid w:val="00700C0D"/>
    <w:rsid w:val="00700DBF"/>
    <w:rsid w:val="00701048"/>
    <w:rsid w:val="0070130A"/>
    <w:rsid w:val="0070161D"/>
    <w:rsid w:val="0070198F"/>
    <w:rsid w:val="00702001"/>
    <w:rsid w:val="0070227D"/>
    <w:rsid w:val="00702912"/>
    <w:rsid w:val="00702D99"/>
    <w:rsid w:val="00704EE1"/>
    <w:rsid w:val="00704F8C"/>
    <w:rsid w:val="007052E6"/>
    <w:rsid w:val="00705326"/>
    <w:rsid w:val="007061E2"/>
    <w:rsid w:val="007068C8"/>
    <w:rsid w:val="0070726E"/>
    <w:rsid w:val="00707396"/>
    <w:rsid w:val="00710AC8"/>
    <w:rsid w:val="00711664"/>
    <w:rsid w:val="00711B3E"/>
    <w:rsid w:val="007120C3"/>
    <w:rsid w:val="00712EB0"/>
    <w:rsid w:val="00713DB6"/>
    <w:rsid w:val="00714322"/>
    <w:rsid w:val="00714EF1"/>
    <w:rsid w:val="00714F84"/>
    <w:rsid w:val="007157FF"/>
    <w:rsid w:val="00716040"/>
    <w:rsid w:val="00716B7F"/>
    <w:rsid w:val="00717490"/>
    <w:rsid w:val="007200B7"/>
    <w:rsid w:val="00720413"/>
    <w:rsid w:val="007204E3"/>
    <w:rsid w:val="007205B2"/>
    <w:rsid w:val="00720E40"/>
    <w:rsid w:val="00721758"/>
    <w:rsid w:val="00722016"/>
    <w:rsid w:val="0072252D"/>
    <w:rsid w:val="00725359"/>
    <w:rsid w:val="0072563C"/>
    <w:rsid w:val="00725D7B"/>
    <w:rsid w:val="00730102"/>
    <w:rsid w:val="007306FF"/>
    <w:rsid w:val="007310DE"/>
    <w:rsid w:val="00732495"/>
    <w:rsid w:val="00732BC5"/>
    <w:rsid w:val="00732BD2"/>
    <w:rsid w:val="00733204"/>
    <w:rsid w:val="00733BFC"/>
    <w:rsid w:val="007350B9"/>
    <w:rsid w:val="00735860"/>
    <w:rsid w:val="00735AE3"/>
    <w:rsid w:val="00736C9E"/>
    <w:rsid w:val="00736DC4"/>
    <w:rsid w:val="00737A51"/>
    <w:rsid w:val="00741462"/>
    <w:rsid w:val="0074150F"/>
    <w:rsid w:val="00741BC6"/>
    <w:rsid w:val="00741F23"/>
    <w:rsid w:val="00742332"/>
    <w:rsid w:val="00744CD7"/>
    <w:rsid w:val="00744CE2"/>
    <w:rsid w:val="00744EBB"/>
    <w:rsid w:val="007453A4"/>
    <w:rsid w:val="0074624E"/>
    <w:rsid w:val="007464FF"/>
    <w:rsid w:val="007466E2"/>
    <w:rsid w:val="00747EFD"/>
    <w:rsid w:val="007502DF"/>
    <w:rsid w:val="007513C6"/>
    <w:rsid w:val="007517A5"/>
    <w:rsid w:val="007525D4"/>
    <w:rsid w:val="00754099"/>
    <w:rsid w:val="007544EB"/>
    <w:rsid w:val="007545C2"/>
    <w:rsid w:val="00754C00"/>
    <w:rsid w:val="00755193"/>
    <w:rsid w:val="0075562E"/>
    <w:rsid w:val="007556B9"/>
    <w:rsid w:val="0075687A"/>
    <w:rsid w:val="00757819"/>
    <w:rsid w:val="007578CD"/>
    <w:rsid w:val="00757C25"/>
    <w:rsid w:val="0076051E"/>
    <w:rsid w:val="007605D2"/>
    <w:rsid w:val="00760E68"/>
    <w:rsid w:val="0076113E"/>
    <w:rsid w:val="00761600"/>
    <w:rsid w:val="00762373"/>
    <w:rsid w:val="00762445"/>
    <w:rsid w:val="00762930"/>
    <w:rsid w:val="00762DC2"/>
    <w:rsid w:val="007642A4"/>
    <w:rsid w:val="00764488"/>
    <w:rsid w:val="00764F0A"/>
    <w:rsid w:val="00765539"/>
    <w:rsid w:val="00765840"/>
    <w:rsid w:val="007666AC"/>
    <w:rsid w:val="00766930"/>
    <w:rsid w:val="00767886"/>
    <w:rsid w:val="00767B03"/>
    <w:rsid w:val="00767C65"/>
    <w:rsid w:val="00767C9A"/>
    <w:rsid w:val="00770B42"/>
    <w:rsid w:val="007713E9"/>
    <w:rsid w:val="0077180A"/>
    <w:rsid w:val="00771EA7"/>
    <w:rsid w:val="0077225A"/>
    <w:rsid w:val="00772577"/>
    <w:rsid w:val="007732E2"/>
    <w:rsid w:val="00773765"/>
    <w:rsid w:val="007739FD"/>
    <w:rsid w:val="00773E93"/>
    <w:rsid w:val="00775930"/>
    <w:rsid w:val="00776D29"/>
    <w:rsid w:val="00777703"/>
    <w:rsid w:val="0077790A"/>
    <w:rsid w:val="00780521"/>
    <w:rsid w:val="0078076B"/>
    <w:rsid w:val="007810FE"/>
    <w:rsid w:val="00783AB5"/>
    <w:rsid w:val="00783B74"/>
    <w:rsid w:val="00783F78"/>
    <w:rsid w:val="00784140"/>
    <w:rsid w:val="00784F05"/>
    <w:rsid w:val="00785B2A"/>
    <w:rsid w:val="00785BA4"/>
    <w:rsid w:val="007869C8"/>
    <w:rsid w:val="007874A0"/>
    <w:rsid w:val="0078781C"/>
    <w:rsid w:val="007903FE"/>
    <w:rsid w:val="00790663"/>
    <w:rsid w:val="00791034"/>
    <w:rsid w:val="0079104A"/>
    <w:rsid w:val="0079114B"/>
    <w:rsid w:val="00791B28"/>
    <w:rsid w:val="007925D3"/>
    <w:rsid w:val="00792A15"/>
    <w:rsid w:val="00792C9B"/>
    <w:rsid w:val="0079353B"/>
    <w:rsid w:val="007947FE"/>
    <w:rsid w:val="007956E3"/>
    <w:rsid w:val="00796509"/>
    <w:rsid w:val="007965ED"/>
    <w:rsid w:val="007A042D"/>
    <w:rsid w:val="007A1735"/>
    <w:rsid w:val="007A1FFF"/>
    <w:rsid w:val="007A2754"/>
    <w:rsid w:val="007A280E"/>
    <w:rsid w:val="007A2E96"/>
    <w:rsid w:val="007A3E17"/>
    <w:rsid w:val="007A3F17"/>
    <w:rsid w:val="007A3F28"/>
    <w:rsid w:val="007A4FBA"/>
    <w:rsid w:val="007A52EE"/>
    <w:rsid w:val="007A562C"/>
    <w:rsid w:val="007A5CB7"/>
    <w:rsid w:val="007A5DC8"/>
    <w:rsid w:val="007A6244"/>
    <w:rsid w:val="007A6D4E"/>
    <w:rsid w:val="007A72F2"/>
    <w:rsid w:val="007A78B0"/>
    <w:rsid w:val="007A7F4D"/>
    <w:rsid w:val="007B062F"/>
    <w:rsid w:val="007B1ADA"/>
    <w:rsid w:val="007B2108"/>
    <w:rsid w:val="007B2CA2"/>
    <w:rsid w:val="007B35FA"/>
    <w:rsid w:val="007B36D2"/>
    <w:rsid w:val="007B388C"/>
    <w:rsid w:val="007B3D49"/>
    <w:rsid w:val="007B473A"/>
    <w:rsid w:val="007B542E"/>
    <w:rsid w:val="007B6483"/>
    <w:rsid w:val="007B6873"/>
    <w:rsid w:val="007B687F"/>
    <w:rsid w:val="007C02B1"/>
    <w:rsid w:val="007C0675"/>
    <w:rsid w:val="007C0BD2"/>
    <w:rsid w:val="007C14C5"/>
    <w:rsid w:val="007C1AD5"/>
    <w:rsid w:val="007C1FFE"/>
    <w:rsid w:val="007C206B"/>
    <w:rsid w:val="007C23F1"/>
    <w:rsid w:val="007C2733"/>
    <w:rsid w:val="007C31CA"/>
    <w:rsid w:val="007C37F1"/>
    <w:rsid w:val="007C3924"/>
    <w:rsid w:val="007C4546"/>
    <w:rsid w:val="007C476C"/>
    <w:rsid w:val="007C5C30"/>
    <w:rsid w:val="007C5CF0"/>
    <w:rsid w:val="007C5D19"/>
    <w:rsid w:val="007C6489"/>
    <w:rsid w:val="007D0BED"/>
    <w:rsid w:val="007D0FA4"/>
    <w:rsid w:val="007D238F"/>
    <w:rsid w:val="007D30B1"/>
    <w:rsid w:val="007D310E"/>
    <w:rsid w:val="007D378D"/>
    <w:rsid w:val="007D46FD"/>
    <w:rsid w:val="007D4BBD"/>
    <w:rsid w:val="007D6123"/>
    <w:rsid w:val="007D623A"/>
    <w:rsid w:val="007D65BA"/>
    <w:rsid w:val="007D6985"/>
    <w:rsid w:val="007D6FFB"/>
    <w:rsid w:val="007D75D9"/>
    <w:rsid w:val="007E0D34"/>
    <w:rsid w:val="007E18D4"/>
    <w:rsid w:val="007E1BE1"/>
    <w:rsid w:val="007E1BF6"/>
    <w:rsid w:val="007E1E6F"/>
    <w:rsid w:val="007E1FA8"/>
    <w:rsid w:val="007E2130"/>
    <w:rsid w:val="007E2400"/>
    <w:rsid w:val="007E2D1C"/>
    <w:rsid w:val="007E3930"/>
    <w:rsid w:val="007E3F88"/>
    <w:rsid w:val="007E4C9E"/>
    <w:rsid w:val="007E4D78"/>
    <w:rsid w:val="007E5282"/>
    <w:rsid w:val="007E5880"/>
    <w:rsid w:val="007E6A83"/>
    <w:rsid w:val="007E7069"/>
    <w:rsid w:val="007E715D"/>
    <w:rsid w:val="007E72AD"/>
    <w:rsid w:val="007E7C41"/>
    <w:rsid w:val="007F02B1"/>
    <w:rsid w:val="007F0A3E"/>
    <w:rsid w:val="007F24BD"/>
    <w:rsid w:val="007F296B"/>
    <w:rsid w:val="007F3561"/>
    <w:rsid w:val="007F3640"/>
    <w:rsid w:val="007F3BD0"/>
    <w:rsid w:val="007F40E3"/>
    <w:rsid w:val="007F5485"/>
    <w:rsid w:val="007F574F"/>
    <w:rsid w:val="007F58A7"/>
    <w:rsid w:val="007F5EB6"/>
    <w:rsid w:val="007F6132"/>
    <w:rsid w:val="007F6364"/>
    <w:rsid w:val="007F651F"/>
    <w:rsid w:val="007F693F"/>
    <w:rsid w:val="007F712C"/>
    <w:rsid w:val="007F73F9"/>
    <w:rsid w:val="007F7825"/>
    <w:rsid w:val="007F7ED1"/>
    <w:rsid w:val="00800292"/>
    <w:rsid w:val="008013D7"/>
    <w:rsid w:val="00801D69"/>
    <w:rsid w:val="00801F2F"/>
    <w:rsid w:val="0080247B"/>
    <w:rsid w:val="008025CB"/>
    <w:rsid w:val="0080299A"/>
    <w:rsid w:val="00802B57"/>
    <w:rsid w:val="00802F11"/>
    <w:rsid w:val="008034B0"/>
    <w:rsid w:val="0080387B"/>
    <w:rsid w:val="00803BF4"/>
    <w:rsid w:val="00804F13"/>
    <w:rsid w:val="0080577C"/>
    <w:rsid w:val="00805D08"/>
    <w:rsid w:val="00806A9E"/>
    <w:rsid w:val="00806CC5"/>
    <w:rsid w:val="008071D7"/>
    <w:rsid w:val="008072E5"/>
    <w:rsid w:val="008105D7"/>
    <w:rsid w:val="00810A0E"/>
    <w:rsid w:val="00810A6F"/>
    <w:rsid w:val="00810B57"/>
    <w:rsid w:val="00811B65"/>
    <w:rsid w:val="008127A1"/>
    <w:rsid w:val="00812DBC"/>
    <w:rsid w:val="008131D1"/>
    <w:rsid w:val="00813DB0"/>
    <w:rsid w:val="00813EDA"/>
    <w:rsid w:val="00814704"/>
    <w:rsid w:val="008148C8"/>
    <w:rsid w:val="00815AAF"/>
    <w:rsid w:val="00815BA7"/>
    <w:rsid w:val="00816017"/>
    <w:rsid w:val="008167A8"/>
    <w:rsid w:val="00817909"/>
    <w:rsid w:val="008201F6"/>
    <w:rsid w:val="00820CAF"/>
    <w:rsid w:val="00820D71"/>
    <w:rsid w:val="00821187"/>
    <w:rsid w:val="0082148E"/>
    <w:rsid w:val="00821B99"/>
    <w:rsid w:val="00821E1D"/>
    <w:rsid w:val="00822733"/>
    <w:rsid w:val="00822DF2"/>
    <w:rsid w:val="00823FB0"/>
    <w:rsid w:val="00824525"/>
    <w:rsid w:val="00824C5E"/>
    <w:rsid w:val="008252D2"/>
    <w:rsid w:val="00825C93"/>
    <w:rsid w:val="0082620C"/>
    <w:rsid w:val="008265D5"/>
    <w:rsid w:val="00826FA4"/>
    <w:rsid w:val="0082743C"/>
    <w:rsid w:val="00827A42"/>
    <w:rsid w:val="00827A53"/>
    <w:rsid w:val="00830015"/>
    <w:rsid w:val="00830224"/>
    <w:rsid w:val="008311DD"/>
    <w:rsid w:val="008317FE"/>
    <w:rsid w:val="00834679"/>
    <w:rsid w:val="00835F65"/>
    <w:rsid w:val="00840002"/>
    <w:rsid w:val="008401DB"/>
    <w:rsid w:val="008404C0"/>
    <w:rsid w:val="00840D28"/>
    <w:rsid w:val="00840DE6"/>
    <w:rsid w:val="00840DF0"/>
    <w:rsid w:val="00841199"/>
    <w:rsid w:val="008412FB"/>
    <w:rsid w:val="0084244F"/>
    <w:rsid w:val="00842895"/>
    <w:rsid w:val="0084383C"/>
    <w:rsid w:val="008440F5"/>
    <w:rsid w:val="008441C5"/>
    <w:rsid w:val="008448A8"/>
    <w:rsid w:val="00844FF1"/>
    <w:rsid w:val="00845477"/>
    <w:rsid w:val="00845CC7"/>
    <w:rsid w:val="008463A9"/>
    <w:rsid w:val="008463DC"/>
    <w:rsid w:val="0084661D"/>
    <w:rsid w:val="00847A75"/>
    <w:rsid w:val="00850019"/>
    <w:rsid w:val="008500A5"/>
    <w:rsid w:val="0085195A"/>
    <w:rsid w:val="00851C2C"/>
    <w:rsid w:val="00851C88"/>
    <w:rsid w:val="008525C1"/>
    <w:rsid w:val="00852846"/>
    <w:rsid w:val="00852A76"/>
    <w:rsid w:val="00852FE6"/>
    <w:rsid w:val="00853FF1"/>
    <w:rsid w:val="008546AB"/>
    <w:rsid w:val="00854A64"/>
    <w:rsid w:val="00855420"/>
    <w:rsid w:val="0085631D"/>
    <w:rsid w:val="008565F4"/>
    <w:rsid w:val="00856876"/>
    <w:rsid w:val="00856FA5"/>
    <w:rsid w:val="00857363"/>
    <w:rsid w:val="00860688"/>
    <w:rsid w:val="0086246A"/>
    <w:rsid w:val="00862D67"/>
    <w:rsid w:val="00863122"/>
    <w:rsid w:val="008631B4"/>
    <w:rsid w:val="008644F2"/>
    <w:rsid w:val="008655AC"/>
    <w:rsid w:val="0086571A"/>
    <w:rsid w:val="00865CAA"/>
    <w:rsid w:val="00866077"/>
    <w:rsid w:val="00866255"/>
    <w:rsid w:val="0086698D"/>
    <w:rsid w:val="00867351"/>
    <w:rsid w:val="0086753B"/>
    <w:rsid w:val="008707CF"/>
    <w:rsid w:val="00872503"/>
    <w:rsid w:val="00872D5D"/>
    <w:rsid w:val="008745D7"/>
    <w:rsid w:val="00874BDB"/>
    <w:rsid w:val="00874EED"/>
    <w:rsid w:val="00874F7C"/>
    <w:rsid w:val="008752D5"/>
    <w:rsid w:val="00877563"/>
    <w:rsid w:val="008801DA"/>
    <w:rsid w:val="008808CB"/>
    <w:rsid w:val="008819DD"/>
    <w:rsid w:val="00882988"/>
    <w:rsid w:val="00882E66"/>
    <w:rsid w:val="008839D7"/>
    <w:rsid w:val="00883EA7"/>
    <w:rsid w:val="00883F86"/>
    <w:rsid w:val="00884391"/>
    <w:rsid w:val="00884BE6"/>
    <w:rsid w:val="00884C3B"/>
    <w:rsid w:val="00884D3A"/>
    <w:rsid w:val="00884E34"/>
    <w:rsid w:val="00885555"/>
    <w:rsid w:val="008865E0"/>
    <w:rsid w:val="00886B4E"/>
    <w:rsid w:val="00886E33"/>
    <w:rsid w:val="0088741D"/>
    <w:rsid w:val="008879C1"/>
    <w:rsid w:val="00887CD1"/>
    <w:rsid w:val="00890105"/>
    <w:rsid w:val="00890B2A"/>
    <w:rsid w:val="00891F75"/>
    <w:rsid w:val="008925BD"/>
    <w:rsid w:val="0089275D"/>
    <w:rsid w:val="00892861"/>
    <w:rsid w:val="00892EDD"/>
    <w:rsid w:val="00893974"/>
    <w:rsid w:val="00893A4F"/>
    <w:rsid w:val="00893C90"/>
    <w:rsid w:val="00893F18"/>
    <w:rsid w:val="0089457C"/>
    <w:rsid w:val="00894823"/>
    <w:rsid w:val="008954C2"/>
    <w:rsid w:val="00895E36"/>
    <w:rsid w:val="00896798"/>
    <w:rsid w:val="00896AC1"/>
    <w:rsid w:val="00896F6D"/>
    <w:rsid w:val="00897D5E"/>
    <w:rsid w:val="008A02C2"/>
    <w:rsid w:val="008A1129"/>
    <w:rsid w:val="008A1246"/>
    <w:rsid w:val="008A1CDB"/>
    <w:rsid w:val="008A202F"/>
    <w:rsid w:val="008A2119"/>
    <w:rsid w:val="008A215B"/>
    <w:rsid w:val="008A2477"/>
    <w:rsid w:val="008A2A81"/>
    <w:rsid w:val="008A2B0E"/>
    <w:rsid w:val="008A2BF5"/>
    <w:rsid w:val="008A32B3"/>
    <w:rsid w:val="008A332F"/>
    <w:rsid w:val="008A35EC"/>
    <w:rsid w:val="008A364E"/>
    <w:rsid w:val="008A3762"/>
    <w:rsid w:val="008A3A91"/>
    <w:rsid w:val="008A3E0E"/>
    <w:rsid w:val="008A3E4D"/>
    <w:rsid w:val="008A4435"/>
    <w:rsid w:val="008A451F"/>
    <w:rsid w:val="008A4796"/>
    <w:rsid w:val="008A5662"/>
    <w:rsid w:val="008A5D1A"/>
    <w:rsid w:val="008A5EAC"/>
    <w:rsid w:val="008A71BB"/>
    <w:rsid w:val="008A73BF"/>
    <w:rsid w:val="008A73DF"/>
    <w:rsid w:val="008A7915"/>
    <w:rsid w:val="008A7E84"/>
    <w:rsid w:val="008B0537"/>
    <w:rsid w:val="008B07BF"/>
    <w:rsid w:val="008B1A74"/>
    <w:rsid w:val="008B28EC"/>
    <w:rsid w:val="008B2CA5"/>
    <w:rsid w:val="008B3141"/>
    <w:rsid w:val="008B3743"/>
    <w:rsid w:val="008B3A1A"/>
    <w:rsid w:val="008B6240"/>
    <w:rsid w:val="008C00BE"/>
    <w:rsid w:val="008C0254"/>
    <w:rsid w:val="008C1593"/>
    <w:rsid w:val="008C1728"/>
    <w:rsid w:val="008C1C2E"/>
    <w:rsid w:val="008C21D1"/>
    <w:rsid w:val="008C25B6"/>
    <w:rsid w:val="008C2AF7"/>
    <w:rsid w:val="008C3DF8"/>
    <w:rsid w:val="008C3F38"/>
    <w:rsid w:val="008C4C0E"/>
    <w:rsid w:val="008C54D6"/>
    <w:rsid w:val="008C59A8"/>
    <w:rsid w:val="008C67E9"/>
    <w:rsid w:val="008C689A"/>
    <w:rsid w:val="008C69AF"/>
    <w:rsid w:val="008C6D86"/>
    <w:rsid w:val="008C74BC"/>
    <w:rsid w:val="008C7830"/>
    <w:rsid w:val="008C7EBA"/>
    <w:rsid w:val="008D0100"/>
    <w:rsid w:val="008D03C9"/>
    <w:rsid w:val="008D08F7"/>
    <w:rsid w:val="008D1223"/>
    <w:rsid w:val="008D1263"/>
    <w:rsid w:val="008D1A82"/>
    <w:rsid w:val="008D1AD8"/>
    <w:rsid w:val="008D22AD"/>
    <w:rsid w:val="008D254E"/>
    <w:rsid w:val="008D266A"/>
    <w:rsid w:val="008D2FC6"/>
    <w:rsid w:val="008D324A"/>
    <w:rsid w:val="008D40CF"/>
    <w:rsid w:val="008D480F"/>
    <w:rsid w:val="008D4F48"/>
    <w:rsid w:val="008D5F8A"/>
    <w:rsid w:val="008D628D"/>
    <w:rsid w:val="008D62A9"/>
    <w:rsid w:val="008D67A1"/>
    <w:rsid w:val="008D6AAD"/>
    <w:rsid w:val="008D7129"/>
    <w:rsid w:val="008D7FC2"/>
    <w:rsid w:val="008E00AE"/>
    <w:rsid w:val="008E0D50"/>
    <w:rsid w:val="008E0D9D"/>
    <w:rsid w:val="008E0F20"/>
    <w:rsid w:val="008E1AF7"/>
    <w:rsid w:val="008E23BE"/>
    <w:rsid w:val="008E24C2"/>
    <w:rsid w:val="008E2DA1"/>
    <w:rsid w:val="008E304B"/>
    <w:rsid w:val="008E3746"/>
    <w:rsid w:val="008E420A"/>
    <w:rsid w:val="008E4317"/>
    <w:rsid w:val="008E4E42"/>
    <w:rsid w:val="008E5016"/>
    <w:rsid w:val="008E513F"/>
    <w:rsid w:val="008E521B"/>
    <w:rsid w:val="008E573E"/>
    <w:rsid w:val="008E60D6"/>
    <w:rsid w:val="008E67D9"/>
    <w:rsid w:val="008E73FF"/>
    <w:rsid w:val="008E7B96"/>
    <w:rsid w:val="008F0488"/>
    <w:rsid w:val="008F04EB"/>
    <w:rsid w:val="008F159C"/>
    <w:rsid w:val="008F270F"/>
    <w:rsid w:val="008F2C5E"/>
    <w:rsid w:val="008F390F"/>
    <w:rsid w:val="008F3F35"/>
    <w:rsid w:val="008F4214"/>
    <w:rsid w:val="008F441E"/>
    <w:rsid w:val="008F4C10"/>
    <w:rsid w:val="008F4F2F"/>
    <w:rsid w:val="008F515F"/>
    <w:rsid w:val="008F546E"/>
    <w:rsid w:val="008F6689"/>
    <w:rsid w:val="008F7CBB"/>
    <w:rsid w:val="008F7EA6"/>
    <w:rsid w:val="009003BE"/>
    <w:rsid w:val="00901008"/>
    <w:rsid w:val="00901A77"/>
    <w:rsid w:val="00901C66"/>
    <w:rsid w:val="00902175"/>
    <w:rsid w:val="009040A1"/>
    <w:rsid w:val="00904471"/>
    <w:rsid w:val="009049A5"/>
    <w:rsid w:val="00904D0D"/>
    <w:rsid w:val="00906199"/>
    <w:rsid w:val="00907098"/>
    <w:rsid w:val="009070A2"/>
    <w:rsid w:val="00907744"/>
    <w:rsid w:val="0091064F"/>
    <w:rsid w:val="00911660"/>
    <w:rsid w:val="00911823"/>
    <w:rsid w:val="009118F5"/>
    <w:rsid w:val="00911F72"/>
    <w:rsid w:val="00912467"/>
    <w:rsid w:val="00912786"/>
    <w:rsid w:val="0091280A"/>
    <w:rsid w:val="00913920"/>
    <w:rsid w:val="00913ACF"/>
    <w:rsid w:val="00913C52"/>
    <w:rsid w:val="009142FA"/>
    <w:rsid w:val="00914630"/>
    <w:rsid w:val="00914BF9"/>
    <w:rsid w:val="00914CAB"/>
    <w:rsid w:val="009151C0"/>
    <w:rsid w:val="009168AD"/>
    <w:rsid w:val="009169F0"/>
    <w:rsid w:val="00916AA6"/>
    <w:rsid w:val="00916BF0"/>
    <w:rsid w:val="00917ADB"/>
    <w:rsid w:val="009228C4"/>
    <w:rsid w:val="00922982"/>
    <w:rsid w:val="00923BEB"/>
    <w:rsid w:val="009240BE"/>
    <w:rsid w:val="00924662"/>
    <w:rsid w:val="00925D30"/>
    <w:rsid w:val="00925DC3"/>
    <w:rsid w:val="0092779E"/>
    <w:rsid w:val="0092783B"/>
    <w:rsid w:val="00927CCD"/>
    <w:rsid w:val="00927DCD"/>
    <w:rsid w:val="009301DF"/>
    <w:rsid w:val="00930884"/>
    <w:rsid w:val="00932486"/>
    <w:rsid w:val="00932F5B"/>
    <w:rsid w:val="00933072"/>
    <w:rsid w:val="00933803"/>
    <w:rsid w:val="00934A0B"/>
    <w:rsid w:val="00934F0A"/>
    <w:rsid w:val="00934F61"/>
    <w:rsid w:val="00935318"/>
    <w:rsid w:val="009355D3"/>
    <w:rsid w:val="00935A4D"/>
    <w:rsid w:val="00935D7E"/>
    <w:rsid w:val="00936924"/>
    <w:rsid w:val="00936935"/>
    <w:rsid w:val="00936B60"/>
    <w:rsid w:val="00936CC8"/>
    <w:rsid w:val="00936EEB"/>
    <w:rsid w:val="00937997"/>
    <w:rsid w:val="009379BF"/>
    <w:rsid w:val="00937D5A"/>
    <w:rsid w:val="0094096B"/>
    <w:rsid w:val="00941692"/>
    <w:rsid w:val="00941969"/>
    <w:rsid w:val="00942D86"/>
    <w:rsid w:val="00944328"/>
    <w:rsid w:val="00944E55"/>
    <w:rsid w:val="00945236"/>
    <w:rsid w:val="00946740"/>
    <w:rsid w:val="009501BA"/>
    <w:rsid w:val="009502E1"/>
    <w:rsid w:val="009517AB"/>
    <w:rsid w:val="00952C4F"/>
    <w:rsid w:val="0095401C"/>
    <w:rsid w:val="00955024"/>
    <w:rsid w:val="00955291"/>
    <w:rsid w:val="00956A03"/>
    <w:rsid w:val="00956D82"/>
    <w:rsid w:val="00957881"/>
    <w:rsid w:val="00957E80"/>
    <w:rsid w:val="0096043B"/>
    <w:rsid w:val="0096046B"/>
    <w:rsid w:val="009611B9"/>
    <w:rsid w:val="0096181D"/>
    <w:rsid w:val="00961EE3"/>
    <w:rsid w:val="0096266E"/>
    <w:rsid w:val="0096415C"/>
    <w:rsid w:val="00964165"/>
    <w:rsid w:val="009641EE"/>
    <w:rsid w:val="009642BB"/>
    <w:rsid w:val="009650DF"/>
    <w:rsid w:val="00966939"/>
    <w:rsid w:val="00966AF7"/>
    <w:rsid w:val="009672D7"/>
    <w:rsid w:val="009679FC"/>
    <w:rsid w:val="00970AB6"/>
    <w:rsid w:val="00971121"/>
    <w:rsid w:val="009715B1"/>
    <w:rsid w:val="00971AFD"/>
    <w:rsid w:val="00971CEB"/>
    <w:rsid w:val="009722A5"/>
    <w:rsid w:val="00973B54"/>
    <w:rsid w:val="00973DA0"/>
    <w:rsid w:val="00973F34"/>
    <w:rsid w:val="00974C54"/>
    <w:rsid w:val="00974E0E"/>
    <w:rsid w:val="00975AC3"/>
    <w:rsid w:val="00976452"/>
    <w:rsid w:val="00976B9C"/>
    <w:rsid w:val="00976C26"/>
    <w:rsid w:val="00976DF4"/>
    <w:rsid w:val="00976F95"/>
    <w:rsid w:val="009770FB"/>
    <w:rsid w:val="009772A5"/>
    <w:rsid w:val="009779D0"/>
    <w:rsid w:val="00980BA1"/>
    <w:rsid w:val="00980C82"/>
    <w:rsid w:val="00981DD7"/>
    <w:rsid w:val="0098262B"/>
    <w:rsid w:val="00982688"/>
    <w:rsid w:val="009826D6"/>
    <w:rsid w:val="00983947"/>
    <w:rsid w:val="0098429C"/>
    <w:rsid w:val="00984660"/>
    <w:rsid w:val="00984979"/>
    <w:rsid w:val="009849EA"/>
    <w:rsid w:val="0098527F"/>
    <w:rsid w:val="009854E3"/>
    <w:rsid w:val="00985FEB"/>
    <w:rsid w:val="00986DFB"/>
    <w:rsid w:val="009877CA"/>
    <w:rsid w:val="009877F3"/>
    <w:rsid w:val="00987B75"/>
    <w:rsid w:val="00990537"/>
    <w:rsid w:val="00990626"/>
    <w:rsid w:val="0099165E"/>
    <w:rsid w:val="00991BFC"/>
    <w:rsid w:val="00991C5B"/>
    <w:rsid w:val="009931F5"/>
    <w:rsid w:val="0099384A"/>
    <w:rsid w:val="00994147"/>
    <w:rsid w:val="009943BF"/>
    <w:rsid w:val="00994C15"/>
    <w:rsid w:val="0099540B"/>
    <w:rsid w:val="00995568"/>
    <w:rsid w:val="009959AA"/>
    <w:rsid w:val="00997C8E"/>
    <w:rsid w:val="009A15FA"/>
    <w:rsid w:val="009A1640"/>
    <w:rsid w:val="009A1AF8"/>
    <w:rsid w:val="009A2370"/>
    <w:rsid w:val="009A2C7D"/>
    <w:rsid w:val="009A2D7E"/>
    <w:rsid w:val="009A3B15"/>
    <w:rsid w:val="009A40C3"/>
    <w:rsid w:val="009A5212"/>
    <w:rsid w:val="009A5F3D"/>
    <w:rsid w:val="009A6D48"/>
    <w:rsid w:val="009A6FD6"/>
    <w:rsid w:val="009A745E"/>
    <w:rsid w:val="009A787B"/>
    <w:rsid w:val="009A7C40"/>
    <w:rsid w:val="009B060B"/>
    <w:rsid w:val="009B0725"/>
    <w:rsid w:val="009B13FE"/>
    <w:rsid w:val="009B28F8"/>
    <w:rsid w:val="009B2B45"/>
    <w:rsid w:val="009B3F98"/>
    <w:rsid w:val="009B433A"/>
    <w:rsid w:val="009B4DF0"/>
    <w:rsid w:val="009B5236"/>
    <w:rsid w:val="009B5E41"/>
    <w:rsid w:val="009B6DDF"/>
    <w:rsid w:val="009B7548"/>
    <w:rsid w:val="009B7A70"/>
    <w:rsid w:val="009C0BA5"/>
    <w:rsid w:val="009C123B"/>
    <w:rsid w:val="009C141A"/>
    <w:rsid w:val="009C17DC"/>
    <w:rsid w:val="009C1E01"/>
    <w:rsid w:val="009C2ADE"/>
    <w:rsid w:val="009C2CB0"/>
    <w:rsid w:val="009C3075"/>
    <w:rsid w:val="009C3770"/>
    <w:rsid w:val="009C4F15"/>
    <w:rsid w:val="009C5071"/>
    <w:rsid w:val="009C5319"/>
    <w:rsid w:val="009C58B9"/>
    <w:rsid w:val="009C6A6D"/>
    <w:rsid w:val="009C6ADE"/>
    <w:rsid w:val="009C72A1"/>
    <w:rsid w:val="009C734A"/>
    <w:rsid w:val="009C74C6"/>
    <w:rsid w:val="009C7C43"/>
    <w:rsid w:val="009C7F1A"/>
    <w:rsid w:val="009D0350"/>
    <w:rsid w:val="009D03AB"/>
    <w:rsid w:val="009D0559"/>
    <w:rsid w:val="009D0A71"/>
    <w:rsid w:val="009D17D8"/>
    <w:rsid w:val="009D20F6"/>
    <w:rsid w:val="009D3347"/>
    <w:rsid w:val="009D36BD"/>
    <w:rsid w:val="009D43BC"/>
    <w:rsid w:val="009D47FC"/>
    <w:rsid w:val="009D4CF0"/>
    <w:rsid w:val="009D62E1"/>
    <w:rsid w:val="009D71A8"/>
    <w:rsid w:val="009D7F7F"/>
    <w:rsid w:val="009E00E6"/>
    <w:rsid w:val="009E0688"/>
    <w:rsid w:val="009E06F7"/>
    <w:rsid w:val="009E0A1A"/>
    <w:rsid w:val="009E165B"/>
    <w:rsid w:val="009E1F66"/>
    <w:rsid w:val="009E202C"/>
    <w:rsid w:val="009E2DAF"/>
    <w:rsid w:val="009E3A81"/>
    <w:rsid w:val="009E670C"/>
    <w:rsid w:val="009E760D"/>
    <w:rsid w:val="009E7757"/>
    <w:rsid w:val="009E7F4C"/>
    <w:rsid w:val="009F005A"/>
    <w:rsid w:val="009F0939"/>
    <w:rsid w:val="009F09BB"/>
    <w:rsid w:val="009F1254"/>
    <w:rsid w:val="009F168A"/>
    <w:rsid w:val="009F1740"/>
    <w:rsid w:val="009F3079"/>
    <w:rsid w:val="009F3701"/>
    <w:rsid w:val="009F3B91"/>
    <w:rsid w:val="009F3F68"/>
    <w:rsid w:val="009F43D8"/>
    <w:rsid w:val="009F4ADB"/>
    <w:rsid w:val="009F584A"/>
    <w:rsid w:val="009F58FE"/>
    <w:rsid w:val="009F5D33"/>
    <w:rsid w:val="009F5E5B"/>
    <w:rsid w:val="009F60BC"/>
    <w:rsid w:val="009F6545"/>
    <w:rsid w:val="009F6CE9"/>
    <w:rsid w:val="009F6D22"/>
    <w:rsid w:val="009F7B42"/>
    <w:rsid w:val="009F7CDE"/>
    <w:rsid w:val="00A00BD6"/>
    <w:rsid w:val="00A00E17"/>
    <w:rsid w:val="00A014E0"/>
    <w:rsid w:val="00A01E6D"/>
    <w:rsid w:val="00A01F28"/>
    <w:rsid w:val="00A0289C"/>
    <w:rsid w:val="00A04B3E"/>
    <w:rsid w:val="00A055AF"/>
    <w:rsid w:val="00A074A6"/>
    <w:rsid w:val="00A07DBD"/>
    <w:rsid w:val="00A1071C"/>
    <w:rsid w:val="00A111C6"/>
    <w:rsid w:val="00A114BB"/>
    <w:rsid w:val="00A117C6"/>
    <w:rsid w:val="00A11AAB"/>
    <w:rsid w:val="00A12353"/>
    <w:rsid w:val="00A12772"/>
    <w:rsid w:val="00A12CFA"/>
    <w:rsid w:val="00A1340F"/>
    <w:rsid w:val="00A13ECE"/>
    <w:rsid w:val="00A1411B"/>
    <w:rsid w:val="00A14AC3"/>
    <w:rsid w:val="00A150BC"/>
    <w:rsid w:val="00A1542A"/>
    <w:rsid w:val="00A156B9"/>
    <w:rsid w:val="00A157D0"/>
    <w:rsid w:val="00A159C7"/>
    <w:rsid w:val="00A169C3"/>
    <w:rsid w:val="00A16CEF"/>
    <w:rsid w:val="00A17963"/>
    <w:rsid w:val="00A17AE0"/>
    <w:rsid w:val="00A20593"/>
    <w:rsid w:val="00A20828"/>
    <w:rsid w:val="00A216CF"/>
    <w:rsid w:val="00A21AA0"/>
    <w:rsid w:val="00A21FFA"/>
    <w:rsid w:val="00A2205E"/>
    <w:rsid w:val="00A22691"/>
    <w:rsid w:val="00A2294F"/>
    <w:rsid w:val="00A23B1E"/>
    <w:rsid w:val="00A23B6E"/>
    <w:rsid w:val="00A23D00"/>
    <w:rsid w:val="00A23D8B"/>
    <w:rsid w:val="00A241BB"/>
    <w:rsid w:val="00A24BA9"/>
    <w:rsid w:val="00A24D3D"/>
    <w:rsid w:val="00A25D4A"/>
    <w:rsid w:val="00A266DC"/>
    <w:rsid w:val="00A27215"/>
    <w:rsid w:val="00A2758A"/>
    <w:rsid w:val="00A303B5"/>
    <w:rsid w:val="00A30724"/>
    <w:rsid w:val="00A309E0"/>
    <w:rsid w:val="00A30E04"/>
    <w:rsid w:val="00A3122E"/>
    <w:rsid w:val="00A314B6"/>
    <w:rsid w:val="00A31568"/>
    <w:rsid w:val="00A31577"/>
    <w:rsid w:val="00A3159C"/>
    <w:rsid w:val="00A3179B"/>
    <w:rsid w:val="00A334DF"/>
    <w:rsid w:val="00A3374F"/>
    <w:rsid w:val="00A338AE"/>
    <w:rsid w:val="00A33917"/>
    <w:rsid w:val="00A34290"/>
    <w:rsid w:val="00A355FB"/>
    <w:rsid w:val="00A356D0"/>
    <w:rsid w:val="00A35A2F"/>
    <w:rsid w:val="00A35E75"/>
    <w:rsid w:val="00A373D1"/>
    <w:rsid w:val="00A37AB2"/>
    <w:rsid w:val="00A37D4E"/>
    <w:rsid w:val="00A403A3"/>
    <w:rsid w:val="00A407B4"/>
    <w:rsid w:val="00A414DA"/>
    <w:rsid w:val="00A42E17"/>
    <w:rsid w:val="00A4389E"/>
    <w:rsid w:val="00A43962"/>
    <w:rsid w:val="00A43D91"/>
    <w:rsid w:val="00A4460D"/>
    <w:rsid w:val="00A44D2F"/>
    <w:rsid w:val="00A45A57"/>
    <w:rsid w:val="00A45E70"/>
    <w:rsid w:val="00A46C12"/>
    <w:rsid w:val="00A47B27"/>
    <w:rsid w:val="00A47DF4"/>
    <w:rsid w:val="00A502CD"/>
    <w:rsid w:val="00A502D5"/>
    <w:rsid w:val="00A5049F"/>
    <w:rsid w:val="00A504F1"/>
    <w:rsid w:val="00A511AA"/>
    <w:rsid w:val="00A51417"/>
    <w:rsid w:val="00A51555"/>
    <w:rsid w:val="00A5248A"/>
    <w:rsid w:val="00A526F4"/>
    <w:rsid w:val="00A53153"/>
    <w:rsid w:val="00A53C12"/>
    <w:rsid w:val="00A54A4B"/>
    <w:rsid w:val="00A54E48"/>
    <w:rsid w:val="00A55305"/>
    <w:rsid w:val="00A5547A"/>
    <w:rsid w:val="00A55B69"/>
    <w:rsid w:val="00A55DF1"/>
    <w:rsid w:val="00A57743"/>
    <w:rsid w:val="00A57B23"/>
    <w:rsid w:val="00A60708"/>
    <w:rsid w:val="00A608EC"/>
    <w:rsid w:val="00A60A9B"/>
    <w:rsid w:val="00A60E67"/>
    <w:rsid w:val="00A60E8E"/>
    <w:rsid w:val="00A60EA7"/>
    <w:rsid w:val="00A61690"/>
    <w:rsid w:val="00A6252F"/>
    <w:rsid w:val="00A6388F"/>
    <w:rsid w:val="00A63ACC"/>
    <w:rsid w:val="00A6464E"/>
    <w:rsid w:val="00A66202"/>
    <w:rsid w:val="00A668E6"/>
    <w:rsid w:val="00A67169"/>
    <w:rsid w:val="00A677DF"/>
    <w:rsid w:val="00A67D07"/>
    <w:rsid w:val="00A7001B"/>
    <w:rsid w:val="00A708BE"/>
    <w:rsid w:val="00A70A6D"/>
    <w:rsid w:val="00A70CA7"/>
    <w:rsid w:val="00A70F40"/>
    <w:rsid w:val="00A713A8"/>
    <w:rsid w:val="00A720CE"/>
    <w:rsid w:val="00A72B31"/>
    <w:rsid w:val="00A7355E"/>
    <w:rsid w:val="00A73B2B"/>
    <w:rsid w:val="00A73BA6"/>
    <w:rsid w:val="00A74412"/>
    <w:rsid w:val="00A74F9E"/>
    <w:rsid w:val="00A756D7"/>
    <w:rsid w:val="00A76659"/>
    <w:rsid w:val="00A76C1E"/>
    <w:rsid w:val="00A76FF8"/>
    <w:rsid w:val="00A771DE"/>
    <w:rsid w:val="00A7720A"/>
    <w:rsid w:val="00A779DE"/>
    <w:rsid w:val="00A77B02"/>
    <w:rsid w:val="00A77C00"/>
    <w:rsid w:val="00A81719"/>
    <w:rsid w:val="00A81C55"/>
    <w:rsid w:val="00A82244"/>
    <w:rsid w:val="00A82FA2"/>
    <w:rsid w:val="00A832B3"/>
    <w:rsid w:val="00A83607"/>
    <w:rsid w:val="00A83F86"/>
    <w:rsid w:val="00A847D7"/>
    <w:rsid w:val="00A848D8"/>
    <w:rsid w:val="00A84CF0"/>
    <w:rsid w:val="00A85212"/>
    <w:rsid w:val="00A85358"/>
    <w:rsid w:val="00A85639"/>
    <w:rsid w:val="00A85791"/>
    <w:rsid w:val="00A85BFD"/>
    <w:rsid w:val="00A8686D"/>
    <w:rsid w:val="00A86D2C"/>
    <w:rsid w:val="00A86EAB"/>
    <w:rsid w:val="00A87755"/>
    <w:rsid w:val="00A87F28"/>
    <w:rsid w:val="00A90318"/>
    <w:rsid w:val="00A905FF"/>
    <w:rsid w:val="00A907B6"/>
    <w:rsid w:val="00A914C2"/>
    <w:rsid w:val="00A915B6"/>
    <w:rsid w:val="00A91A04"/>
    <w:rsid w:val="00A91A73"/>
    <w:rsid w:val="00A922F8"/>
    <w:rsid w:val="00A94289"/>
    <w:rsid w:val="00A94E2A"/>
    <w:rsid w:val="00A952D7"/>
    <w:rsid w:val="00A9584F"/>
    <w:rsid w:val="00A9616A"/>
    <w:rsid w:val="00A96500"/>
    <w:rsid w:val="00A96FA1"/>
    <w:rsid w:val="00A9760B"/>
    <w:rsid w:val="00A97B8C"/>
    <w:rsid w:val="00AA060A"/>
    <w:rsid w:val="00AA0E3C"/>
    <w:rsid w:val="00AA112E"/>
    <w:rsid w:val="00AA1970"/>
    <w:rsid w:val="00AA1D27"/>
    <w:rsid w:val="00AA494D"/>
    <w:rsid w:val="00AA4C94"/>
    <w:rsid w:val="00AA4CEC"/>
    <w:rsid w:val="00AA4D9F"/>
    <w:rsid w:val="00AA4E40"/>
    <w:rsid w:val="00AA521C"/>
    <w:rsid w:val="00AA5230"/>
    <w:rsid w:val="00AA5A07"/>
    <w:rsid w:val="00AA5BD3"/>
    <w:rsid w:val="00AA5F16"/>
    <w:rsid w:val="00AA5FC4"/>
    <w:rsid w:val="00AA6680"/>
    <w:rsid w:val="00AA6836"/>
    <w:rsid w:val="00AA68EE"/>
    <w:rsid w:val="00AA6D1E"/>
    <w:rsid w:val="00AA7ADC"/>
    <w:rsid w:val="00AB0045"/>
    <w:rsid w:val="00AB060A"/>
    <w:rsid w:val="00AB06F2"/>
    <w:rsid w:val="00AB1065"/>
    <w:rsid w:val="00AB1374"/>
    <w:rsid w:val="00AB163E"/>
    <w:rsid w:val="00AB1F33"/>
    <w:rsid w:val="00AB2272"/>
    <w:rsid w:val="00AB39D2"/>
    <w:rsid w:val="00AB4A0D"/>
    <w:rsid w:val="00AB4C37"/>
    <w:rsid w:val="00AB4F5A"/>
    <w:rsid w:val="00AB59CC"/>
    <w:rsid w:val="00AB63BC"/>
    <w:rsid w:val="00AB6419"/>
    <w:rsid w:val="00AB6D03"/>
    <w:rsid w:val="00AB7DD2"/>
    <w:rsid w:val="00AC0237"/>
    <w:rsid w:val="00AC0B20"/>
    <w:rsid w:val="00AC0E4E"/>
    <w:rsid w:val="00AC1084"/>
    <w:rsid w:val="00AC1097"/>
    <w:rsid w:val="00AC1815"/>
    <w:rsid w:val="00AC1920"/>
    <w:rsid w:val="00AC2787"/>
    <w:rsid w:val="00AC397C"/>
    <w:rsid w:val="00AC3E12"/>
    <w:rsid w:val="00AC4103"/>
    <w:rsid w:val="00AC5D8D"/>
    <w:rsid w:val="00AC6EE6"/>
    <w:rsid w:val="00AC78B5"/>
    <w:rsid w:val="00AC78DB"/>
    <w:rsid w:val="00AD0731"/>
    <w:rsid w:val="00AD0D46"/>
    <w:rsid w:val="00AD128F"/>
    <w:rsid w:val="00AD19FB"/>
    <w:rsid w:val="00AD1CFA"/>
    <w:rsid w:val="00AD1D6D"/>
    <w:rsid w:val="00AD1EBB"/>
    <w:rsid w:val="00AD222F"/>
    <w:rsid w:val="00AD224B"/>
    <w:rsid w:val="00AD40A7"/>
    <w:rsid w:val="00AD440F"/>
    <w:rsid w:val="00AD4994"/>
    <w:rsid w:val="00AD5125"/>
    <w:rsid w:val="00AD5D19"/>
    <w:rsid w:val="00AD5D59"/>
    <w:rsid w:val="00AD5FEB"/>
    <w:rsid w:val="00AD6C94"/>
    <w:rsid w:val="00AD6D16"/>
    <w:rsid w:val="00AD7B08"/>
    <w:rsid w:val="00AE0552"/>
    <w:rsid w:val="00AE2E1A"/>
    <w:rsid w:val="00AE3B0E"/>
    <w:rsid w:val="00AE3BA9"/>
    <w:rsid w:val="00AE407F"/>
    <w:rsid w:val="00AE53D0"/>
    <w:rsid w:val="00AE54F7"/>
    <w:rsid w:val="00AE5B3C"/>
    <w:rsid w:val="00AE63A7"/>
    <w:rsid w:val="00AE71D4"/>
    <w:rsid w:val="00AF083E"/>
    <w:rsid w:val="00AF0F58"/>
    <w:rsid w:val="00AF15A4"/>
    <w:rsid w:val="00AF20C9"/>
    <w:rsid w:val="00AF2593"/>
    <w:rsid w:val="00AF2B04"/>
    <w:rsid w:val="00AF3544"/>
    <w:rsid w:val="00AF3AFA"/>
    <w:rsid w:val="00AF445A"/>
    <w:rsid w:val="00AF4D08"/>
    <w:rsid w:val="00AF53CA"/>
    <w:rsid w:val="00AF5A4D"/>
    <w:rsid w:val="00AF5FA6"/>
    <w:rsid w:val="00AF686D"/>
    <w:rsid w:val="00AF6E83"/>
    <w:rsid w:val="00AF7EE4"/>
    <w:rsid w:val="00B008CC"/>
    <w:rsid w:val="00B01075"/>
    <w:rsid w:val="00B01522"/>
    <w:rsid w:val="00B0178E"/>
    <w:rsid w:val="00B02CB8"/>
    <w:rsid w:val="00B02D2F"/>
    <w:rsid w:val="00B03ACB"/>
    <w:rsid w:val="00B04043"/>
    <w:rsid w:val="00B041C9"/>
    <w:rsid w:val="00B04CE8"/>
    <w:rsid w:val="00B0527E"/>
    <w:rsid w:val="00B05D5C"/>
    <w:rsid w:val="00B0680F"/>
    <w:rsid w:val="00B06974"/>
    <w:rsid w:val="00B06D5F"/>
    <w:rsid w:val="00B07304"/>
    <w:rsid w:val="00B07782"/>
    <w:rsid w:val="00B07D1D"/>
    <w:rsid w:val="00B07D42"/>
    <w:rsid w:val="00B108D1"/>
    <w:rsid w:val="00B11203"/>
    <w:rsid w:val="00B113E3"/>
    <w:rsid w:val="00B11843"/>
    <w:rsid w:val="00B12454"/>
    <w:rsid w:val="00B1287B"/>
    <w:rsid w:val="00B128DB"/>
    <w:rsid w:val="00B12E2D"/>
    <w:rsid w:val="00B13543"/>
    <w:rsid w:val="00B138B2"/>
    <w:rsid w:val="00B1433F"/>
    <w:rsid w:val="00B156E5"/>
    <w:rsid w:val="00B15B31"/>
    <w:rsid w:val="00B16C1D"/>
    <w:rsid w:val="00B1737A"/>
    <w:rsid w:val="00B17836"/>
    <w:rsid w:val="00B17892"/>
    <w:rsid w:val="00B179C0"/>
    <w:rsid w:val="00B17DB6"/>
    <w:rsid w:val="00B17EE8"/>
    <w:rsid w:val="00B20C26"/>
    <w:rsid w:val="00B216E3"/>
    <w:rsid w:val="00B21AD0"/>
    <w:rsid w:val="00B21BF5"/>
    <w:rsid w:val="00B225DF"/>
    <w:rsid w:val="00B22833"/>
    <w:rsid w:val="00B22875"/>
    <w:rsid w:val="00B23303"/>
    <w:rsid w:val="00B23DE2"/>
    <w:rsid w:val="00B24B59"/>
    <w:rsid w:val="00B24EE3"/>
    <w:rsid w:val="00B27BF3"/>
    <w:rsid w:val="00B30EDB"/>
    <w:rsid w:val="00B31470"/>
    <w:rsid w:val="00B31D4D"/>
    <w:rsid w:val="00B32F8F"/>
    <w:rsid w:val="00B32FD5"/>
    <w:rsid w:val="00B33D7A"/>
    <w:rsid w:val="00B3463E"/>
    <w:rsid w:val="00B34B2B"/>
    <w:rsid w:val="00B34DE9"/>
    <w:rsid w:val="00B3622C"/>
    <w:rsid w:val="00B36DD5"/>
    <w:rsid w:val="00B37B0F"/>
    <w:rsid w:val="00B4025A"/>
    <w:rsid w:val="00B405EF"/>
    <w:rsid w:val="00B40BCD"/>
    <w:rsid w:val="00B411AF"/>
    <w:rsid w:val="00B41D31"/>
    <w:rsid w:val="00B41F9C"/>
    <w:rsid w:val="00B42CE0"/>
    <w:rsid w:val="00B42FEB"/>
    <w:rsid w:val="00B430EA"/>
    <w:rsid w:val="00B43264"/>
    <w:rsid w:val="00B4373D"/>
    <w:rsid w:val="00B4374B"/>
    <w:rsid w:val="00B4397C"/>
    <w:rsid w:val="00B43BDE"/>
    <w:rsid w:val="00B43E0D"/>
    <w:rsid w:val="00B43E2A"/>
    <w:rsid w:val="00B44F7C"/>
    <w:rsid w:val="00B44FB0"/>
    <w:rsid w:val="00B453BD"/>
    <w:rsid w:val="00B45907"/>
    <w:rsid w:val="00B4605B"/>
    <w:rsid w:val="00B476D2"/>
    <w:rsid w:val="00B477D0"/>
    <w:rsid w:val="00B47B91"/>
    <w:rsid w:val="00B47EE7"/>
    <w:rsid w:val="00B51040"/>
    <w:rsid w:val="00B5127D"/>
    <w:rsid w:val="00B51700"/>
    <w:rsid w:val="00B5171E"/>
    <w:rsid w:val="00B51C1B"/>
    <w:rsid w:val="00B52374"/>
    <w:rsid w:val="00B52487"/>
    <w:rsid w:val="00B5346E"/>
    <w:rsid w:val="00B53B96"/>
    <w:rsid w:val="00B53DF7"/>
    <w:rsid w:val="00B5401D"/>
    <w:rsid w:val="00B54641"/>
    <w:rsid w:val="00B5499E"/>
    <w:rsid w:val="00B5540A"/>
    <w:rsid w:val="00B57ECC"/>
    <w:rsid w:val="00B60050"/>
    <w:rsid w:val="00B6043D"/>
    <w:rsid w:val="00B60696"/>
    <w:rsid w:val="00B60D8F"/>
    <w:rsid w:val="00B61376"/>
    <w:rsid w:val="00B616CF"/>
    <w:rsid w:val="00B62018"/>
    <w:rsid w:val="00B6205F"/>
    <w:rsid w:val="00B621C8"/>
    <w:rsid w:val="00B6289C"/>
    <w:rsid w:val="00B62AB2"/>
    <w:rsid w:val="00B63DBB"/>
    <w:rsid w:val="00B64A8E"/>
    <w:rsid w:val="00B64C46"/>
    <w:rsid w:val="00B656AC"/>
    <w:rsid w:val="00B66026"/>
    <w:rsid w:val="00B6634E"/>
    <w:rsid w:val="00B664E5"/>
    <w:rsid w:val="00B66B3D"/>
    <w:rsid w:val="00B6721A"/>
    <w:rsid w:val="00B6745D"/>
    <w:rsid w:val="00B67471"/>
    <w:rsid w:val="00B674E9"/>
    <w:rsid w:val="00B6764A"/>
    <w:rsid w:val="00B67B2E"/>
    <w:rsid w:val="00B7097A"/>
    <w:rsid w:val="00B70CA4"/>
    <w:rsid w:val="00B71436"/>
    <w:rsid w:val="00B718A8"/>
    <w:rsid w:val="00B72084"/>
    <w:rsid w:val="00B72366"/>
    <w:rsid w:val="00B72714"/>
    <w:rsid w:val="00B72A1F"/>
    <w:rsid w:val="00B72AC8"/>
    <w:rsid w:val="00B73086"/>
    <w:rsid w:val="00B73E81"/>
    <w:rsid w:val="00B748BA"/>
    <w:rsid w:val="00B74FF8"/>
    <w:rsid w:val="00B7517A"/>
    <w:rsid w:val="00B7531F"/>
    <w:rsid w:val="00B75ED2"/>
    <w:rsid w:val="00B77668"/>
    <w:rsid w:val="00B77D62"/>
    <w:rsid w:val="00B805EF"/>
    <w:rsid w:val="00B80FB1"/>
    <w:rsid w:val="00B812ED"/>
    <w:rsid w:val="00B81C65"/>
    <w:rsid w:val="00B82484"/>
    <w:rsid w:val="00B82DE4"/>
    <w:rsid w:val="00B82F59"/>
    <w:rsid w:val="00B83A4C"/>
    <w:rsid w:val="00B842B8"/>
    <w:rsid w:val="00B8458F"/>
    <w:rsid w:val="00B84BD8"/>
    <w:rsid w:val="00B84C3E"/>
    <w:rsid w:val="00B86732"/>
    <w:rsid w:val="00B868A0"/>
    <w:rsid w:val="00B86912"/>
    <w:rsid w:val="00B869F6"/>
    <w:rsid w:val="00B87493"/>
    <w:rsid w:val="00B87624"/>
    <w:rsid w:val="00B908AF"/>
    <w:rsid w:val="00B908E2"/>
    <w:rsid w:val="00B90F98"/>
    <w:rsid w:val="00B910AB"/>
    <w:rsid w:val="00B919C1"/>
    <w:rsid w:val="00B91A3D"/>
    <w:rsid w:val="00B9213A"/>
    <w:rsid w:val="00B92C0D"/>
    <w:rsid w:val="00B92DDC"/>
    <w:rsid w:val="00B92FB8"/>
    <w:rsid w:val="00B93677"/>
    <w:rsid w:val="00B94853"/>
    <w:rsid w:val="00B94B52"/>
    <w:rsid w:val="00B94CFF"/>
    <w:rsid w:val="00B95229"/>
    <w:rsid w:val="00B9543D"/>
    <w:rsid w:val="00B95C87"/>
    <w:rsid w:val="00B95E0E"/>
    <w:rsid w:val="00B95F81"/>
    <w:rsid w:val="00B96B8B"/>
    <w:rsid w:val="00B97289"/>
    <w:rsid w:val="00B97694"/>
    <w:rsid w:val="00B978D5"/>
    <w:rsid w:val="00B97960"/>
    <w:rsid w:val="00BA04BA"/>
    <w:rsid w:val="00BA081B"/>
    <w:rsid w:val="00BA1338"/>
    <w:rsid w:val="00BA13BC"/>
    <w:rsid w:val="00BA2152"/>
    <w:rsid w:val="00BA232D"/>
    <w:rsid w:val="00BA26C1"/>
    <w:rsid w:val="00BA2D6F"/>
    <w:rsid w:val="00BA311F"/>
    <w:rsid w:val="00BA347D"/>
    <w:rsid w:val="00BA4182"/>
    <w:rsid w:val="00BA45F6"/>
    <w:rsid w:val="00BA4AC3"/>
    <w:rsid w:val="00BA5C54"/>
    <w:rsid w:val="00BA6215"/>
    <w:rsid w:val="00BA62DC"/>
    <w:rsid w:val="00BA664A"/>
    <w:rsid w:val="00BA6948"/>
    <w:rsid w:val="00BA7291"/>
    <w:rsid w:val="00BA79E0"/>
    <w:rsid w:val="00BA7FA2"/>
    <w:rsid w:val="00BB0260"/>
    <w:rsid w:val="00BB0568"/>
    <w:rsid w:val="00BB09A8"/>
    <w:rsid w:val="00BB1100"/>
    <w:rsid w:val="00BB1104"/>
    <w:rsid w:val="00BB1D11"/>
    <w:rsid w:val="00BB2C96"/>
    <w:rsid w:val="00BB3763"/>
    <w:rsid w:val="00BB3812"/>
    <w:rsid w:val="00BB47CB"/>
    <w:rsid w:val="00BB507F"/>
    <w:rsid w:val="00BB57C0"/>
    <w:rsid w:val="00BB5B50"/>
    <w:rsid w:val="00BB7934"/>
    <w:rsid w:val="00BB7954"/>
    <w:rsid w:val="00BB7CFB"/>
    <w:rsid w:val="00BC02A6"/>
    <w:rsid w:val="00BC041D"/>
    <w:rsid w:val="00BC0637"/>
    <w:rsid w:val="00BC07CD"/>
    <w:rsid w:val="00BC3BEB"/>
    <w:rsid w:val="00BC3F72"/>
    <w:rsid w:val="00BC4AB4"/>
    <w:rsid w:val="00BC4C83"/>
    <w:rsid w:val="00BC4C96"/>
    <w:rsid w:val="00BC547B"/>
    <w:rsid w:val="00BC581F"/>
    <w:rsid w:val="00BC5998"/>
    <w:rsid w:val="00BC5D5B"/>
    <w:rsid w:val="00BC6107"/>
    <w:rsid w:val="00BC6210"/>
    <w:rsid w:val="00BC6562"/>
    <w:rsid w:val="00BC71A0"/>
    <w:rsid w:val="00BD0412"/>
    <w:rsid w:val="00BD0C51"/>
    <w:rsid w:val="00BD1113"/>
    <w:rsid w:val="00BD155A"/>
    <w:rsid w:val="00BD1D84"/>
    <w:rsid w:val="00BD24A8"/>
    <w:rsid w:val="00BD3DB1"/>
    <w:rsid w:val="00BD41C3"/>
    <w:rsid w:val="00BD586B"/>
    <w:rsid w:val="00BD5CE3"/>
    <w:rsid w:val="00BD5ED8"/>
    <w:rsid w:val="00BD6546"/>
    <w:rsid w:val="00BD76DC"/>
    <w:rsid w:val="00BD7762"/>
    <w:rsid w:val="00BE0A70"/>
    <w:rsid w:val="00BE0D20"/>
    <w:rsid w:val="00BE0FEA"/>
    <w:rsid w:val="00BE1AE7"/>
    <w:rsid w:val="00BE1F23"/>
    <w:rsid w:val="00BE29D8"/>
    <w:rsid w:val="00BE313C"/>
    <w:rsid w:val="00BE382C"/>
    <w:rsid w:val="00BE3CC7"/>
    <w:rsid w:val="00BE3E85"/>
    <w:rsid w:val="00BE4613"/>
    <w:rsid w:val="00BE4C34"/>
    <w:rsid w:val="00BE52F8"/>
    <w:rsid w:val="00BE554D"/>
    <w:rsid w:val="00BE5675"/>
    <w:rsid w:val="00BE5A45"/>
    <w:rsid w:val="00BE5A8D"/>
    <w:rsid w:val="00BE6ABC"/>
    <w:rsid w:val="00BE72E8"/>
    <w:rsid w:val="00BE74CA"/>
    <w:rsid w:val="00BF004D"/>
    <w:rsid w:val="00BF02CB"/>
    <w:rsid w:val="00BF049A"/>
    <w:rsid w:val="00BF05FA"/>
    <w:rsid w:val="00BF08F9"/>
    <w:rsid w:val="00BF151D"/>
    <w:rsid w:val="00BF16FE"/>
    <w:rsid w:val="00BF19FB"/>
    <w:rsid w:val="00BF1CBC"/>
    <w:rsid w:val="00BF2A35"/>
    <w:rsid w:val="00BF2C32"/>
    <w:rsid w:val="00BF3C93"/>
    <w:rsid w:val="00BF3D43"/>
    <w:rsid w:val="00BF60EB"/>
    <w:rsid w:val="00BF6927"/>
    <w:rsid w:val="00BF69F1"/>
    <w:rsid w:val="00BF775D"/>
    <w:rsid w:val="00BF7F48"/>
    <w:rsid w:val="00C03EA4"/>
    <w:rsid w:val="00C045EA"/>
    <w:rsid w:val="00C05B99"/>
    <w:rsid w:val="00C06052"/>
    <w:rsid w:val="00C06D99"/>
    <w:rsid w:val="00C06F87"/>
    <w:rsid w:val="00C10585"/>
    <w:rsid w:val="00C11A5E"/>
    <w:rsid w:val="00C11A7F"/>
    <w:rsid w:val="00C11B22"/>
    <w:rsid w:val="00C11CA2"/>
    <w:rsid w:val="00C11E91"/>
    <w:rsid w:val="00C12342"/>
    <w:rsid w:val="00C12ECF"/>
    <w:rsid w:val="00C132C3"/>
    <w:rsid w:val="00C1388E"/>
    <w:rsid w:val="00C13FB2"/>
    <w:rsid w:val="00C140E2"/>
    <w:rsid w:val="00C15F39"/>
    <w:rsid w:val="00C1601D"/>
    <w:rsid w:val="00C16BB4"/>
    <w:rsid w:val="00C16F21"/>
    <w:rsid w:val="00C17042"/>
    <w:rsid w:val="00C17C32"/>
    <w:rsid w:val="00C17F96"/>
    <w:rsid w:val="00C20A78"/>
    <w:rsid w:val="00C20BDA"/>
    <w:rsid w:val="00C213B0"/>
    <w:rsid w:val="00C220E5"/>
    <w:rsid w:val="00C2221D"/>
    <w:rsid w:val="00C222AC"/>
    <w:rsid w:val="00C229F9"/>
    <w:rsid w:val="00C22A36"/>
    <w:rsid w:val="00C2312C"/>
    <w:rsid w:val="00C2343A"/>
    <w:rsid w:val="00C2359D"/>
    <w:rsid w:val="00C23D7D"/>
    <w:rsid w:val="00C24CCD"/>
    <w:rsid w:val="00C256C0"/>
    <w:rsid w:val="00C2696D"/>
    <w:rsid w:val="00C26E7A"/>
    <w:rsid w:val="00C27187"/>
    <w:rsid w:val="00C2726C"/>
    <w:rsid w:val="00C3042D"/>
    <w:rsid w:val="00C30468"/>
    <w:rsid w:val="00C30CE9"/>
    <w:rsid w:val="00C31303"/>
    <w:rsid w:val="00C316F3"/>
    <w:rsid w:val="00C32D43"/>
    <w:rsid w:val="00C32D87"/>
    <w:rsid w:val="00C32FFC"/>
    <w:rsid w:val="00C337BE"/>
    <w:rsid w:val="00C33AC3"/>
    <w:rsid w:val="00C34180"/>
    <w:rsid w:val="00C3538B"/>
    <w:rsid w:val="00C35657"/>
    <w:rsid w:val="00C3586B"/>
    <w:rsid w:val="00C3590E"/>
    <w:rsid w:val="00C3650E"/>
    <w:rsid w:val="00C36E5A"/>
    <w:rsid w:val="00C374B3"/>
    <w:rsid w:val="00C4007D"/>
    <w:rsid w:val="00C40139"/>
    <w:rsid w:val="00C40583"/>
    <w:rsid w:val="00C4075B"/>
    <w:rsid w:val="00C40980"/>
    <w:rsid w:val="00C41139"/>
    <w:rsid w:val="00C41F7D"/>
    <w:rsid w:val="00C4491D"/>
    <w:rsid w:val="00C44F64"/>
    <w:rsid w:val="00C45FDA"/>
    <w:rsid w:val="00C4642D"/>
    <w:rsid w:val="00C46720"/>
    <w:rsid w:val="00C4675E"/>
    <w:rsid w:val="00C46D04"/>
    <w:rsid w:val="00C4731C"/>
    <w:rsid w:val="00C4751F"/>
    <w:rsid w:val="00C477ED"/>
    <w:rsid w:val="00C47B87"/>
    <w:rsid w:val="00C47C30"/>
    <w:rsid w:val="00C5013A"/>
    <w:rsid w:val="00C50DEE"/>
    <w:rsid w:val="00C5159D"/>
    <w:rsid w:val="00C5177C"/>
    <w:rsid w:val="00C51969"/>
    <w:rsid w:val="00C5214E"/>
    <w:rsid w:val="00C5248E"/>
    <w:rsid w:val="00C52638"/>
    <w:rsid w:val="00C5319C"/>
    <w:rsid w:val="00C53396"/>
    <w:rsid w:val="00C53783"/>
    <w:rsid w:val="00C547CA"/>
    <w:rsid w:val="00C568B2"/>
    <w:rsid w:val="00C56BBB"/>
    <w:rsid w:val="00C57266"/>
    <w:rsid w:val="00C5778E"/>
    <w:rsid w:val="00C60E70"/>
    <w:rsid w:val="00C61696"/>
    <w:rsid w:val="00C61997"/>
    <w:rsid w:val="00C6220E"/>
    <w:rsid w:val="00C64E8C"/>
    <w:rsid w:val="00C65334"/>
    <w:rsid w:val="00C701CB"/>
    <w:rsid w:val="00C70657"/>
    <w:rsid w:val="00C71591"/>
    <w:rsid w:val="00C721EF"/>
    <w:rsid w:val="00C724AA"/>
    <w:rsid w:val="00C72B89"/>
    <w:rsid w:val="00C731AA"/>
    <w:rsid w:val="00C74004"/>
    <w:rsid w:val="00C74602"/>
    <w:rsid w:val="00C74E31"/>
    <w:rsid w:val="00C75935"/>
    <w:rsid w:val="00C75D18"/>
    <w:rsid w:val="00C760C5"/>
    <w:rsid w:val="00C76AFC"/>
    <w:rsid w:val="00C7782D"/>
    <w:rsid w:val="00C77B85"/>
    <w:rsid w:val="00C77FF3"/>
    <w:rsid w:val="00C8035C"/>
    <w:rsid w:val="00C80C06"/>
    <w:rsid w:val="00C8125A"/>
    <w:rsid w:val="00C8298A"/>
    <w:rsid w:val="00C831D8"/>
    <w:rsid w:val="00C844CF"/>
    <w:rsid w:val="00C84C5E"/>
    <w:rsid w:val="00C84C88"/>
    <w:rsid w:val="00C84E5D"/>
    <w:rsid w:val="00C8560D"/>
    <w:rsid w:val="00C857F4"/>
    <w:rsid w:val="00C85D7E"/>
    <w:rsid w:val="00C863A8"/>
    <w:rsid w:val="00C8645B"/>
    <w:rsid w:val="00C86592"/>
    <w:rsid w:val="00C87750"/>
    <w:rsid w:val="00C91528"/>
    <w:rsid w:val="00C91C6B"/>
    <w:rsid w:val="00C92031"/>
    <w:rsid w:val="00C9496E"/>
    <w:rsid w:val="00C9557B"/>
    <w:rsid w:val="00C9643E"/>
    <w:rsid w:val="00C96DA5"/>
    <w:rsid w:val="00C96ECE"/>
    <w:rsid w:val="00C9702D"/>
    <w:rsid w:val="00C976A8"/>
    <w:rsid w:val="00CA0161"/>
    <w:rsid w:val="00CA0938"/>
    <w:rsid w:val="00CA0D1B"/>
    <w:rsid w:val="00CA145D"/>
    <w:rsid w:val="00CA2DB3"/>
    <w:rsid w:val="00CA3007"/>
    <w:rsid w:val="00CA35D8"/>
    <w:rsid w:val="00CA3C73"/>
    <w:rsid w:val="00CA3EEA"/>
    <w:rsid w:val="00CA3FD7"/>
    <w:rsid w:val="00CA4A29"/>
    <w:rsid w:val="00CA4C27"/>
    <w:rsid w:val="00CA6545"/>
    <w:rsid w:val="00CA6723"/>
    <w:rsid w:val="00CA6E51"/>
    <w:rsid w:val="00CB193F"/>
    <w:rsid w:val="00CB235E"/>
    <w:rsid w:val="00CB3B7C"/>
    <w:rsid w:val="00CB45E1"/>
    <w:rsid w:val="00CB4871"/>
    <w:rsid w:val="00CB4DD4"/>
    <w:rsid w:val="00CB5C2E"/>
    <w:rsid w:val="00CB6544"/>
    <w:rsid w:val="00CB6AE7"/>
    <w:rsid w:val="00CC0282"/>
    <w:rsid w:val="00CC0E21"/>
    <w:rsid w:val="00CC1940"/>
    <w:rsid w:val="00CC2152"/>
    <w:rsid w:val="00CC23BF"/>
    <w:rsid w:val="00CC2649"/>
    <w:rsid w:val="00CC295D"/>
    <w:rsid w:val="00CC2B46"/>
    <w:rsid w:val="00CC3334"/>
    <w:rsid w:val="00CC3C39"/>
    <w:rsid w:val="00CC3F06"/>
    <w:rsid w:val="00CC424F"/>
    <w:rsid w:val="00CC4BFD"/>
    <w:rsid w:val="00CC521B"/>
    <w:rsid w:val="00CC52AF"/>
    <w:rsid w:val="00CC59B2"/>
    <w:rsid w:val="00CC60E7"/>
    <w:rsid w:val="00CC6337"/>
    <w:rsid w:val="00CC7CE7"/>
    <w:rsid w:val="00CD01CA"/>
    <w:rsid w:val="00CD02BE"/>
    <w:rsid w:val="00CD0308"/>
    <w:rsid w:val="00CD0644"/>
    <w:rsid w:val="00CD1B3C"/>
    <w:rsid w:val="00CD2445"/>
    <w:rsid w:val="00CD2944"/>
    <w:rsid w:val="00CD2E3B"/>
    <w:rsid w:val="00CD31F4"/>
    <w:rsid w:val="00CD3548"/>
    <w:rsid w:val="00CD37FE"/>
    <w:rsid w:val="00CD3AE8"/>
    <w:rsid w:val="00CD3BCA"/>
    <w:rsid w:val="00CD3BD6"/>
    <w:rsid w:val="00CD429F"/>
    <w:rsid w:val="00CD44C1"/>
    <w:rsid w:val="00CD45E6"/>
    <w:rsid w:val="00CD48EE"/>
    <w:rsid w:val="00CD4B5E"/>
    <w:rsid w:val="00CD59EB"/>
    <w:rsid w:val="00CD64D1"/>
    <w:rsid w:val="00CD66AF"/>
    <w:rsid w:val="00CD6BB0"/>
    <w:rsid w:val="00CD74B5"/>
    <w:rsid w:val="00CD7D6E"/>
    <w:rsid w:val="00CE08AC"/>
    <w:rsid w:val="00CE0EB5"/>
    <w:rsid w:val="00CE18B8"/>
    <w:rsid w:val="00CE1B7D"/>
    <w:rsid w:val="00CE2B47"/>
    <w:rsid w:val="00CE2FA8"/>
    <w:rsid w:val="00CE30EC"/>
    <w:rsid w:val="00CE3259"/>
    <w:rsid w:val="00CE4811"/>
    <w:rsid w:val="00CE4B29"/>
    <w:rsid w:val="00CE5538"/>
    <w:rsid w:val="00CE554D"/>
    <w:rsid w:val="00CE572F"/>
    <w:rsid w:val="00CE6DA0"/>
    <w:rsid w:val="00CE725F"/>
    <w:rsid w:val="00CF0105"/>
    <w:rsid w:val="00CF015E"/>
    <w:rsid w:val="00CF02E4"/>
    <w:rsid w:val="00CF078F"/>
    <w:rsid w:val="00CF0D04"/>
    <w:rsid w:val="00CF23D8"/>
    <w:rsid w:val="00CF2434"/>
    <w:rsid w:val="00CF3388"/>
    <w:rsid w:val="00CF3578"/>
    <w:rsid w:val="00CF4A6A"/>
    <w:rsid w:val="00CF4A6E"/>
    <w:rsid w:val="00CF5032"/>
    <w:rsid w:val="00CF573F"/>
    <w:rsid w:val="00CF681C"/>
    <w:rsid w:val="00CF6F86"/>
    <w:rsid w:val="00CF708B"/>
    <w:rsid w:val="00D01352"/>
    <w:rsid w:val="00D02014"/>
    <w:rsid w:val="00D02A8A"/>
    <w:rsid w:val="00D02CA2"/>
    <w:rsid w:val="00D03AD6"/>
    <w:rsid w:val="00D04155"/>
    <w:rsid w:val="00D04FAF"/>
    <w:rsid w:val="00D052BC"/>
    <w:rsid w:val="00D05C18"/>
    <w:rsid w:val="00D06537"/>
    <w:rsid w:val="00D06DB5"/>
    <w:rsid w:val="00D071A1"/>
    <w:rsid w:val="00D10141"/>
    <w:rsid w:val="00D10BBD"/>
    <w:rsid w:val="00D11D46"/>
    <w:rsid w:val="00D12109"/>
    <w:rsid w:val="00D12172"/>
    <w:rsid w:val="00D1241A"/>
    <w:rsid w:val="00D126D8"/>
    <w:rsid w:val="00D1292C"/>
    <w:rsid w:val="00D131AC"/>
    <w:rsid w:val="00D138C4"/>
    <w:rsid w:val="00D14E38"/>
    <w:rsid w:val="00D1511F"/>
    <w:rsid w:val="00D15468"/>
    <w:rsid w:val="00D15736"/>
    <w:rsid w:val="00D158AA"/>
    <w:rsid w:val="00D1670D"/>
    <w:rsid w:val="00D16C87"/>
    <w:rsid w:val="00D16FA7"/>
    <w:rsid w:val="00D17700"/>
    <w:rsid w:val="00D201FB"/>
    <w:rsid w:val="00D20835"/>
    <w:rsid w:val="00D209AF"/>
    <w:rsid w:val="00D20C5A"/>
    <w:rsid w:val="00D21462"/>
    <w:rsid w:val="00D21FCE"/>
    <w:rsid w:val="00D22FAD"/>
    <w:rsid w:val="00D23941"/>
    <w:rsid w:val="00D23B4A"/>
    <w:rsid w:val="00D25BAD"/>
    <w:rsid w:val="00D2691A"/>
    <w:rsid w:val="00D26C28"/>
    <w:rsid w:val="00D2727D"/>
    <w:rsid w:val="00D27D5A"/>
    <w:rsid w:val="00D30038"/>
    <w:rsid w:val="00D305C6"/>
    <w:rsid w:val="00D307EE"/>
    <w:rsid w:val="00D311AC"/>
    <w:rsid w:val="00D3195B"/>
    <w:rsid w:val="00D32E91"/>
    <w:rsid w:val="00D333E7"/>
    <w:rsid w:val="00D3340C"/>
    <w:rsid w:val="00D33AA8"/>
    <w:rsid w:val="00D33D9A"/>
    <w:rsid w:val="00D345B8"/>
    <w:rsid w:val="00D34FA1"/>
    <w:rsid w:val="00D36CC2"/>
    <w:rsid w:val="00D371F3"/>
    <w:rsid w:val="00D373FF"/>
    <w:rsid w:val="00D37481"/>
    <w:rsid w:val="00D41A3F"/>
    <w:rsid w:val="00D41CE5"/>
    <w:rsid w:val="00D41E63"/>
    <w:rsid w:val="00D42104"/>
    <w:rsid w:val="00D42B11"/>
    <w:rsid w:val="00D42D6D"/>
    <w:rsid w:val="00D43E38"/>
    <w:rsid w:val="00D447ED"/>
    <w:rsid w:val="00D45093"/>
    <w:rsid w:val="00D454A6"/>
    <w:rsid w:val="00D456B3"/>
    <w:rsid w:val="00D45AFD"/>
    <w:rsid w:val="00D45BA7"/>
    <w:rsid w:val="00D463C5"/>
    <w:rsid w:val="00D465E1"/>
    <w:rsid w:val="00D4695D"/>
    <w:rsid w:val="00D47411"/>
    <w:rsid w:val="00D4794F"/>
    <w:rsid w:val="00D479CF"/>
    <w:rsid w:val="00D50B08"/>
    <w:rsid w:val="00D50BB1"/>
    <w:rsid w:val="00D5102A"/>
    <w:rsid w:val="00D51DD4"/>
    <w:rsid w:val="00D52BF7"/>
    <w:rsid w:val="00D52F88"/>
    <w:rsid w:val="00D533A4"/>
    <w:rsid w:val="00D53EEB"/>
    <w:rsid w:val="00D54747"/>
    <w:rsid w:val="00D54F21"/>
    <w:rsid w:val="00D5549D"/>
    <w:rsid w:val="00D55C6C"/>
    <w:rsid w:val="00D562F7"/>
    <w:rsid w:val="00D5686F"/>
    <w:rsid w:val="00D5704A"/>
    <w:rsid w:val="00D60AA6"/>
    <w:rsid w:val="00D60B8A"/>
    <w:rsid w:val="00D6118E"/>
    <w:rsid w:val="00D623A6"/>
    <w:rsid w:val="00D65335"/>
    <w:rsid w:val="00D6536E"/>
    <w:rsid w:val="00D654C6"/>
    <w:rsid w:val="00D6630B"/>
    <w:rsid w:val="00D67C46"/>
    <w:rsid w:val="00D67D02"/>
    <w:rsid w:val="00D7063F"/>
    <w:rsid w:val="00D710BF"/>
    <w:rsid w:val="00D723D3"/>
    <w:rsid w:val="00D729C1"/>
    <w:rsid w:val="00D7381B"/>
    <w:rsid w:val="00D73839"/>
    <w:rsid w:val="00D73BD8"/>
    <w:rsid w:val="00D741D0"/>
    <w:rsid w:val="00D75FE1"/>
    <w:rsid w:val="00D763FF"/>
    <w:rsid w:val="00D7643B"/>
    <w:rsid w:val="00D76812"/>
    <w:rsid w:val="00D769B9"/>
    <w:rsid w:val="00D7708E"/>
    <w:rsid w:val="00D77457"/>
    <w:rsid w:val="00D775FD"/>
    <w:rsid w:val="00D77FDE"/>
    <w:rsid w:val="00D804A6"/>
    <w:rsid w:val="00D80686"/>
    <w:rsid w:val="00D8097B"/>
    <w:rsid w:val="00D80CE6"/>
    <w:rsid w:val="00D81101"/>
    <w:rsid w:val="00D82087"/>
    <w:rsid w:val="00D82A43"/>
    <w:rsid w:val="00D839B6"/>
    <w:rsid w:val="00D83E45"/>
    <w:rsid w:val="00D8450A"/>
    <w:rsid w:val="00D84BA8"/>
    <w:rsid w:val="00D84F74"/>
    <w:rsid w:val="00D86202"/>
    <w:rsid w:val="00D865C5"/>
    <w:rsid w:val="00D867B4"/>
    <w:rsid w:val="00D86C75"/>
    <w:rsid w:val="00D87A4D"/>
    <w:rsid w:val="00D87B69"/>
    <w:rsid w:val="00D87D47"/>
    <w:rsid w:val="00D9017B"/>
    <w:rsid w:val="00D90A29"/>
    <w:rsid w:val="00D90A3A"/>
    <w:rsid w:val="00D90E23"/>
    <w:rsid w:val="00D91BF9"/>
    <w:rsid w:val="00D91EB8"/>
    <w:rsid w:val="00D91F7B"/>
    <w:rsid w:val="00D9214B"/>
    <w:rsid w:val="00D9275E"/>
    <w:rsid w:val="00D92A8E"/>
    <w:rsid w:val="00D934D8"/>
    <w:rsid w:val="00D93791"/>
    <w:rsid w:val="00D93799"/>
    <w:rsid w:val="00D93EC9"/>
    <w:rsid w:val="00D9460C"/>
    <w:rsid w:val="00D9492A"/>
    <w:rsid w:val="00D95107"/>
    <w:rsid w:val="00D9580D"/>
    <w:rsid w:val="00D95A21"/>
    <w:rsid w:val="00D95CB4"/>
    <w:rsid w:val="00D97165"/>
    <w:rsid w:val="00D97FED"/>
    <w:rsid w:val="00DA0141"/>
    <w:rsid w:val="00DA146B"/>
    <w:rsid w:val="00DA1D5A"/>
    <w:rsid w:val="00DA1EA6"/>
    <w:rsid w:val="00DA31EF"/>
    <w:rsid w:val="00DA36C9"/>
    <w:rsid w:val="00DA443C"/>
    <w:rsid w:val="00DA443F"/>
    <w:rsid w:val="00DA4B53"/>
    <w:rsid w:val="00DA528B"/>
    <w:rsid w:val="00DA5627"/>
    <w:rsid w:val="00DA58EC"/>
    <w:rsid w:val="00DA5F5F"/>
    <w:rsid w:val="00DA67E6"/>
    <w:rsid w:val="00DB00C6"/>
    <w:rsid w:val="00DB19DD"/>
    <w:rsid w:val="00DB3935"/>
    <w:rsid w:val="00DB3CC2"/>
    <w:rsid w:val="00DB41A9"/>
    <w:rsid w:val="00DB4BB6"/>
    <w:rsid w:val="00DB5505"/>
    <w:rsid w:val="00DB5912"/>
    <w:rsid w:val="00DB5B2E"/>
    <w:rsid w:val="00DB614B"/>
    <w:rsid w:val="00DB6786"/>
    <w:rsid w:val="00DB711A"/>
    <w:rsid w:val="00DB7457"/>
    <w:rsid w:val="00DC01B4"/>
    <w:rsid w:val="00DC01F5"/>
    <w:rsid w:val="00DC02D4"/>
    <w:rsid w:val="00DC07D4"/>
    <w:rsid w:val="00DC0EFE"/>
    <w:rsid w:val="00DC160F"/>
    <w:rsid w:val="00DC1A1B"/>
    <w:rsid w:val="00DC2106"/>
    <w:rsid w:val="00DC21DF"/>
    <w:rsid w:val="00DC2356"/>
    <w:rsid w:val="00DC3272"/>
    <w:rsid w:val="00DC3B2F"/>
    <w:rsid w:val="00DC3F31"/>
    <w:rsid w:val="00DC491A"/>
    <w:rsid w:val="00DC4D74"/>
    <w:rsid w:val="00DC616B"/>
    <w:rsid w:val="00DC6436"/>
    <w:rsid w:val="00DC6C7C"/>
    <w:rsid w:val="00DC7605"/>
    <w:rsid w:val="00DC7898"/>
    <w:rsid w:val="00DD011F"/>
    <w:rsid w:val="00DD0DBB"/>
    <w:rsid w:val="00DD151B"/>
    <w:rsid w:val="00DD18CB"/>
    <w:rsid w:val="00DD1B34"/>
    <w:rsid w:val="00DD26D2"/>
    <w:rsid w:val="00DD32EC"/>
    <w:rsid w:val="00DD3F79"/>
    <w:rsid w:val="00DD490E"/>
    <w:rsid w:val="00DD4D8C"/>
    <w:rsid w:val="00DD53C3"/>
    <w:rsid w:val="00DD54FC"/>
    <w:rsid w:val="00DD5BD3"/>
    <w:rsid w:val="00DD63A5"/>
    <w:rsid w:val="00DD67F8"/>
    <w:rsid w:val="00DD686D"/>
    <w:rsid w:val="00DD77A7"/>
    <w:rsid w:val="00DD7DB2"/>
    <w:rsid w:val="00DE1918"/>
    <w:rsid w:val="00DE1E7A"/>
    <w:rsid w:val="00DE236E"/>
    <w:rsid w:val="00DE2B66"/>
    <w:rsid w:val="00DE3649"/>
    <w:rsid w:val="00DE3932"/>
    <w:rsid w:val="00DE3B42"/>
    <w:rsid w:val="00DE45DF"/>
    <w:rsid w:val="00DE4698"/>
    <w:rsid w:val="00DE5589"/>
    <w:rsid w:val="00DE5F60"/>
    <w:rsid w:val="00DE6629"/>
    <w:rsid w:val="00DE687D"/>
    <w:rsid w:val="00DE7429"/>
    <w:rsid w:val="00DF064A"/>
    <w:rsid w:val="00DF064C"/>
    <w:rsid w:val="00DF1577"/>
    <w:rsid w:val="00DF2455"/>
    <w:rsid w:val="00DF25D7"/>
    <w:rsid w:val="00DF28CB"/>
    <w:rsid w:val="00DF4B5E"/>
    <w:rsid w:val="00DF5423"/>
    <w:rsid w:val="00DF55FB"/>
    <w:rsid w:val="00DF5728"/>
    <w:rsid w:val="00DF5B86"/>
    <w:rsid w:val="00DF6610"/>
    <w:rsid w:val="00DF6BDB"/>
    <w:rsid w:val="00DF6E8D"/>
    <w:rsid w:val="00DF77F2"/>
    <w:rsid w:val="00DF7944"/>
    <w:rsid w:val="00E00182"/>
    <w:rsid w:val="00E00502"/>
    <w:rsid w:val="00E00AFF"/>
    <w:rsid w:val="00E00B17"/>
    <w:rsid w:val="00E00B58"/>
    <w:rsid w:val="00E01276"/>
    <w:rsid w:val="00E018D6"/>
    <w:rsid w:val="00E02056"/>
    <w:rsid w:val="00E023C2"/>
    <w:rsid w:val="00E03C8E"/>
    <w:rsid w:val="00E0414F"/>
    <w:rsid w:val="00E04228"/>
    <w:rsid w:val="00E0724B"/>
    <w:rsid w:val="00E073CE"/>
    <w:rsid w:val="00E0750B"/>
    <w:rsid w:val="00E07B34"/>
    <w:rsid w:val="00E10D8D"/>
    <w:rsid w:val="00E1165F"/>
    <w:rsid w:val="00E119F3"/>
    <w:rsid w:val="00E12BD4"/>
    <w:rsid w:val="00E13136"/>
    <w:rsid w:val="00E137CE"/>
    <w:rsid w:val="00E143B3"/>
    <w:rsid w:val="00E1493C"/>
    <w:rsid w:val="00E163E2"/>
    <w:rsid w:val="00E16852"/>
    <w:rsid w:val="00E16FD5"/>
    <w:rsid w:val="00E1774F"/>
    <w:rsid w:val="00E203C0"/>
    <w:rsid w:val="00E203D1"/>
    <w:rsid w:val="00E2063F"/>
    <w:rsid w:val="00E21A45"/>
    <w:rsid w:val="00E22256"/>
    <w:rsid w:val="00E2239F"/>
    <w:rsid w:val="00E22CC9"/>
    <w:rsid w:val="00E23195"/>
    <w:rsid w:val="00E24296"/>
    <w:rsid w:val="00E249CB"/>
    <w:rsid w:val="00E24B85"/>
    <w:rsid w:val="00E24C18"/>
    <w:rsid w:val="00E24C3B"/>
    <w:rsid w:val="00E2502B"/>
    <w:rsid w:val="00E255D5"/>
    <w:rsid w:val="00E256A4"/>
    <w:rsid w:val="00E25817"/>
    <w:rsid w:val="00E25968"/>
    <w:rsid w:val="00E25FFA"/>
    <w:rsid w:val="00E26242"/>
    <w:rsid w:val="00E26C3F"/>
    <w:rsid w:val="00E271F4"/>
    <w:rsid w:val="00E27A13"/>
    <w:rsid w:val="00E30369"/>
    <w:rsid w:val="00E3117E"/>
    <w:rsid w:val="00E315E6"/>
    <w:rsid w:val="00E3197E"/>
    <w:rsid w:val="00E3243B"/>
    <w:rsid w:val="00E32625"/>
    <w:rsid w:val="00E32667"/>
    <w:rsid w:val="00E327F4"/>
    <w:rsid w:val="00E32D95"/>
    <w:rsid w:val="00E3356E"/>
    <w:rsid w:val="00E338B0"/>
    <w:rsid w:val="00E33B08"/>
    <w:rsid w:val="00E34529"/>
    <w:rsid w:val="00E34E4B"/>
    <w:rsid w:val="00E34F4C"/>
    <w:rsid w:val="00E34FFA"/>
    <w:rsid w:val="00E35056"/>
    <w:rsid w:val="00E35EDE"/>
    <w:rsid w:val="00E362AA"/>
    <w:rsid w:val="00E36445"/>
    <w:rsid w:val="00E37B4F"/>
    <w:rsid w:val="00E37DE8"/>
    <w:rsid w:val="00E37FAB"/>
    <w:rsid w:val="00E40743"/>
    <w:rsid w:val="00E40AA1"/>
    <w:rsid w:val="00E4125C"/>
    <w:rsid w:val="00E41622"/>
    <w:rsid w:val="00E41856"/>
    <w:rsid w:val="00E41FF4"/>
    <w:rsid w:val="00E42141"/>
    <w:rsid w:val="00E426C4"/>
    <w:rsid w:val="00E428BA"/>
    <w:rsid w:val="00E42ECE"/>
    <w:rsid w:val="00E43020"/>
    <w:rsid w:val="00E43C60"/>
    <w:rsid w:val="00E44746"/>
    <w:rsid w:val="00E44773"/>
    <w:rsid w:val="00E44AA7"/>
    <w:rsid w:val="00E459E1"/>
    <w:rsid w:val="00E46545"/>
    <w:rsid w:val="00E468CB"/>
    <w:rsid w:val="00E47832"/>
    <w:rsid w:val="00E479E5"/>
    <w:rsid w:val="00E501D8"/>
    <w:rsid w:val="00E50D05"/>
    <w:rsid w:val="00E50FAC"/>
    <w:rsid w:val="00E51D34"/>
    <w:rsid w:val="00E52473"/>
    <w:rsid w:val="00E54556"/>
    <w:rsid w:val="00E545AB"/>
    <w:rsid w:val="00E54C7F"/>
    <w:rsid w:val="00E54EE6"/>
    <w:rsid w:val="00E54F49"/>
    <w:rsid w:val="00E54F75"/>
    <w:rsid w:val="00E551AE"/>
    <w:rsid w:val="00E5564A"/>
    <w:rsid w:val="00E567CD"/>
    <w:rsid w:val="00E56DF3"/>
    <w:rsid w:val="00E57277"/>
    <w:rsid w:val="00E60682"/>
    <w:rsid w:val="00E60C25"/>
    <w:rsid w:val="00E60CFA"/>
    <w:rsid w:val="00E60F83"/>
    <w:rsid w:val="00E61277"/>
    <w:rsid w:val="00E61F32"/>
    <w:rsid w:val="00E61FBB"/>
    <w:rsid w:val="00E6225A"/>
    <w:rsid w:val="00E6383B"/>
    <w:rsid w:val="00E63A4D"/>
    <w:rsid w:val="00E6409D"/>
    <w:rsid w:val="00E640FB"/>
    <w:rsid w:val="00E650A4"/>
    <w:rsid w:val="00E653D0"/>
    <w:rsid w:val="00E65646"/>
    <w:rsid w:val="00E6662F"/>
    <w:rsid w:val="00E6703B"/>
    <w:rsid w:val="00E67ABD"/>
    <w:rsid w:val="00E70639"/>
    <w:rsid w:val="00E70CEA"/>
    <w:rsid w:val="00E72804"/>
    <w:rsid w:val="00E72B30"/>
    <w:rsid w:val="00E72EB8"/>
    <w:rsid w:val="00E735E4"/>
    <w:rsid w:val="00E744BA"/>
    <w:rsid w:val="00E75BE2"/>
    <w:rsid w:val="00E76355"/>
    <w:rsid w:val="00E76506"/>
    <w:rsid w:val="00E76A6F"/>
    <w:rsid w:val="00E77626"/>
    <w:rsid w:val="00E778FC"/>
    <w:rsid w:val="00E77E1A"/>
    <w:rsid w:val="00E80455"/>
    <w:rsid w:val="00E80E09"/>
    <w:rsid w:val="00E832F3"/>
    <w:rsid w:val="00E83487"/>
    <w:rsid w:val="00E83EC4"/>
    <w:rsid w:val="00E83F26"/>
    <w:rsid w:val="00E85EFA"/>
    <w:rsid w:val="00E8652E"/>
    <w:rsid w:val="00E87C77"/>
    <w:rsid w:val="00E90ED9"/>
    <w:rsid w:val="00E910D5"/>
    <w:rsid w:val="00E919C0"/>
    <w:rsid w:val="00E91E7E"/>
    <w:rsid w:val="00E91FD5"/>
    <w:rsid w:val="00E92687"/>
    <w:rsid w:val="00E934BA"/>
    <w:rsid w:val="00E934EA"/>
    <w:rsid w:val="00E934F4"/>
    <w:rsid w:val="00E93E6C"/>
    <w:rsid w:val="00E94278"/>
    <w:rsid w:val="00E94289"/>
    <w:rsid w:val="00E94B13"/>
    <w:rsid w:val="00E952E3"/>
    <w:rsid w:val="00E95862"/>
    <w:rsid w:val="00E958BD"/>
    <w:rsid w:val="00E95A78"/>
    <w:rsid w:val="00E963B9"/>
    <w:rsid w:val="00E9705A"/>
    <w:rsid w:val="00E97B14"/>
    <w:rsid w:val="00EA041A"/>
    <w:rsid w:val="00EA07C4"/>
    <w:rsid w:val="00EA1473"/>
    <w:rsid w:val="00EA1DA0"/>
    <w:rsid w:val="00EA2195"/>
    <w:rsid w:val="00EA2437"/>
    <w:rsid w:val="00EA2C68"/>
    <w:rsid w:val="00EA2D5D"/>
    <w:rsid w:val="00EA60FE"/>
    <w:rsid w:val="00EA66CF"/>
    <w:rsid w:val="00EA6E10"/>
    <w:rsid w:val="00EA6EFD"/>
    <w:rsid w:val="00EA755F"/>
    <w:rsid w:val="00EB01D8"/>
    <w:rsid w:val="00EB0759"/>
    <w:rsid w:val="00EB07EB"/>
    <w:rsid w:val="00EB0AF0"/>
    <w:rsid w:val="00EB0F55"/>
    <w:rsid w:val="00EB1158"/>
    <w:rsid w:val="00EB1406"/>
    <w:rsid w:val="00EB1543"/>
    <w:rsid w:val="00EB1D64"/>
    <w:rsid w:val="00EB212E"/>
    <w:rsid w:val="00EB24C3"/>
    <w:rsid w:val="00EB256D"/>
    <w:rsid w:val="00EB33B1"/>
    <w:rsid w:val="00EB3412"/>
    <w:rsid w:val="00EB49A1"/>
    <w:rsid w:val="00EB4B92"/>
    <w:rsid w:val="00EB566E"/>
    <w:rsid w:val="00EB6568"/>
    <w:rsid w:val="00EB65EF"/>
    <w:rsid w:val="00EB6B3E"/>
    <w:rsid w:val="00EC1408"/>
    <w:rsid w:val="00EC140B"/>
    <w:rsid w:val="00EC1676"/>
    <w:rsid w:val="00EC18DF"/>
    <w:rsid w:val="00EC19C8"/>
    <w:rsid w:val="00EC2388"/>
    <w:rsid w:val="00EC27B9"/>
    <w:rsid w:val="00EC298E"/>
    <w:rsid w:val="00EC31FB"/>
    <w:rsid w:val="00EC3701"/>
    <w:rsid w:val="00EC48CA"/>
    <w:rsid w:val="00EC4ECC"/>
    <w:rsid w:val="00EC4FB7"/>
    <w:rsid w:val="00EC55B4"/>
    <w:rsid w:val="00EC5C2D"/>
    <w:rsid w:val="00EC5D8A"/>
    <w:rsid w:val="00EC5E30"/>
    <w:rsid w:val="00EC5EE2"/>
    <w:rsid w:val="00EC621C"/>
    <w:rsid w:val="00EC6679"/>
    <w:rsid w:val="00EC66E6"/>
    <w:rsid w:val="00EC75A7"/>
    <w:rsid w:val="00EC7C19"/>
    <w:rsid w:val="00ED0027"/>
    <w:rsid w:val="00ED0D51"/>
    <w:rsid w:val="00ED1203"/>
    <w:rsid w:val="00ED2438"/>
    <w:rsid w:val="00ED24C0"/>
    <w:rsid w:val="00ED300D"/>
    <w:rsid w:val="00ED35ED"/>
    <w:rsid w:val="00ED36E2"/>
    <w:rsid w:val="00ED3C0D"/>
    <w:rsid w:val="00ED4EA1"/>
    <w:rsid w:val="00ED5016"/>
    <w:rsid w:val="00ED59B9"/>
    <w:rsid w:val="00ED5BE9"/>
    <w:rsid w:val="00ED5ED8"/>
    <w:rsid w:val="00ED605A"/>
    <w:rsid w:val="00ED64B9"/>
    <w:rsid w:val="00ED69E2"/>
    <w:rsid w:val="00ED6A3C"/>
    <w:rsid w:val="00ED6CC3"/>
    <w:rsid w:val="00ED79D2"/>
    <w:rsid w:val="00ED7F57"/>
    <w:rsid w:val="00EE04F1"/>
    <w:rsid w:val="00EE0847"/>
    <w:rsid w:val="00EE09FF"/>
    <w:rsid w:val="00EE10FC"/>
    <w:rsid w:val="00EE1E7D"/>
    <w:rsid w:val="00EE218B"/>
    <w:rsid w:val="00EE22E8"/>
    <w:rsid w:val="00EE2B8A"/>
    <w:rsid w:val="00EE33EE"/>
    <w:rsid w:val="00EE37E8"/>
    <w:rsid w:val="00EE3B15"/>
    <w:rsid w:val="00EE3FEE"/>
    <w:rsid w:val="00EE49D1"/>
    <w:rsid w:val="00EE4E0C"/>
    <w:rsid w:val="00EE5ACD"/>
    <w:rsid w:val="00EE5C80"/>
    <w:rsid w:val="00EE5E12"/>
    <w:rsid w:val="00EE6AB0"/>
    <w:rsid w:val="00EE7F01"/>
    <w:rsid w:val="00EF0216"/>
    <w:rsid w:val="00EF0313"/>
    <w:rsid w:val="00EF128E"/>
    <w:rsid w:val="00EF1489"/>
    <w:rsid w:val="00EF1922"/>
    <w:rsid w:val="00EF253B"/>
    <w:rsid w:val="00EF26CA"/>
    <w:rsid w:val="00EF38AB"/>
    <w:rsid w:val="00EF3B4A"/>
    <w:rsid w:val="00EF414E"/>
    <w:rsid w:val="00EF52F9"/>
    <w:rsid w:val="00EF554E"/>
    <w:rsid w:val="00EF55CA"/>
    <w:rsid w:val="00EF61B8"/>
    <w:rsid w:val="00EF7108"/>
    <w:rsid w:val="00EF7205"/>
    <w:rsid w:val="00EF72A3"/>
    <w:rsid w:val="00EF7A4E"/>
    <w:rsid w:val="00F004ED"/>
    <w:rsid w:val="00F02934"/>
    <w:rsid w:val="00F0485F"/>
    <w:rsid w:val="00F05C7C"/>
    <w:rsid w:val="00F064A8"/>
    <w:rsid w:val="00F0796D"/>
    <w:rsid w:val="00F07FAB"/>
    <w:rsid w:val="00F10320"/>
    <w:rsid w:val="00F1090D"/>
    <w:rsid w:val="00F10E00"/>
    <w:rsid w:val="00F111B4"/>
    <w:rsid w:val="00F1170A"/>
    <w:rsid w:val="00F11BCE"/>
    <w:rsid w:val="00F128D0"/>
    <w:rsid w:val="00F138EB"/>
    <w:rsid w:val="00F13F4C"/>
    <w:rsid w:val="00F14712"/>
    <w:rsid w:val="00F14EE7"/>
    <w:rsid w:val="00F15234"/>
    <w:rsid w:val="00F15476"/>
    <w:rsid w:val="00F15850"/>
    <w:rsid w:val="00F15C0C"/>
    <w:rsid w:val="00F16C89"/>
    <w:rsid w:val="00F16ED0"/>
    <w:rsid w:val="00F172C9"/>
    <w:rsid w:val="00F211C7"/>
    <w:rsid w:val="00F218F5"/>
    <w:rsid w:val="00F21A96"/>
    <w:rsid w:val="00F21B24"/>
    <w:rsid w:val="00F21F28"/>
    <w:rsid w:val="00F21F6E"/>
    <w:rsid w:val="00F22486"/>
    <w:rsid w:val="00F23E7A"/>
    <w:rsid w:val="00F24012"/>
    <w:rsid w:val="00F24058"/>
    <w:rsid w:val="00F24074"/>
    <w:rsid w:val="00F24929"/>
    <w:rsid w:val="00F24B29"/>
    <w:rsid w:val="00F24D6F"/>
    <w:rsid w:val="00F24F6F"/>
    <w:rsid w:val="00F25A49"/>
    <w:rsid w:val="00F266E4"/>
    <w:rsid w:val="00F2744E"/>
    <w:rsid w:val="00F2785E"/>
    <w:rsid w:val="00F301AA"/>
    <w:rsid w:val="00F30365"/>
    <w:rsid w:val="00F30953"/>
    <w:rsid w:val="00F30CA2"/>
    <w:rsid w:val="00F310A2"/>
    <w:rsid w:val="00F311FD"/>
    <w:rsid w:val="00F328E1"/>
    <w:rsid w:val="00F330FC"/>
    <w:rsid w:val="00F33342"/>
    <w:rsid w:val="00F33908"/>
    <w:rsid w:val="00F3502B"/>
    <w:rsid w:val="00F356DC"/>
    <w:rsid w:val="00F36D98"/>
    <w:rsid w:val="00F37ACE"/>
    <w:rsid w:val="00F407B9"/>
    <w:rsid w:val="00F4092F"/>
    <w:rsid w:val="00F414C3"/>
    <w:rsid w:val="00F4259B"/>
    <w:rsid w:val="00F4365A"/>
    <w:rsid w:val="00F43950"/>
    <w:rsid w:val="00F442DB"/>
    <w:rsid w:val="00F44551"/>
    <w:rsid w:val="00F44CEE"/>
    <w:rsid w:val="00F44FC9"/>
    <w:rsid w:val="00F45356"/>
    <w:rsid w:val="00F47469"/>
    <w:rsid w:val="00F47951"/>
    <w:rsid w:val="00F50621"/>
    <w:rsid w:val="00F51054"/>
    <w:rsid w:val="00F511EB"/>
    <w:rsid w:val="00F517F8"/>
    <w:rsid w:val="00F51B10"/>
    <w:rsid w:val="00F522B7"/>
    <w:rsid w:val="00F52AF6"/>
    <w:rsid w:val="00F534B2"/>
    <w:rsid w:val="00F53958"/>
    <w:rsid w:val="00F54370"/>
    <w:rsid w:val="00F5462B"/>
    <w:rsid w:val="00F559E1"/>
    <w:rsid w:val="00F55B7B"/>
    <w:rsid w:val="00F566FE"/>
    <w:rsid w:val="00F56A5D"/>
    <w:rsid w:val="00F56BA7"/>
    <w:rsid w:val="00F57427"/>
    <w:rsid w:val="00F61D53"/>
    <w:rsid w:val="00F623AB"/>
    <w:rsid w:val="00F62EEB"/>
    <w:rsid w:val="00F630C4"/>
    <w:rsid w:val="00F631AA"/>
    <w:rsid w:val="00F63E78"/>
    <w:rsid w:val="00F6614B"/>
    <w:rsid w:val="00F670C8"/>
    <w:rsid w:val="00F676A7"/>
    <w:rsid w:val="00F67B00"/>
    <w:rsid w:val="00F70C5C"/>
    <w:rsid w:val="00F71364"/>
    <w:rsid w:val="00F71931"/>
    <w:rsid w:val="00F72982"/>
    <w:rsid w:val="00F729E0"/>
    <w:rsid w:val="00F729F7"/>
    <w:rsid w:val="00F74181"/>
    <w:rsid w:val="00F759CF"/>
    <w:rsid w:val="00F75F4C"/>
    <w:rsid w:val="00F7694E"/>
    <w:rsid w:val="00F775AB"/>
    <w:rsid w:val="00F77A67"/>
    <w:rsid w:val="00F80057"/>
    <w:rsid w:val="00F80B65"/>
    <w:rsid w:val="00F80DF0"/>
    <w:rsid w:val="00F816A3"/>
    <w:rsid w:val="00F8195B"/>
    <w:rsid w:val="00F81A6C"/>
    <w:rsid w:val="00F82561"/>
    <w:rsid w:val="00F83C9A"/>
    <w:rsid w:val="00F84ED5"/>
    <w:rsid w:val="00F8501B"/>
    <w:rsid w:val="00F85120"/>
    <w:rsid w:val="00F853AB"/>
    <w:rsid w:val="00F85D02"/>
    <w:rsid w:val="00F8635A"/>
    <w:rsid w:val="00F866D3"/>
    <w:rsid w:val="00F87115"/>
    <w:rsid w:val="00F90340"/>
    <w:rsid w:val="00F904F4"/>
    <w:rsid w:val="00F90596"/>
    <w:rsid w:val="00F905BB"/>
    <w:rsid w:val="00F90E8B"/>
    <w:rsid w:val="00F91311"/>
    <w:rsid w:val="00F9156E"/>
    <w:rsid w:val="00F91B11"/>
    <w:rsid w:val="00F92660"/>
    <w:rsid w:val="00F92685"/>
    <w:rsid w:val="00F92C01"/>
    <w:rsid w:val="00F92CBA"/>
    <w:rsid w:val="00F93404"/>
    <w:rsid w:val="00F93A5A"/>
    <w:rsid w:val="00F93E1F"/>
    <w:rsid w:val="00F940B7"/>
    <w:rsid w:val="00F9467F"/>
    <w:rsid w:val="00F94C92"/>
    <w:rsid w:val="00F94FCA"/>
    <w:rsid w:val="00F94FF5"/>
    <w:rsid w:val="00F95A07"/>
    <w:rsid w:val="00F95B21"/>
    <w:rsid w:val="00F95BF1"/>
    <w:rsid w:val="00F96F86"/>
    <w:rsid w:val="00F972E4"/>
    <w:rsid w:val="00F97C9D"/>
    <w:rsid w:val="00FA0A7A"/>
    <w:rsid w:val="00FA1156"/>
    <w:rsid w:val="00FA14CF"/>
    <w:rsid w:val="00FA222A"/>
    <w:rsid w:val="00FA2D90"/>
    <w:rsid w:val="00FA2FCB"/>
    <w:rsid w:val="00FA4218"/>
    <w:rsid w:val="00FA422C"/>
    <w:rsid w:val="00FA425B"/>
    <w:rsid w:val="00FA4495"/>
    <w:rsid w:val="00FA4F95"/>
    <w:rsid w:val="00FA5D63"/>
    <w:rsid w:val="00FA663F"/>
    <w:rsid w:val="00FA6B37"/>
    <w:rsid w:val="00FA7078"/>
    <w:rsid w:val="00FA759F"/>
    <w:rsid w:val="00FB0E78"/>
    <w:rsid w:val="00FB11FA"/>
    <w:rsid w:val="00FB1230"/>
    <w:rsid w:val="00FB2AFD"/>
    <w:rsid w:val="00FB3C10"/>
    <w:rsid w:val="00FB43D5"/>
    <w:rsid w:val="00FB6791"/>
    <w:rsid w:val="00FB6CC9"/>
    <w:rsid w:val="00FB6E3E"/>
    <w:rsid w:val="00FB6EA2"/>
    <w:rsid w:val="00FB7479"/>
    <w:rsid w:val="00FB776D"/>
    <w:rsid w:val="00FC0342"/>
    <w:rsid w:val="00FC0B67"/>
    <w:rsid w:val="00FC0C6C"/>
    <w:rsid w:val="00FC0CF6"/>
    <w:rsid w:val="00FC191C"/>
    <w:rsid w:val="00FC293F"/>
    <w:rsid w:val="00FC2A61"/>
    <w:rsid w:val="00FC2BD0"/>
    <w:rsid w:val="00FC2CD8"/>
    <w:rsid w:val="00FC3FC6"/>
    <w:rsid w:val="00FC401F"/>
    <w:rsid w:val="00FC445F"/>
    <w:rsid w:val="00FC4C33"/>
    <w:rsid w:val="00FC54A2"/>
    <w:rsid w:val="00FC59FA"/>
    <w:rsid w:val="00FC5CE4"/>
    <w:rsid w:val="00FC612B"/>
    <w:rsid w:val="00FC6DA1"/>
    <w:rsid w:val="00FD0336"/>
    <w:rsid w:val="00FD0549"/>
    <w:rsid w:val="00FD0A63"/>
    <w:rsid w:val="00FD0DC8"/>
    <w:rsid w:val="00FD1917"/>
    <w:rsid w:val="00FD1FB5"/>
    <w:rsid w:val="00FD2212"/>
    <w:rsid w:val="00FD25C6"/>
    <w:rsid w:val="00FD3ED7"/>
    <w:rsid w:val="00FD43F0"/>
    <w:rsid w:val="00FD5146"/>
    <w:rsid w:val="00FD56CC"/>
    <w:rsid w:val="00FD6195"/>
    <w:rsid w:val="00FD684E"/>
    <w:rsid w:val="00FD6C3C"/>
    <w:rsid w:val="00FD7382"/>
    <w:rsid w:val="00FD7A90"/>
    <w:rsid w:val="00FD7EDF"/>
    <w:rsid w:val="00FE0177"/>
    <w:rsid w:val="00FE16B1"/>
    <w:rsid w:val="00FE17AA"/>
    <w:rsid w:val="00FE1BDD"/>
    <w:rsid w:val="00FE21ED"/>
    <w:rsid w:val="00FE224C"/>
    <w:rsid w:val="00FE29BB"/>
    <w:rsid w:val="00FE4902"/>
    <w:rsid w:val="00FE5AE9"/>
    <w:rsid w:val="00FE5F0F"/>
    <w:rsid w:val="00FE6073"/>
    <w:rsid w:val="00FE6F5C"/>
    <w:rsid w:val="00FE7312"/>
    <w:rsid w:val="00FE7652"/>
    <w:rsid w:val="00FE79F8"/>
    <w:rsid w:val="00FE7A25"/>
    <w:rsid w:val="00FE7EA5"/>
    <w:rsid w:val="00FE7F41"/>
    <w:rsid w:val="00FF0324"/>
    <w:rsid w:val="00FF2005"/>
    <w:rsid w:val="00FF25BC"/>
    <w:rsid w:val="00FF3024"/>
    <w:rsid w:val="00FF434D"/>
    <w:rsid w:val="00FF4D1C"/>
    <w:rsid w:val="00FF509C"/>
    <w:rsid w:val="00FF529A"/>
    <w:rsid w:val="00FF58E1"/>
    <w:rsid w:val="00FF5F5C"/>
    <w:rsid w:val="00FF6C5E"/>
    <w:rsid w:val="00FF72F8"/>
    <w:rsid w:val="00FF7FF5"/>
    <w:rsid w:val="01C285DC"/>
    <w:rsid w:val="082E5B56"/>
    <w:rsid w:val="0853A2F2"/>
    <w:rsid w:val="0C7A23B0"/>
    <w:rsid w:val="0CF61607"/>
    <w:rsid w:val="1C2B26E8"/>
    <w:rsid w:val="1D6FD3B6"/>
    <w:rsid w:val="1FE0D6BA"/>
    <w:rsid w:val="20D64C56"/>
    <w:rsid w:val="21294340"/>
    <w:rsid w:val="2710FB2E"/>
    <w:rsid w:val="2F1D4027"/>
    <w:rsid w:val="3CA5DF35"/>
    <w:rsid w:val="3D870C7B"/>
    <w:rsid w:val="4817A6B5"/>
    <w:rsid w:val="4AF1875D"/>
    <w:rsid w:val="4B63F51A"/>
    <w:rsid w:val="4CC9E786"/>
    <w:rsid w:val="4E0C4628"/>
    <w:rsid w:val="518C7015"/>
    <w:rsid w:val="5A798B56"/>
    <w:rsid w:val="5B04664A"/>
    <w:rsid w:val="5C0F15D1"/>
    <w:rsid w:val="6AD5CDFA"/>
    <w:rsid w:val="732F1371"/>
    <w:rsid w:val="742F2BFE"/>
    <w:rsid w:val="75DC54DE"/>
    <w:rsid w:val="75F17D74"/>
    <w:rsid w:val="7BA92DB7"/>
    <w:rsid w:val="7D4F4C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D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99"/>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9"/>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51C1B"/>
  </w:style>
  <w:style w:type="paragraph" w:styleId="Heading1">
    <w:name w:val="heading 1"/>
    <w:basedOn w:val="HeadingBase"/>
    <w:next w:val="Normal"/>
    <w:qFormat/>
    <w:rsid w:val="00B51C1B"/>
    <w:pPr>
      <w:keepNext/>
      <w:spacing w:before="600" w:after="360"/>
      <w:outlineLvl w:val="0"/>
    </w:pPr>
    <w:rPr>
      <w:rFonts w:cs="Arial"/>
      <w:color w:val="142147"/>
      <w:kern w:val="32"/>
      <w:sz w:val="56"/>
      <w:szCs w:val="36"/>
    </w:rPr>
  </w:style>
  <w:style w:type="paragraph" w:styleId="Heading2">
    <w:name w:val="heading 2"/>
    <w:basedOn w:val="Normal"/>
    <w:next w:val="Normal"/>
    <w:qFormat/>
    <w:rsid w:val="00B51C1B"/>
    <w:pPr>
      <w:keepNext/>
      <w:spacing w:before="480" w:after="240"/>
      <w:outlineLvl w:val="1"/>
    </w:pPr>
    <w:rPr>
      <w:rFonts w:ascii="Georgia" w:hAnsi="Georgia" w:cs="Arial"/>
      <w:iCs/>
      <w:color w:val="701F4C"/>
      <w:kern w:val="32"/>
      <w:sz w:val="40"/>
      <w:szCs w:val="28"/>
      <w14:numForm w14:val="lining"/>
      <w14:numSpacing w14:val="proportional"/>
    </w:rPr>
  </w:style>
  <w:style w:type="paragraph" w:styleId="Heading3">
    <w:name w:val="heading 3"/>
    <w:basedOn w:val="Normal"/>
    <w:next w:val="Normal"/>
    <w:qFormat/>
    <w:rsid w:val="00B51C1B"/>
    <w:pPr>
      <w:keepNext/>
      <w:spacing w:before="320"/>
      <w:outlineLvl w:val="2"/>
    </w:pPr>
    <w:rPr>
      <w:rFonts w:ascii="Georgia" w:hAnsi="Georgia" w:cs="Arial"/>
      <w:color w:val="432B73"/>
      <w:kern w:val="32"/>
      <w:sz w:val="34"/>
      <w:szCs w:val="26"/>
      <w14:numForm w14:val="lining"/>
      <w14:numSpacing w14:val="proportional"/>
    </w:rPr>
  </w:style>
  <w:style w:type="paragraph" w:styleId="Heading4">
    <w:name w:val="heading 4"/>
    <w:basedOn w:val="Normal"/>
    <w:next w:val="Normal"/>
    <w:qFormat/>
    <w:rsid w:val="00B51C1B"/>
    <w:pPr>
      <w:keepNext/>
      <w:spacing w:before="280" w:after="60"/>
      <w:outlineLvl w:val="3"/>
    </w:pPr>
    <w:rPr>
      <w:rFonts w:ascii="Georgia" w:hAnsi="Georgia" w:cs="Arial"/>
      <w:kern w:val="32"/>
      <w:sz w:val="28"/>
      <w:szCs w:val="26"/>
      <w14:numForm w14:val="lining"/>
      <w14:numSpacing w14:val="proportional"/>
    </w:rPr>
  </w:style>
  <w:style w:type="paragraph" w:styleId="Heading5">
    <w:name w:val="heading 5"/>
    <w:basedOn w:val="Normal"/>
    <w:next w:val="Normal"/>
    <w:qFormat/>
    <w:rsid w:val="00B51C1B"/>
    <w:pPr>
      <w:keepNext/>
      <w:spacing w:before="240" w:after="0" w:line="276" w:lineRule="auto"/>
      <w:outlineLvl w:val="4"/>
    </w:pPr>
    <w:rPr>
      <w:rFonts w:ascii="Georgia" w:hAnsi="Georgia" w:cs="Arial"/>
      <w:iCs/>
      <w:color w:val="595959"/>
      <w:kern w:val="32"/>
      <w:sz w:val="25"/>
      <w:szCs w:val="36"/>
      <w14:numForm w14:val="lining"/>
      <w14:numSpacing w14:val="proportional"/>
    </w:rPr>
  </w:style>
  <w:style w:type="paragraph" w:styleId="Heading6">
    <w:name w:val="heading 6"/>
    <w:basedOn w:val="Normal"/>
    <w:next w:val="Normal"/>
    <w:qFormat/>
    <w:rsid w:val="00B51C1B"/>
    <w:pPr>
      <w:keepNext/>
      <w:spacing w:after="0" w:line="276" w:lineRule="auto"/>
      <w:outlineLvl w:val="5"/>
    </w:pPr>
    <w:rPr>
      <w:rFonts w:cs="Arial"/>
      <w:b/>
      <w:color w:val="000000"/>
      <w:kern w:val="32"/>
      <w:sz w:val="25"/>
      <w14:numForm w14:val="lining"/>
      <w14:numSpacing w14:val="proportional"/>
    </w:rPr>
  </w:style>
  <w:style w:type="paragraph" w:styleId="Heading7">
    <w:name w:val="heading 7"/>
    <w:basedOn w:val="HeadingBase"/>
    <w:next w:val="Normal"/>
    <w:qFormat/>
    <w:rsid w:val="00B51C1B"/>
    <w:pPr>
      <w:outlineLvl w:val="6"/>
    </w:pPr>
    <w:rPr>
      <w:rFonts w:asciiTheme="minorHAnsi" w:hAnsiTheme="minorHAnsi"/>
      <w:b/>
      <w:color w:val="000000" w:themeColor="text1"/>
      <w:sz w:val="23"/>
      <w:szCs w:val="24"/>
    </w:rPr>
  </w:style>
  <w:style w:type="paragraph" w:styleId="Heading8">
    <w:name w:val="heading 8"/>
    <w:basedOn w:val="HeadingBase"/>
    <w:next w:val="Normal"/>
    <w:qFormat/>
    <w:rsid w:val="00B51C1B"/>
    <w:pPr>
      <w:outlineLvl w:val="7"/>
    </w:pPr>
    <w:rPr>
      <w:rFonts w:asciiTheme="minorHAnsi" w:hAnsiTheme="minorHAnsi"/>
      <w:b/>
      <w:iCs/>
      <w:color w:val="5F5F5F" w:themeColor="text2"/>
      <w:sz w:val="22"/>
      <w:szCs w:val="24"/>
    </w:rPr>
  </w:style>
  <w:style w:type="paragraph" w:styleId="Heading9">
    <w:name w:val="heading 9"/>
    <w:basedOn w:val="HeadingBase"/>
    <w:next w:val="Normal"/>
    <w:qFormat/>
    <w:rsid w:val="00B51C1B"/>
    <w:pPr>
      <w:outlineLvl w:val="8"/>
    </w:pPr>
    <w:rPr>
      <w:rFonts w:asciiTheme="minorHAnsi" w:hAnsiTheme="minorHAnsi" w:cs="Arial"/>
      <w:i/>
      <w:color w:val="5F5F5F"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link w:val="HeadingBaseChar"/>
    <w:semiHidden/>
    <w:rsid w:val="00B51C1B"/>
    <w:rPr>
      <w:rFonts w:ascii="Georgia" w:hAnsi="Georgia"/>
      <w:color w:val="142147" w:themeColor="accent1"/>
      <w:sz w:val="64"/>
      <w14:numForm w14:val="lining"/>
      <w14:numSpacing w14:val="proportional"/>
    </w:rPr>
  </w:style>
  <w:style w:type="paragraph" w:customStyle="1" w:styleId="SingleParagraph">
    <w:name w:val="Single Paragraph"/>
    <w:basedOn w:val="Normal"/>
    <w:link w:val="SingleParagraphChar"/>
    <w:rsid w:val="00B51C1B"/>
    <w:pPr>
      <w:spacing w:after="0"/>
    </w:pPr>
  </w:style>
  <w:style w:type="character" w:styleId="Hyperlink">
    <w:name w:val="Hyperlink"/>
    <w:basedOn w:val="DefaultParagraphFont"/>
    <w:rsid w:val="00B51C1B"/>
    <w:rPr>
      <w:color w:val="2B4798" w:themeColor="accent1" w:themeTint="BF"/>
      <w:u w:val="single"/>
    </w:rPr>
  </w:style>
  <w:style w:type="paragraph" w:customStyle="1" w:styleId="Non-ChapterHeading">
    <w:name w:val="Non-Chapter Heading"/>
    <w:basedOn w:val="HeadingBase"/>
    <w:next w:val="Normal"/>
    <w:rsid w:val="00B51C1B"/>
    <w:pPr>
      <w:pageBreakBefore/>
      <w:spacing w:before="360" w:after="360"/>
    </w:pPr>
    <w:rPr>
      <w:i/>
      <w:sz w:val="56"/>
      <w:szCs w:val="38"/>
    </w:rPr>
  </w:style>
  <w:style w:type="character" w:styleId="PageNumber">
    <w:name w:val="page number"/>
    <w:basedOn w:val="DefaultParagraphFont"/>
    <w:semiHidden/>
    <w:rsid w:val="00B51C1B"/>
    <w:rPr>
      <w:rFonts w:ascii="Arial" w:hAnsi="Arial"/>
      <w:sz w:val="18"/>
    </w:rPr>
  </w:style>
  <w:style w:type="paragraph" w:styleId="EndnoteText">
    <w:name w:val="endnote text"/>
    <w:basedOn w:val="Normal"/>
    <w:link w:val="EndnoteTextChar"/>
    <w:unhideWhenUsed/>
    <w:rsid w:val="00B51C1B"/>
    <w:pPr>
      <w:spacing w:before="0" w:after="0"/>
    </w:pPr>
    <w:rPr>
      <w:sz w:val="20"/>
      <w:szCs w:val="20"/>
    </w:rPr>
  </w:style>
  <w:style w:type="paragraph" w:customStyle="1" w:styleId="Bullet">
    <w:name w:val="Bullet"/>
    <w:basedOn w:val="Normal"/>
    <w:link w:val="BulletChar"/>
    <w:rsid w:val="00B51C1B"/>
    <w:pPr>
      <w:numPr>
        <w:numId w:val="20"/>
      </w:numPr>
      <w:tabs>
        <w:tab w:val="left" w:pos="567"/>
      </w:tabs>
    </w:pPr>
  </w:style>
  <w:style w:type="paragraph" w:customStyle="1" w:styleId="Dash">
    <w:name w:val="Dash"/>
    <w:basedOn w:val="Normal"/>
    <w:rsid w:val="00B51C1B"/>
    <w:pPr>
      <w:numPr>
        <w:ilvl w:val="1"/>
        <w:numId w:val="20"/>
      </w:numPr>
      <w:tabs>
        <w:tab w:val="left" w:pos="1134"/>
      </w:tabs>
    </w:pPr>
  </w:style>
  <w:style w:type="paragraph" w:customStyle="1" w:styleId="DoubleDot">
    <w:name w:val="Double Dot"/>
    <w:basedOn w:val="Normal"/>
    <w:rsid w:val="00B51C1B"/>
    <w:pPr>
      <w:numPr>
        <w:ilvl w:val="2"/>
        <w:numId w:val="20"/>
      </w:numPr>
      <w:tabs>
        <w:tab w:val="left" w:pos="1701"/>
      </w:tabs>
    </w:pPr>
  </w:style>
  <w:style w:type="paragraph" w:customStyle="1" w:styleId="NumberedList1">
    <w:name w:val="Numbered List 1"/>
    <w:basedOn w:val="Normal"/>
    <w:rsid w:val="00B51C1B"/>
    <w:pPr>
      <w:numPr>
        <w:numId w:val="1"/>
      </w:numPr>
      <w:ind w:left="851"/>
    </w:pPr>
  </w:style>
  <w:style w:type="paragraph" w:customStyle="1" w:styleId="NumberedList11">
    <w:name w:val="Numbered List 1.1"/>
    <w:basedOn w:val="Normal"/>
    <w:rsid w:val="00B51C1B"/>
    <w:pPr>
      <w:numPr>
        <w:ilvl w:val="1"/>
        <w:numId w:val="1"/>
      </w:numPr>
      <w:ind w:left="851"/>
    </w:pPr>
  </w:style>
  <w:style w:type="paragraph" w:customStyle="1" w:styleId="NumberedList111">
    <w:name w:val="Numbered List 1.1.1"/>
    <w:basedOn w:val="Normal"/>
    <w:rsid w:val="00B51C1B"/>
    <w:pPr>
      <w:numPr>
        <w:ilvl w:val="2"/>
        <w:numId w:val="1"/>
      </w:numPr>
      <w:ind w:left="851"/>
    </w:pPr>
  </w:style>
  <w:style w:type="paragraph" w:customStyle="1" w:styleId="AlphaParagraph">
    <w:name w:val="Alpha Paragraph"/>
    <w:basedOn w:val="Normal"/>
    <w:uiPriority w:val="1"/>
    <w:unhideWhenUsed/>
    <w:rsid w:val="00B51C1B"/>
    <w:pPr>
      <w:numPr>
        <w:numId w:val="2"/>
      </w:numPr>
    </w:pPr>
  </w:style>
  <w:style w:type="paragraph" w:customStyle="1" w:styleId="AppendixHeading">
    <w:name w:val="Appendix Heading"/>
    <w:basedOn w:val="Heading1"/>
    <w:next w:val="Normal"/>
    <w:rsid w:val="00B51C1B"/>
    <w:rPr>
      <w:sz w:val="38"/>
      <w:szCs w:val="38"/>
    </w:rPr>
  </w:style>
  <w:style w:type="paragraph" w:styleId="ListParagraph">
    <w:name w:val="List Paragraph"/>
    <w:basedOn w:val="Normal"/>
    <w:uiPriority w:val="34"/>
    <w:qFormat/>
    <w:rsid w:val="00B51C1B"/>
    <w:pPr>
      <w:ind w:left="720"/>
      <w:contextualSpacing/>
    </w:pPr>
  </w:style>
  <w:style w:type="paragraph" w:customStyle="1" w:styleId="BoxHeading1">
    <w:name w:val="Box Heading 1"/>
    <w:basedOn w:val="HeadingBase"/>
    <w:next w:val="BoxText"/>
    <w:rsid w:val="00B51C1B"/>
    <w:pPr>
      <w:spacing w:after="80"/>
    </w:pPr>
    <w:rPr>
      <w:i/>
      <w:color w:val="auto"/>
      <w:sz w:val="28"/>
    </w:rPr>
  </w:style>
  <w:style w:type="paragraph" w:customStyle="1" w:styleId="BoxText">
    <w:name w:val="Box Text"/>
    <w:basedOn w:val="Normal"/>
    <w:rsid w:val="00B51C1B"/>
  </w:style>
  <w:style w:type="paragraph" w:customStyle="1" w:styleId="NumberedParagraph111">
    <w:name w:val="Numbered Paragraph 1.1.1"/>
    <w:basedOn w:val="NumberedParagraph11"/>
    <w:qFormat/>
    <w:rsid w:val="00B51C1B"/>
    <w:pPr>
      <w:numPr>
        <w:ilvl w:val="2"/>
      </w:numPr>
    </w:pPr>
  </w:style>
  <w:style w:type="paragraph" w:customStyle="1" w:styleId="Notealpha">
    <w:name w:val="Note alpha"/>
    <w:basedOn w:val="Note"/>
    <w:rsid w:val="00B51C1B"/>
    <w:pPr>
      <w:numPr>
        <w:numId w:val="3"/>
      </w:numPr>
      <w:spacing w:after="120"/>
      <w:ind w:left="709" w:hanging="709"/>
    </w:pPr>
    <w:rPr>
      <w:szCs w:val="16"/>
    </w:rPr>
  </w:style>
  <w:style w:type="paragraph" w:customStyle="1" w:styleId="ChartGraphic">
    <w:name w:val="Chart Graphic"/>
    <w:basedOn w:val="Normal"/>
    <w:next w:val="Normal"/>
    <w:rsid w:val="00B51C1B"/>
    <w:pPr>
      <w:spacing w:after="20"/>
      <w:jc w:val="center"/>
    </w:pPr>
  </w:style>
  <w:style w:type="paragraph" w:customStyle="1" w:styleId="ChartHeading1">
    <w:name w:val="Chart Heading 1"/>
    <w:basedOn w:val="Normal"/>
    <w:next w:val="ChartGraphic"/>
    <w:rsid w:val="00B51C1B"/>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Note">
    <w:name w:val="Note"/>
    <w:basedOn w:val="Normal"/>
    <w:next w:val="Normal"/>
    <w:rsid w:val="00B51C1B"/>
    <w:pPr>
      <w:spacing w:before="40" w:after="60"/>
      <w:ind w:left="709" w:hanging="709"/>
      <w:contextualSpacing/>
      <w:jc w:val="both"/>
    </w:pPr>
    <w:rPr>
      <w:rFonts w:asciiTheme="minorHAnsi" w:hAnsiTheme="minorHAnsi"/>
      <w:sz w:val="18"/>
    </w:rPr>
  </w:style>
  <w:style w:type="paragraph" w:customStyle="1" w:styleId="ChartHeading2">
    <w:name w:val="Chart Heading 2"/>
    <w:basedOn w:val="Normal"/>
    <w:next w:val="ChartGraphic"/>
    <w:rsid w:val="00B51C1B"/>
    <w:pPr>
      <w:keepNext/>
      <w:spacing w:before="60"/>
    </w:pPr>
    <w:rPr>
      <w:rFonts w:asciiTheme="minorHAnsi" w:hAnsiTheme="minorHAnsi"/>
      <w:b/>
      <w:bCs/>
      <w:color w:val="142147"/>
      <w:szCs w:val="20"/>
    </w:rPr>
  </w:style>
  <w:style w:type="paragraph" w:customStyle="1" w:styleId="Classification">
    <w:name w:val="Classification"/>
    <w:basedOn w:val="HeadingBase"/>
    <w:next w:val="Footer"/>
    <w:unhideWhenUsed/>
    <w:rsid w:val="00B51C1B"/>
    <w:pPr>
      <w:jc w:val="center"/>
    </w:pPr>
    <w:rPr>
      <w:b/>
      <w:smallCaps/>
    </w:rPr>
  </w:style>
  <w:style w:type="paragraph" w:styleId="Footer">
    <w:name w:val="footer"/>
    <w:basedOn w:val="HeadingBase"/>
    <w:link w:val="FooterChar"/>
    <w:uiPriority w:val="99"/>
    <w:rsid w:val="00B51C1B"/>
    <w:pPr>
      <w:tabs>
        <w:tab w:val="left" w:pos="0"/>
        <w:tab w:val="right" w:pos="9639"/>
      </w:tabs>
      <w:jc w:val="center"/>
    </w:pPr>
    <w:rPr>
      <w:color w:val="701F4D" w:themeColor="accent2"/>
      <w:sz w:val="22"/>
    </w:rPr>
  </w:style>
  <w:style w:type="paragraph" w:customStyle="1" w:styleId="ContentsHeading">
    <w:name w:val="Contents Heading"/>
    <w:basedOn w:val="HeadingBase"/>
    <w:next w:val="Normal"/>
    <w:rsid w:val="00B51C1B"/>
    <w:pPr>
      <w:spacing w:before="360" w:after="600"/>
      <w:outlineLvl w:val="0"/>
    </w:pPr>
    <w:rPr>
      <w:i/>
      <w:sz w:val="56"/>
      <w:szCs w:val="38"/>
    </w:rPr>
  </w:style>
  <w:style w:type="paragraph" w:customStyle="1" w:styleId="CoverTitleMain">
    <w:name w:val="Cover Title Main"/>
    <w:basedOn w:val="HeadingBase"/>
    <w:next w:val="Normal"/>
    <w:rsid w:val="00B51C1B"/>
    <w:pPr>
      <w:spacing w:before="9600" w:after="240"/>
      <w:ind w:right="2268"/>
      <w:contextualSpacing/>
      <w:outlineLvl w:val="0"/>
    </w:pPr>
    <w:rPr>
      <w:kern w:val="32"/>
      <w:sz w:val="68"/>
      <w:szCs w:val="52"/>
    </w:rPr>
  </w:style>
  <w:style w:type="paragraph" w:customStyle="1" w:styleId="CoverTitleSub">
    <w:name w:val="Cover Title Sub"/>
    <w:basedOn w:val="HeadingBase"/>
    <w:rsid w:val="00B51C1B"/>
    <w:pPr>
      <w:spacing w:after="600"/>
      <w:contextualSpacing/>
    </w:pPr>
    <w:rPr>
      <w:sz w:val="36"/>
      <w:szCs w:val="36"/>
    </w:rPr>
  </w:style>
  <w:style w:type="paragraph" w:customStyle="1" w:styleId="FooterCentered">
    <w:name w:val="Footer Centered"/>
    <w:basedOn w:val="Footer"/>
    <w:semiHidden/>
    <w:rsid w:val="00B51C1B"/>
  </w:style>
  <w:style w:type="paragraph" w:customStyle="1" w:styleId="FooterEven">
    <w:name w:val="Footer Even"/>
    <w:basedOn w:val="Footer"/>
    <w:rsid w:val="00B51C1B"/>
  </w:style>
  <w:style w:type="paragraph" w:customStyle="1" w:styleId="FooterOdd">
    <w:name w:val="Footer Odd"/>
    <w:basedOn w:val="Footer"/>
    <w:rsid w:val="00B51C1B"/>
    <w:pPr>
      <w:jc w:val="right"/>
    </w:pPr>
  </w:style>
  <w:style w:type="character" w:customStyle="1" w:styleId="FramedFooter">
    <w:name w:val="Framed Footer"/>
    <w:semiHidden/>
    <w:rsid w:val="00B51C1B"/>
    <w:rPr>
      <w:rFonts w:ascii="Arial" w:hAnsi="Arial"/>
      <w:color w:val="000080"/>
      <w:sz w:val="18"/>
      <w:szCs w:val="18"/>
    </w:rPr>
  </w:style>
  <w:style w:type="character" w:customStyle="1" w:styleId="FramedHeader">
    <w:name w:val="Framed Header"/>
    <w:basedOn w:val="DefaultParagraphFont"/>
    <w:semiHidden/>
    <w:rsid w:val="00B51C1B"/>
    <w:rPr>
      <w:rFonts w:ascii="Arial" w:hAnsi="Arial"/>
      <w:dstrike w:val="0"/>
      <w:color w:val="000080"/>
      <w:sz w:val="18"/>
      <w:szCs w:val="18"/>
      <w:vertAlign w:val="baseline"/>
    </w:rPr>
  </w:style>
  <w:style w:type="paragraph" w:styleId="Header">
    <w:name w:val="header"/>
    <w:basedOn w:val="HeadingBase"/>
    <w:link w:val="HeaderChar"/>
    <w:unhideWhenUsed/>
    <w:rsid w:val="00B51C1B"/>
    <w:rPr>
      <w:sz w:val="22"/>
    </w:rPr>
  </w:style>
  <w:style w:type="paragraph" w:customStyle="1" w:styleId="HeaderEven">
    <w:name w:val="Header Even"/>
    <w:basedOn w:val="Header"/>
    <w:rsid w:val="00B51C1B"/>
    <w:pPr>
      <w:jc w:val="right"/>
    </w:pPr>
  </w:style>
  <w:style w:type="paragraph" w:customStyle="1" w:styleId="HeaderOdd">
    <w:name w:val="Header Odd"/>
    <w:basedOn w:val="Header"/>
    <w:rsid w:val="00B51C1B"/>
  </w:style>
  <w:style w:type="paragraph" w:styleId="NormalIndent">
    <w:name w:val="Normal Indent"/>
    <w:basedOn w:val="Normal"/>
    <w:rsid w:val="00B51C1B"/>
    <w:pPr>
      <w:ind w:left="567"/>
    </w:pPr>
  </w:style>
  <w:style w:type="paragraph" w:styleId="IntenseQuote">
    <w:name w:val="Intense Quote"/>
    <w:basedOn w:val="Normal"/>
    <w:next w:val="Normal"/>
    <w:link w:val="IntenseQuoteChar"/>
    <w:unhideWhenUsed/>
    <w:qFormat/>
    <w:rsid w:val="00B51C1B"/>
    <w:pPr>
      <w:pBdr>
        <w:top w:val="single" w:sz="4" w:space="10" w:color="142147" w:themeColor="accent1"/>
        <w:bottom w:val="single" w:sz="4" w:space="10" w:color="142147" w:themeColor="accent1"/>
      </w:pBdr>
      <w:spacing w:before="360" w:after="360"/>
      <w:ind w:left="862" w:right="862"/>
      <w:jc w:val="center"/>
    </w:pPr>
    <w:rPr>
      <w:rFonts w:asciiTheme="majorHAnsi" w:hAnsiTheme="majorHAnsi"/>
      <w:i/>
      <w:iCs/>
      <w:color w:val="142147" w:themeColor="accent1"/>
    </w:rPr>
  </w:style>
  <w:style w:type="character" w:customStyle="1" w:styleId="IntenseQuoteChar">
    <w:name w:val="Intense Quote Char"/>
    <w:basedOn w:val="DefaultParagraphFont"/>
    <w:link w:val="IntenseQuote"/>
    <w:rsid w:val="00B51C1B"/>
    <w:rPr>
      <w:rFonts w:asciiTheme="majorHAnsi" w:hAnsiTheme="majorHAnsi"/>
      <w:i/>
      <w:iCs/>
      <w:color w:val="142147" w:themeColor="accent1"/>
    </w:rPr>
  </w:style>
  <w:style w:type="table" w:styleId="ListTable4-Accent1">
    <w:name w:val="List Table 4 Accent 1"/>
    <w:basedOn w:val="TableNormal"/>
    <w:uiPriority w:val="49"/>
    <w:rsid w:val="00B51C1B"/>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tcBorders>
        <w:shd w:val="clear" w:color="auto" w:fill="142147" w:themeFill="accent1"/>
      </w:tcPr>
    </w:tblStylePr>
    <w:tblStylePr w:type="lastRow">
      <w:rPr>
        <w:b w:val="0"/>
        <w:bCs/>
      </w:rPr>
      <w:tblPr/>
      <w:tcPr>
        <w:tcBorders>
          <w:top w:val="double" w:sz="4" w:space="0" w:color="3A5EC7" w:themeColor="accent1" w:themeTint="99"/>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paragraph" w:customStyle="1" w:styleId="TableHeaderCellCentred">
    <w:name w:val="Table Header Cell Centred"/>
    <w:basedOn w:val="TableHeaderCellLeft"/>
    <w:rsid w:val="00B51C1B"/>
    <w:pPr>
      <w:jc w:val="center"/>
    </w:pPr>
    <w:rPr>
      <w:rFonts w:asciiTheme="minorHAnsi" w:hAnsiTheme="minorHAnsi"/>
    </w:rPr>
  </w:style>
  <w:style w:type="paragraph" w:customStyle="1" w:styleId="TableHeaderCellLeft">
    <w:name w:val="Table Header Cell Left"/>
    <w:basedOn w:val="Normal"/>
    <w:rsid w:val="00B51C1B"/>
    <w:pPr>
      <w:spacing w:before="60" w:after="60"/>
    </w:pPr>
    <w:rPr>
      <w:rFonts w:asciiTheme="majorHAnsi" w:hAnsiTheme="majorHAnsi"/>
      <w:sz w:val="20"/>
      <w:szCs w:val="18"/>
    </w:rPr>
  </w:style>
  <w:style w:type="paragraph" w:customStyle="1" w:styleId="TableHeaderCellRight">
    <w:name w:val="Table Header Cell Right"/>
    <w:basedOn w:val="TableHeaderCellLeft"/>
    <w:rsid w:val="00B51C1B"/>
    <w:pPr>
      <w:jc w:val="right"/>
    </w:pPr>
  </w:style>
  <w:style w:type="paragraph" w:customStyle="1" w:styleId="TableGraphic">
    <w:name w:val="Table Graphic"/>
    <w:basedOn w:val="HeadingBase"/>
    <w:next w:val="Normal"/>
    <w:uiPriority w:val="99"/>
    <w:semiHidden/>
    <w:rsid w:val="00B51C1B"/>
    <w:pPr>
      <w:spacing w:after="40"/>
      <w:ind w:right="-113"/>
    </w:pPr>
  </w:style>
  <w:style w:type="paragraph" w:customStyle="1" w:styleId="TableHeading1">
    <w:name w:val="Table Heading 1"/>
    <w:basedOn w:val="Normal"/>
    <w:next w:val="TableGraphic"/>
    <w:rsid w:val="00B51C1B"/>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TableHeading1continued">
    <w:name w:val="Table Heading 1 continued"/>
    <w:basedOn w:val="TableHeading1"/>
    <w:next w:val="TableGraphic"/>
    <w:rsid w:val="00B51C1B"/>
    <w:pPr>
      <w:spacing w:after="20"/>
    </w:pPr>
  </w:style>
  <w:style w:type="paragraph" w:customStyle="1" w:styleId="TableHeading2">
    <w:name w:val="Table Heading 2"/>
    <w:basedOn w:val="Normal"/>
    <w:next w:val="TableGraphic"/>
    <w:rsid w:val="00B51C1B"/>
    <w:pPr>
      <w:keepNext/>
      <w:spacing w:before="60"/>
    </w:pPr>
    <w:rPr>
      <w:rFonts w:asciiTheme="minorHAnsi" w:hAnsiTheme="minorHAnsi"/>
      <w:b/>
      <w:color w:val="142147"/>
      <w:szCs w:val="20"/>
    </w:rPr>
  </w:style>
  <w:style w:type="paragraph" w:customStyle="1" w:styleId="TableBodyCellCentered">
    <w:name w:val="Table Body Cell Centered"/>
    <w:basedOn w:val="Normal"/>
    <w:rsid w:val="00B51C1B"/>
    <w:pPr>
      <w:spacing w:before="20" w:after="20"/>
      <w:jc w:val="center"/>
    </w:pPr>
    <w:rPr>
      <w:rFonts w:asciiTheme="minorHAnsi" w:hAnsiTheme="minorHAnsi"/>
      <w:color w:val="000000"/>
      <w:sz w:val="20"/>
      <w:szCs w:val="18"/>
    </w:rPr>
  </w:style>
  <w:style w:type="paragraph" w:customStyle="1" w:styleId="TableBodyCellLeftIndented">
    <w:name w:val="Table Body Cell Left Indented"/>
    <w:basedOn w:val="Normal"/>
    <w:rsid w:val="00B51C1B"/>
    <w:pPr>
      <w:spacing w:before="20" w:after="20"/>
      <w:ind w:left="284"/>
    </w:pPr>
    <w:rPr>
      <w:rFonts w:asciiTheme="minorHAnsi" w:hAnsiTheme="minorHAnsi"/>
      <w:color w:val="000000"/>
      <w:sz w:val="20"/>
      <w:szCs w:val="18"/>
    </w:rPr>
  </w:style>
  <w:style w:type="paragraph" w:customStyle="1" w:styleId="TableBodyCellLeft">
    <w:name w:val="Table Body Cell Left"/>
    <w:basedOn w:val="Normal"/>
    <w:rsid w:val="00B51C1B"/>
    <w:pPr>
      <w:spacing w:before="20" w:after="20"/>
    </w:pPr>
    <w:rPr>
      <w:rFonts w:asciiTheme="minorHAnsi" w:hAnsiTheme="minorHAnsi"/>
      <w:sz w:val="20"/>
      <w:szCs w:val="18"/>
    </w:rPr>
  </w:style>
  <w:style w:type="paragraph" w:customStyle="1" w:styleId="TableBodyCellRight">
    <w:name w:val="Table Body Cell Right"/>
    <w:basedOn w:val="Normal"/>
    <w:rsid w:val="00B51C1B"/>
    <w:pPr>
      <w:spacing w:before="20" w:after="20"/>
      <w:jc w:val="right"/>
    </w:pPr>
    <w:rPr>
      <w:rFonts w:asciiTheme="minorHAnsi" w:hAnsiTheme="minorHAnsi"/>
      <w:color w:val="000000"/>
      <w:sz w:val="20"/>
      <w:szCs w:val="18"/>
    </w:rPr>
  </w:style>
  <w:style w:type="paragraph" w:styleId="TOC1">
    <w:name w:val="toc 1"/>
    <w:basedOn w:val="HeadingBase"/>
    <w:next w:val="Normal"/>
    <w:rsid w:val="00B51C1B"/>
    <w:pPr>
      <w:tabs>
        <w:tab w:val="right" w:leader="dot" w:pos="9639"/>
      </w:tabs>
      <w:ind w:right="1134"/>
    </w:pPr>
    <w:rPr>
      <w:sz w:val="24"/>
    </w:rPr>
  </w:style>
  <w:style w:type="paragraph" w:styleId="TOC2">
    <w:name w:val="toc 2"/>
    <w:basedOn w:val="Normal"/>
    <w:next w:val="Normal"/>
    <w:rsid w:val="00B51C1B"/>
    <w:pPr>
      <w:tabs>
        <w:tab w:val="right" w:leader="dot" w:pos="9639"/>
      </w:tabs>
      <w:spacing w:before="60" w:after="60"/>
      <w:ind w:right="1134"/>
    </w:pPr>
    <w:rPr>
      <w:rFonts w:ascii="Arial" w:hAnsi="Arial"/>
      <w:color w:val="701F4D" w:themeColor="accent2"/>
      <w:sz w:val="20"/>
      <w:szCs w:val="20"/>
    </w:rPr>
  </w:style>
  <w:style w:type="paragraph" w:styleId="TOC3">
    <w:name w:val="toc 3"/>
    <w:basedOn w:val="Normal"/>
    <w:next w:val="Normal"/>
    <w:rsid w:val="00B51C1B"/>
    <w:pPr>
      <w:tabs>
        <w:tab w:val="right" w:pos="7700"/>
      </w:tabs>
      <w:spacing w:before="20" w:after="0"/>
      <w:ind w:left="284" w:right="851"/>
    </w:pPr>
  </w:style>
  <w:style w:type="paragraph" w:styleId="TOC4">
    <w:name w:val="toc 4"/>
    <w:basedOn w:val="Normal"/>
    <w:next w:val="Normal"/>
    <w:unhideWhenUsed/>
    <w:rsid w:val="00B51C1B"/>
    <w:pPr>
      <w:tabs>
        <w:tab w:val="right" w:pos="7700"/>
      </w:tabs>
      <w:spacing w:after="0"/>
      <w:ind w:left="284" w:right="851"/>
    </w:pPr>
  </w:style>
  <w:style w:type="table" w:styleId="GridTable1Light-Accent2">
    <w:name w:val="Grid Table 1 Light Accent 2"/>
    <w:basedOn w:val="TableNormal"/>
    <w:uiPriority w:val="46"/>
    <w:rsid w:val="00B51C1B"/>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2" w:space="0" w:color="701F4D" w:themeColor="accent2"/>
        </w:tcBorders>
      </w:tcPr>
    </w:tblStylePr>
    <w:tblStylePr w:type="firstCol">
      <w:rPr>
        <w:b w:val="0"/>
        <w:bCs/>
      </w:rPr>
    </w:tblStylePr>
    <w:tblStylePr w:type="lastCol">
      <w:rPr>
        <w:b w:val="0"/>
        <w:bCs/>
      </w:rPr>
    </w:tblStylePr>
  </w:style>
  <w:style w:type="paragraph" w:customStyle="1" w:styleId="NumberedParagraph1">
    <w:name w:val="Numbered Paragraph 1"/>
    <w:basedOn w:val="Normal"/>
    <w:rsid w:val="00B51C1B"/>
    <w:pPr>
      <w:numPr>
        <w:numId w:val="17"/>
      </w:numPr>
    </w:pPr>
  </w:style>
  <w:style w:type="paragraph" w:customStyle="1" w:styleId="BoxBullet">
    <w:name w:val="Box Bullet"/>
    <w:basedOn w:val="Bullet"/>
    <w:rsid w:val="00B51C1B"/>
    <w:pPr>
      <w:numPr>
        <w:numId w:val="4"/>
      </w:numPr>
      <w:spacing w:before="60" w:after="60"/>
    </w:pPr>
  </w:style>
  <w:style w:type="paragraph" w:customStyle="1" w:styleId="BoxDash">
    <w:name w:val="Box Dash"/>
    <w:basedOn w:val="BoxBullet"/>
    <w:rsid w:val="00B51C1B"/>
    <w:pPr>
      <w:numPr>
        <w:ilvl w:val="1"/>
      </w:numPr>
      <w:tabs>
        <w:tab w:val="left" w:pos="1134"/>
      </w:tabs>
    </w:pPr>
  </w:style>
  <w:style w:type="paragraph" w:customStyle="1" w:styleId="BoxDoubleDot">
    <w:name w:val="Box Double Dot"/>
    <w:basedOn w:val="BoxDash"/>
    <w:rsid w:val="00B51C1B"/>
    <w:pPr>
      <w:numPr>
        <w:ilvl w:val="2"/>
      </w:numPr>
    </w:pPr>
  </w:style>
  <w:style w:type="character" w:customStyle="1" w:styleId="EndnoteTextChar">
    <w:name w:val="Endnote Text Char"/>
    <w:basedOn w:val="DefaultParagraphFont"/>
    <w:link w:val="EndnoteText"/>
    <w:rsid w:val="00B51C1B"/>
    <w:rPr>
      <w:sz w:val="20"/>
      <w:szCs w:val="20"/>
    </w:rPr>
  </w:style>
  <w:style w:type="paragraph" w:styleId="List2">
    <w:name w:val="List 2"/>
    <w:basedOn w:val="Normal"/>
    <w:semiHidden/>
    <w:rsid w:val="00B51C1B"/>
    <w:pPr>
      <w:ind w:left="566" w:hanging="283"/>
      <w:contextualSpacing/>
    </w:pPr>
  </w:style>
  <w:style w:type="paragraph" w:customStyle="1" w:styleId="CoverDate">
    <w:name w:val="Cover Date"/>
    <w:basedOn w:val="CoverTitleSub"/>
    <w:rsid w:val="00B51C1B"/>
  </w:style>
  <w:style w:type="character" w:styleId="FootnoteReference">
    <w:name w:val="footnote reference"/>
    <w:basedOn w:val="DefaultParagraphFont"/>
    <w:unhideWhenUsed/>
    <w:rsid w:val="00B51C1B"/>
    <w:rPr>
      <w:sz w:val="20"/>
      <w:szCs w:val="20"/>
      <w:vertAlign w:val="superscript"/>
    </w:rPr>
  </w:style>
  <w:style w:type="paragraph" w:styleId="FootnoteText">
    <w:name w:val="footnote text"/>
    <w:basedOn w:val="Normal"/>
    <w:link w:val="FootnoteTextChar"/>
    <w:unhideWhenUsed/>
    <w:rsid w:val="00B51C1B"/>
    <w:pPr>
      <w:tabs>
        <w:tab w:val="left" w:pos="567"/>
      </w:tabs>
      <w:spacing w:after="0"/>
      <w:ind w:left="567" w:hanging="567"/>
    </w:pPr>
    <w:rPr>
      <w:sz w:val="18"/>
      <w:szCs w:val="18"/>
    </w:rPr>
  </w:style>
  <w:style w:type="table" w:styleId="TableContemporary">
    <w:name w:val="Table Contemporary"/>
    <w:basedOn w:val="TableNormal"/>
    <w:rsid w:val="00B51C1B"/>
    <w:pPr>
      <w:spacing w:after="240" w:line="300" w:lineRule="exact"/>
      <w:jc w:val="both"/>
    </w:pPr>
    <w:tblPr>
      <w:tblStyleRowBandSize w:val="1"/>
      <w:tblBorders>
        <w:insideH w:val="single" w:sz="18" w:space="0" w:color="FFFFFF"/>
        <w:insideV w:val="single" w:sz="18" w:space="0" w:color="FFFFFF"/>
      </w:tblBorders>
    </w:tblPr>
    <w:tblStylePr w:type="firstRow">
      <w:rPr>
        <w:b w:val="0"/>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mphasis">
    <w:name w:val="Emphasis"/>
    <w:basedOn w:val="DefaultParagraphFont"/>
    <w:uiPriority w:val="20"/>
    <w:rsid w:val="00B51C1B"/>
    <w:rPr>
      <w:i/>
      <w:iCs/>
    </w:rPr>
  </w:style>
  <w:style w:type="paragraph" w:customStyle="1" w:styleId="Graphic">
    <w:name w:val="Graphic"/>
    <w:basedOn w:val="Normal"/>
    <w:semiHidden/>
    <w:rsid w:val="00B51C1B"/>
    <w:pPr>
      <w:spacing w:after="0"/>
      <w:jc w:val="center"/>
    </w:pPr>
  </w:style>
  <w:style w:type="character" w:styleId="EndnoteReference">
    <w:name w:val="endnote reference"/>
    <w:basedOn w:val="DefaultParagraphFont"/>
    <w:unhideWhenUsed/>
    <w:rsid w:val="00B51C1B"/>
    <w:rPr>
      <w:vertAlign w:val="superscript"/>
    </w:rPr>
  </w:style>
  <w:style w:type="table" w:styleId="PlainTable5">
    <w:name w:val="Plain Table 5"/>
    <w:basedOn w:val="TableNormal"/>
    <w:uiPriority w:val="45"/>
    <w:rsid w:val="00B51C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51C1B"/>
    <w:tblPr>
      <w:tblStyleRowBandSize w:val="1"/>
      <w:tblStyleColBandSize w:val="1"/>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qFormat/>
    <w:rsid w:val="00B51C1B"/>
    <w:rPr>
      <w:b/>
      <w:bCs/>
    </w:rPr>
  </w:style>
  <w:style w:type="paragraph" w:customStyle="1" w:styleId="Romannumeral">
    <w:name w:val="Roman numeral"/>
    <w:basedOn w:val="Normal"/>
    <w:uiPriority w:val="1"/>
    <w:unhideWhenUsed/>
    <w:rsid w:val="00B51C1B"/>
    <w:pPr>
      <w:numPr>
        <w:numId w:val="10"/>
      </w:numPr>
    </w:pPr>
  </w:style>
  <w:style w:type="paragraph" w:styleId="BalloonText">
    <w:name w:val="Balloon Text"/>
    <w:basedOn w:val="Normal"/>
    <w:link w:val="BalloonTextChar"/>
    <w:semiHidden/>
    <w:rsid w:val="00B51C1B"/>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51C1B"/>
    <w:rPr>
      <w:rFonts w:ascii="Tahoma" w:hAnsi="Tahoma" w:cs="Tahoma"/>
      <w:sz w:val="16"/>
      <w:szCs w:val="16"/>
    </w:rPr>
  </w:style>
  <w:style w:type="table" w:styleId="TableGrid">
    <w:name w:val="Table Grid"/>
    <w:basedOn w:val="TableNormal"/>
    <w:rsid w:val="00B5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51C1B"/>
    <w:tblPr>
      <w:tblStyleRowBandSize w:val="1"/>
      <w:tblStyleColBandSize w:val="1"/>
    </w:tblPr>
    <w:tblStylePr w:type="firstRow">
      <w:rPr>
        <w:b w:val="0"/>
        <w:bCs/>
        <w:caps/>
      </w:rPr>
      <w:tblPr/>
      <w:tcPr>
        <w:tcBorders>
          <w:bottom w:val="single" w:sz="4" w:space="0" w:color="7F7F7F" w:themeColor="text1" w:themeTint="80"/>
        </w:tcBorders>
      </w:tcPr>
    </w:tblStylePr>
    <w:tblStylePr w:type="lastRow">
      <w:rPr>
        <w:b w:val="0"/>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Paragraph11">
    <w:name w:val="Numbered Paragraph 1.1"/>
    <w:basedOn w:val="Bullet"/>
    <w:qFormat/>
    <w:rsid w:val="00B51C1B"/>
    <w:pPr>
      <w:numPr>
        <w:ilvl w:val="1"/>
        <w:numId w:val="17"/>
      </w:numPr>
    </w:pPr>
  </w:style>
  <w:style w:type="paragraph" w:customStyle="1" w:styleId="NumberedParagraphalpha">
    <w:name w:val="Numbered Paragraph alpha"/>
    <w:basedOn w:val="Dash"/>
    <w:qFormat/>
    <w:rsid w:val="00B51C1B"/>
    <w:pPr>
      <w:numPr>
        <w:ilvl w:val="3"/>
        <w:numId w:val="17"/>
      </w:numPr>
    </w:pPr>
  </w:style>
  <w:style w:type="paragraph" w:customStyle="1" w:styleId="NumberedParagraphnumbers">
    <w:name w:val="Numbered Paragraph numbers"/>
    <w:basedOn w:val="DoubleDot"/>
    <w:qFormat/>
    <w:rsid w:val="00B51C1B"/>
    <w:pPr>
      <w:numPr>
        <w:ilvl w:val="4"/>
        <w:numId w:val="17"/>
      </w:numPr>
    </w:pPr>
  </w:style>
  <w:style w:type="paragraph" w:customStyle="1" w:styleId="NumberedParagraphroman">
    <w:name w:val="Numbered Paragraph roman"/>
    <w:basedOn w:val="Normal"/>
    <w:qFormat/>
    <w:rsid w:val="00B51C1B"/>
    <w:pPr>
      <w:numPr>
        <w:ilvl w:val="5"/>
        <w:numId w:val="17"/>
      </w:numPr>
      <w:tabs>
        <w:tab w:val="left" w:pos="2268"/>
      </w:tabs>
    </w:pPr>
  </w:style>
  <w:style w:type="table" w:styleId="PlainTable2">
    <w:name w:val="Plain Table 2"/>
    <w:basedOn w:val="TableNormal"/>
    <w:uiPriority w:val="42"/>
    <w:rsid w:val="00B51C1B"/>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51C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B51C1B"/>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142147" w:themeColor="accent1"/>
        </w:tcBorders>
      </w:tcPr>
    </w:tblStylePr>
    <w:tblStylePr w:type="lastRow">
      <w:rPr>
        <w:b w:val="0"/>
        <w:bCs/>
      </w:rPr>
      <w:tblPr/>
      <w:tcPr>
        <w:tcBorders>
          <w:top w:val="double" w:sz="2" w:space="0" w:color="142147" w:themeColor="accent1"/>
        </w:tcBorders>
      </w:tcPr>
    </w:tblStylePr>
    <w:tblStylePr w:type="firstCol">
      <w:rPr>
        <w:b w:val="0"/>
        <w:bCs/>
      </w:rPr>
    </w:tblStylePr>
    <w:tblStylePr w:type="lastCol">
      <w:rPr>
        <w:b w:val="0"/>
        <w:bCs/>
      </w:rPr>
    </w:tblStylePr>
  </w:style>
  <w:style w:type="paragraph" w:styleId="Quote">
    <w:name w:val="Quote"/>
    <w:basedOn w:val="Normal"/>
    <w:next w:val="Normal"/>
    <w:link w:val="QuoteChar"/>
    <w:qFormat/>
    <w:rsid w:val="00B51C1B"/>
    <w:rPr>
      <w:i/>
      <w:iCs/>
      <w:color w:val="000000" w:themeColor="text1"/>
    </w:rPr>
  </w:style>
  <w:style w:type="character" w:customStyle="1" w:styleId="QuoteChar">
    <w:name w:val="Quote Char"/>
    <w:basedOn w:val="DefaultParagraphFont"/>
    <w:link w:val="Quote"/>
    <w:rsid w:val="00B51C1B"/>
    <w:rPr>
      <w:i/>
      <w:iCs/>
      <w:color w:val="000000" w:themeColor="text1"/>
    </w:rPr>
  </w:style>
  <w:style w:type="character" w:styleId="FollowedHyperlink">
    <w:name w:val="FollowedHyperlink"/>
    <w:basedOn w:val="DefaultParagraphFont"/>
    <w:semiHidden/>
    <w:rsid w:val="00B51C1B"/>
    <w:rPr>
      <w:color w:val="844D9E" w:themeColor="followedHyperlink"/>
      <w:u w:val="single"/>
    </w:rPr>
  </w:style>
  <w:style w:type="numbering" w:customStyle="1" w:styleId="ChartandTableFootnoteAlphaList">
    <w:name w:val="ChartandTableFootnoteAlphaList"/>
    <w:uiPriority w:val="99"/>
    <w:rsid w:val="00B51C1B"/>
    <w:pPr>
      <w:numPr>
        <w:numId w:val="19"/>
      </w:numPr>
    </w:pPr>
  </w:style>
  <w:style w:type="table" w:styleId="PlainTable1">
    <w:name w:val="Plain Table 1"/>
    <w:basedOn w:val="TableNormal"/>
    <w:uiPriority w:val="41"/>
    <w:rsid w:val="00B51C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51C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B51C1B"/>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bCs/>
      </w:rPr>
      <w:tblPr/>
      <w:tcPr>
        <w:tcBorders>
          <w:bottom w:val="single" w:sz="12" w:space="0" w:color="D4C2A8" w:themeColor="accent3"/>
        </w:tcBorders>
      </w:tcPr>
    </w:tblStylePr>
    <w:tblStylePr w:type="lastRow">
      <w:rPr>
        <w:b/>
        <w:bCs/>
      </w:rPr>
      <w:tblPr/>
      <w:tcPr>
        <w:tcBorders>
          <w:top w:val="double" w:sz="2" w:space="0" w:color="D4C2A8" w:themeColor="accent3"/>
        </w:tcBorders>
      </w:tcPr>
    </w:tblStylePr>
    <w:tblStylePr w:type="firstCol">
      <w:rPr>
        <w:b/>
        <w:bCs/>
      </w:rPr>
    </w:tblStylePr>
    <w:tblStylePr w:type="lastCol">
      <w:rPr>
        <w:b/>
        <w:bCs/>
      </w:rPr>
    </w:tblStylePr>
  </w:style>
  <w:style w:type="table" w:styleId="GridTable2">
    <w:name w:val="Grid Table 2"/>
    <w:basedOn w:val="TableNormal"/>
    <w:uiPriority w:val="47"/>
    <w:rsid w:val="00B51C1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B51C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1C1B"/>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insideV w:val="nil"/>
        </w:tcBorders>
        <w:shd w:val="clear" w:color="auto" w:fill="142147" w:themeFill="accent1"/>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4-Accent2">
    <w:name w:val="Grid Table 4 Accent 2"/>
    <w:basedOn w:val="TableNormal"/>
    <w:uiPriority w:val="49"/>
    <w:rsid w:val="00B51C1B"/>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insideV w:val="nil"/>
        </w:tcBorders>
        <w:shd w:val="clear" w:color="auto" w:fill="701F4D" w:themeFill="accent2"/>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4-Accent3">
    <w:name w:val="Grid Table 4 Accent 3"/>
    <w:basedOn w:val="TableNormal"/>
    <w:uiPriority w:val="49"/>
    <w:rsid w:val="00B51C1B"/>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insideV w:val="nil"/>
        </w:tcBorders>
        <w:shd w:val="clear" w:color="auto" w:fill="D4C2A8" w:themeFill="accent3"/>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4-Accent4">
    <w:name w:val="Grid Table 4 Accent 4"/>
    <w:basedOn w:val="TableNormal"/>
    <w:uiPriority w:val="49"/>
    <w:rsid w:val="00B51C1B"/>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color w:val="000000" w:themeColor="text1"/>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insideV w:val="nil"/>
        </w:tcBorders>
        <w:shd w:val="clear" w:color="auto" w:fill="432B73" w:themeFill="accent4"/>
      </w:tcPr>
    </w:tblStylePr>
    <w:tblStylePr w:type="lastRow">
      <w:rPr>
        <w:b w:val="0"/>
        <w:bCs/>
      </w:rPr>
      <w:tblPr/>
      <w:tcPr>
        <w:tcBorders>
          <w:top w:val="double" w:sz="4" w:space="0" w:color="432B73" w:themeColor="accent4"/>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4-Accent5">
    <w:name w:val="Grid Table 4 Accent 5"/>
    <w:basedOn w:val="TableNormal"/>
    <w:uiPriority w:val="49"/>
    <w:rsid w:val="00B51C1B"/>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color w:val="000000" w:themeColor="text1"/>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insideV w:val="nil"/>
        </w:tcBorders>
        <w:shd w:val="clear" w:color="auto" w:fill="65ACDC" w:themeFill="accent5"/>
      </w:tcPr>
    </w:tblStylePr>
    <w:tblStylePr w:type="lastRow">
      <w:rPr>
        <w:b w:val="0"/>
        <w:bCs/>
      </w:rPr>
      <w:tblPr/>
      <w:tcPr>
        <w:tcBorders>
          <w:top w:val="double" w:sz="4" w:space="0" w:color="65ACDC" w:themeColor="accent5"/>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4-Accent6">
    <w:name w:val="Grid Table 4 Accent 6"/>
    <w:basedOn w:val="TableNormal"/>
    <w:uiPriority w:val="49"/>
    <w:rsid w:val="00B51C1B"/>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insideV w:val="nil"/>
        </w:tcBorders>
        <w:shd w:val="clear" w:color="auto" w:fill="A2A0D5" w:themeFill="accent6"/>
      </w:tcPr>
    </w:tblStylePr>
    <w:tblStylePr w:type="lastRow">
      <w:rPr>
        <w:b w:val="0"/>
        <w:bCs/>
      </w:rPr>
      <w:tblPr/>
      <w:tcPr>
        <w:tcBorders>
          <w:top w:val="double" w:sz="4" w:space="0" w:color="A2A0D5" w:themeColor="accent6"/>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GridTable5Dark">
    <w:name w:val="Grid Table 5 Dark"/>
    <w:basedOn w:val="TableNormal"/>
    <w:uiPriority w:val="50"/>
    <w:rsid w:val="00B51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1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9EC"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2147" w:themeFill="accen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2147"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2147" w:themeFill="accen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2147" w:themeFill="accent1"/>
      </w:tcPr>
    </w:tblStylePr>
    <w:tblStylePr w:type="band1Vert">
      <w:tblPr/>
      <w:tcPr>
        <w:shd w:val="clear" w:color="auto" w:fill="7C94DA" w:themeFill="accent1" w:themeFillTint="66"/>
      </w:tcPr>
    </w:tblStylePr>
    <w:tblStylePr w:type="band1Horz">
      <w:tblPr/>
      <w:tcPr>
        <w:shd w:val="clear" w:color="auto" w:fill="7C94DA" w:themeFill="accent1" w:themeFillTint="66"/>
      </w:tcPr>
    </w:tblStylePr>
  </w:style>
  <w:style w:type="table" w:styleId="GridTable5Dark-Accent2">
    <w:name w:val="Grid Table 5 Dark Accent 2"/>
    <w:basedOn w:val="TableNormal"/>
    <w:uiPriority w:val="50"/>
    <w:rsid w:val="00B51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5DC" w:themeFill="accent2"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1F4D" w:themeFill="accent2"/>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1F4D" w:themeFill="accent2"/>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1F4D" w:themeFill="accent2"/>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1F4D" w:themeFill="accent2"/>
      </w:tcPr>
    </w:tblStylePr>
    <w:tblStylePr w:type="band1Vert">
      <w:tblPr/>
      <w:tcPr>
        <w:shd w:val="clear" w:color="auto" w:fill="DF8BBA" w:themeFill="accent2" w:themeFillTint="66"/>
      </w:tcPr>
    </w:tblStylePr>
    <w:tblStylePr w:type="band1Horz">
      <w:tblPr/>
      <w:tcPr>
        <w:shd w:val="clear" w:color="auto" w:fill="DF8BBA" w:themeFill="accent2" w:themeFillTint="66"/>
      </w:tcPr>
    </w:tblStylePr>
  </w:style>
  <w:style w:type="table" w:styleId="GridTable5Dark-Accent3">
    <w:name w:val="Grid Table 5 Dark Accent 3"/>
    <w:basedOn w:val="TableNormal"/>
    <w:uiPriority w:val="50"/>
    <w:rsid w:val="00B51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2ED" w:themeFill="accent3"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2A8" w:themeFill="accent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styleId="GridTable5Dark-Accent4">
    <w:name w:val="Grid Table 5 Dark Accent 4"/>
    <w:basedOn w:val="TableNormal"/>
    <w:uiPriority w:val="50"/>
    <w:rsid w:val="00B51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BEB" w:themeFill="accent4"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2B73" w:themeFill="accent4"/>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2B73" w:themeFill="accent4"/>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2B73" w:themeFill="accent4"/>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2B73" w:themeFill="accent4"/>
      </w:tcPr>
    </w:tblStylePr>
    <w:tblStylePr w:type="band1Vert">
      <w:tblPr/>
      <w:tcPr>
        <w:shd w:val="clear" w:color="auto" w:fill="AD98D8" w:themeFill="accent4" w:themeFillTint="66"/>
      </w:tcPr>
    </w:tblStylePr>
    <w:tblStylePr w:type="band1Horz">
      <w:tblPr/>
      <w:tcPr>
        <w:shd w:val="clear" w:color="auto" w:fill="AD98D8" w:themeFill="accent4" w:themeFillTint="66"/>
      </w:tcPr>
    </w:tblStylePr>
  </w:style>
  <w:style w:type="table" w:styleId="GridTable5Dark-Accent5">
    <w:name w:val="Grid Table 5 Dark Accent 5"/>
    <w:basedOn w:val="TableNormal"/>
    <w:uiPriority w:val="50"/>
    <w:rsid w:val="00B51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EF8" w:themeFill="accent5"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ACDC" w:themeFill="accent5"/>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ACDC" w:themeFill="accent5"/>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ACDC" w:themeFill="accent5"/>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ACDC" w:themeFill="accent5"/>
      </w:tcPr>
    </w:tblStylePr>
    <w:tblStylePr w:type="band1Vert">
      <w:tblPr/>
      <w:tcPr>
        <w:shd w:val="clear" w:color="auto" w:fill="C1DDF1" w:themeFill="accent5" w:themeFillTint="66"/>
      </w:tcPr>
    </w:tblStylePr>
    <w:tblStylePr w:type="band1Horz">
      <w:tblPr/>
      <w:tcPr>
        <w:shd w:val="clear" w:color="auto" w:fill="C1DDF1" w:themeFill="accent5" w:themeFillTint="66"/>
      </w:tcPr>
    </w:tblStylePr>
  </w:style>
  <w:style w:type="table" w:styleId="GridTable5Dark-Accent6">
    <w:name w:val="Grid Table 5 Dark Accent 6"/>
    <w:basedOn w:val="TableNormal"/>
    <w:uiPriority w:val="50"/>
    <w:rsid w:val="00B51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F6" w:themeFill="accent6"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0D5" w:themeFill="accent6"/>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0D5" w:themeFill="accent6"/>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0D5" w:themeFill="accent6"/>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0D5" w:themeFill="accent6"/>
      </w:tcPr>
    </w:tblStylePr>
    <w:tblStylePr w:type="band1Vert">
      <w:tblPr/>
      <w:tcPr>
        <w:shd w:val="clear" w:color="auto" w:fill="D9D8EE" w:themeFill="accent6" w:themeFillTint="66"/>
      </w:tcPr>
    </w:tblStylePr>
    <w:tblStylePr w:type="band1Horz">
      <w:tblPr/>
      <w:tcPr>
        <w:shd w:val="clear" w:color="auto" w:fill="D9D8EE" w:themeFill="accent6" w:themeFillTint="66"/>
      </w:tcPr>
    </w:tblStylePr>
  </w:style>
  <w:style w:type="table" w:styleId="GridTable6Colorful">
    <w:name w:val="Grid Table 6 Colorful"/>
    <w:basedOn w:val="TableNormal"/>
    <w:uiPriority w:val="51"/>
    <w:rsid w:val="00B51C1B"/>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1C1B"/>
    <w:rPr>
      <w:color w:val="0F1835" w:themeColor="accent1" w:themeShade="BF"/>
    </w:r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auto"/>
        </w:tcBorders>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6Colorful-Accent2">
    <w:name w:val="Grid Table 6 Colorful Accent 2"/>
    <w:basedOn w:val="TableNormal"/>
    <w:uiPriority w:val="51"/>
    <w:rsid w:val="00B51C1B"/>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6Colorful-Accent3">
    <w:name w:val="Grid Table 6 Colorful Accent 3"/>
    <w:basedOn w:val="TableNormal"/>
    <w:uiPriority w:val="51"/>
    <w:rsid w:val="00B51C1B"/>
    <w:rPr>
      <w:color w:val="B49468" w:themeColor="accent3" w:themeShade="BF"/>
    </w:rPr>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rPr>
      <w:tblPr/>
      <w:tcPr>
        <w:tcBorders>
          <w:bottom w:val="single" w:sz="12" w:space="0" w:color="D4C2A8" w:themeColor="accent3"/>
        </w:tcBorders>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6Colorful-Accent4">
    <w:name w:val="Grid Table 6 Colorful Accent 4"/>
    <w:basedOn w:val="TableNormal"/>
    <w:uiPriority w:val="51"/>
    <w:rsid w:val="00B51C1B"/>
    <w:rPr>
      <w:color w:val="D4C2A8" w:themeColor="accent3"/>
    </w:rPr>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rPr>
      <w:tblPr/>
      <w:tcPr>
        <w:tcBorders>
          <w:bottom w:val="single" w:sz="12" w:space="0" w:color="8565C5" w:themeColor="accent4" w:themeTint="99"/>
        </w:tcBorders>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color w:val="D4C2A8" w:themeColor="accent3"/>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6Colorful-Accent5">
    <w:name w:val="Grid Table 6 Colorful Accent 5"/>
    <w:basedOn w:val="TableNormal"/>
    <w:uiPriority w:val="51"/>
    <w:rsid w:val="00B51C1B"/>
    <w:rPr>
      <w:color w:val="142147" w:themeColor="accent1"/>
    </w:rPr>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rPr>
      <w:tblPr/>
      <w:tcPr>
        <w:tcBorders>
          <w:bottom w:val="single" w:sz="12" w:space="0" w:color="A2CDEA" w:themeColor="accent5" w:themeTint="99"/>
        </w:tcBorders>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6Colorful-Accent6">
    <w:name w:val="Grid Table 6 Colorful Accent 6"/>
    <w:basedOn w:val="TableNormal"/>
    <w:uiPriority w:val="51"/>
    <w:rsid w:val="00B51C1B"/>
    <w:rPr>
      <w:color w:val="701F4D" w:themeColor="accent2"/>
    </w:rPr>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rPr>
      <w:tblPr/>
      <w:tcPr>
        <w:tcBorders>
          <w:bottom w:val="single" w:sz="12" w:space="0" w:color="C6C5E5" w:themeColor="accent6" w:themeTint="99"/>
        </w:tcBorders>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4">
    <w:name w:val="List Table 4"/>
    <w:basedOn w:val="TableNormal"/>
    <w:uiPriority w:val="49"/>
    <w:rsid w:val="00B51C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B51C1B"/>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tcBorders>
        <w:shd w:val="clear" w:color="auto" w:fill="701F4D" w:themeFill="accent2"/>
      </w:tcPr>
    </w:tblStylePr>
    <w:tblStylePr w:type="lastRow">
      <w:rPr>
        <w:b w:val="0"/>
        <w:bCs/>
      </w:rPr>
      <w:tblPr/>
      <w:tcPr>
        <w:tcBorders>
          <w:top w:val="double" w:sz="4" w:space="0" w:color="CF5298" w:themeColor="accent2" w:themeTint="99"/>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ListTable4-Accent3">
    <w:name w:val="List Table 4 Accent 3"/>
    <w:basedOn w:val="TableNormal"/>
    <w:uiPriority w:val="49"/>
    <w:rsid w:val="00B51C1B"/>
    <w:tblPr>
      <w:tblStyleRowBandSize w:val="1"/>
      <w:tblStyleColBandSize w:val="1"/>
      <w:tblBorders>
        <w:top w:val="single" w:sz="4" w:space="0" w:color="E5DACA" w:themeColor="accent3" w:themeTint="99"/>
        <w:left w:val="single" w:sz="4" w:space="0" w:color="E5DACA" w:themeColor="accent3" w:themeTint="99"/>
        <w:bottom w:val="single" w:sz="4" w:space="0" w:color="E5DACA" w:themeColor="accent3" w:themeTint="99"/>
        <w:right w:val="single" w:sz="4" w:space="0" w:color="E5DACA" w:themeColor="accent3" w:themeTint="99"/>
        <w:insideH w:val="single" w:sz="4" w:space="0" w:color="E5DACA" w:themeColor="accent3" w:themeTint="99"/>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tcBorders>
        <w:shd w:val="clear" w:color="auto" w:fill="D4C2A8" w:themeFill="accent3"/>
      </w:tcPr>
    </w:tblStylePr>
    <w:tblStylePr w:type="lastRow">
      <w:rPr>
        <w:b w:val="0"/>
        <w:bCs/>
      </w:rPr>
      <w:tblPr/>
      <w:tcPr>
        <w:tcBorders>
          <w:top w:val="double" w:sz="4" w:space="0" w:color="E5DACA" w:themeColor="accent3" w:themeTint="99"/>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ListTable4-Accent4">
    <w:name w:val="List Table 4 Accent 4"/>
    <w:basedOn w:val="TableNormal"/>
    <w:uiPriority w:val="49"/>
    <w:rsid w:val="00B51C1B"/>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tblBorders>
    </w:tblPr>
    <w:tblStylePr w:type="firstRow">
      <w:rPr>
        <w:b w:val="0"/>
        <w:bCs/>
        <w:color w:val="auto"/>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tcBorders>
        <w:shd w:val="clear" w:color="auto" w:fill="432B73" w:themeFill="accent4"/>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ListTable4-Accent5">
    <w:name w:val="List Table 4 Accent 5"/>
    <w:basedOn w:val="TableNormal"/>
    <w:uiPriority w:val="49"/>
    <w:rsid w:val="00B51C1B"/>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tblBorders>
    </w:tblPr>
    <w:tblStylePr w:type="firstRow">
      <w:rPr>
        <w:b w:val="0"/>
        <w:bCs/>
        <w:color w:val="auto"/>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tcBorders>
        <w:shd w:val="clear" w:color="auto" w:fill="65ACDC" w:themeFill="accent5"/>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ListTable4-Accent6">
    <w:name w:val="List Table 4 Accent 6"/>
    <w:basedOn w:val="TableNormal"/>
    <w:uiPriority w:val="49"/>
    <w:rsid w:val="00B51C1B"/>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tcBorders>
        <w:shd w:val="clear" w:color="auto" w:fill="A2A0D5" w:themeFill="accent6"/>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3-Accent6">
    <w:name w:val="List Table 3 Accent 6"/>
    <w:basedOn w:val="TableNormal"/>
    <w:uiPriority w:val="48"/>
    <w:rsid w:val="00B51C1B"/>
    <w:tblPr>
      <w:tblStyleRowBandSize w:val="1"/>
      <w:tblStyleColBandSize w:val="1"/>
      <w:tblBorders>
        <w:top w:val="single" w:sz="4" w:space="0" w:color="A2A0D5" w:themeColor="accent6"/>
        <w:left w:val="single" w:sz="4" w:space="0" w:color="A2A0D5" w:themeColor="accent6"/>
        <w:bottom w:val="single" w:sz="4" w:space="0" w:color="A2A0D5" w:themeColor="accent6"/>
        <w:right w:val="single" w:sz="4" w:space="0" w:color="A2A0D5" w:themeColor="accent6"/>
      </w:tblBorders>
    </w:tblPr>
    <w:tblStylePr w:type="firstRow">
      <w:rPr>
        <w:b w:val="0"/>
        <w:bCs/>
        <w:color w:val="auto"/>
      </w:rPr>
      <w:tblPr/>
      <w:tcPr>
        <w:shd w:val="clear" w:color="auto" w:fill="A2A0D5" w:themeFill="accent6"/>
      </w:tcPr>
    </w:tblStylePr>
    <w:tblStylePr w:type="lastRow">
      <w:rPr>
        <w:b/>
        <w:bCs/>
      </w:rPr>
      <w:tblPr/>
      <w:tcPr>
        <w:tcBorders>
          <w:top w:val="double" w:sz="4" w:space="0" w:color="A2A0D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0D5" w:themeColor="accent6"/>
          <w:right w:val="single" w:sz="4" w:space="0" w:color="A2A0D5" w:themeColor="accent6"/>
        </w:tcBorders>
      </w:tcPr>
    </w:tblStylePr>
    <w:tblStylePr w:type="band1Horz">
      <w:tblPr/>
      <w:tcPr>
        <w:tcBorders>
          <w:top w:val="single" w:sz="4" w:space="0" w:color="A2A0D5" w:themeColor="accent6"/>
          <w:bottom w:val="single" w:sz="4" w:space="0" w:color="A2A0D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0D5" w:themeColor="accent6"/>
          <w:left w:val="nil"/>
        </w:tcBorders>
      </w:tcPr>
    </w:tblStylePr>
    <w:tblStylePr w:type="swCell">
      <w:tblPr/>
      <w:tcPr>
        <w:tcBorders>
          <w:top w:val="double" w:sz="4" w:space="0" w:color="A2A0D5" w:themeColor="accent6"/>
          <w:right w:val="nil"/>
        </w:tcBorders>
      </w:tcPr>
    </w:tblStylePr>
  </w:style>
  <w:style w:type="table" w:styleId="ListTable3-Accent5">
    <w:name w:val="List Table 3 Accent 5"/>
    <w:basedOn w:val="TableNormal"/>
    <w:uiPriority w:val="48"/>
    <w:rsid w:val="00B51C1B"/>
    <w:tblPr>
      <w:tblStyleRowBandSize w:val="1"/>
      <w:tblStyleColBandSize w:val="1"/>
      <w:tblBorders>
        <w:top w:val="single" w:sz="4" w:space="0" w:color="65ACDC" w:themeColor="accent5"/>
        <w:left w:val="single" w:sz="4" w:space="0" w:color="65ACDC" w:themeColor="accent5"/>
        <w:bottom w:val="single" w:sz="4" w:space="0" w:color="65ACDC" w:themeColor="accent5"/>
        <w:right w:val="single" w:sz="4" w:space="0" w:color="65ACDC" w:themeColor="accent5"/>
      </w:tblBorders>
    </w:tblPr>
    <w:tblStylePr w:type="firstRow">
      <w:rPr>
        <w:b w:val="0"/>
        <w:bCs/>
        <w:color w:val="auto"/>
      </w:rPr>
      <w:tblPr/>
      <w:tcPr>
        <w:shd w:val="clear" w:color="auto" w:fill="65ACDC" w:themeFill="accent5"/>
      </w:tcPr>
    </w:tblStylePr>
    <w:tblStylePr w:type="lastRow">
      <w:rPr>
        <w:b/>
        <w:bCs/>
      </w:rPr>
      <w:tblPr/>
      <w:tcPr>
        <w:tcBorders>
          <w:top w:val="double" w:sz="4" w:space="0" w:color="65AC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ACDC" w:themeColor="accent5"/>
          <w:right w:val="single" w:sz="4" w:space="0" w:color="65ACDC" w:themeColor="accent5"/>
        </w:tcBorders>
      </w:tcPr>
    </w:tblStylePr>
    <w:tblStylePr w:type="band1Horz">
      <w:tblPr/>
      <w:tcPr>
        <w:tcBorders>
          <w:top w:val="single" w:sz="4" w:space="0" w:color="65ACDC" w:themeColor="accent5"/>
          <w:bottom w:val="single" w:sz="4" w:space="0" w:color="65AC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ACDC" w:themeColor="accent5"/>
          <w:left w:val="nil"/>
        </w:tcBorders>
      </w:tcPr>
    </w:tblStylePr>
    <w:tblStylePr w:type="swCell">
      <w:tblPr/>
      <w:tcPr>
        <w:tcBorders>
          <w:top w:val="double" w:sz="4" w:space="0" w:color="65ACDC" w:themeColor="accent5"/>
          <w:right w:val="nil"/>
        </w:tcBorders>
      </w:tcPr>
    </w:tblStylePr>
  </w:style>
  <w:style w:type="table" w:styleId="ListTable3-Accent4">
    <w:name w:val="List Table 3 Accent 4"/>
    <w:basedOn w:val="TableNormal"/>
    <w:uiPriority w:val="48"/>
    <w:rsid w:val="00B51C1B"/>
    <w:tblPr>
      <w:tblStyleRowBandSize w:val="1"/>
      <w:tblStyleColBandSize w:val="1"/>
      <w:tblBorders>
        <w:top w:val="single" w:sz="4" w:space="0" w:color="432B73" w:themeColor="accent4"/>
        <w:left w:val="single" w:sz="4" w:space="0" w:color="432B73" w:themeColor="accent4"/>
        <w:bottom w:val="single" w:sz="4" w:space="0" w:color="432B73" w:themeColor="accent4"/>
        <w:right w:val="single" w:sz="4" w:space="0" w:color="432B73" w:themeColor="accent4"/>
      </w:tblBorders>
    </w:tblPr>
    <w:tblStylePr w:type="firstRow">
      <w:rPr>
        <w:b w:val="0"/>
        <w:bCs/>
        <w:color w:val="auto"/>
      </w:rPr>
      <w:tblPr/>
      <w:tcPr>
        <w:shd w:val="clear" w:color="auto" w:fill="432B73" w:themeFill="accent4"/>
      </w:tcPr>
    </w:tblStylePr>
    <w:tblStylePr w:type="lastRow">
      <w:rPr>
        <w:b/>
        <w:bCs/>
      </w:rPr>
      <w:tblPr/>
      <w:tcPr>
        <w:tcBorders>
          <w:top w:val="double" w:sz="4" w:space="0" w:color="432B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2B73" w:themeColor="accent4"/>
          <w:right w:val="single" w:sz="4" w:space="0" w:color="432B73" w:themeColor="accent4"/>
        </w:tcBorders>
      </w:tcPr>
    </w:tblStylePr>
    <w:tblStylePr w:type="band1Horz">
      <w:tblPr/>
      <w:tcPr>
        <w:tcBorders>
          <w:top w:val="single" w:sz="4" w:space="0" w:color="432B73" w:themeColor="accent4"/>
          <w:bottom w:val="single" w:sz="4" w:space="0" w:color="432B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2B73" w:themeColor="accent4"/>
          <w:left w:val="nil"/>
        </w:tcBorders>
      </w:tcPr>
    </w:tblStylePr>
    <w:tblStylePr w:type="swCell">
      <w:tblPr/>
      <w:tcPr>
        <w:tcBorders>
          <w:top w:val="double" w:sz="4" w:space="0" w:color="432B73" w:themeColor="accent4"/>
          <w:right w:val="nil"/>
        </w:tcBorders>
      </w:tcPr>
    </w:tblStylePr>
  </w:style>
  <w:style w:type="table" w:styleId="ListTable3-Accent3">
    <w:name w:val="List Table 3 Accent 3"/>
    <w:basedOn w:val="TableNormal"/>
    <w:uiPriority w:val="48"/>
    <w:rsid w:val="00B51C1B"/>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tblBorders>
    </w:tblPr>
    <w:tblStylePr w:type="firstRow">
      <w:rPr>
        <w:b w:val="0"/>
        <w:bCs/>
        <w:color w:val="FFFFFF" w:themeColor="background1"/>
      </w:rPr>
      <w:tblPr/>
      <w:tcPr>
        <w:shd w:val="clear" w:color="auto" w:fill="D4C2A8" w:themeFill="accent3"/>
      </w:tcPr>
    </w:tblStylePr>
    <w:tblStylePr w:type="lastRow">
      <w:rPr>
        <w:b/>
        <w:bCs/>
      </w:rPr>
      <w:tblPr/>
      <w:tcPr>
        <w:tcBorders>
          <w:top w:val="double" w:sz="4" w:space="0" w:color="D4C2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2A8" w:themeColor="accent3"/>
          <w:right w:val="single" w:sz="4" w:space="0" w:color="D4C2A8" w:themeColor="accent3"/>
        </w:tcBorders>
      </w:tcPr>
    </w:tblStylePr>
    <w:tblStylePr w:type="band1Horz">
      <w:tblPr/>
      <w:tcPr>
        <w:tcBorders>
          <w:top w:val="single" w:sz="4" w:space="0" w:color="D4C2A8" w:themeColor="accent3"/>
          <w:bottom w:val="single" w:sz="4" w:space="0" w:color="D4C2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2A8" w:themeColor="accent3"/>
          <w:left w:val="nil"/>
        </w:tcBorders>
      </w:tcPr>
    </w:tblStylePr>
    <w:tblStylePr w:type="swCell">
      <w:tblPr/>
      <w:tcPr>
        <w:tcBorders>
          <w:top w:val="double" w:sz="4" w:space="0" w:color="D4C2A8" w:themeColor="accent3"/>
          <w:right w:val="nil"/>
        </w:tcBorders>
      </w:tcPr>
    </w:tblStylePr>
  </w:style>
  <w:style w:type="table" w:styleId="ListTable3-Accent2">
    <w:name w:val="List Table 3 Accent 2"/>
    <w:basedOn w:val="TableNormal"/>
    <w:uiPriority w:val="48"/>
    <w:rsid w:val="00B51C1B"/>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tblBorders>
    </w:tblPr>
    <w:tblStylePr w:type="firstRow">
      <w:rPr>
        <w:b w:val="0"/>
        <w:bCs/>
        <w:color w:val="FFFFFF" w:themeColor="background1"/>
      </w:rPr>
      <w:tblPr/>
      <w:tcPr>
        <w:shd w:val="clear" w:color="auto" w:fill="701F4D" w:themeFill="accent2"/>
      </w:tcPr>
    </w:tblStylePr>
    <w:tblStylePr w:type="lastRow">
      <w:rPr>
        <w:b/>
        <w:bCs/>
      </w:rPr>
      <w:tblPr/>
      <w:tcPr>
        <w:tcBorders>
          <w:top w:val="double" w:sz="4" w:space="0" w:color="701F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1F4D" w:themeColor="accent2"/>
          <w:right w:val="single" w:sz="4" w:space="0" w:color="701F4D" w:themeColor="accent2"/>
        </w:tcBorders>
      </w:tcPr>
    </w:tblStylePr>
    <w:tblStylePr w:type="band1Horz">
      <w:tblPr/>
      <w:tcPr>
        <w:tcBorders>
          <w:top w:val="single" w:sz="4" w:space="0" w:color="701F4D" w:themeColor="accent2"/>
          <w:bottom w:val="single" w:sz="4" w:space="0" w:color="701F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1F4D" w:themeColor="accent2"/>
          <w:left w:val="nil"/>
        </w:tcBorders>
      </w:tcPr>
    </w:tblStylePr>
    <w:tblStylePr w:type="swCell">
      <w:tblPr/>
      <w:tcPr>
        <w:tcBorders>
          <w:top w:val="double" w:sz="4" w:space="0" w:color="701F4D" w:themeColor="accent2"/>
          <w:right w:val="nil"/>
        </w:tcBorders>
      </w:tcPr>
    </w:tblStylePr>
  </w:style>
  <w:style w:type="table" w:styleId="ListTable3-Accent1">
    <w:name w:val="List Table 3 Accent 1"/>
    <w:basedOn w:val="TableNormal"/>
    <w:uiPriority w:val="48"/>
    <w:rsid w:val="00B51C1B"/>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val="0"/>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table" w:styleId="ListTable3">
    <w:name w:val="List Table 3"/>
    <w:basedOn w:val="TableNormal"/>
    <w:uiPriority w:val="48"/>
    <w:rsid w:val="00B51C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val="0"/>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3">
    <w:name w:val="List 3"/>
    <w:basedOn w:val="Normal"/>
    <w:semiHidden/>
    <w:rsid w:val="00B51C1B"/>
    <w:pPr>
      <w:ind w:left="849" w:hanging="283"/>
      <w:contextualSpacing/>
    </w:pPr>
  </w:style>
  <w:style w:type="paragraph" w:styleId="List4">
    <w:name w:val="List 4"/>
    <w:basedOn w:val="Normal"/>
    <w:semiHidden/>
    <w:rsid w:val="00B51C1B"/>
    <w:pPr>
      <w:ind w:left="1132" w:hanging="283"/>
      <w:contextualSpacing/>
    </w:pPr>
  </w:style>
  <w:style w:type="paragraph" w:styleId="List5">
    <w:name w:val="List 5"/>
    <w:basedOn w:val="Normal"/>
    <w:semiHidden/>
    <w:rsid w:val="00B51C1B"/>
    <w:pPr>
      <w:ind w:left="1415" w:hanging="283"/>
      <w:contextualSpacing/>
    </w:pPr>
  </w:style>
  <w:style w:type="paragraph" w:styleId="List">
    <w:name w:val="List"/>
    <w:basedOn w:val="Normal"/>
    <w:semiHidden/>
    <w:rsid w:val="00B51C1B"/>
    <w:pPr>
      <w:ind w:left="283" w:hanging="283"/>
      <w:contextualSpacing/>
    </w:pPr>
  </w:style>
  <w:style w:type="paragraph" w:styleId="ListBullet">
    <w:name w:val="List Bullet"/>
    <w:basedOn w:val="Normal"/>
    <w:semiHidden/>
    <w:rsid w:val="00B51C1B"/>
    <w:pPr>
      <w:numPr>
        <w:numId w:val="21"/>
      </w:numPr>
      <w:contextualSpacing/>
    </w:pPr>
  </w:style>
  <w:style w:type="paragraph" w:styleId="ListBullet2">
    <w:name w:val="List Bullet 2"/>
    <w:basedOn w:val="Normal"/>
    <w:semiHidden/>
    <w:rsid w:val="00B51C1B"/>
    <w:pPr>
      <w:numPr>
        <w:numId w:val="22"/>
      </w:numPr>
      <w:contextualSpacing/>
    </w:pPr>
  </w:style>
  <w:style w:type="paragraph" w:styleId="ListBullet3">
    <w:name w:val="List Bullet 3"/>
    <w:basedOn w:val="Normal"/>
    <w:semiHidden/>
    <w:rsid w:val="00B51C1B"/>
    <w:pPr>
      <w:numPr>
        <w:numId w:val="23"/>
      </w:numPr>
      <w:contextualSpacing/>
    </w:pPr>
  </w:style>
  <w:style w:type="paragraph" w:styleId="ListBullet4">
    <w:name w:val="List Bullet 4"/>
    <w:basedOn w:val="Normal"/>
    <w:semiHidden/>
    <w:rsid w:val="00B51C1B"/>
    <w:pPr>
      <w:numPr>
        <w:numId w:val="24"/>
      </w:numPr>
      <w:contextualSpacing/>
    </w:pPr>
  </w:style>
  <w:style w:type="paragraph" w:styleId="ListBullet5">
    <w:name w:val="List Bullet 5"/>
    <w:basedOn w:val="Normal"/>
    <w:semiHidden/>
    <w:rsid w:val="00B51C1B"/>
    <w:pPr>
      <w:numPr>
        <w:numId w:val="25"/>
      </w:numPr>
      <w:contextualSpacing/>
    </w:pPr>
  </w:style>
  <w:style w:type="paragraph" w:styleId="ListContinue">
    <w:name w:val="List Continue"/>
    <w:basedOn w:val="Normal"/>
    <w:semiHidden/>
    <w:rsid w:val="00B51C1B"/>
    <w:pPr>
      <w:ind w:left="283"/>
      <w:contextualSpacing/>
    </w:pPr>
  </w:style>
  <w:style w:type="paragraph" w:styleId="ListContinue2">
    <w:name w:val="List Continue 2"/>
    <w:basedOn w:val="Normal"/>
    <w:semiHidden/>
    <w:rsid w:val="00B51C1B"/>
    <w:pPr>
      <w:ind w:left="566"/>
      <w:contextualSpacing/>
    </w:pPr>
  </w:style>
  <w:style w:type="paragraph" w:styleId="ListContinue3">
    <w:name w:val="List Continue 3"/>
    <w:basedOn w:val="Normal"/>
    <w:semiHidden/>
    <w:rsid w:val="00B51C1B"/>
    <w:pPr>
      <w:ind w:left="849"/>
      <w:contextualSpacing/>
    </w:pPr>
  </w:style>
  <w:style w:type="paragraph" w:styleId="ListContinue4">
    <w:name w:val="List Continue 4"/>
    <w:basedOn w:val="Normal"/>
    <w:semiHidden/>
    <w:rsid w:val="00B51C1B"/>
    <w:pPr>
      <w:ind w:left="1132"/>
      <w:contextualSpacing/>
    </w:pPr>
  </w:style>
  <w:style w:type="paragraph" w:styleId="ListContinue5">
    <w:name w:val="List Continue 5"/>
    <w:basedOn w:val="Normal"/>
    <w:semiHidden/>
    <w:rsid w:val="00B51C1B"/>
    <w:pPr>
      <w:ind w:left="1415"/>
      <w:contextualSpacing/>
    </w:pPr>
  </w:style>
  <w:style w:type="paragraph" w:styleId="ListNumber">
    <w:name w:val="List Number"/>
    <w:basedOn w:val="Normal"/>
    <w:semiHidden/>
    <w:rsid w:val="00B51C1B"/>
    <w:pPr>
      <w:numPr>
        <w:numId w:val="26"/>
      </w:numPr>
      <w:contextualSpacing/>
    </w:pPr>
  </w:style>
  <w:style w:type="paragraph" w:styleId="ListNumber2">
    <w:name w:val="List Number 2"/>
    <w:basedOn w:val="Normal"/>
    <w:semiHidden/>
    <w:rsid w:val="00B51C1B"/>
    <w:pPr>
      <w:numPr>
        <w:numId w:val="27"/>
      </w:numPr>
      <w:contextualSpacing/>
    </w:pPr>
  </w:style>
  <w:style w:type="paragraph" w:styleId="ListNumber3">
    <w:name w:val="List Number 3"/>
    <w:basedOn w:val="Normal"/>
    <w:semiHidden/>
    <w:rsid w:val="00B51C1B"/>
    <w:pPr>
      <w:numPr>
        <w:numId w:val="28"/>
      </w:numPr>
      <w:contextualSpacing/>
    </w:pPr>
  </w:style>
  <w:style w:type="paragraph" w:styleId="ListNumber4">
    <w:name w:val="List Number 4"/>
    <w:basedOn w:val="Normal"/>
    <w:semiHidden/>
    <w:rsid w:val="00B51C1B"/>
    <w:pPr>
      <w:numPr>
        <w:numId w:val="29"/>
      </w:numPr>
      <w:contextualSpacing/>
    </w:pPr>
  </w:style>
  <w:style w:type="paragraph" w:styleId="ListNumber5">
    <w:name w:val="List Number 5"/>
    <w:basedOn w:val="Normal"/>
    <w:semiHidden/>
    <w:rsid w:val="00B51C1B"/>
    <w:pPr>
      <w:numPr>
        <w:numId w:val="30"/>
      </w:numPr>
      <w:contextualSpacing/>
    </w:pPr>
  </w:style>
  <w:style w:type="paragraph" w:styleId="MacroText">
    <w:name w:val="macro"/>
    <w:link w:val="MacroTextChar"/>
    <w:semiHidden/>
    <w:rsid w:val="00B51C1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B51C1B"/>
    <w:rPr>
      <w:rFonts w:ascii="Consolas" w:hAnsi="Consolas"/>
      <w:sz w:val="20"/>
      <w:szCs w:val="20"/>
    </w:rPr>
  </w:style>
  <w:style w:type="paragraph" w:styleId="BlockText">
    <w:name w:val="Block Text"/>
    <w:basedOn w:val="Normal"/>
    <w:semiHidden/>
    <w:rsid w:val="00B51C1B"/>
    <w:pPr>
      <w:pBdr>
        <w:top w:val="single" w:sz="2" w:space="10" w:color="142147" w:themeColor="accent1"/>
        <w:left w:val="single" w:sz="2" w:space="10" w:color="142147" w:themeColor="accent1"/>
        <w:bottom w:val="single" w:sz="2" w:space="10" w:color="142147" w:themeColor="accent1"/>
        <w:right w:val="single" w:sz="2" w:space="10" w:color="142147" w:themeColor="accent1"/>
      </w:pBdr>
      <w:ind w:left="1152" w:right="1152"/>
    </w:pPr>
    <w:rPr>
      <w:rFonts w:asciiTheme="minorHAnsi" w:eastAsiaTheme="minorEastAsia" w:hAnsiTheme="minorHAnsi" w:cstheme="minorBidi"/>
      <w:i/>
      <w:iCs/>
      <w:color w:val="142147" w:themeColor="accent1"/>
    </w:rPr>
  </w:style>
  <w:style w:type="paragraph" w:styleId="Caption">
    <w:name w:val="caption"/>
    <w:basedOn w:val="Normal"/>
    <w:next w:val="Normal"/>
    <w:unhideWhenUsed/>
    <w:qFormat/>
    <w:rsid w:val="00B51C1B"/>
    <w:pPr>
      <w:spacing w:before="0" w:after="200"/>
    </w:pPr>
    <w:rPr>
      <w:i/>
      <w:iCs/>
      <w:color w:val="5F5F5F" w:themeColor="text2"/>
      <w:sz w:val="18"/>
      <w:szCs w:val="18"/>
    </w:rPr>
  </w:style>
  <w:style w:type="paragraph" w:styleId="BodyText2">
    <w:name w:val="Body Text 2"/>
    <w:basedOn w:val="Normal"/>
    <w:link w:val="BodyText2Char"/>
    <w:semiHidden/>
    <w:rsid w:val="00B51C1B"/>
    <w:pPr>
      <w:spacing w:line="480" w:lineRule="auto"/>
    </w:pPr>
  </w:style>
  <w:style w:type="character" w:customStyle="1" w:styleId="BodyText2Char">
    <w:name w:val="Body Text 2 Char"/>
    <w:basedOn w:val="DefaultParagraphFont"/>
    <w:link w:val="BodyText2"/>
    <w:semiHidden/>
    <w:rsid w:val="00B51C1B"/>
  </w:style>
  <w:style w:type="paragraph" w:styleId="BodyText3">
    <w:name w:val="Body Text 3"/>
    <w:basedOn w:val="Normal"/>
    <w:link w:val="BodyText3Char"/>
    <w:semiHidden/>
    <w:rsid w:val="00B51C1B"/>
    <w:rPr>
      <w:sz w:val="16"/>
      <w:szCs w:val="16"/>
    </w:rPr>
  </w:style>
  <w:style w:type="character" w:customStyle="1" w:styleId="BodyText3Char">
    <w:name w:val="Body Text 3 Char"/>
    <w:basedOn w:val="DefaultParagraphFont"/>
    <w:link w:val="BodyText3"/>
    <w:semiHidden/>
    <w:rsid w:val="00B51C1B"/>
    <w:rPr>
      <w:sz w:val="16"/>
      <w:szCs w:val="16"/>
    </w:rPr>
  </w:style>
  <w:style w:type="paragraph" w:customStyle="1" w:styleId="KeyPointsHeading">
    <w:name w:val="Key Points Heading"/>
    <w:basedOn w:val="BoxHeading1"/>
    <w:qFormat/>
    <w:rsid w:val="00B51C1B"/>
    <w:rPr>
      <w:rFonts w:ascii="Arial Bold" w:hAnsi="Arial Bold"/>
      <w:b/>
      <w:i w:val="0"/>
      <w:caps/>
      <w:color w:val="404040"/>
      <w:sz w:val="24"/>
    </w:rPr>
  </w:style>
  <w:style w:type="paragraph" w:styleId="Index1">
    <w:name w:val="index 1"/>
    <w:basedOn w:val="Normal"/>
    <w:next w:val="Normal"/>
    <w:autoRedefine/>
    <w:semiHidden/>
    <w:rsid w:val="00B51C1B"/>
    <w:pPr>
      <w:spacing w:before="0" w:after="0"/>
      <w:ind w:left="220" w:hanging="220"/>
    </w:pPr>
  </w:style>
  <w:style w:type="paragraph" w:customStyle="1" w:styleId="TableTextLeft">
    <w:name w:val="Table Text Left"/>
    <w:basedOn w:val="Normal"/>
    <w:rsid w:val="00B51C1B"/>
    <w:pPr>
      <w:spacing w:before="30" w:after="80"/>
    </w:pPr>
    <w:rPr>
      <w:rFonts w:asciiTheme="minorHAnsi" w:hAnsiTheme="minorHAnsi"/>
      <w:color w:val="000000"/>
      <w:szCs w:val="18"/>
    </w:rPr>
  </w:style>
  <w:style w:type="paragraph" w:customStyle="1" w:styleId="TableColumnHeadingLeft">
    <w:name w:val="Table Column Heading Left"/>
    <w:basedOn w:val="Normal"/>
    <w:rsid w:val="00B51C1B"/>
    <w:pPr>
      <w:spacing w:before="60" w:after="60"/>
    </w:pPr>
    <w:rPr>
      <w:rFonts w:asciiTheme="minorHAnsi" w:hAnsiTheme="minorHAnsi"/>
      <w:color w:val="FFFFFF" w:themeColor="background1"/>
      <w:sz w:val="20"/>
      <w:szCs w:val="18"/>
    </w:rPr>
  </w:style>
  <w:style w:type="paragraph" w:customStyle="1" w:styleId="BoxHeading2">
    <w:name w:val="Box Heading 2"/>
    <w:basedOn w:val="BoxHeading1"/>
    <w:next w:val="BoxText"/>
    <w:qFormat/>
    <w:rsid w:val="00B51C1B"/>
    <w:rPr>
      <w:i w:val="0"/>
      <w:iCs/>
      <w:sz w:val="24"/>
      <w:szCs w:val="20"/>
    </w:rPr>
  </w:style>
  <w:style w:type="character" w:customStyle="1" w:styleId="FooterChar">
    <w:name w:val="Footer Char"/>
    <w:basedOn w:val="DefaultParagraphFont"/>
    <w:link w:val="Footer"/>
    <w:uiPriority w:val="99"/>
    <w:rsid w:val="00B51C1B"/>
    <w:rPr>
      <w:rFonts w:ascii="Georgia" w:hAnsi="Georgia"/>
      <w:color w:val="701F4D" w:themeColor="accent2"/>
      <w14:numForm w14:val="lining"/>
      <w14:numSpacing w14:val="proportional"/>
    </w:rPr>
  </w:style>
  <w:style w:type="table" w:customStyle="1" w:styleId="Style1">
    <w:name w:val="Style1"/>
    <w:basedOn w:val="TableNormal"/>
    <w:uiPriority w:val="99"/>
    <w:rsid w:val="00B51C1B"/>
    <w:pPr>
      <w:spacing w:before="0" w:after="0"/>
    </w:pPr>
    <w:tblPr/>
    <w:tblStylePr w:type="firstRow">
      <w:tblPr/>
      <w:tcPr>
        <w:shd w:val="clear" w:color="auto" w:fill="142147" w:themeFill="accent1"/>
      </w:tcPr>
    </w:tblStylePr>
    <w:tblStylePr w:type="firstCol">
      <w:tblPr/>
      <w:tcPr>
        <w:shd w:val="clear" w:color="auto" w:fill="142147" w:themeFill="accent1"/>
      </w:tcPr>
    </w:tblStylePr>
  </w:style>
  <w:style w:type="character" w:customStyle="1" w:styleId="SingleParagraphChar">
    <w:name w:val="Single Paragraph Char"/>
    <w:link w:val="SingleParagraph"/>
    <w:locked/>
    <w:rsid w:val="002F3E00"/>
  </w:style>
  <w:style w:type="character" w:customStyle="1" w:styleId="BulletChar">
    <w:name w:val="Bullet Char"/>
    <w:basedOn w:val="DefaultParagraphFont"/>
    <w:link w:val="Bullet"/>
    <w:locked/>
    <w:rsid w:val="002F3E00"/>
  </w:style>
  <w:style w:type="character" w:styleId="CommentReference">
    <w:name w:val="annotation reference"/>
    <w:basedOn w:val="DefaultParagraphFont"/>
    <w:uiPriority w:val="99"/>
    <w:semiHidden/>
    <w:rsid w:val="002F3E00"/>
    <w:rPr>
      <w:sz w:val="16"/>
      <w:szCs w:val="16"/>
    </w:rPr>
  </w:style>
  <w:style w:type="character" w:customStyle="1" w:styleId="FootnoteTextChar">
    <w:name w:val="Footnote Text Char"/>
    <w:basedOn w:val="DefaultParagraphFont"/>
    <w:link w:val="FootnoteText"/>
    <w:rsid w:val="00E2063F"/>
    <w:rPr>
      <w:sz w:val="18"/>
      <w:szCs w:val="18"/>
    </w:rPr>
  </w:style>
  <w:style w:type="table" w:styleId="ListTable2-Accent5">
    <w:name w:val="List Table 2 Accent 5"/>
    <w:basedOn w:val="TableNormal"/>
    <w:uiPriority w:val="47"/>
    <w:rsid w:val="00036758"/>
    <w:pPr>
      <w:spacing w:after="0"/>
    </w:pPr>
    <w:tblPr>
      <w:tblStyleRowBandSize w:val="1"/>
      <w:tblStyleColBandSize w:val="1"/>
      <w:tblBorders>
        <w:top w:val="single" w:sz="4" w:space="0" w:color="A2CDEA" w:themeColor="accent5" w:themeTint="99"/>
        <w:bottom w:val="single" w:sz="4" w:space="0" w:color="A2CDEA" w:themeColor="accent5" w:themeTint="99"/>
        <w:insideH w:val="single" w:sz="4" w:space="0" w:color="A2CD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paragraph" w:styleId="CommentSubject">
    <w:name w:val="annotation subject"/>
    <w:basedOn w:val="Normal"/>
    <w:next w:val="Normal"/>
    <w:link w:val="CommentSubjectChar"/>
    <w:semiHidden/>
    <w:rsid w:val="00341030"/>
    <w:rPr>
      <w:b/>
      <w:bCs/>
    </w:rPr>
  </w:style>
  <w:style w:type="character" w:customStyle="1" w:styleId="CommentSubjectChar">
    <w:name w:val="Comment Subject Char"/>
    <w:basedOn w:val="DefaultParagraphFont"/>
    <w:link w:val="CommentSubject"/>
    <w:semiHidden/>
    <w:rsid w:val="00341030"/>
    <w:rPr>
      <w:b/>
      <w:bCs/>
      <w:sz w:val="20"/>
      <w:szCs w:val="20"/>
    </w:rPr>
  </w:style>
  <w:style w:type="paragraph" w:styleId="Revision">
    <w:name w:val="Revision"/>
    <w:hidden/>
    <w:uiPriority w:val="99"/>
    <w:semiHidden/>
    <w:rsid w:val="00311C67"/>
    <w:pPr>
      <w:spacing w:before="0" w:after="0"/>
    </w:pPr>
  </w:style>
  <w:style w:type="character" w:styleId="Mention">
    <w:name w:val="Mention"/>
    <w:basedOn w:val="DefaultParagraphFont"/>
    <w:uiPriority w:val="99"/>
    <w:semiHidden/>
    <w:rsid w:val="004F3DAF"/>
    <w:rPr>
      <w:color w:val="2B579A"/>
      <w:shd w:val="clear" w:color="auto" w:fill="E1DFDD"/>
    </w:rPr>
  </w:style>
  <w:style w:type="character" w:styleId="UnresolvedMention">
    <w:name w:val="Unresolved Mention"/>
    <w:basedOn w:val="DefaultParagraphFont"/>
    <w:uiPriority w:val="99"/>
    <w:semiHidden/>
    <w:rsid w:val="00B51C1B"/>
    <w:rPr>
      <w:color w:val="605E5C"/>
      <w:shd w:val="clear" w:color="auto" w:fill="E1DFDD"/>
    </w:rPr>
  </w:style>
  <w:style w:type="character" w:customStyle="1" w:styleId="HeadingBaseChar">
    <w:name w:val="Heading Base Char"/>
    <w:basedOn w:val="DefaultParagraphFont"/>
    <w:link w:val="HeadingBase"/>
    <w:semiHidden/>
    <w:rsid w:val="00161AC8"/>
    <w:rPr>
      <w:rFonts w:ascii="Georgia" w:hAnsi="Georgia"/>
      <w:color w:val="142147" w:themeColor="accent1"/>
      <w:sz w:val="64"/>
      <w14:numForm w14:val="lining"/>
      <w14:numSpacing w14:val="proportional"/>
    </w:rPr>
  </w:style>
  <w:style w:type="character" w:customStyle="1" w:styleId="HeaderChar">
    <w:name w:val="Header Char"/>
    <w:basedOn w:val="HeadingBaseChar"/>
    <w:link w:val="Header"/>
    <w:rsid w:val="00161AC8"/>
    <w:rPr>
      <w:rFonts w:ascii="Georgia" w:hAnsi="Georgia"/>
      <w:color w:val="142147" w:themeColor="accent1"/>
      <w:sz w:val="64"/>
      <w14:numForm w14:val="lining"/>
      <w14:numSpacing w14:val="proportional"/>
    </w:rPr>
  </w:style>
  <w:style w:type="paragraph" w:styleId="NormalWeb">
    <w:name w:val="Normal (Web)"/>
    <w:basedOn w:val="Normal"/>
    <w:uiPriority w:val="99"/>
    <w:semiHidden/>
    <w:unhideWhenUsed/>
    <w:rsid w:val="00737A51"/>
    <w:pPr>
      <w:spacing w:before="100" w:beforeAutospacing="1" w:after="100" w:afterAutospacing="1"/>
    </w:pPr>
    <w:rPr>
      <w:rFonts w:ascii="Times New Roman" w:hAnsi="Times New Roman"/>
      <w:sz w:val="24"/>
      <w:szCs w:val="24"/>
    </w:rPr>
  </w:style>
  <w:style w:type="paragraph" w:styleId="NoSpacing">
    <w:name w:val="No Spacing"/>
    <w:uiPriority w:val="1"/>
    <w:semiHidden/>
    <w:qFormat/>
    <w:rsid w:val="006A7198"/>
    <w:pPr>
      <w:spacing w:before="0" w:after="0"/>
    </w:pPr>
  </w:style>
  <w:style w:type="character" w:styleId="IntenseEmphasis">
    <w:name w:val="Intense Emphasis"/>
    <w:basedOn w:val="DefaultParagraphFont"/>
    <w:uiPriority w:val="21"/>
    <w:semiHidden/>
    <w:qFormat/>
    <w:rsid w:val="00B51C1B"/>
    <w:rPr>
      <w:b/>
      <w:i/>
      <w:iCs/>
      <w:color w:val="auto"/>
    </w:rPr>
  </w:style>
  <w:style w:type="paragraph" w:customStyle="1" w:styleId="TableTextRight">
    <w:name w:val="Table Text Right"/>
    <w:basedOn w:val="Normal"/>
    <w:rsid w:val="00527FF7"/>
    <w:pPr>
      <w:spacing w:before="40" w:after="40"/>
      <w:jc w:val="right"/>
    </w:pPr>
    <w:rPr>
      <w:rFonts w:ascii="Arial" w:hAnsi="Arial"/>
      <w:color w:val="000000"/>
      <w:sz w:val="18"/>
      <w:szCs w:val="18"/>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GridTable5Dark-Accent31">
    <w:name w:val="Grid Table 5 Dark - Accent 31"/>
    <w:basedOn w:val="TableNormal"/>
    <w:next w:val="GridTable5Dark-Accent3"/>
    <w:uiPriority w:val="50"/>
    <w:rsid w:val="001B0BCD"/>
    <w:tblPr>
      <w:tblStyleRowBandSize w:val="1"/>
      <w:tblStyleColBandSize w:val="1"/>
      <w:tblCellMar>
        <w:top w:w="142" w:type="dxa"/>
        <w:left w:w="284" w:type="dxa"/>
        <w:bottom w:w="142" w:type="dxa"/>
        <w:right w:w="284" w:type="dxa"/>
      </w:tblCellMar>
    </w:tblPr>
    <w:tcPr>
      <w:shd w:val="clear" w:color="auto" w:fill="F6F2ED" w:themeFill="accent3" w:themeFillTint="33"/>
    </w:tcPr>
    <w:tblStylePr w:type="firstRow">
      <w:rPr>
        <w:b w:val="0"/>
        <w:bCs/>
        <w:color w:val="auto"/>
      </w:rPr>
      <w:tblPr/>
      <w:tcPr>
        <w:tcBorders>
          <w:top w:val="nil"/>
          <w:left w:val="nil"/>
          <w:bottom w:val="nil"/>
          <w:right w:val="nil"/>
          <w:insideH w:val="nil"/>
          <w:insideV w:val="nil"/>
          <w:tl2br w:val="nil"/>
          <w:tr2bl w:val="nil"/>
        </w:tcBorders>
        <w:shd w:val="clear" w:color="auto" w:fill="F6F2ED" w:themeFill="accent3" w:themeFillTint="3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customStyle="1" w:styleId="GridTable5Dark-Accent32">
    <w:name w:val="Grid Table 5 Dark - Accent 32"/>
    <w:basedOn w:val="TableNormal"/>
    <w:next w:val="GridTable5Dark-Accent3"/>
    <w:uiPriority w:val="50"/>
    <w:rsid w:val="00453C0B"/>
    <w:tblPr>
      <w:tblStyleRowBandSize w:val="1"/>
      <w:tblStyleColBandSize w:val="1"/>
      <w:tblCellMar>
        <w:top w:w="142" w:type="dxa"/>
        <w:left w:w="284" w:type="dxa"/>
        <w:bottom w:w="142" w:type="dxa"/>
        <w:right w:w="284" w:type="dxa"/>
      </w:tblCellMar>
    </w:tblPr>
    <w:tcPr>
      <w:shd w:val="clear" w:color="auto" w:fill="F6F2ED" w:themeFill="accent3" w:themeFillTint="33"/>
    </w:tcPr>
    <w:tblStylePr w:type="firstRow">
      <w:rPr>
        <w:b w:val="0"/>
        <w:bCs/>
        <w:color w:val="auto"/>
      </w:rPr>
      <w:tblPr/>
      <w:tcPr>
        <w:tcBorders>
          <w:top w:val="nil"/>
          <w:left w:val="nil"/>
          <w:bottom w:val="nil"/>
          <w:right w:val="nil"/>
          <w:insideH w:val="nil"/>
          <w:insideV w:val="nil"/>
          <w:tl2br w:val="nil"/>
          <w:tr2bl w:val="nil"/>
        </w:tcBorders>
        <w:shd w:val="clear" w:color="auto" w:fill="F6F2ED" w:themeFill="accent3" w:themeFillTint="3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3908">
      <w:bodyDiv w:val="1"/>
      <w:marLeft w:val="0"/>
      <w:marRight w:val="0"/>
      <w:marTop w:val="0"/>
      <w:marBottom w:val="0"/>
      <w:divBdr>
        <w:top w:val="none" w:sz="0" w:space="0" w:color="auto"/>
        <w:left w:val="none" w:sz="0" w:space="0" w:color="auto"/>
        <w:bottom w:val="none" w:sz="0" w:space="0" w:color="auto"/>
        <w:right w:val="none" w:sz="0" w:space="0" w:color="auto"/>
      </w:divBdr>
    </w:div>
    <w:div w:id="156194480">
      <w:bodyDiv w:val="1"/>
      <w:marLeft w:val="0"/>
      <w:marRight w:val="0"/>
      <w:marTop w:val="0"/>
      <w:marBottom w:val="0"/>
      <w:divBdr>
        <w:top w:val="none" w:sz="0" w:space="0" w:color="auto"/>
        <w:left w:val="none" w:sz="0" w:space="0" w:color="auto"/>
        <w:bottom w:val="none" w:sz="0" w:space="0" w:color="auto"/>
        <w:right w:val="none" w:sz="0" w:space="0" w:color="auto"/>
      </w:divBdr>
    </w:div>
    <w:div w:id="191917980">
      <w:bodyDiv w:val="1"/>
      <w:marLeft w:val="0"/>
      <w:marRight w:val="0"/>
      <w:marTop w:val="0"/>
      <w:marBottom w:val="0"/>
      <w:divBdr>
        <w:top w:val="none" w:sz="0" w:space="0" w:color="auto"/>
        <w:left w:val="none" w:sz="0" w:space="0" w:color="auto"/>
        <w:bottom w:val="none" w:sz="0" w:space="0" w:color="auto"/>
        <w:right w:val="none" w:sz="0" w:space="0" w:color="auto"/>
      </w:divBdr>
    </w:div>
    <w:div w:id="425155482">
      <w:bodyDiv w:val="1"/>
      <w:marLeft w:val="0"/>
      <w:marRight w:val="0"/>
      <w:marTop w:val="0"/>
      <w:marBottom w:val="0"/>
      <w:divBdr>
        <w:top w:val="none" w:sz="0" w:space="0" w:color="auto"/>
        <w:left w:val="none" w:sz="0" w:space="0" w:color="auto"/>
        <w:bottom w:val="none" w:sz="0" w:space="0" w:color="auto"/>
        <w:right w:val="none" w:sz="0" w:space="0" w:color="auto"/>
      </w:divBdr>
    </w:div>
    <w:div w:id="464469605">
      <w:bodyDiv w:val="1"/>
      <w:marLeft w:val="0"/>
      <w:marRight w:val="0"/>
      <w:marTop w:val="0"/>
      <w:marBottom w:val="0"/>
      <w:divBdr>
        <w:top w:val="none" w:sz="0" w:space="0" w:color="auto"/>
        <w:left w:val="none" w:sz="0" w:space="0" w:color="auto"/>
        <w:bottom w:val="none" w:sz="0" w:space="0" w:color="auto"/>
        <w:right w:val="none" w:sz="0" w:space="0" w:color="auto"/>
      </w:divBdr>
    </w:div>
    <w:div w:id="1061245317">
      <w:bodyDiv w:val="1"/>
      <w:marLeft w:val="0"/>
      <w:marRight w:val="0"/>
      <w:marTop w:val="0"/>
      <w:marBottom w:val="0"/>
      <w:divBdr>
        <w:top w:val="none" w:sz="0" w:space="0" w:color="auto"/>
        <w:left w:val="none" w:sz="0" w:space="0" w:color="auto"/>
        <w:bottom w:val="none" w:sz="0" w:space="0" w:color="auto"/>
        <w:right w:val="none" w:sz="0" w:space="0" w:color="auto"/>
      </w:divBdr>
    </w:div>
    <w:div w:id="1273780722">
      <w:bodyDiv w:val="1"/>
      <w:marLeft w:val="0"/>
      <w:marRight w:val="0"/>
      <w:marTop w:val="0"/>
      <w:marBottom w:val="0"/>
      <w:divBdr>
        <w:top w:val="none" w:sz="0" w:space="0" w:color="auto"/>
        <w:left w:val="none" w:sz="0" w:space="0" w:color="auto"/>
        <w:bottom w:val="none" w:sz="0" w:space="0" w:color="auto"/>
        <w:right w:val="none" w:sz="0" w:space="0" w:color="auto"/>
      </w:divBdr>
    </w:div>
    <w:div w:id="1366901776">
      <w:bodyDiv w:val="1"/>
      <w:marLeft w:val="0"/>
      <w:marRight w:val="0"/>
      <w:marTop w:val="0"/>
      <w:marBottom w:val="0"/>
      <w:divBdr>
        <w:top w:val="none" w:sz="0" w:space="0" w:color="auto"/>
        <w:left w:val="none" w:sz="0" w:space="0" w:color="auto"/>
        <w:bottom w:val="none" w:sz="0" w:space="0" w:color="auto"/>
        <w:right w:val="none" w:sz="0" w:space="0" w:color="auto"/>
      </w:divBdr>
    </w:div>
    <w:div w:id="1370494803">
      <w:bodyDiv w:val="1"/>
      <w:marLeft w:val="0"/>
      <w:marRight w:val="0"/>
      <w:marTop w:val="0"/>
      <w:marBottom w:val="0"/>
      <w:divBdr>
        <w:top w:val="none" w:sz="0" w:space="0" w:color="auto"/>
        <w:left w:val="none" w:sz="0" w:space="0" w:color="auto"/>
        <w:bottom w:val="none" w:sz="0" w:space="0" w:color="auto"/>
        <w:right w:val="none" w:sz="0" w:space="0" w:color="auto"/>
      </w:divBdr>
    </w:div>
    <w:div w:id="1639450890">
      <w:bodyDiv w:val="1"/>
      <w:marLeft w:val="0"/>
      <w:marRight w:val="0"/>
      <w:marTop w:val="0"/>
      <w:marBottom w:val="0"/>
      <w:divBdr>
        <w:top w:val="none" w:sz="0" w:space="0" w:color="auto"/>
        <w:left w:val="none" w:sz="0" w:space="0" w:color="auto"/>
        <w:bottom w:val="none" w:sz="0" w:space="0" w:color="auto"/>
        <w:right w:val="none" w:sz="0" w:space="0" w:color="auto"/>
      </w:divBdr>
    </w:div>
    <w:div w:id="1695887825">
      <w:bodyDiv w:val="1"/>
      <w:marLeft w:val="0"/>
      <w:marRight w:val="0"/>
      <w:marTop w:val="0"/>
      <w:marBottom w:val="0"/>
      <w:divBdr>
        <w:top w:val="none" w:sz="0" w:space="0" w:color="auto"/>
        <w:left w:val="none" w:sz="0" w:space="0" w:color="auto"/>
        <w:bottom w:val="none" w:sz="0" w:space="0" w:color="auto"/>
        <w:right w:val="none" w:sz="0" w:space="0" w:color="auto"/>
      </w:divBdr>
    </w:div>
    <w:div w:id="2008089482">
      <w:bodyDiv w:val="1"/>
      <w:marLeft w:val="0"/>
      <w:marRight w:val="0"/>
      <w:marTop w:val="0"/>
      <w:marBottom w:val="0"/>
      <w:divBdr>
        <w:top w:val="none" w:sz="0" w:space="0" w:color="auto"/>
        <w:left w:val="none" w:sz="0" w:space="0" w:color="auto"/>
        <w:bottom w:val="none" w:sz="0" w:space="0" w:color="auto"/>
        <w:right w:val="none" w:sz="0" w:space="0" w:color="auto"/>
      </w:divBdr>
    </w:div>
    <w:div w:id="201532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legalcode" TargetMode="External"/><Relationship Id="rId18" Type="http://schemas.openxmlformats.org/officeDocument/2006/relationships/header" Target="header2.xml"/><Relationship Id="rId26" Type="http://schemas.openxmlformats.org/officeDocument/2006/relationships/image" Target="media/image4.jpg"/><Relationship Id="rId39" Type="http://schemas.openxmlformats.org/officeDocument/2006/relationships/header" Target="header5.xml"/><Relationship Id="rId21" Type="http://schemas.openxmlformats.org/officeDocument/2006/relationships/footer" Target="footer5.xml"/><Relationship Id="rId34" Type="http://schemas.openxmlformats.org/officeDocument/2006/relationships/image" Target="media/image12.jpg"/><Relationship Id="rId42" Type="http://schemas.openxmlformats.org/officeDocument/2006/relationships/footer" Target="footer8.xml"/><Relationship Id="rId47" Type="http://schemas.openxmlformats.org/officeDocument/2006/relationships/hyperlink" Target="mailto:taxboard@taxboard.gov.a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mc.gov.au/honours-and-symbols/commonwealth-coat-arms" TargetMode="External"/><Relationship Id="rId29" Type="http://schemas.openxmlformats.org/officeDocument/2006/relationships/image" Target="media/image7.png"/><Relationship Id="rId11" Type="http://schemas.openxmlformats.org/officeDocument/2006/relationships/footer" Target="footer3.xml"/><Relationship Id="rId24" Type="http://schemas.openxmlformats.org/officeDocument/2006/relationships/hyperlink" Target="http://www.taxboard.gov.au" TargetMode="External"/><Relationship Id="rId32" Type="http://schemas.openxmlformats.org/officeDocument/2006/relationships/image" Target="media/image10.jpg"/><Relationship Id="rId37" Type="http://schemas.openxmlformats.org/officeDocument/2006/relationships/image" Target="media/image15.jpg"/><Relationship Id="rId40" Type="http://schemas.openxmlformats.org/officeDocument/2006/relationships/header" Target="header6.xml"/><Relationship Id="rId45"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hyperlink" Target="http://creativecommons.org/licenses/by/3.0/au/deed.en" TargetMode="External"/><Relationship Id="rId23" Type="http://schemas.openxmlformats.org/officeDocument/2006/relationships/footer" Target="footer6.xml"/><Relationship Id="rId28" Type="http://schemas.openxmlformats.org/officeDocument/2006/relationships/image" Target="media/image6.jpeg"/><Relationship Id="rId36" Type="http://schemas.openxmlformats.org/officeDocument/2006/relationships/image" Target="media/image14.jp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image" Target="media/image9.jpg"/><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header" Target="header4.xml"/><Relationship Id="rId27" Type="http://schemas.openxmlformats.org/officeDocument/2006/relationships/image" Target="media/image5.png"/><Relationship Id="rId30" Type="http://schemas.openxmlformats.org/officeDocument/2006/relationships/image" Target="media/image8.jpg"/><Relationship Id="rId35" Type="http://schemas.openxmlformats.org/officeDocument/2006/relationships/image" Target="media/image13.jpg"/><Relationship Id="rId43" Type="http://schemas.openxmlformats.org/officeDocument/2006/relationships/header" Target="header7.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5" Type="http://schemas.openxmlformats.org/officeDocument/2006/relationships/image" Target="media/image3.png"/><Relationship Id="rId33" Type="http://schemas.openxmlformats.org/officeDocument/2006/relationships/image" Target="media/image11.jpg"/><Relationship Id="rId38" Type="http://schemas.openxmlformats.org/officeDocument/2006/relationships/image" Target="media/image16.jpg"/><Relationship Id="rId46" Type="http://schemas.openxmlformats.org/officeDocument/2006/relationships/image" Target="media/image19.png"/><Relationship Id="rId20" Type="http://schemas.openxmlformats.org/officeDocument/2006/relationships/footer" Target="footer4.xm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data.gov.au/dataset/ds-dga-f71709a8-2eeb-4592-ad1f-443f7f520186/details" TargetMode="External"/><Relationship Id="rId1" Type="http://schemas.openxmlformats.org/officeDocument/2006/relationships/hyperlink" Target="https://taxboard.gov.au/sounding-board-plus"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6950</Words>
  <Characters>38965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The Board of Taxation Annual Report 2022­–23</vt:lpstr>
    </vt:vector>
  </TitlesOfParts>
  <Company/>
  <LinksUpToDate>false</LinksUpToDate>
  <CharactersWithSpaces>45824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Taxation Annual Report 2022­–23</dc:title>
  <dc:subject>Annual Report 2023–24</dc:subject>
  <dc:creator>The Board of Taxation</dc:creator>
  <cp:keywords/>
  <cp:lastModifiedBy/>
  <cp:revision>1</cp:revision>
  <dcterms:created xsi:type="dcterms:W3CDTF">2025-09-29T04:25:00Z</dcterms:created>
  <dcterms:modified xsi:type="dcterms:W3CDTF">2025-09-29T04:26:00Z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2025-09-29T04:26:30Z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7e750e1a-83f4-4fab-aca5-b7452ed52ff9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