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6835901"/>
    <w:bookmarkStart w:id="1" w:name="_Toc198298995"/>
    <w:bookmarkStart w:id="2" w:name="_Toc198712383"/>
    <w:bookmarkStart w:id="3" w:name="_Toc199497019"/>
    <w:bookmarkStart w:id="4" w:name="_Toc199497074"/>
    <w:bookmarkStart w:id="5" w:name="_Toc199855156"/>
    <w:p w14:paraId="651A3575" w14:textId="34D7260D" w:rsidR="00E83F26" w:rsidRPr="009C7F1A" w:rsidRDefault="00112E9D" w:rsidP="009C7F1A">
      <w:pPr>
        <w:pStyle w:val="CoverTitleMain"/>
      </w:pPr>
      <w:sdt>
        <w:sdtPr>
          <w:id w:val="1209766061"/>
          <w:docPartObj>
            <w:docPartGallery w:val="Cover Pages"/>
            <w:docPartUnique/>
          </w:docPartObj>
        </w:sdtPr>
        <w:sdtEndPr/>
        <w:sdtContent>
          <w:r w:rsidR="007739FD">
            <w:rPr>
              <w:noProof/>
              <w14:numForm w14:val="default"/>
              <w14:numSpacing w14:val="default"/>
            </w:rPr>
            <w:drawing>
              <wp:anchor distT="0" distB="0" distL="114300" distR="114300" simplePos="0" relativeHeight="251579392" behindDoc="1" locked="1" layoutInCell="1" allowOverlap="1" wp14:anchorId="53DDF566" wp14:editId="6176F7AD">
                <wp:simplePos x="0" y="0"/>
                <wp:positionH relativeFrom="page">
                  <wp:align>center</wp:align>
                </wp:positionH>
                <wp:positionV relativeFrom="page">
                  <wp:align>top</wp:align>
                </wp:positionV>
                <wp:extent cx="7562215" cy="10691495"/>
                <wp:effectExtent l="0" t="0" r="63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215" cy="10691495"/>
                        </a:xfrm>
                        <a:prstGeom prst="rect">
                          <a:avLst/>
                        </a:prstGeom>
                      </pic:spPr>
                    </pic:pic>
                  </a:graphicData>
                </a:graphic>
                <wp14:sizeRelH relativeFrom="page">
                  <wp14:pctWidth>0</wp14:pctWidth>
                </wp14:sizeRelH>
                <wp14:sizeRelV relativeFrom="page">
                  <wp14:pctHeight>0</wp14:pctHeight>
                </wp14:sizeRelV>
              </wp:anchor>
            </w:drawing>
          </w:r>
          <w:r w:rsidR="008A1FE6">
            <w:t xml:space="preserve">DRAFT </w:t>
          </w:r>
        </w:sdtContent>
      </w:sdt>
      <w:r w:rsidR="00B975C8">
        <w:t xml:space="preserve">Voluntary </w:t>
      </w:r>
      <w:r w:rsidR="00BB4866">
        <w:t>Tax Transparency Code</w:t>
      </w:r>
      <w:bookmarkEnd w:id="0"/>
      <w:bookmarkEnd w:id="1"/>
      <w:bookmarkEnd w:id="2"/>
      <w:bookmarkEnd w:id="3"/>
      <w:bookmarkEnd w:id="4"/>
      <w:bookmarkEnd w:id="5"/>
    </w:p>
    <w:p w14:paraId="3981A538" w14:textId="2E6DD61D" w:rsidR="00DD18CB" w:rsidRPr="00912467" w:rsidRDefault="00E83F26" w:rsidP="009C7F1A">
      <w:pPr>
        <w:pStyle w:val="CoverDate"/>
      </w:pPr>
      <w:r w:rsidRPr="00E83F26">
        <w:fldChar w:fldCharType="begin"/>
      </w:r>
      <w:r w:rsidRPr="00E83F26">
        <w:instrText xml:space="preserve"> MACROBUTTON  AcceptAllChangesInDoc [Add Month Year] </w:instrText>
      </w:r>
      <w:r w:rsidRPr="00E83F26">
        <w:fldChar w:fldCharType="end"/>
      </w:r>
      <w:r w:rsidR="008071D7">
        <w:t xml:space="preserve"> </w:t>
      </w:r>
    </w:p>
    <w:p w14:paraId="3DAC1568" w14:textId="77777777" w:rsidR="004C2DE1" w:rsidRPr="004C2DE1" w:rsidRDefault="004C2DE1" w:rsidP="004C2DE1">
      <w:pPr>
        <w:pStyle w:val="CoverTitleSub"/>
        <w:jc w:val="both"/>
        <w:sectPr w:rsidR="004C2DE1" w:rsidRPr="004C2DE1" w:rsidSect="00676D8C">
          <w:headerReference w:type="even" r:id="rId8"/>
          <w:headerReference w:type="default" r:id="rId9"/>
          <w:footerReference w:type="even" r:id="rId10"/>
          <w:footerReference w:type="default" r:id="rId11"/>
          <w:headerReference w:type="first" r:id="rId12"/>
          <w:footerReference w:type="first" r:id="rId13"/>
          <w:pgSz w:w="11909" w:h="16834" w:code="9"/>
          <w:pgMar w:top="1985" w:right="1134" w:bottom="1985" w:left="1134" w:header="1134" w:footer="1134" w:gutter="0"/>
          <w:pgNumType w:start="0"/>
          <w:cols w:space="708"/>
          <w:vAlign w:val="bottom"/>
          <w:titlePg/>
          <w:docGrid w:linePitch="360"/>
        </w:sectPr>
      </w:pPr>
    </w:p>
    <w:p w14:paraId="0DBE1C3D" w14:textId="0B96F44E" w:rsidR="00486666" w:rsidRDefault="00486666" w:rsidP="00457853">
      <w:pPr>
        <w:rPr>
          <w:highlight w:val="yellow"/>
        </w:rPr>
      </w:pPr>
      <w:r w:rsidRPr="00661BF0">
        <w:lastRenderedPageBreak/>
        <w:t xml:space="preserve">© Commonwealth of Australia </w:t>
      </w:r>
      <w:r>
        <w:t>202</w:t>
      </w:r>
      <w:r w:rsidR="61B01CF9">
        <w:t>5</w:t>
      </w:r>
    </w:p>
    <w:p w14:paraId="514E0163" w14:textId="77777777" w:rsidR="00486666" w:rsidRPr="00086F82" w:rsidRDefault="00486666" w:rsidP="006256BA">
      <w:pPr>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00CB0811">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00CB0811" w:rsidRPr="004F5ACF">
        <w:t>third</w:t>
      </w:r>
      <w:r w:rsidR="00CB0811">
        <w:t> </w:t>
      </w:r>
      <w:r w:rsidR="00CB0811" w:rsidRPr="004F5ACF">
        <w:t>party materials, materials protected by a trademark</w:t>
      </w:r>
      <w:r w:rsidR="00CB0811">
        <w:t xml:space="preserve">, </w:t>
      </w:r>
      <w:r>
        <w:t xml:space="preserve">signatures </w:t>
      </w:r>
      <w:r w:rsidRPr="002F1BC2">
        <w:t>and where otherwise stated</w:t>
      </w:r>
      <w:r w:rsidR="00CB0811">
        <w:t xml:space="preserve">. </w:t>
      </w:r>
      <w:r w:rsidRPr="002F1BC2">
        <w:t>The full</w:t>
      </w:r>
      <w:r w:rsidR="00CB0811">
        <w:t> </w:t>
      </w:r>
      <w:r w:rsidRPr="002F1BC2">
        <w:t>licence terms are available from</w:t>
      </w:r>
      <w:r w:rsidRPr="00476F09">
        <w:rPr>
          <w:rFonts w:cstheme="minorHAnsi"/>
          <w:sz w:val="24"/>
          <w:szCs w:val="24"/>
        </w:rPr>
        <w:t xml:space="preserve"> </w:t>
      </w:r>
      <w:hyperlink r:id="rId15" w:history="1">
        <w:r w:rsidR="00CB0811" w:rsidRPr="00CB0811">
          <w:rPr>
            <w:rStyle w:val="Hyperlink"/>
          </w:rPr>
          <w:t>creativecommons.org/licenses/by/4.0/legalcode</w:t>
        </w:r>
      </w:hyperlink>
      <w:r w:rsidR="00CB0811" w:rsidRPr="00CB0811">
        <w:t>.</w:t>
      </w:r>
    </w:p>
    <w:p w14:paraId="389819C4" w14:textId="77777777" w:rsidR="00486666" w:rsidRDefault="00486666" w:rsidP="006256BA">
      <w:pPr>
        <w:pStyle w:val="ChartGraphic"/>
        <w:spacing w:after="120"/>
        <w:jc w:val="left"/>
      </w:pPr>
      <w:r w:rsidRPr="00E56DFB">
        <w:rPr>
          <w:noProof/>
        </w:rPr>
        <w:drawing>
          <wp:inline distT="0" distB="0" distL="0" distR="0" wp14:anchorId="2288C627" wp14:editId="7426810F">
            <wp:extent cx="809625" cy="285750"/>
            <wp:effectExtent l="0" t="0" r="9525" b="0"/>
            <wp:docPr id="2" name="Picture 2"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E215623" w14:textId="77777777" w:rsidR="00486666" w:rsidRPr="006627B4" w:rsidRDefault="00486666" w:rsidP="006256BA">
      <w:r w:rsidRPr="006627B4">
        <w:t>Use of Treasury material under a</w:t>
      </w:r>
      <w:r w:rsidRPr="00476F09">
        <w:rPr>
          <w:rFonts w:cstheme="minorHAnsi"/>
          <w:sz w:val="24"/>
          <w:szCs w:val="24"/>
        </w:rPr>
        <w:t xml:space="preserve"> </w:t>
      </w:r>
      <w:hyperlink r:id="rId17" w:history="1">
        <w:r w:rsidR="00CB0811">
          <w:rPr>
            <w:rStyle w:val="Hyperlink"/>
          </w:rPr>
          <w:t>Creative Commons Attribution 4.0 International</w:t>
        </w:r>
      </w:hyperlink>
      <w:r w:rsidRPr="002F1BC2">
        <w:rPr>
          <w:rStyle w:val="Hyperlink"/>
        </w:rPr>
        <w:t xml:space="preserve"> </w:t>
      </w:r>
      <w:r w:rsidRPr="006627B4">
        <w:t>licence requires you to attribute the work (but not in any way that suggests that the Treasury endorse</w:t>
      </w:r>
      <w:r>
        <w:t>s you or your use of the</w:t>
      </w:r>
      <w:r w:rsidR="00CB0811">
        <w:t> </w:t>
      </w:r>
      <w:r>
        <w:t>work).</w:t>
      </w:r>
    </w:p>
    <w:p w14:paraId="1FF23FB4" w14:textId="77777777" w:rsidR="00486666" w:rsidRPr="00F73359" w:rsidRDefault="00486666" w:rsidP="00A600EF">
      <w:pPr>
        <w:spacing w:after="0"/>
        <w:rPr>
          <w:rStyle w:val="Strong"/>
        </w:rPr>
      </w:pPr>
      <w:r w:rsidRPr="00F73359">
        <w:rPr>
          <w:rStyle w:val="Strong"/>
        </w:rPr>
        <w:t>Treasury material used ‘as supplied’</w:t>
      </w:r>
    </w:p>
    <w:p w14:paraId="2B829EB4" w14:textId="77777777" w:rsidR="00486666" w:rsidRPr="00476F09" w:rsidRDefault="00486666" w:rsidP="006256BA">
      <w:r w:rsidRPr="00476F09">
        <w:t>Provided you have not modified or transformed Treasury material in any way including, for example, by</w:t>
      </w:r>
      <w:r w:rsidR="00CB0811">
        <w:t> </w:t>
      </w:r>
      <w:r w:rsidRPr="0096692D">
        <w:t>changing the Treasury text; calculating percentage changes; graphing or charting data</w:t>
      </w:r>
      <w:r>
        <w:t>;</w:t>
      </w:r>
      <w:r w:rsidRPr="0096692D">
        <w:t xml:space="preserve"> or deriving new statistics from published Treasury statistics</w:t>
      </w:r>
      <w:r>
        <w:t xml:space="preserve"> </w:t>
      </w:r>
      <w:r w:rsidR="00F73359">
        <w:rPr>
          <w:rFonts w:cs="Calibri"/>
        </w:rPr>
        <w:t>–</w:t>
      </w:r>
      <w:r>
        <w:t xml:space="preserve"> then Treasury prefers t</w:t>
      </w:r>
      <w:r w:rsidRPr="00476F09">
        <w:t xml:space="preserve">he following attribution: </w:t>
      </w:r>
    </w:p>
    <w:p w14:paraId="4D0F2FB7" w14:textId="77777777" w:rsidR="00F73359" w:rsidRPr="00A13A11" w:rsidRDefault="00F73359" w:rsidP="00F73359">
      <w:pPr>
        <w:ind w:firstLine="720"/>
      </w:pPr>
      <w:r w:rsidRPr="00E17231">
        <w:rPr>
          <w:iCs/>
        </w:rPr>
        <w:t>Source:</w:t>
      </w:r>
      <w:r w:rsidRPr="002F1BC2">
        <w:rPr>
          <w:i/>
        </w:rPr>
        <w:t xml:space="preserve"> </w:t>
      </w:r>
      <w:r w:rsidRPr="00AC2B70">
        <w:rPr>
          <w:rStyle w:val="Emphasis"/>
        </w:rPr>
        <w:t>The Commonwealth of Australia.</w:t>
      </w:r>
    </w:p>
    <w:p w14:paraId="5AA64E87" w14:textId="77777777" w:rsidR="00486666" w:rsidRPr="00F73359" w:rsidRDefault="00486666" w:rsidP="00A600EF">
      <w:pPr>
        <w:spacing w:after="0"/>
        <w:rPr>
          <w:rStyle w:val="Strong"/>
        </w:rPr>
      </w:pPr>
      <w:r w:rsidRPr="00F73359">
        <w:rPr>
          <w:rStyle w:val="Strong"/>
        </w:rPr>
        <w:t>Derivative material</w:t>
      </w:r>
    </w:p>
    <w:p w14:paraId="391F8316" w14:textId="77777777" w:rsidR="00486666" w:rsidRPr="006627B4" w:rsidRDefault="00486666" w:rsidP="006256BA">
      <w:r w:rsidRPr="006627B4">
        <w:t xml:space="preserve">If you have modified or transformed Treasury material, or derived new material from those of the Treasury in any way, then Treasury prefers the following attribution: </w:t>
      </w:r>
    </w:p>
    <w:p w14:paraId="08F4A801" w14:textId="77777777" w:rsidR="00F73359" w:rsidRPr="00AC2B70" w:rsidRDefault="00F73359" w:rsidP="00F73359">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2CDDED01" w14:textId="77777777" w:rsidR="00486666" w:rsidRPr="00F73359" w:rsidRDefault="00486666" w:rsidP="00A600EF">
      <w:pPr>
        <w:spacing w:before="240" w:after="0"/>
        <w:rPr>
          <w:rStyle w:val="Strong"/>
        </w:rPr>
      </w:pPr>
      <w:r w:rsidRPr="00F73359">
        <w:rPr>
          <w:rStyle w:val="Strong"/>
        </w:rPr>
        <w:t>Use of the Coat of Arms</w:t>
      </w:r>
    </w:p>
    <w:p w14:paraId="58DA1382" w14:textId="77777777" w:rsidR="00486666" w:rsidRPr="006627B4" w:rsidRDefault="00486666" w:rsidP="00820CAF">
      <w:r w:rsidRPr="00820CAF">
        <w:t>The terms under which the Coat of Arms can be used are set out on the Department of the Prime</w:t>
      </w:r>
      <w:r w:rsidR="00EE79BD">
        <w:t> </w:t>
      </w:r>
      <w:r w:rsidRPr="00820CAF">
        <w:t xml:space="preserve">Minister and Cabinet website (see </w:t>
      </w:r>
      <w:hyperlink r:id="rId18" w:history="1">
        <w:r w:rsidR="00F73359">
          <w:rPr>
            <w:rStyle w:val="Hyperlink"/>
          </w:rPr>
          <w:t>www.pmc.gov.au/government/commonwealth-coat-arms</w:t>
        </w:r>
      </w:hyperlink>
      <w:r w:rsidR="00F73359" w:rsidRPr="00F73359">
        <w:t>)</w:t>
      </w:r>
      <w:r w:rsidRPr="00F73359">
        <w:t>.</w:t>
      </w:r>
    </w:p>
    <w:p w14:paraId="412B3B64" w14:textId="77777777" w:rsidR="00486666" w:rsidRPr="00F73359" w:rsidRDefault="00486666" w:rsidP="00A600EF">
      <w:pPr>
        <w:spacing w:before="240" w:after="0"/>
        <w:rPr>
          <w:rStyle w:val="Strong"/>
        </w:rPr>
      </w:pPr>
      <w:r w:rsidRPr="00F73359">
        <w:rPr>
          <w:rStyle w:val="Strong"/>
        </w:rPr>
        <w:t>Other uses</w:t>
      </w:r>
    </w:p>
    <w:p w14:paraId="32924B03" w14:textId="77777777" w:rsidR="00486666" w:rsidRPr="006627B4" w:rsidRDefault="00486666" w:rsidP="00A43962">
      <w:r>
        <w:t>E</w:t>
      </w:r>
      <w:r w:rsidRPr="006627B4">
        <w:t>nquiries regarding this licence and any other use of this document are welcome at:</w:t>
      </w:r>
    </w:p>
    <w:p w14:paraId="31548A35" w14:textId="77777777" w:rsidR="00486666" w:rsidRPr="002F1BC2" w:rsidRDefault="00486666" w:rsidP="006256BA">
      <w:pPr>
        <w:ind w:left="720"/>
        <w:rPr>
          <w:rStyle w:val="Hyperlink"/>
        </w:rPr>
      </w:pPr>
      <w:r w:rsidRPr="006256BA">
        <w:t>Manager</w:t>
      </w:r>
      <w:r w:rsidRPr="006256BA">
        <w:br/>
        <w:t>Media Unit</w:t>
      </w:r>
      <w:r w:rsidRPr="006256BA">
        <w:br/>
        <w:t>The Treasury</w:t>
      </w:r>
      <w:r w:rsidRPr="006256BA">
        <w:br/>
        <w:t>Langton Crescent</w:t>
      </w:r>
      <w:r w:rsidRPr="006627B4">
        <w:t xml:space="preserve">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9" w:history="1">
        <w:r>
          <w:rPr>
            <w:rStyle w:val="Hyperlink"/>
          </w:rPr>
          <w:t>media@treasury.gov.au</w:t>
        </w:r>
      </w:hyperlink>
    </w:p>
    <w:p w14:paraId="1346DE1C" w14:textId="77777777" w:rsidR="001D6A8A" w:rsidRDefault="001D6A8A">
      <w:pPr>
        <w:spacing w:before="0" w:after="0"/>
        <w:sectPr w:rsidR="001D6A8A" w:rsidSect="00225987">
          <w:headerReference w:type="even" r:id="rId20"/>
          <w:headerReference w:type="default" r:id="rId21"/>
          <w:footerReference w:type="even" r:id="rId22"/>
          <w:footerReference w:type="default" r:id="rId23"/>
          <w:headerReference w:type="first" r:id="rId24"/>
          <w:footerReference w:type="first" r:id="rId25"/>
          <w:pgSz w:w="11909" w:h="16834" w:code="9"/>
          <w:pgMar w:top="1985" w:right="1134" w:bottom="1985" w:left="1134" w:header="1134" w:footer="1134" w:gutter="0"/>
          <w:pgNumType w:fmt="lowerRoman"/>
          <w:cols w:space="708"/>
          <w:titlePg/>
          <w:docGrid w:linePitch="360"/>
        </w:sectPr>
      </w:pPr>
    </w:p>
    <w:p w14:paraId="4B0DDCFF" w14:textId="77777777" w:rsidR="00C52EA3" w:rsidRDefault="006256BA" w:rsidP="004A72B7">
      <w:pPr>
        <w:pStyle w:val="ContentsHeading"/>
        <w:rPr>
          <w:noProof/>
        </w:rPr>
      </w:pPr>
      <w:bookmarkStart w:id="6" w:name="_Toc196835902"/>
      <w:bookmarkStart w:id="7" w:name="_Toc198298996"/>
      <w:bookmarkStart w:id="8" w:name="_Toc198712384"/>
      <w:bookmarkStart w:id="9" w:name="_Toc199497020"/>
      <w:bookmarkStart w:id="10" w:name="_Toc199497075"/>
      <w:bookmarkStart w:id="11" w:name="_Toc199855157"/>
      <w:r>
        <w:lastRenderedPageBreak/>
        <w:t>Contents</w:t>
      </w:r>
      <w:bookmarkEnd w:id="6"/>
      <w:bookmarkEnd w:id="7"/>
      <w:bookmarkEnd w:id="8"/>
      <w:bookmarkEnd w:id="9"/>
      <w:bookmarkEnd w:id="10"/>
      <w:bookmarkEnd w:id="11"/>
      <w:r w:rsidR="00785BA4">
        <w:rPr>
          <w:rFonts w:asciiTheme="majorHAnsi" w:hAnsiTheme="majorHAnsi"/>
          <w:smallCaps/>
        </w:rPr>
        <w:fldChar w:fldCharType="begin"/>
      </w:r>
      <w:r w:rsidR="00785BA4">
        <w:instrText xml:space="preserve"> TOC \o "1-1" \t "Heading 2,2,PreChapterHeading,1" </w:instrText>
      </w:r>
      <w:r w:rsidR="00785BA4">
        <w:rPr>
          <w:rFonts w:asciiTheme="majorHAnsi" w:hAnsiTheme="majorHAnsi"/>
          <w:smallCaps/>
        </w:rPr>
        <w:fldChar w:fldCharType="separate"/>
      </w:r>
    </w:p>
    <w:p w14:paraId="6306D1FB" w14:textId="5879A7FE"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Introduction</w:t>
      </w:r>
      <w:r>
        <w:rPr>
          <w:noProof/>
        </w:rPr>
        <w:tab/>
      </w:r>
      <w:r>
        <w:rPr>
          <w:noProof/>
        </w:rPr>
        <w:fldChar w:fldCharType="begin"/>
      </w:r>
      <w:r>
        <w:rPr>
          <w:noProof/>
        </w:rPr>
        <w:instrText xml:space="preserve"> PAGEREF _Toc199855158 \h </w:instrText>
      </w:r>
      <w:r>
        <w:rPr>
          <w:noProof/>
        </w:rPr>
      </w:r>
      <w:r>
        <w:rPr>
          <w:noProof/>
        </w:rPr>
        <w:fldChar w:fldCharType="separate"/>
      </w:r>
      <w:r w:rsidR="002E6837">
        <w:rPr>
          <w:noProof/>
        </w:rPr>
        <w:t>4</w:t>
      </w:r>
      <w:r>
        <w:rPr>
          <w:noProof/>
        </w:rPr>
        <w:fldChar w:fldCharType="end"/>
      </w:r>
    </w:p>
    <w:p w14:paraId="17B273C3" w14:textId="6CDBE28A"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Objectives of the VTTC</w:t>
      </w:r>
      <w:r>
        <w:rPr>
          <w:noProof/>
        </w:rPr>
        <w:tab/>
      </w:r>
      <w:r>
        <w:rPr>
          <w:noProof/>
        </w:rPr>
        <w:fldChar w:fldCharType="begin"/>
      </w:r>
      <w:r>
        <w:rPr>
          <w:noProof/>
        </w:rPr>
        <w:instrText xml:space="preserve"> PAGEREF _Toc199855159 \h </w:instrText>
      </w:r>
      <w:r>
        <w:rPr>
          <w:noProof/>
        </w:rPr>
      </w:r>
      <w:r>
        <w:rPr>
          <w:noProof/>
        </w:rPr>
        <w:fldChar w:fldCharType="separate"/>
      </w:r>
      <w:r w:rsidR="002E6837">
        <w:rPr>
          <w:noProof/>
        </w:rPr>
        <w:t>4</w:t>
      </w:r>
      <w:r>
        <w:rPr>
          <w:noProof/>
        </w:rPr>
        <w:fldChar w:fldCharType="end"/>
      </w:r>
    </w:p>
    <w:p w14:paraId="340FB0B2" w14:textId="6174CAC0"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Why adopt the VTTC?</w:t>
      </w:r>
      <w:r>
        <w:rPr>
          <w:noProof/>
        </w:rPr>
        <w:tab/>
      </w:r>
      <w:r>
        <w:rPr>
          <w:noProof/>
        </w:rPr>
        <w:fldChar w:fldCharType="begin"/>
      </w:r>
      <w:r>
        <w:rPr>
          <w:noProof/>
        </w:rPr>
        <w:instrText xml:space="preserve"> PAGEREF _Toc199855160 \h </w:instrText>
      </w:r>
      <w:r>
        <w:rPr>
          <w:noProof/>
        </w:rPr>
      </w:r>
      <w:r>
        <w:rPr>
          <w:noProof/>
        </w:rPr>
        <w:fldChar w:fldCharType="separate"/>
      </w:r>
      <w:r w:rsidR="002E6837">
        <w:rPr>
          <w:noProof/>
        </w:rPr>
        <w:t>4</w:t>
      </w:r>
      <w:r>
        <w:rPr>
          <w:noProof/>
        </w:rPr>
        <w:fldChar w:fldCharType="end"/>
      </w:r>
    </w:p>
    <w:p w14:paraId="58FA609F" w14:textId="1D76CF96"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New VTTC participants</w:t>
      </w:r>
      <w:r>
        <w:rPr>
          <w:noProof/>
        </w:rPr>
        <w:tab/>
      </w:r>
      <w:r>
        <w:rPr>
          <w:noProof/>
        </w:rPr>
        <w:fldChar w:fldCharType="begin"/>
      </w:r>
      <w:r>
        <w:rPr>
          <w:noProof/>
        </w:rPr>
        <w:instrText xml:space="preserve"> PAGEREF _Toc199855161 \h </w:instrText>
      </w:r>
      <w:r>
        <w:rPr>
          <w:noProof/>
        </w:rPr>
      </w:r>
      <w:r>
        <w:rPr>
          <w:noProof/>
        </w:rPr>
        <w:fldChar w:fldCharType="separate"/>
      </w:r>
      <w:r w:rsidR="002E6837">
        <w:rPr>
          <w:noProof/>
        </w:rPr>
        <w:t>5</w:t>
      </w:r>
      <w:r>
        <w:rPr>
          <w:noProof/>
        </w:rPr>
        <w:fldChar w:fldCharType="end"/>
      </w:r>
    </w:p>
    <w:p w14:paraId="1859AA4D" w14:textId="7C609DA1"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Who should report?</w:t>
      </w:r>
      <w:r>
        <w:rPr>
          <w:noProof/>
        </w:rPr>
        <w:tab/>
      </w:r>
      <w:r>
        <w:rPr>
          <w:noProof/>
        </w:rPr>
        <w:fldChar w:fldCharType="begin"/>
      </w:r>
      <w:r>
        <w:rPr>
          <w:noProof/>
        </w:rPr>
        <w:instrText xml:space="preserve"> PAGEREF _Toc199855162 \h </w:instrText>
      </w:r>
      <w:r>
        <w:rPr>
          <w:noProof/>
        </w:rPr>
      </w:r>
      <w:r>
        <w:rPr>
          <w:noProof/>
        </w:rPr>
        <w:fldChar w:fldCharType="separate"/>
      </w:r>
      <w:r w:rsidR="002E6837">
        <w:rPr>
          <w:noProof/>
        </w:rPr>
        <w:t>5</w:t>
      </w:r>
      <w:r>
        <w:rPr>
          <w:noProof/>
        </w:rPr>
        <w:fldChar w:fldCharType="end"/>
      </w:r>
    </w:p>
    <w:p w14:paraId="42E70D16" w14:textId="18EEBFA3"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Overview of VTTC redesign</w:t>
      </w:r>
      <w:r>
        <w:rPr>
          <w:noProof/>
        </w:rPr>
        <w:tab/>
      </w:r>
      <w:r>
        <w:rPr>
          <w:noProof/>
        </w:rPr>
        <w:fldChar w:fldCharType="begin"/>
      </w:r>
      <w:r>
        <w:rPr>
          <w:noProof/>
        </w:rPr>
        <w:instrText xml:space="preserve"> PAGEREF _Toc199855163 \h </w:instrText>
      </w:r>
      <w:r>
        <w:rPr>
          <w:noProof/>
        </w:rPr>
      </w:r>
      <w:r>
        <w:rPr>
          <w:noProof/>
        </w:rPr>
        <w:fldChar w:fldCharType="separate"/>
      </w:r>
      <w:r w:rsidR="002E6837">
        <w:rPr>
          <w:noProof/>
        </w:rPr>
        <w:t>5</w:t>
      </w:r>
      <w:r>
        <w:rPr>
          <w:noProof/>
        </w:rPr>
        <w:fldChar w:fldCharType="end"/>
      </w:r>
    </w:p>
    <w:p w14:paraId="34EDD8EA" w14:textId="53AF79E4"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VTTC reporting requirements</w:t>
      </w:r>
      <w:r>
        <w:rPr>
          <w:noProof/>
        </w:rPr>
        <w:tab/>
      </w:r>
      <w:r>
        <w:rPr>
          <w:noProof/>
        </w:rPr>
        <w:fldChar w:fldCharType="begin"/>
      </w:r>
      <w:r>
        <w:rPr>
          <w:noProof/>
        </w:rPr>
        <w:instrText xml:space="preserve"> PAGEREF _Toc199855164 \h </w:instrText>
      </w:r>
      <w:r>
        <w:rPr>
          <w:noProof/>
        </w:rPr>
      </w:r>
      <w:r>
        <w:rPr>
          <w:noProof/>
        </w:rPr>
        <w:fldChar w:fldCharType="separate"/>
      </w:r>
      <w:r w:rsidR="002E6837">
        <w:rPr>
          <w:noProof/>
        </w:rPr>
        <w:t>6</w:t>
      </w:r>
      <w:r>
        <w:rPr>
          <w:noProof/>
        </w:rPr>
        <w:fldChar w:fldCharType="end"/>
      </w:r>
    </w:p>
    <w:p w14:paraId="23A74D45" w14:textId="00AE271D" w:rsidR="00C52EA3" w:rsidRDefault="00C52EA3">
      <w:pPr>
        <w:pStyle w:val="TOC2"/>
        <w:rPr>
          <w:rFonts w:asciiTheme="minorHAnsi" w:eastAsiaTheme="minorEastAsia" w:hAnsiTheme="minorHAnsi" w:cstheme="minorBidi"/>
          <w:noProof/>
          <w:color w:val="auto"/>
          <w:kern w:val="2"/>
          <w:sz w:val="24"/>
          <w:szCs w:val="24"/>
          <w14:ligatures w14:val="standardContextual"/>
        </w:rPr>
      </w:pPr>
      <w:r w:rsidRPr="00C1302E">
        <w:rPr>
          <w:noProof/>
          <w:color w:val="auto"/>
        </w:rPr>
        <w:t>Summary of VTTC reporting requirements</w:t>
      </w:r>
      <w:r>
        <w:rPr>
          <w:noProof/>
        </w:rPr>
        <w:tab/>
      </w:r>
      <w:r>
        <w:rPr>
          <w:noProof/>
        </w:rPr>
        <w:fldChar w:fldCharType="begin"/>
      </w:r>
      <w:r>
        <w:rPr>
          <w:noProof/>
        </w:rPr>
        <w:instrText xml:space="preserve"> PAGEREF _Toc199855165 \h </w:instrText>
      </w:r>
      <w:r>
        <w:rPr>
          <w:noProof/>
        </w:rPr>
      </w:r>
      <w:r>
        <w:rPr>
          <w:noProof/>
        </w:rPr>
        <w:fldChar w:fldCharType="separate"/>
      </w:r>
      <w:r w:rsidR="002E6837">
        <w:rPr>
          <w:noProof/>
        </w:rPr>
        <w:t>7</w:t>
      </w:r>
      <w:r>
        <w:rPr>
          <w:noProof/>
        </w:rPr>
        <w:fldChar w:fldCharType="end"/>
      </w:r>
    </w:p>
    <w:p w14:paraId="644C15BF" w14:textId="2AA8759F" w:rsidR="00C52EA3" w:rsidRDefault="00C52EA3">
      <w:pPr>
        <w:pStyle w:val="TOC2"/>
        <w:rPr>
          <w:rFonts w:asciiTheme="minorHAnsi" w:eastAsiaTheme="minorEastAsia" w:hAnsiTheme="minorHAnsi" w:cstheme="minorBidi"/>
          <w:noProof/>
          <w:color w:val="auto"/>
          <w:kern w:val="2"/>
          <w:sz w:val="24"/>
          <w:szCs w:val="24"/>
          <w14:ligatures w14:val="standardContextual"/>
        </w:rPr>
      </w:pPr>
      <w:r w:rsidRPr="00C1302E">
        <w:rPr>
          <w:noProof/>
          <w:color w:val="auto"/>
        </w:rPr>
        <w:t>VTTC Navigation</w:t>
      </w:r>
      <w:r>
        <w:rPr>
          <w:noProof/>
        </w:rPr>
        <w:tab/>
      </w:r>
      <w:r>
        <w:rPr>
          <w:noProof/>
        </w:rPr>
        <w:fldChar w:fldCharType="begin"/>
      </w:r>
      <w:r>
        <w:rPr>
          <w:noProof/>
        </w:rPr>
        <w:instrText xml:space="preserve"> PAGEREF _Toc199855166 \h </w:instrText>
      </w:r>
      <w:r>
        <w:rPr>
          <w:noProof/>
        </w:rPr>
      </w:r>
      <w:r>
        <w:rPr>
          <w:noProof/>
        </w:rPr>
        <w:fldChar w:fldCharType="separate"/>
      </w:r>
      <w:r w:rsidR="002E6837">
        <w:rPr>
          <w:noProof/>
        </w:rPr>
        <w:t>8</w:t>
      </w:r>
      <w:r>
        <w:rPr>
          <w:noProof/>
        </w:rPr>
        <w:fldChar w:fldCharType="end"/>
      </w:r>
    </w:p>
    <w:p w14:paraId="55EB3DBE" w14:textId="0D94F08B"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Public CbC reporter</w:t>
      </w:r>
      <w:r>
        <w:rPr>
          <w:noProof/>
        </w:rPr>
        <w:tab/>
      </w:r>
      <w:r>
        <w:rPr>
          <w:noProof/>
        </w:rPr>
        <w:fldChar w:fldCharType="begin"/>
      </w:r>
      <w:r>
        <w:rPr>
          <w:noProof/>
        </w:rPr>
        <w:instrText xml:space="preserve"> PAGEREF _Toc199855167 \h </w:instrText>
      </w:r>
      <w:r>
        <w:rPr>
          <w:noProof/>
        </w:rPr>
      </w:r>
      <w:r>
        <w:rPr>
          <w:noProof/>
        </w:rPr>
        <w:fldChar w:fldCharType="separate"/>
      </w:r>
      <w:r w:rsidR="002E6837">
        <w:rPr>
          <w:noProof/>
        </w:rPr>
        <w:t>9</w:t>
      </w:r>
      <w:r>
        <w:rPr>
          <w:noProof/>
        </w:rPr>
        <w:fldChar w:fldCharType="end"/>
      </w:r>
    </w:p>
    <w:p w14:paraId="3CAC7771" w14:textId="207202B8"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Non-public CbC reporter</w:t>
      </w:r>
      <w:r>
        <w:rPr>
          <w:noProof/>
        </w:rPr>
        <w:tab/>
      </w:r>
      <w:r>
        <w:rPr>
          <w:noProof/>
        </w:rPr>
        <w:fldChar w:fldCharType="begin"/>
      </w:r>
      <w:r>
        <w:rPr>
          <w:noProof/>
        </w:rPr>
        <w:instrText xml:space="preserve"> PAGEREF _Toc199855168 \h </w:instrText>
      </w:r>
      <w:r>
        <w:rPr>
          <w:noProof/>
        </w:rPr>
      </w:r>
      <w:r>
        <w:rPr>
          <w:noProof/>
        </w:rPr>
        <w:fldChar w:fldCharType="separate"/>
      </w:r>
      <w:r w:rsidR="002E6837">
        <w:rPr>
          <w:noProof/>
        </w:rPr>
        <w:t>14</w:t>
      </w:r>
      <w:r>
        <w:rPr>
          <w:noProof/>
        </w:rPr>
        <w:fldChar w:fldCharType="end"/>
      </w:r>
    </w:p>
    <w:p w14:paraId="3F6F0696" w14:textId="1AF193CA"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A – Example template format of VTTC report</w:t>
      </w:r>
      <w:r>
        <w:rPr>
          <w:noProof/>
        </w:rPr>
        <w:tab/>
      </w:r>
      <w:r>
        <w:rPr>
          <w:noProof/>
        </w:rPr>
        <w:fldChar w:fldCharType="begin"/>
      </w:r>
      <w:r>
        <w:rPr>
          <w:noProof/>
        </w:rPr>
        <w:instrText xml:space="preserve"> PAGEREF _Toc199855169 \h </w:instrText>
      </w:r>
      <w:r>
        <w:rPr>
          <w:noProof/>
        </w:rPr>
      </w:r>
      <w:r>
        <w:rPr>
          <w:noProof/>
        </w:rPr>
        <w:fldChar w:fldCharType="separate"/>
      </w:r>
      <w:r w:rsidR="002E6837">
        <w:rPr>
          <w:noProof/>
        </w:rPr>
        <w:t>20</w:t>
      </w:r>
      <w:r>
        <w:rPr>
          <w:noProof/>
        </w:rPr>
        <w:fldChar w:fldCharType="end"/>
      </w:r>
    </w:p>
    <w:p w14:paraId="215C8ED9" w14:textId="0A349C6E"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Public CbC Reporter: Example VTTC Report</w:t>
      </w:r>
      <w:r>
        <w:rPr>
          <w:noProof/>
        </w:rPr>
        <w:tab/>
      </w:r>
      <w:r>
        <w:rPr>
          <w:noProof/>
        </w:rPr>
        <w:fldChar w:fldCharType="begin"/>
      </w:r>
      <w:r>
        <w:rPr>
          <w:noProof/>
        </w:rPr>
        <w:instrText xml:space="preserve"> PAGEREF _Toc199855170 \h </w:instrText>
      </w:r>
      <w:r>
        <w:rPr>
          <w:noProof/>
        </w:rPr>
      </w:r>
      <w:r>
        <w:rPr>
          <w:noProof/>
        </w:rPr>
        <w:fldChar w:fldCharType="separate"/>
      </w:r>
      <w:r w:rsidR="002E6837">
        <w:rPr>
          <w:noProof/>
        </w:rPr>
        <w:t>21</w:t>
      </w:r>
      <w:r>
        <w:rPr>
          <w:noProof/>
        </w:rPr>
        <w:fldChar w:fldCharType="end"/>
      </w:r>
    </w:p>
    <w:p w14:paraId="76E0D2F3" w14:textId="0B65243F" w:rsidR="00C52EA3" w:rsidRDefault="00C52EA3">
      <w:pPr>
        <w:pStyle w:val="TOC2"/>
        <w:rPr>
          <w:rFonts w:asciiTheme="minorHAnsi" w:eastAsiaTheme="minorEastAsia" w:hAnsiTheme="minorHAnsi" w:cstheme="minorBidi"/>
          <w:noProof/>
          <w:color w:val="auto"/>
          <w:kern w:val="2"/>
          <w:sz w:val="24"/>
          <w:szCs w:val="24"/>
          <w14:ligatures w14:val="standardContextual"/>
        </w:rPr>
      </w:pPr>
      <w:r w:rsidRPr="00C1302E">
        <w:rPr>
          <w:noProof/>
        </w:rPr>
        <w:t>Overview</w:t>
      </w:r>
      <w:r>
        <w:rPr>
          <w:noProof/>
        </w:rPr>
        <w:tab/>
      </w:r>
      <w:r>
        <w:rPr>
          <w:noProof/>
        </w:rPr>
        <w:fldChar w:fldCharType="begin"/>
      </w:r>
      <w:r>
        <w:rPr>
          <w:noProof/>
        </w:rPr>
        <w:instrText xml:space="preserve"> PAGEREF _Toc199855171 \h </w:instrText>
      </w:r>
      <w:r>
        <w:rPr>
          <w:noProof/>
        </w:rPr>
      </w:r>
      <w:r>
        <w:rPr>
          <w:noProof/>
        </w:rPr>
        <w:fldChar w:fldCharType="separate"/>
      </w:r>
      <w:r w:rsidR="002E6837">
        <w:rPr>
          <w:noProof/>
        </w:rPr>
        <w:t>21</w:t>
      </w:r>
      <w:r>
        <w:rPr>
          <w:noProof/>
        </w:rPr>
        <w:fldChar w:fldCharType="end"/>
      </w:r>
    </w:p>
    <w:p w14:paraId="2A09B65B" w14:textId="3663EEFC"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Tax Data</w:t>
      </w:r>
      <w:r>
        <w:rPr>
          <w:noProof/>
        </w:rPr>
        <w:tab/>
      </w:r>
      <w:r>
        <w:rPr>
          <w:noProof/>
        </w:rPr>
        <w:fldChar w:fldCharType="begin"/>
      </w:r>
      <w:r>
        <w:rPr>
          <w:noProof/>
        </w:rPr>
        <w:instrText xml:space="preserve"> PAGEREF _Toc199855172 \h </w:instrText>
      </w:r>
      <w:r>
        <w:rPr>
          <w:noProof/>
        </w:rPr>
      </w:r>
      <w:r>
        <w:rPr>
          <w:noProof/>
        </w:rPr>
        <w:fldChar w:fldCharType="separate"/>
      </w:r>
      <w:r w:rsidR="002E6837">
        <w:rPr>
          <w:noProof/>
        </w:rPr>
        <w:t>21</w:t>
      </w:r>
      <w:r>
        <w:rPr>
          <w:noProof/>
        </w:rPr>
        <w:fldChar w:fldCharType="end"/>
      </w:r>
    </w:p>
    <w:p w14:paraId="51A5811F" w14:textId="08DF5DD8"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Overall approach to tax</w:t>
      </w:r>
      <w:r>
        <w:rPr>
          <w:noProof/>
        </w:rPr>
        <w:tab/>
      </w:r>
      <w:r>
        <w:rPr>
          <w:noProof/>
        </w:rPr>
        <w:fldChar w:fldCharType="begin"/>
      </w:r>
      <w:r>
        <w:rPr>
          <w:noProof/>
        </w:rPr>
        <w:instrText xml:space="preserve"> PAGEREF _Toc199855173 \h </w:instrText>
      </w:r>
      <w:r>
        <w:rPr>
          <w:noProof/>
        </w:rPr>
      </w:r>
      <w:r>
        <w:rPr>
          <w:noProof/>
        </w:rPr>
        <w:fldChar w:fldCharType="separate"/>
      </w:r>
      <w:r w:rsidR="002E6837">
        <w:rPr>
          <w:noProof/>
        </w:rPr>
        <w:t>25</w:t>
      </w:r>
      <w:r>
        <w:rPr>
          <w:noProof/>
        </w:rPr>
        <w:fldChar w:fldCharType="end"/>
      </w:r>
    </w:p>
    <w:p w14:paraId="555767B7" w14:textId="6E419A86"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Non-public CbC Reporter: Example VTTC Report</w:t>
      </w:r>
      <w:r>
        <w:rPr>
          <w:noProof/>
        </w:rPr>
        <w:tab/>
      </w:r>
      <w:r>
        <w:rPr>
          <w:noProof/>
        </w:rPr>
        <w:fldChar w:fldCharType="begin"/>
      </w:r>
      <w:r>
        <w:rPr>
          <w:noProof/>
        </w:rPr>
        <w:instrText xml:space="preserve"> PAGEREF _Toc199855174 \h </w:instrText>
      </w:r>
      <w:r>
        <w:rPr>
          <w:noProof/>
        </w:rPr>
      </w:r>
      <w:r>
        <w:rPr>
          <w:noProof/>
        </w:rPr>
        <w:fldChar w:fldCharType="separate"/>
      </w:r>
      <w:r w:rsidR="002E6837">
        <w:rPr>
          <w:noProof/>
        </w:rPr>
        <w:t>31</w:t>
      </w:r>
      <w:r>
        <w:rPr>
          <w:noProof/>
        </w:rPr>
        <w:fldChar w:fldCharType="end"/>
      </w:r>
    </w:p>
    <w:p w14:paraId="1532AF13" w14:textId="406E16C1" w:rsidR="00C52EA3" w:rsidRDefault="00C52EA3">
      <w:pPr>
        <w:pStyle w:val="TOC2"/>
        <w:rPr>
          <w:rFonts w:asciiTheme="minorHAnsi" w:eastAsiaTheme="minorEastAsia" w:hAnsiTheme="minorHAnsi" w:cstheme="minorBidi"/>
          <w:noProof/>
          <w:color w:val="auto"/>
          <w:kern w:val="2"/>
          <w:sz w:val="24"/>
          <w:szCs w:val="24"/>
          <w14:ligatures w14:val="standardContextual"/>
        </w:rPr>
      </w:pPr>
      <w:r w:rsidRPr="00C1302E">
        <w:rPr>
          <w:noProof/>
          <w:color w:val="701F4D"/>
        </w:rPr>
        <w:t>Overview</w:t>
      </w:r>
      <w:r>
        <w:rPr>
          <w:noProof/>
        </w:rPr>
        <w:tab/>
      </w:r>
      <w:r>
        <w:rPr>
          <w:noProof/>
        </w:rPr>
        <w:fldChar w:fldCharType="begin"/>
      </w:r>
      <w:r>
        <w:rPr>
          <w:noProof/>
        </w:rPr>
        <w:instrText xml:space="preserve"> PAGEREF _Toc199855175 \h </w:instrText>
      </w:r>
      <w:r>
        <w:rPr>
          <w:noProof/>
        </w:rPr>
      </w:r>
      <w:r>
        <w:rPr>
          <w:noProof/>
        </w:rPr>
        <w:fldChar w:fldCharType="separate"/>
      </w:r>
      <w:r w:rsidR="002E6837">
        <w:rPr>
          <w:noProof/>
        </w:rPr>
        <w:t>31</w:t>
      </w:r>
      <w:r>
        <w:rPr>
          <w:noProof/>
        </w:rPr>
        <w:fldChar w:fldCharType="end"/>
      </w:r>
    </w:p>
    <w:p w14:paraId="54732C57" w14:textId="700A7EAF"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Tax Data</w:t>
      </w:r>
      <w:r>
        <w:rPr>
          <w:noProof/>
        </w:rPr>
        <w:tab/>
      </w:r>
      <w:r>
        <w:rPr>
          <w:noProof/>
        </w:rPr>
        <w:fldChar w:fldCharType="begin"/>
      </w:r>
      <w:r>
        <w:rPr>
          <w:noProof/>
        </w:rPr>
        <w:instrText xml:space="preserve"> PAGEREF _Toc199855176 \h </w:instrText>
      </w:r>
      <w:r>
        <w:rPr>
          <w:noProof/>
        </w:rPr>
      </w:r>
      <w:r>
        <w:rPr>
          <w:noProof/>
        </w:rPr>
        <w:fldChar w:fldCharType="separate"/>
      </w:r>
      <w:r w:rsidR="002E6837">
        <w:rPr>
          <w:noProof/>
        </w:rPr>
        <w:t>32</w:t>
      </w:r>
      <w:r>
        <w:rPr>
          <w:noProof/>
        </w:rPr>
        <w:fldChar w:fldCharType="end"/>
      </w:r>
    </w:p>
    <w:p w14:paraId="6178E789" w14:textId="045424C5"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Overall approach to tax</w:t>
      </w:r>
      <w:r>
        <w:rPr>
          <w:noProof/>
        </w:rPr>
        <w:tab/>
      </w:r>
      <w:r>
        <w:rPr>
          <w:noProof/>
        </w:rPr>
        <w:fldChar w:fldCharType="begin"/>
      </w:r>
      <w:r>
        <w:rPr>
          <w:noProof/>
        </w:rPr>
        <w:instrText xml:space="preserve"> PAGEREF _Toc199855177 \h </w:instrText>
      </w:r>
      <w:r>
        <w:rPr>
          <w:noProof/>
        </w:rPr>
      </w:r>
      <w:r>
        <w:rPr>
          <w:noProof/>
        </w:rPr>
        <w:fldChar w:fldCharType="separate"/>
      </w:r>
      <w:r w:rsidR="002E6837">
        <w:rPr>
          <w:noProof/>
        </w:rPr>
        <w:t>36</w:t>
      </w:r>
      <w:r>
        <w:rPr>
          <w:noProof/>
        </w:rPr>
        <w:fldChar w:fldCharType="end"/>
      </w:r>
    </w:p>
    <w:p w14:paraId="76575C1E" w14:textId="1F6E05F0"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B – VTTC Checklist</w:t>
      </w:r>
      <w:r>
        <w:rPr>
          <w:noProof/>
        </w:rPr>
        <w:tab/>
      </w:r>
      <w:r>
        <w:rPr>
          <w:noProof/>
        </w:rPr>
        <w:fldChar w:fldCharType="begin"/>
      </w:r>
      <w:r>
        <w:rPr>
          <w:noProof/>
        </w:rPr>
        <w:instrText xml:space="preserve"> PAGEREF _Toc199855178 \h </w:instrText>
      </w:r>
      <w:r>
        <w:rPr>
          <w:noProof/>
        </w:rPr>
      </w:r>
      <w:r>
        <w:rPr>
          <w:noProof/>
        </w:rPr>
        <w:fldChar w:fldCharType="separate"/>
      </w:r>
      <w:r w:rsidR="002E6837">
        <w:rPr>
          <w:noProof/>
        </w:rPr>
        <w:t>40</w:t>
      </w:r>
      <w:r>
        <w:rPr>
          <w:noProof/>
        </w:rPr>
        <w:fldChar w:fldCharType="end"/>
      </w:r>
    </w:p>
    <w:p w14:paraId="1075D394" w14:textId="578D55A5"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Public CbC reporter</w:t>
      </w:r>
      <w:r>
        <w:rPr>
          <w:noProof/>
        </w:rPr>
        <w:tab/>
      </w:r>
      <w:r>
        <w:rPr>
          <w:noProof/>
        </w:rPr>
        <w:fldChar w:fldCharType="begin"/>
      </w:r>
      <w:r>
        <w:rPr>
          <w:noProof/>
        </w:rPr>
        <w:instrText xml:space="preserve"> PAGEREF _Toc199855179 \h </w:instrText>
      </w:r>
      <w:r>
        <w:rPr>
          <w:noProof/>
        </w:rPr>
      </w:r>
      <w:r>
        <w:rPr>
          <w:noProof/>
        </w:rPr>
        <w:fldChar w:fldCharType="separate"/>
      </w:r>
      <w:r w:rsidR="002E6837">
        <w:rPr>
          <w:noProof/>
        </w:rPr>
        <w:t>40</w:t>
      </w:r>
      <w:r>
        <w:rPr>
          <w:noProof/>
        </w:rPr>
        <w:fldChar w:fldCharType="end"/>
      </w:r>
    </w:p>
    <w:p w14:paraId="13427ECE" w14:textId="0C700D6D" w:rsidR="00C52EA3" w:rsidRDefault="00C52EA3">
      <w:pPr>
        <w:pStyle w:val="TOC2"/>
        <w:rPr>
          <w:rFonts w:asciiTheme="minorHAnsi" w:eastAsiaTheme="minorEastAsia" w:hAnsiTheme="minorHAnsi" w:cstheme="minorBidi"/>
          <w:noProof/>
          <w:color w:val="auto"/>
          <w:kern w:val="2"/>
          <w:sz w:val="24"/>
          <w:szCs w:val="24"/>
          <w14:ligatures w14:val="standardContextual"/>
        </w:rPr>
      </w:pPr>
      <w:r>
        <w:rPr>
          <w:noProof/>
        </w:rPr>
        <w:t>Non-public CbC reporter</w:t>
      </w:r>
      <w:r>
        <w:rPr>
          <w:noProof/>
        </w:rPr>
        <w:tab/>
      </w:r>
      <w:r>
        <w:rPr>
          <w:noProof/>
        </w:rPr>
        <w:fldChar w:fldCharType="begin"/>
      </w:r>
      <w:r>
        <w:rPr>
          <w:noProof/>
        </w:rPr>
        <w:instrText xml:space="preserve"> PAGEREF _Toc199855180 \h </w:instrText>
      </w:r>
      <w:r>
        <w:rPr>
          <w:noProof/>
        </w:rPr>
      </w:r>
      <w:r>
        <w:rPr>
          <w:noProof/>
        </w:rPr>
        <w:fldChar w:fldCharType="separate"/>
      </w:r>
      <w:r w:rsidR="002E6837">
        <w:rPr>
          <w:noProof/>
        </w:rPr>
        <w:t>43</w:t>
      </w:r>
      <w:r>
        <w:rPr>
          <w:noProof/>
        </w:rPr>
        <w:fldChar w:fldCharType="end"/>
      </w:r>
    </w:p>
    <w:p w14:paraId="7907547D" w14:textId="75E0F4EC" w:rsidR="00C52EA3" w:rsidRDefault="00C52EA3">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C – Glossary</w:t>
      </w:r>
      <w:r>
        <w:rPr>
          <w:noProof/>
        </w:rPr>
        <w:tab/>
      </w:r>
      <w:r>
        <w:rPr>
          <w:noProof/>
        </w:rPr>
        <w:fldChar w:fldCharType="begin"/>
      </w:r>
      <w:r>
        <w:rPr>
          <w:noProof/>
        </w:rPr>
        <w:instrText xml:space="preserve"> PAGEREF _Toc199855181 \h </w:instrText>
      </w:r>
      <w:r>
        <w:rPr>
          <w:noProof/>
        </w:rPr>
      </w:r>
      <w:r>
        <w:rPr>
          <w:noProof/>
        </w:rPr>
        <w:fldChar w:fldCharType="separate"/>
      </w:r>
      <w:r w:rsidR="002E6837">
        <w:rPr>
          <w:noProof/>
        </w:rPr>
        <w:t>46</w:t>
      </w:r>
      <w:r>
        <w:rPr>
          <w:noProof/>
        </w:rPr>
        <w:fldChar w:fldCharType="end"/>
      </w:r>
    </w:p>
    <w:p w14:paraId="4B9D5C8C" w14:textId="4FF992E9" w:rsidR="006256BA" w:rsidRDefault="00785BA4">
      <w:r>
        <w:rPr>
          <w:rFonts w:ascii="Arial Bold" w:hAnsi="Arial Bold"/>
          <w:b/>
          <w:color w:val="000080"/>
        </w:rPr>
        <w:fldChar w:fldCharType="end"/>
      </w:r>
    </w:p>
    <w:p w14:paraId="6EF452D5" w14:textId="77777777" w:rsidR="006256BA" w:rsidRDefault="006256BA">
      <w:pPr>
        <w:sectPr w:rsidR="006256BA" w:rsidSect="00225987">
          <w:type w:val="oddPage"/>
          <w:pgSz w:w="11909" w:h="16834" w:code="9"/>
          <w:pgMar w:top="1985" w:right="1134" w:bottom="1985" w:left="1134" w:header="1134" w:footer="1134" w:gutter="0"/>
          <w:pgNumType w:fmt="lowerRoman"/>
          <w:cols w:space="708"/>
          <w:titlePg/>
          <w:docGrid w:linePitch="360"/>
        </w:sectPr>
      </w:pPr>
    </w:p>
    <w:p w14:paraId="1DBFFBBA" w14:textId="371310DA" w:rsidR="00BB4866" w:rsidRDefault="00BB4866" w:rsidP="00BE6D8C">
      <w:pPr>
        <w:pStyle w:val="Heading1"/>
        <w:spacing w:before="480" w:after="240"/>
      </w:pPr>
      <w:bookmarkStart w:id="12" w:name="_Toc199855158"/>
      <w:r>
        <w:lastRenderedPageBreak/>
        <w:t>Introduction</w:t>
      </w:r>
      <w:bookmarkEnd w:id="12"/>
      <w:r>
        <w:t xml:space="preserve"> </w:t>
      </w:r>
    </w:p>
    <w:p w14:paraId="6E9F52E6" w14:textId="47C4AE09" w:rsidR="00BC1534" w:rsidRPr="00AC3D5A" w:rsidRDefault="00BC1534" w:rsidP="00AC3D5A">
      <w:pPr>
        <w:spacing w:before="0" w:after="0"/>
      </w:pPr>
      <w:r w:rsidRPr="670E04C8">
        <w:rPr>
          <w:rFonts w:asciiTheme="minorHAnsi" w:hAnsiTheme="minorHAnsi" w:cstheme="minorBidi"/>
        </w:rPr>
        <w:t xml:space="preserve">The </w:t>
      </w:r>
      <w:r w:rsidR="00614E72">
        <w:rPr>
          <w:rFonts w:asciiTheme="minorHAnsi" w:hAnsiTheme="minorHAnsi" w:cstheme="minorBidi"/>
        </w:rPr>
        <w:t>V</w:t>
      </w:r>
      <w:r w:rsidRPr="670E04C8">
        <w:rPr>
          <w:rFonts w:asciiTheme="minorHAnsi" w:hAnsiTheme="minorHAnsi" w:cstheme="minorBidi"/>
        </w:rPr>
        <w:t>TTC was</w:t>
      </w:r>
      <w:r w:rsidR="4443A821" w:rsidRPr="670E04C8">
        <w:rPr>
          <w:rFonts w:asciiTheme="minorHAnsi" w:hAnsiTheme="minorHAnsi" w:cstheme="minorBidi"/>
        </w:rPr>
        <w:t xml:space="preserve"> first</w:t>
      </w:r>
      <w:r w:rsidRPr="670E04C8">
        <w:rPr>
          <w:rFonts w:asciiTheme="minorHAnsi" w:hAnsiTheme="minorHAnsi" w:cstheme="minorBidi"/>
        </w:rPr>
        <w:t xml:space="preserve"> developed by the Board of Taxation</w:t>
      </w:r>
      <w:r w:rsidR="5322363C" w:rsidRPr="670E04C8">
        <w:rPr>
          <w:rFonts w:asciiTheme="minorHAnsi" w:hAnsiTheme="minorHAnsi" w:cstheme="minorBidi"/>
        </w:rPr>
        <w:t xml:space="preserve"> in 2016</w:t>
      </w:r>
      <w:r w:rsidRPr="670E04C8">
        <w:rPr>
          <w:rFonts w:asciiTheme="minorHAnsi" w:hAnsiTheme="minorHAnsi" w:cstheme="minorBidi"/>
        </w:rPr>
        <w:t xml:space="preserve"> on behalf of the Government. </w:t>
      </w:r>
    </w:p>
    <w:p w14:paraId="39607678" w14:textId="16FBF535" w:rsidR="00BC1534" w:rsidRDefault="00BC1534" w:rsidP="14DD963F">
      <w:pPr>
        <w:pStyle w:val="OutlineNumbered1"/>
        <w:numPr>
          <w:ilvl w:val="0"/>
          <w:numId w:val="0"/>
        </w:numPr>
        <w:spacing w:after="0"/>
        <w:jc w:val="left"/>
        <w:rPr>
          <w:rFonts w:asciiTheme="minorHAnsi" w:hAnsiTheme="minorHAnsi" w:cstheme="minorBidi"/>
        </w:rPr>
      </w:pPr>
    </w:p>
    <w:p w14:paraId="3A36072E" w14:textId="611BF29E" w:rsidR="00976219" w:rsidRDefault="00BC1534" w:rsidP="00BC1534">
      <w:pPr>
        <w:pStyle w:val="OutlineNumbered1"/>
        <w:numPr>
          <w:ilvl w:val="0"/>
          <w:numId w:val="0"/>
        </w:numPr>
        <w:spacing w:after="0"/>
        <w:jc w:val="left"/>
        <w:rPr>
          <w:rFonts w:asciiTheme="minorHAnsi" w:hAnsiTheme="minorHAnsi" w:cstheme="minorHAnsi"/>
        </w:rPr>
      </w:pPr>
      <w:r>
        <w:rPr>
          <w:rFonts w:asciiTheme="minorHAnsi" w:hAnsiTheme="minorHAnsi" w:cstheme="minorHAnsi"/>
        </w:rPr>
        <w:t>In response to developments in global tax transparency requirements</w:t>
      </w:r>
      <w:r w:rsidR="00F7009B">
        <w:rPr>
          <w:rFonts w:asciiTheme="minorHAnsi" w:hAnsiTheme="minorHAnsi" w:cstheme="minorHAnsi"/>
        </w:rPr>
        <w:t xml:space="preserve"> and stakeholder feedback,</w:t>
      </w:r>
      <w:r>
        <w:rPr>
          <w:rFonts w:asciiTheme="minorHAnsi" w:hAnsiTheme="minorHAnsi" w:cstheme="minorHAnsi"/>
        </w:rPr>
        <w:t xml:space="preserve"> the </w:t>
      </w:r>
      <w:r w:rsidR="00614E72">
        <w:rPr>
          <w:rFonts w:asciiTheme="minorHAnsi" w:hAnsiTheme="minorHAnsi" w:cstheme="minorHAnsi"/>
        </w:rPr>
        <w:t>V</w:t>
      </w:r>
      <w:r>
        <w:rPr>
          <w:rFonts w:asciiTheme="minorHAnsi" w:hAnsiTheme="minorHAnsi" w:cstheme="minorHAnsi"/>
        </w:rPr>
        <w:t xml:space="preserve">TTC has been </w:t>
      </w:r>
      <w:r w:rsidR="00250071">
        <w:rPr>
          <w:rFonts w:asciiTheme="minorHAnsi" w:hAnsiTheme="minorHAnsi" w:cstheme="minorHAnsi"/>
        </w:rPr>
        <w:t>updated</w:t>
      </w:r>
      <w:r>
        <w:rPr>
          <w:rFonts w:asciiTheme="minorHAnsi" w:hAnsiTheme="minorHAnsi" w:cstheme="minorHAnsi"/>
        </w:rPr>
        <w:t xml:space="preserve"> and simplified to minimise </w:t>
      </w:r>
      <w:r w:rsidR="00D45438">
        <w:rPr>
          <w:rFonts w:asciiTheme="minorHAnsi" w:hAnsiTheme="minorHAnsi" w:cstheme="minorHAnsi"/>
        </w:rPr>
        <w:t>reporting</w:t>
      </w:r>
      <w:r>
        <w:rPr>
          <w:rFonts w:asciiTheme="minorHAnsi" w:hAnsiTheme="minorHAnsi" w:cstheme="minorHAnsi"/>
        </w:rPr>
        <w:t xml:space="preserve"> duplication. </w:t>
      </w:r>
      <w:r w:rsidR="00197CEE" w:rsidRPr="002F5B2C">
        <w:rPr>
          <w:rFonts w:asciiTheme="minorHAnsi" w:hAnsiTheme="minorHAnsi" w:cstheme="minorHAnsi"/>
        </w:rPr>
        <w:t xml:space="preserve">Notwithstanding that the </w:t>
      </w:r>
      <w:r w:rsidR="00170DB3">
        <w:rPr>
          <w:rFonts w:asciiTheme="minorHAnsi" w:hAnsiTheme="minorHAnsi" w:cstheme="minorHAnsi"/>
        </w:rPr>
        <w:t>V</w:t>
      </w:r>
      <w:r w:rsidR="00197CEE" w:rsidRPr="002F5B2C">
        <w:rPr>
          <w:rFonts w:asciiTheme="minorHAnsi" w:hAnsiTheme="minorHAnsi" w:cstheme="minorHAnsi"/>
        </w:rPr>
        <w:t xml:space="preserve">TTC is voluntary, the </w:t>
      </w:r>
      <w:r w:rsidR="00197CEE" w:rsidRPr="008C1BB4">
        <w:rPr>
          <w:rFonts w:asciiTheme="minorHAnsi" w:hAnsiTheme="minorHAnsi" w:cstheme="minorHAnsi"/>
        </w:rPr>
        <w:t>Government expects all responsible businesses operating in</w:t>
      </w:r>
      <w:r w:rsidR="00197CEE" w:rsidRPr="007E5AC3">
        <w:rPr>
          <w:rFonts w:asciiTheme="minorHAnsi" w:hAnsiTheme="minorHAnsi" w:cstheme="minorHAnsi"/>
        </w:rPr>
        <w:t xml:space="preserve"> Australia to adopt it.</w:t>
      </w:r>
      <w:r w:rsidR="00197CEE" w:rsidRPr="002F5B2C">
        <w:rPr>
          <w:rFonts w:asciiTheme="minorHAnsi" w:hAnsiTheme="minorHAnsi" w:cstheme="minorHAnsi"/>
        </w:rPr>
        <w:t> </w:t>
      </w:r>
    </w:p>
    <w:p w14:paraId="42B3B5C7" w14:textId="77777777" w:rsidR="00976219" w:rsidRDefault="00976219" w:rsidP="00BC1534">
      <w:pPr>
        <w:pStyle w:val="OutlineNumbered1"/>
        <w:numPr>
          <w:ilvl w:val="0"/>
          <w:numId w:val="0"/>
        </w:numPr>
        <w:spacing w:after="0"/>
        <w:jc w:val="left"/>
        <w:rPr>
          <w:rFonts w:asciiTheme="minorHAnsi" w:hAnsiTheme="minorHAnsi" w:cstheme="minorHAnsi"/>
        </w:rPr>
      </w:pPr>
    </w:p>
    <w:p w14:paraId="43506C37" w14:textId="11339ED9" w:rsidR="00BC1534" w:rsidRDefault="00A86222" w:rsidP="00BC1534">
      <w:pPr>
        <w:pStyle w:val="OutlineNumbered1"/>
        <w:numPr>
          <w:ilvl w:val="0"/>
          <w:numId w:val="0"/>
        </w:numPr>
        <w:spacing w:after="0"/>
        <w:jc w:val="left"/>
        <w:rPr>
          <w:rFonts w:asciiTheme="minorHAnsi" w:hAnsiTheme="minorHAnsi" w:cstheme="minorBidi"/>
        </w:rPr>
      </w:pPr>
      <w:r w:rsidRPr="16F25384">
        <w:rPr>
          <w:rFonts w:asciiTheme="minorHAnsi" w:hAnsiTheme="minorHAnsi" w:cstheme="minorBidi"/>
        </w:rPr>
        <w:t xml:space="preserve">The </w:t>
      </w:r>
      <w:r w:rsidR="00614E72" w:rsidRPr="16F25384">
        <w:rPr>
          <w:rFonts w:asciiTheme="minorHAnsi" w:hAnsiTheme="minorHAnsi" w:cstheme="minorBidi"/>
        </w:rPr>
        <w:t>V</w:t>
      </w:r>
      <w:r w:rsidRPr="16F25384">
        <w:rPr>
          <w:rFonts w:asciiTheme="minorHAnsi" w:hAnsiTheme="minorHAnsi" w:cstheme="minorBidi"/>
        </w:rPr>
        <w:t xml:space="preserve">TTC </w:t>
      </w:r>
      <w:r w:rsidR="00DE4861" w:rsidRPr="16F25384">
        <w:rPr>
          <w:rFonts w:asciiTheme="minorHAnsi" w:hAnsiTheme="minorHAnsi" w:cstheme="minorBidi"/>
        </w:rPr>
        <w:t>encourages</w:t>
      </w:r>
      <w:r w:rsidRPr="16F25384">
        <w:rPr>
          <w:rFonts w:asciiTheme="minorHAnsi" w:hAnsiTheme="minorHAnsi" w:cstheme="minorBidi"/>
        </w:rPr>
        <w:t xml:space="preserve"> taxpayers</w:t>
      </w:r>
      <w:r w:rsidR="006A1BE3" w:rsidRPr="16F25384">
        <w:rPr>
          <w:rFonts w:asciiTheme="minorHAnsi" w:hAnsiTheme="minorHAnsi" w:cstheme="minorBidi"/>
        </w:rPr>
        <w:t xml:space="preserve"> to </w:t>
      </w:r>
      <w:r w:rsidR="00EA7668" w:rsidRPr="16F25384">
        <w:rPr>
          <w:rFonts w:asciiTheme="minorHAnsi" w:hAnsiTheme="minorHAnsi" w:cstheme="minorBidi"/>
        </w:rPr>
        <w:t xml:space="preserve">publicly disclose information </w:t>
      </w:r>
      <w:r w:rsidR="002D4638" w:rsidRPr="16F25384">
        <w:rPr>
          <w:rFonts w:asciiTheme="minorHAnsi" w:hAnsiTheme="minorHAnsi" w:cstheme="minorBidi"/>
        </w:rPr>
        <w:t>regarding</w:t>
      </w:r>
      <w:r w:rsidR="00EA7668" w:rsidRPr="16F25384">
        <w:rPr>
          <w:rFonts w:asciiTheme="minorHAnsi" w:hAnsiTheme="minorHAnsi" w:cstheme="minorBidi"/>
        </w:rPr>
        <w:t xml:space="preserve"> their tax affairs to </w:t>
      </w:r>
      <w:r w:rsidR="00976219" w:rsidRPr="16F25384">
        <w:rPr>
          <w:rFonts w:asciiTheme="minorHAnsi" w:hAnsiTheme="minorHAnsi" w:cstheme="minorBidi"/>
        </w:rPr>
        <w:t>promote community confidence</w:t>
      </w:r>
      <w:r w:rsidR="00430C46" w:rsidRPr="16F25384">
        <w:rPr>
          <w:rFonts w:asciiTheme="minorHAnsi" w:hAnsiTheme="minorHAnsi" w:cstheme="minorBidi"/>
        </w:rPr>
        <w:t xml:space="preserve"> that</w:t>
      </w:r>
      <w:r w:rsidR="00B409F9" w:rsidRPr="16F25384">
        <w:rPr>
          <w:rFonts w:asciiTheme="minorHAnsi" w:hAnsiTheme="minorHAnsi" w:cstheme="minorBidi"/>
        </w:rPr>
        <w:t xml:space="preserve"> they are paying their fair share of tax</w:t>
      </w:r>
      <w:r w:rsidR="00976219" w:rsidRPr="16F25384">
        <w:rPr>
          <w:rFonts w:asciiTheme="minorHAnsi" w:hAnsiTheme="minorHAnsi" w:cstheme="minorBidi"/>
        </w:rPr>
        <w:t xml:space="preserve"> and not engaging in aggressive tax avoidance behaviours. The </w:t>
      </w:r>
      <w:r w:rsidR="00170DB3" w:rsidRPr="16F25384">
        <w:rPr>
          <w:rFonts w:asciiTheme="minorHAnsi" w:hAnsiTheme="minorHAnsi" w:cstheme="minorBidi"/>
        </w:rPr>
        <w:t>V</w:t>
      </w:r>
      <w:r w:rsidR="00976219" w:rsidRPr="16F25384">
        <w:rPr>
          <w:rFonts w:asciiTheme="minorHAnsi" w:hAnsiTheme="minorHAnsi" w:cstheme="minorBidi"/>
        </w:rPr>
        <w:t xml:space="preserve">TTC </w:t>
      </w:r>
      <w:r w:rsidR="008F2C5E" w:rsidRPr="16F25384">
        <w:rPr>
          <w:rFonts w:asciiTheme="minorHAnsi" w:hAnsiTheme="minorHAnsi" w:cstheme="minorBidi"/>
        </w:rPr>
        <w:t xml:space="preserve">complements </w:t>
      </w:r>
      <w:r w:rsidR="00C146EC" w:rsidRPr="16F25384">
        <w:rPr>
          <w:rFonts w:asciiTheme="minorHAnsi" w:hAnsiTheme="minorHAnsi" w:cstheme="minorBidi"/>
        </w:rPr>
        <w:t>Australia’s</w:t>
      </w:r>
      <w:r w:rsidR="00B139D6" w:rsidRPr="16F25384">
        <w:rPr>
          <w:rFonts w:asciiTheme="minorHAnsi" w:hAnsiTheme="minorHAnsi" w:cstheme="minorBidi"/>
        </w:rPr>
        <w:t xml:space="preserve"> </w:t>
      </w:r>
      <w:r w:rsidR="00722A47" w:rsidRPr="16F25384">
        <w:rPr>
          <w:rFonts w:asciiTheme="minorHAnsi" w:hAnsiTheme="minorHAnsi" w:cstheme="minorBidi"/>
        </w:rPr>
        <w:t xml:space="preserve">mandatory </w:t>
      </w:r>
      <w:r w:rsidR="00B139D6" w:rsidRPr="16F25384">
        <w:rPr>
          <w:rFonts w:asciiTheme="minorHAnsi" w:hAnsiTheme="minorHAnsi" w:cstheme="minorBidi"/>
        </w:rPr>
        <w:t xml:space="preserve">public country-by-country </w:t>
      </w:r>
      <w:r w:rsidR="00A871C3" w:rsidRPr="16F25384">
        <w:rPr>
          <w:rFonts w:asciiTheme="minorHAnsi" w:hAnsiTheme="minorHAnsi" w:cstheme="minorBidi"/>
        </w:rPr>
        <w:t>reporting regim</w:t>
      </w:r>
      <w:r w:rsidR="005011CE" w:rsidRPr="16F25384">
        <w:rPr>
          <w:rFonts w:asciiTheme="minorHAnsi" w:hAnsiTheme="minorHAnsi" w:cstheme="minorBidi"/>
        </w:rPr>
        <w:t>e</w:t>
      </w:r>
      <w:r w:rsidR="00722A47" w:rsidRPr="16F25384">
        <w:rPr>
          <w:rFonts w:asciiTheme="minorHAnsi" w:hAnsiTheme="minorHAnsi" w:cstheme="minorBidi"/>
        </w:rPr>
        <w:t xml:space="preserve"> (public CbCr)</w:t>
      </w:r>
      <w:r w:rsidR="00C01CEF" w:rsidRPr="16F25384">
        <w:rPr>
          <w:rFonts w:asciiTheme="minorHAnsi" w:hAnsiTheme="minorHAnsi" w:cstheme="minorBidi"/>
        </w:rPr>
        <w:t xml:space="preserve"> </w:t>
      </w:r>
      <w:r w:rsidR="4A9FA369" w:rsidRPr="16F25384">
        <w:rPr>
          <w:rFonts w:asciiTheme="minorHAnsi" w:hAnsiTheme="minorHAnsi" w:cstheme="minorBidi"/>
        </w:rPr>
        <w:t>as</w:t>
      </w:r>
      <w:r w:rsidR="00FA5DC3" w:rsidRPr="16F25384">
        <w:rPr>
          <w:rFonts w:asciiTheme="minorHAnsi" w:hAnsiTheme="minorHAnsi" w:cstheme="minorBidi"/>
        </w:rPr>
        <w:t xml:space="preserve"> </w:t>
      </w:r>
      <w:r w:rsidR="4A9FA369" w:rsidRPr="65BABA3F">
        <w:rPr>
          <w:rFonts w:asciiTheme="minorHAnsi" w:hAnsiTheme="minorHAnsi" w:cstheme="minorBidi"/>
        </w:rPr>
        <w:t>well as providing</w:t>
      </w:r>
      <w:r w:rsidR="00FA5DC3" w:rsidRPr="65BABA3F">
        <w:rPr>
          <w:rFonts w:asciiTheme="minorHAnsi" w:hAnsiTheme="minorHAnsi" w:cstheme="minorBidi"/>
        </w:rPr>
        <w:t xml:space="preserve"> </w:t>
      </w:r>
      <w:r w:rsidR="00FA5DC3" w:rsidRPr="16F25384">
        <w:rPr>
          <w:rFonts w:asciiTheme="minorHAnsi" w:hAnsiTheme="minorHAnsi" w:cstheme="minorBidi"/>
        </w:rPr>
        <w:t xml:space="preserve">an avenue for taxpayers who are not subject to </w:t>
      </w:r>
      <w:r w:rsidR="00337EBD" w:rsidRPr="16F25384">
        <w:rPr>
          <w:rFonts w:asciiTheme="minorHAnsi" w:hAnsiTheme="minorHAnsi" w:cstheme="minorBidi"/>
        </w:rPr>
        <w:t xml:space="preserve">the </w:t>
      </w:r>
      <w:r w:rsidR="00FA5DC3" w:rsidRPr="16F25384">
        <w:rPr>
          <w:rFonts w:asciiTheme="minorHAnsi" w:hAnsiTheme="minorHAnsi" w:cstheme="minorBidi"/>
        </w:rPr>
        <w:t>public CbCr t</w:t>
      </w:r>
      <w:r w:rsidR="00D16338" w:rsidRPr="16F25384">
        <w:rPr>
          <w:rFonts w:asciiTheme="minorHAnsi" w:hAnsiTheme="minorHAnsi" w:cstheme="minorBidi"/>
        </w:rPr>
        <w:t>o report on their tax affairs</w:t>
      </w:r>
      <w:r w:rsidR="009E2938" w:rsidRPr="16F25384">
        <w:rPr>
          <w:rFonts w:asciiTheme="minorHAnsi" w:hAnsiTheme="minorHAnsi" w:cstheme="minorBidi"/>
        </w:rPr>
        <w:t>.</w:t>
      </w:r>
      <w:r w:rsidR="0044437D" w:rsidRPr="16F25384">
        <w:rPr>
          <w:rFonts w:asciiTheme="minorHAnsi" w:hAnsiTheme="minorHAnsi" w:cstheme="minorBidi"/>
        </w:rPr>
        <w:t xml:space="preserve"> </w:t>
      </w:r>
    </w:p>
    <w:p w14:paraId="655909AA" w14:textId="0908CC80" w:rsidR="00F340BD" w:rsidRDefault="00F340BD" w:rsidP="00F340BD">
      <w:pPr>
        <w:pStyle w:val="Heading2"/>
      </w:pPr>
      <w:bookmarkStart w:id="13" w:name="_Toc199855159"/>
      <w:r>
        <w:t xml:space="preserve">Objectives of the </w:t>
      </w:r>
      <w:r w:rsidR="00614E72">
        <w:t>V</w:t>
      </w:r>
      <w:r>
        <w:t>TTC</w:t>
      </w:r>
      <w:bookmarkEnd w:id="13"/>
    </w:p>
    <w:p w14:paraId="23D4B4D9" w14:textId="5B9C7FCF" w:rsidR="00F340BD" w:rsidRDefault="00F340BD" w:rsidP="00F340BD">
      <w:pPr>
        <w:spacing w:before="0"/>
      </w:pPr>
      <w:r>
        <w:t xml:space="preserve">The </w:t>
      </w:r>
      <w:r w:rsidR="00614E72">
        <w:t>V</w:t>
      </w:r>
      <w:r>
        <w:t>TTC has been designed to:</w:t>
      </w:r>
    </w:p>
    <w:p w14:paraId="322AA680" w14:textId="77777777" w:rsidR="00F340BD" w:rsidRDefault="00F340BD" w:rsidP="00F340BD">
      <w:pPr>
        <w:pStyle w:val="Bullet"/>
        <w:spacing w:after="0"/>
      </w:pPr>
      <w:r>
        <w:t>Reinforce Australia’s culture of voluntary compliance and leadership in tax transparency, promoting community confidence in the tax system, in alignment with global developments and broader ESG reporting;</w:t>
      </w:r>
    </w:p>
    <w:p w14:paraId="294242C9" w14:textId="77777777" w:rsidR="00F340BD" w:rsidRDefault="00F340BD" w:rsidP="00F340BD">
      <w:pPr>
        <w:pStyle w:val="Bullet"/>
        <w:spacing w:after="0"/>
      </w:pPr>
      <w:r>
        <w:t xml:space="preserve">Encourage all businesses to adopt a risk-based approach to their tax affairs; </w:t>
      </w:r>
    </w:p>
    <w:p w14:paraId="6E08DB07" w14:textId="77777777" w:rsidR="00F340BD" w:rsidRDefault="00F340BD" w:rsidP="00F340BD">
      <w:pPr>
        <w:pStyle w:val="Bullet"/>
        <w:spacing w:after="0"/>
      </w:pPr>
      <w:r>
        <w:t xml:space="preserve">Enhance community understanding of business tax compliance by providing businesses with the opportunity to explain their tax affairs; </w:t>
      </w:r>
    </w:p>
    <w:p w14:paraId="64C79CB8" w14:textId="69DD51BA" w:rsidR="00F340BD" w:rsidRDefault="00F340BD" w:rsidP="00F340BD">
      <w:pPr>
        <w:pStyle w:val="Bullet"/>
        <w:spacing w:after="0"/>
      </w:pPr>
      <w:r>
        <w:t xml:space="preserve">Provide a </w:t>
      </w:r>
      <w:r w:rsidR="00990045">
        <w:t xml:space="preserve">framework </w:t>
      </w:r>
      <w:r>
        <w:t xml:space="preserve">for entities that are not in scope of mandatory transparency regimes to report information about their tax affairs; and </w:t>
      </w:r>
    </w:p>
    <w:p w14:paraId="58D41E60" w14:textId="77777777" w:rsidR="00F340BD" w:rsidRPr="00A654C9" w:rsidRDefault="00F340BD" w:rsidP="00F340BD">
      <w:pPr>
        <w:pStyle w:val="Bullet"/>
        <w:spacing w:after="0"/>
      </w:pPr>
      <w:r>
        <w:t xml:space="preserve">Provide access and visibility for the public, to view and compare the tax affairs of companies. </w:t>
      </w:r>
    </w:p>
    <w:p w14:paraId="5C9E396A" w14:textId="3CFA45D6" w:rsidR="00F340BD" w:rsidRPr="00C12DA8" w:rsidRDefault="00F340BD" w:rsidP="00F340BD">
      <w:pPr>
        <w:pStyle w:val="Heading2"/>
      </w:pPr>
      <w:bookmarkStart w:id="14" w:name="_Toc199855160"/>
      <w:r w:rsidRPr="00C12DA8">
        <w:t xml:space="preserve">Why adopt the </w:t>
      </w:r>
      <w:r w:rsidR="005841B6">
        <w:t>V</w:t>
      </w:r>
      <w:r w:rsidRPr="00C12DA8">
        <w:t>TTC?</w:t>
      </w:r>
      <w:bookmarkEnd w:id="14"/>
    </w:p>
    <w:p w14:paraId="3D0D90F8" w14:textId="26C2A900" w:rsidR="00F340BD" w:rsidRPr="002F5B2C" w:rsidRDefault="00F340BD" w:rsidP="00F340BD">
      <w:pPr>
        <w:pStyle w:val="OutlineNumbered1"/>
        <w:numPr>
          <w:ilvl w:val="0"/>
          <w:numId w:val="0"/>
        </w:numPr>
        <w:jc w:val="left"/>
        <w:rPr>
          <w:rFonts w:asciiTheme="minorHAnsi" w:hAnsiTheme="minorHAnsi" w:cstheme="minorHAnsi"/>
        </w:rPr>
      </w:pPr>
      <w:r w:rsidRPr="002F5B2C">
        <w:rPr>
          <w:rFonts w:asciiTheme="minorHAnsi" w:hAnsiTheme="minorHAnsi" w:cstheme="minorHAnsi"/>
        </w:rPr>
        <w:t>Increasing transparency about the tax affairs of businesses operating in Australia provides benefits to business</w:t>
      </w:r>
      <w:r w:rsidR="00AF5E57">
        <w:rPr>
          <w:rFonts w:asciiTheme="minorHAnsi" w:hAnsiTheme="minorHAnsi" w:cstheme="minorHAnsi"/>
        </w:rPr>
        <w:t xml:space="preserve"> </w:t>
      </w:r>
      <w:r w:rsidRPr="002F5B2C">
        <w:rPr>
          <w:rFonts w:asciiTheme="minorHAnsi" w:hAnsiTheme="minorHAnsi" w:cstheme="minorHAnsi"/>
        </w:rPr>
        <w:t xml:space="preserve">and the wider community. These benefits include: </w:t>
      </w:r>
    </w:p>
    <w:p w14:paraId="4C7F3E6E" w14:textId="77777777" w:rsidR="00F340BD" w:rsidRDefault="00F340BD" w:rsidP="00F340BD">
      <w:pPr>
        <w:pStyle w:val="Bullet"/>
        <w:spacing w:before="0"/>
      </w:pPr>
      <w:r>
        <w:t>Allowing businesses to provide a comprehensive explanation of their tax affairs, minimising any tax misunderstandings;</w:t>
      </w:r>
    </w:p>
    <w:p w14:paraId="488ACE9D" w14:textId="6A95426E" w:rsidR="00F340BD" w:rsidRPr="008607B8" w:rsidRDefault="00F340BD" w:rsidP="00F340BD">
      <w:pPr>
        <w:pStyle w:val="Bullet"/>
      </w:pPr>
      <w:r w:rsidRPr="008607B8">
        <w:t xml:space="preserve">Building public trust via good governance on tax matters, and </w:t>
      </w:r>
      <w:r w:rsidR="00C948C3">
        <w:t xml:space="preserve">providing objective evidence to </w:t>
      </w:r>
      <w:r>
        <w:t>demonstrat</w:t>
      </w:r>
      <w:r w:rsidR="00C948C3">
        <w:t>e</w:t>
      </w:r>
      <w:r>
        <w:t xml:space="preserve"> </w:t>
      </w:r>
      <w:r w:rsidRPr="008607B8">
        <w:t>a commitment to responsible and ethical tax practices; </w:t>
      </w:r>
      <w:r>
        <w:t>and</w:t>
      </w:r>
    </w:p>
    <w:p w14:paraId="6448B3A0" w14:textId="04FEFA9D" w:rsidR="00F340BD" w:rsidRPr="00F340BD" w:rsidRDefault="00F340BD" w:rsidP="00F340BD">
      <w:pPr>
        <w:pStyle w:val="Bullet"/>
        <w:spacing w:after="0"/>
      </w:pPr>
      <w:r w:rsidRPr="008607B8">
        <w:t>Strengthening investor confidence</w:t>
      </w:r>
      <w:r w:rsidR="00483831">
        <w:t xml:space="preserve"> by reducing information </w:t>
      </w:r>
      <w:r w:rsidR="004A5CA6">
        <w:t>asymmetry</w:t>
      </w:r>
      <w:r w:rsidRPr="008607B8">
        <w:t xml:space="preserve"> to attract and retain investors</w:t>
      </w:r>
      <w:r>
        <w:t>.</w:t>
      </w:r>
    </w:p>
    <w:p w14:paraId="57AE4C8B" w14:textId="4BA74C97" w:rsidR="00A5543F" w:rsidRPr="00284859" w:rsidRDefault="00A5543F" w:rsidP="00A5543F">
      <w:pPr>
        <w:pStyle w:val="Heading2"/>
        <w:spacing w:before="240"/>
      </w:pPr>
      <w:bookmarkStart w:id="15" w:name="_Toc199855161"/>
      <w:r w:rsidRPr="00284859">
        <w:lastRenderedPageBreak/>
        <w:t xml:space="preserve">New </w:t>
      </w:r>
      <w:r w:rsidR="005841B6">
        <w:t>V</w:t>
      </w:r>
      <w:r w:rsidRPr="00284859">
        <w:t>TTC participants</w:t>
      </w:r>
      <w:bookmarkEnd w:id="15"/>
      <w:r w:rsidRPr="00284859">
        <w:t xml:space="preserve"> </w:t>
      </w:r>
    </w:p>
    <w:p w14:paraId="6EEB1A2C" w14:textId="7480EB52" w:rsidR="00A5543F" w:rsidRDefault="00A5543F" w:rsidP="00AA4E97">
      <w:pPr>
        <w:spacing w:before="0" w:after="0"/>
      </w:pPr>
      <w:r w:rsidRPr="00134ACC">
        <w:t xml:space="preserve">The Board of Taxation maintains a register of businesses that have adopted the </w:t>
      </w:r>
      <w:r w:rsidR="00105C9E">
        <w:t>V</w:t>
      </w:r>
      <w:r w:rsidRPr="00134ACC">
        <w:t xml:space="preserve">TTC on its </w:t>
      </w:r>
      <w:hyperlink r:id="rId26" w:tgtFrame="_blank" w:history="1">
        <w:r w:rsidRPr="00134ACC">
          <w:rPr>
            <w:rStyle w:val="Hyperlink"/>
            <w:rFonts w:asciiTheme="minorHAnsi" w:hAnsiTheme="minorHAnsi" w:cstheme="minorHAnsi"/>
          </w:rPr>
          <w:t>website</w:t>
        </w:r>
      </w:hyperlink>
      <w:r w:rsidRPr="00134ACC">
        <w:t xml:space="preserve">. Businesses that intend to adopt the </w:t>
      </w:r>
      <w:r w:rsidR="005841B6">
        <w:t>V</w:t>
      </w:r>
      <w:r w:rsidRPr="00134ACC">
        <w:t xml:space="preserve">TTC should notify the Board by email to </w:t>
      </w:r>
      <w:hyperlink r:id="rId27" w:tgtFrame="_blank" w:history="1">
        <w:r w:rsidRPr="00134ACC">
          <w:rPr>
            <w:rStyle w:val="Hyperlink"/>
            <w:rFonts w:asciiTheme="minorHAnsi" w:hAnsiTheme="minorHAnsi" w:cstheme="minorHAnsi"/>
          </w:rPr>
          <w:t>taxboard@treasury.gov.au</w:t>
        </w:r>
      </w:hyperlink>
      <w:r w:rsidR="002377E4">
        <w:t xml:space="preserve"> providing the below information:</w:t>
      </w:r>
      <w:r w:rsidRPr="00134ACC">
        <w:t>  </w:t>
      </w:r>
    </w:p>
    <w:p w14:paraId="74A79F35" w14:textId="56843FB8" w:rsidR="00D16EF2" w:rsidRDefault="00E71093" w:rsidP="00E71093">
      <w:pPr>
        <w:pStyle w:val="Bullet"/>
      </w:pPr>
      <w:r>
        <w:t xml:space="preserve">Name of </w:t>
      </w:r>
      <w:r w:rsidR="007C5FD6">
        <w:t xml:space="preserve">the </w:t>
      </w:r>
      <w:r w:rsidR="001F5BF8">
        <w:t>business</w:t>
      </w:r>
      <w:r>
        <w:t xml:space="preserve">; </w:t>
      </w:r>
    </w:p>
    <w:p w14:paraId="17691691" w14:textId="59753F81" w:rsidR="00E71093" w:rsidRDefault="00D16EF2" w:rsidP="00E71093">
      <w:pPr>
        <w:pStyle w:val="Bullet"/>
      </w:pPr>
      <w:r>
        <w:t xml:space="preserve">Whether the business is a ‘Public CbC reporter’ or a ‘Non-public CbC reporter’ for </w:t>
      </w:r>
      <w:r w:rsidR="0098456A">
        <w:t>V</w:t>
      </w:r>
      <w:r>
        <w:t xml:space="preserve">TTC purposes (See </w:t>
      </w:r>
      <w:hyperlink w:anchor="_Appendix_C_–" w:history="1">
        <w:r w:rsidRPr="007523ED">
          <w:rPr>
            <w:rStyle w:val="Hyperlink"/>
            <w:b/>
            <w:bCs/>
          </w:rPr>
          <w:t>Appendix C – Glossary</w:t>
        </w:r>
      </w:hyperlink>
      <w:r>
        <w:t xml:space="preserve">); </w:t>
      </w:r>
      <w:r w:rsidR="0016376C">
        <w:t xml:space="preserve">and </w:t>
      </w:r>
    </w:p>
    <w:p w14:paraId="1C8CA6A6" w14:textId="74730836" w:rsidR="00E71093" w:rsidRDefault="0016376C" w:rsidP="00E71093">
      <w:pPr>
        <w:pStyle w:val="Bullet"/>
      </w:pPr>
      <w:r>
        <w:t>An indication of the first</w:t>
      </w:r>
      <w:r w:rsidR="003B1C20">
        <w:t xml:space="preserve"> income year </w:t>
      </w:r>
      <w:r>
        <w:t xml:space="preserve">in </w:t>
      </w:r>
      <w:r w:rsidR="003B1C20">
        <w:t xml:space="preserve">which </w:t>
      </w:r>
      <w:r w:rsidR="007C5FD6">
        <w:t>the business</w:t>
      </w:r>
      <w:r w:rsidR="00CA1F30">
        <w:t xml:space="preserve"> intend</w:t>
      </w:r>
      <w:r w:rsidR="007C5FD6">
        <w:t>s</w:t>
      </w:r>
      <w:r w:rsidR="00CA1F30">
        <w:t xml:space="preserve"> to publish a </w:t>
      </w:r>
      <w:r w:rsidR="0098456A">
        <w:t>V</w:t>
      </w:r>
      <w:r w:rsidR="00CA1F30">
        <w:t xml:space="preserve">TTC report. </w:t>
      </w:r>
    </w:p>
    <w:p w14:paraId="74096DBB" w14:textId="77C93645" w:rsidR="00EE5E5D" w:rsidRDefault="00126B08" w:rsidP="00126B08">
      <w:pPr>
        <w:pStyle w:val="Bullet"/>
        <w:numPr>
          <w:ilvl w:val="0"/>
          <w:numId w:val="0"/>
        </w:numPr>
      </w:pPr>
      <w:r>
        <w:t>T</w:t>
      </w:r>
      <w:r w:rsidR="00192834">
        <w:t xml:space="preserve">he Australian Taxation Office (ATO) facilitates the </w:t>
      </w:r>
      <w:r w:rsidR="000B6A15">
        <w:t>V</w:t>
      </w:r>
      <w:r w:rsidR="00192834">
        <w:t xml:space="preserve">TTC by hosting a centralised database of links to published </w:t>
      </w:r>
      <w:r w:rsidR="0098456A">
        <w:t>V</w:t>
      </w:r>
      <w:r w:rsidR="00192834">
        <w:t xml:space="preserve">TTC reports. </w:t>
      </w:r>
      <w:r w:rsidR="0011375B">
        <w:t xml:space="preserve">Following publication of the </w:t>
      </w:r>
      <w:r w:rsidR="000B6A15">
        <w:t>V</w:t>
      </w:r>
      <w:r w:rsidR="0011375B">
        <w:t>TTC, b</w:t>
      </w:r>
      <w:r w:rsidR="009254D6">
        <w:t xml:space="preserve">usinesses </w:t>
      </w:r>
      <w:r w:rsidR="004E2AB8">
        <w:t>should</w:t>
      </w:r>
      <w:r w:rsidR="005D0ABA">
        <w:t xml:space="preserve"> </w:t>
      </w:r>
      <w:r w:rsidR="00385FD7">
        <w:t>notify</w:t>
      </w:r>
      <w:r w:rsidR="005D0ABA">
        <w:t xml:space="preserve"> the ATO by emailing </w:t>
      </w:r>
      <w:hyperlink r:id="rId28" w:history="1">
        <w:r w:rsidR="0090082E" w:rsidRPr="00BB1DBA">
          <w:rPr>
            <w:rStyle w:val="Hyperlink"/>
          </w:rPr>
          <w:t>ttc@ato.gov.au</w:t>
        </w:r>
      </w:hyperlink>
      <w:r w:rsidR="0090082E">
        <w:t xml:space="preserve"> and following the directions on its </w:t>
      </w:r>
      <w:hyperlink r:id="rId29" w:history="1">
        <w:r w:rsidR="0090082E" w:rsidRPr="0090082E">
          <w:rPr>
            <w:rStyle w:val="Hyperlink"/>
          </w:rPr>
          <w:t>website</w:t>
        </w:r>
      </w:hyperlink>
      <w:r w:rsidR="0090082E">
        <w:t>.</w:t>
      </w:r>
    </w:p>
    <w:p w14:paraId="013B1BD3" w14:textId="77777777" w:rsidR="00F340BD" w:rsidRDefault="00F340BD" w:rsidP="00F340BD">
      <w:pPr>
        <w:pStyle w:val="Heading2"/>
      </w:pPr>
      <w:bookmarkStart w:id="16" w:name="_Toc199855162"/>
      <w:r>
        <w:t>Who should report?</w:t>
      </w:r>
      <w:bookmarkEnd w:id="16"/>
    </w:p>
    <w:p w14:paraId="53A71F07" w14:textId="0B07373A" w:rsidR="00F340BD" w:rsidRDefault="00F340BD" w:rsidP="00F340BD">
      <w:pPr>
        <w:spacing w:before="0"/>
      </w:pPr>
      <w:r>
        <w:t>T</w:t>
      </w:r>
      <w:r w:rsidRPr="00CF427D">
        <w:t xml:space="preserve">he </w:t>
      </w:r>
      <w:r w:rsidR="00170DB3">
        <w:t>V</w:t>
      </w:r>
      <w:r w:rsidRPr="00CF427D">
        <w:t xml:space="preserve">TTC </w:t>
      </w:r>
      <w:r>
        <w:t xml:space="preserve">is </w:t>
      </w:r>
      <w:r w:rsidRPr="00CF427D">
        <w:t xml:space="preserve">targeted </w:t>
      </w:r>
      <w:r>
        <w:t>at</w:t>
      </w:r>
      <w:r w:rsidRPr="00CF427D">
        <w:t xml:space="preserve"> larger businesses</w:t>
      </w:r>
      <w:r>
        <w:t xml:space="preserve"> as m</w:t>
      </w:r>
      <w:r w:rsidRPr="00CF427D">
        <w:t>ost of the public interest is focussed on the tax affairs of large business, including both Australian</w:t>
      </w:r>
      <w:r>
        <w:t xml:space="preserve"> </w:t>
      </w:r>
      <w:r w:rsidRPr="00CF427D">
        <w:t>headquartered businesses and foreign multinational</w:t>
      </w:r>
      <w:r>
        <w:t>s</w:t>
      </w:r>
      <w:r w:rsidRPr="00170DB3">
        <w:t xml:space="preserve">. However, all businesses are encouraged to adopt the </w:t>
      </w:r>
      <w:r w:rsidR="00170DB3" w:rsidRPr="00170DB3">
        <w:t>V</w:t>
      </w:r>
      <w:r w:rsidRPr="00170DB3">
        <w:t>TTC to demonstrate their commitment to responsible tax practices.</w:t>
      </w:r>
      <w:r>
        <w:t xml:space="preserve"> </w:t>
      </w:r>
    </w:p>
    <w:p w14:paraId="1B990349" w14:textId="30F7BDFB" w:rsidR="00C472C3" w:rsidRDefault="00C472C3" w:rsidP="00F340BD">
      <w:pPr>
        <w:spacing w:before="0"/>
      </w:pPr>
      <w:r>
        <w:t xml:space="preserve">The </w:t>
      </w:r>
      <w:r w:rsidR="0098456A">
        <w:t>V</w:t>
      </w:r>
      <w:r>
        <w:t>TTC offers flexi</w:t>
      </w:r>
      <w:r w:rsidR="0002249E">
        <w:t xml:space="preserve">bility </w:t>
      </w:r>
      <w:r w:rsidR="00A21D71">
        <w:t xml:space="preserve">on </w:t>
      </w:r>
      <w:r w:rsidR="00A061AA">
        <w:t>grouping of entities and formatting, aimed at reducing compliance costs:</w:t>
      </w:r>
    </w:p>
    <w:p w14:paraId="4D5E4448" w14:textId="4BEB4E87" w:rsidR="00F340BD" w:rsidRDefault="00F340BD" w:rsidP="00284859">
      <w:pPr>
        <w:pStyle w:val="Bullet"/>
      </w:pPr>
      <w:r>
        <w:t xml:space="preserve">There may be a number of entities within an accounting consolidated group which are subject to the </w:t>
      </w:r>
      <w:r w:rsidR="0098456A">
        <w:t>V</w:t>
      </w:r>
      <w:r>
        <w:t xml:space="preserve">TTC. The </w:t>
      </w:r>
      <w:r w:rsidR="0098456A">
        <w:t>V</w:t>
      </w:r>
      <w:r>
        <w:t xml:space="preserve">TTC does not specify the means by which these disclosures should occur. Therefore, groups can choose the level of aggregation or grouping of entities for disclosures under the </w:t>
      </w:r>
      <w:r w:rsidR="0098456A">
        <w:t>V</w:t>
      </w:r>
      <w:r>
        <w:t xml:space="preserve">TTC and which entity is the discloser(s). For example, groups can choose to produce one disclosure covering all relevant entities, individual disclosures by entity or aggregations of entities. </w:t>
      </w:r>
    </w:p>
    <w:p w14:paraId="60D0F137" w14:textId="22119E1E" w:rsidR="00F340BD" w:rsidRPr="00A5543F" w:rsidRDefault="00F340BD" w:rsidP="00284859">
      <w:pPr>
        <w:pStyle w:val="Bullet"/>
      </w:pPr>
      <w:r w:rsidRPr="00A80E80">
        <w:t xml:space="preserve">Similarly, some taxpaying entities (such as multiple entry consolidated (MEC) groups) may produce more than one set of financial reports for different parts of the group, and this may impact the way in which they choose to make their </w:t>
      </w:r>
      <w:r w:rsidR="0098456A">
        <w:t>V</w:t>
      </w:r>
      <w:r w:rsidRPr="00A80E80">
        <w:t xml:space="preserve">TTC disclosures. Groups should produce their disclosures in a manner which best matches the natural accounting and reporting systems of that organisation to mitigate compliance costs in adoption of the </w:t>
      </w:r>
      <w:r w:rsidR="0098456A">
        <w:t>V</w:t>
      </w:r>
      <w:r w:rsidRPr="00A80E80">
        <w:t>TTC, whilst ensuring that the disclosures are presented in a way that is relevant and easily understood by users. </w:t>
      </w:r>
    </w:p>
    <w:p w14:paraId="5E4BBE36" w14:textId="370758B3" w:rsidR="00BB4866" w:rsidRDefault="00D93BDB" w:rsidP="00BE6D8C">
      <w:pPr>
        <w:pStyle w:val="Heading2"/>
      </w:pPr>
      <w:bookmarkStart w:id="17" w:name="_Toc199855163"/>
      <w:r>
        <w:t xml:space="preserve">Overview of </w:t>
      </w:r>
      <w:r w:rsidR="0098456A">
        <w:t>V</w:t>
      </w:r>
      <w:r w:rsidR="004E0748">
        <w:t>TTC redesign</w:t>
      </w:r>
      <w:bookmarkEnd w:id="17"/>
      <w:r w:rsidR="00D3128B">
        <w:t xml:space="preserve"> </w:t>
      </w:r>
    </w:p>
    <w:p w14:paraId="1ACD1641" w14:textId="786E7D66" w:rsidR="00BB4866" w:rsidRPr="00BB4866" w:rsidRDefault="00BB4866" w:rsidP="00D1437D">
      <w:pPr>
        <w:pStyle w:val="OutlineNumbered1"/>
        <w:numPr>
          <w:ilvl w:val="0"/>
          <w:numId w:val="0"/>
        </w:numPr>
        <w:spacing w:after="0"/>
        <w:jc w:val="left"/>
        <w:rPr>
          <w:rFonts w:asciiTheme="minorHAnsi" w:hAnsiTheme="minorHAnsi" w:cstheme="minorBidi"/>
        </w:rPr>
      </w:pPr>
      <w:r w:rsidRPr="2272C6D9">
        <w:rPr>
          <w:rFonts w:asciiTheme="minorHAnsi" w:hAnsiTheme="minorHAnsi" w:cstheme="minorBidi"/>
        </w:rPr>
        <w:t xml:space="preserve">The Australian and global tax transparency landscape has evolved significantly since 2016. With the commencement of </w:t>
      </w:r>
      <w:r w:rsidR="00834AEE" w:rsidRPr="2272C6D9">
        <w:rPr>
          <w:rFonts w:asciiTheme="minorHAnsi" w:hAnsiTheme="minorHAnsi" w:cstheme="minorBidi"/>
        </w:rPr>
        <w:t xml:space="preserve">the </w:t>
      </w:r>
      <w:r w:rsidR="00913B93" w:rsidRPr="2272C6D9">
        <w:rPr>
          <w:rFonts w:asciiTheme="minorHAnsi" w:hAnsiTheme="minorHAnsi" w:cstheme="minorBidi"/>
        </w:rPr>
        <w:t xml:space="preserve">public </w:t>
      </w:r>
      <w:r w:rsidRPr="2272C6D9">
        <w:rPr>
          <w:rFonts w:asciiTheme="minorHAnsi" w:hAnsiTheme="minorHAnsi" w:cstheme="minorBidi"/>
        </w:rPr>
        <w:t xml:space="preserve">CbCr in Australia, the </w:t>
      </w:r>
      <w:r w:rsidR="0098456A" w:rsidRPr="2272C6D9">
        <w:rPr>
          <w:rFonts w:asciiTheme="minorHAnsi" w:hAnsiTheme="minorHAnsi" w:cstheme="minorBidi"/>
        </w:rPr>
        <w:t>V</w:t>
      </w:r>
      <w:r w:rsidRPr="2272C6D9">
        <w:rPr>
          <w:rFonts w:asciiTheme="minorHAnsi" w:hAnsiTheme="minorHAnsi" w:cstheme="minorBidi"/>
        </w:rPr>
        <w:t xml:space="preserve">TTC has been </w:t>
      </w:r>
      <w:r w:rsidR="00250071" w:rsidRPr="2272C6D9">
        <w:rPr>
          <w:rFonts w:asciiTheme="minorHAnsi" w:hAnsiTheme="minorHAnsi" w:cstheme="minorBidi"/>
        </w:rPr>
        <w:t>updated</w:t>
      </w:r>
      <w:r w:rsidRPr="2272C6D9">
        <w:rPr>
          <w:rFonts w:asciiTheme="minorHAnsi" w:hAnsiTheme="minorHAnsi" w:cstheme="minorBidi"/>
        </w:rPr>
        <w:t xml:space="preserve"> and simplified to minimise </w:t>
      </w:r>
      <w:r w:rsidRPr="2272C6D9">
        <w:rPr>
          <w:rFonts w:asciiTheme="minorHAnsi" w:hAnsiTheme="minorHAnsi" w:cstheme="minorBidi"/>
        </w:rPr>
        <w:lastRenderedPageBreak/>
        <w:t xml:space="preserve">duplication with public tax transparency reporting frameworks. Following extensive stakeholder </w:t>
      </w:r>
      <w:r w:rsidR="00A82CB0" w:rsidRPr="2272C6D9">
        <w:rPr>
          <w:rFonts w:asciiTheme="minorHAnsi" w:hAnsiTheme="minorHAnsi" w:cstheme="minorBidi"/>
        </w:rPr>
        <w:t xml:space="preserve">consultation and </w:t>
      </w:r>
      <w:r w:rsidRPr="2272C6D9">
        <w:rPr>
          <w:rFonts w:asciiTheme="minorHAnsi" w:hAnsiTheme="minorHAnsi" w:cstheme="minorBidi"/>
        </w:rPr>
        <w:t>feedback, the following changes have been made:</w:t>
      </w:r>
    </w:p>
    <w:p w14:paraId="100C3726" w14:textId="41CDB3AE" w:rsidR="00885D76" w:rsidRPr="00BB4866" w:rsidRDefault="00D30D84" w:rsidP="008271D8">
      <w:pPr>
        <w:pStyle w:val="Bullet"/>
      </w:pPr>
      <w:r>
        <w:t>Separation</w:t>
      </w:r>
      <w:r w:rsidRPr="00BB4866">
        <w:t xml:space="preserve"> </w:t>
      </w:r>
      <w:r w:rsidR="00BB4866" w:rsidRPr="00BB4866">
        <w:t xml:space="preserve">of requirements under the </w:t>
      </w:r>
      <w:r w:rsidR="00B1559E">
        <w:t>V</w:t>
      </w:r>
      <w:r w:rsidR="00BB4866" w:rsidRPr="00BB4866">
        <w:t xml:space="preserve">TTC based on whether </w:t>
      </w:r>
      <w:r w:rsidR="00AB62E2">
        <w:t xml:space="preserve">or not </w:t>
      </w:r>
      <w:r w:rsidR="00701E64">
        <w:t>a business</w:t>
      </w:r>
      <w:r w:rsidR="00BB4866" w:rsidRPr="00BB4866">
        <w:t xml:space="preserve"> is a </w:t>
      </w:r>
      <w:r w:rsidR="00E72691">
        <w:t>‘</w:t>
      </w:r>
      <w:r w:rsidR="005F3057">
        <w:t xml:space="preserve">Public </w:t>
      </w:r>
      <w:r w:rsidR="00E72691">
        <w:t>CbC reporter’</w:t>
      </w:r>
      <w:r w:rsidR="52A705D6">
        <w:t xml:space="preserve"> for </w:t>
      </w:r>
      <w:r w:rsidR="00170DB3">
        <w:t>V</w:t>
      </w:r>
      <w:r w:rsidR="52A705D6">
        <w:t>TTC purposes</w:t>
      </w:r>
      <w:r w:rsidR="00BB4866" w:rsidRPr="00BB4866">
        <w:t xml:space="preserve">, to </w:t>
      </w:r>
      <w:r w:rsidR="00C22E0F">
        <w:t xml:space="preserve">achieve purposeful transparency by </w:t>
      </w:r>
      <w:r w:rsidR="00C22E0F" w:rsidRPr="00BB4866">
        <w:t>simplif</w:t>
      </w:r>
      <w:r w:rsidR="00C22E0F">
        <w:t>ying</w:t>
      </w:r>
      <w:r w:rsidR="00BB4866" w:rsidRPr="00BB4866">
        <w:t xml:space="preserve"> and minimis</w:t>
      </w:r>
      <w:r w:rsidR="00C22E0F">
        <w:t>ing</w:t>
      </w:r>
      <w:r w:rsidR="00BB4866" w:rsidRPr="00BB4866">
        <w:t xml:space="preserve"> duplication with the </w:t>
      </w:r>
      <w:r w:rsidR="00913B93">
        <w:t xml:space="preserve">public </w:t>
      </w:r>
      <w:r w:rsidR="00BB4866" w:rsidRPr="00BB4866">
        <w:t>CbCr</w:t>
      </w:r>
      <w:r w:rsidR="00E72691">
        <w:t xml:space="preserve"> requirements</w:t>
      </w:r>
      <w:r w:rsidR="00327220">
        <w:t xml:space="preserve"> and to reduce reporting requirements for ‘Non-</w:t>
      </w:r>
      <w:r w:rsidR="005F3057">
        <w:t xml:space="preserve">public </w:t>
      </w:r>
      <w:r w:rsidR="00327220">
        <w:t>CbC reporter</w:t>
      </w:r>
      <w:r w:rsidR="00BD1A03">
        <w:t>s</w:t>
      </w:r>
      <w:r w:rsidR="00327220">
        <w:t>’</w:t>
      </w:r>
      <w:r w:rsidR="00BB4866" w:rsidRPr="00BB4866">
        <w:t xml:space="preserve">; </w:t>
      </w:r>
    </w:p>
    <w:p w14:paraId="27CB39CD" w14:textId="211AC06C" w:rsidR="00BB4866" w:rsidRPr="00BB4866" w:rsidRDefault="005D4F84" w:rsidP="008271D8">
      <w:pPr>
        <w:pStyle w:val="Bullet"/>
      </w:pPr>
      <w:r>
        <w:t>Inclusion of a</w:t>
      </w:r>
      <w:r w:rsidR="00BB4866">
        <w:t xml:space="preserve"> new requirement to provide a reconciliation of </w:t>
      </w:r>
      <w:r w:rsidR="00F51281">
        <w:t xml:space="preserve">the </w:t>
      </w:r>
      <w:r w:rsidR="00B1559E">
        <w:t>V</w:t>
      </w:r>
      <w:r w:rsidR="00BB4866">
        <w:t xml:space="preserve">TTC to </w:t>
      </w:r>
      <w:r w:rsidR="00F51281">
        <w:t xml:space="preserve">the </w:t>
      </w:r>
      <w:r w:rsidR="00BB4866">
        <w:t>ATO Corporate Tax Transparency Disclosure</w:t>
      </w:r>
      <w:r>
        <w:t>s</w:t>
      </w:r>
      <w:r w:rsidR="00E145AE">
        <w:t>. This is</w:t>
      </w:r>
      <w:r w:rsidDel="00BB4866">
        <w:t xml:space="preserve"> </w:t>
      </w:r>
      <w:r w:rsidR="00BB4866">
        <w:t xml:space="preserve">in response to feedback </w:t>
      </w:r>
      <w:r w:rsidR="00F51281">
        <w:t xml:space="preserve">by stakeholders </w:t>
      </w:r>
      <w:r w:rsidR="00BB4866">
        <w:t xml:space="preserve">regarding timing of reports, data lags, discrepancies in tax payable on account of reporting methods, and concerns </w:t>
      </w:r>
      <w:r w:rsidR="00E145AE">
        <w:t xml:space="preserve">regarding </w:t>
      </w:r>
      <w:r w:rsidR="00BB4866">
        <w:t xml:space="preserve">information misrepresentation; </w:t>
      </w:r>
    </w:p>
    <w:p w14:paraId="6592B92E" w14:textId="5EA551CA" w:rsidR="001328EC" w:rsidRPr="002127B0" w:rsidRDefault="004D63F1" w:rsidP="008271D8">
      <w:pPr>
        <w:pStyle w:val="Bullet"/>
      </w:pPr>
      <w:r>
        <w:t>Inclusion of a</w:t>
      </w:r>
      <w:r w:rsidR="00717166">
        <w:t>n example</w:t>
      </w:r>
      <w:r w:rsidR="00D576FF" w:rsidRPr="002127B0">
        <w:t xml:space="preserve"> </w:t>
      </w:r>
      <w:r w:rsidR="000404A0">
        <w:t xml:space="preserve">template format for </w:t>
      </w:r>
      <w:r w:rsidR="00B1559E">
        <w:t>V</w:t>
      </w:r>
      <w:r w:rsidR="009B1BC3">
        <w:t>TTC reporting</w:t>
      </w:r>
      <w:r w:rsidR="00541334">
        <w:t>, for both ‘</w:t>
      </w:r>
      <w:r w:rsidR="005F3057">
        <w:t xml:space="preserve">Public </w:t>
      </w:r>
      <w:r w:rsidR="00541334">
        <w:t>CbC reporter</w:t>
      </w:r>
      <w:r w:rsidR="00FF13FF">
        <w:t>s</w:t>
      </w:r>
      <w:r w:rsidR="00541334">
        <w:t>’ and ‘Non</w:t>
      </w:r>
      <w:r w:rsidR="005F3057">
        <w:t>-public</w:t>
      </w:r>
      <w:r w:rsidR="00541334">
        <w:t xml:space="preserve"> CbC reporter</w:t>
      </w:r>
      <w:r w:rsidR="00FF13FF">
        <w:t>s</w:t>
      </w:r>
      <w:r w:rsidR="00541334">
        <w:t>’</w:t>
      </w:r>
      <w:r w:rsidR="00483FB2">
        <w:t xml:space="preserve"> based on fictitious </w:t>
      </w:r>
      <w:r w:rsidR="7A287E93">
        <w:t>business</w:t>
      </w:r>
      <w:r w:rsidR="21171437">
        <w:t>es</w:t>
      </w:r>
      <w:r w:rsidR="00483FB2" w:rsidRPr="002127B0">
        <w:t xml:space="preserve"> (contained in </w:t>
      </w:r>
      <w:hyperlink w:anchor="_Appendix_A_–_1">
        <w:r w:rsidR="22316910" w:rsidRPr="7B084582">
          <w:rPr>
            <w:rStyle w:val="Hyperlink"/>
            <w:b/>
            <w:bCs/>
          </w:rPr>
          <w:t>Appendix A</w:t>
        </w:r>
      </w:hyperlink>
      <w:r w:rsidR="00483FB2" w:rsidRPr="002127B0">
        <w:t>)</w:t>
      </w:r>
      <w:r w:rsidR="00483FB2">
        <w:t>,</w:t>
      </w:r>
      <w:r w:rsidR="0080703A">
        <w:t xml:space="preserve"> </w:t>
      </w:r>
      <w:r w:rsidR="00FA3677">
        <w:t>to provide guidance</w:t>
      </w:r>
      <w:r w:rsidR="00D54EFB">
        <w:t>,</w:t>
      </w:r>
      <w:r w:rsidR="00722AAF" w:rsidRPr="00722AAF">
        <w:t xml:space="preserve"> encourage consistency in reporting and facilitate improved comparability of </w:t>
      </w:r>
      <w:r w:rsidR="00170DB3">
        <w:t>V</w:t>
      </w:r>
      <w:r w:rsidR="00722AAF" w:rsidRPr="00722AAF">
        <w:t>TTC reports</w:t>
      </w:r>
      <w:r w:rsidR="007C3B8B">
        <w:t xml:space="preserve">; </w:t>
      </w:r>
    </w:p>
    <w:p w14:paraId="3C30D3A5" w14:textId="1AE325EA" w:rsidR="002127B0" w:rsidRPr="00ED212C" w:rsidRDefault="58632646" w:rsidP="008271D8">
      <w:pPr>
        <w:pStyle w:val="Bullet"/>
      </w:pPr>
      <w:r>
        <w:t xml:space="preserve">Inclusion of </w:t>
      </w:r>
      <w:r w:rsidR="002127B0">
        <w:t>optional elements</w:t>
      </w:r>
      <w:r w:rsidR="008C13F3">
        <w:t xml:space="preserve"> throughout </w:t>
      </w:r>
      <w:r w:rsidR="00A428DA">
        <w:t xml:space="preserve">the </w:t>
      </w:r>
      <w:r w:rsidR="00B1559E">
        <w:t>V</w:t>
      </w:r>
      <w:r w:rsidR="00A428DA">
        <w:t>TTC</w:t>
      </w:r>
      <w:r w:rsidR="4EF36561">
        <w:t xml:space="preserve">. </w:t>
      </w:r>
      <w:r w:rsidR="362702DE">
        <w:t>Whilst voluntary</w:t>
      </w:r>
      <w:r w:rsidR="008524E5">
        <w:t xml:space="preserve"> and subject to discretion</w:t>
      </w:r>
      <w:r w:rsidR="362702DE">
        <w:t>, completion of the optional elements is encouraged</w:t>
      </w:r>
      <w:r w:rsidR="006215D0">
        <w:t>;</w:t>
      </w:r>
      <w:r w:rsidR="362702DE">
        <w:t xml:space="preserve"> and </w:t>
      </w:r>
    </w:p>
    <w:p w14:paraId="5A4628A1" w14:textId="28FE34FC" w:rsidR="00737199" w:rsidRPr="001C7FCF" w:rsidRDefault="00B729A6" w:rsidP="008271D8">
      <w:pPr>
        <w:pStyle w:val="Bullet"/>
      </w:pPr>
      <w:r>
        <w:t>Inclusion of a</w:t>
      </w:r>
      <w:r w:rsidR="00B02DD2" w:rsidRPr="001C7FCF">
        <w:t xml:space="preserve"> </w:t>
      </w:r>
      <w:r w:rsidR="00121F83" w:rsidRPr="001C7FCF">
        <w:t xml:space="preserve">self-assessment </w:t>
      </w:r>
      <w:r w:rsidR="002E0E4F" w:rsidRPr="001C7FCF">
        <w:t>reporting</w:t>
      </w:r>
      <w:r w:rsidR="00570719" w:rsidRPr="001C7FCF">
        <w:t xml:space="preserve"> </w:t>
      </w:r>
      <w:r w:rsidR="00144855" w:rsidRPr="001C7FCF">
        <w:t xml:space="preserve">checklist </w:t>
      </w:r>
      <w:r w:rsidR="00830571" w:rsidRPr="001C7FCF">
        <w:t xml:space="preserve">(contained in </w:t>
      </w:r>
      <w:hyperlink w:anchor="_Appendix_B_–_1">
        <w:r w:rsidR="00830571" w:rsidRPr="546D70E0">
          <w:rPr>
            <w:rStyle w:val="Hyperlink"/>
            <w:b/>
            <w:bCs/>
          </w:rPr>
          <w:t>Appendix B</w:t>
        </w:r>
      </w:hyperlink>
      <w:r w:rsidR="00830571" w:rsidRPr="001C7FCF">
        <w:t xml:space="preserve">) </w:t>
      </w:r>
      <w:r w:rsidR="4D017D66" w:rsidRPr="001C7FCF">
        <w:t xml:space="preserve">to assist reporters in completing their </w:t>
      </w:r>
      <w:r w:rsidR="00B1559E">
        <w:t>V</w:t>
      </w:r>
      <w:r w:rsidR="002E0E4F" w:rsidRPr="001C7FCF">
        <w:t>TTC</w:t>
      </w:r>
      <w:r w:rsidR="00737199" w:rsidRPr="001C7FCF">
        <w:t>.</w:t>
      </w:r>
    </w:p>
    <w:p w14:paraId="14559A75" w14:textId="43C5ECBD" w:rsidR="007E7BDE" w:rsidRDefault="00254DE8" w:rsidP="00BE6D8C">
      <w:pPr>
        <w:pStyle w:val="Heading1"/>
        <w:spacing w:after="240"/>
      </w:pPr>
      <w:bookmarkStart w:id="18" w:name="_Toc199855164"/>
      <w:r>
        <w:t>V</w:t>
      </w:r>
      <w:r w:rsidR="00117277">
        <w:t xml:space="preserve">TTC </w:t>
      </w:r>
      <w:r w:rsidR="001D4955">
        <w:t>reporting</w:t>
      </w:r>
      <w:r w:rsidR="006E4F91">
        <w:t xml:space="preserve"> </w:t>
      </w:r>
      <w:r w:rsidR="0083052E">
        <w:t>requirements</w:t>
      </w:r>
      <w:bookmarkEnd w:id="18"/>
    </w:p>
    <w:p w14:paraId="43E75C6A" w14:textId="0B72FD58" w:rsidR="0086278E" w:rsidRDefault="0086278E" w:rsidP="00D1437D">
      <w:pPr>
        <w:spacing w:before="0" w:after="0"/>
      </w:pPr>
      <w:r w:rsidRPr="00CF427D">
        <w:t xml:space="preserve">The </w:t>
      </w:r>
      <w:r w:rsidR="00B1559E">
        <w:t>V</w:t>
      </w:r>
      <w:r w:rsidRPr="00CF427D">
        <w:t xml:space="preserve">TTC </w:t>
      </w:r>
      <w:r w:rsidR="001D4955">
        <w:t>reporting</w:t>
      </w:r>
      <w:r w:rsidRPr="00CF427D">
        <w:t xml:space="preserve"> </w:t>
      </w:r>
      <w:r>
        <w:t xml:space="preserve">requirements are </w:t>
      </w:r>
      <w:r w:rsidR="00564112">
        <w:t xml:space="preserve">separated </w:t>
      </w:r>
      <w:r>
        <w:t xml:space="preserve">based on </w:t>
      </w:r>
      <w:r w:rsidR="00B61089">
        <w:t>whether a business is</w:t>
      </w:r>
      <w:r w:rsidR="006E4F91">
        <w:t xml:space="preserve"> a</w:t>
      </w:r>
      <w:r>
        <w:t xml:space="preserve"> </w:t>
      </w:r>
      <w:r w:rsidR="0012660C">
        <w:t xml:space="preserve"> </w:t>
      </w:r>
      <w:r>
        <w:t>‘</w:t>
      </w:r>
      <w:r w:rsidR="005F3057">
        <w:t xml:space="preserve">Public </w:t>
      </w:r>
      <w:r>
        <w:t>CbC reporter’ or a ‘Non-</w:t>
      </w:r>
      <w:r w:rsidR="005F3057">
        <w:t xml:space="preserve">public </w:t>
      </w:r>
      <w:r>
        <w:t xml:space="preserve">CbC reporter’: </w:t>
      </w:r>
    </w:p>
    <w:p w14:paraId="1DD1279A" w14:textId="556DD85B" w:rsidR="0086278E" w:rsidRPr="003733B6" w:rsidRDefault="0086278E" w:rsidP="0086278E">
      <w:pPr>
        <w:pStyle w:val="Bullet"/>
      </w:pPr>
      <w:r w:rsidRPr="003733B6">
        <w:t xml:space="preserve">A </w:t>
      </w:r>
      <w:r w:rsidRPr="003733B6">
        <w:rPr>
          <w:b/>
        </w:rPr>
        <w:t>‘</w:t>
      </w:r>
      <w:r w:rsidR="005F3057" w:rsidRPr="003733B6">
        <w:rPr>
          <w:b/>
        </w:rPr>
        <w:t xml:space="preserve">Public </w:t>
      </w:r>
      <w:r w:rsidRPr="003733B6">
        <w:rPr>
          <w:b/>
        </w:rPr>
        <w:t xml:space="preserve">CbC reporter’ </w:t>
      </w:r>
      <w:r w:rsidRPr="003733B6">
        <w:t xml:space="preserve">for </w:t>
      </w:r>
      <w:r w:rsidR="00B1559E" w:rsidRPr="00284859">
        <w:t>V</w:t>
      </w:r>
      <w:r w:rsidRPr="003733B6">
        <w:t xml:space="preserve">TTC purposes </w:t>
      </w:r>
      <w:r w:rsidR="00483831" w:rsidRPr="003733B6">
        <w:t xml:space="preserve">is </w:t>
      </w:r>
      <w:r w:rsidRPr="003733B6">
        <w:t xml:space="preserve">a ‘CbC reporting </w:t>
      </w:r>
      <w:r w:rsidR="00D43464" w:rsidRPr="003733B6">
        <w:t xml:space="preserve">parent’ </w:t>
      </w:r>
      <w:r w:rsidR="00165A76" w:rsidRPr="003733B6">
        <w:t>(as defined under the ITAA 1997)</w:t>
      </w:r>
      <w:r w:rsidRPr="003733B6">
        <w:rPr>
          <w:i/>
        </w:rPr>
        <w:t xml:space="preserve"> </w:t>
      </w:r>
      <w:r w:rsidR="00266CFB" w:rsidRPr="003733B6">
        <w:t>that</w:t>
      </w:r>
      <w:r w:rsidRPr="003733B6">
        <w:t xml:space="preserve"> is required to publish information under section</w:t>
      </w:r>
      <w:r w:rsidR="00AA4E97" w:rsidRPr="003733B6">
        <w:t xml:space="preserve"> </w:t>
      </w:r>
      <w:r w:rsidRPr="003733B6">
        <w:t xml:space="preserve">3D of the TAA; and  </w:t>
      </w:r>
    </w:p>
    <w:p w14:paraId="7D3BD9BF" w14:textId="2E2FC478" w:rsidR="005E3375" w:rsidRDefault="0086278E" w:rsidP="005E3375">
      <w:pPr>
        <w:pStyle w:val="Bullet"/>
      </w:pPr>
      <w:r w:rsidRPr="00FE497B">
        <w:t xml:space="preserve">A </w:t>
      </w:r>
      <w:r w:rsidRPr="00FE497B">
        <w:rPr>
          <w:b/>
        </w:rPr>
        <w:t>‘Non-</w:t>
      </w:r>
      <w:r w:rsidR="005F3057">
        <w:rPr>
          <w:b/>
        </w:rPr>
        <w:t xml:space="preserve">public </w:t>
      </w:r>
      <w:r w:rsidRPr="00FE497B">
        <w:rPr>
          <w:b/>
        </w:rPr>
        <w:t>CbC reporter’</w:t>
      </w:r>
      <w:r w:rsidRPr="00FE497B">
        <w:t xml:space="preserve"> for </w:t>
      </w:r>
      <w:r w:rsidR="00170DB3">
        <w:t>V</w:t>
      </w:r>
      <w:r w:rsidRPr="00FE497B">
        <w:t xml:space="preserve">TTC purposes is defined as any </w:t>
      </w:r>
      <w:r w:rsidR="007442E9">
        <w:t>business</w:t>
      </w:r>
      <w:r w:rsidRPr="00FE497B">
        <w:t xml:space="preserve"> that </w:t>
      </w:r>
      <w:r w:rsidR="00266CFB" w:rsidRPr="00FE497B">
        <w:t>is not a ‘</w:t>
      </w:r>
      <w:r w:rsidR="005F3057">
        <w:t xml:space="preserve">Public </w:t>
      </w:r>
      <w:r w:rsidR="00266CFB" w:rsidRPr="00FE497B">
        <w:t xml:space="preserve">CbC reporter’ for </w:t>
      </w:r>
      <w:r w:rsidR="00170DB3">
        <w:t>V</w:t>
      </w:r>
      <w:r w:rsidR="00266CFB" w:rsidRPr="00FE497B">
        <w:t xml:space="preserve">TTC purposes. </w:t>
      </w:r>
      <w:r w:rsidR="00242295">
        <w:t xml:space="preserve">This includes </w:t>
      </w:r>
      <w:r w:rsidR="00CD2F74">
        <w:t xml:space="preserve">taxpayers who </w:t>
      </w:r>
      <w:r w:rsidR="00F24EFD">
        <w:t xml:space="preserve">are exempt </w:t>
      </w:r>
      <w:r w:rsidR="00CD2F74">
        <w:t>from the public CbCr.</w:t>
      </w:r>
    </w:p>
    <w:p w14:paraId="21CD0C58" w14:textId="00F81CCE" w:rsidR="005E3375" w:rsidRPr="00FE497B" w:rsidRDefault="005E3375" w:rsidP="00284859">
      <w:pPr>
        <w:pStyle w:val="Bullet"/>
        <w:numPr>
          <w:ilvl w:val="0"/>
          <w:numId w:val="0"/>
        </w:numPr>
        <w:ind w:left="520"/>
      </w:pPr>
      <w:r>
        <w:t xml:space="preserve">(See </w:t>
      </w:r>
      <w:hyperlink w:anchor="_Appendix_C_–" w:history="1">
        <w:r w:rsidRPr="007523ED">
          <w:rPr>
            <w:rStyle w:val="Hyperlink"/>
            <w:b/>
            <w:bCs/>
          </w:rPr>
          <w:t>Appendix C – Glossary</w:t>
        </w:r>
      </w:hyperlink>
      <w:r>
        <w:t>)</w:t>
      </w:r>
    </w:p>
    <w:p w14:paraId="241D3100" w14:textId="0670E8AC" w:rsidR="00564112" w:rsidRPr="003A25F3" w:rsidRDefault="001D4955" w:rsidP="00564112">
      <w:pPr>
        <w:pStyle w:val="OutlineNumbered1"/>
        <w:numPr>
          <w:ilvl w:val="0"/>
          <w:numId w:val="0"/>
        </w:numPr>
        <w:jc w:val="left"/>
        <w:rPr>
          <w:rFonts w:asciiTheme="minorHAnsi" w:hAnsiTheme="minorHAnsi" w:cstheme="minorHAnsi"/>
        </w:rPr>
      </w:pPr>
      <w:r>
        <w:rPr>
          <w:rFonts w:asciiTheme="minorHAnsi" w:hAnsiTheme="minorHAnsi" w:cstheme="minorHAnsi"/>
        </w:rPr>
        <w:t>Reporting</w:t>
      </w:r>
      <w:r w:rsidR="006937EC">
        <w:rPr>
          <w:rFonts w:asciiTheme="minorHAnsi" w:hAnsiTheme="minorHAnsi" w:cstheme="minorHAnsi"/>
        </w:rPr>
        <w:t xml:space="preserve"> under the</w:t>
      </w:r>
      <w:r w:rsidR="00564112" w:rsidRPr="003A25F3">
        <w:rPr>
          <w:rFonts w:asciiTheme="minorHAnsi" w:hAnsiTheme="minorHAnsi" w:cstheme="minorHAnsi"/>
        </w:rPr>
        <w:t xml:space="preserve"> </w:t>
      </w:r>
      <w:r w:rsidR="00A7390F">
        <w:rPr>
          <w:rFonts w:asciiTheme="minorHAnsi" w:hAnsiTheme="minorHAnsi" w:cstheme="minorHAnsi"/>
        </w:rPr>
        <w:t>V</w:t>
      </w:r>
      <w:r w:rsidR="00564112" w:rsidRPr="003A25F3">
        <w:rPr>
          <w:rFonts w:asciiTheme="minorHAnsi" w:hAnsiTheme="minorHAnsi" w:cstheme="minorHAnsi"/>
        </w:rPr>
        <w:t>TTC includes both ‘requirements’ and ‘optional elements’</w:t>
      </w:r>
      <w:r w:rsidR="00564112">
        <w:rPr>
          <w:rFonts w:asciiTheme="minorHAnsi" w:hAnsiTheme="minorHAnsi" w:cstheme="minorHAnsi"/>
        </w:rPr>
        <w:t xml:space="preserve"> which differ according </w:t>
      </w:r>
      <w:r w:rsidR="00034EF8">
        <w:rPr>
          <w:rFonts w:asciiTheme="minorHAnsi" w:hAnsiTheme="minorHAnsi" w:cstheme="minorHAnsi"/>
        </w:rPr>
        <w:t xml:space="preserve">to classification </w:t>
      </w:r>
      <w:r w:rsidR="00564112" w:rsidRPr="003A25F3">
        <w:rPr>
          <w:rFonts w:asciiTheme="minorHAnsi" w:hAnsiTheme="minorHAnsi" w:cstheme="minorHAnsi"/>
        </w:rPr>
        <w:t>as a ‘</w:t>
      </w:r>
      <w:r w:rsidR="005F3057">
        <w:rPr>
          <w:rFonts w:asciiTheme="minorHAnsi" w:hAnsiTheme="minorHAnsi" w:cstheme="minorHAnsi"/>
        </w:rPr>
        <w:t xml:space="preserve">Public </w:t>
      </w:r>
      <w:r w:rsidR="00564112">
        <w:rPr>
          <w:rFonts w:asciiTheme="minorHAnsi" w:hAnsiTheme="minorHAnsi" w:cstheme="minorHAnsi"/>
        </w:rPr>
        <w:t>CbC reporter</w:t>
      </w:r>
      <w:r w:rsidR="00564112" w:rsidRPr="003A25F3">
        <w:rPr>
          <w:rFonts w:asciiTheme="minorHAnsi" w:hAnsiTheme="minorHAnsi" w:cstheme="minorHAnsi"/>
        </w:rPr>
        <w:t>’ or a ‘Non-</w:t>
      </w:r>
      <w:r w:rsidR="005F3057">
        <w:rPr>
          <w:rFonts w:asciiTheme="minorHAnsi" w:hAnsiTheme="minorHAnsi" w:cstheme="minorHAnsi"/>
        </w:rPr>
        <w:t xml:space="preserve">public </w:t>
      </w:r>
      <w:r w:rsidR="00564112">
        <w:rPr>
          <w:rFonts w:asciiTheme="minorHAnsi" w:hAnsiTheme="minorHAnsi" w:cstheme="minorHAnsi"/>
        </w:rPr>
        <w:t>CbC reporter</w:t>
      </w:r>
      <w:r w:rsidR="00564112" w:rsidRPr="003A25F3">
        <w:rPr>
          <w:rFonts w:asciiTheme="minorHAnsi" w:hAnsiTheme="minorHAnsi" w:cstheme="minorHAnsi"/>
        </w:rPr>
        <w:t>’</w:t>
      </w:r>
      <w:r w:rsidR="00352EA2">
        <w:rPr>
          <w:rFonts w:asciiTheme="minorHAnsi" w:hAnsiTheme="minorHAnsi" w:cstheme="minorHAnsi"/>
        </w:rPr>
        <w:t>:</w:t>
      </w:r>
    </w:p>
    <w:p w14:paraId="0EED8679" w14:textId="72120E85" w:rsidR="00564112" w:rsidRPr="003A25F3" w:rsidRDefault="00564112" w:rsidP="00564112">
      <w:pPr>
        <w:pStyle w:val="Bullet"/>
        <w:spacing w:before="0"/>
        <w:rPr>
          <w:rFonts w:asciiTheme="minorHAnsi" w:hAnsiTheme="minorHAnsi" w:cstheme="minorHAnsi"/>
        </w:rPr>
      </w:pPr>
      <w:r w:rsidRPr="003A25F3">
        <w:rPr>
          <w:rFonts w:asciiTheme="minorHAnsi" w:hAnsiTheme="minorHAnsi" w:cstheme="minorHAnsi"/>
          <w:b/>
          <w:bCs/>
        </w:rPr>
        <w:t>Requirements</w:t>
      </w:r>
      <w:r w:rsidRPr="003A25F3">
        <w:rPr>
          <w:rFonts w:asciiTheme="minorHAnsi" w:hAnsiTheme="minorHAnsi" w:cstheme="minorHAnsi"/>
        </w:rPr>
        <w:t>:</w:t>
      </w:r>
      <w:r>
        <w:rPr>
          <w:rFonts w:asciiTheme="minorHAnsi" w:hAnsiTheme="minorHAnsi" w:cstheme="minorHAnsi"/>
        </w:rPr>
        <w:t xml:space="preserve"> Businesses </w:t>
      </w:r>
      <w:r w:rsidR="00541005">
        <w:rPr>
          <w:rFonts w:asciiTheme="minorHAnsi" w:hAnsiTheme="minorHAnsi" w:cstheme="minorHAnsi"/>
        </w:rPr>
        <w:t xml:space="preserve">who choose to adopt </w:t>
      </w:r>
      <w:r>
        <w:rPr>
          <w:rFonts w:asciiTheme="minorHAnsi" w:hAnsiTheme="minorHAnsi" w:cstheme="minorHAnsi"/>
        </w:rPr>
        <w:t xml:space="preserve">the </w:t>
      </w:r>
      <w:r w:rsidR="00A7390F">
        <w:rPr>
          <w:rFonts w:asciiTheme="minorHAnsi" w:hAnsiTheme="minorHAnsi" w:cstheme="minorHAnsi"/>
        </w:rPr>
        <w:t>V</w:t>
      </w:r>
      <w:r>
        <w:rPr>
          <w:rFonts w:asciiTheme="minorHAnsi" w:hAnsiTheme="minorHAnsi" w:cstheme="minorHAnsi"/>
        </w:rPr>
        <w:t xml:space="preserve">TTC should ensure </w:t>
      </w:r>
      <w:r w:rsidR="00046961">
        <w:rPr>
          <w:rFonts w:asciiTheme="minorHAnsi" w:hAnsiTheme="minorHAnsi" w:cstheme="minorHAnsi"/>
        </w:rPr>
        <w:t xml:space="preserve">that </w:t>
      </w:r>
      <w:r>
        <w:rPr>
          <w:rFonts w:asciiTheme="minorHAnsi" w:hAnsiTheme="minorHAnsi" w:cstheme="minorHAnsi"/>
        </w:rPr>
        <w:t xml:space="preserve">all requirements have been met. </w:t>
      </w:r>
    </w:p>
    <w:p w14:paraId="291C074C" w14:textId="752580AA" w:rsidR="004C3CBF" w:rsidRDefault="00564112" w:rsidP="670E04C8">
      <w:pPr>
        <w:pStyle w:val="Bullet"/>
        <w:spacing w:after="0"/>
        <w:rPr>
          <w:rFonts w:asciiTheme="minorHAnsi" w:hAnsiTheme="minorHAnsi" w:cstheme="minorBidi"/>
        </w:rPr>
      </w:pPr>
      <w:r w:rsidRPr="670E04C8">
        <w:rPr>
          <w:rFonts w:asciiTheme="minorHAnsi" w:hAnsiTheme="minorHAnsi" w:cstheme="minorBidi"/>
          <w:b/>
          <w:bCs/>
        </w:rPr>
        <w:t>Optional elements</w:t>
      </w:r>
      <w:r w:rsidRPr="670E04C8">
        <w:rPr>
          <w:rFonts w:asciiTheme="minorHAnsi" w:hAnsiTheme="minorHAnsi" w:cstheme="minorBidi"/>
        </w:rPr>
        <w:t xml:space="preserve">: Businesses that wish to provide </w:t>
      </w:r>
      <w:r w:rsidR="0037203A" w:rsidRPr="4D10D2DC">
        <w:rPr>
          <w:rFonts w:asciiTheme="minorHAnsi" w:hAnsiTheme="minorHAnsi" w:cstheme="minorBidi"/>
        </w:rPr>
        <w:t>comprehensive</w:t>
      </w:r>
      <w:r w:rsidR="0037203A" w:rsidRPr="670E04C8">
        <w:rPr>
          <w:rFonts w:asciiTheme="minorHAnsi" w:hAnsiTheme="minorHAnsi" w:cstheme="minorBidi"/>
        </w:rPr>
        <w:t xml:space="preserve"> </w:t>
      </w:r>
      <w:r w:rsidRPr="670E04C8">
        <w:rPr>
          <w:rFonts w:asciiTheme="minorHAnsi" w:hAnsiTheme="minorHAnsi" w:cstheme="minorBidi"/>
        </w:rPr>
        <w:t xml:space="preserve">tax </w:t>
      </w:r>
      <w:r w:rsidR="007A62A5" w:rsidRPr="670E04C8">
        <w:rPr>
          <w:rFonts w:asciiTheme="minorHAnsi" w:hAnsiTheme="minorHAnsi" w:cstheme="minorBidi"/>
        </w:rPr>
        <w:t>information</w:t>
      </w:r>
      <w:r w:rsidRPr="670E04C8">
        <w:rPr>
          <w:rFonts w:asciiTheme="minorHAnsi" w:hAnsiTheme="minorHAnsi" w:cstheme="minorBidi"/>
        </w:rPr>
        <w:t xml:space="preserve"> are encouraged to adopt the optional </w:t>
      </w:r>
      <w:r w:rsidR="00DC67BD" w:rsidRPr="670E04C8">
        <w:rPr>
          <w:rFonts w:asciiTheme="minorHAnsi" w:hAnsiTheme="minorHAnsi" w:cstheme="minorBidi"/>
        </w:rPr>
        <w:t xml:space="preserve">elements </w:t>
      </w:r>
    </w:p>
    <w:p w14:paraId="01C6F8B2" w14:textId="302388D7" w:rsidR="00FB6BB2" w:rsidRPr="005E0323" w:rsidRDefault="00FB6BB2" w:rsidP="00FB6BB2">
      <w:pPr>
        <w:pStyle w:val="Bullet"/>
        <w:numPr>
          <w:ilvl w:val="0"/>
          <w:numId w:val="0"/>
        </w:numPr>
        <w:rPr>
          <w:rFonts w:asciiTheme="minorHAnsi" w:hAnsiTheme="minorHAnsi" w:cstheme="minorBidi"/>
          <w:bCs/>
        </w:rPr>
      </w:pPr>
      <w:r w:rsidRPr="000503DD">
        <w:t xml:space="preserve">See </w:t>
      </w:r>
      <w:hyperlink w:anchor="_Appendix_A_–_1">
        <w:r w:rsidRPr="005E0323">
          <w:rPr>
            <w:rStyle w:val="Hyperlink"/>
            <w:b/>
            <w:bCs/>
          </w:rPr>
          <w:t>Appendix A</w:t>
        </w:r>
      </w:hyperlink>
      <w:r w:rsidRPr="000503DD">
        <w:t xml:space="preserve"> for</w:t>
      </w:r>
      <w:r>
        <w:t xml:space="preserve"> an example template format of a </w:t>
      </w:r>
      <w:r w:rsidR="00A7390F">
        <w:t>V</w:t>
      </w:r>
      <w:r>
        <w:t xml:space="preserve">TTC report </w:t>
      </w:r>
      <w:r w:rsidRPr="00A02C9A">
        <w:t xml:space="preserve">to aid with </w:t>
      </w:r>
      <w:r>
        <w:t xml:space="preserve">completion, </w:t>
      </w:r>
      <w:r w:rsidRPr="00A02C9A">
        <w:t xml:space="preserve">comparability and consistency of reports. </w:t>
      </w:r>
    </w:p>
    <w:p w14:paraId="41B224EA" w14:textId="6D5C4E2E" w:rsidR="00FB6BB2" w:rsidRDefault="00FB6BB2" w:rsidP="00FB6BB2">
      <w:pPr>
        <w:pStyle w:val="Heading4"/>
      </w:pPr>
      <w:r>
        <w:lastRenderedPageBreak/>
        <w:t>Timing</w:t>
      </w:r>
    </w:p>
    <w:p w14:paraId="17503C36" w14:textId="4F0FD09B" w:rsidR="005E0323" w:rsidRDefault="007453E2" w:rsidP="005E0323">
      <w:pPr>
        <w:pStyle w:val="Bullet"/>
        <w:numPr>
          <w:ilvl w:val="0"/>
          <w:numId w:val="0"/>
        </w:numPr>
        <w:spacing w:after="0"/>
        <w:rPr>
          <w:rFonts w:asciiTheme="minorHAnsi" w:hAnsiTheme="minorHAnsi" w:cstheme="minorBidi"/>
          <w:bCs/>
        </w:rPr>
      </w:pPr>
      <w:r w:rsidRPr="007453E2">
        <w:rPr>
          <w:rFonts w:asciiTheme="minorHAnsi" w:hAnsiTheme="minorHAnsi" w:cstheme="minorBidi"/>
          <w:bCs/>
        </w:rPr>
        <w:t xml:space="preserve">For </w:t>
      </w:r>
      <w:r w:rsidR="00DE0E4A">
        <w:rPr>
          <w:rFonts w:asciiTheme="minorHAnsi" w:hAnsiTheme="minorHAnsi" w:cstheme="minorBidi"/>
          <w:bCs/>
        </w:rPr>
        <w:t xml:space="preserve">‘Public </w:t>
      </w:r>
      <w:r w:rsidRPr="007453E2">
        <w:rPr>
          <w:rFonts w:asciiTheme="minorHAnsi" w:hAnsiTheme="minorHAnsi" w:cstheme="minorBidi"/>
          <w:bCs/>
        </w:rPr>
        <w:t>CbC reporters</w:t>
      </w:r>
      <w:r w:rsidR="00DE0E4A">
        <w:rPr>
          <w:rFonts w:asciiTheme="minorHAnsi" w:hAnsiTheme="minorHAnsi" w:cstheme="minorBidi"/>
          <w:bCs/>
        </w:rPr>
        <w:t>’</w:t>
      </w:r>
      <w:r w:rsidRPr="007453E2">
        <w:rPr>
          <w:rFonts w:asciiTheme="minorHAnsi" w:hAnsiTheme="minorHAnsi" w:cstheme="minorBidi"/>
          <w:bCs/>
        </w:rPr>
        <w:t xml:space="preserve">, </w:t>
      </w:r>
      <w:r w:rsidR="0028341D">
        <w:rPr>
          <w:rFonts w:asciiTheme="minorHAnsi" w:hAnsiTheme="minorHAnsi" w:cstheme="minorBidi"/>
          <w:bCs/>
        </w:rPr>
        <w:t>it is</w:t>
      </w:r>
      <w:r w:rsidRPr="007453E2">
        <w:rPr>
          <w:rFonts w:asciiTheme="minorHAnsi" w:hAnsiTheme="minorHAnsi" w:cstheme="minorBidi"/>
          <w:bCs/>
        </w:rPr>
        <w:t xml:space="preserve"> </w:t>
      </w:r>
      <w:r w:rsidR="00155C17">
        <w:rPr>
          <w:rFonts w:asciiTheme="minorHAnsi" w:hAnsiTheme="minorHAnsi" w:cstheme="minorBidi"/>
          <w:bCs/>
        </w:rPr>
        <w:t>suggested</w:t>
      </w:r>
      <w:r w:rsidR="00155C17" w:rsidRPr="007453E2">
        <w:rPr>
          <w:rFonts w:asciiTheme="minorHAnsi" w:hAnsiTheme="minorHAnsi" w:cstheme="minorBidi"/>
          <w:bCs/>
        </w:rPr>
        <w:t xml:space="preserve"> </w:t>
      </w:r>
      <w:r w:rsidRPr="007453E2">
        <w:rPr>
          <w:rFonts w:asciiTheme="minorHAnsi" w:hAnsiTheme="minorHAnsi" w:cstheme="minorBidi"/>
          <w:bCs/>
        </w:rPr>
        <w:t xml:space="preserve">that the </w:t>
      </w:r>
      <w:r w:rsidR="00A7390F">
        <w:rPr>
          <w:rFonts w:asciiTheme="minorHAnsi" w:hAnsiTheme="minorHAnsi" w:cstheme="minorBidi"/>
          <w:bCs/>
        </w:rPr>
        <w:t>V</w:t>
      </w:r>
      <w:r w:rsidRPr="007453E2">
        <w:rPr>
          <w:rFonts w:asciiTheme="minorHAnsi" w:hAnsiTheme="minorHAnsi" w:cstheme="minorBidi"/>
          <w:bCs/>
        </w:rPr>
        <w:t xml:space="preserve">TTC is prepared and published </w:t>
      </w:r>
      <w:r w:rsidR="00273798">
        <w:rPr>
          <w:rFonts w:asciiTheme="minorHAnsi" w:hAnsiTheme="minorHAnsi" w:cstheme="minorBidi"/>
          <w:bCs/>
        </w:rPr>
        <w:t>at the latest</w:t>
      </w:r>
      <w:r w:rsidR="0025525B">
        <w:rPr>
          <w:rFonts w:asciiTheme="minorHAnsi" w:hAnsiTheme="minorHAnsi" w:cstheme="minorBidi"/>
          <w:bCs/>
        </w:rPr>
        <w:t xml:space="preserve"> </w:t>
      </w:r>
      <w:r w:rsidR="009A58A3">
        <w:rPr>
          <w:rFonts w:asciiTheme="minorHAnsi" w:hAnsiTheme="minorHAnsi" w:cstheme="minorBidi"/>
          <w:bCs/>
        </w:rPr>
        <w:t xml:space="preserve">to align </w:t>
      </w:r>
      <w:r w:rsidRPr="007453E2">
        <w:rPr>
          <w:rFonts w:asciiTheme="minorHAnsi" w:hAnsiTheme="minorHAnsi" w:cstheme="minorBidi"/>
          <w:bCs/>
        </w:rPr>
        <w:t xml:space="preserve">with the </w:t>
      </w:r>
      <w:r w:rsidR="00913B93">
        <w:rPr>
          <w:rFonts w:asciiTheme="minorHAnsi" w:hAnsiTheme="minorHAnsi" w:cstheme="minorBidi"/>
          <w:bCs/>
        </w:rPr>
        <w:t xml:space="preserve">public </w:t>
      </w:r>
      <w:r w:rsidR="007C4A30">
        <w:rPr>
          <w:rFonts w:asciiTheme="minorHAnsi" w:hAnsiTheme="minorHAnsi" w:cstheme="minorBidi"/>
          <w:bCs/>
        </w:rPr>
        <w:t>CbC</w:t>
      </w:r>
      <w:r w:rsidR="00345F90">
        <w:rPr>
          <w:rFonts w:asciiTheme="minorHAnsi" w:hAnsiTheme="minorHAnsi" w:cstheme="minorBidi"/>
          <w:bCs/>
        </w:rPr>
        <w:t>r</w:t>
      </w:r>
      <w:r w:rsidR="007C4A30">
        <w:rPr>
          <w:rFonts w:asciiTheme="minorHAnsi" w:hAnsiTheme="minorHAnsi" w:cstheme="minorBidi"/>
          <w:bCs/>
        </w:rPr>
        <w:t xml:space="preserve"> </w:t>
      </w:r>
      <w:r w:rsidR="0011371B">
        <w:rPr>
          <w:rFonts w:asciiTheme="minorHAnsi" w:hAnsiTheme="minorHAnsi" w:cstheme="minorBidi"/>
          <w:bCs/>
        </w:rPr>
        <w:t>publication timi</w:t>
      </w:r>
      <w:r w:rsidR="001B1CFB">
        <w:rPr>
          <w:rFonts w:asciiTheme="minorHAnsi" w:hAnsiTheme="minorHAnsi" w:cstheme="minorBidi"/>
          <w:bCs/>
        </w:rPr>
        <w:t>ng</w:t>
      </w:r>
      <w:r w:rsidRPr="007453E2">
        <w:rPr>
          <w:rFonts w:asciiTheme="minorHAnsi" w:hAnsiTheme="minorHAnsi" w:cstheme="minorBidi"/>
          <w:bCs/>
        </w:rPr>
        <w:t xml:space="preserve"> requirements under </w:t>
      </w:r>
      <w:r w:rsidR="003202B6">
        <w:rPr>
          <w:rFonts w:asciiTheme="minorHAnsi" w:hAnsiTheme="minorHAnsi" w:cstheme="minorBidi"/>
          <w:bCs/>
        </w:rPr>
        <w:t>sub</w:t>
      </w:r>
      <w:r w:rsidR="001861D8">
        <w:rPr>
          <w:rFonts w:asciiTheme="minorHAnsi" w:hAnsiTheme="minorHAnsi" w:cstheme="minorBidi"/>
          <w:bCs/>
        </w:rPr>
        <w:t>section 3D</w:t>
      </w:r>
      <w:r w:rsidR="003202B6">
        <w:rPr>
          <w:rFonts w:asciiTheme="minorHAnsi" w:hAnsiTheme="minorHAnsi" w:cstheme="minorBidi"/>
          <w:bCs/>
        </w:rPr>
        <w:t>(3)</w:t>
      </w:r>
      <w:r w:rsidR="001861D8">
        <w:rPr>
          <w:rFonts w:asciiTheme="minorHAnsi" w:hAnsiTheme="minorHAnsi" w:cstheme="minorBidi"/>
          <w:bCs/>
        </w:rPr>
        <w:t xml:space="preserve"> of the TAA, to </w:t>
      </w:r>
      <w:r w:rsidR="004C5D29">
        <w:rPr>
          <w:rFonts w:asciiTheme="minorHAnsi" w:hAnsiTheme="minorHAnsi" w:cstheme="minorBidi"/>
          <w:bCs/>
        </w:rPr>
        <w:t>reduce unnecessary duplication.</w:t>
      </w:r>
      <w:r w:rsidR="2E0BA346" w:rsidRPr="2B0D02F5">
        <w:rPr>
          <w:rFonts w:asciiTheme="minorHAnsi" w:hAnsiTheme="minorHAnsi" w:cstheme="minorBidi"/>
        </w:rPr>
        <w:t xml:space="preserve"> </w:t>
      </w:r>
      <w:r w:rsidR="00284859">
        <w:rPr>
          <w:rFonts w:asciiTheme="minorHAnsi" w:hAnsiTheme="minorHAnsi" w:cstheme="minorBidi"/>
        </w:rPr>
        <w:t>R</w:t>
      </w:r>
      <w:r w:rsidR="2E0BA346" w:rsidRPr="2B0D02F5">
        <w:rPr>
          <w:rFonts w:asciiTheme="minorHAnsi" w:hAnsiTheme="minorHAnsi" w:cstheme="minorBidi"/>
        </w:rPr>
        <w:t>eporters may choose to publish earlier.</w:t>
      </w:r>
    </w:p>
    <w:p w14:paraId="1F286B63" w14:textId="0BC1CBED" w:rsidR="0086278E" w:rsidRDefault="006E4F91" w:rsidP="00926292">
      <w:pPr>
        <w:pStyle w:val="Heading2"/>
        <w:spacing w:before="240"/>
        <w:rPr>
          <w:color w:val="auto"/>
          <w:sz w:val="28"/>
        </w:rPr>
      </w:pPr>
      <w:bookmarkStart w:id="19" w:name="_Toc199855165"/>
      <w:r w:rsidRPr="00E765E5">
        <w:rPr>
          <w:color w:val="auto"/>
          <w:sz w:val="28"/>
        </w:rPr>
        <w:t xml:space="preserve">Summary of </w:t>
      </w:r>
      <w:r w:rsidR="00A7390F">
        <w:rPr>
          <w:color w:val="auto"/>
          <w:sz w:val="28"/>
        </w:rPr>
        <w:t>V</w:t>
      </w:r>
      <w:r w:rsidR="00E045A4" w:rsidRPr="00E765E5">
        <w:rPr>
          <w:color w:val="auto"/>
          <w:sz w:val="28"/>
        </w:rPr>
        <w:t xml:space="preserve">TTC </w:t>
      </w:r>
      <w:r w:rsidR="00926292">
        <w:rPr>
          <w:color w:val="auto"/>
          <w:sz w:val="28"/>
        </w:rPr>
        <w:t>reporting</w:t>
      </w:r>
      <w:r w:rsidRPr="00E765E5">
        <w:rPr>
          <w:color w:val="auto"/>
          <w:sz w:val="28"/>
        </w:rPr>
        <w:t xml:space="preserve"> requirements</w:t>
      </w:r>
      <w:bookmarkEnd w:id="19"/>
      <w:r w:rsidRPr="00E765E5">
        <w:rPr>
          <w:color w:val="auto"/>
          <w:sz w:val="28"/>
        </w:rPr>
        <w:t xml:space="preserve"> </w:t>
      </w:r>
    </w:p>
    <w:p w14:paraId="64633029" w14:textId="07C31B13" w:rsidR="002C350E" w:rsidRPr="002C350E" w:rsidRDefault="002C350E" w:rsidP="002C350E">
      <w:pPr>
        <w:rPr>
          <w:b/>
          <w:bCs/>
        </w:rPr>
      </w:pPr>
      <w:r w:rsidRPr="002C350E">
        <w:rPr>
          <w:b/>
          <w:bCs/>
        </w:rPr>
        <w:t xml:space="preserve">Overview </w:t>
      </w:r>
    </w:p>
    <w:tbl>
      <w:tblPr>
        <w:tblStyle w:val="ListTable3-Accent2"/>
        <w:tblW w:w="0" w:type="auto"/>
        <w:tblLook w:val="04A0" w:firstRow="1" w:lastRow="0" w:firstColumn="1" w:lastColumn="0" w:noHBand="0" w:noVBand="1"/>
      </w:tblPr>
      <w:tblGrid>
        <w:gridCol w:w="4531"/>
        <w:gridCol w:w="2268"/>
        <w:gridCol w:w="2264"/>
      </w:tblGrid>
      <w:tr w:rsidR="0086278E" w14:paraId="5D12E9B7" w14:textId="77777777" w:rsidTr="00C71D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single" w:sz="4" w:space="0" w:color="701F4D" w:themeColor="accent2"/>
            </w:tcBorders>
            <w:vAlign w:val="center"/>
          </w:tcPr>
          <w:p w14:paraId="6CAC8489" w14:textId="5EC16741" w:rsidR="0086278E" w:rsidRPr="00620D7D" w:rsidRDefault="00254DE8" w:rsidP="00C71DEF">
            <w:pPr>
              <w:pStyle w:val="TableHeaderCellLeft"/>
              <w:spacing w:before="120" w:after="120"/>
              <w:rPr>
                <w:sz w:val="24"/>
                <w:szCs w:val="24"/>
              </w:rPr>
            </w:pPr>
            <w:r>
              <w:rPr>
                <w:sz w:val="24"/>
                <w:szCs w:val="24"/>
              </w:rPr>
              <w:t>V</w:t>
            </w:r>
            <w:r w:rsidR="0086278E" w:rsidRPr="00620D7D">
              <w:rPr>
                <w:sz w:val="24"/>
                <w:szCs w:val="24"/>
              </w:rPr>
              <w:t xml:space="preserve">TTC </w:t>
            </w:r>
            <w:r w:rsidR="00926292">
              <w:rPr>
                <w:sz w:val="24"/>
                <w:szCs w:val="24"/>
              </w:rPr>
              <w:t>reporting</w:t>
            </w:r>
            <w:r w:rsidR="0086278E" w:rsidRPr="00620D7D">
              <w:rPr>
                <w:sz w:val="24"/>
                <w:szCs w:val="24"/>
              </w:rPr>
              <w:t xml:space="preserve"> requirements</w:t>
            </w:r>
          </w:p>
        </w:tc>
        <w:tc>
          <w:tcPr>
            <w:tcW w:w="2268" w:type="dxa"/>
            <w:tcBorders>
              <w:bottom w:val="single" w:sz="4" w:space="0" w:color="701F4D" w:themeColor="accent2"/>
            </w:tcBorders>
            <w:vAlign w:val="center"/>
          </w:tcPr>
          <w:p w14:paraId="3165783A" w14:textId="1814FB20" w:rsidR="0086278E" w:rsidRPr="00620D7D" w:rsidRDefault="00DE0E4A" w:rsidP="00C71DEF">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Public </w:t>
            </w:r>
            <w:r w:rsidR="0086278E">
              <w:rPr>
                <w:sz w:val="24"/>
                <w:szCs w:val="24"/>
              </w:rPr>
              <w:t>CbC reporter</w:t>
            </w:r>
          </w:p>
        </w:tc>
        <w:tc>
          <w:tcPr>
            <w:tcW w:w="2264" w:type="dxa"/>
            <w:tcBorders>
              <w:bottom w:val="single" w:sz="4" w:space="0" w:color="701F4D" w:themeColor="accent2"/>
            </w:tcBorders>
            <w:vAlign w:val="center"/>
          </w:tcPr>
          <w:p w14:paraId="1CC217AC" w14:textId="793C6728" w:rsidR="0086278E" w:rsidRPr="00620D7D" w:rsidRDefault="0086278E" w:rsidP="00C71DEF">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Non-</w:t>
            </w:r>
            <w:r w:rsidR="00DE0E4A">
              <w:rPr>
                <w:sz w:val="24"/>
                <w:szCs w:val="24"/>
              </w:rPr>
              <w:t xml:space="preserve">public </w:t>
            </w:r>
            <w:r>
              <w:rPr>
                <w:sz w:val="24"/>
                <w:szCs w:val="24"/>
              </w:rPr>
              <w:t>CbC reporter</w:t>
            </w:r>
          </w:p>
        </w:tc>
      </w:tr>
      <w:tr w:rsidR="0086278E" w14:paraId="68F39F0D"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il"/>
              <w:right w:val="single" w:sz="2" w:space="0" w:color="701F4D" w:themeColor="accent2"/>
            </w:tcBorders>
            <w:vAlign w:val="center"/>
          </w:tcPr>
          <w:p w14:paraId="7E405C91" w14:textId="77777777" w:rsidR="0086278E" w:rsidRPr="00567F9D" w:rsidRDefault="0086278E" w:rsidP="009B13B6">
            <w:pPr>
              <w:spacing w:before="0"/>
              <w:rPr>
                <w:b w:val="0"/>
                <w:bCs w:val="0"/>
              </w:rPr>
            </w:pPr>
            <w:r w:rsidRPr="00567F9D">
              <w:rPr>
                <w:b w:val="0"/>
                <w:bCs w:val="0"/>
              </w:rPr>
              <w:t xml:space="preserve">Entity </w:t>
            </w:r>
            <w:r>
              <w:rPr>
                <w:b w:val="0"/>
                <w:bCs w:val="0"/>
              </w:rPr>
              <w:t>n</w:t>
            </w:r>
            <w:r w:rsidRPr="00567F9D">
              <w:rPr>
                <w:b w:val="0"/>
                <w:bCs w:val="0"/>
              </w:rPr>
              <w:t>ame</w:t>
            </w:r>
          </w:p>
        </w:tc>
        <w:tc>
          <w:tcPr>
            <w:tcW w:w="2268" w:type="dxa"/>
            <w:tcBorders>
              <w:top w:val="nil"/>
              <w:left w:val="single" w:sz="2" w:space="0" w:color="701F4D" w:themeColor="accent2"/>
              <w:right w:val="single" w:sz="2" w:space="0" w:color="701F4D" w:themeColor="accent2"/>
            </w:tcBorders>
            <w:vAlign w:val="center"/>
          </w:tcPr>
          <w:p w14:paraId="062C2EC0" w14:textId="77777777" w:rsidR="0086278E" w:rsidRPr="005177BD" w:rsidRDefault="0086278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rPr>
            </w:pPr>
            <w:r w:rsidRPr="005177BD">
              <w:rPr>
                <w:rFonts w:ascii="Segoe UI Symbol" w:hAnsi="Segoe UI Symbol" w:cs="Segoe UI Symbol"/>
                <w:color w:val="701F4D" w:themeColor="accent2"/>
              </w:rPr>
              <w:t>✔</w:t>
            </w:r>
          </w:p>
        </w:tc>
        <w:tc>
          <w:tcPr>
            <w:tcW w:w="2264" w:type="dxa"/>
            <w:tcBorders>
              <w:top w:val="nil"/>
              <w:left w:val="single" w:sz="2" w:space="0" w:color="701F4D" w:themeColor="accent2"/>
              <w:right w:val="single" w:sz="2" w:space="0" w:color="auto"/>
            </w:tcBorders>
            <w:vAlign w:val="center"/>
          </w:tcPr>
          <w:p w14:paraId="680A29D4" w14:textId="77777777" w:rsidR="0086278E" w:rsidRPr="005177BD" w:rsidRDefault="0086278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rPr>
            </w:pPr>
            <w:r w:rsidRPr="005177BD">
              <w:rPr>
                <w:rFonts w:ascii="Segoe UI Symbol" w:hAnsi="Segoe UI Symbol" w:cs="Segoe UI Symbol"/>
                <w:color w:val="701F4D" w:themeColor="accent2"/>
              </w:rPr>
              <w:t>✔</w:t>
            </w:r>
          </w:p>
        </w:tc>
      </w:tr>
      <w:tr w:rsidR="004F3A4B" w14:paraId="34DDCE1E"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top w:val="nil"/>
              <w:right w:val="single" w:sz="2" w:space="0" w:color="701F4D" w:themeColor="accent2"/>
            </w:tcBorders>
            <w:vAlign w:val="center"/>
          </w:tcPr>
          <w:p w14:paraId="4B5BF847" w14:textId="4FE773DC" w:rsidR="004F3A4B" w:rsidRPr="00567F9D" w:rsidRDefault="004F3A4B" w:rsidP="009B13B6">
            <w:pPr>
              <w:spacing w:before="0"/>
            </w:pPr>
            <w:r w:rsidRPr="00EC654D">
              <w:rPr>
                <w:b w:val="0"/>
                <w:bCs w:val="0"/>
              </w:rPr>
              <w:t>Confirmation</w:t>
            </w:r>
            <w:r w:rsidR="001D6215">
              <w:rPr>
                <w:b w:val="0"/>
                <w:bCs w:val="0"/>
              </w:rPr>
              <w:t xml:space="preserve"> of</w:t>
            </w:r>
            <w:r w:rsidR="006D5164">
              <w:rPr>
                <w:b w:val="0"/>
                <w:bCs w:val="0"/>
              </w:rPr>
              <w:t xml:space="preserve"> </w:t>
            </w:r>
            <w:r w:rsidR="00033C13">
              <w:rPr>
                <w:b w:val="0"/>
                <w:bCs w:val="0"/>
              </w:rPr>
              <w:t>p</w:t>
            </w:r>
            <w:r w:rsidR="006D5164">
              <w:rPr>
                <w:b w:val="0"/>
                <w:bCs w:val="0"/>
              </w:rPr>
              <w:t>ublic</w:t>
            </w:r>
            <w:r w:rsidRPr="00EC654D">
              <w:rPr>
                <w:b w:val="0"/>
                <w:bCs w:val="0"/>
              </w:rPr>
              <w:t xml:space="preserve"> CbC reporting </w:t>
            </w:r>
            <w:r w:rsidR="00462066">
              <w:rPr>
                <w:b w:val="0"/>
                <w:bCs w:val="0"/>
              </w:rPr>
              <w:t xml:space="preserve">status </w:t>
            </w:r>
            <w:r w:rsidR="00033C13">
              <w:rPr>
                <w:b w:val="0"/>
                <w:bCs w:val="0"/>
              </w:rPr>
              <w:t>and compliance with reporting requirements</w:t>
            </w:r>
            <w:r w:rsidRPr="00EC654D">
              <w:rPr>
                <w:b w:val="0"/>
                <w:bCs w:val="0"/>
              </w:rPr>
              <w:t xml:space="preserve"> </w:t>
            </w:r>
            <w:r w:rsidR="00A52AB8">
              <w:rPr>
                <w:b w:val="0"/>
                <w:bCs w:val="0"/>
              </w:rPr>
              <w:t>under</w:t>
            </w:r>
            <w:r w:rsidR="003D45C7">
              <w:rPr>
                <w:b w:val="0"/>
                <w:bCs w:val="0"/>
              </w:rPr>
              <w:t xml:space="preserve"> the TAA.</w:t>
            </w:r>
          </w:p>
        </w:tc>
        <w:tc>
          <w:tcPr>
            <w:tcW w:w="2268" w:type="dxa"/>
            <w:tcBorders>
              <w:top w:val="nil"/>
              <w:left w:val="single" w:sz="2" w:space="0" w:color="701F4D" w:themeColor="accent2"/>
              <w:right w:val="single" w:sz="2" w:space="0" w:color="701F4D" w:themeColor="accent2"/>
            </w:tcBorders>
            <w:vAlign w:val="center"/>
          </w:tcPr>
          <w:p w14:paraId="225097A8" w14:textId="20C6A611" w:rsidR="004F3A4B" w:rsidRPr="005177BD" w:rsidRDefault="004F3A4B" w:rsidP="002C350E">
            <w:pPr>
              <w:spacing w:before="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c>
          <w:tcPr>
            <w:tcW w:w="2264" w:type="dxa"/>
            <w:tcBorders>
              <w:top w:val="nil"/>
              <w:left w:val="single" w:sz="2" w:space="0" w:color="701F4D" w:themeColor="accent2"/>
              <w:right w:val="single" w:sz="2" w:space="0" w:color="auto"/>
            </w:tcBorders>
            <w:vAlign w:val="center"/>
          </w:tcPr>
          <w:p w14:paraId="08D6D609" w14:textId="5D1E6D7B" w:rsidR="004F3A4B" w:rsidRPr="00D40F81" w:rsidRDefault="00164C29" w:rsidP="002C350E">
            <w:pPr>
              <w:spacing w:before="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sz w:val="20"/>
                <w:szCs w:val="20"/>
              </w:rPr>
            </w:pPr>
            <w:r>
              <w:rPr>
                <w:rFonts w:ascii="Segoe UI Symbol" w:hAnsi="Segoe UI Symbol" w:cs="Segoe UI Symbol"/>
                <w:color w:val="701F4D" w:themeColor="accent2"/>
                <w:sz w:val="20"/>
                <w:szCs w:val="20"/>
              </w:rPr>
              <w:t>n/a</w:t>
            </w:r>
          </w:p>
        </w:tc>
      </w:tr>
      <w:tr w:rsidR="00A52AB8" w14:paraId="37E181B1"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7BDA597C" w14:textId="6F426340" w:rsidR="00A52AB8" w:rsidRPr="00567F9D" w:rsidRDefault="00A52AB8" w:rsidP="009B13B6">
            <w:pPr>
              <w:spacing w:before="0"/>
              <w:rPr>
                <w:b w:val="0"/>
                <w:bCs w:val="0"/>
              </w:rPr>
            </w:pPr>
            <w:r>
              <w:rPr>
                <w:b w:val="0"/>
                <w:bCs w:val="0"/>
              </w:rPr>
              <w:t xml:space="preserve">Link to </w:t>
            </w:r>
            <w:r w:rsidR="00C45510">
              <w:rPr>
                <w:b w:val="0"/>
                <w:bCs w:val="0"/>
              </w:rPr>
              <w:t>completed CbC report</w:t>
            </w:r>
            <w:r w:rsidR="003733B6">
              <w:rPr>
                <w:b w:val="0"/>
                <w:bCs w:val="0"/>
              </w:rPr>
              <w:t xml:space="preserve"> (where available)</w:t>
            </w:r>
          </w:p>
        </w:tc>
        <w:tc>
          <w:tcPr>
            <w:tcW w:w="2268" w:type="dxa"/>
            <w:tcBorders>
              <w:left w:val="single" w:sz="2" w:space="0" w:color="701F4D" w:themeColor="accent2"/>
              <w:right w:val="single" w:sz="2" w:space="0" w:color="701F4D" w:themeColor="accent2"/>
            </w:tcBorders>
            <w:vAlign w:val="center"/>
          </w:tcPr>
          <w:p w14:paraId="02A7F4BE" w14:textId="0334629C" w:rsidR="00A52AB8" w:rsidRPr="008212AE" w:rsidRDefault="00C45510"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rPr>
            </w:pPr>
            <w:r w:rsidRPr="005177BD">
              <w:rPr>
                <w:rFonts w:ascii="Segoe UI Symbol" w:hAnsi="Segoe UI Symbol" w:cs="Segoe UI Symbol"/>
                <w:color w:val="701F4D" w:themeColor="accent2"/>
              </w:rPr>
              <w:t>✔</w:t>
            </w:r>
          </w:p>
        </w:tc>
        <w:tc>
          <w:tcPr>
            <w:tcW w:w="2264" w:type="dxa"/>
            <w:tcBorders>
              <w:left w:val="single" w:sz="2" w:space="0" w:color="701F4D" w:themeColor="accent2"/>
              <w:right w:val="single" w:sz="2" w:space="0" w:color="auto"/>
            </w:tcBorders>
            <w:vAlign w:val="center"/>
          </w:tcPr>
          <w:p w14:paraId="0064D8E5" w14:textId="307EA7EB" w:rsidR="00A52AB8" w:rsidRPr="00D40F81" w:rsidRDefault="00164C29" w:rsidP="002C350E">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sz w:val="20"/>
                <w:szCs w:val="20"/>
              </w:rPr>
            </w:pPr>
            <w:r>
              <w:rPr>
                <w:rFonts w:ascii="Segoe UI Symbol" w:hAnsi="Segoe UI Symbol" w:cs="Segoe UI Symbol"/>
                <w:color w:val="701F4D" w:themeColor="accent2"/>
                <w:sz w:val="20"/>
                <w:szCs w:val="20"/>
              </w:rPr>
              <w:t>n/a</w:t>
            </w:r>
          </w:p>
        </w:tc>
      </w:tr>
      <w:tr w:rsidR="0086278E" w14:paraId="20217470"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6529AB48" w14:textId="77777777" w:rsidR="0086278E" w:rsidRPr="00567F9D" w:rsidRDefault="0086278E" w:rsidP="009B13B6">
            <w:pPr>
              <w:spacing w:before="0"/>
              <w:rPr>
                <w:b w:val="0"/>
                <w:bCs w:val="0"/>
              </w:rPr>
            </w:pPr>
            <w:r w:rsidRPr="00567F9D">
              <w:rPr>
                <w:b w:val="0"/>
                <w:bCs w:val="0"/>
              </w:rPr>
              <w:t>Activities</w:t>
            </w:r>
          </w:p>
        </w:tc>
        <w:tc>
          <w:tcPr>
            <w:tcW w:w="2268" w:type="dxa"/>
            <w:tcBorders>
              <w:left w:val="single" w:sz="2" w:space="0" w:color="701F4D" w:themeColor="accent2"/>
              <w:right w:val="single" w:sz="2" w:space="0" w:color="701F4D" w:themeColor="accent2"/>
            </w:tcBorders>
            <w:vAlign w:val="center"/>
          </w:tcPr>
          <w:p w14:paraId="0A9CE923" w14:textId="445F1F0D" w:rsidR="0086278E" w:rsidRPr="00D40F81" w:rsidRDefault="0086278E" w:rsidP="002C350E">
            <w:pPr>
              <w:spacing w:before="0"/>
              <w:jc w:val="center"/>
              <w:cnfStyle w:val="000000000000" w:firstRow="0" w:lastRow="0" w:firstColumn="0" w:lastColumn="0" w:oddVBand="0" w:evenVBand="0" w:oddHBand="0" w:evenHBand="0" w:firstRowFirstColumn="0" w:firstRowLastColumn="0" w:lastRowFirstColumn="0" w:lastRowLastColumn="0"/>
              <w:rPr>
                <w:color w:val="701F4D" w:themeColor="accent2"/>
                <w:sz w:val="20"/>
                <w:szCs w:val="20"/>
              </w:rPr>
            </w:pPr>
            <w:r w:rsidRPr="00D40F81">
              <w:rPr>
                <w:color w:val="701F4D" w:themeColor="accent2"/>
                <w:sz w:val="20"/>
                <w:szCs w:val="20"/>
              </w:rPr>
              <w:t xml:space="preserve">Covered by </w:t>
            </w:r>
            <w:r w:rsidR="6FE0B9E9" w:rsidRPr="00D40F81">
              <w:rPr>
                <w:color w:val="701F4D" w:themeColor="accent2"/>
                <w:sz w:val="20"/>
                <w:szCs w:val="20"/>
              </w:rPr>
              <w:t xml:space="preserve">the </w:t>
            </w:r>
            <w:r w:rsidR="00913B93" w:rsidRPr="00D40F81">
              <w:rPr>
                <w:color w:val="701F4D" w:themeColor="accent2"/>
                <w:sz w:val="20"/>
                <w:szCs w:val="20"/>
              </w:rPr>
              <w:t xml:space="preserve">public </w:t>
            </w:r>
            <w:r w:rsidRPr="00D40F81">
              <w:rPr>
                <w:color w:val="701F4D" w:themeColor="accent2"/>
                <w:sz w:val="20"/>
                <w:szCs w:val="20"/>
              </w:rPr>
              <w:t>CbCr</w:t>
            </w:r>
          </w:p>
        </w:tc>
        <w:tc>
          <w:tcPr>
            <w:tcW w:w="2264" w:type="dxa"/>
            <w:tcBorders>
              <w:left w:val="single" w:sz="2" w:space="0" w:color="701F4D" w:themeColor="accent2"/>
              <w:right w:val="single" w:sz="2" w:space="0" w:color="auto"/>
            </w:tcBorders>
            <w:vAlign w:val="center"/>
          </w:tcPr>
          <w:p w14:paraId="40A8A07B" w14:textId="77777777" w:rsidR="0086278E" w:rsidRDefault="0086278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r w:rsidR="002C350E" w14:paraId="4E4E51C4"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3E7CB9CA" w14:textId="77777777" w:rsidR="002C350E" w:rsidRPr="00567F9D" w:rsidRDefault="002C350E" w:rsidP="009B13B6">
            <w:pPr>
              <w:spacing w:before="0"/>
              <w:rPr>
                <w:b w:val="0"/>
                <w:bCs w:val="0"/>
              </w:rPr>
            </w:pPr>
            <w:r w:rsidRPr="00567F9D">
              <w:rPr>
                <w:b w:val="0"/>
                <w:bCs w:val="0"/>
              </w:rPr>
              <w:t>Material subsidiaries</w:t>
            </w:r>
          </w:p>
        </w:tc>
        <w:tc>
          <w:tcPr>
            <w:tcW w:w="2268" w:type="dxa"/>
            <w:vAlign w:val="center"/>
          </w:tcPr>
          <w:p w14:paraId="51F050B3" w14:textId="0CD7933E" w:rsidR="002C350E" w:rsidRPr="00D40F81"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D40F81">
              <w:rPr>
                <w:color w:val="701F4D" w:themeColor="accent2"/>
                <w:sz w:val="20"/>
                <w:szCs w:val="20"/>
              </w:rPr>
              <w:t>Covered by the public CbCr</w:t>
            </w:r>
          </w:p>
        </w:tc>
        <w:tc>
          <w:tcPr>
            <w:tcW w:w="2264" w:type="dxa"/>
            <w:tcBorders>
              <w:left w:val="single" w:sz="2" w:space="0" w:color="701F4D" w:themeColor="accent2"/>
              <w:right w:val="single" w:sz="2" w:space="0" w:color="auto"/>
            </w:tcBorders>
            <w:vAlign w:val="center"/>
          </w:tcPr>
          <w:p w14:paraId="0B54C676" w14:textId="77777777" w:rsidR="002C350E"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r w:rsidR="002C350E" w14:paraId="05874AA2"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bottom w:val="single" w:sz="2" w:space="0" w:color="701F4D" w:themeColor="accent2"/>
              <w:right w:val="single" w:sz="2" w:space="0" w:color="701F4D" w:themeColor="accent2"/>
            </w:tcBorders>
            <w:vAlign w:val="center"/>
          </w:tcPr>
          <w:p w14:paraId="2DA3AF2F" w14:textId="77777777" w:rsidR="002C350E" w:rsidRPr="00567F9D" w:rsidRDefault="002C350E" w:rsidP="009B13B6">
            <w:pPr>
              <w:spacing w:before="0"/>
              <w:rPr>
                <w:b w:val="0"/>
                <w:bCs w:val="0"/>
              </w:rPr>
            </w:pPr>
            <w:r w:rsidRPr="00567F9D">
              <w:rPr>
                <w:b w:val="0"/>
                <w:bCs w:val="0"/>
              </w:rPr>
              <w:t>Number of employees</w:t>
            </w:r>
          </w:p>
        </w:tc>
        <w:tc>
          <w:tcPr>
            <w:tcW w:w="2268" w:type="dxa"/>
            <w:vAlign w:val="center"/>
          </w:tcPr>
          <w:p w14:paraId="7B8475E3" w14:textId="690DAB55" w:rsidR="002C350E" w:rsidRPr="00D40F81"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D40F81">
              <w:rPr>
                <w:color w:val="701F4D" w:themeColor="accent2"/>
                <w:sz w:val="20"/>
                <w:szCs w:val="20"/>
              </w:rPr>
              <w:t>Covered by the public CbCr</w:t>
            </w:r>
          </w:p>
        </w:tc>
        <w:tc>
          <w:tcPr>
            <w:tcW w:w="2264" w:type="dxa"/>
            <w:tcBorders>
              <w:left w:val="single" w:sz="2" w:space="0" w:color="701F4D" w:themeColor="accent2"/>
              <w:bottom w:val="single" w:sz="2" w:space="0" w:color="701F4D" w:themeColor="accent2"/>
              <w:right w:val="single" w:sz="2" w:space="0" w:color="auto"/>
            </w:tcBorders>
            <w:vAlign w:val="center"/>
          </w:tcPr>
          <w:p w14:paraId="23AB812C" w14:textId="77777777" w:rsidR="002C350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bl>
    <w:p w14:paraId="65EE54EC" w14:textId="45EAD043" w:rsidR="002C350E" w:rsidRPr="002C350E" w:rsidRDefault="002C350E" w:rsidP="002C350E">
      <w:pPr>
        <w:rPr>
          <w:b/>
          <w:bCs/>
        </w:rPr>
      </w:pPr>
      <w:r w:rsidRPr="002C350E">
        <w:rPr>
          <w:b/>
          <w:bCs/>
        </w:rPr>
        <w:t xml:space="preserve">Tax data </w:t>
      </w:r>
    </w:p>
    <w:tbl>
      <w:tblPr>
        <w:tblStyle w:val="ListTable3-Accent2"/>
        <w:tblW w:w="0" w:type="auto"/>
        <w:tblLook w:val="04A0" w:firstRow="1" w:lastRow="0" w:firstColumn="1" w:lastColumn="0" w:noHBand="0" w:noVBand="1"/>
      </w:tblPr>
      <w:tblGrid>
        <w:gridCol w:w="4531"/>
        <w:gridCol w:w="2268"/>
        <w:gridCol w:w="2264"/>
      </w:tblGrid>
      <w:tr w:rsidR="002C350E" w14:paraId="2E651B14" w14:textId="77777777" w:rsidTr="008E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single" w:sz="4" w:space="0" w:color="701F4D" w:themeColor="accent2"/>
            </w:tcBorders>
            <w:vAlign w:val="center"/>
          </w:tcPr>
          <w:p w14:paraId="7A85FBBC" w14:textId="77777777" w:rsidR="002C350E" w:rsidRPr="00620D7D" w:rsidRDefault="002C350E" w:rsidP="008E2424">
            <w:pPr>
              <w:pStyle w:val="TableHeaderCellLeft"/>
              <w:spacing w:before="120" w:after="120"/>
              <w:rPr>
                <w:sz w:val="24"/>
                <w:szCs w:val="24"/>
              </w:rPr>
            </w:pPr>
            <w:r>
              <w:rPr>
                <w:sz w:val="24"/>
                <w:szCs w:val="24"/>
              </w:rPr>
              <w:t>V</w:t>
            </w:r>
            <w:r w:rsidRPr="00620D7D">
              <w:rPr>
                <w:sz w:val="24"/>
                <w:szCs w:val="24"/>
              </w:rPr>
              <w:t xml:space="preserve">TTC </w:t>
            </w:r>
            <w:r>
              <w:rPr>
                <w:sz w:val="24"/>
                <w:szCs w:val="24"/>
              </w:rPr>
              <w:t>reporting</w:t>
            </w:r>
            <w:r w:rsidRPr="00620D7D">
              <w:rPr>
                <w:sz w:val="24"/>
                <w:szCs w:val="24"/>
              </w:rPr>
              <w:t xml:space="preserve"> requirements</w:t>
            </w:r>
          </w:p>
        </w:tc>
        <w:tc>
          <w:tcPr>
            <w:tcW w:w="2268" w:type="dxa"/>
            <w:tcBorders>
              <w:bottom w:val="single" w:sz="4" w:space="0" w:color="701F4D" w:themeColor="accent2"/>
            </w:tcBorders>
            <w:vAlign w:val="center"/>
          </w:tcPr>
          <w:p w14:paraId="01175848" w14:textId="77777777" w:rsidR="002C350E" w:rsidRPr="00620D7D" w:rsidRDefault="002C350E" w:rsidP="008E2424">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Public CbC reporter</w:t>
            </w:r>
          </w:p>
        </w:tc>
        <w:tc>
          <w:tcPr>
            <w:tcW w:w="2264" w:type="dxa"/>
            <w:tcBorders>
              <w:bottom w:val="single" w:sz="4" w:space="0" w:color="701F4D" w:themeColor="accent2"/>
            </w:tcBorders>
            <w:vAlign w:val="center"/>
          </w:tcPr>
          <w:p w14:paraId="77A274BB" w14:textId="77777777" w:rsidR="002C350E" w:rsidRPr="00620D7D" w:rsidRDefault="002C350E" w:rsidP="008E2424">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Non-public CbC reporter</w:t>
            </w:r>
          </w:p>
        </w:tc>
      </w:tr>
      <w:tr w:rsidR="002C350E" w14:paraId="0D961167"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2" w:space="0" w:color="701F4D" w:themeColor="accent2"/>
              <w:right w:val="single" w:sz="2" w:space="0" w:color="701F4D" w:themeColor="accent2"/>
            </w:tcBorders>
            <w:vAlign w:val="center"/>
          </w:tcPr>
          <w:p w14:paraId="30C1FF9D" w14:textId="77777777" w:rsidR="002C350E" w:rsidRPr="00567F9D" w:rsidRDefault="002C350E" w:rsidP="009B13B6">
            <w:pPr>
              <w:spacing w:before="0"/>
              <w:rPr>
                <w:b w:val="0"/>
                <w:bCs w:val="0"/>
              </w:rPr>
            </w:pPr>
            <w:r w:rsidRPr="00567F9D">
              <w:rPr>
                <w:b w:val="0"/>
                <w:bCs w:val="0"/>
              </w:rPr>
              <w:t>Total tax contribution</w:t>
            </w:r>
          </w:p>
        </w:tc>
        <w:tc>
          <w:tcPr>
            <w:tcW w:w="2268" w:type="dxa"/>
            <w:tcBorders>
              <w:top w:val="single" w:sz="2" w:space="0" w:color="701F4D" w:themeColor="accent2"/>
              <w:left w:val="single" w:sz="2" w:space="0" w:color="701F4D" w:themeColor="accent2"/>
              <w:right w:val="single" w:sz="2" w:space="0" w:color="701F4D" w:themeColor="accent2"/>
            </w:tcBorders>
            <w:vAlign w:val="center"/>
          </w:tcPr>
          <w:p w14:paraId="1D77F50A" w14:textId="5F745817" w:rsidR="002C350E" w:rsidRPr="008212AE"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rPr>
            </w:pPr>
            <w:r w:rsidRPr="005177BD">
              <w:rPr>
                <w:rFonts w:ascii="Segoe UI Symbol" w:hAnsi="Segoe UI Symbol" w:cs="Segoe UI Symbol"/>
                <w:color w:val="701F4D" w:themeColor="accent2"/>
              </w:rPr>
              <w:t>✔</w:t>
            </w:r>
          </w:p>
        </w:tc>
        <w:tc>
          <w:tcPr>
            <w:tcW w:w="2264" w:type="dxa"/>
            <w:tcBorders>
              <w:top w:val="single" w:sz="2" w:space="0" w:color="701F4D" w:themeColor="accent2"/>
              <w:left w:val="single" w:sz="2" w:space="0" w:color="701F4D" w:themeColor="accent2"/>
            </w:tcBorders>
            <w:vAlign w:val="center"/>
          </w:tcPr>
          <w:p w14:paraId="1E0053A8" w14:textId="77777777" w:rsidR="002C350E" w:rsidRPr="005177BD"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2C350E" w14:paraId="6104CA89"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top w:val="single" w:sz="2" w:space="0" w:color="701F4D" w:themeColor="accent2"/>
              <w:right w:val="single" w:sz="2" w:space="0" w:color="701F4D" w:themeColor="accent2"/>
            </w:tcBorders>
            <w:vAlign w:val="center"/>
          </w:tcPr>
          <w:p w14:paraId="512646D4" w14:textId="77777777" w:rsidR="002C350E" w:rsidRPr="00567F9D" w:rsidRDefault="002C350E" w:rsidP="009B13B6">
            <w:pPr>
              <w:spacing w:before="0"/>
              <w:rPr>
                <w:b w:val="0"/>
                <w:bCs w:val="0"/>
              </w:rPr>
            </w:pPr>
            <w:r w:rsidRPr="00567F9D">
              <w:rPr>
                <w:b w:val="0"/>
                <w:bCs w:val="0"/>
              </w:rPr>
              <w:t>Effective tax rate for Australian and global operations</w:t>
            </w:r>
          </w:p>
        </w:tc>
        <w:tc>
          <w:tcPr>
            <w:tcW w:w="2268" w:type="dxa"/>
            <w:tcBorders>
              <w:top w:val="single" w:sz="2" w:space="0" w:color="701F4D" w:themeColor="accent2"/>
              <w:left w:val="single" w:sz="2" w:space="0" w:color="701F4D" w:themeColor="accent2"/>
              <w:right w:val="single" w:sz="2" w:space="0" w:color="701F4D" w:themeColor="accent2"/>
            </w:tcBorders>
            <w:vAlign w:val="center"/>
          </w:tcPr>
          <w:p w14:paraId="44780583" w14:textId="77777777" w:rsidR="002C350E" w:rsidRPr="008212A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rPr>
                <w:color w:val="701F4D" w:themeColor="accent2"/>
              </w:rPr>
            </w:pPr>
            <w:r w:rsidRPr="005177BD">
              <w:rPr>
                <w:rFonts w:ascii="Segoe UI Symbol" w:hAnsi="Segoe UI Symbol" w:cs="Segoe UI Symbol"/>
                <w:color w:val="701F4D" w:themeColor="accent2"/>
              </w:rPr>
              <w:t>✔</w:t>
            </w:r>
          </w:p>
        </w:tc>
        <w:tc>
          <w:tcPr>
            <w:tcW w:w="2264" w:type="dxa"/>
            <w:tcBorders>
              <w:top w:val="single" w:sz="2" w:space="0" w:color="701F4D" w:themeColor="accent2"/>
              <w:left w:val="single" w:sz="2" w:space="0" w:color="701F4D" w:themeColor="accent2"/>
            </w:tcBorders>
            <w:vAlign w:val="center"/>
          </w:tcPr>
          <w:p w14:paraId="4B784BE7" w14:textId="77777777" w:rsidR="002C350E" w:rsidRPr="005177BD"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2C350E" w14:paraId="79D3AA7E"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2" w:space="0" w:color="701F4D" w:themeColor="accent2"/>
              <w:right w:val="single" w:sz="2" w:space="0" w:color="701F4D" w:themeColor="accent2"/>
            </w:tcBorders>
            <w:vAlign w:val="center"/>
          </w:tcPr>
          <w:p w14:paraId="0FDAE002" w14:textId="77777777" w:rsidR="002C350E" w:rsidRPr="00567F9D" w:rsidRDefault="002C350E" w:rsidP="009B13B6">
            <w:pPr>
              <w:spacing w:before="0"/>
              <w:rPr>
                <w:b w:val="0"/>
                <w:bCs w:val="0"/>
              </w:rPr>
            </w:pPr>
            <w:r w:rsidRPr="00567F9D">
              <w:rPr>
                <w:b w:val="0"/>
                <w:bCs w:val="0"/>
              </w:rPr>
              <w:t>Reconciliation of accounting profit to income tax expense to income tax paid or payable</w:t>
            </w:r>
          </w:p>
        </w:tc>
        <w:tc>
          <w:tcPr>
            <w:tcW w:w="2268" w:type="dxa"/>
            <w:tcBorders>
              <w:top w:val="single" w:sz="2" w:space="0" w:color="701F4D" w:themeColor="accent2"/>
              <w:left w:val="single" w:sz="2" w:space="0" w:color="701F4D" w:themeColor="accent2"/>
              <w:right w:val="single" w:sz="2" w:space="0" w:color="701F4D" w:themeColor="accent2"/>
            </w:tcBorders>
            <w:vAlign w:val="center"/>
          </w:tcPr>
          <w:p w14:paraId="5AD07854" w14:textId="77777777" w:rsidR="002C350E" w:rsidRPr="00D40F81"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sz w:val="20"/>
                <w:szCs w:val="20"/>
              </w:rPr>
            </w:pPr>
            <w:r w:rsidRPr="00D40F81">
              <w:rPr>
                <w:color w:val="701F4D" w:themeColor="accent2"/>
                <w:sz w:val="20"/>
                <w:szCs w:val="20"/>
              </w:rPr>
              <w:t>Covered by the public CbCr</w:t>
            </w:r>
          </w:p>
        </w:tc>
        <w:tc>
          <w:tcPr>
            <w:tcW w:w="2264" w:type="dxa"/>
            <w:tcBorders>
              <w:top w:val="single" w:sz="2" w:space="0" w:color="701F4D" w:themeColor="accent2"/>
              <w:left w:val="single" w:sz="2" w:space="0" w:color="701F4D" w:themeColor="accent2"/>
            </w:tcBorders>
            <w:vAlign w:val="center"/>
          </w:tcPr>
          <w:p w14:paraId="0AA512EC" w14:textId="77777777" w:rsidR="002C350E"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r w:rsidR="002C350E" w14:paraId="700132FD"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48409DE8" w14:textId="77777777" w:rsidR="002C350E" w:rsidRPr="00567F9D" w:rsidRDefault="002C350E" w:rsidP="009B13B6">
            <w:pPr>
              <w:spacing w:before="0"/>
              <w:rPr>
                <w:b w:val="0"/>
                <w:bCs w:val="0"/>
              </w:rPr>
            </w:pPr>
            <w:r w:rsidRPr="00567F9D">
              <w:rPr>
                <w:b w:val="0"/>
                <w:bCs w:val="0"/>
              </w:rPr>
              <w:t xml:space="preserve">Reconciliation to ATO </w:t>
            </w:r>
            <w:r>
              <w:rPr>
                <w:b w:val="0"/>
                <w:bCs w:val="0"/>
              </w:rPr>
              <w:t>C</w:t>
            </w:r>
            <w:r w:rsidRPr="00567F9D">
              <w:rPr>
                <w:b w:val="0"/>
                <w:bCs w:val="0"/>
              </w:rPr>
              <w:t xml:space="preserve">orporate </w:t>
            </w:r>
            <w:r>
              <w:rPr>
                <w:b w:val="0"/>
                <w:bCs w:val="0"/>
              </w:rPr>
              <w:t>T</w:t>
            </w:r>
            <w:r w:rsidRPr="00567F9D">
              <w:rPr>
                <w:b w:val="0"/>
                <w:bCs w:val="0"/>
              </w:rPr>
              <w:t xml:space="preserve">ax </w:t>
            </w:r>
            <w:r>
              <w:rPr>
                <w:b w:val="0"/>
                <w:bCs w:val="0"/>
              </w:rPr>
              <w:t>T</w:t>
            </w:r>
            <w:r w:rsidRPr="00567F9D">
              <w:rPr>
                <w:b w:val="0"/>
                <w:bCs w:val="0"/>
              </w:rPr>
              <w:t xml:space="preserve">ransparency </w:t>
            </w:r>
            <w:r>
              <w:rPr>
                <w:b w:val="0"/>
                <w:bCs w:val="0"/>
              </w:rPr>
              <w:t>D</w:t>
            </w:r>
            <w:r w:rsidRPr="00567F9D">
              <w:rPr>
                <w:b w:val="0"/>
                <w:bCs w:val="0"/>
              </w:rPr>
              <w:t>isclosures</w:t>
            </w:r>
          </w:p>
        </w:tc>
        <w:tc>
          <w:tcPr>
            <w:tcW w:w="2268" w:type="dxa"/>
            <w:tcBorders>
              <w:left w:val="single" w:sz="2" w:space="0" w:color="701F4D" w:themeColor="accent2"/>
              <w:right w:val="single" w:sz="2" w:space="0" w:color="701F4D" w:themeColor="accent2"/>
            </w:tcBorders>
            <w:vAlign w:val="center"/>
          </w:tcPr>
          <w:p w14:paraId="71F6AA1D" w14:textId="77777777" w:rsidR="002C350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c>
          <w:tcPr>
            <w:tcW w:w="2264" w:type="dxa"/>
            <w:tcBorders>
              <w:left w:val="single" w:sz="2" w:space="0" w:color="701F4D" w:themeColor="accent2"/>
            </w:tcBorders>
            <w:vAlign w:val="center"/>
          </w:tcPr>
          <w:p w14:paraId="1EE91CC3" w14:textId="77777777" w:rsidR="002C350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bl>
    <w:p w14:paraId="71D302F8" w14:textId="77777777" w:rsidR="00C942C8" w:rsidRDefault="00C942C8" w:rsidP="002C350E">
      <w:pPr>
        <w:rPr>
          <w:b/>
          <w:bCs/>
        </w:rPr>
      </w:pPr>
    </w:p>
    <w:p w14:paraId="13524DC2" w14:textId="77777777" w:rsidR="00C942C8" w:rsidRDefault="00C942C8">
      <w:pPr>
        <w:rPr>
          <w:b/>
          <w:bCs/>
        </w:rPr>
      </w:pPr>
      <w:r>
        <w:rPr>
          <w:b/>
          <w:bCs/>
        </w:rPr>
        <w:br w:type="page"/>
      </w:r>
    </w:p>
    <w:p w14:paraId="447AFDE4" w14:textId="4725E1C0" w:rsidR="002C350E" w:rsidRPr="002C350E" w:rsidRDefault="002C350E" w:rsidP="002C350E">
      <w:pPr>
        <w:rPr>
          <w:b/>
          <w:bCs/>
        </w:rPr>
      </w:pPr>
      <w:r w:rsidRPr="002C350E">
        <w:rPr>
          <w:b/>
          <w:bCs/>
        </w:rPr>
        <w:lastRenderedPageBreak/>
        <w:t xml:space="preserve">Overall approach to tax </w:t>
      </w:r>
    </w:p>
    <w:tbl>
      <w:tblPr>
        <w:tblStyle w:val="ListTable3-Accent2"/>
        <w:tblW w:w="0" w:type="auto"/>
        <w:tblLook w:val="04A0" w:firstRow="1" w:lastRow="0" w:firstColumn="1" w:lastColumn="0" w:noHBand="0" w:noVBand="1"/>
      </w:tblPr>
      <w:tblGrid>
        <w:gridCol w:w="4531"/>
        <w:gridCol w:w="2268"/>
        <w:gridCol w:w="2264"/>
      </w:tblGrid>
      <w:tr w:rsidR="002C350E" w14:paraId="33356C9C" w14:textId="77777777" w:rsidTr="008E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single" w:sz="4" w:space="0" w:color="701F4D" w:themeColor="accent2"/>
            </w:tcBorders>
            <w:vAlign w:val="center"/>
          </w:tcPr>
          <w:p w14:paraId="67110494" w14:textId="77777777" w:rsidR="002C350E" w:rsidRPr="00620D7D" w:rsidRDefault="002C350E" w:rsidP="008E2424">
            <w:pPr>
              <w:pStyle w:val="TableHeaderCellLeft"/>
              <w:spacing w:before="120" w:after="120"/>
              <w:rPr>
                <w:sz w:val="24"/>
                <w:szCs w:val="24"/>
              </w:rPr>
            </w:pPr>
            <w:r>
              <w:rPr>
                <w:sz w:val="24"/>
                <w:szCs w:val="24"/>
              </w:rPr>
              <w:t>V</w:t>
            </w:r>
            <w:r w:rsidRPr="00620D7D">
              <w:rPr>
                <w:sz w:val="24"/>
                <w:szCs w:val="24"/>
              </w:rPr>
              <w:t xml:space="preserve">TTC </w:t>
            </w:r>
            <w:r>
              <w:rPr>
                <w:sz w:val="24"/>
                <w:szCs w:val="24"/>
              </w:rPr>
              <w:t>reporting</w:t>
            </w:r>
            <w:r w:rsidRPr="00620D7D">
              <w:rPr>
                <w:sz w:val="24"/>
                <w:szCs w:val="24"/>
              </w:rPr>
              <w:t xml:space="preserve"> requirements</w:t>
            </w:r>
          </w:p>
        </w:tc>
        <w:tc>
          <w:tcPr>
            <w:tcW w:w="2268" w:type="dxa"/>
            <w:tcBorders>
              <w:bottom w:val="single" w:sz="4" w:space="0" w:color="701F4D" w:themeColor="accent2"/>
            </w:tcBorders>
            <w:vAlign w:val="center"/>
          </w:tcPr>
          <w:p w14:paraId="12E9868C" w14:textId="77777777" w:rsidR="002C350E" w:rsidRPr="00620D7D" w:rsidRDefault="002C350E" w:rsidP="008E2424">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Public CbC reporter</w:t>
            </w:r>
          </w:p>
        </w:tc>
        <w:tc>
          <w:tcPr>
            <w:tcW w:w="2264" w:type="dxa"/>
            <w:tcBorders>
              <w:bottom w:val="single" w:sz="4" w:space="0" w:color="701F4D" w:themeColor="accent2"/>
            </w:tcBorders>
            <w:vAlign w:val="center"/>
          </w:tcPr>
          <w:p w14:paraId="23DB681A" w14:textId="77777777" w:rsidR="002C350E" w:rsidRPr="00620D7D" w:rsidRDefault="002C350E" w:rsidP="008E2424">
            <w:pPr>
              <w:pStyle w:val="TableHeaderCellLeft"/>
              <w:spacing w:before="120" w:after="12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Non-public CbC reporter</w:t>
            </w:r>
          </w:p>
        </w:tc>
      </w:tr>
      <w:tr w:rsidR="002C350E" w14:paraId="54FF7EBE"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4DB4C289" w14:textId="77777777" w:rsidR="002C350E" w:rsidRDefault="002C350E" w:rsidP="009B13B6">
            <w:pPr>
              <w:spacing w:before="0"/>
              <w:rPr>
                <w:b w:val="0"/>
                <w:bCs w:val="0"/>
              </w:rPr>
            </w:pPr>
            <w:r>
              <w:rPr>
                <w:b w:val="0"/>
                <w:bCs w:val="0"/>
              </w:rPr>
              <w:t xml:space="preserve">Approach to tax </w:t>
            </w:r>
          </w:p>
        </w:tc>
        <w:tc>
          <w:tcPr>
            <w:tcW w:w="2268" w:type="dxa"/>
            <w:tcBorders>
              <w:left w:val="single" w:sz="2" w:space="0" w:color="701F4D" w:themeColor="accent2"/>
              <w:right w:val="single" w:sz="2" w:space="0" w:color="701F4D" w:themeColor="accent2"/>
            </w:tcBorders>
            <w:vAlign w:val="center"/>
          </w:tcPr>
          <w:p w14:paraId="2A97EBCB" w14:textId="77777777" w:rsidR="002C350E" w:rsidRPr="00D40F81"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sz w:val="20"/>
                <w:szCs w:val="20"/>
              </w:rPr>
            </w:pPr>
            <w:r w:rsidRPr="00D40F81">
              <w:rPr>
                <w:color w:val="701F4D" w:themeColor="accent2"/>
                <w:sz w:val="20"/>
                <w:szCs w:val="20"/>
              </w:rPr>
              <w:t>Covered by the public CbCr</w:t>
            </w:r>
          </w:p>
        </w:tc>
        <w:tc>
          <w:tcPr>
            <w:tcW w:w="2264" w:type="dxa"/>
            <w:tcBorders>
              <w:left w:val="single" w:sz="2" w:space="0" w:color="701F4D" w:themeColor="accent2"/>
            </w:tcBorders>
            <w:vAlign w:val="center"/>
          </w:tcPr>
          <w:p w14:paraId="213DA569" w14:textId="77777777" w:rsidR="002C350E" w:rsidRPr="005177BD"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2C350E" w14:paraId="23E4296A"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4E1172C6" w14:textId="18ED725F" w:rsidR="002C350E" w:rsidRDefault="002C350E" w:rsidP="009B13B6">
            <w:pPr>
              <w:spacing w:before="0"/>
            </w:pPr>
            <w:r>
              <w:rPr>
                <w:b w:val="0"/>
                <w:bCs w:val="0"/>
              </w:rPr>
              <w:t>Tax governance, control and risk management</w:t>
            </w:r>
          </w:p>
        </w:tc>
        <w:tc>
          <w:tcPr>
            <w:tcW w:w="2268" w:type="dxa"/>
            <w:tcBorders>
              <w:left w:val="single" w:sz="2" w:space="0" w:color="701F4D" w:themeColor="accent2"/>
              <w:right w:val="single" w:sz="4" w:space="0" w:color="701F4D" w:themeColor="accent2"/>
            </w:tcBorders>
            <w:vAlign w:val="center"/>
          </w:tcPr>
          <w:p w14:paraId="0E6CF817" w14:textId="74F2CB6F" w:rsidR="002C350E" w:rsidRPr="00D40F81"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rPr>
                <w:color w:val="701F4D" w:themeColor="accent2"/>
                <w:sz w:val="20"/>
                <w:szCs w:val="20"/>
              </w:rPr>
            </w:pPr>
            <w:r w:rsidRPr="00D40F81">
              <w:rPr>
                <w:color w:val="701F4D" w:themeColor="accent2"/>
                <w:sz w:val="20"/>
                <w:szCs w:val="20"/>
              </w:rPr>
              <w:t>Optional elements only</w:t>
            </w:r>
          </w:p>
        </w:tc>
        <w:tc>
          <w:tcPr>
            <w:tcW w:w="2264" w:type="dxa"/>
            <w:tcBorders>
              <w:left w:val="single" w:sz="4" w:space="0" w:color="701F4D" w:themeColor="accent2"/>
            </w:tcBorders>
            <w:vAlign w:val="center"/>
          </w:tcPr>
          <w:p w14:paraId="05763BE3" w14:textId="094F67F4" w:rsidR="002C350E" w:rsidRPr="00D40F81"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rPr>
                <w:color w:val="701F4D" w:themeColor="accent2"/>
                <w:sz w:val="20"/>
                <w:szCs w:val="20"/>
              </w:rPr>
            </w:pPr>
            <w:r w:rsidRPr="00D40F81">
              <w:rPr>
                <w:color w:val="701F4D" w:themeColor="accent2"/>
                <w:sz w:val="20"/>
                <w:szCs w:val="20"/>
              </w:rPr>
              <w:t>Optional elements only</w:t>
            </w:r>
          </w:p>
        </w:tc>
      </w:tr>
      <w:tr w:rsidR="002C350E" w14:paraId="1835F0EA"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2ADCFCA8" w14:textId="3FA59D2B" w:rsidR="002C350E" w:rsidRPr="00567F9D" w:rsidRDefault="002C350E" w:rsidP="009B13B6">
            <w:pPr>
              <w:spacing w:before="0"/>
              <w:rPr>
                <w:b w:val="0"/>
                <w:bCs w:val="0"/>
              </w:rPr>
            </w:pPr>
            <w:r>
              <w:rPr>
                <w:b w:val="0"/>
                <w:bCs w:val="0"/>
              </w:rPr>
              <w:t>Stakeholder engagement and management of concerns related to tax</w:t>
            </w:r>
          </w:p>
        </w:tc>
        <w:tc>
          <w:tcPr>
            <w:tcW w:w="2268" w:type="dxa"/>
            <w:tcBorders>
              <w:left w:val="single" w:sz="2" w:space="0" w:color="701F4D" w:themeColor="accent2"/>
              <w:right w:val="single" w:sz="4" w:space="0" w:color="701F4D" w:themeColor="accent2"/>
            </w:tcBorders>
            <w:vAlign w:val="center"/>
          </w:tcPr>
          <w:p w14:paraId="7AD57798" w14:textId="1F3083E4" w:rsidR="002C350E" w:rsidRPr="00D40F81"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sz w:val="20"/>
                <w:szCs w:val="20"/>
              </w:rPr>
            </w:pPr>
            <w:r w:rsidRPr="00D40F81">
              <w:rPr>
                <w:color w:val="701F4D" w:themeColor="accent2"/>
                <w:sz w:val="20"/>
                <w:szCs w:val="20"/>
              </w:rPr>
              <w:t>Optional elements only</w:t>
            </w:r>
          </w:p>
        </w:tc>
        <w:tc>
          <w:tcPr>
            <w:tcW w:w="2264" w:type="dxa"/>
            <w:tcBorders>
              <w:left w:val="single" w:sz="4" w:space="0" w:color="701F4D" w:themeColor="accent2"/>
            </w:tcBorders>
            <w:vAlign w:val="center"/>
          </w:tcPr>
          <w:p w14:paraId="6A59F5C2" w14:textId="10E7DA82" w:rsidR="002C350E" w:rsidRPr="00D40F81" w:rsidRDefault="002C350E" w:rsidP="002C350E">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sz w:val="20"/>
                <w:szCs w:val="20"/>
              </w:rPr>
            </w:pPr>
            <w:r w:rsidRPr="00D40F81">
              <w:rPr>
                <w:color w:val="701F4D" w:themeColor="accent2"/>
                <w:sz w:val="20"/>
                <w:szCs w:val="20"/>
              </w:rPr>
              <w:t>Optional elements only</w:t>
            </w:r>
          </w:p>
        </w:tc>
      </w:tr>
      <w:tr w:rsidR="002C350E" w14:paraId="38690AD0" w14:textId="77777777" w:rsidTr="009B13B6">
        <w:tc>
          <w:tcPr>
            <w:cnfStyle w:val="001000000000" w:firstRow="0" w:lastRow="0" w:firstColumn="1" w:lastColumn="0" w:oddVBand="0" w:evenVBand="0" w:oddHBand="0" w:evenHBand="0" w:firstRowFirstColumn="0" w:firstRowLastColumn="0" w:lastRowFirstColumn="0" w:lastRowLastColumn="0"/>
            <w:tcW w:w="4531" w:type="dxa"/>
            <w:tcBorders>
              <w:right w:val="single" w:sz="2" w:space="0" w:color="701F4D" w:themeColor="accent2"/>
            </w:tcBorders>
            <w:vAlign w:val="center"/>
          </w:tcPr>
          <w:p w14:paraId="3BD0331C" w14:textId="77777777" w:rsidR="002C350E" w:rsidRPr="00567F9D" w:rsidRDefault="002C350E" w:rsidP="009B13B6">
            <w:pPr>
              <w:spacing w:before="0"/>
              <w:rPr>
                <w:b w:val="0"/>
                <w:bCs w:val="0"/>
              </w:rPr>
            </w:pPr>
            <w:r w:rsidRPr="00567F9D">
              <w:rPr>
                <w:b w:val="0"/>
                <w:bCs w:val="0"/>
              </w:rPr>
              <w:t>International related party dealings summary</w:t>
            </w:r>
          </w:p>
        </w:tc>
        <w:tc>
          <w:tcPr>
            <w:tcW w:w="2268" w:type="dxa"/>
            <w:tcBorders>
              <w:left w:val="single" w:sz="2" w:space="0" w:color="701F4D" w:themeColor="accent2"/>
              <w:right w:val="single" w:sz="2" w:space="0" w:color="701F4D" w:themeColor="accent2"/>
            </w:tcBorders>
            <w:vAlign w:val="center"/>
          </w:tcPr>
          <w:p w14:paraId="3D4598C8" w14:textId="77777777" w:rsidR="002C350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c>
          <w:tcPr>
            <w:tcW w:w="2264" w:type="dxa"/>
            <w:tcBorders>
              <w:left w:val="single" w:sz="2" w:space="0" w:color="701F4D" w:themeColor="accent2"/>
            </w:tcBorders>
            <w:vAlign w:val="center"/>
          </w:tcPr>
          <w:p w14:paraId="320301CE" w14:textId="77777777" w:rsidR="002C350E" w:rsidRDefault="002C350E" w:rsidP="002C350E">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bl>
    <w:p w14:paraId="556AAE33" w14:textId="1D7555D4" w:rsidR="00505A4B" w:rsidRPr="00686AC0" w:rsidRDefault="004A1B89" w:rsidP="00BB61F7">
      <w:pPr>
        <w:pStyle w:val="Heading2"/>
        <w:spacing w:before="240"/>
      </w:pPr>
      <w:bookmarkStart w:id="20" w:name="_Toc199855166"/>
      <w:r>
        <w:rPr>
          <w:color w:val="auto"/>
          <w:sz w:val="28"/>
        </w:rPr>
        <w:t>V</w:t>
      </w:r>
      <w:r w:rsidR="00505A4B" w:rsidRPr="000F7121">
        <w:rPr>
          <w:color w:val="auto"/>
          <w:sz w:val="28"/>
        </w:rPr>
        <w:t>TTC Navigation</w:t>
      </w:r>
      <w:bookmarkEnd w:id="20"/>
      <w:r w:rsidR="00505A4B" w:rsidRPr="000F7121">
        <w:rPr>
          <w:color w:val="auto"/>
          <w:sz w:val="28"/>
        </w:rPr>
        <w:t xml:space="preserve"> </w:t>
      </w:r>
    </w:p>
    <w:tbl>
      <w:tblPr>
        <w:tblStyle w:val="ListTable3-Accent2"/>
        <w:tblW w:w="0" w:type="auto"/>
        <w:tblLook w:val="04A0" w:firstRow="1" w:lastRow="0" w:firstColumn="1" w:lastColumn="0" w:noHBand="0" w:noVBand="1"/>
      </w:tblPr>
      <w:tblGrid>
        <w:gridCol w:w="2830"/>
        <w:gridCol w:w="3119"/>
        <w:gridCol w:w="3114"/>
      </w:tblGrid>
      <w:tr w:rsidR="00454D9C" w:rsidRPr="00620D7D" w14:paraId="22FBEDE6" w14:textId="77777777" w:rsidTr="00BB61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auto"/>
            </w:tcBorders>
            <w:vAlign w:val="center"/>
          </w:tcPr>
          <w:p w14:paraId="314F8C56" w14:textId="15251254" w:rsidR="00454D9C" w:rsidRPr="00620D7D" w:rsidRDefault="00254DE8">
            <w:pPr>
              <w:pStyle w:val="TableHeaderCellLeft"/>
              <w:spacing w:before="120" w:after="120"/>
              <w:rPr>
                <w:sz w:val="24"/>
                <w:szCs w:val="24"/>
              </w:rPr>
            </w:pPr>
            <w:r>
              <w:rPr>
                <w:sz w:val="24"/>
                <w:szCs w:val="24"/>
              </w:rPr>
              <w:t>V</w:t>
            </w:r>
            <w:r w:rsidR="00454D9C">
              <w:rPr>
                <w:sz w:val="24"/>
                <w:szCs w:val="24"/>
              </w:rPr>
              <w:t>TTC section</w:t>
            </w:r>
          </w:p>
        </w:tc>
        <w:tc>
          <w:tcPr>
            <w:tcW w:w="3119" w:type="dxa"/>
            <w:tcBorders>
              <w:bottom w:val="single" w:sz="4" w:space="0" w:color="auto"/>
            </w:tcBorders>
            <w:vAlign w:val="center"/>
          </w:tcPr>
          <w:p w14:paraId="53C79CD4" w14:textId="3DFAE3AE" w:rsidR="00454D9C" w:rsidRPr="00620D7D" w:rsidRDefault="00DE0E4A" w:rsidP="006F7E3E">
            <w:pPr>
              <w:pStyle w:val="TableHeaderCellLeft"/>
              <w:spacing w:before="120" w:after="12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Public </w:t>
            </w:r>
            <w:r w:rsidR="00454D9C">
              <w:rPr>
                <w:sz w:val="24"/>
                <w:szCs w:val="24"/>
              </w:rPr>
              <w:t>CbC reporter</w:t>
            </w:r>
          </w:p>
        </w:tc>
        <w:tc>
          <w:tcPr>
            <w:tcW w:w="3114" w:type="dxa"/>
            <w:tcBorders>
              <w:bottom w:val="single" w:sz="4" w:space="0" w:color="auto"/>
            </w:tcBorders>
            <w:vAlign w:val="center"/>
          </w:tcPr>
          <w:p w14:paraId="2BD845D6" w14:textId="566B03FE" w:rsidR="00454D9C" w:rsidRPr="00620D7D" w:rsidRDefault="00454D9C" w:rsidP="006F7E3E">
            <w:pPr>
              <w:pStyle w:val="TableHeaderCellLeft"/>
              <w:spacing w:before="120" w:after="12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Non-</w:t>
            </w:r>
            <w:r w:rsidR="00DE0E4A">
              <w:rPr>
                <w:sz w:val="24"/>
                <w:szCs w:val="24"/>
              </w:rPr>
              <w:t xml:space="preserve">public </w:t>
            </w:r>
            <w:r>
              <w:rPr>
                <w:sz w:val="24"/>
                <w:szCs w:val="24"/>
              </w:rPr>
              <w:t>CbC reporter</w:t>
            </w:r>
          </w:p>
        </w:tc>
      </w:tr>
      <w:tr w:rsidR="00454D9C" w:rsidRPr="005177BD" w14:paraId="6A4BA8B4"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701F4D"/>
              <w:right w:val="single" w:sz="4" w:space="0" w:color="701F4D" w:themeColor="accent2"/>
            </w:tcBorders>
            <w:shd w:val="clear" w:color="auto" w:fill="F6F2ED" w:themeFill="accent3" w:themeFillTint="33"/>
            <w:vAlign w:val="center"/>
          </w:tcPr>
          <w:p w14:paraId="06CF2AC6" w14:textId="154F6982" w:rsidR="00454D9C" w:rsidRPr="006F7E3E" w:rsidRDefault="006B4266" w:rsidP="009B13B6">
            <w:pPr>
              <w:spacing w:before="0"/>
              <w:rPr>
                <w:b w:val="0"/>
                <w:bCs w:val="0"/>
                <w:color w:val="701F4D" w:themeColor="accent2"/>
              </w:rPr>
            </w:pPr>
            <w:r>
              <w:rPr>
                <w:color w:val="701F4D" w:themeColor="accent2"/>
              </w:rPr>
              <w:t>V</w:t>
            </w:r>
            <w:r w:rsidR="00BA5DA1">
              <w:rPr>
                <w:color w:val="701F4D" w:themeColor="accent2"/>
              </w:rPr>
              <w:t>TTC r</w:t>
            </w:r>
            <w:r w:rsidR="00454D9C" w:rsidRPr="006F7E3E">
              <w:rPr>
                <w:color w:val="701F4D" w:themeColor="accent2"/>
              </w:rPr>
              <w:t xml:space="preserve">eporting requirements </w:t>
            </w:r>
          </w:p>
        </w:tc>
        <w:tc>
          <w:tcPr>
            <w:tcW w:w="3119" w:type="dxa"/>
            <w:tcBorders>
              <w:top w:val="single" w:sz="4" w:space="0" w:color="auto"/>
              <w:left w:val="single" w:sz="4" w:space="0" w:color="701F4D" w:themeColor="accent2"/>
              <w:bottom w:val="single" w:sz="4" w:space="0" w:color="701F4D"/>
              <w:right w:val="single" w:sz="4" w:space="0" w:color="701F4D"/>
            </w:tcBorders>
          </w:tcPr>
          <w:p w14:paraId="305745F4" w14:textId="3480ABE9" w:rsidR="003B5DAC" w:rsidRDefault="00454D9C" w:rsidP="00BB61F7">
            <w:pPr>
              <w:pStyle w:val="Bullet"/>
              <w:spacing w:before="0" w:after="0"/>
              <w:ind w:left="522" w:hanging="522"/>
              <w:cnfStyle w:val="000000100000" w:firstRow="0" w:lastRow="0" w:firstColumn="0" w:lastColumn="0" w:oddVBand="0" w:evenVBand="0" w:oddHBand="1"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Pr="0029793D">
              <w:rPr>
                <w:color w:val="701F4D" w:themeColor="accent2"/>
              </w:rPr>
              <w:t xml:space="preserve"> </w:t>
            </w:r>
            <w:r w:rsidR="00F51AE6" w:rsidRPr="0029793D">
              <w:rPr>
                <w:color w:val="701F4D" w:themeColor="accent2"/>
              </w:rPr>
              <w:t>8</w:t>
            </w:r>
            <w:r w:rsidR="000B4241" w:rsidRPr="0029793D">
              <w:rPr>
                <w:color w:val="701F4D" w:themeColor="accent2"/>
              </w:rPr>
              <w:t xml:space="preserve"> </w:t>
            </w:r>
            <w:r w:rsidR="003B5DAC">
              <w:rPr>
                <w:color w:val="701F4D" w:themeColor="accent2"/>
              </w:rPr>
              <w:t>–</w:t>
            </w:r>
            <w:r w:rsidR="000B4241" w:rsidRPr="0029793D">
              <w:rPr>
                <w:color w:val="701F4D" w:themeColor="accent2"/>
              </w:rPr>
              <w:t xml:space="preserve"> </w:t>
            </w:r>
            <w:r w:rsidR="00F51AE6" w:rsidRPr="0029793D">
              <w:rPr>
                <w:color w:val="701F4D" w:themeColor="accent2"/>
              </w:rPr>
              <w:t>12</w:t>
            </w:r>
          </w:p>
          <w:p w14:paraId="54A89305" w14:textId="772C2455" w:rsidR="00454D9C" w:rsidRPr="00BB61F7" w:rsidRDefault="00112E9D" w:rsidP="003B5DAC">
            <w:pPr>
              <w:pStyle w:val="Bullet"/>
              <w:numPr>
                <w:ilvl w:val="0"/>
                <w:numId w:val="0"/>
              </w:numPr>
              <w:spacing w:before="0" w:after="0"/>
              <w:ind w:left="522"/>
              <w:cnfStyle w:val="000000100000" w:firstRow="0" w:lastRow="0" w:firstColumn="0" w:lastColumn="0" w:oddVBand="0" w:evenVBand="0" w:oddHBand="1" w:evenHBand="0" w:firstRowFirstColumn="0" w:firstRowLastColumn="0" w:lastRowFirstColumn="0" w:lastRowLastColumn="0"/>
              <w:rPr>
                <w:color w:val="701F4D" w:themeColor="accent2"/>
              </w:rPr>
            </w:pPr>
            <w:hyperlink w:anchor="_Public_CbC_reporter" w:history="1">
              <w:r w:rsidR="00DE0E4A" w:rsidRPr="00DE0E4A">
                <w:rPr>
                  <w:rStyle w:val="Hyperlink"/>
                </w:rPr>
                <w:t xml:space="preserve">Public </w:t>
              </w:r>
              <w:r w:rsidR="00B103A7" w:rsidRPr="00DE0E4A">
                <w:rPr>
                  <w:rStyle w:val="Hyperlink"/>
                </w:rPr>
                <w:t>CbC reporter</w:t>
              </w:r>
            </w:hyperlink>
          </w:p>
        </w:tc>
        <w:tc>
          <w:tcPr>
            <w:tcW w:w="0" w:type="dxa"/>
            <w:tcBorders>
              <w:top w:val="single" w:sz="4" w:space="0" w:color="auto"/>
              <w:left w:val="single" w:sz="4" w:space="0" w:color="701F4D"/>
              <w:bottom w:val="single" w:sz="4" w:space="0" w:color="701F4D"/>
              <w:right w:val="single" w:sz="4" w:space="0" w:color="701F4D"/>
            </w:tcBorders>
          </w:tcPr>
          <w:p w14:paraId="5E1D1376" w14:textId="105C60D2" w:rsidR="00454D9C" w:rsidRPr="0029793D" w:rsidRDefault="00454D9C" w:rsidP="0076157F">
            <w:pPr>
              <w:pStyle w:val="Bullet"/>
              <w:spacing w:before="0" w:after="0"/>
              <w:ind w:left="522" w:hanging="522"/>
              <w:cnfStyle w:val="000000100000" w:firstRow="0" w:lastRow="0" w:firstColumn="0" w:lastColumn="0" w:oddVBand="0" w:evenVBand="0" w:oddHBand="1"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00F51AE6" w:rsidRPr="0029793D">
              <w:rPr>
                <w:color w:val="701F4D" w:themeColor="accent2"/>
              </w:rPr>
              <w:t xml:space="preserve"> 13</w:t>
            </w:r>
            <w:r w:rsidR="000B4241" w:rsidRPr="0029793D">
              <w:rPr>
                <w:color w:val="701F4D" w:themeColor="accent2"/>
              </w:rPr>
              <w:t xml:space="preserve"> </w:t>
            </w:r>
            <w:r w:rsidR="00F51AE6" w:rsidRPr="0029793D">
              <w:rPr>
                <w:color w:val="701F4D" w:themeColor="accent2"/>
              </w:rPr>
              <w:t>-</w:t>
            </w:r>
            <w:r w:rsidR="000B4241" w:rsidRPr="0029793D">
              <w:rPr>
                <w:color w:val="701F4D" w:themeColor="accent2"/>
              </w:rPr>
              <w:t xml:space="preserve"> </w:t>
            </w:r>
            <w:r w:rsidR="00F51AE6" w:rsidRPr="0029793D">
              <w:rPr>
                <w:color w:val="701F4D" w:themeColor="accent2"/>
              </w:rPr>
              <w:t>18</w:t>
            </w:r>
          </w:p>
          <w:p w14:paraId="621CFD48" w14:textId="2D8C7F9C" w:rsidR="006F7E3E" w:rsidRPr="00454D9C" w:rsidRDefault="00112E9D" w:rsidP="00BB61F7">
            <w:pPr>
              <w:pStyle w:val="Bullet"/>
              <w:numPr>
                <w:ilvl w:val="0"/>
                <w:numId w:val="0"/>
              </w:numPr>
              <w:spacing w:before="0" w:after="0"/>
              <w:ind w:left="522"/>
              <w:cnfStyle w:val="000000100000" w:firstRow="0" w:lastRow="0" w:firstColumn="0" w:lastColumn="0" w:oddVBand="0" w:evenVBand="0" w:oddHBand="1" w:evenHBand="0" w:firstRowFirstColumn="0" w:firstRowLastColumn="0" w:lastRowFirstColumn="0" w:lastRowLastColumn="0"/>
            </w:pPr>
            <w:hyperlink w:anchor="_Non-Significant_Global_Entity" w:history="1">
              <w:r w:rsidR="006F7E3E" w:rsidRPr="006F7E3E">
                <w:rPr>
                  <w:rStyle w:val="Hyperlink"/>
                </w:rPr>
                <w:t>Non-</w:t>
              </w:r>
              <w:r w:rsidR="00DE0E4A">
                <w:rPr>
                  <w:rStyle w:val="Hyperlink"/>
                </w:rPr>
                <w:t xml:space="preserve">public </w:t>
              </w:r>
              <w:r w:rsidR="006F7E3E" w:rsidRPr="006F7E3E">
                <w:rPr>
                  <w:rStyle w:val="Hyperlink"/>
                </w:rPr>
                <w:t>CbC reporter</w:t>
              </w:r>
            </w:hyperlink>
          </w:p>
        </w:tc>
      </w:tr>
      <w:tr w:rsidR="00454D9C" w:rsidRPr="005177BD" w14:paraId="5CCEF850" w14:textId="77777777" w:rsidTr="009B13B6">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vAlign w:val="center"/>
          </w:tcPr>
          <w:p w14:paraId="2B0D7BB4" w14:textId="095EC0D3" w:rsidR="00454D9C" w:rsidRPr="004B5D2F" w:rsidRDefault="00454D9C" w:rsidP="009B13B6">
            <w:pPr>
              <w:spacing w:before="0"/>
              <w:rPr>
                <w:color w:val="701F4D" w:themeColor="accent2"/>
              </w:rPr>
            </w:pPr>
            <w:r w:rsidRPr="004B5D2F">
              <w:rPr>
                <w:color w:val="701F4D" w:themeColor="accent2"/>
              </w:rPr>
              <w:t xml:space="preserve">Example </w:t>
            </w:r>
            <w:r w:rsidR="008C5345">
              <w:rPr>
                <w:color w:val="701F4D" w:themeColor="accent2"/>
              </w:rPr>
              <w:t>V</w:t>
            </w:r>
            <w:r w:rsidRPr="004B5D2F">
              <w:rPr>
                <w:color w:val="701F4D" w:themeColor="accent2"/>
              </w:rPr>
              <w:t xml:space="preserve">TTC report </w:t>
            </w:r>
            <w:r w:rsidR="00DE0E4A">
              <w:rPr>
                <w:color w:val="701F4D" w:themeColor="accent2"/>
              </w:rPr>
              <w:t>(Appendix A)</w:t>
            </w:r>
          </w:p>
        </w:tc>
        <w:tc>
          <w:tcPr>
            <w:tcW w:w="3119" w:type="dxa"/>
            <w:tcBorders>
              <w:top w:val="single" w:sz="4" w:space="0" w:color="701F4D"/>
              <w:left w:val="single" w:sz="4" w:space="0" w:color="701F4D"/>
              <w:bottom w:val="single" w:sz="4" w:space="0" w:color="701F4D"/>
              <w:right w:val="single" w:sz="4" w:space="0" w:color="701F4D"/>
            </w:tcBorders>
          </w:tcPr>
          <w:p w14:paraId="3F4F65C2" w14:textId="4D1A0AAF" w:rsidR="00454D9C" w:rsidRPr="00BB61F7" w:rsidRDefault="00454D9C" w:rsidP="0076157F">
            <w:pPr>
              <w:pStyle w:val="Bullet"/>
              <w:spacing w:before="0" w:after="0"/>
              <w:ind w:left="522" w:hanging="522"/>
              <w:cnfStyle w:val="000000000000" w:firstRow="0" w:lastRow="0" w:firstColumn="0" w:lastColumn="0" w:oddVBand="0" w:evenVBand="0" w:oddHBand="0"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00F51AE6" w:rsidRPr="0029793D">
              <w:rPr>
                <w:color w:val="701F4D" w:themeColor="accent2"/>
              </w:rPr>
              <w:t xml:space="preserve"> 20</w:t>
            </w:r>
            <w:r w:rsidR="000B4241" w:rsidRPr="0029793D">
              <w:rPr>
                <w:color w:val="701F4D" w:themeColor="accent2"/>
              </w:rPr>
              <w:t xml:space="preserve"> </w:t>
            </w:r>
            <w:r w:rsidR="00BB61F7">
              <w:rPr>
                <w:color w:val="701F4D" w:themeColor="accent2"/>
              </w:rPr>
              <w:t>–</w:t>
            </w:r>
            <w:r w:rsidR="000B4241" w:rsidRPr="0029793D">
              <w:rPr>
                <w:color w:val="701F4D" w:themeColor="accent2"/>
              </w:rPr>
              <w:t xml:space="preserve"> </w:t>
            </w:r>
            <w:r w:rsidR="004D73BE">
              <w:rPr>
                <w:color w:val="701F4D" w:themeColor="accent2"/>
              </w:rPr>
              <w:t>30</w:t>
            </w:r>
            <w:r w:rsidR="00BB61F7">
              <w:rPr>
                <w:color w:val="701F4D" w:themeColor="accent2"/>
              </w:rPr>
              <w:t xml:space="preserve"> </w:t>
            </w:r>
            <w:hyperlink w:anchor="_Public_CbC_Reporter:" w:history="1">
              <w:r w:rsidR="00DE0E4A" w:rsidRPr="00DE0E4A">
                <w:rPr>
                  <w:rStyle w:val="Hyperlink"/>
                </w:rPr>
                <w:t xml:space="preserve">Public </w:t>
              </w:r>
              <w:r w:rsidR="00B103A7" w:rsidRPr="00DE0E4A">
                <w:rPr>
                  <w:rStyle w:val="Hyperlink"/>
                </w:rPr>
                <w:t xml:space="preserve">CbC Reporter: Example </w:t>
              </w:r>
              <w:r w:rsidR="008C5345">
                <w:rPr>
                  <w:rStyle w:val="Hyperlink"/>
                </w:rPr>
                <w:t>V</w:t>
              </w:r>
              <w:r w:rsidR="00B103A7" w:rsidRPr="00DE0E4A">
                <w:rPr>
                  <w:rStyle w:val="Hyperlink"/>
                </w:rPr>
                <w:t>TTC Report</w:t>
              </w:r>
            </w:hyperlink>
          </w:p>
        </w:tc>
        <w:tc>
          <w:tcPr>
            <w:tcW w:w="3114" w:type="dxa"/>
            <w:tcBorders>
              <w:top w:val="single" w:sz="4" w:space="0" w:color="701F4D"/>
              <w:left w:val="single" w:sz="4" w:space="0" w:color="701F4D"/>
              <w:bottom w:val="single" w:sz="4" w:space="0" w:color="701F4D"/>
              <w:right w:val="single" w:sz="4" w:space="0" w:color="701F4D"/>
            </w:tcBorders>
          </w:tcPr>
          <w:p w14:paraId="1E5D1A6C" w14:textId="071DDB27" w:rsidR="00454D9C" w:rsidRPr="0029793D" w:rsidRDefault="00454D9C" w:rsidP="0076157F">
            <w:pPr>
              <w:pStyle w:val="Bullet"/>
              <w:spacing w:before="0" w:after="0"/>
              <w:ind w:left="522" w:hanging="522"/>
              <w:cnfStyle w:val="000000000000" w:firstRow="0" w:lastRow="0" w:firstColumn="0" w:lastColumn="0" w:oddVBand="0" w:evenVBand="0" w:oddHBand="0"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00AA2FF2" w:rsidRPr="0029793D">
              <w:rPr>
                <w:color w:val="701F4D" w:themeColor="accent2"/>
              </w:rPr>
              <w:t xml:space="preserve"> </w:t>
            </w:r>
            <w:r w:rsidR="004D73BE">
              <w:rPr>
                <w:color w:val="701F4D" w:themeColor="accent2"/>
              </w:rPr>
              <w:t>31</w:t>
            </w:r>
            <w:r w:rsidR="000B4241" w:rsidRPr="0029793D">
              <w:rPr>
                <w:color w:val="701F4D" w:themeColor="accent2"/>
              </w:rPr>
              <w:t xml:space="preserve"> </w:t>
            </w:r>
            <w:r w:rsidR="00AA2FF2" w:rsidRPr="0029793D">
              <w:rPr>
                <w:color w:val="701F4D" w:themeColor="accent2"/>
              </w:rPr>
              <w:t>-</w:t>
            </w:r>
            <w:r w:rsidR="000B4241" w:rsidRPr="0029793D">
              <w:rPr>
                <w:color w:val="701F4D" w:themeColor="accent2"/>
              </w:rPr>
              <w:t xml:space="preserve"> </w:t>
            </w:r>
            <w:r w:rsidR="004D73BE">
              <w:rPr>
                <w:color w:val="701F4D" w:themeColor="accent2"/>
              </w:rPr>
              <w:t>39</w:t>
            </w:r>
          </w:p>
          <w:p w14:paraId="63FF943F" w14:textId="0D32D450" w:rsidR="006F7E3E" w:rsidRPr="006F7E3E" w:rsidRDefault="00112E9D" w:rsidP="00BB61F7">
            <w:pPr>
              <w:pStyle w:val="Bullet"/>
              <w:numPr>
                <w:ilvl w:val="0"/>
                <w:numId w:val="0"/>
              </w:numPr>
              <w:spacing w:before="0" w:after="0"/>
              <w:ind w:left="52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w:anchor="_Non-public_CbC_Reporter:" w:history="1">
              <w:r w:rsidR="006F7E3E" w:rsidRPr="006F7E3E">
                <w:rPr>
                  <w:rStyle w:val="Hyperlink"/>
                  <w:rFonts w:asciiTheme="minorHAnsi" w:hAnsiTheme="minorHAnsi" w:cstheme="minorHAnsi"/>
                </w:rPr>
                <w:t>Non-</w:t>
              </w:r>
              <w:r w:rsidR="00DE0E4A">
                <w:rPr>
                  <w:rStyle w:val="Hyperlink"/>
                  <w:rFonts w:asciiTheme="minorHAnsi" w:hAnsiTheme="minorHAnsi" w:cstheme="minorHAnsi"/>
                </w:rPr>
                <w:t xml:space="preserve">public </w:t>
              </w:r>
              <w:r w:rsidR="006F7E3E" w:rsidRPr="006F7E3E">
                <w:rPr>
                  <w:rStyle w:val="Hyperlink"/>
                  <w:rFonts w:asciiTheme="minorHAnsi" w:hAnsiTheme="minorHAnsi" w:cstheme="minorHAnsi"/>
                </w:rPr>
                <w:t xml:space="preserve">CbC Reporter: Example </w:t>
              </w:r>
              <w:r w:rsidR="008C5345">
                <w:rPr>
                  <w:rStyle w:val="Hyperlink"/>
                  <w:rFonts w:asciiTheme="minorHAnsi" w:hAnsiTheme="minorHAnsi" w:cstheme="minorHAnsi"/>
                </w:rPr>
                <w:t>V</w:t>
              </w:r>
              <w:r w:rsidR="006F7E3E" w:rsidRPr="006F7E3E">
                <w:rPr>
                  <w:rStyle w:val="Hyperlink"/>
                  <w:rFonts w:asciiTheme="minorHAnsi" w:hAnsiTheme="minorHAnsi" w:cstheme="minorHAnsi"/>
                </w:rPr>
                <w:t>TTC Report</w:t>
              </w:r>
            </w:hyperlink>
          </w:p>
        </w:tc>
      </w:tr>
      <w:tr w:rsidR="00454D9C" w:rsidRPr="005177BD" w14:paraId="4C277E57" w14:textId="77777777" w:rsidTr="009B1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vAlign w:val="center"/>
          </w:tcPr>
          <w:p w14:paraId="19424A50" w14:textId="47B97C1F" w:rsidR="00454D9C" w:rsidRPr="00BB61F7" w:rsidRDefault="00254DE8" w:rsidP="009B13B6">
            <w:pPr>
              <w:spacing w:before="0"/>
              <w:rPr>
                <w:color w:val="701F4D" w:themeColor="accent2"/>
              </w:rPr>
            </w:pPr>
            <w:r>
              <w:rPr>
                <w:color w:val="701F4D" w:themeColor="accent2"/>
              </w:rPr>
              <w:t>V</w:t>
            </w:r>
            <w:r w:rsidR="00454D9C" w:rsidRPr="00BB61F7">
              <w:rPr>
                <w:color w:val="701F4D" w:themeColor="accent2"/>
              </w:rPr>
              <w:t xml:space="preserve">TTC checklist </w:t>
            </w:r>
            <w:r w:rsidR="00DE0E4A">
              <w:rPr>
                <w:color w:val="701F4D" w:themeColor="accent2"/>
              </w:rPr>
              <w:t>(Appendix B)</w:t>
            </w:r>
          </w:p>
        </w:tc>
        <w:tc>
          <w:tcPr>
            <w:tcW w:w="3119" w:type="dxa"/>
            <w:tcBorders>
              <w:top w:val="single" w:sz="4" w:space="0" w:color="701F4D"/>
              <w:left w:val="single" w:sz="4" w:space="0" w:color="701F4D"/>
              <w:bottom w:val="single" w:sz="4" w:space="0" w:color="701F4D"/>
              <w:right w:val="single" w:sz="4" w:space="0" w:color="701F4D"/>
            </w:tcBorders>
          </w:tcPr>
          <w:p w14:paraId="16CDFF10" w14:textId="12EFA712" w:rsidR="00B32F5A" w:rsidRPr="0029793D" w:rsidRDefault="00454D9C" w:rsidP="0076157F">
            <w:pPr>
              <w:pStyle w:val="Bullet"/>
              <w:spacing w:before="0" w:after="0"/>
              <w:ind w:left="522" w:hanging="522"/>
              <w:cnfStyle w:val="000000100000" w:firstRow="0" w:lastRow="0" w:firstColumn="0" w:lastColumn="0" w:oddVBand="0" w:evenVBand="0" w:oddHBand="1"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00F51AE6" w:rsidRPr="0029793D">
              <w:rPr>
                <w:color w:val="701F4D" w:themeColor="accent2"/>
              </w:rPr>
              <w:t xml:space="preserve"> </w:t>
            </w:r>
            <w:r w:rsidR="004D73BE">
              <w:rPr>
                <w:color w:val="701F4D" w:themeColor="accent2"/>
              </w:rPr>
              <w:t>40-42</w:t>
            </w:r>
          </w:p>
          <w:p w14:paraId="1F29A0DA" w14:textId="76BEE8FB" w:rsidR="00454D9C" w:rsidRPr="00454D9C" w:rsidRDefault="00112E9D" w:rsidP="00BB61F7">
            <w:pPr>
              <w:pStyle w:val="Bullet"/>
              <w:numPr>
                <w:ilvl w:val="0"/>
                <w:numId w:val="0"/>
              </w:numPr>
              <w:spacing w:before="0" w:after="0"/>
              <w:ind w:left="522"/>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hyperlink w:anchor="_CbC_reporter_1" w:history="1">
              <w:r w:rsidR="00DE0E4A" w:rsidRPr="00DE0E4A">
                <w:rPr>
                  <w:rStyle w:val="Hyperlink"/>
                </w:rPr>
                <w:t xml:space="preserve">Public </w:t>
              </w:r>
              <w:r w:rsidR="00B103A7" w:rsidRPr="00DE0E4A">
                <w:rPr>
                  <w:rStyle w:val="Hyperlink"/>
                </w:rPr>
                <w:t>CbC reporter</w:t>
              </w:r>
            </w:hyperlink>
          </w:p>
        </w:tc>
        <w:tc>
          <w:tcPr>
            <w:tcW w:w="3114" w:type="dxa"/>
            <w:tcBorders>
              <w:top w:val="single" w:sz="4" w:space="0" w:color="701F4D"/>
              <w:left w:val="single" w:sz="4" w:space="0" w:color="701F4D"/>
              <w:bottom w:val="single" w:sz="4" w:space="0" w:color="701F4D"/>
              <w:right w:val="single" w:sz="4" w:space="0" w:color="701F4D"/>
            </w:tcBorders>
          </w:tcPr>
          <w:p w14:paraId="2AB005BC" w14:textId="32D68A9E" w:rsidR="00454D9C" w:rsidRPr="0029793D" w:rsidRDefault="00454D9C" w:rsidP="0076157F">
            <w:pPr>
              <w:pStyle w:val="Bullet"/>
              <w:spacing w:before="0" w:after="0"/>
              <w:ind w:left="522" w:hanging="522"/>
              <w:cnfStyle w:val="000000100000" w:firstRow="0" w:lastRow="0" w:firstColumn="0" w:lastColumn="0" w:oddVBand="0" w:evenVBand="0" w:oddHBand="1" w:evenHBand="0" w:firstRowFirstColumn="0" w:firstRowLastColumn="0" w:lastRowFirstColumn="0" w:lastRowLastColumn="0"/>
              <w:rPr>
                <w:color w:val="701F4D" w:themeColor="accent2"/>
              </w:rPr>
            </w:pPr>
            <w:r w:rsidRPr="0029793D">
              <w:rPr>
                <w:color w:val="701F4D" w:themeColor="accent2"/>
              </w:rPr>
              <w:t>Navigate to page</w:t>
            </w:r>
            <w:r w:rsidR="00723C61" w:rsidRPr="0029793D">
              <w:rPr>
                <w:color w:val="701F4D" w:themeColor="accent2"/>
              </w:rPr>
              <w:t>s</w:t>
            </w:r>
            <w:r w:rsidR="00AA2FF2" w:rsidRPr="0029793D">
              <w:rPr>
                <w:color w:val="701F4D" w:themeColor="accent2"/>
              </w:rPr>
              <w:t xml:space="preserve"> </w:t>
            </w:r>
            <w:r w:rsidR="004D73BE">
              <w:rPr>
                <w:color w:val="701F4D" w:themeColor="accent2"/>
              </w:rPr>
              <w:t>43-45</w:t>
            </w:r>
          </w:p>
          <w:p w14:paraId="1B0C911B" w14:textId="0162E2BE" w:rsidR="006F7E3E" w:rsidRPr="00454D9C" w:rsidRDefault="00112E9D" w:rsidP="00BB61F7">
            <w:pPr>
              <w:pStyle w:val="Bullet"/>
              <w:numPr>
                <w:ilvl w:val="0"/>
                <w:numId w:val="0"/>
              </w:numPr>
              <w:spacing w:before="0" w:after="0"/>
              <w:ind w:left="522"/>
              <w:cnfStyle w:val="000000100000" w:firstRow="0" w:lastRow="0" w:firstColumn="0" w:lastColumn="0" w:oddVBand="0" w:evenVBand="0" w:oddHBand="1" w:evenHBand="0" w:firstRowFirstColumn="0" w:firstRowLastColumn="0" w:lastRowFirstColumn="0" w:lastRowLastColumn="0"/>
            </w:pPr>
            <w:hyperlink w:anchor="_Non-public_CbC_reporter" w:history="1">
              <w:r w:rsidR="006F7E3E" w:rsidRPr="006F7E3E">
                <w:rPr>
                  <w:rStyle w:val="Hyperlink"/>
                </w:rPr>
                <w:t>Non-</w:t>
              </w:r>
              <w:r w:rsidR="00DE0E4A">
                <w:rPr>
                  <w:rStyle w:val="Hyperlink"/>
                </w:rPr>
                <w:t xml:space="preserve">public </w:t>
              </w:r>
              <w:r w:rsidR="006F7E3E" w:rsidRPr="006F7E3E">
                <w:rPr>
                  <w:rStyle w:val="Hyperlink"/>
                </w:rPr>
                <w:t>CbC reporter</w:t>
              </w:r>
            </w:hyperlink>
          </w:p>
        </w:tc>
      </w:tr>
    </w:tbl>
    <w:p w14:paraId="57FBA5E8" w14:textId="77777777" w:rsidR="00164C29" w:rsidRDefault="00164C29">
      <w:r>
        <w:br w:type="page"/>
      </w:r>
    </w:p>
    <w:p w14:paraId="24216A6A" w14:textId="0DFF8575" w:rsidR="008903F7" w:rsidRPr="008903F7" w:rsidRDefault="00DE0E4A" w:rsidP="008903F7">
      <w:pPr>
        <w:pStyle w:val="Heading2"/>
      </w:pPr>
      <w:bookmarkStart w:id="21" w:name="_CbC_reporter"/>
      <w:bookmarkStart w:id="22" w:name="_Public_CbC_reporter"/>
      <w:bookmarkStart w:id="23" w:name="_Toc199855167"/>
      <w:bookmarkEnd w:id="21"/>
      <w:bookmarkEnd w:id="22"/>
      <w:r>
        <w:lastRenderedPageBreak/>
        <w:t xml:space="preserve">Public </w:t>
      </w:r>
      <w:r w:rsidR="00DD5AB2">
        <w:t>CbC</w:t>
      </w:r>
      <w:r w:rsidR="00821D6D">
        <w:t xml:space="preserve"> reporter</w:t>
      </w:r>
      <w:bookmarkEnd w:id="23"/>
      <w:r w:rsidR="00821D6D">
        <w:t xml:space="preserve"> </w:t>
      </w:r>
    </w:p>
    <w:tbl>
      <w:tblPr>
        <w:tblStyle w:val="ListTable3-Accent2"/>
        <w:tblW w:w="0" w:type="auto"/>
        <w:tblLook w:val="04A0" w:firstRow="1" w:lastRow="0" w:firstColumn="1" w:lastColumn="0" w:noHBand="0" w:noVBand="1"/>
      </w:tblPr>
      <w:tblGrid>
        <w:gridCol w:w="6658"/>
        <w:gridCol w:w="2409"/>
      </w:tblGrid>
      <w:tr w:rsidR="00E93BBD" w:rsidRPr="00E93BBD" w14:paraId="3F2957AA" w14:textId="77777777" w:rsidTr="00E93BBD">
        <w:trPr>
          <w:cnfStyle w:val="100000000000" w:firstRow="1" w:lastRow="0" w:firstColumn="0" w:lastColumn="0" w:oddVBand="0" w:evenVBand="0" w:oddHBand="0" w:evenHBand="0" w:firstRowFirstColumn="0" w:firstRowLastColumn="0" w:lastRowFirstColumn="0" w:lastRowLastColumn="0"/>
          <w:trHeight w:val="263"/>
        </w:trPr>
        <w:tc>
          <w:tcPr>
            <w:cnfStyle w:val="001000000100" w:firstRow="0" w:lastRow="0" w:firstColumn="1" w:lastColumn="0" w:oddVBand="0" w:evenVBand="0" w:oddHBand="0" w:evenHBand="0" w:firstRowFirstColumn="1" w:firstRowLastColumn="0" w:lastRowFirstColumn="0" w:lastRowLastColumn="0"/>
            <w:tcW w:w="6658" w:type="dxa"/>
            <w:tcBorders>
              <w:bottom w:val="single" w:sz="4" w:space="0" w:color="701F4D" w:themeColor="accent2"/>
            </w:tcBorders>
            <w:vAlign w:val="center"/>
          </w:tcPr>
          <w:p w14:paraId="60FE2BB5" w14:textId="598B51F0" w:rsidR="00E93BBD" w:rsidRPr="00E53B3C" w:rsidRDefault="00792696" w:rsidP="00991998">
            <w:pPr>
              <w:pStyle w:val="TableHeaderCellLeft"/>
              <w:spacing w:before="0" w:after="120"/>
              <w:rPr>
                <w:b/>
                <w:bCs w:val="0"/>
                <w:sz w:val="24"/>
                <w:szCs w:val="24"/>
              </w:rPr>
            </w:pPr>
            <w:r w:rsidRPr="00E53B3C">
              <w:rPr>
                <w:b/>
                <w:bCs w:val="0"/>
                <w:sz w:val="24"/>
                <w:szCs w:val="24"/>
              </w:rPr>
              <w:t>V</w:t>
            </w:r>
            <w:r w:rsidR="00E93BBD" w:rsidRPr="00E53B3C">
              <w:rPr>
                <w:b/>
                <w:bCs w:val="0"/>
                <w:sz w:val="24"/>
                <w:szCs w:val="24"/>
              </w:rPr>
              <w:t xml:space="preserve">TTC </w:t>
            </w:r>
            <w:r w:rsidR="001C2AB3" w:rsidRPr="00E53B3C">
              <w:rPr>
                <w:b/>
                <w:bCs w:val="0"/>
                <w:sz w:val="24"/>
                <w:szCs w:val="24"/>
              </w:rPr>
              <w:t>reporting</w:t>
            </w:r>
            <w:r w:rsidR="00E93BBD" w:rsidRPr="00E53B3C">
              <w:rPr>
                <w:b/>
                <w:bCs w:val="0"/>
                <w:sz w:val="24"/>
                <w:szCs w:val="24"/>
              </w:rPr>
              <w:t xml:space="preserve"> requirements</w:t>
            </w:r>
          </w:p>
        </w:tc>
        <w:tc>
          <w:tcPr>
            <w:tcW w:w="2409" w:type="dxa"/>
            <w:tcBorders>
              <w:bottom w:val="single" w:sz="4" w:space="0" w:color="701F4D" w:themeColor="accent2"/>
            </w:tcBorders>
            <w:vAlign w:val="center"/>
          </w:tcPr>
          <w:p w14:paraId="11DFA6AF" w14:textId="2A946794" w:rsidR="00E93BBD" w:rsidRPr="00E53B3C" w:rsidRDefault="00DE0E4A" w:rsidP="00991998">
            <w:pPr>
              <w:pStyle w:val="TableHeaderCellLeft"/>
              <w:spacing w:before="0" w:after="120"/>
              <w:jc w:val="center"/>
              <w:cnfStyle w:val="100000000000" w:firstRow="1" w:lastRow="0" w:firstColumn="0" w:lastColumn="0" w:oddVBand="0" w:evenVBand="0" w:oddHBand="0" w:evenHBand="0" w:firstRowFirstColumn="0" w:firstRowLastColumn="0" w:lastRowFirstColumn="0" w:lastRowLastColumn="0"/>
              <w:rPr>
                <w:b/>
                <w:bCs w:val="0"/>
                <w:sz w:val="24"/>
                <w:szCs w:val="24"/>
              </w:rPr>
            </w:pPr>
            <w:r w:rsidRPr="00E53B3C">
              <w:rPr>
                <w:b/>
                <w:bCs w:val="0"/>
                <w:sz w:val="24"/>
                <w:szCs w:val="24"/>
              </w:rPr>
              <w:t xml:space="preserve">Public </w:t>
            </w:r>
            <w:r w:rsidR="006F5BA6" w:rsidRPr="00E53B3C">
              <w:rPr>
                <w:b/>
                <w:bCs w:val="0"/>
                <w:sz w:val="24"/>
                <w:szCs w:val="24"/>
              </w:rPr>
              <w:t>CbC reporter</w:t>
            </w:r>
          </w:p>
        </w:tc>
      </w:tr>
      <w:tr w:rsidR="002C376C" w14:paraId="3139D81F" w14:textId="77777777" w:rsidTr="005636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shd w:val="clear" w:color="auto" w:fill="auto"/>
            <w:vAlign w:val="center"/>
          </w:tcPr>
          <w:p w14:paraId="0415398D" w14:textId="0B594963" w:rsidR="002C376C" w:rsidRPr="00620D7D" w:rsidRDefault="00112E9D" w:rsidP="00563601">
            <w:pPr>
              <w:spacing w:before="0"/>
              <w:rPr>
                <w:rFonts w:asciiTheme="minorHAnsi" w:hAnsiTheme="minorHAnsi" w:cstheme="minorHAnsi"/>
                <w:b w:val="0"/>
                <w:bCs w:val="0"/>
                <w:color w:val="701F4D" w:themeColor="accent2"/>
              </w:rPr>
            </w:pPr>
            <w:hyperlink w:anchor="_Basic_information_1" w:history="1">
              <w:r w:rsidR="002C3D48" w:rsidRPr="00EA417A">
                <w:rPr>
                  <w:rStyle w:val="Hyperlink"/>
                  <w:rFonts w:asciiTheme="minorHAnsi" w:hAnsiTheme="minorHAnsi" w:cstheme="minorHAnsi"/>
                  <w:b w:val="0"/>
                  <w:bCs w:val="0"/>
                </w:rPr>
                <w:t>Overview</w:t>
              </w:r>
            </w:hyperlink>
            <w:r w:rsidR="002C376C" w:rsidRPr="00FC33C7">
              <w:rPr>
                <w:rFonts w:asciiTheme="minorHAnsi" w:hAnsiTheme="minorHAnsi" w:cstheme="minorHAnsi"/>
                <w:b w:val="0"/>
                <w:bCs w:val="0"/>
              </w:rPr>
              <w:t xml:space="preserve"> </w:t>
            </w:r>
          </w:p>
        </w:tc>
        <w:tc>
          <w:tcPr>
            <w:tcW w:w="2409" w:type="dxa"/>
            <w:tcBorders>
              <w:right w:val="single" w:sz="2" w:space="0" w:color="701F4D" w:themeColor="accent2"/>
            </w:tcBorders>
            <w:shd w:val="clear" w:color="auto" w:fill="auto"/>
            <w:vAlign w:val="bottom"/>
          </w:tcPr>
          <w:p w14:paraId="141109C6" w14:textId="77777777" w:rsidR="002C376C" w:rsidRDefault="002C376C" w:rsidP="002C376C">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p w14:paraId="3FE437B4" w14:textId="550A879E" w:rsidR="00B2026B" w:rsidRPr="00620D7D" w:rsidRDefault="00B2026B" w:rsidP="002C376C">
            <w:pPr>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701F4D" w:themeColor="accent2"/>
              </w:rPr>
            </w:pPr>
            <w:r w:rsidRPr="00D40F81">
              <w:rPr>
                <w:rFonts w:asciiTheme="minorHAnsi" w:hAnsiTheme="minorHAnsi" w:cstheme="minorHAnsi"/>
                <w:color w:val="701F4D" w:themeColor="accent2"/>
                <w:sz w:val="20"/>
                <w:szCs w:val="20"/>
              </w:rPr>
              <w:t>Partial completion</w:t>
            </w:r>
          </w:p>
        </w:tc>
      </w:tr>
      <w:tr w:rsidR="00D179A3" w14:paraId="2E08AD89" w14:textId="77777777" w:rsidTr="4D10D2DC">
        <w:trPr>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3993548E" w14:textId="63462CB1" w:rsidR="00D179A3" w:rsidRDefault="00112E9D" w:rsidP="00F772BC">
            <w:pPr>
              <w:spacing w:before="0"/>
              <w:jc w:val="both"/>
            </w:pPr>
            <w:hyperlink w:anchor="_Total_tax_contribution_2" w:history="1">
              <w:r w:rsidR="00D179A3" w:rsidRPr="00E433D5">
                <w:rPr>
                  <w:rStyle w:val="Hyperlink"/>
                  <w:b w:val="0"/>
                  <w:bCs w:val="0"/>
                </w:rPr>
                <w:t>Total tax contribution</w:t>
              </w:r>
            </w:hyperlink>
          </w:p>
        </w:tc>
        <w:tc>
          <w:tcPr>
            <w:tcW w:w="2409" w:type="dxa"/>
            <w:tcBorders>
              <w:left w:val="single" w:sz="2" w:space="0" w:color="701F4D" w:themeColor="accent2"/>
              <w:right w:val="single" w:sz="2" w:space="0" w:color="701F4D" w:themeColor="accent2"/>
            </w:tcBorders>
            <w:vAlign w:val="bottom"/>
          </w:tcPr>
          <w:p w14:paraId="641FABA4" w14:textId="579901D3" w:rsidR="00D179A3" w:rsidRPr="005177BD" w:rsidRDefault="00D179A3" w:rsidP="00F772BC">
            <w:pPr>
              <w:spacing w:before="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E93BBD" w14:paraId="4F8A127C" w14:textId="77777777" w:rsidTr="4D10D2D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19682B9E" w14:textId="0073B702" w:rsidR="00E93BBD" w:rsidRPr="00567F9D" w:rsidRDefault="00112E9D" w:rsidP="00F772BC">
            <w:pPr>
              <w:spacing w:before="0"/>
              <w:rPr>
                <w:b w:val="0"/>
                <w:bCs w:val="0"/>
              </w:rPr>
            </w:pPr>
            <w:hyperlink w:anchor="_Effective_tax_rates" w:history="1">
              <w:r w:rsidR="00E93BBD" w:rsidRPr="00E433D5">
                <w:rPr>
                  <w:rStyle w:val="Hyperlink"/>
                  <w:b w:val="0"/>
                  <w:bCs w:val="0"/>
                </w:rPr>
                <w:t>Effective tax rate for Australian and global operations</w:t>
              </w:r>
            </w:hyperlink>
          </w:p>
        </w:tc>
        <w:tc>
          <w:tcPr>
            <w:tcW w:w="2409" w:type="dxa"/>
            <w:tcBorders>
              <w:left w:val="single" w:sz="2" w:space="0" w:color="701F4D" w:themeColor="accent2"/>
              <w:right w:val="single" w:sz="2" w:space="0" w:color="701F4D" w:themeColor="accent2"/>
            </w:tcBorders>
            <w:vAlign w:val="bottom"/>
          </w:tcPr>
          <w:p w14:paraId="4C5E1EE5" w14:textId="77777777" w:rsidR="00E93BBD" w:rsidRDefault="00E93BBD" w:rsidP="00F772BC">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r w:rsidR="00E93BBD" w14:paraId="7BD8A502" w14:textId="77777777" w:rsidTr="4D10D2DC">
        <w:trPr>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7EF3EEEB" w14:textId="5FCC4BAB" w:rsidR="00E93BBD" w:rsidRPr="00567F9D" w:rsidRDefault="00112E9D" w:rsidP="00F772BC">
            <w:pPr>
              <w:spacing w:before="0"/>
              <w:rPr>
                <w:b w:val="0"/>
                <w:bCs w:val="0"/>
              </w:rPr>
            </w:pPr>
            <w:hyperlink w:anchor="_A_reconciliation_to" w:history="1">
              <w:r w:rsidR="00D179A3" w:rsidRPr="00E433D5">
                <w:rPr>
                  <w:rStyle w:val="Hyperlink"/>
                  <w:b w:val="0"/>
                  <w:bCs w:val="0"/>
                </w:rPr>
                <w:t xml:space="preserve">Reconciliation to ATO </w:t>
              </w:r>
              <w:r w:rsidR="00AA4532">
                <w:rPr>
                  <w:rStyle w:val="Hyperlink"/>
                  <w:b w:val="0"/>
                  <w:bCs w:val="0"/>
                </w:rPr>
                <w:t>C</w:t>
              </w:r>
              <w:r w:rsidR="00D179A3" w:rsidRPr="00E433D5">
                <w:rPr>
                  <w:rStyle w:val="Hyperlink"/>
                  <w:b w:val="0"/>
                  <w:bCs w:val="0"/>
                </w:rPr>
                <w:t xml:space="preserve">orporate </w:t>
              </w:r>
              <w:r w:rsidR="00AA4532">
                <w:rPr>
                  <w:rStyle w:val="Hyperlink"/>
                  <w:b w:val="0"/>
                  <w:bCs w:val="0"/>
                </w:rPr>
                <w:t>T</w:t>
              </w:r>
              <w:r w:rsidR="00D179A3" w:rsidRPr="00E433D5">
                <w:rPr>
                  <w:rStyle w:val="Hyperlink"/>
                  <w:b w:val="0"/>
                  <w:bCs w:val="0"/>
                </w:rPr>
                <w:t xml:space="preserve">ax </w:t>
              </w:r>
              <w:r w:rsidR="00AA4532">
                <w:rPr>
                  <w:rStyle w:val="Hyperlink"/>
                  <w:b w:val="0"/>
                  <w:bCs w:val="0"/>
                </w:rPr>
                <w:t>T</w:t>
              </w:r>
              <w:r w:rsidR="00D179A3" w:rsidRPr="00E433D5">
                <w:rPr>
                  <w:rStyle w:val="Hyperlink"/>
                  <w:b w:val="0"/>
                  <w:bCs w:val="0"/>
                </w:rPr>
                <w:t xml:space="preserve">ransparency </w:t>
              </w:r>
              <w:r w:rsidR="00AA4532">
                <w:rPr>
                  <w:rStyle w:val="Hyperlink"/>
                  <w:b w:val="0"/>
                  <w:bCs w:val="0"/>
                </w:rPr>
                <w:t>D</w:t>
              </w:r>
              <w:r w:rsidR="00D179A3" w:rsidRPr="00E433D5">
                <w:rPr>
                  <w:rStyle w:val="Hyperlink"/>
                  <w:b w:val="0"/>
                  <w:bCs w:val="0"/>
                </w:rPr>
                <w:t>isclosures</w:t>
              </w:r>
            </w:hyperlink>
          </w:p>
        </w:tc>
        <w:tc>
          <w:tcPr>
            <w:tcW w:w="2409" w:type="dxa"/>
            <w:tcBorders>
              <w:left w:val="single" w:sz="2" w:space="0" w:color="701F4D" w:themeColor="accent2"/>
              <w:right w:val="single" w:sz="2" w:space="0" w:color="701F4D" w:themeColor="accent2"/>
            </w:tcBorders>
            <w:vAlign w:val="bottom"/>
          </w:tcPr>
          <w:p w14:paraId="6F219F56" w14:textId="77777777" w:rsidR="00E93BBD" w:rsidRDefault="00E93BBD" w:rsidP="00F772BC">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r w:rsidR="00E93BBD" w14:paraId="6200EFA3" w14:textId="77777777" w:rsidTr="4D10D2D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043C6335" w14:textId="58969639" w:rsidR="00E93BBD" w:rsidRPr="00567F9D" w:rsidRDefault="00112E9D" w:rsidP="00F772BC">
            <w:pPr>
              <w:spacing w:before="0"/>
              <w:rPr>
                <w:b w:val="0"/>
                <w:bCs w:val="0"/>
              </w:rPr>
            </w:pPr>
            <w:hyperlink w:anchor="_Tax_governance,_control," w:history="1">
              <w:r w:rsidR="001D4A50" w:rsidRPr="00EA417A">
                <w:rPr>
                  <w:rStyle w:val="Hyperlink"/>
                  <w:b w:val="0"/>
                  <w:bCs w:val="0"/>
                </w:rPr>
                <w:t>Tax governance, control and risk management</w:t>
              </w:r>
            </w:hyperlink>
            <w:r w:rsidR="001D4A50">
              <w:rPr>
                <w:b w:val="0"/>
                <w:bCs w:val="0"/>
              </w:rPr>
              <w:t xml:space="preserve"> </w:t>
            </w:r>
          </w:p>
        </w:tc>
        <w:tc>
          <w:tcPr>
            <w:tcW w:w="2409" w:type="dxa"/>
            <w:tcBorders>
              <w:left w:val="single" w:sz="2" w:space="0" w:color="701F4D" w:themeColor="accent2"/>
              <w:right w:val="single" w:sz="2" w:space="0" w:color="701F4D" w:themeColor="accent2"/>
            </w:tcBorders>
            <w:vAlign w:val="bottom"/>
          </w:tcPr>
          <w:p w14:paraId="1BB6A2A0" w14:textId="6EF3FB53" w:rsidR="00E93BBD" w:rsidRPr="00D40F81" w:rsidRDefault="002003F1" w:rsidP="00F772BC">
            <w:pPr>
              <w:spacing w:before="0"/>
              <w:jc w:val="center"/>
              <w:cnfStyle w:val="000000100000" w:firstRow="0" w:lastRow="0" w:firstColumn="0" w:lastColumn="0" w:oddVBand="0" w:evenVBand="0" w:oddHBand="1" w:evenHBand="0" w:firstRowFirstColumn="0" w:firstRowLastColumn="0" w:lastRowFirstColumn="0" w:lastRowLastColumn="0"/>
              <w:rPr>
                <w:sz w:val="20"/>
                <w:szCs w:val="20"/>
              </w:rPr>
            </w:pPr>
            <w:r w:rsidRPr="00D40F81">
              <w:rPr>
                <w:color w:val="701F4D" w:themeColor="accent2"/>
                <w:sz w:val="20"/>
                <w:szCs w:val="20"/>
              </w:rPr>
              <w:t>Optional elements only</w:t>
            </w:r>
          </w:p>
        </w:tc>
      </w:tr>
      <w:tr w:rsidR="00E93BBD" w14:paraId="563DC615" w14:textId="77777777" w:rsidTr="4D10D2DC">
        <w:trPr>
          <w:trHeight w:val="411"/>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78A18084" w14:textId="1C75088E" w:rsidR="00E93BBD" w:rsidRPr="00567F9D" w:rsidRDefault="00112E9D" w:rsidP="00B362B4">
            <w:pPr>
              <w:pStyle w:val="Bullet"/>
              <w:numPr>
                <w:ilvl w:val="0"/>
                <w:numId w:val="0"/>
              </w:numPr>
              <w:spacing w:before="0"/>
              <w:rPr>
                <w:b w:val="0"/>
                <w:bCs w:val="0"/>
              </w:rPr>
            </w:pPr>
            <w:hyperlink w:anchor="_Stakeholder_engagement_and" w:history="1">
              <w:r w:rsidR="001D4A50" w:rsidRPr="00EA417A">
                <w:rPr>
                  <w:rStyle w:val="Hyperlink"/>
                  <w:b w:val="0"/>
                  <w:bCs w:val="0"/>
                </w:rPr>
                <w:t>Stakeholder engagement and management of concerns related to tax</w:t>
              </w:r>
            </w:hyperlink>
            <w:r w:rsidR="001D4A50">
              <w:rPr>
                <w:b w:val="0"/>
                <w:bCs w:val="0"/>
              </w:rPr>
              <w:t xml:space="preserve"> </w:t>
            </w:r>
          </w:p>
        </w:tc>
        <w:tc>
          <w:tcPr>
            <w:tcW w:w="2409" w:type="dxa"/>
            <w:tcBorders>
              <w:left w:val="single" w:sz="2" w:space="0" w:color="701F4D" w:themeColor="accent2"/>
              <w:right w:val="single" w:sz="2" w:space="0" w:color="701F4D" w:themeColor="accent2"/>
            </w:tcBorders>
            <w:vAlign w:val="center"/>
          </w:tcPr>
          <w:p w14:paraId="66CC3BDD" w14:textId="25299D30" w:rsidR="00E93BBD" w:rsidRPr="00D40F81" w:rsidRDefault="002003F1" w:rsidP="00F772BC">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D40F81">
              <w:rPr>
                <w:color w:val="701F4D" w:themeColor="accent2"/>
                <w:sz w:val="20"/>
                <w:szCs w:val="20"/>
              </w:rPr>
              <w:t>Optional elements only</w:t>
            </w:r>
          </w:p>
        </w:tc>
      </w:tr>
      <w:tr w:rsidR="00E93BBD" w14:paraId="7C49BDB9" w14:textId="77777777" w:rsidTr="4D10D2D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658" w:type="dxa"/>
            <w:tcBorders>
              <w:right w:val="single" w:sz="2" w:space="0" w:color="701F4D" w:themeColor="accent2"/>
            </w:tcBorders>
            <w:vAlign w:val="bottom"/>
          </w:tcPr>
          <w:p w14:paraId="1AE4ED05" w14:textId="4808A069" w:rsidR="00E93BBD" w:rsidRPr="00567F9D" w:rsidRDefault="00112E9D" w:rsidP="00F772BC">
            <w:pPr>
              <w:spacing w:before="0"/>
              <w:rPr>
                <w:b w:val="0"/>
                <w:bCs w:val="0"/>
              </w:rPr>
            </w:pPr>
            <w:hyperlink w:anchor="_International_related_party_1" w:history="1">
              <w:r w:rsidR="00E93BBD" w:rsidRPr="00E433D5">
                <w:rPr>
                  <w:rStyle w:val="Hyperlink"/>
                  <w:b w:val="0"/>
                  <w:bCs w:val="0"/>
                </w:rPr>
                <w:t>International related party dealings summary</w:t>
              </w:r>
            </w:hyperlink>
          </w:p>
        </w:tc>
        <w:tc>
          <w:tcPr>
            <w:tcW w:w="2409" w:type="dxa"/>
            <w:tcBorders>
              <w:left w:val="single" w:sz="2" w:space="0" w:color="701F4D" w:themeColor="accent2"/>
              <w:right w:val="single" w:sz="2" w:space="0" w:color="701F4D" w:themeColor="accent2"/>
            </w:tcBorders>
            <w:vAlign w:val="bottom"/>
          </w:tcPr>
          <w:p w14:paraId="5B65A70A" w14:textId="77777777" w:rsidR="00E93BBD" w:rsidRDefault="00E93BBD" w:rsidP="00F772BC">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bl>
    <w:p w14:paraId="45447EEA" w14:textId="763D5809" w:rsidR="008A3532" w:rsidRDefault="002C3D48" w:rsidP="001233C9">
      <w:pPr>
        <w:pStyle w:val="Heading3"/>
      </w:pPr>
      <w:bookmarkStart w:id="24" w:name="_Basic_information_1"/>
      <w:bookmarkEnd w:id="24"/>
      <w:r>
        <w:t>Overview</w:t>
      </w:r>
    </w:p>
    <w:tbl>
      <w:tblPr>
        <w:tblStyle w:val="TableGrid"/>
        <w:tblW w:w="0" w:type="auto"/>
        <w:tblLook w:val="04A0" w:firstRow="1" w:lastRow="0" w:firstColumn="1" w:lastColumn="0" w:noHBand="0" w:noVBand="1"/>
      </w:tblPr>
      <w:tblGrid>
        <w:gridCol w:w="9631"/>
      </w:tblGrid>
      <w:tr w:rsidR="002C376C" w14:paraId="05CB6EE7" w14:textId="77777777" w:rsidTr="002C376C">
        <w:tc>
          <w:tcPr>
            <w:tcW w:w="9631" w:type="dxa"/>
            <w:tcBorders>
              <w:top w:val="nil"/>
              <w:left w:val="nil"/>
              <w:bottom w:val="nil"/>
              <w:right w:val="nil"/>
            </w:tcBorders>
            <w:shd w:val="clear" w:color="auto" w:fill="701F4D" w:themeFill="accent2"/>
          </w:tcPr>
          <w:p w14:paraId="7D9DB717" w14:textId="0EA5EEAA" w:rsidR="002C376C" w:rsidRPr="008C7050" w:rsidRDefault="00792696" w:rsidP="002C376C">
            <w:pPr>
              <w:jc w:val="both"/>
              <w:rPr>
                <w:rFonts w:asciiTheme="majorHAnsi" w:hAnsiTheme="majorHAnsi"/>
                <w:b/>
                <w:bCs/>
                <w:color w:val="FFFFFF" w:themeColor="background1"/>
              </w:rPr>
            </w:pPr>
            <w:r>
              <w:rPr>
                <w:rFonts w:asciiTheme="majorHAnsi" w:hAnsiTheme="majorHAnsi"/>
                <w:b/>
                <w:bCs/>
                <w:color w:val="FFFFFF" w:themeColor="background1"/>
              </w:rPr>
              <w:t>V</w:t>
            </w:r>
            <w:r w:rsidR="002C376C" w:rsidRPr="008C7050">
              <w:rPr>
                <w:rFonts w:asciiTheme="majorHAnsi" w:hAnsiTheme="majorHAnsi"/>
                <w:b/>
                <w:bCs/>
                <w:color w:val="FFFFFF" w:themeColor="background1"/>
              </w:rPr>
              <w:t>TTC Requirement</w:t>
            </w:r>
          </w:p>
          <w:p w14:paraId="388FF58A" w14:textId="36E4AF90" w:rsidR="002C376C" w:rsidRPr="00FE5E3F" w:rsidRDefault="00045610" w:rsidP="006D6916">
            <w:pPr>
              <w:spacing w:before="0"/>
              <w:rPr>
                <w:color w:val="FFFFFF" w:themeColor="background1"/>
              </w:rPr>
            </w:pPr>
            <w:r>
              <w:rPr>
                <w:color w:val="FFFFFF" w:themeColor="background1"/>
              </w:rPr>
              <w:t xml:space="preserve">Businesses should </w:t>
            </w:r>
            <w:r w:rsidR="00702827">
              <w:rPr>
                <w:color w:val="FFFFFF" w:themeColor="background1"/>
              </w:rPr>
              <w:t>confirm</w:t>
            </w:r>
            <w:r w:rsidR="00FE5E3F">
              <w:rPr>
                <w:color w:val="FFFFFF" w:themeColor="background1"/>
              </w:rPr>
              <w:t xml:space="preserve"> </w:t>
            </w:r>
            <w:r w:rsidR="00702827">
              <w:rPr>
                <w:color w:val="FFFFFF" w:themeColor="background1"/>
              </w:rPr>
              <w:t>that they are a</w:t>
            </w:r>
            <w:r w:rsidR="00D22D2A">
              <w:rPr>
                <w:color w:val="FFFFFF" w:themeColor="background1"/>
              </w:rPr>
              <w:t xml:space="preserve"> </w:t>
            </w:r>
            <w:r w:rsidR="001A0AE4">
              <w:rPr>
                <w:color w:val="FFFFFF" w:themeColor="background1"/>
              </w:rPr>
              <w:t>public country-by-country</w:t>
            </w:r>
            <w:r w:rsidR="00D22D2A">
              <w:rPr>
                <w:color w:val="FFFFFF" w:themeColor="background1"/>
              </w:rPr>
              <w:t xml:space="preserve"> </w:t>
            </w:r>
            <w:r w:rsidR="00B33135">
              <w:rPr>
                <w:color w:val="FFFFFF" w:themeColor="background1"/>
              </w:rPr>
              <w:t xml:space="preserve">reporting </w:t>
            </w:r>
            <w:r w:rsidR="009B62D2">
              <w:rPr>
                <w:color w:val="FFFFFF" w:themeColor="background1"/>
              </w:rPr>
              <w:t>parent</w:t>
            </w:r>
            <w:r w:rsidR="00B33135">
              <w:rPr>
                <w:color w:val="FFFFFF" w:themeColor="background1"/>
              </w:rPr>
              <w:t xml:space="preserve"> </w:t>
            </w:r>
            <w:r w:rsidR="00FE5E3F">
              <w:rPr>
                <w:color w:val="FFFFFF" w:themeColor="background1"/>
              </w:rPr>
              <w:t>and that they have complied with their reporting requirements under the TAA</w:t>
            </w:r>
            <w:r w:rsidR="00905B09">
              <w:rPr>
                <w:color w:val="FFFFFF" w:themeColor="background1"/>
              </w:rPr>
              <w:t xml:space="preserve">. </w:t>
            </w:r>
            <w:r w:rsidR="00E91723">
              <w:rPr>
                <w:color w:val="FFFFFF" w:themeColor="background1"/>
              </w:rPr>
              <w:t>Where available, b</w:t>
            </w:r>
            <w:r w:rsidR="00905B09">
              <w:rPr>
                <w:color w:val="FFFFFF" w:themeColor="background1"/>
              </w:rPr>
              <w:t>usinesses should provide</w:t>
            </w:r>
            <w:r w:rsidR="00702827">
              <w:rPr>
                <w:color w:val="FFFFFF" w:themeColor="background1"/>
              </w:rPr>
              <w:t xml:space="preserve"> a link </w:t>
            </w:r>
            <w:r w:rsidR="009B3703">
              <w:rPr>
                <w:color w:val="FFFFFF" w:themeColor="background1"/>
              </w:rPr>
              <w:t>to their</w:t>
            </w:r>
            <w:r w:rsidR="0099154B">
              <w:rPr>
                <w:color w:val="FFFFFF" w:themeColor="background1"/>
              </w:rPr>
              <w:t xml:space="preserve"> </w:t>
            </w:r>
            <w:r w:rsidR="00C45510">
              <w:rPr>
                <w:color w:val="FFFFFF" w:themeColor="background1"/>
              </w:rPr>
              <w:t xml:space="preserve">completed </w:t>
            </w:r>
            <w:r w:rsidR="0070526E">
              <w:rPr>
                <w:color w:val="FFFFFF" w:themeColor="background1"/>
              </w:rPr>
              <w:t xml:space="preserve">public </w:t>
            </w:r>
            <w:r w:rsidR="00D22D2A">
              <w:rPr>
                <w:color w:val="FFFFFF" w:themeColor="background1"/>
              </w:rPr>
              <w:t>CbC</w:t>
            </w:r>
            <w:r w:rsidR="0099154B">
              <w:rPr>
                <w:color w:val="FFFFFF" w:themeColor="background1"/>
              </w:rPr>
              <w:t xml:space="preserve"> report. </w:t>
            </w:r>
            <w:r w:rsidR="009B3703">
              <w:rPr>
                <w:color w:val="FFFFFF" w:themeColor="background1"/>
              </w:rPr>
              <w:t xml:space="preserve"> </w:t>
            </w:r>
          </w:p>
        </w:tc>
      </w:tr>
    </w:tbl>
    <w:p w14:paraId="1E9276A0" w14:textId="470C7DD7" w:rsidR="00676D9C" w:rsidRDefault="00591786" w:rsidP="001233C9">
      <w:pPr>
        <w:pStyle w:val="Heading3"/>
      </w:pPr>
      <w:r>
        <w:t xml:space="preserve">Tax Data </w:t>
      </w:r>
    </w:p>
    <w:p w14:paraId="2433DB19" w14:textId="77777777" w:rsidR="000417CF" w:rsidRDefault="000417CF" w:rsidP="000417CF">
      <w:pPr>
        <w:pStyle w:val="Heading4"/>
      </w:pPr>
      <w:bookmarkStart w:id="25" w:name="_Total_tax_contribution_2"/>
      <w:bookmarkEnd w:id="25"/>
      <w:r>
        <w:t xml:space="preserve">Total tax contribution </w:t>
      </w:r>
    </w:p>
    <w:tbl>
      <w:tblPr>
        <w:tblStyle w:val="Style1"/>
        <w:tblW w:w="0" w:type="auto"/>
        <w:tblLook w:val="04A0" w:firstRow="1" w:lastRow="0" w:firstColumn="1" w:lastColumn="0" w:noHBand="0" w:noVBand="1"/>
      </w:tblPr>
      <w:tblGrid>
        <w:gridCol w:w="9631"/>
      </w:tblGrid>
      <w:tr w:rsidR="000417CF" w14:paraId="1128B7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7469175C" w14:textId="5250F4E5" w:rsidR="000417CF" w:rsidRPr="008C7050" w:rsidRDefault="00792696">
            <w:pPr>
              <w:spacing w:before="120" w:after="120"/>
              <w:jc w:val="both"/>
              <w:rPr>
                <w:rFonts w:asciiTheme="majorHAnsi" w:hAnsiTheme="majorHAnsi"/>
                <w:b/>
                <w:bCs/>
                <w:color w:val="FFFFFF" w:themeColor="background1"/>
              </w:rPr>
            </w:pPr>
            <w:r>
              <w:rPr>
                <w:rFonts w:asciiTheme="majorHAnsi" w:hAnsiTheme="majorHAnsi"/>
                <w:b/>
                <w:bCs/>
                <w:color w:val="FFFFFF" w:themeColor="background1"/>
              </w:rPr>
              <w:t>V</w:t>
            </w:r>
            <w:r w:rsidR="000417CF" w:rsidRPr="008C7050">
              <w:rPr>
                <w:rFonts w:asciiTheme="majorHAnsi" w:hAnsiTheme="majorHAnsi"/>
                <w:b/>
                <w:bCs/>
                <w:color w:val="FFFFFF" w:themeColor="background1"/>
              </w:rPr>
              <w:t>TTC Requirement</w:t>
            </w:r>
          </w:p>
          <w:p w14:paraId="7EB216FC" w14:textId="54820AB7" w:rsidR="0056310D" w:rsidRPr="00027F67" w:rsidRDefault="000417CF" w:rsidP="00027F67">
            <w:pPr>
              <w:spacing w:after="120"/>
              <w:rPr>
                <w:color w:val="FFFFFF" w:themeColor="background1"/>
              </w:rPr>
            </w:pPr>
            <w:r w:rsidRPr="00693565">
              <w:rPr>
                <w:color w:val="FFFFFF" w:themeColor="background1"/>
              </w:rPr>
              <w:t xml:space="preserve">Businesses should </w:t>
            </w:r>
            <w:r w:rsidR="00E9485D">
              <w:rPr>
                <w:color w:val="FFFFFF" w:themeColor="background1"/>
              </w:rPr>
              <w:t>report</w:t>
            </w:r>
            <w:r>
              <w:rPr>
                <w:color w:val="FFFFFF" w:themeColor="background1"/>
              </w:rPr>
              <w:t xml:space="preserve"> their total Australian </w:t>
            </w:r>
            <w:r w:rsidR="009C0798">
              <w:rPr>
                <w:color w:val="FFFFFF" w:themeColor="background1"/>
              </w:rPr>
              <w:t xml:space="preserve">corporate </w:t>
            </w:r>
            <w:r w:rsidR="00D875AF">
              <w:rPr>
                <w:color w:val="FFFFFF" w:themeColor="background1"/>
              </w:rPr>
              <w:t xml:space="preserve">income </w:t>
            </w:r>
            <w:r>
              <w:rPr>
                <w:color w:val="FFFFFF" w:themeColor="background1"/>
              </w:rPr>
              <w:t>tax contribution</w:t>
            </w:r>
            <w:r w:rsidR="00EA6BDA">
              <w:rPr>
                <w:color w:val="FFFFFF" w:themeColor="background1"/>
              </w:rPr>
              <w:t>.</w:t>
            </w:r>
          </w:p>
        </w:tc>
      </w:tr>
    </w:tbl>
    <w:p w14:paraId="62110658" w14:textId="77777777" w:rsidR="000417CF" w:rsidRDefault="000417CF" w:rsidP="000417CF">
      <w:pPr>
        <w:pStyle w:val="Heading5"/>
      </w:pPr>
      <w:r>
        <w:t xml:space="preserve">Optional elements </w:t>
      </w:r>
    </w:p>
    <w:p w14:paraId="6835FB26" w14:textId="701BA071" w:rsidR="009B5E55" w:rsidRPr="009B3FAF" w:rsidRDefault="00E9485D" w:rsidP="000417CF">
      <w:pPr>
        <w:pStyle w:val="Bullet"/>
      </w:pPr>
      <w:r>
        <w:t>Report</w:t>
      </w:r>
      <w:r w:rsidR="00E15A2E">
        <w:t xml:space="preserve"> on</w:t>
      </w:r>
      <w:r w:rsidR="00760AFF">
        <w:t xml:space="preserve"> </w:t>
      </w:r>
      <w:r w:rsidR="00760AFF" w:rsidRPr="009B3FAF">
        <w:t xml:space="preserve">global group </w:t>
      </w:r>
      <w:r w:rsidR="008760E2" w:rsidRPr="009B3FAF">
        <w:t xml:space="preserve">total </w:t>
      </w:r>
      <w:r w:rsidR="00091C84">
        <w:t xml:space="preserve">income </w:t>
      </w:r>
      <w:r w:rsidR="00760AFF" w:rsidRPr="009B3FAF">
        <w:t>tax contribution</w:t>
      </w:r>
      <w:r w:rsidR="006542D1">
        <w:t>.</w:t>
      </w:r>
    </w:p>
    <w:p w14:paraId="40BA3698" w14:textId="6B090F77" w:rsidR="00A32701" w:rsidRDefault="00E9485D" w:rsidP="00A32701">
      <w:pPr>
        <w:pStyle w:val="Bullet"/>
      </w:pPr>
      <w:r>
        <w:t xml:space="preserve">Report </w:t>
      </w:r>
      <w:r w:rsidR="000417CF">
        <w:t>other Australian taxes and imposts paid to Government, for example Petroleum Resource</w:t>
      </w:r>
      <w:r w:rsidR="007F7D9D">
        <w:t xml:space="preserve"> </w:t>
      </w:r>
      <w:r w:rsidR="000417CF">
        <w:t>Rent Tax, royalties, excises, payroll taxes, stamp duties, fringe benefits tax and state taxes</w:t>
      </w:r>
      <w:r w:rsidR="00DD70E9">
        <w:t>.</w:t>
      </w:r>
    </w:p>
    <w:p w14:paraId="1126F3BB" w14:textId="1DB8419F" w:rsidR="000417CF" w:rsidRPr="009B3FAF" w:rsidRDefault="00E9485D" w:rsidP="000417CF">
      <w:pPr>
        <w:pStyle w:val="Bullet"/>
      </w:pPr>
      <w:r>
        <w:t>Report</w:t>
      </w:r>
      <w:r w:rsidR="000417CF" w:rsidRPr="009B3FAF" w:rsidDel="00C81BF6">
        <w:t xml:space="preserve"> Government imposts collected by the business on behalf of others, for example, GST and Pay As You Go withholding taxes.</w:t>
      </w:r>
    </w:p>
    <w:p w14:paraId="44E4E32D" w14:textId="20D27CE0" w:rsidR="002D7ED8" w:rsidRDefault="002D7ED8" w:rsidP="002D7ED8">
      <w:pPr>
        <w:pStyle w:val="Heading4"/>
      </w:pPr>
      <w:bookmarkStart w:id="26" w:name="_Effective_tax_rates_2"/>
      <w:bookmarkStart w:id="27" w:name="_Effective_tax_rates"/>
      <w:bookmarkEnd w:id="26"/>
      <w:bookmarkEnd w:id="27"/>
      <w:r>
        <w:lastRenderedPageBreak/>
        <w:t xml:space="preserve">Effective tax rates – Australia and global </w:t>
      </w:r>
    </w:p>
    <w:tbl>
      <w:tblPr>
        <w:tblStyle w:val="Style1"/>
        <w:tblW w:w="0" w:type="auto"/>
        <w:tblLook w:val="04A0" w:firstRow="1" w:lastRow="0" w:firstColumn="1" w:lastColumn="0" w:noHBand="0" w:noVBand="1"/>
      </w:tblPr>
      <w:tblGrid>
        <w:gridCol w:w="9631"/>
      </w:tblGrid>
      <w:tr w:rsidR="002D7ED8" w14:paraId="7962CA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1BEC00F5" w14:textId="4CB4956F" w:rsidR="002D7ED8" w:rsidRDefault="00792696">
            <w:pPr>
              <w:spacing w:before="240" w:after="120"/>
              <w:jc w:val="both"/>
              <w:rPr>
                <w:rFonts w:asciiTheme="majorHAnsi" w:hAnsiTheme="majorHAnsi"/>
                <w:b/>
                <w:bCs/>
                <w:color w:val="FFFFFF" w:themeColor="background1"/>
              </w:rPr>
            </w:pPr>
            <w:r>
              <w:rPr>
                <w:rFonts w:asciiTheme="majorHAnsi" w:hAnsiTheme="majorHAnsi"/>
                <w:b/>
                <w:bCs/>
                <w:color w:val="FFFFFF" w:themeColor="background1"/>
              </w:rPr>
              <w:t>V</w:t>
            </w:r>
            <w:r w:rsidR="002D7ED8" w:rsidRPr="008C7050">
              <w:rPr>
                <w:rFonts w:asciiTheme="majorHAnsi" w:hAnsiTheme="majorHAnsi"/>
                <w:b/>
                <w:bCs/>
                <w:color w:val="FFFFFF" w:themeColor="background1"/>
              </w:rPr>
              <w:t>TTC Requirement</w:t>
            </w:r>
          </w:p>
          <w:p w14:paraId="47ED65AF" w14:textId="6EB2E024" w:rsidR="00131133" w:rsidRPr="00B93508" w:rsidRDefault="002D7ED8" w:rsidP="00131133">
            <w:pPr>
              <w:spacing w:after="120"/>
              <w:rPr>
                <w:color w:val="FFFFFF" w:themeColor="background1"/>
              </w:rPr>
            </w:pPr>
            <w:r w:rsidRPr="00693565">
              <w:rPr>
                <w:color w:val="FFFFFF" w:themeColor="background1"/>
              </w:rPr>
              <w:t xml:space="preserve">Businesses should </w:t>
            </w:r>
            <w:r w:rsidR="00E15A2E">
              <w:rPr>
                <w:color w:val="FFFFFF" w:themeColor="background1"/>
              </w:rPr>
              <w:t>report</w:t>
            </w:r>
            <w:r w:rsidRPr="00693565">
              <w:rPr>
                <w:color w:val="FFFFFF" w:themeColor="background1"/>
              </w:rPr>
              <w:t xml:space="preserve"> </w:t>
            </w:r>
            <w:r>
              <w:rPr>
                <w:color w:val="FFFFFF" w:themeColor="background1"/>
              </w:rPr>
              <w:t>an Australian accounting effective tax rate (ETR) and a global ETR for the worldwide accounting consolidated group calculated based on tax expense</w:t>
            </w:r>
            <w:r w:rsidR="0082379F">
              <w:rPr>
                <w:color w:val="FFFFFF" w:themeColor="background1"/>
              </w:rPr>
              <w:t xml:space="preserve"> (income)</w:t>
            </w:r>
            <w:r>
              <w:rPr>
                <w:color w:val="FFFFFF" w:themeColor="background1"/>
              </w:rPr>
              <w:t>.</w:t>
            </w:r>
          </w:p>
        </w:tc>
      </w:tr>
    </w:tbl>
    <w:p w14:paraId="5E047D72" w14:textId="77777777" w:rsidR="002D7ED8" w:rsidRDefault="002D7ED8" w:rsidP="002D7ED8">
      <w:pPr>
        <w:pStyle w:val="Heading5"/>
      </w:pPr>
      <w:r>
        <w:t xml:space="preserve">Optional elements </w:t>
      </w:r>
    </w:p>
    <w:p w14:paraId="4BACC25F" w14:textId="486756EA" w:rsidR="002D7ED8" w:rsidRPr="0011166C" w:rsidRDefault="002D7ED8" w:rsidP="00B03352">
      <w:pPr>
        <w:pStyle w:val="Bullet"/>
        <w:numPr>
          <w:ilvl w:val="0"/>
          <w:numId w:val="8"/>
        </w:numPr>
        <w:spacing w:after="0"/>
      </w:pPr>
      <w:r w:rsidRPr="0011166C">
        <w:t xml:space="preserve">Provide a description of the primary drivers of the gap between </w:t>
      </w:r>
      <w:r w:rsidR="00191FBB" w:rsidRPr="0011166C">
        <w:t>ETR</w:t>
      </w:r>
      <w:r w:rsidRPr="0011166C">
        <w:t xml:space="preserve"> and the weighted average statutory rate</w:t>
      </w:r>
      <w:r w:rsidR="00FA6B66" w:rsidRPr="0011166C">
        <w:t>.</w:t>
      </w:r>
    </w:p>
    <w:p w14:paraId="3DA98CC1" w14:textId="67087055" w:rsidR="002D7ED8" w:rsidRPr="008D4C9A" w:rsidRDefault="002D7ED8" w:rsidP="002D7ED8">
      <w:pPr>
        <w:pStyle w:val="Heading5"/>
      </w:pPr>
      <w:r>
        <w:t>Guidance</w:t>
      </w:r>
      <w:r w:rsidR="00142098">
        <w:rPr>
          <w:rStyle w:val="FootnoteReference"/>
        </w:rPr>
        <w:footnoteReference w:id="2"/>
      </w:r>
    </w:p>
    <w:p w14:paraId="4203B54C" w14:textId="2832108F" w:rsidR="00C0466E" w:rsidRDefault="00E86AF1" w:rsidP="002D7ED8">
      <w:r w:rsidRPr="00877312">
        <w:t xml:space="preserve">The </w:t>
      </w:r>
      <w:r w:rsidR="00B21500" w:rsidRPr="00566B1D">
        <w:t xml:space="preserve">Australian Accounting Standards Board </w:t>
      </w:r>
      <w:r w:rsidR="00B21500">
        <w:t xml:space="preserve">(AASB) </w:t>
      </w:r>
      <w:r w:rsidRPr="00877312">
        <w:t xml:space="preserve">developed guidance material to assist businesses in meeting the </w:t>
      </w:r>
      <w:r w:rsidR="00382E3C">
        <w:t>requirements of the</w:t>
      </w:r>
      <w:r w:rsidRPr="00877312">
        <w:t xml:space="preserve"> </w:t>
      </w:r>
      <w:r w:rsidR="00DB0051">
        <w:t>V</w:t>
      </w:r>
      <w:r w:rsidRPr="00877312">
        <w:t>TTC.</w:t>
      </w:r>
      <w:r w:rsidR="007C58B9">
        <w:rPr>
          <w:rStyle w:val="FootnoteReference"/>
        </w:rPr>
        <w:footnoteReference w:id="3"/>
      </w:r>
      <w:r w:rsidRPr="00877312">
        <w:t xml:space="preserve"> In particular, the AASB guidance establishes a common definition of ETR to ensure consistency and comparability</w:t>
      </w:r>
      <w:r w:rsidR="00C0466E">
        <w:t>.</w:t>
      </w:r>
      <w:r w:rsidR="008652AD">
        <w:rPr>
          <w:rStyle w:val="FootnoteReference"/>
        </w:rPr>
        <w:footnoteReference w:id="4"/>
      </w:r>
      <w:r w:rsidRPr="00877312">
        <w:t xml:space="preserve"> </w:t>
      </w:r>
    </w:p>
    <w:p w14:paraId="5D5824D0" w14:textId="3AEBD62B" w:rsidR="002D7ED8" w:rsidRDefault="002D7ED8" w:rsidP="002D7ED8">
      <w:r>
        <w:t xml:space="preserve">The global ETR should be calculated ‘for the worldwide accounting consolidated group’ of which the Australian operations form a part. </w:t>
      </w:r>
    </w:p>
    <w:p w14:paraId="1AFBA7D7" w14:textId="77777777" w:rsidR="00CC0B4D" w:rsidRDefault="00AD2363" w:rsidP="00216361">
      <w:pPr>
        <w:pStyle w:val="Bullet"/>
        <w:numPr>
          <w:ilvl w:val="0"/>
          <w:numId w:val="0"/>
        </w:numPr>
        <w:spacing w:after="0"/>
      </w:pPr>
      <w:r w:rsidRPr="00AD2363">
        <w:t>ETRs can be calculated on different bases (for example total profit vs underlying earnings), inviting possible criticism that they can potentially be misleading to those seeking to understand how a given ETR compares to the company tax rate.</w:t>
      </w:r>
    </w:p>
    <w:p w14:paraId="3259CBE6" w14:textId="430914AD" w:rsidR="00A32701" w:rsidRDefault="00CC0B4D" w:rsidP="00534BD3">
      <w:pPr>
        <w:pStyle w:val="Bullet"/>
        <w:numPr>
          <w:ilvl w:val="0"/>
          <w:numId w:val="0"/>
        </w:numPr>
      </w:pPr>
      <w:r w:rsidRPr="00877312">
        <w:t xml:space="preserve">Businesses are expected to follow the AASB guidance in preparing their </w:t>
      </w:r>
      <w:r w:rsidR="00DB0051">
        <w:t>V</w:t>
      </w:r>
      <w:r w:rsidRPr="00877312">
        <w:t xml:space="preserve">TTC </w:t>
      </w:r>
      <w:r w:rsidR="00280C58">
        <w:t>reports</w:t>
      </w:r>
      <w:r w:rsidR="00BE32CD">
        <w:t>.</w:t>
      </w:r>
      <w:r>
        <w:rPr>
          <w:rStyle w:val="FootnoteReference"/>
        </w:rPr>
        <w:footnoteReference w:id="5"/>
      </w:r>
      <w:r w:rsidR="00BE32CD">
        <w:t xml:space="preserve"> Where AASB is not followed, </w:t>
      </w:r>
      <w:r w:rsidR="00B93508">
        <w:t>businesses</w:t>
      </w:r>
      <w:r w:rsidR="00BE32CD">
        <w:t xml:space="preserve"> should </w:t>
      </w:r>
      <w:r w:rsidR="00B93508">
        <w:t>explain the basis of their ETR calculations and any underlying assumptions.</w:t>
      </w:r>
    </w:p>
    <w:p w14:paraId="285444BD" w14:textId="2C491F2B" w:rsidR="002B1EEA" w:rsidRDefault="005118C0" w:rsidP="00054EC9">
      <w:pPr>
        <w:pStyle w:val="Heading4"/>
      </w:pPr>
      <w:bookmarkStart w:id="28" w:name="_A_reconciliation_to"/>
      <w:bookmarkEnd w:id="28"/>
      <w:r>
        <w:t>A r</w:t>
      </w:r>
      <w:r w:rsidR="002B1EEA">
        <w:t xml:space="preserve">econciliation to ATO </w:t>
      </w:r>
      <w:r w:rsidR="00F55BDB">
        <w:t>C</w:t>
      </w:r>
      <w:r w:rsidR="002B1EEA">
        <w:t xml:space="preserve">orporate </w:t>
      </w:r>
      <w:r w:rsidR="00F55BDB">
        <w:t>T</w:t>
      </w:r>
      <w:r w:rsidR="002B1EEA">
        <w:t xml:space="preserve">ax </w:t>
      </w:r>
      <w:r w:rsidR="00F55BDB">
        <w:t>T</w:t>
      </w:r>
      <w:r w:rsidR="002B1EEA">
        <w:t xml:space="preserve">ransparency </w:t>
      </w:r>
      <w:r w:rsidR="00F55BDB">
        <w:t>D</w:t>
      </w:r>
      <w:r w:rsidR="002B1EEA">
        <w:t>isclosures</w:t>
      </w:r>
    </w:p>
    <w:tbl>
      <w:tblPr>
        <w:tblStyle w:val="Style1"/>
        <w:tblW w:w="0" w:type="auto"/>
        <w:tblLook w:val="04A0" w:firstRow="1" w:lastRow="0" w:firstColumn="1" w:lastColumn="0" w:noHBand="0" w:noVBand="1"/>
      </w:tblPr>
      <w:tblGrid>
        <w:gridCol w:w="9631"/>
      </w:tblGrid>
      <w:tr w:rsidR="00945BCE" w14:paraId="6177F1F9" w14:textId="77777777" w:rsidTr="00945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3CC6DE27" w14:textId="66B84BB1" w:rsidR="00F96F34" w:rsidRDefault="00792696" w:rsidP="00C63D11">
            <w:pPr>
              <w:spacing w:before="240" w:after="120"/>
              <w:jc w:val="both"/>
              <w:rPr>
                <w:rFonts w:asciiTheme="majorHAnsi" w:hAnsiTheme="majorHAnsi"/>
                <w:b/>
                <w:bCs/>
                <w:color w:val="FFFFFF" w:themeColor="background1"/>
              </w:rPr>
            </w:pPr>
            <w:r>
              <w:rPr>
                <w:rFonts w:asciiTheme="majorHAnsi" w:hAnsiTheme="majorHAnsi"/>
                <w:b/>
                <w:bCs/>
                <w:color w:val="FFFFFF" w:themeColor="background1"/>
              </w:rPr>
              <w:t>V</w:t>
            </w:r>
            <w:r w:rsidR="00F96F34" w:rsidRPr="00693565">
              <w:rPr>
                <w:rFonts w:asciiTheme="majorHAnsi" w:hAnsiTheme="majorHAnsi"/>
                <w:b/>
                <w:bCs/>
                <w:color w:val="FFFFFF" w:themeColor="background1"/>
              </w:rPr>
              <w:t>TTC Requirement</w:t>
            </w:r>
          </w:p>
          <w:p w14:paraId="0B464AA3" w14:textId="662A6D9B" w:rsidR="004E18B7" w:rsidRDefault="004E18B7" w:rsidP="009F5F77">
            <w:pPr>
              <w:pStyle w:val="Bullet"/>
              <w:numPr>
                <w:ilvl w:val="0"/>
                <w:numId w:val="0"/>
              </w:numPr>
              <w:spacing w:before="120" w:after="120"/>
              <w:rPr>
                <w:color w:val="FFFFFF" w:themeColor="background1"/>
              </w:rPr>
            </w:pPr>
            <w:r w:rsidRPr="00557688">
              <w:rPr>
                <w:rFonts w:asciiTheme="minorHAnsi" w:hAnsiTheme="minorHAnsi" w:cstheme="minorHAnsi"/>
                <w:color w:val="FFFFFF" w:themeColor="background1"/>
              </w:rPr>
              <w:t xml:space="preserve">Businesses </w:t>
            </w:r>
            <w:r>
              <w:rPr>
                <w:rFonts w:asciiTheme="minorHAnsi" w:hAnsiTheme="minorHAnsi" w:cstheme="minorHAnsi"/>
                <w:color w:val="FFFFFF" w:themeColor="background1"/>
              </w:rPr>
              <w:t xml:space="preserve">that are subject to the ATO Corporate Tax Transparency Disclosures, </w:t>
            </w:r>
            <w:r w:rsidRPr="00557688">
              <w:rPr>
                <w:rFonts w:asciiTheme="minorHAnsi" w:hAnsiTheme="minorHAnsi" w:cstheme="minorHAnsi"/>
                <w:color w:val="FFFFFF" w:themeColor="background1"/>
              </w:rPr>
              <w:t xml:space="preserve">should </w:t>
            </w:r>
            <w:r w:rsidRPr="00EB31EB">
              <w:rPr>
                <w:rFonts w:asciiTheme="minorHAnsi" w:hAnsiTheme="minorHAnsi" w:cstheme="minorHAnsi"/>
                <w:color w:val="FFFFFF" w:themeColor="background1"/>
              </w:rPr>
              <w:t xml:space="preserve">provide a reconciliation of the data published by the ATO </w:t>
            </w:r>
            <w:r>
              <w:rPr>
                <w:rFonts w:asciiTheme="minorHAnsi" w:hAnsiTheme="minorHAnsi" w:cstheme="minorHAnsi"/>
                <w:color w:val="FFFFFF" w:themeColor="background1"/>
              </w:rPr>
              <w:t xml:space="preserve">against the data in the </w:t>
            </w:r>
            <w:r w:rsidR="00DB0051">
              <w:rPr>
                <w:rFonts w:asciiTheme="minorHAnsi" w:hAnsiTheme="minorHAnsi" w:cstheme="minorHAnsi"/>
                <w:color w:val="FFFFFF" w:themeColor="background1"/>
              </w:rPr>
              <w:t>V</w:t>
            </w:r>
            <w:r>
              <w:rPr>
                <w:rFonts w:asciiTheme="minorHAnsi" w:hAnsiTheme="minorHAnsi" w:cstheme="minorHAnsi"/>
                <w:color w:val="FFFFFF" w:themeColor="background1"/>
              </w:rPr>
              <w:t>TTC, including:</w:t>
            </w:r>
          </w:p>
          <w:p w14:paraId="5F483EFA" w14:textId="77777777" w:rsidR="00451677" w:rsidRPr="009F5F77" w:rsidRDefault="00451677" w:rsidP="00EC07C1">
            <w:pPr>
              <w:pStyle w:val="Bullet"/>
              <w:numPr>
                <w:ilvl w:val="0"/>
                <w:numId w:val="20"/>
              </w:numPr>
              <w:spacing w:after="120"/>
              <w:rPr>
                <w:color w:val="FFFFFF" w:themeColor="background1"/>
              </w:rPr>
            </w:pPr>
            <w:r w:rsidRPr="009F5F77">
              <w:rPr>
                <w:color w:val="FFFFFF" w:themeColor="background1"/>
              </w:rPr>
              <w:t>The accounting profit which correlates to ‘total income’ reported by the ATO in respect of relevant entities; </w:t>
            </w:r>
          </w:p>
          <w:p w14:paraId="71A4DC93" w14:textId="4FE04D4F" w:rsidR="00451677" w:rsidRPr="009F5F77" w:rsidRDefault="008B6C1E" w:rsidP="00EC07C1">
            <w:pPr>
              <w:pStyle w:val="Bullet"/>
              <w:numPr>
                <w:ilvl w:val="0"/>
                <w:numId w:val="20"/>
              </w:numPr>
              <w:spacing w:after="120"/>
              <w:rPr>
                <w:color w:val="FFFFFF" w:themeColor="background1"/>
              </w:rPr>
            </w:pPr>
            <w:r w:rsidRPr="009F5F77">
              <w:rPr>
                <w:color w:val="FFFFFF" w:themeColor="background1"/>
              </w:rPr>
              <w:t>The</w:t>
            </w:r>
            <w:r w:rsidR="00451677" w:rsidRPr="009F5F77">
              <w:rPr>
                <w:color w:val="FFFFFF" w:themeColor="background1"/>
              </w:rPr>
              <w:t xml:space="preserve"> income tax paid and payable in the </w:t>
            </w:r>
            <w:r w:rsidR="00954B47">
              <w:rPr>
                <w:color w:val="FFFFFF" w:themeColor="background1"/>
              </w:rPr>
              <w:t>V</w:t>
            </w:r>
            <w:r w:rsidR="00451677" w:rsidRPr="009F5F77">
              <w:rPr>
                <w:color w:val="FFFFFF" w:themeColor="background1"/>
              </w:rPr>
              <w:t>TTC to ‘tax payable’ reported by the ATO; and </w:t>
            </w:r>
          </w:p>
          <w:p w14:paraId="6C57056C" w14:textId="6236F777" w:rsidR="00451677" w:rsidRPr="00451677" w:rsidRDefault="00451677" w:rsidP="00EC07C1">
            <w:pPr>
              <w:pStyle w:val="Bullet"/>
              <w:numPr>
                <w:ilvl w:val="0"/>
                <w:numId w:val="20"/>
              </w:numPr>
              <w:spacing w:after="120"/>
            </w:pPr>
            <w:r w:rsidRPr="009F5F77">
              <w:rPr>
                <w:color w:val="FFFFFF" w:themeColor="background1"/>
              </w:rPr>
              <w:lastRenderedPageBreak/>
              <w:t xml:space="preserve">Any further explanation necessary to assist users of the tax transparency information to understand how the information reported by the ATO reconciles to the </w:t>
            </w:r>
            <w:r w:rsidR="00954B47">
              <w:rPr>
                <w:color w:val="FFFFFF" w:themeColor="background1"/>
              </w:rPr>
              <w:t>V</w:t>
            </w:r>
            <w:r w:rsidRPr="009F5F77">
              <w:rPr>
                <w:color w:val="FFFFFF" w:themeColor="background1"/>
              </w:rPr>
              <w:t>TTC. </w:t>
            </w:r>
          </w:p>
        </w:tc>
      </w:tr>
    </w:tbl>
    <w:p w14:paraId="35AE448F" w14:textId="488BCD1B" w:rsidR="00601A45" w:rsidRDefault="00601A45" w:rsidP="00601A45">
      <w:pPr>
        <w:pStyle w:val="Heading5"/>
      </w:pPr>
      <w:r>
        <w:lastRenderedPageBreak/>
        <w:t>Guidance</w:t>
      </w:r>
    </w:p>
    <w:p w14:paraId="58485F77" w14:textId="7178C1E2" w:rsidR="005029ED" w:rsidRPr="00A21B42" w:rsidRDefault="005029ED" w:rsidP="00A152AB">
      <w:r w:rsidRPr="00A21B42">
        <w:t xml:space="preserve">The </w:t>
      </w:r>
      <w:r w:rsidR="00954B47">
        <w:t>V</w:t>
      </w:r>
      <w:r w:rsidRPr="00A21B42">
        <w:t xml:space="preserve">TTC provides an opportunity for business to provide meaningful context to the information published annually by the ATO under the mandatory corporate tax transparency measures. </w:t>
      </w:r>
    </w:p>
    <w:p w14:paraId="6E203C80" w14:textId="569B417E" w:rsidR="00EB31EB" w:rsidRPr="00EB31EB" w:rsidRDefault="005029ED" w:rsidP="00D9117A">
      <w:pPr>
        <w:spacing w:before="0" w:after="0"/>
      </w:pPr>
      <w:r w:rsidRPr="002A260B">
        <w:t xml:space="preserve">This </w:t>
      </w:r>
      <w:r w:rsidR="002C4C58">
        <w:t>reporting</w:t>
      </w:r>
      <w:r w:rsidR="00543545" w:rsidRPr="002A260B">
        <w:t xml:space="preserve"> requirement </w:t>
      </w:r>
      <w:r w:rsidRPr="002A260B">
        <w:t xml:space="preserve">will </w:t>
      </w:r>
      <w:r w:rsidR="005C09CB" w:rsidRPr="002A260B">
        <w:t>involve</w:t>
      </w:r>
      <w:r w:rsidRPr="002A260B">
        <w:t xml:space="preserve"> businesses </w:t>
      </w:r>
      <w:r w:rsidR="005C09CB">
        <w:t>indicating</w:t>
      </w:r>
      <w:r w:rsidRPr="002A260B">
        <w:t xml:space="preserve"> which entities in the ATO disclosures are covered by </w:t>
      </w:r>
      <w:r w:rsidR="002C4C58">
        <w:t xml:space="preserve">the </w:t>
      </w:r>
      <w:r w:rsidR="00954B47">
        <w:t>V</w:t>
      </w:r>
      <w:r w:rsidRPr="002A260B">
        <w:t>TTC</w:t>
      </w:r>
      <w:r w:rsidR="0026520F">
        <w:t>.</w:t>
      </w:r>
    </w:p>
    <w:p w14:paraId="68580563" w14:textId="785CEC3D" w:rsidR="4FAF5FBE" w:rsidRPr="009C66BC" w:rsidRDefault="4FAF5FBE" w:rsidP="009C66BC">
      <w:pPr>
        <w:rPr>
          <w:color w:val="FF0000"/>
        </w:rPr>
      </w:pPr>
      <w:bookmarkStart w:id="29" w:name="_Approach_to_Tax_1"/>
      <w:bookmarkEnd w:id="29"/>
      <w:r w:rsidRPr="009C66BC">
        <w:rPr>
          <w:b/>
          <w:bCs/>
          <w:color w:val="FF0000"/>
        </w:rPr>
        <w:t>[Guidance on timing]</w:t>
      </w:r>
      <w:r w:rsidR="009C66BC">
        <w:rPr>
          <w:rStyle w:val="FootnoteReference"/>
          <w:color w:val="FF0000"/>
        </w:rPr>
        <w:footnoteReference w:id="6"/>
      </w:r>
    </w:p>
    <w:p w14:paraId="4D92FBEA" w14:textId="7A701B2E" w:rsidR="00591786" w:rsidRDefault="001162CB" w:rsidP="00591786">
      <w:pPr>
        <w:pStyle w:val="Heading3"/>
      </w:pPr>
      <w:r>
        <w:t>Overall a</w:t>
      </w:r>
      <w:r w:rsidR="00591786">
        <w:t xml:space="preserve">pproach to </w:t>
      </w:r>
      <w:r>
        <w:t>t</w:t>
      </w:r>
      <w:r w:rsidR="00591786">
        <w:t xml:space="preserve">ax </w:t>
      </w:r>
    </w:p>
    <w:p w14:paraId="28FE149A" w14:textId="053BF4E1" w:rsidR="001162CB" w:rsidRPr="001162CB" w:rsidRDefault="001162CB" w:rsidP="001162CB">
      <w:pPr>
        <w:pStyle w:val="Heading4"/>
      </w:pPr>
      <w:bookmarkStart w:id="30" w:name="_Approach_to_risk"/>
      <w:bookmarkEnd w:id="30"/>
      <w:r>
        <w:t>Approach to tax</w:t>
      </w:r>
    </w:p>
    <w:tbl>
      <w:tblPr>
        <w:tblStyle w:val="TableGrid"/>
        <w:tblW w:w="0" w:type="auto"/>
        <w:tblLook w:val="04A0" w:firstRow="1" w:lastRow="0" w:firstColumn="1" w:lastColumn="0" w:noHBand="0" w:noVBand="1"/>
      </w:tblPr>
      <w:tblGrid>
        <w:gridCol w:w="9631"/>
      </w:tblGrid>
      <w:tr w:rsidR="00F42FC6" w14:paraId="6E4156C6" w14:textId="77777777" w:rsidTr="00F42FC6">
        <w:tc>
          <w:tcPr>
            <w:tcW w:w="9631" w:type="dxa"/>
            <w:shd w:val="clear" w:color="auto" w:fill="701F4D" w:themeFill="accent2"/>
          </w:tcPr>
          <w:p w14:paraId="20567D62" w14:textId="19B31F19" w:rsidR="00F42FC6" w:rsidRDefault="00792696" w:rsidP="00B4605C">
            <w:pPr>
              <w:spacing w:before="240" w:after="0"/>
              <w:jc w:val="both"/>
            </w:pPr>
            <w:r>
              <w:rPr>
                <w:rFonts w:asciiTheme="majorHAnsi" w:hAnsiTheme="majorHAnsi"/>
                <w:b/>
                <w:bCs/>
                <w:color w:val="FFFFFF" w:themeColor="background1"/>
              </w:rPr>
              <w:t>V</w:t>
            </w:r>
            <w:r w:rsidR="00AB142E" w:rsidRPr="00AB142E">
              <w:rPr>
                <w:rFonts w:asciiTheme="majorHAnsi" w:hAnsiTheme="majorHAnsi"/>
                <w:b/>
                <w:bCs/>
                <w:color w:val="FFFFFF" w:themeColor="background1"/>
              </w:rPr>
              <w:t>TTC requirement</w:t>
            </w:r>
            <w:r w:rsidR="00AB142E">
              <w:t xml:space="preserve"> </w:t>
            </w:r>
          </w:p>
          <w:p w14:paraId="0062ED96" w14:textId="7F79D12D" w:rsidR="00AB142E" w:rsidRDefault="00B4605C" w:rsidP="00AB142E">
            <w:pPr>
              <w:spacing w:before="240"/>
              <w:jc w:val="both"/>
            </w:pPr>
            <w:r w:rsidRPr="00B4605C">
              <w:rPr>
                <w:color w:val="FFFFFF" w:themeColor="background1"/>
              </w:rPr>
              <w:t xml:space="preserve">Businesses should provide a statement </w:t>
            </w:r>
            <w:r w:rsidR="006B7993">
              <w:rPr>
                <w:color w:val="FFFFFF" w:themeColor="background1"/>
              </w:rPr>
              <w:t xml:space="preserve">confirming </w:t>
            </w:r>
            <w:r w:rsidRPr="00B4605C">
              <w:rPr>
                <w:color w:val="FFFFFF" w:themeColor="background1"/>
              </w:rPr>
              <w:t xml:space="preserve">that they </w:t>
            </w:r>
            <w:r w:rsidR="00FA6561">
              <w:rPr>
                <w:color w:val="FFFFFF" w:themeColor="background1"/>
              </w:rPr>
              <w:t>report on</w:t>
            </w:r>
            <w:r w:rsidRPr="00B4605C">
              <w:rPr>
                <w:color w:val="FFFFFF" w:themeColor="background1"/>
              </w:rPr>
              <w:t xml:space="preserve"> ‘approach to tax’</w:t>
            </w:r>
            <w:r w:rsidR="00FA6561">
              <w:rPr>
                <w:color w:val="FFFFFF" w:themeColor="background1"/>
              </w:rPr>
              <w:t xml:space="preserve">, </w:t>
            </w:r>
            <w:r w:rsidRPr="00B4605C">
              <w:rPr>
                <w:color w:val="FFFFFF" w:themeColor="background1"/>
              </w:rPr>
              <w:t>consistent with</w:t>
            </w:r>
            <w:r w:rsidR="00FA6561">
              <w:rPr>
                <w:color w:val="FFFFFF" w:themeColor="background1"/>
              </w:rPr>
              <w:t xml:space="preserve"> the</w:t>
            </w:r>
            <w:r w:rsidRPr="00B4605C">
              <w:rPr>
                <w:color w:val="FFFFFF" w:themeColor="background1"/>
              </w:rPr>
              <w:t xml:space="preserve"> GRI 207-1</w:t>
            </w:r>
            <w:r w:rsidR="00FA6561">
              <w:rPr>
                <w:color w:val="FFFFFF" w:themeColor="background1"/>
              </w:rPr>
              <w:t xml:space="preserve"> requirements</w:t>
            </w:r>
            <w:r w:rsidR="002B1F65">
              <w:rPr>
                <w:color w:val="FFFFFF" w:themeColor="background1"/>
              </w:rPr>
              <w:t xml:space="preserve">, </w:t>
            </w:r>
            <w:r w:rsidR="00A14EAF">
              <w:rPr>
                <w:color w:val="FFFFFF" w:themeColor="background1"/>
              </w:rPr>
              <w:t xml:space="preserve">in their </w:t>
            </w:r>
            <w:r w:rsidR="00B4260D">
              <w:rPr>
                <w:color w:val="FFFFFF" w:themeColor="background1"/>
              </w:rPr>
              <w:t xml:space="preserve">public </w:t>
            </w:r>
            <w:r w:rsidR="00A14EAF">
              <w:rPr>
                <w:color w:val="FFFFFF" w:themeColor="background1"/>
              </w:rPr>
              <w:t xml:space="preserve">CbC report. </w:t>
            </w:r>
          </w:p>
        </w:tc>
      </w:tr>
    </w:tbl>
    <w:p w14:paraId="4BE7CD81" w14:textId="5F066B04" w:rsidR="001D4A50" w:rsidRDefault="008B1259" w:rsidP="001162CB">
      <w:pPr>
        <w:pStyle w:val="Heading4"/>
      </w:pPr>
      <w:bookmarkStart w:id="31" w:name="_Tax_governance,_control,"/>
      <w:bookmarkEnd w:id="31"/>
      <w:r>
        <w:t>Tax governance, control, and risk management</w:t>
      </w:r>
      <w:r w:rsidR="005236E4">
        <w:t xml:space="preserve"> (Aligned with GRI 207-2)</w:t>
      </w:r>
    </w:p>
    <w:p w14:paraId="270BA7FB" w14:textId="1842BD98" w:rsidR="00D97A7B" w:rsidRDefault="002B1EEA" w:rsidP="002B1EEA">
      <w:pPr>
        <w:pStyle w:val="Heading5"/>
      </w:pPr>
      <w:r>
        <w:t xml:space="preserve">Optional elements </w:t>
      </w:r>
    </w:p>
    <w:p w14:paraId="48CB1221" w14:textId="370A53E2" w:rsidR="00294E16" w:rsidRDefault="00D43626" w:rsidP="00C85CBF">
      <w:pPr>
        <w:pStyle w:val="Bullet"/>
      </w:pPr>
      <w:r>
        <w:t>Provide a</w:t>
      </w:r>
      <w:r w:rsidR="00294E16">
        <w:t xml:space="preserve"> description of the </w:t>
      </w:r>
      <w:r w:rsidR="005824A8">
        <w:t>tax governance</w:t>
      </w:r>
      <w:r w:rsidR="00916200">
        <w:t xml:space="preserve"> and </w:t>
      </w:r>
      <w:r w:rsidR="005824A8">
        <w:t>control framework</w:t>
      </w:r>
      <w:r w:rsidR="006542D1">
        <w:t xml:space="preserve"> including:</w:t>
      </w:r>
      <w:r w:rsidR="00294E16">
        <w:t xml:space="preserve"> </w:t>
      </w:r>
    </w:p>
    <w:p w14:paraId="0B66CDFC" w14:textId="017A2D4F" w:rsidR="00F36AA8" w:rsidRDefault="009B7C19" w:rsidP="006542D1">
      <w:pPr>
        <w:pStyle w:val="Dash"/>
      </w:pPr>
      <w:r>
        <w:t>the</w:t>
      </w:r>
      <w:r w:rsidR="00F36AA8">
        <w:t xml:space="preserve"> governance body or </w:t>
      </w:r>
      <w:r w:rsidR="00A31983">
        <w:t>executive-level position within the organisation accountable for compliance with the tax strategy;</w:t>
      </w:r>
    </w:p>
    <w:p w14:paraId="7D222442" w14:textId="232CDD5D" w:rsidR="00A31983" w:rsidRDefault="00A31983" w:rsidP="006542D1">
      <w:pPr>
        <w:pStyle w:val="Dash"/>
      </w:pPr>
      <w:r>
        <w:t xml:space="preserve">how </w:t>
      </w:r>
      <w:r w:rsidR="007213D8">
        <w:t xml:space="preserve">the </w:t>
      </w:r>
      <w:r w:rsidR="00C57419">
        <w:t>entity’s</w:t>
      </w:r>
      <w:r w:rsidR="007213D8">
        <w:t xml:space="preserve"> </w:t>
      </w:r>
      <w:r w:rsidR="009378C5">
        <w:t xml:space="preserve">approach to tax </w:t>
      </w:r>
      <w:r>
        <w:t>is communicated and embedded in the organisation;</w:t>
      </w:r>
    </w:p>
    <w:p w14:paraId="19E47E7D" w14:textId="52F61F33" w:rsidR="00A31983" w:rsidRDefault="002574DD" w:rsidP="006542D1">
      <w:pPr>
        <w:pStyle w:val="Dash"/>
      </w:pPr>
      <w:r>
        <w:t>how tax risks are identified, managed and monitored</w:t>
      </w:r>
      <w:r w:rsidR="00C95770">
        <w:t xml:space="preserve">; </w:t>
      </w:r>
      <w:r w:rsidR="00253417">
        <w:t>and</w:t>
      </w:r>
    </w:p>
    <w:p w14:paraId="72DC9C72" w14:textId="77CBD978" w:rsidR="00C95770" w:rsidRDefault="00C95770" w:rsidP="00C95770">
      <w:pPr>
        <w:pStyle w:val="Dash"/>
      </w:pPr>
      <w:r>
        <w:t>how compliance with tax governance and control framework is evaluated</w:t>
      </w:r>
      <w:r w:rsidR="00253417">
        <w:t xml:space="preserve">. </w:t>
      </w:r>
    </w:p>
    <w:p w14:paraId="6332E28E" w14:textId="27C36BE8" w:rsidR="00EC4268" w:rsidRPr="00EC4268" w:rsidRDefault="009B7C19" w:rsidP="00EC4268">
      <w:pPr>
        <w:pStyle w:val="Bullet"/>
      </w:pPr>
      <w:r>
        <w:t xml:space="preserve">Provide a </w:t>
      </w:r>
      <w:r w:rsidR="006400D2">
        <w:t>description of the mechanisms to raise concerns about business</w:t>
      </w:r>
      <w:r w:rsidR="00C72158">
        <w:t xml:space="preserve">’ conduct and integrity in relation to tax. </w:t>
      </w:r>
    </w:p>
    <w:p w14:paraId="709016B1" w14:textId="4E2FBC36" w:rsidR="001B0205" w:rsidRPr="00924ED8" w:rsidRDefault="009B7C19" w:rsidP="00EC4268">
      <w:pPr>
        <w:pStyle w:val="Bullet"/>
      </w:pPr>
      <w:bookmarkStart w:id="32" w:name="_Attitude_to_tax"/>
      <w:bookmarkEnd w:id="32"/>
      <w:r>
        <w:t>Provide a</w:t>
      </w:r>
      <w:r w:rsidR="001B0205" w:rsidRPr="00924ED8">
        <w:t xml:space="preserve"> description of the assurance process for disclosures on tax. </w:t>
      </w:r>
    </w:p>
    <w:p w14:paraId="1AD14BF3" w14:textId="2B0827AF" w:rsidR="003A0E8B" w:rsidRDefault="00036F66" w:rsidP="001162CB">
      <w:pPr>
        <w:pStyle w:val="Heading4"/>
      </w:pPr>
      <w:bookmarkStart w:id="33" w:name="_Stakeholder_engagement_and"/>
      <w:bookmarkEnd w:id="33"/>
      <w:r>
        <w:lastRenderedPageBreak/>
        <w:t>Stakeholder engagement and management of concerns related to tax</w:t>
      </w:r>
      <w:r w:rsidR="00436848">
        <w:t xml:space="preserve"> </w:t>
      </w:r>
      <w:r w:rsidR="005236E4">
        <w:t>(Aligned with GRI 207-3)</w:t>
      </w:r>
    </w:p>
    <w:p w14:paraId="134F5B8D" w14:textId="77777777" w:rsidR="00856B77" w:rsidRDefault="00856B77" w:rsidP="00856B77">
      <w:pPr>
        <w:pStyle w:val="Heading5"/>
      </w:pPr>
      <w:r>
        <w:t xml:space="preserve">Optional elements </w:t>
      </w:r>
    </w:p>
    <w:p w14:paraId="2F270B04" w14:textId="0B34F781" w:rsidR="00C26F01" w:rsidRDefault="009B7C19" w:rsidP="00C26F01">
      <w:pPr>
        <w:pStyle w:val="Bullet"/>
      </w:pPr>
      <w:r>
        <w:t>Provide a</w:t>
      </w:r>
      <w:r w:rsidR="00F51B9C">
        <w:t xml:space="preserve"> description of </w:t>
      </w:r>
      <w:r w:rsidR="00CF119F">
        <w:t xml:space="preserve">the </w:t>
      </w:r>
      <w:r w:rsidR="00F51B9C">
        <w:t>approach to engagement with the ATO</w:t>
      </w:r>
      <w:r w:rsidR="00842D9B">
        <w:t>. This may include:</w:t>
      </w:r>
      <w:r w:rsidR="00F51B9C">
        <w:t xml:space="preserve"> </w:t>
      </w:r>
    </w:p>
    <w:p w14:paraId="4C415B21" w14:textId="361679B6" w:rsidR="00F51B9C" w:rsidRPr="002C249C" w:rsidRDefault="00F51B9C" w:rsidP="00F51B9C">
      <w:pPr>
        <w:pStyle w:val="Dash"/>
      </w:pPr>
      <w:r w:rsidRPr="002C249C">
        <w:t xml:space="preserve">the assurance regimes </w:t>
      </w:r>
      <w:r w:rsidR="00CF119F">
        <w:t>the entity</w:t>
      </w:r>
      <w:r w:rsidR="00CF119F" w:rsidRPr="002C249C">
        <w:t xml:space="preserve"> </w:t>
      </w:r>
      <w:r w:rsidRPr="002C249C">
        <w:t>is subject to</w:t>
      </w:r>
      <w:r w:rsidR="00044C2F">
        <w:t>,</w:t>
      </w:r>
      <w:r w:rsidR="00D40E05">
        <w:t xml:space="preserve"> including </w:t>
      </w:r>
      <w:r w:rsidR="00C760F2">
        <w:t>any outcomes from assurance regimes</w:t>
      </w:r>
      <w:r w:rsidRPr="002C249C">
        <w:t>, for example, internal audit, external audit, Advance Pricing Arrangements (APAs)</w:t>
      </w:r>
      <w:r w:rsidR="00AD4954">
        <w:t xml:space="preserve">, </w:t>
      </w:r>
      <w:r w:rsidR="006D60F9">
        <w:t xml:space="preserve">Annual Compliance Arrangement (ACA), </w:t>
      </w:r>
      <w:r w:rsidR="00C31001">
        <w:t>Justified</w:t>
      </w:r>
      <w:r w:rsidR="00AD4954">
        <w:t xml:space="preserve"> Trust </w:t>
      </w:r>
      <w:r w:rsidR="00100622">
        <w:t>r</w:t>
      </w:r>
      <w:r w:rsidR="00AD4954">
        <w:t>eviews</w:t>
      </w:r>
      <w:r w:rsidRPr="002C249C">
        <w:t xml:space="preserve"> and ATO pre-lodgment compliance reviews;</w:t>
      </w:r>
    </w:p>
    <w:p w14:paraId="7C7F8F0E" w14:textId="2AD0FEED" w:rsidR="00BC515B" w:rsidRPr="002C249C" w:rsidRDefault="009B7C19" w:rsidP="00BC515B">
      <w:pPr>
        <w:pStyle w:val="Dash"/>
      </w:pPr>
      <w:r>
        <w:t>e</w:t>
      </w:r>
      <w:r w:rsidR="00BC515B" w:rsidRPr="002C249C">
        <w:t xml:space="preserve">ngagement on tax risks including private binding rulings obtained, cooperative compliance agreements, seeking active real-time audit, seeking clearance for significant transactions and advance pricing agreements sought; </w:t>
      </w:r>
    </w:p>
    <w:p w14:paraId="50954A23" w14:textId="77777777" w:rsidR="00A32701" w:rsidRDefault="00BC515B" w:rsidP="00A32701">
      <w:pPr>
        <w:pStyle w:val="Dash"/>
      </w:pPr>
      <w:r w:rsidRPr="002C249C">
        <w:t>the outcome of ATO compliance activities, for example, a ‘risk rating’ or the outcome of a streamlined risk review</w:t>
      </w:r>
      <w:r w:rsidR="009E0953" w:rsidRPr="002C249C">
        <w:t>; and</w:t>
      </w:r>
      <w:r w:rsidR="00A32701" w:rsidRPr="00A32701">
        <w:t xml:space="preserve"> </w:t>
      </w:r>
    </w:p>
    <w:p w14:paraId="29B5B6E2" w14:textId="190E31B2" w:rsidR="00A32701" w:rsidRPr="002C249C" w:rsidRDefault="00A32701" w:rsidP="00A32701">
      <w:pPr>
        <w:pStyle w:val="Dash"/>
      </w:pPr>
      <w:r w:rsidRPr="002C249C">
        <w:t xml:space="preserve">any significant ongoing or recently settled tax disputes with the ATO and/or other revenue authorities, including settlement outcomes, to the extent not already disclosed in financial statements. </w:t>
      </w:r>
    </w:p>
    <w:p w14:paraId="7A8B5C73" w14:textId="34783498" w:rsidR="00C26F01" w:rsidRDefault="009B7C19" w:rsidP="00C26F01">
      <w:pPr>
        <w:pStyle w:val="Bullet"/>
      </w:pPr>
      <w:r>
        <w:t>Provide a</w:t>
      </w:r>
      <w:r w:rsidR="00C26F01">
        <w:t xml:space="preserve"> description of its</w:t>
      </w:r>
      <w:r w:rsidR="00C26F01" w:rsidRPr="00E665D9">
        <w:t xml:space="preserve"> approach to engagement with other tax authorities</w:t>
      </w:r>
      <w:r w:rsidR="00F51B9C">
        <w:t>.</w:t>
      </w:r>
      <w:r w:rsidR="00C26F01" w:rsidRPr="00E665D9">
        <w:t>  </w:t>
      </w:r>
    </w:p>
    <w:p w14:paraId="2CDCF12D" w14:textId="4A99DE00" w:rsidR="00D13C79" w:rsidRDefault="009B7C19" w:rsidP="00C26F01">
      <w:pPr>
        <w:pStyle w:val="Bullet"/>
      </w:pPr>
      <w:r>
        <w:t xml:space="preserve">Provide a </w:t>
      </w:r>
      <w:r w:rsidR="007069F1">
        <w:t>description of the</w:t>
      </w:r>
      <w:r w:rsidR="00D13C79">
        <w:t xml:space="preserve"> processes </w:t>
      </w:r>
      <w:r w:rsidR="00924ED8">
        <w:t xml:space="preserve">for collecting and considering the views and concerns of stakeholders, including external stakeholders. </w:t>
      </w:r>
    </w:p>
    <w:p w14:paraId="76CAD5A9" w14:textId="41F04067" w:rsidR="00EC4EA3" w:rsidRDefault="00EC4EA3" w:rsidP="003A79A3">
      <w:pPr>
        <w:pStyle w:val="Heading4"/>
        <w:spacing w:after="120"/>
      </w:pPr>
      <w:bookmarkStart w:id="34" w:name="_International_related_party_1"/>
      <w:bookmarkEnd w:id="34"/>
      <w:r>
        <w:t>International related party dealings summary</w:t>
      </w:r>
    </w:p>
    <w:tbl>
      <w:tblPr>
        <w:tblStyle w:val="Style1"/>
        <w:tblW w:w="0" w:type="auto"/>
        <w:tblLook w:val="04A0" w:firstRow="1" w:lastRow="0" w:firstColumn="1" w:lastColumn="0" w:noHBand="0" w:noVBand="1"/>
      </w:tblPr>
      <w:tblGrid>
        <w:gridCol w:w="9631"/>
      </w:tblGrid>
      <w:tr w:rsidR="00B66078" w14:paraId="3ADBDAC1" w14:textId="77777777" w:rsidTr="00B6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53681F27" w14:textId="342EF3D8" w:rsidR="00B66078" w:rsidRPr="007D505D" w:rsidRDefault="00792696" w:rsidP="007D505D">
            <w:pPr>
              <w:spacing w:before="240"/>
              <w:jc w:val="both"/>
              <w:rPr>
                <w:rFonts w:asciiTheme="majorHAnsi" w:hAnsiTheme="majorHAnsi"/>
                <w:b/>
                <w:bCs/>
                <w:color w:val="FFFFFF" w:themeColor="background1"/>
              </w:rPr>
            </w:pPr>
            <w:r>
              <w:rPr>
                <w:rFonts w:asciiTheme="majorHAnsi" w:hAnsiTheme="majorHAnsi"/>
                <w:b/>
                <w:bCs/>
                <w:color w:val="FFFFFF" w:themeColor="background1"/>
              </w:rPr>
              <w:t>V</w:t>
            </w:r>
            <w:r w:rsidR="008C7050" w:rsidRPr="008C7050">
              <w:rPr>
                <w:rFonts w:asciiTheme="majorHAnsi" w:hAnsiTheme="majorHAnsi"/>
                <w:b/>
                <w:bCs/>
                <w:color w:val="FFFFFF" w:themeColor="background1"/>
              </w:rPr>
              <w:t>TTC Requirement</w:t>
            </w:r>
          </w:p>
          <w:p w14:paraId="6D9B2FB4" w14:textId="77777777" w:rsidR="003D7AFD" w:rsidRDefault="0057773C" w:rsidP="00FB6B90">
            <w:pPr>
              <w:spacing w:before="120"/>
              <w:rPr>
                <w:color w:val="FFFFFF" w:themeColor="background1"/>
              </w:rPr>
            </w:pPr>
            <w:r w:rsidRPr="0057773C">
              <w:rPr>
                <w:color w:val="FFFFFF" w:themeColor="background1"/>
              </w:rPr>
              <w:t>Businesses should provide a qualitative disclosure of key categories of dealings with offshore related parties which have a material impact on the business’ Australian taxable income, including</w:t>
            </w:r>
            <w:r w:rsidR="003D7AFD">
              <w:rPr>
                <w:color w:val="FFFFFF" w:themeColor="background1"/>
              </w:rPr>
              <w:t>:</w:t>
            </w:r>
          </w:p>
          <w:p w14:paraId="531589FC" w14:textId="53DE0834" w:rsidR="003D7AFD" w:rsidRDefault="0057773C" w:rsidP="00EC07C1">
            <w:pPr>
              <w:pStyle w:val="Bullet"/>
              <w:numPr>
                <w:ilvl w:val="0"/>
                <w:numId w:val="20"/>
              </w:numPr>
              <w:spacing w:before="120" w:after="120"/>
              <w:rPr>
                <w:color w:val="FFFFFF" w:themeColor="background1"/>
              </w:rPr>
            </w:pPr>
            <w:r w:rsidRPr="003D7AFD">
              <w:rPr>
                <w:color w:val="FFFFFF" w:themeColor="background1"/>
              </w:rPr>
              <w:t xml:space="preserve">the nature of </w:t>
            </w:r>
            <w:r w:rsidR="003D7AFD">
              <w:rPr>
                <w:color w:val="FFFFFF" w:themeColor="background1"/>
              </w:rPr>
              <w:t>the</w:t>
            </w:r>
            <w:r w:rsidRPr="003D7AFD">
              <w:rPr>
                <w:color w:val="FFFFFF" w:themeColor="background1"/>
              </w:rPr>
              <w:t xml:space="preserve"> dealings</w:t>
            </w:r>
            <w:r w:rsidR="003D7AFD">
              <w:rPr>
                <w:color w:val="FFFFFF" w:themeColor="background1"/>
              </w:rPr>
              <w:t>;</w:t>
            </w:r>
            <w:r w:rsidR="00751D4C">
              <w:rPr>
                <w:color w:val="FFFFFF" w:themeColor="background1"/>
              </w:rPr>
              <w:t xml:space="preserve"> and</w:t>
            </w:r>
          </w:p>
          <w:p w14:paraId="2832AB21" w14:textId="394439A9" w:rsidR="00C95C17" w:rsidRPr="00906B94" w:rsidRDefault="0057773C" w:rsidP="00EC07C1">
            <w:pPr>
              <w:pStyle w:val="Bullet"/>
              <w:numPr>
                <w:ilvl w:val="0"/>
                <w:numId w:val="20"/>
              </w:numPr>
              <w:spacing w:after="120"/>
              <w:rPr>
                <w:color w:val="FFFFFF" w:themeColor="background1"/>
              </w:rPr>
            </w:pPr>
            <w:r w:rsidRPr="003D7AFD">
              <w:rPr>
                <w:color w:val="FFFFFF" w:themeColor="background1"/>
              </w:rPr>
              <w:t>the country in which the related party is located</w:t>
            </w:r>
            <w:r w:rsidR="00FB6B90">
              <w:rPr>
                <w:color w:val="FFFFFF" w:themeColor="background1"/>
              </w:rPr>
              <w:t>.</w:t>
            </w:r>
          </w:p>
        </w:tc>
      </w:tr>
    </w:tbl>
    <w:p w14:paraId="4B693C26" w14:textId="77777777" w:rsidR="00856B77" w:rsidRDefault="00856B77" w:rsidP="00856B77">
      <w:pPr>
        <w:pStyle w:val="Heading5"/>
      </w:pPr>
      <w:r>
        <w:t>Guidance</w:t>
      </w:r>
    </w:p>
    <w:p w14:paraId="66408106" w14:textId="5EAFB55B" w:rsidR="00395467" w:rsidRPr="00F42443" w:rsidRDefault="00C823DA" w:rsidP="00563310">
      <w:pPr>
        <w:pStyle w:val="Bullet"/>
        <w:numPr>
          <w:ilvl w:val="0"/>
          <w:numId w:val="0"/>
        </w:numPr>
      </w:pPr>
      <w:r w:rsidRPr="00F42443">
        <w:t xml:space="preserve">A business’ dealings with international related parties have particular relevance for the </w:t>
      </w:r>
      <w:r w:rsidR="00954B47">
        <w:t>V</w:t>
      </w:r>
      <w:r w:rsidR="05372D6B" w:rsidRPr="00F42443">
        <w:t>TTC</w:t>
      </w:r>
      <w:r w:rsidR="1DDC58F7" w:rsidRPr="00F42443">
        <w:t xml:space="preserve"> audience</w:t>
      </w:r>
      <w:r w:rsidR="05372D6B" w:rsidRPr="00F42443">
        <w:t>.</w:t>
      </w:r>
      <w:r w:rsidRPr="00F42443">
        <w:t xml:space="preserve"> </w:t>
      </w:r>
      <w:r w:rsidR="0038677C">
        <w:t>Businesses may wish to provide further information, including:</w:t>
      </w:r>
    </w:p>
    <w:p w14:paraId="5B20DE5E" w14:textId="6590274C" w:rsidR="00395467" w:rsidRPr="00F42443" w:rsidRDefault="00395467" w:rsidP="00257F1A">
      <w:pPr>
        <w:pStyle w:val="Bullet"/>
      </w:pPr>
      <w:r w:rsidRPr="00F42443">
        <w:t xml:space="preserve">A description of the business approach to allocation of value between international related parties. For example, use of the arm’s length principles in line with OECD guidelines. </w:t>
      </w:r>
    </w:p>
    <w:p w14:paraId="16FF970A" w14:textId="253C62A1" w:rsidR="00395467" w:rsidRPr="00F42443" w:rsidRDefault="005707D2" w:rsidP="00257F1A">
      <w:pPr>
        <w:pStyle w:val="Bullet"/>
      </w:pPr>
      <w:r>
        <w:lastRenderedPageBreak/>
        <w:t>Additional</w:t>
      </w:r>
      <w:r w:rsidR="00395467" w:rsidRPr="00F42443">
        <w:t xml:space="preserve"> context in relation to the size of their international related party dealings relative to their whole business. For example, a business could express its international related party dealings as a percentage of its total revenue or expenditure, as relevant; and </w:t>
      </w:r>
    </w:p>
    <w:p w14:paraId="1D5F6EF6" w14:textId="77777777" w:rsidR="00086B29" w:rsidRDefault="00395467" w:rsidP="00086B29">
      <w:pPr>
        <w:pStyle w:val="Bullet"/>
      </w:pPr>
      <w:r w:rsidRPr="00F42443">
        <w:t>An explanation of activities undertaken in no or low tax jurisdictions, types of tax incentives used, approach to transfer pricing and how it ensures its transactions are arm’s length.</w:t>
      </w:r>
    </w:p>
    <w:p w14:paraId="427B0645" w14:textId="014CE615" w:rsidR="00FD2093" w:rsidRPr="00F42443" w:rsidRDefault="00FD2093" w:rsidP="00086B29">
      <w:pPr>
        <w:pStyle w:val="Bullet"/>
        <w:numPr>
          <w:ilvl w:val="0"/>
          <w:numId w:val="0"/>
        </w:numPr>
      </w:pPr>
      <w:r w:rsidRPr="00F42443">
        <w:t xml:space="preserve">The Board believes it is necessary for the </w:t>
      </w:r>
      <w:r w:rsidR="00954B47">
        <w:t>V</w:t>
      </w:r>
      <w:r w:rsidRPr="00F42443">
        <w:t xml:space="preserve">TTC to include this information in light of community concern and media coverage of tax issues. </w:t>
      </w:r>
      <w:r w:rsidR="00E92925">
        <w:t xml:space="preserve">This information provides ‘Public CbC reporters’ with a platform to elaborate on the nature of any </w:t>
      </w:r>
      <w:r w:rsidR="00082FC1">
        <w:t>related</w:t>
      </w:r>
      <w:r w:rsidR="00E92925">
        <w:t xml:space="preserve"> party dealings and revenue from related parties reported under the public CbCr.</w:t>
      </w:r>
      <w:r w:rsidR="00E92925" w:rsidRPr="00E92925">
        <w:t xml:space="preserve"> </w:t>
      </w:r>
      <w:r w:rsidR="00E92925" w:rsidRPr="00F42443">
        <w:t xml:space="preserve">Businesses may address these </w:t>
      </w:r>
      <w:r w:rsidR="009400DF">
        <w:t>concerns</w:t>
      </w:r>
      <w:r w:rsidR="009400DF" w:rsidRPr="00F42443">
        <w:t xml:space="preserve"> </w:t>
      </w:r>
      <w:r w:rsidR="00E92925" w:rsidRPr="00F42443">
        <w:t>by carefully explaining the commercial context of the arrangements. </w:t>
      </w:r>
    </w:p>
    <w:p w14:paraId="3968DAF6" w14:textId="37224010" w:rsidR="00C823DA" w:rsidRPr="00F42443" w:rsidRDefault="00C823DA" w:rsidP="00C823DA">
      <w:r w:rsidRPr="00F42443">
        <w:t>There is public interest in ensuring that international related party dealings are being conducted in a manner consistent with Australian tax law and international taxation norms (the arm’s length principle). </w:t>
      </w:r>
      <w:r w:rsidR="001D3771">
        <w:t xml:space="preserve">Transparency ensures the public have visibility over the structuring arrangements and activities of multinational entities. </w:t>
      </w:r>
      <w:r w:rsidR="00340B08">
        <w:t xml:space="preserve"> </w:t>
      </w:r>
    </w:p>
    <w:p w14:paraId="6A160417" w14:textId="21E46B5A" w:rsidR="003A79A3" w:rsidRPr="00F42443" w:rsidRDefault="003A79A3" w:rsidP="00C823DA">
      <w:r w:rsidRPr="00F42443">
        <w:t>The Board acknowledges the</w:t>
      </w:r>
      <w:r w:rsidR="005F0B0C">
        <w:t>re may be</w:t>
      </w:r>
      <w:r w:rsidRPr="00F42443">
        <w:t xml:space="preserve"> risks </w:t>
      </w:r>
      <w:r w:rsidR="003F5A0F">
        <w:t>for some</w:t>
      </w:r>
      <w:r w:rsidR="003F5A0F" w:rsidRPr="00F42443">
        <w:t xml:space="preserve"> </w:t>
      </w:r>
      <w:r w:rsidRPr="00F42443">
        <w:t xml:space="preserve">businesses </w:t>
      </w:r>
      <w:r w:rsidR="003F5A0F">
        <w:t>in</w:t>
      </w:r>
      <w:r w:rsidRPr="00F42443">
        <w:t xml:space="preserve"> publicly disclosing the information noted above, including the risk of reputational damage caused by misunderstanding of </w:t>
      </w:r>
      <w:r w:rsidR="005F0B0C">
        <w:t>the</w:t>
      </w:r>
      <w:r w:rsidR="005F0B0C" w:rsidRPr="00F42443">
        <w:t xml:space="preserve"> </w:t>
      </w:r>
      <w:r w:rsidRPr="00F42443">
        <w:t>information</w:t>
      </w:r>
      <w:r w:rsidR="005F0B0C">
        <w:t xml:space="preserve"> and disclosure of commercially sensitive information</w:t>
      </w:r>
      <w:r w:rsidRPr="00F42443">
        <w:t>. However,</w:t>
      </w:r>
      <w:r w:rsidR="0A208654" w:rsidRPr="00F42443" w:rsidDel="005F0B0C">
        <w:t xml:space="preserve"> </w:t>
      </w:r>
      <w:r w:rsidR="005F0B0C">
        <w:t>it</w:t>
      </w:r>
      <w:r w:rsidR="0A208654" w:rsidRPr="00F42443">
        <w:t xml:space="preserve"> may also provide an opportunity for businesses to </w:t>
      </w:r>
      <w:r w:rsidR="005707D2">
        <w:t>explain</w:t>
      </w:r>
      <w:r w:rsidR="0A208654">
        <w:t xml:space="preserve"> </w:t>
      </w:r>
      <w:r w:rsidR="0A208654" w:rsidRPr="00F42443">
        <w:t xml:space="preserve">and mitigate </w:t>
      </w:r>
      <w:r w:rsidR="18C7CB49" w:rsidRPr="00F42443">
        <w:t>any</w:t>
      </w:r>
      <w:r w:rsidR="0A208654" w:rsidRPr="00F42443">
        <w:t xml:space="preserve"> misunderstanding </w:t>
      </w:r>
      <w:r w:rsidR="00C52F6D">
        <w:t>as</w:t>
      </w:r>
      <w:r w:rsidR="0A208654" w:rsidRPr="00F42443">
        <w:t xml:space="preserve"> information about </w:t>
      </w:r>
      <w:r w:rsidR="00C52F6D">
        <w:t>business</w:t>
      </w:r>
      <w:r w:rsidR="0A208654">
        <w:t xml:space="preserve"> </w:t>
      </w:r>
      <w:r w:rsidR="3E7CA54A" w:rsidRPr="00F42443">
        <w:t xml:space="preserve">activities in specified jurisdictions may now </w:t>
      </w:r>
      <w:r w:rsidR="00C52F6D">
        <w:t>require disclosure under</w:t>
      </w:r>
      <w:r w:rsidR="3E7CA54A">
        <w:t xml:space="preserve"> ot</w:t>
      </w:r>
      <w:r w:rsidR="3E7CA54A" w:rsidRPr="00F42443">
        <w:t xml:space="preserve">her </w:t>
      </w:r>
      <w:r w:rsidR="6E53375D" w:rsidRPr="00F42443">
        <w:t xml:space="preserve">transparency regimes. </w:t>
      </w:r>
      <w:r w:rsidR="3E7CA54A" w:rsidRPr="00F42443">
        <w:t xml:space="preserve"> </w:t>
      </w:r>
      <w:r w:rsidR="13E91248" w:rsidRPr="00F42443">
        <w:t xml:space="preserve"> </w:t>
      </w:r>
    </w:p>
    <w:p w14:paraId="7EC128AD" w14:textId="6518D656" w:rsidR="00F90A31" w:rsidRDefault="00F90A31" w:rsidP="00C823DA">
      <w:r w:rsidRPr="0057773C">
        <w:t xml:space="preserve">Large businesses with no material international related party dealings should state this in their </w:t>
      </w:r>
      <w:r w:rsidR="00954B47">
        <w:t>V</w:t>
      </w:r>
      <w:r w:rsidRPr="0057773C">
        <w:t>TTC. </w:t>
      </w:r>
    </w:p>
    <w:p w14:paraId="0C2F67EE" w14:textId="77777777" w:rsidR="00164C29" w:rsidRDefault="00164C29">
      <w:pPr>
        <w:rPr>
          <w:rFonts w:ascii="Georgia" w:hAnsi="Georgia" w:cs="Arial"/>
          <w:iCs/>
          <w:color w:val="701F4C"/>
          <w:kern w:val="32"/>
          <w:sz w:val="40"/>
          <w:szCs w:val="28"/>
          <w14:numForm w14:val="lining"/>
          <w14:numSpacing w14:val="proportional"/>
        </w:rPr>
      </w:pPr>
      <w:bookmarkStart w:id="35" w:name="_Non-Significant_Global_Entity"/>
      <w:bookmarkStart w:id="36" w:name="_Toc199855168"/>
      <w:bookmarkEnd w:id="35"/>
      <w:r>
        <w:br w:type="page"/>
      </w:r>
    </w:p>
    <w:p w14:paraId="0B6A6870" w14:textId="09FEB9ED" w:rsidR="00B823F9" w:rsidRDefault="00591786" w:rsidP="00B823F9">
      <w:pPr>
        <w:pStyle w:val="Heading2"/>
      </w:pPr>
      <w:r>
        <w:t>Non-</w:t>
      </w:r>
      <w:r w:rsidR="00DE0E4A">
        <w:t xml:space="preserve">public </w:t>
      </w:r>
      <w:r w:rsidR="0096481E">
        <w:t xml:space="preserve">CbC </w:t>
      </w:r>
      <w:r w:rsidR="00821D6D">
        <w:t>reporter</w:t>
      </w:r>
      <w:bookmarkEnd w:id="36"/>
      <w:r>
        <w:t xml:space="preserve"> </w:t>
      </w:r>
    </w:p>
    <w:tbl>
      <w:tblPr>
        <w:tblStyle w:val="ListTable3-Accent2"/>
        <w:tblW w:w="0" w:type="auto"/>
        <w:tblLook w:val="04A0" w:firstRow="1" w:lastRow="0" w:firstColumn="1" w:lastColumn="0" w:noHBand="0" w:noVBand="1"/>
      </w:tblPr>
      <w:tblGrid>
        <w:gridCol w:w="6607"/>
        <w:gridCol w:w="2460"/>
      </w:tblGrid>
      <w:tr w:rsidR="00620D7D" w14:paraId="469E75DA" w14:textId="77777777" w:rsidTr="00591786">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6607" w:type="dxa"/>
            <w:tcBorders>
              <w:bottom w:val="single" w:sz="4" w:space="0" w:color="701F4D" w:themeColor="accent2"/>
            </w:tcBorders>
            <w:vAlign w:val="center"/>
          </w:tcPr>
          <w:p w14:paraId="146F7055" w14:textId="62D91DEF" w:rsidR="00620D7D" w:rsidRPr="00AF7F4D" w:rsidRDefault="00E53B3C" w:rsidP="00991998">
            <w:pPr>
              <w:pStyle w:val="TableHeaderCellLeft"/>
              <w:spacing w:before="0" w:after="120"/>
              <w:rPr>
                <w:b/>
                <w:bCs w:val="0"/>
                <w:sz w:val="24"/>
                <w:szCs w:val="24"/>
              </w:rPr>
            </w:pPr>
            <w:r w:rsidRPr="00AF7F4D">
              <w:rPr>
                <w:b/>
                <w:bCs w:val="0"/>
                <w:sz w:val="24"/>
                <w:szCs w:val="24"/>
              </w:rPr>
              <w:t>V</w:t>
            </w:r>
            <w:r w:rsidR="00620D7D" w:rsidRPr="00AF7F4D">
              <w:rPr>
                <w:b/>
                <w:bCs w:val="0"/>
                <w:sz w:val="24"/>
                <w:szCs w:val="24"/>
              </w:rPr>
              <w:t xml:space="preserve">TTC </w:t>
            </w:r>
            <w:r w:rsidR="00DA6D11" w:rsidRPr="00AF7F4D">
              <w:rPr>
                <w:b/>
                <w:bCs w:val="0"/>
                <w:sz w:val="24"/>
                <w:szCs w:val="24"/>
              </w:rPr>
              <w:t>reporting</w:t>
            </w:r>
            <w:r w:rsidR="00620D7D" w:rsidRPr="00AF7F4D">
              <w:rPr>
                <w:b/>
                <w:bCs w:val="0"/>
                <w:sz w:val="24"/>
                <w:szCs w:val="24"/>
              </w:rPr>
              <w:t xml:space="preserve"> requirements</w:t>
            </w:r>
          </w:p>
        </w:tc>
        <w:tc>
          <w:tcPr>
            <w:tcW w:w="2460" w:type="dxa"/>
            <w:tcBorders>
              <w:bottom w:val="single" w:sz="4" w:space="0" w:color="701F4D" w:themeColor="accent2"/>
            </w:tcBorders>
            <w:vAlign w:val="center"/>
          </w:tcPr>
          <w:p w14:paraId="1F34C60C" w14:textId="4FFA7606" w:rsidR="00620D7D" w:rsidRPr="00AF7F4D" w:rsidRDefault="00620D7D" w:rsidP="00991998">
            <w:pPr>
              <w:pStyle w:val="TableHeaderCellLeft"/>
              <w:spacing w:before="0" w:after="120"/>
              <w:jc w:val="center"/>
              <w:cnfStyle w:val="100000000000" w:firstRow="1" w:lastRow="0" w:firstColumn="0" w:lastColumn="0" w:oddVBand="0" w:evenVBand="0" w:oddHBand="0" w:evenHBand="0" w:firstRowFirstColumn="0" w:firstRowLastColumn="0" w:lastRowFirstColumn="0" w:lastRowLastColumn="0"/>
              <w:rPr>
                <w:b/>
                <w:bCs w:val="0"/>
                <w:sz w:val="24"/>
                <w:szCs w:val="24"/>
              </w:rPr>
            </w:pPr>
            <w:r w:rsidRPr="00AF7F4D">
              <w:rPr>
                <w:b/>
                <w:bCs w:val="0"/>
                <w:sz w:val="24"/>
                <w:szCs w:val="24"/>
              </w:rPr>
              <w:t>Non-</w:t>
            </w:r>
            <w:r w:rsidR="00DE0E4A" w:rsidRPr="00AF7F4D">
              <w:rPr>
                <w:b/>
                <w:bCs w:val="0"/>
                <w:sz w:val="24"/>
                <w:szCs w:val="24"/>
              </w:rPr>
              <w:t xml:space="preserve">public </w:t>
            </w:r>
            <w:r w:rsidR="00CB33A5" w:rsidRPr="00AF7F4D">
              <w:rPr>
                <w:b/>
                <w:bCs w:val="0"/>
                <w:sz w:val="24"/>
                <w:szCs w:val="24"/>
              </w:rPr>
              <w:t>CbC reporter</w:t>
            </w:r>
          </w:p>
        </w:tc>
      </w:tr>
      <w:tr w:rsidR="00620D7D" w14:paraId="42AD3C6F" w14:textId="77777777" w:rsidTr="00B8695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607" w:type="dxa"/>
            <w:tcBorders>
              <w:top w:val="nil"/>
              <w:right w:val="single" w:sz="2" w:space="0" w:color="701F4D"/>
            </w:tcBorders>
            <w:vAlign w:val="center"/>
          </w:tcPr>
          <w:p w14:paraId="6D5C1679" w14:textId="0B1C8E3A" w:rsidR="00620D7D" w:rsidRPr="00567F9D" w:rsidRDefault="00112E9D" w:rsidP="00B86954">
            <w:pPr>
              <w:spacing w:before="0"/>
              <w:rPr>
                <w:b w:val="0"/>
                <w:bCs w:val="0"/>
              </w:rPr>
            </w:pPr>
            <w:hyperlink w:anchor="_Overview" w:history="1">
              <w:r w:rsidR="002C3D48" w:rsidRPr="00EA417A">
                <w:rPr>
                  <w:rStyle w:val="Hyperlink"/>
                  <w:b w:val="0"/>
                  <w:bCs w:val="0"/>
                </w:rPr>
                <w:t>Overview</w:t>
              </w:r>
            </w:hyperlink>
            <w:r w:rsidR="009A44B6">
              <w:rPr>
                <w:b w:val="0"/>
                <w:bCs w:val="0"/>
              </w:rPr>
              <w:t xml:space="preserve"> </w:t>
            </w:r>
          </w:p>
        </w:tc>
        <w:tc>
          <w:tcPr>
            <w:tcW w:w="2460" w:type="dxa"/>
            <w:tcBorders>
              <w:top w:val="nil"/>
              <w:left w:val="single" w:sz="2" w:space="0" w:color="701F4D" w:themeColor="accent2"/>
              <w:right w:val="single" w:sz="2" w:space="0" w:color="auto"/>
            </w:tcBorders>
            <w:vAlign w:val="center"/>
          </w:tcPr>
          <w:p w14:paraId="3896C744" w14:textId="77777777" w:rsidR="00B86954" w:rsidRDefault="00B86954" w:rsidP="00B86954">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p w14:paraId="56E5A30E" w14:textId="0B6748A8" w:rsidR="00620D7D" w:rsidRPr="005177BD" w:rsidRDefault="00B86954" w:rsidP="00B86954">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rPr>
            </w:pPr>
            <w:r w:rsidRPr="00D40F81">
              <w:rPr>
                <w:rFonts w:asciiTheme="minorHAnsi" w:hAnsiTheme="minorHAnsi" w:cstheme="minorHAnsi"/>
                <w:color w:val="701F4D" w:themeColor="accent2"/>
                <w:sz w:val="20"/>
                <w:szCs w:val="20"/>
              </w:rPr>
              <w:t>Partial completion</w:t>
            </w:r>
          </w:p>
        </w:tc>
      </w:tr>
      <w:tr w:rsidR="00D179A3" w14:paraId="033A024F" w14:textId="77777777" w:rsidTr="00D179A3">
        <w:trPr>
          <w:trHeight w:val="160"/>
        </w:trPr>
        <w:tc>
          <w:tcPr>
            <w:cnfStyle w:val="001000000000" w:firstRow="0" w:lastRow="0" w:firstColumn="1" w:lastColumn="0" w:oddVBand="0" w:evenVBand="0" w:oddHBand="0" w:evenHBand="0" w:firstRowFirstColumn="0" w:firstRowLastColumn="0" w:lastRowFirstColumn="0" w:lastRowLastColumn="0"/>
            <w:tcW w:w="6607" w:type="dxa"/>
            <w:tcBorders>
              <w:top w:val="single" w:sz="2" w:space="0" w:color="701F4D"/>
              <w:right w:val="single" w:sz="2" w:space="0" w:color="701F4D"/>
            </w:tcBorders>
            <w:vAlign w:val="bottom"/>
          </w:tcPr>
          <w:p w14:paraId="358C9161" w14:textId="08F41AB6" w:rsidR="00D179A3" w:rsidRDefault="00112E9D" w:rsidP="00991998">
            <w:pPr>
              <w:spacing w:before="0"/>
            </w:pPr>
            <w:hyperlink w:anchor="_Total_tax_contribution" w:history="1">
              <w:r w:rsidR="00D179A3" w:rsidRPr="00046620">
                <w:rPr>
                  <w:rStyle w:val="Hyperlink"/>
                  <w:b w:val="0"/>
                  <w:bCs w:val="0"/>
                </w:rPr>
                <w:t>Total tax contribution</w:t>
              </w:r>
            </w:hyperlink>
          </w:p>
        </w:tc>
        <w:tc>
          <w:tcPr>
            <w:tcW w:w="2460" w:type="dxa"/>
            <w:tcBorders>
              <w:top w:val="single" w:sz="2" w:space="0" w:color="701F4D"/>
              <w:left w:val="single" w:sz="2" w:space="0" w:color="701F4D" w:themeColor="accent2"/>
            </w:tcBorders>
            <w:vAlign w:val="bottom"/>
          </w:tcPr>
          <w:p w14:paraId="6CB1FCBE" w14:textId="1F752D7A" w:rsidR="00D179A3" w:rsidRPr="005177BD" w:rsidRDefault="00D179A3" w:rsidP="00991998">
            <w:pPr>
              <w:spacing w:before="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D179A3" w14:paraId="2D792770" w14:textId="77777777" w:rsidTr="00D179A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6607" w:type="dxa"/>
            <w:tcBorders>
              <w:top w:val="single" w:sz="2" w:space="0" w:color="701F4D"/>
              <w:right w:val="single" w:sz="2" w:space="0" w:color="701F4D"/>
            </w:tcBorders>
            <w:vAlign w:val="bottom"/>
          </w:tcPr>
          <w:p w14:paraId="6CB0CD9C" w14:textId="5246BD5B" w:rsidR="00D179A3" w:rsidRDefault="00112E9D" w:rsidP="00991998">
            <w:pPr>
              <w:spacing w:before="0"/>
            </w:pPr>
            <w:hyperlink w:anchor="_Effective_tax_rates_3" w:history="1">
              <w:r w:rsidR="00D179A3" w:rsidRPr="00E55F5F">
                <w:rPr>
                  <w:rStyle w:val="Hyperlink"/>
                  <w:b w:val="0"/>
                  <w:bCs w:val="0"/>
                </w:rPr>
                <w:t xml:space="preserve">Effective tax rate </w:t>
              </w:r>
              <w:r w:rsidR="00E0156A" w:rsidRPr="00E55F5F">
                <w:rPr>
                  <w:rStyle w:val="Hyperlink"/>
                  <w:b w:val="0"/>
                  <w:bCs w:val="0"/>
                </w:rPr>
                <w:t>-</w:t>
              </w:r>
              <w:r w:rsidR="00D179A3" w:rsidRPr="00E55F5F">
                <w:rPr>
                  <w:rStyle w:val="Hyperlink"/>
                  <w:b w:val="0"/>
                  <w:bCs w:val="0"/>
                </w:rPr>
                <w:t xml:space="preserve"> Australia</w:t>
              </w:r>
            </w:hyperlink>
          </w:p>
        </w:tc>
        <w:tc>
          <w:tcPr>
            <w:tcW w:w="2460" w:type="dxa"/>
            <w:tcBorders>
              <w:top w:val="single" w:sz="2" w:space="0" w:color="701F4D"/>
              <w:left w:val="single" w:sz="2" w:space="0" w:color="701F4D" w:themeColor="accent2"/>
            </w:tcBorders>
            <w:vAlign w:val="bottom"/>
          </w:tcPr>
          <w:p w14:paraId="55CCD0F5" w14:textId="69522A2B" w:rsidR="00D179A3" w:rsidRPr="005177BD" w:rsidRDefault="00D179A3" w:rsidP="00991998">
            <w:pPr>
              <w:spacing w:before="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sidRPr="005177BD">
              <w:rPr>
                <w:rFonts w:ascii="Segoe UI Symbol" w:hAnsi="Segoe UI Symbol" w:cs="Segoe UI Symbol"/>
                <w:color w:val="701F4D" w:themeColor="accent2"/>
              </w:rPr>
              <w:t>✔</w:t>
            </w:r>
          </w:p>
        </w:tc>
      </w:tr>
      <w:tr w:rsidR="00D179A3" w14:paraId="685B1BDE" w14:textId="77777777" w:rsidTr="00591786">
        <w:trPr>
          <w:trHeight w:val="568"/>
        </w:trPr>
        <w:tc>
          <w:tcPr>
            <w:cnfStyle w:val="001000000000" w:firstRow="0" w:lastRow="0" w:firstColumn="1" w:lastColumn="0" w:oddVBand="0" w:evenVBand="0" w:oddHBand="0" w:evenHBand="0" w:firstRowFirstColumn="0" w:firstRowLastColumn="0" w:lastRowFirstColumn="0" w:lastRowLastColumn="0"/>
            <w:tcW w:w="6607" w:type="dxa"/>
            <w:tcBorders>
              <w:top w:val="single" w:sz="2" w:space="0" w:color="701F4D"/>
              <w:right w:val="single" w:sz="2" w:space="0" w:color="701F4D"/>
            </w:tcBorders>
            <w:vAlign w:val="bottom"/>
          </w:tcPr>
          <w:p w14:paraId="7285F1CC" w14:textId="69922AEE" w:rsidR="00D179A3" w:rsidRPr="00567F9D" w:rsidRDefault="00112E9D" w:rsidP="00991998">
            <w:pPr>
              <w:spacing w:before="0"/>
              <w:rPr>
                <w:b w:val="0"/>
                <w:bCs w:val="0"/>
              </w:rPr>
            </w:pPr>
            <w:hyperlink w:anchor="_A_reconciliation_of_1" w:history="1">
              <w:r w:rsidR="00D179A3" w:rsidRPr="009A44B6">
                <w:rPr>
                  <w:rStyle w:val="Hyperlink"/>
                  <w:b w:val="0"/>
                  <w:bCs w:val="0"/>
                </w:rPr>
                <w:t>Reconciliation of accounting profit to income tax expense to income tax paid or payable</w:t>
              </w:r>
            </w:hyperlink>
          </w:p>
        </w:tc>
        <w:tc>
          <w:tcPr>
            <w:tcW w:w="2460" w:type="dxa"/>
            <w:tcBorders>
              <w:top w:val="single" w:sz="2" w:space="0" w:color="701F4D"/>
              <w:left w:val="single" w:sz="2" w:space="0" w:color="701F4D" w:themeColor="accent2"/>
            </w:tcBorders>
            <w:vAlign w:val="center"/>
          </w:tcPr>
          <w:p w14:paraId="0E8D935D" w14:textId="77777777" w:rsidR="00D179A3" w:rsidRDefault="00D179A3" w:rsidP="00991998">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r w:rsidR="00D179A3" w14:paraId="3B4E581D" w14:textId="77777777" w:rsidTr="0059178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607" w:type="dxa"/>
            <w:tcBorders>
              <w:right w:val="single" w:sz="2" w:space="0" w:color="701F4D"/>
            </w:tcBorders>
            <w:vAlign w:val="bottom"/>
          </w:tcPr>
          <w:p w14:paraId="0A48FFA0" w14:textId="082506FA" w:rsidR="00D179A3" w:rsidRPr="00567F9D" w:rsidRDefault="00112E9D" w:rsidP="00991998">
            <w:pPr>
              <w:spacing w:before="0"/>
              <w:rPr>
                <w:b w:val="0"/>
                <w:bCs w:val="0"/>
              </w:rPr>
            </w:pPr>
            <w:hyperlink w:anchor="_A_reconciliation_to_1" w:history="1">
              <w:r w:rsidR="00D179A3" w:rsidRPr="009A44B6">
                <w:rPr>
                  <w:rStyle w:val="Hyperlink"/>
                  <w:b w:val="0"/>
                  <w:bCs w:val="0"/>
                </w:rPr>
                <w:t xml:space="preserve">Reconciliation to ATO </w:t>
              </w:r>
              <w:r w:rsidR="00397B48">
                <w:rPr>
                  <w:rStyle w:val="Hyperlink"/>
                  <w:b w:val="0"/>
                  <w:bCs w:val="0"/>
                </w:rPr>
                <w:t>C</w:t>
              </w:r>
              <w:r w:rsidR="00D179A3" w:rsidRPr="009A44B6">
                <w:rPr>
                  <w:rStyle w:val="Hyperlink"/>
                  <w:b w:val="0"/>
                  <w:bCs w:val="0"/>
                </w:rPr>
                <w:t xml:space="preserve">orporate </w:t>
              </w:r>
              <w:r w:rsidR="00397B48">
                <w:rPr>
                  <w:rStyle w:val="Hyperlink"/>
                  <w:b w:val="0"/>
                  <w:bCs w:val="0"/>
                </w:rPr>
                <w:t>T</w:t>
              </w:r>
              <w:r w:rsidR="00D179A3" w:rsidRPr="009A44B6">
                <w:rPr>
                  <w:rStyle w:val="Hyperlink"/>
                  <w:b w:val="0"/>
                  <w:bCs w:val="0"/>
                </w:rPr>
                <w:t xml:space="preserve">ax </w:t>
              </w:r>
              <w:r w:rsidR="00397B48">
                <w:rPr>
                  <w:rStyle w:val="Hyperlink"/>
                  <w:b w:val="0"/>
                  <w:bCs w:val="0"/>
                </w:rPr>
                <w:t>T</w:t>
              </w:r>
              <w:r w:rsidR="00D179A3" w:rsidRPr="009A44B6">
                <w:rPr>
                  <w:rStyle w:val="Hyperlink"/>
                  <w:b w:val="0"/>
                  <w:bCs w:val="0"/>
                </w:rPr>
                <w:t xml:space="preserve">ransparency </w:t>
              </w:r>
              <w:r w:rsidR="00397B48">
                <w:rPr>
                  <w:rStyle w:val="Hyperlink"/>
                  <w:b w:val="0"/>
                  <w:bCs w:val="0"/>
                </w:rPr>
                <w:t>D</w:t>
              </w:r>
              <w:r w:rsidR="00D179A3" w:rsidRPr="009A44B6">
                <w:rPr>
                  <w:rStyle w:val="Hyperlink"/>
                  <w:b w:val="0"/>
                  <w:bCs w:val="0"/>
                </w:rPr>
                <w:t>isclosures</w:t>
              </w:r>
            </w:hyperlink>
          </w:p>
        </w:tc>
        <w:tc>
          <w:tcPr>
            <w:tcW w:w="2460" w:type="dxa"/>
            <w:tcBorders>
              <w:left w:val="single" w:sz="2" w:space="0" w:color="701F4D" w:themeColor="accent2"/>
            </w:tcBorders>
            <w:vAlign w:val="bottom"/>
          </w:tcPr>
          <w:p w14:paraId="203F6690" w14:textId="77777777" w:rsidR="00D179A3" w:rsidRDefault="00D179A3" w:rsidP="00991998">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r w:rsidR="00D179A3" w14:paraId="3F0EE81B" w14:textId="77777777" w:rsidTr="00591786">
        <w:trPr>
          <w:trHeight w:val="310"/>
        </w:trPr>
        <w:tc>
          <w:tcPr>
            <w:cnfStyle w:val="001000000000" w:firstRow="0" w:lastRow="0" w:firstColumn="1" w:lastColumn="0" w:oddVBand="0" w:evenVBand="0" w:oddHBand="0" w:evenHBand="0" w:firstRowFirstColumn="0" w:firstRowLastColumn="0" w:lastRowFirstColumn="0" w:lastRowLastColumn="0"/>
            <w:tcW w:w="6607" w:type="dxa"/>
            <w:tcBorders>
              <w:top w:val="single" w:sz="2" w:space="0" w:color="701F4D"/>
              <w:bottom w:val="single" w:sz="4" w:space="0" w:color="701F4D" w:themeColor="accent2"/>
              <w:right w:val="single" w:sz="2" w:space="0" w:color="701F4D"/>
            </w:tcBorders>
            <w:vAlign w:val="bottom"/>
          </w:tcPr>
          <w:p w14:paraId="26833309" w14:textId="0C36DC27" w:rsidR="00D179A3" w:rsidRPr="000A6BC4" w:rsidRDefault="00112E9D" w:rsidP="00991998">
            <w:pPr>
              <w:spacing w:before="0"/>
              <w:rPr>
                <w:b w:val="0"/>
                <w:highlight w:val="yellow"/>
              </w:rPr>
            </w:pPr>
            <w:hyperlink w:anchor="_Approach_to_tax_2" w:history="1">
              <w:r w:rsidR="000A6BC4" w:rsidRPr="00036521">
                <w:rPr>
                  <w:rStyle w:val="Hyperlink"/>
                  <w:b w:val="0"/>
                  <w:bCs w:val="0"/>
                </w:rPr>
                <w:t>Approach to tax</w:t>
              </w:r>
            </w:hyperlink>
            <w:r w:rsidR="000A6BC4" w:rsidRPr="00D52851">
              <w:rPr>
                <w:b w:val="0"/>
                <w:bCs w:val="0"/>
              </w:rPr>
              <w:t xml:space="preserve"> </w:t>
            </w:r>
          </w:p>
        </w:tc>
        <w:tc>
          <w:tcPr>
            <w:tcW w:w="2460" w:type="dxa"/>
            <w:tcBorders>
              <w:top w:val="single" w:sz="2" w:space="0" w:color="701F4D"/>
              <w:left w:val="single" w:sz="2" w:space="0" w:color="701F4D"/>
            </w:tcBorders>
            <w:vAlign w:val="bottom"/>
          </w:tcPr>
          <w:p w14:paraId="2BFDB4D4" w14:textId="77777777" w:rsidR="00D179A3" w:rsidRDefault="00D179A3" w:rsidP="00991998">
            <w:pPr>
              <w:spacing w:before="0"/>
              <w:jc w:val="center"/>
              <w:cnfStyle w:val="000000000000" w:firstRow="0" w:lastRow="0" w:firstColumn="0" w:lastColumn="0" w:oddVBand="0" w:evenVBand="0" w:oddHBand="0" w:evenHBand="0" w:firstRowFirstColumn="0" w:firstRowLastColumn="0" w:lastRowFirstColumn="0" w:lastRowLastColumn="0"/>
            </w:pPr>
            <w:r w:rsidRPr="005177BD">
              <w:rPr>
                <w:rFonts w:ascii="Segoe UI Symbol" w:hAnsi="Segoe UI Symbol" w:cs="Segoe UI Symbol"/>
                <w:color w:val="701F4D" w:themeColor="accent2"/>
              </w:rPr>
              <w:t>✔</w:t>
            </w:r>
          </w:p>
        </w:tc>
      </w:tr>
      <w:tr w:rsidR="00D52851" w14:paraId="60DC0261" w14:textId="77777777" w:rsidTr="00D60EF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607" w:type="dxa"/>
            <w:tcBorders>
              <w:right w:val="single" w:sz="2" w:space="0" w:color="701F4D"/>
            </w:tcBorders>
            <w:vAlign w:val="bottom"/>
          </w:tcPr>
          <w:p w14:paraId="5C8EA008" w14:textId="362D1ACE" w:rsidR="00D52851" w:rsidRPr="003F4D13" w:rsidRDefault="00112E9D" w:rsidP="00D52851">
            <w:pPr>
              <w:spacing w:before="0"/>
              <w:jc w:val="both"/>
              <w:rPr>
                <w:highlight w:val="yellow"/>
              </w:rPr>
            </w:pPr>
            <w:hyperlink w:anchor="_Tax_governance,_control" w:history="1">
              <w:r w:rsidR="00D52851" w:rsidRPr="00036521">
                <w:rPr>
                  <w:rStyle w:val="Hyperlink"/>
                  <w:b w:val="0"/>
                  <w:bCs w:val="0"/>
                </w:rPr>
                <w:t>Tax governance, control and risk management</w:t>
              </w:r>
            </w:hyperlink>
            <w:r w:rsidR="00D52851">
              <w:rPr>
                <w:b w:val="0"/>
                <w:bCs w:val="0"/>
              </w:rPr>
              <w:t xml:space="preserve"> </w:t>
            </w:r>
          </w:p>
        </w:tc>
        <w:tc>
          <w:tcPr>
            <w:tcW w:w="2460" w:type="dxa"/>
            <w:tcBorders>
              <w:left w:val="single" w:sz="2" w:space="0" w:color="701F4D"/>
            </w:tcBorders>
            <w:vAlign w:val="center"/>
          </w:tcPr>
          <w:p w14:paraId="669E4578" w14:textId="7121D4AA" w:rsidR="00D52851" w:rsidRPr="00D40F81" w:rsidRDefault="00D52851" w:rsidP="00D60EF5">
            <w:pPr>
              <w:spacing w:before="0"/>
              <w:jc w:val="center"/>
              <w:cnfStyle w:val="000000100000" w:firstRow="0" w:lastRow="0" w:firstColumn="0" w:lastColumn="0" w:oddVBand="0" w:evenVBand="0" w:oddHBand="1" w:evenHBand="0" w:firstRowFirstColumn="0" w:firstRowLastColumn="0" w:lastRowFirstColumn="0" w:lastRowLastColumn="0"/>
              <w:rPr>
                <w:color w:val="701F4D" w:themeColor="accent2"/>
                <w:sz w:val="20"/>
                <w:szCs w:val="20"/>
              </w:rPr>
            </w:pPr>
            <w:r w:rsidRPr="00D40F81">
              <w:rPr>
                <w:color w:val="701F4D" w:themeColor="accent2"/>
                <w:sz w:val="20"/>
                <w:szCs w:val="20"/>
              </w:rPr>
              <w:t>Optional elements only</w:t>
            </w:r>
          </w:p>
        </w:tc>
      </w:tr>
      <w:tr w:rsidR="00D179A3" w14:paraId="0DF3F837" w14:textId="77777777" w:rsidTr="00591786">
        <w:trPr>
          <w:trHeight w:val="296"/>
        </w:trPr>
        <w:tc>
          <w:tcPr>
            <w:cnfStyle w:val="001000000000" w:firstRow="0" w:lastRow="0" w:firstColumn="1" w:lastColumn="0" w:oddVBand="0" w:evenVBand="0" w:oddHBand="0" w:evenHBand="0" w:firstRowFirstColumn="0" w:firstRowLastColumn="0" w:lastRowFirstColumn="0" w:lastRowLastColumn="0"/>
            <w:tcW w:w="6607" w:type="dxa"/>
            <w:tcBorders>
              <w:top w:val="single" w:sz="4" w:space="0" w:color="701F4D" w:themeColor="accent2"/>
              <w:bottom w:val="single" w:sz="4" w:space="0" w:color="701F4D" w:themeColor="accent2"/>
              <w:right w:val="single" w:sz="2" w:space="0" w:color="701F4D"/>
            </w:tcBorders>
            <w:vAlign w:val="bottom"/>
          </w:tcPr>
          <w:p w14:paraId="7BB0D8D2" w14:textId="01AFA1A5" w:rsidR="00D179A3" w:rsidRPr="003F4D13" w:rsidRDefault="00112E9D" w:rsidP="00991998">
            <w:pPr>
              <w:spacing w:before="0"/>
              <w:rPr>
                <w:b w:val="0"/>
                <w:highlight w:val="yellow"/>
              </w:rPr>
            </w:pPr>
            <w:hyperlink w:anchor="_Stakeholder_engagement_and_1" w:history="1">
              <w:r w:rsidR="00D52851" w:rsidRPr="00036521">
                <w:rPr>
                  <w:rStyle w:val="Hyperlink"/>
                  <w:b w:val="0"/>
                  <w:bCs w:val="0"/>
                </w:rPr>
                <w:t>Stakeholder engagement and management of concerns related to tax</w:t>
              </w:r>
            </w:hyperlink>
            <w:r w:rsidR="00D52851">
              <w:rPr>
                <w:b w:val="0"/>
                <w:bCs w:val="0"/>
              </w:rPr>
              <w:t xml:space="preserve"> </w:t>
            </w:r>
          </w:p>
        </w:tc>
        <w:tc>
          <w:tcPr>
            <w:tcW w:w="2460" w:type="dxa"/>
            <w:tcBorders>
              <w:left w:val="single" w:sz="2" w:space="0" w:color="701F4D"/>
            </w:tcBorders>
            <w:vAlign w:val="bottom"/>
          </w:tcPr>
          <w:p w14:paraId="67499C09" w14:textId="551A1B4A" w:rsidR="00D179A3" w:rsidRPr="00D40F81" w:rsidRDefault="0048329B" w:rsidP="00991998">
            <w:p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D40F81">
              <w:rPr>
                <w:color w:val="701F4D" w:themeColor="accent2"/>
                <w:sz w:val="20"/>
                <w:szCs w:val="20"/>
              </w:rPr>
              <w:t>Optional elements only</w:t>
            </w:r>
          </w:p>
        </w:tc>
      </w:tr>
      <w:tr w:rsidR="00684C07" w14:paraId="2210AD95" w14:textId="77777777" w:rsidTr="0059178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607" w:type="dxa"/>
            <w:tcBorders>
              <w:right w:val="single" w:sz="2" w:space="0" w:color="701F4D"/>
            </w:tcBorders>
            <w:vAlign w:val="bottom"/>
          </w:tcPr>
          <w:p w14:paraId="002DE88E" w14:textId="5B334984" w:rsidR="00684C07" w:rsidRPr="00684C07" w:rsidRDefault="00112E9D" w:rsidP="00D52851">
            <w:pPr>
              <w:spacing w:before="0"/>
              <w:rPr>
                <w:b w:val="0"/>
                <w:bCs w:val="0"/>
              </w:rPr>
            </w:pPr>
            <w:hyperlink w:anchor="_International_related_party" w:history="1">
              <w:r w:rsidR="00684C07" w:rsidRPr="00036521">
                <w:rPr>
                  <w:rStyle w:val="Hyperlink"/>
                  <w:b w:val="0"/>
                  <w:bCs w:val="0"/>
                </w:rPr>
                <w:t>International related party dealings summary</w:t>
              </w:r>
            </w:hyperlink>
            <w:r w:rsidR="00684C07" w:rsidRPr="00684C07">
              <w:rPr>
                <w:b w:val="0"/>
                <w:bCs w:val="0"/>
              </w:rPr>
              <w:t xml:space="preserve"> </w:t>
            </w:r>
          </w:p>
        </w:tc>
        <w:tc>
          <w:tcPr>
            <w:tcW w:w="2460" w:type="dxa"/>
            <w:tcBorders>
              <w:left w:val="single" w:sz="2" w:space="0" w:color="701F4D"/>
            </w:tcBorders>
            <w:vAlign w:val="bottom"/>
          </w:tcPr>
          <w:p w14:paraId="7C3F4395" w14:textId="35178188" w:rsidR="00684C07" w:rsidRDefault="00684C07" w:rsidP="00D52851">
            <w:pPr>
              <w:spacing w:before="0"/>
              <w:jc w:val="center"/>
              <w:cnfStyle w:val="000000100000" w:firstRow="0" w:lastRow="0" w:firstColumn="0" w:lastColumn="0" w:oddVBand="0" w:evenVBand="0" w:oddHBand="1" w:evenHBand="0" w:firstRowFirstColumn="0" w:firstRowLastColumn="0" w:lastRowFirstColumn="0" w:lastRowLastColumn="0"/>
            </w:pPr>
            <w:r w:rsidRPr="005177BD">
              <w:rPr>
                <w:rFonts w:ascii="Segoe UI Symbol" w:hAnsi="Segoe UI Symbol" w:cs="Segoe UI Symbol"/>
                <w:color w:val="701F4D" w:themeColor="accent2"/>
              </w:rPr>
              <w:t>✔</w:t>
            </w:r>
          </w:p>
        </w:tc>
      </w:tr>
    </w:tbl>
    <w:p w14:paraId="312F0635" w14:textId="11F25378" w:rsidR="0092068A" w:rsidRDefault="002C3D48" w:rsidP="0092068A">
      <w:pPr>
        <w:pStyle w:val="Heading3"/>
      </w:pPr>
      <w:bookmarkStart w:id="37" w:name="_Basic_information"/>
      <w:bookmarkStart w:id="38" w:name="_Overview"/>
      <w:bookmarkEnd w:id="37"/>
      <w:bookmarkEnd w:id="38"/>
      <w:r>
        <w:t>Overview</w:t>
      </w:r>
    </w:p>
    <w:tbl>
      <w:tblPr>
        <w:tblStyle w:val="Style1"/>
        <w:tblW w:w="0" w:type="auto"/>
        <w:tblLook w:val="04A0" w:firstRow="1" w:lastRow="0" w:firstColumn="1" w:lastColumn="0" w:noHBand="0" w:noVBand="1"/>
      </w:tblPr>
      <w:tblGrid>
        <w:gridCol w:w="9631"/>
      </w:tblGrid>
      <w:tr w:rsidR="00F940AD" w:rsidRPr="00F940AD" w14:paraId="71BCD0D3" w14:textId="77777777" w:rsidTr="00B6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1CCD4F21" w14:textId="6442C4C2" w:rsidR="008C7050" w:rsidRPr="00F940AD" w:rsidRDefault="00AF7F4D" w:rsidP="008C7050">
            <w:pPr>
              <w:spacing w:before="240"/>
              <w:jc w:val="both"/>
              <w:rPr>
                <w:rFonts w:asciiTheme="majorHAnsi" w:hAnsiTheme="majorHAnsi"/>
                <w:b/>
                <w:bCs/>
                <w:color w:val="FFFFFF" w:themeColor="background1"/>
              </w:rPr>
            </w:pPr>
            <w:r>
              <w:rPr>
                <w:rFonts w:asciiTheme="majorHAnsi" w:hAnsiTheme="majorHAnsi"/>
                <w:b/>
                <w:bCs/>
                <w:color w:val="FFFFFF" w:themeColor="background1"/>
              </w:rPr>
              <w:t>V</w:t>
            </w:r>
            <w:r w:rsidR="008C7050" w:rsidRPr="00F940AD">
              <w:rPr>
                <w:rFonts w:asciiTheme="majorHAnsi" w:hAnsiTheme="majorHAnsi"/>
                <w:b/>
                <w:bCs/>
                <w:color w:val="FFFFFF" w:themeColor="background1"/>
              </w:rPr>
              <w:t>TTC Requirement</w:t>
            </w:r>
          </w:p>
          <w:p w14:paraId="75D4B411" w14:textId="06613B86" w:rsidR="00B66078" w:rsidRPr="00F940AD" w:rsidRDefault="00DC5A2B" w:rsidP="00F93000">
            <w:pPr>
              <w:pStyle w:val="Bullet"/>
              <w:numPr>
                <w:ilvl w:val="0"/>
                <w:numId w:val="0"/>
              </w:numPr>
              <w:spacing w:before="120"/>
              <w:rPr>
                <w:color w:val="FFFFFF" w:themeColor="background1"/>
              </w:rPr>
            </w:pPr>
            <w:r w:rsidRPr="00F940AD">
              <w:rPr>
                <w:color w:val="FFFFFF" w:themeColor="background1"/>
              </w:rPr>
              <w:t xml:space="preserve">Businesses should provide the following information: </w:t>
            </w:r>
          </w:p>
          <w:p w14:paraId="58439732" w14:textId="6C7309B1" w:rsidR="006F70A7" w:rsidRPr="00F940AD" w:rsidRDefault="00973F68" w:rsidP="00EC07C1">
            <w:pPr>
              <w:pStyle w:val="Bullet"/>
              <w:numPr>
                <w:ilvl w:val="0"/>
                <w:numId w:val="20"/>
              </w:numPr>
              <w:spacing w:before="120" w:after="120"/>
              <w:rPr>
                <w:color w:val="FFFFFF" w:themeColor="background1"/>
              </w:rPr>
            </w:pPr>
            <w:r>
              <w:rPr>
                <w:color w:val="FFFFFF" w:themeColor="background1"/>
              </w:rPr>
              <w:t>a</w:t>
            </w:r>
            <w:r w:rsidR="00E82C1C" w:rsidRPr="00F940AD">
              <w:rPr>
                <w:color w:val="FFFFFF" w:themeColor="background1"/>
              </w:rPr>
              <w:t xml:space="preserve"> list of</w:t>
            </w:r>
            <w:r w:rsidR="00B34C31" w:rsidRPr="00F940AD">
              <w:rPr>
                <w:color w:val="FFFFFF" w:themeColor="background1"/>
              </w:rPr>
              <w:t xml:space="preserve"> all material subsidiaries in the group;</w:t>
            </w:r>
          </w:p>
          <w:p w14:paraId="0B1061FA" w14:textId="6CA259FA" w:rsidR="00B66078" w:rsidRDefault="00973F68" w:rsidP="00EC07C1">
            <w:pPr>
              <w:pStyle w:val="Bullet"/>
              <w:numPr>
                <w:ilvl w:val="0"/>
                <w:numId w:val="20"/>
              </w:numPr>
              <w:spacing w:after="120"/>
              <w:rPr>
                <w:color w:val="FFFFFF" w:themeColor="background1"/>
              </w:rPr>
            </w:pPr>
            <w:r>
              <w:rPr>
                <w:color w:val="FFFFFF" w:themeColor="background1"/>
              </w:rPr>
              <w:t>a</w:t>
            </w:r>
            <w:r w:rsidR="00E82C1C" w:rsidRPr="00F940AD">
              <w:rPr>
                <w:color w:val="FFFFFF" w:themeColor="background1"/>
              </w:rPr>
              <w:t xml:space="preserve">n explanation of the </w:t>
            </w:r>
            <w:r w:rsidR="00B265EE" w:rsidRPr="00F940AD">
              <w:rPr>
                <w:color w:val="FFFFFF" w:themeColor="background1"/>
              </w:rPr>
              <w:t xml:space="preserve">main business </w:t>
            </w:r>
            <w:r w:rsidR="00E82C1C" w:rsidRPr="00F940AD">
              <w:rPr>
                <w:color w:val="FFFFFF" w:themeColor="background1"/>
              </w:rPr>
              <w:t>activities undertaken by the group</w:t>
            </w:r>
            <w:r w:rsidR="00B265EE" w:rsidRPr="00F940AD">
              <w:rPr>
                <w:color w:val="FFFFFF" w:themeColor="background1"/>
              </w:rPr>
              <w:t>;</w:t>
            </w:r>
            <w:r w:rsidR="00F27FA5">
              <w:rPr>
                <w:color w:val="FFFFFF" w:themeColor="background1"/>
              </w:rPr>
              <w:t xml:space="preserve"> and </w:t>
            </w:r>
          </w:p>
          <w:p w14:paraId="5F80F827" w14:textId="422BFFC6" w:rsidR="00E71CC6" w:rsidRPr="00203B84" w:rsidRDefault="00973F68" w:rsidP="00EC07C1">
            <w:pPr>
              <w:pStyle w:val="Bullet"/>
              <w:numPr>
                <w:ilvl w:val="0"/>
                <w:numId w:val="20"/>
              </w:numPr>
              <w:spacing w:after="120"/>
              <w:rPr>
                <w:color w:val="FFFFFF" w:themeColor="background1"/>
              </w:rPr>
            </w:pPr>
            <w:r>
              <w:rPr>
                <w:color w:val="FFFFFF" w:themeColor="background1"/>
              </w:rPr>
              <w:t>t</w:t>
            </w:r>
            <w:r w:rsidR="00E71CC6">
              <w:rPr>
                <w:color w:val="FFFFFF" w:themeColor="background1"/>
              </w:rPr>
              <w:t xml:space="preserve">otal number </w:t>
            </w:r>
            <w:r w:rsidR="0046753D">
              <w:rPr>
                <w:color w:val="FFFFFF" w:themeColor="background1"/>
              </w:rPr>
              <w:t xml:space="preserve">employees for the global group and for the </w:t>
            </w:r>
            <w:r w:rsidR="006C1BA7">
              <w:rPr>
                <w:color w:val="FFFFFF" w:themeColor="background1"/>
              </w:rPr>
              <w:t xml:space="preserve">Australian </w:t>
            </w:r>
            <w:r w:rsidR="0046753D">
              <w:rPr>
                <w:color w:val="FFFFFF" w:themeColor="background1"/>
              </w:rPr>
              <w:t>operations</w:t>
            </w:r>
            <w:r w:rsidR="00F27FA5">
              <w:rPr>
                <w:color w:val="FFFFFF" w:themeColor="background1"/>
              </w:rPr>
              <w:t>.</w:t>
            </w:r>
          </w:p>
        </w:tc>
      </w:tr>
    </w:tbl>
    <w:p w14:paraId="7209821B" w14:textId="5E0BFF80" w:rsidR="0092068A" w:rsidRDefault="0092068A" w:rsidP="00FB6B90">
      <w:pPr>
        <w:pStyle w:val="Heading3"/>
        <w:spacing w:after="0"/>
      </w:pPr>
      <w:r>
        <w:t>Tax Data</w:t>
      </w:r>
    </w:p>
    <w:p w14:paraId="52BD9312" w14:textId="77777777" w:rsidR="00267713" w:rsidRDefault="00267713" w:rsidP="00267713">
      <w:pPr>
        <w:pStyle w:val="Heading4"/>
      </w:pPr>
      <w:bookmarkStart w:id="39" w:name="_A_reconciliation_of"/>
      <w:bookmarkStart w:id="40" w:name="_Total_tax_contribution"/>
      <w:bookmarkEnd w:id="39"/>
      <w:bookmarkEnd w:id="40"/>
      <w:r>
        <w:t xml:space="preserve">Total tax contribution </w:t>
      </w:r>
    </w:p>
    <w:tbl>
      <w:tblPr>
        <w:tblStyle w:val="Style1"/>
        <w:tblW w:w="0" w:type="auto"/>
        <w:tblLook w:val="04A0" w:firstRow="1" w:lastRow="0" w:firstColumn="1" w:lastColumn="0" w:noHBand="0" w:noVBand="1"/>
      </w:tblPr>
      <w:tblGrid>
        <w:gridCol w:w="9631"/>
      </w:tblGrid>
      <w:tr w:rsidR="00267713" w14:paraId="3056C1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677C77CE" w14:textId="23C2F198" w:rsidR="00A93719" w:rsidRPr="008C7050" w:rsidRDefault="00AF7F4D" w:rsidP="00A93719">
            <w:pPr>
              <w:spacing w:before="120" w:after="120"/>
              <w:jc w:val="both"/>
              <w:rPr>
                <w:rFonts w:asciiTheme="majorHAnsi" w:hAnsiTheme="majorHAnsi"/>
                <w:b/>
                <w:bCs/>
                <w:color w:val="FFFFFF" w:themeColor="background1"/>
              </w:rPr>
            </w:pPr>
            <w:r>
              <w:rPr>
                <w:rFonts w:asciiTheme="majorHAnsi" w:hAnsiTheme="majorHAnsi"/>
                <w:b/>
                <w:bCs/>
                <w:color w:val="FFFFFF" w:themeColor="background1"/>
              </w:rPr>
              <w:t>V</w:t>
            </w:r>
            <w:r w:rsidR="00A93719" w:rsidRPr="008C7050">
              <w:rPr>
                <w:rFonts w:asciiTheme="majorHAnsi" w:hAnsiTheme="majorHAnsi"/>
                <w:b/>
                <w:bCs/>
                <w:color w:val="FFFFFF" w:themeColor="background1"/>
              </w:rPr>
              <w:t>TTC Requirement</w:t>
            </w:r>
          </w:p>
          <w:p w14:paraId="56AC7023" w14:textId="6F4E87A3" w:rsidR="00A93719" w:rsidRPr="00892372" w:rsidRDefault="00A93719" w:rsidP="00892372">
            <w:pPr>
              <w:spacing w:after="120"/>
              <w:rPr>
                <w:color w:val="FFFFFF" w:themeColor="background1"/>
              </w:rPr>
            </w:pPr>
            <w:r w:rsidRPr="00693565">
              <w:rPr>
                <w:color w:val="FFFFFF" w:themeColor="background1"/>
              </w:rPr>
              <w:t xml:space="preserve">Businesses should </w:t>
            </w:r>
            <w:r>
              <w:rPr>
                <w:color w:val="FFFFFF" w:themeColor="background1"/>
              </w:rPr>
              <w:t xml:space="preserve">disclose their total Australian </w:t>
            </w:r>
            <w:r w:rsidR="009C0798">
              <w:rPr>
                <w:color w:val="FFFFFF" w:themeColor="background1"/>
              </w:rPr>
              <w:t xml:space="preserve">corporate </w:t>
            </w:r>
            <w:r w:rsidR="00362303">
              <w:rPr>
                <w:color w:val="FFFFFF" w:themeColor="background1"/>
              </w:rPr>
              <w:t xml:space="preserve">income </w:t>
            </w:r>
            <w:r>
              <w:rPr>
                <w:color w:val="FFFFFF" w:themeColor="background1"/>
              </w:rPr>
              <w:t>tax contribution</w:t>
            </w:r>
            <w:r w:rsidR="00362303">
              <w:rPr>
                <w:color w:val="FFFFFF" w:themeColor="background1"/>
              </w:rPr>
              <w:t>.</w:t>
            </w:r>
          </w:p>
        </w:tc>
      </w:tr>
    </w:tbl>
    <w:p w14:paraId="0B394E32" w14:textId="77777777" w:rsidR="00267713" w:rsidRDefault="00267713" w:rsidP="00267713">
      <w:pPr>
        <w:pStyle w:val="Heading5"/>
      </w:pPr>
      <w:r>
        <w:t xml:space="preserve">Optional elements </w:t>
      </w:r>
    </w:p>
    <w:p w14:paraId="14E3B3E1" w14:textId="77777777" w:rsidR="005555E9" w:rsidRPr="009B3FAF" w:rsidRDefault="005555E9" w:rsidP="005555E9">
      <w:pPr>
        <w:pStyle w:val="Bullet"/>
      </w:pPr>
      <w:r>
        <w:t xml:space="preserve">Report on </w:t>
      </w:r>
      <w:r w:rsidRPr="009B3FAF">
        <w:t xml:space="preserve">global group total </w:t>
      </w:r>
      <w:r>
        <w:t xml:space="preserve">income </w:t>
      </w:r>
      <w:r w:rsidRPr="009B3FAF">
        <w:t>tax contribution</w:t>
      </w:r>
      <w:r>
        <w:t>.</w:t>
      </w:r>
    </w:p>
    <w:p w14:paraId="7E786BB1" w14:textId="3974E317" w:rsidR="005555E9" w:rsidRPr="009B3FAF" w:rsidRDefault="005555E9" w:rsidP="005555E9">
      <w:pPr>
        <w:pStyle w:val="Bullet"/>
      </w:pPr>
      <w:r>
        <w:t xml:space="preserve">Report </w:t>
      </w:r>
      <w:r w:rsidRPr="009B3FAF">
        <w:t xml:space="preserve">other Australian taxes and imposts paid to Government, for example Petroleum Resources Rent Tax, royalties, </w:t>
      </w:r>
      <w:r w:rsidR="00EA3E0A">
        <w:t>excises</w:t>
      </w:r>
      <w:r w:rsidRPr="009B3FAF">
        <w:t>, payroll taxes, stamp duties, fringe benefits tax and state taxes</w:t>
      </w:r>
      <w:r>
        <w:t>.</w:t>
      </w:r>
    </w:p>
    <w:p w14:paraId="6CC864E7" w14:textId="77777777" w:rsidR="005555E9" w:rsidRPr="009B3FAF" w:rsidRDefault="005555E9" w:rsidP="00302E98">
      <w:pPr>
        <w:pStyle w:val="Bullet"/>
      </w:pPr>
      <w:r>
        <w:t>Report</w:t>
      </w:r>
      <w:r w:rsidRPr="009B3FAF">
        <w:t xml:space="preserve"> Government imposts collected by the business on behalf of others, for example, GST and Pay As You Go withholding taxes.</w:t>
      </w:r>
    </w:p>
    <w:p w14:paraId="4CA5B82E" w14:textId="088AE995" w:rsidR="00B319B2" w:rsidRDefault="00B319B2" w:rsidP="00B319B2">
      <w:pPr>
        <w:pStyle w:val="Heading4"/>
      </w:pPr>
      <w:bookmarkStart w:id="41" w:name="_Effective_tax_rates_3"/>
      <w:bookmarkStart w:id="42" w:name="_Effective_tax_rate"/>
      <w:bookmarkEnd w:id="41"/>
      <w:bookmarkEnd w:id="42"/>
      <w:r>
        <w:t xml:space="preserve">Effective tax rate – Australia </w:t>
      </w:r>
    </w:p>
    <w:tbl>
      <w:tblPr>
        <w:tblStyle w:val="Style1"/>
        <w:tblW w:w="0" w:type="auto"/>
        <w:tblLook w:val="04A0" w:firstRow="1" w:lastRow="0" w:firstColumn="1" w:lastColumn="0" w:noHBand="0" w:noVBand="1"/>
      </w:tblPr>
      <w:tblGrid>
        <w:gridCol w:w="9631"/>
      </w:tblGrid>
      <w:tr w:rsidR="00B319B2" w14:paraId="1EAD9382" w14:textId="77777777" w:rsidTr="00C71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0C978A6A" w14:textId="1573482E" w:rsidR="00B319B2" w:rsidRDefault="00AC7CC7" w:rsidP="00C71DEF">
            <w:pPr>
              <w:spacing w:before="240" w:after="120"/>
              <w:jc w:val="both"/>
              <w:rPr>
                <w:rFonts w:asciiTheme="majorHAnsi" w:hAnsiTheme="majorHAnsi"/>
                <w:b/>
                <w:bCs/>
                <w:color w:val="FFFFFF" w:themeColor="background1"/>
              </w:rPr>
            </w:pPr>
            <w:r>
              <w:rPr>
                <w:rFonts w:asciiTheme="majorHAnsi" w:hAnsiTheme="majorHAnsi"/>
                <w:b/>
                <w:bCs/>
                <w:color w:val="FFFFFF" w:themeColor="background1"/>
              </w:rPr>
              <w:t>V</w:t>
            </w:r>
            <w:r w:rsidR="00B319B2" w:rsidRPr="008C7050">
              <w:rPr>
                <w:rFonts w:asciiTheme="majorHAnsi" w:hAnsiTheme="majorHAnsi"/>
                <w:b/>
                <w:bCs/>
                <w:color w:val="FFFFFF" w:themeColor="background1"/>
              </w:rPr>
              <w:t>TTC Requirement</w:t>
            </w:r>
          </w:p>
          <w:p w14:paraId="6EA3D84A" w14:textId="1F2890C1" w:rsidR="00B319B2" w:rsidRPr="00B93508" w:rsidRDefault="00B319B2" w:rsidP="00C71DEF">
            <w:pPr>
              <w:spacing w:after="120"/>
              <w:rPr>
                <w:color w:val="FFFFFF" w:themeColor="background1"/>
              </w:rPr>
            </w:pPr>
            <w:r w:rsidRPr="00693565">
              <w:rPr>
                <w:color w:val="FFFFFF" w:themeColor="background1"/>
              </w:rPr>
              <w:t xml:space="preserve">Businesses should </w:t>
            </w:r>
            <w:r>
              <w:rPr>
                <w:color w:val="FFFFFF" w:themeColor="background1"/>
              </w:rPr>
              <w:t>disclose</w:t>
            </w:r>
            <w:r w:rsidRPr="00693565">
              <w:rPr>
                <w:color w:val="FFFFFF" w:themeColor="background1"/>
              </w:rPr>
              <w:t xml:space="preserve"> </w:t>
            </w:r>
            <w:r>
              <w:rPr>
                <w:color w:val="FFFFFF" w:themeColor="background1"/>
              </w:rPr>
              <w:t>an Australian accounting effective tax rate (ETR)</w:t>
            </w:r>
            <w:r w:rsidR="00C90666">
              <w:rPr>
                <w:color w:val="FFFFFF" w:themeColor="background1"/>
              </w:rPr>
              <w:t xml:space="preserve">. </w:t>
            </w:r>
          </w:p>
        </w:tc>
      </w:tr>
    </w:tbl>
    <w:p w14:paraId="0400A930" w14:textId="77777777" w:rsidR="00B319B2" w:rsidRDefault="00B319B2" w:rsidP="00B319B2">
      <w:pPr>
        <w:pStyle w:val="Heading5"/>
      </w:pPr>
      <w:r>
        <w:t xml:space="preserve">Optional elements </w:t>
      </w:r>
    </w:p>
    <w:p w14:paraId="28674A71" w14:textId="3DAFCECD" w:rsidR="00B319B2" w:rsidRDefault="00B319B2" w:rsidP="00B319B2">
      <w:pPr>
        <w:pStyle w:val="Bullet"/>
      </w:pPr>
      <w:r w:rsidRPr="0011166C">
        <w:t>Provide a description of the primary drivers of the gap between ETR and the weighted average statutory rate</w:t>
      </w:r>
      <w:r w:rsidR="00B93508" w:rsidRPr="0011166C">
        <w:t>.</w:t>
      </w:r>
    </w:p>
    <w:p w14:paraId="027B77DE" w14:textId="18BB6FC7" w:rsidR="00C90666" w:rsidRPr="0011166C" w:rsidRDefault="00C90666" w:rsidP="00302E98">
      <w:pPr>
        <w:pStyle w:val="Bullet"/>
      </w:pPr>
      <w:r>
        <w:t xml:space="preserve">Provide a </w:t>
      </w:r>
      <w:r w:rsidRPr="00C90666">
        <w:t>global ETR for the worldwide accounting consolidated group calculated based on tax expense (income).</w:t>
      </w:r>
    </w:p>
    <w:p w14:paraId="0C023CD7" w14:textId="0729EE76" w:rsidR="00B319B2" w:rsidRPr="008D4C9A" w:rsidRDefault="00B319B2" w:rsidP="00B319B2">
      <w:pPr>
        <w:pStyle w:val="Heading5"/>
      </w:pPr>
      <w:r>
        <w:t>Guidance</w:t>
      </w:r>
      <w:r w:rsidR="0064236F">
        <w:rPr>
          <w:rStyle w:val="FootnoteReference"/>
        </w:rPr>
        <w:footnoteReference w:id="7"/>
      </w:r>
    </w:p>
    <w:p w14:paraId="1E886311" w14:textId="3486F902" w:rsidR="00B319B2" w:rsidRDefault="00B319B2" w:rsidP="00476D85">
      <w:r w:rsidRPr="00877312">
        <w:t xml:space="preserve">The </w:t>
      </w:r>
      <w:r w:rsidR="00476D85" w:rsidRPr="00566B1D">
        <w:t xml:space="preserve">Australian Accounting Standards Board </w:t>
      </w:r>
      <w:r w:rsidR="00476D85">
        <w:t>(</w:t>
      </w:r>
      <w:r w:rsidRPr="00877312">
        <w:t>AASB</w:t>
      </w:r>
      <w:r w:rsidR="00476D85">
        <w:t>)</w:t>
      </w:r>
      <w:r w:rsidRPr="00877312">
        <w:t xml:space="preserve"> developed guidance material to assist businesses in meeting the </w:t>
      </w:r>
      <w:r>
        <w:t>requirements of the</w:t>
      </w:r>
      <w:r w:rsidRPr="00877312">
        <w:t xml:space="preserve"> </w:t>
      </w:r>
      <w:r w:rsidR="00954B47">
        <w:t>V</w:t>
      </w:r>
      <w:r w:rsidRPr="00877312">
        <w:t>TTC.</w:t>
      </w:r>
      <w:r>
        <w:rPr>
          <w:rStyle w:val="FootnoteReference"/>
        </w:rPr>
        <w:footnoteReference w:id="8"/>
      </w:r>
      <w:r w:rsidRPr="00877312">
        <w:t xml:space="preserve"> In particular, the AASB guidance establishes a common definition of ETR to ensure consistency and comparability</w:t>
      </w:r>
      <w:r w:rsidR="00476D85">
        <w:t>.</w:t>
      </w:r>
      <w:r w:rsidR="00476D85">
        <w:rPr>
          <w:rStyle w:val="FootnoteReference"/>
        </w:rPr>
        <w:footnoteReference w:id="9"/>
      </w:r>
      <w:r w:rsidRPr="00877312">
        <w:t xml:space="preserve"> </w:t>
      </w:r>
    </w:p>
    <w:p w14:paraId="714D4376" w14:textId="77777777" w:rsidR="00B319B2" w:rsidRDefault="00B319B2" w:rsidP="00B319B2">
      <w:r>
        <w:t xml:space="preserve">The global ETR should be calculated ‘for the worldwide accounting consolidated group’ of which the Australian operations form a part. </w:t>
      </w:r>
    </w:p>
    <w:p w14:paraId="3C22003A" w14:textId="53622F33" w:rsidR="00B319B2" w:rsidRPr="00070291" w:rsidRDefault="00B319B2" w:rsidP="005D0B4A">
      <w:pPr>
        <w:pStyle w:val="Bullet"/>
        <w:numPr>
          <w:ilvl w:val="0"/>
          <w:numId w:val="0"/>
        </w:numPr>
        <w:spacing w:after="0"/>
      </w:pPr>
      <w:r w:rsidRPr="00AD2363">
        <w:t>ETRs can be calculated on different bases (for example total profit vs underlying earnings), inviting possible criticism that they can potentially be misleading to those seeking to understand how a given ETR compares to the company tax rate.</w:t>
      </w:r>
    </w:p>
    <w:p w14:paraId="270A37A0" w14:textId="1083DECA" w:rsidR="00476D85" w:rsidRDefault="00476D85" w:rsidP="007F26D7">
      <w:pPr>
        <w:pStyle w:val="Bullet"/>
        <w:numPr>
          <w:ilvl w:val="0"/>
          <w:numId w:val="0"/>
        </w:numPr>
      </w:pPr>
      <w:r w:rsidRPr="00877312">
        <w:t xml:space="preserve">Businesses are expected to follow the AASB guidance in preparing their </w:t>
      </w:r>
      <w:r w:rsidR="00954B47">
        <w:t>V</w:t>
      </w:r>
      <w:r w:rsidRPr="00877312">
        <w:t xml:space="preserve">TTC </w:t>
      </w:r>
      <w:r>
        <w:t>reports.</w:t>
      </w:r>
      <w:r>
        <w:rPr>
          <w:rStyle w:val="FootnoteReference"/>
        </w:rPr>
        <w:footnoteReference w:id="10"/>
      </w:r>
      <w:r>
        <w:t xml:space="preserve"> Where AASB is not followed, businesses should explain the basis of their ETR calculations and any underlying assumptions. </w:t>
      </w:r>
    </w:p>
    <w:p w14:paraId="354AA05E" w14:textId="2E4A7F62" w:rsidR="004205FD" w:rsidRDefault="005118C0" w:rsidP="004205FD">
      <w:pPr>
        <w:pStyle w:val="Heading4"/>
      </w:pPr>
      <w:bookmarkStart w:id="43" w:name="_A_reconciliation_of_1"/>
      <w:bookmarkEnd w:id="43"/>
      <w:r>
        <w:t>A r</w:t>
      </w:r>
      <w:r w:rsidR="008607C7">
        <w:t xml:space="preserve">econciliation of accounting profit </w:t>
      </w:r>
      <w:r w:rsidR="00DF3FEA">
        <w:t xml:space="preserve">to income tax expense to income tax paid or payable </w:t>
      </w:r>
    </w:p>
    <w:tbl>
      <w:tblPr>
        <w:tblStyle w:val="Style1"/>
        <w:tblW w:w="0" w:type="auto"/>
        <w:tblLook w:val="04A0" w:firstRow="1" w:lastRow="0" w:firstColumn="1" w:lastColumn="0" w:noHBand="0" w:noVBand="1"/>
      </w:tblPr>
      <w:tblGrid>
        <w:gridCol w:w="9631"/>
      </w:tblGrid>
      <w:tr w:rsidR="00B66078" w14:paraId="24429848" w14:textId="77777777" w:rsidTr="00B6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068D7A6B" w14:textId="1CF0996F" w:rsidR="00B66078" w:rsidRPr="002661D0" w:rsidRDefault="00AC7CC7" w:rsidP="002661D0">
            <w:pPr>
              <w:spacing w:before="240"/>
              <w:jc w:val="both"/>
              <w:rPr>
                <w:rFonts w:asciiTheme="majorHAnsi" w:hAnsiTheme="majorHAnsi"/>
                <w:b/>
                <w:bCs/>
                <w:color w:val="FFFFFF" w:themeColor="background1"/>
              </w:rPr>
            </w:pPr>
            <w:r>
              <w:rPr>
                <w:rFonts w:asciiTheme="majorHAnsi" w:hAnsiTheme="majorHAnsi"/>
                <w:b/>
                <w:bCs/>
                <w:color w:val="FFFFFF" w:themeColor="background1"/>
              </w:rPr>
              <w:t>V</w:t>
            </w:r>
            <w:r w:rsidR="008C7050" w:rsidRPr="008C7050">
              <w:rPr>
                <w:rFonts w:asciiTheme="majorHAnsi" w:hAnsiTheme="majorHAnsi"/>
                <w:b/>
                <w:bCs/>
                <w:color w:val="FFFFFF" w:themeColor="background1"/>
              </w:rPr>
              <w:t>TTC Requirement</w:t>
            </w:r>
          </w:p>
          <w:p w14:paraId="54CAD681" w14:textId="77777777" w:rsidR="002661D0" w:rsidRDefault="002661D0" w:rsidP="002661D0">
            <w:pPr>
              <w:spacing w:before="120"/>
              <w:rPr>
                <w:color w:val="FFFFFF" w:themeColor="background1"/>
              </w:rPr>
            </w:pPr>
            <w:r w:rsidRPr="00693565">
              <w:rPr>
                <w:color w:val="FFFFFF" w:themeColor="background1"/>
              </w:rPr>
              <w:t xml:space="preserve">Businesses should </w:t>
            </w:r>
            <w:r>
              <w:rPr>
                <w:color w:val="FFFFFF" w:themeColor="background1"/>
              </w:rPr>
              <w:t>disclose</w:t>
            </w:r>
            <w:r w:rsidRPr="00693565">
              <w:rPr>
                <w:color w:val="FFFFFF" w:themeColor="background1"/>
              </w:rPr>
              <w:t xml:space="preserve"> a reconciliation of accounting profit </w:t>
            </w:r>
            <w:r>
              <w:rPr>
                <w:color w:val="FFFFFF" w:themeColor="background1"/>
              </w:rPr>
              <w:t xml:space="preserve">to income tax expense, and from income tax expense to income tax paid or income tax payable. </w:t>
            </w:r>
          </w:p>
          <w:p w14:paraId="75A3B423" w14:textId="049406C8" w:rsidR="00B66078" w:rsidRDefault="002661D0" w:rsidP="005D0B4A">
            <w:pPr>
              <w:pStyle w:val="Bullet"/>
              <w:numPr>
                <w:ilvl w:val="0"/>
                <w:numId w:val="0"/>
              </w:numPr>
              <w:spacing w:before="120" w:after="120"/>
              <w:ind w:left="520" w:hanging="520"/>
            </w:pPr>
            <w:r w:rsidRPr="002661D0">
              <w:rPr>
                <w:color w:val="FFFFFF" w:themeColor="background1"/>
              </w:rPr>
              <w:t>The reconciliation should identify material temporary or non-temporary differences.</w:t>
            </w:r>
          </w:p>
        </w:tc>
      </w:tr>
    </w:tbl>
    <w:p w14:paraId="293D6A7A" w14:textId="77777777" w:rsidR="003528D9" w:rsidRPr="008607C7" w:rsidRDefault="003528D9" w:rsidP="003528D9">
      <w:pPr>
        <w:pStyle w:val="Heading5"/>
      </w:pPr>
      <w:r>
        <w:t>Guidance</w:t>
      </w:r>
    </w:p>
    <w:p w14:paraId="342A9BEB" w14:textId="4FF44EC3" w:rsidR="003528D9" w:rsidRDefault="003528D9" w:rsidP="003528D9">
      <w:r w:rsidRPr="00CF427D" w:rsidDel="00AE0B9C">
        <w:t>In the interests of minimising compliance costs</w:t>
      </w:r>
      <w:r>
        <w:t>,</w:t>
      </w:r>
      <w:r w:rsidRPr="00CF427D" w:rsidDel="00AE0B9C">
        <w:t xml:space="preserve"> inclusion of a reconciliation in the</w:t>
      </w:r>
      <w:r>
        <w:t xml:space="preserve"> ‘Australian general purpose financial reports’ or via publication of a</w:t>
      </w:r>
      <w:r w:rsidRPr="00CF427D" w:rsidDel="00AE0B9C">
        <w:t xml:space="preserve"> </w:t>
      </w:r>
      <w:r>
        <w:t>‘</w:t>
      </w:r>
      <w:r w:rsidRPr="00CF427D" w:rsidDel="00AE0B9C">
        <w:t>taxes paid</w:t>
      </w:r>
      <w:r>
        <w:t>’</w:t>
      </w:r>
      <w:r w:rsidRPr="00CF427D" w:rsidDel="00AE0B9C">
        <w:t xml:space="preserve"> report </w:t>
      </w:r>
      <w:r>
        <w:t xml:space="preserve">or another document </w:t>
      </w:r>
      <w:r w:rsidRPr="00CF427D" w:rsidDel="00AE0B9C">
        <w:t>prepared at a global level is acceptable provided that reconciliation identifies material temporary and non</w:t>
      </w:r>
      <w:r w:rsidR="3EA75E26" w:rsidRPr="00CF427D" w:rsidDel="00AE0B9C">
        <w:t>-</w:t>
      </w:r>
      <w:r>
        <w:noBreakHyphen/>
      </w:r>
      <w:r w:rsidRPr="00CF427D" w:rsidDel="00AE0B9C">
        <w:t>temporary differences.</w:t>
      </w:r>
      <w:r>
        <w:t xml:space="preserve"> </w:t>
      </w:r>
    </w:p>
    <w:p w14:paraId="61AC58CA" w14:textId="5E6C437D" w:rsidR="003528D9" w:rsidRDefault="003528D9" w:rsidP="00CB38B7">
      <w:pPr>
        <w:spacing w:after="0"/>
      </w:pPr>
      <w:r w:rsidRPr="00566B1D">
        <w:t xml:space="preserve">The reconciliation should follow the </w:t>
      </w:r>
      <w:r w:rsidR="00F23CB6">
        <w:t>d</w:t>
      </w:r>
      <w:r w:rsidRPr="00566B1D">
        <w:t xml:space="preserve">raft </w:t>
      </w:r>
      <w:r w:rsidR="00F23CB6">
        <w:t>AASB</w:t>
      </w:r>
      <w:r w:rsidRPr="00566B1D">
        <w:t xml:space="preserve"> standards.</w:t>
      </w:r>
      <w:r w:rsidR="004E5F86">
        <w:rPr>
          <w:rStyle w:val="FootnoteReference"/>
        </w:rPr>
        <w:footnoteReference w:id="11"/>
      </w:r>
      <w:r w:rsidRPr="00566B1D">
        <w:t xml:space="preserve"> </w:t>
      </w:r>
    </w:p>
    <w:p w14:paraId="72E13E48" w14:textId="0B8ED36A" w:rsidR="00CC51CB" w:rsidRDefault="00CC51CB" w:rsidP="00CC51CB">
      <w:pPr>
        <w:pStyle w:val="Heading4"/>
        <w:spacing w:after="120"/>
      </w:pPr>
      <w:bookmarkStart w:id="44" w:name="_A_reconciliation_to_1"/>
      <w:bookmarkEnd w:id="44"/>
      <w:r>
        <w:t xml:space="preserve">A reconciliation to ATO </w:t>
      </w:r>
      <w:r w:rsidR="00621837">
        <w:t>C</w:t>
      </w:r>
      <w:r>
        <w:t xml:space="preserve">orporate </w:t>
      </w:r>
      <w:r w:rsidR="00621837">
        <w:t>T</w:t>
      </w:r>
      <w:r>
        <w:t xml:space="preserve">ax </w:t>
      </w:r>
      <w:r w:rsidR="00621837">
        <w:t>T</w:t>
      </w:r>
      <w:r>
        <w:t xml:space="preserve">ransparency </w:t>
      </w:r>
      <w:r w:rsidR="00621837">
        <w:t>D</w:t>
      </w:r>
      <w:r>
        <w:t>isclosures</w:t>
      </w:r>
    </w:p>
    <w:tbl>
      <w:tblPr>
        <w:tblStyle w:val="Style1"/>
        <w:tblW w:w="0" w:type="auto"/>
        <w:tblLook w:val="04A0" w:firstRow="1" w:lastRow="0" w:firstColumn="1" w:lastColumn="0" w:noHBand="0" w:noVBand="1"/>
      </w:tblPr>
      <w:tblGrid>
        <w:gridCol w:w="9631"/>
      </w:tblGrid>
      <w:tr w:rsidR="00CC51CB" w14:paraId="6FC719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461F48B7" w14:textId="72950E9D" w:rsidR="00CC51CB" w:rsidRDefault="00AC7CC7">
            <w:pPr>
              <w:spacing w:before="240" w:after="120"/>
              <w:jc w:val="both"/>
              <w:rPr>
                <w:rFonts w:asciiTheme="majorHAnsi" w:hAnsiTheme="majorHAnsi"/>
                <w:b/>
                <w:bCs/>
                <w:color w:val="FFFFFF" w:themeColor="background1"/>
              </w:rPr>
            </w:pPr>
            <w:r>
              <w:rPr>
                <w:rFonts w:asciiTheme="majorHAnsi" w:hAnsiTheme="majorHAnsi"/>
                <w:b/>
                <w:bCs/>
                <w:color w:val="FFFFFF" w:themeColor="background1"/>
              </w:rPr>
              <w:t>V</w:t>
            </w:r>
            <w:r w:rsidR="00CC51CB" w:rsidRPr="00693565">
              <w:rPr>
                <w:rFonts w:asciiTheme="majorHAnsi" w:hAnsiTheme="majorHAnsi"/>
                <w:b/>
                <w:bCs/>
                <w:color w:val="FFFFFF" w:themeColor="background1"/>
              </w:rPr>
              <w:t>TTC Requirement</w:t>
            </w:r>
          </w:p>
          <w:p w14:paraId="1EC56647" w14:textId="444289AF" w:rsidR="000C3502" w:rsidRDefault="000C3502" w:rsidP="005D0B4A">
            <w:pPr>
              <w:pStyle w:val="Bullet"/>
              <w:numPr>
                <w:ilvl w:val="0"/>
                <w:numId w:val="0"/>
              </w:numPr>
              <w:spacing w:before="120" w:after="120"/>
              <w:rPr>
                <w:color w:val="FFFFFF" w:themeColor="background1"/>
              </w:rPr>
            </w:pPr>
            <w:r w:rsidRPr="00557688">
              <w:rPr>
                <w:rFonts w:asciiTheme="minorHAnsi" w:hAnsiTheme="minorHAnsi" w:cstheme="minorHAnsi"/>
                <w:color w:val="FFFFFF" w:themeColor="background1"/>
              </w:rPr>
              <w:t xml:space="preserve">Businesses </w:t>
            </w:r>
            <w:r>
              <w:rPr>
                <w:rFonts w:asciiTheme="minorHAnsi" w:hAnsiTheme="minorHAnsi" w:cstheme="minorHAnsi"/>
                <w:color w:val="FFFFFF" w:themeColor="background1"/>
              </w:rPr>
              <w:t xml:space="preserve">that are subject to the ATO Corporate Tax Transparency Disclosures, </w:t>
            </w:r>
            <w:r w:rsidRPr="00557688">
              <w:rPr>
                <w:rFonts w:asciiTheme="minorHAnsi" w:hAnsiTheme="minorHAnsi" w:cstheme="minorHAnsi"/>
                <w:color w:val="FFFFFF" w:themeColor="background1"/>
              </w:rPr>
              <w:t xml:space="preserve">should </w:t>
            </w:r>
            <w:r w:rsidRPr="00EB31EB">
              <w:rPr>
                <w:rFonts w:asciiTheme="minorHAnsi" w:hAnsiTheme="minorHAnsi" w:cstheme="minorHAnsi"/>
                <w:color w:val="FFFFFF" w:themeColor="background1"/>
              </w:rPr>
              <w:t xml:space="preserve">provide a reconciliation of the data published by the ATO </w:t>
            </w:r>
            <w:r>
              <w:rPr>
                <w:rFonts w:asciiTheme="minorHAnsi" w:hAnsiTheme="minorHAnsi" w:cstheme="minorHAnsi"/>
                <w:color w:val="FFFFFF" w:themeColor="background1"/>
              </w:rPr>
              <w:t xml:space="preserve">against the data in the </w:t>
            </w:r>
            <w:r w:rsidR="00954B47">
              <w:rPr>
                <w:rFonts w:asciiTheme="minorHAnsi" w:hAnsiTheme="minorHAnsi" w:cstheme="minorHAnsi"/>
                <w:color w:val="FFFFFF" w:themeColor="background1"/>
              </w:rPr>
              <w:t>V</w:t>
            </w:r>
            <w:r>
              <w:rPr>
                <w:rFonts w:asciiTheme="minorHAnsi" w:hAnsiTheme="minorHAnsi" w:cstheme="minorHAnsi"/>
                <w:color w:val="FFFFFF" w:themeColor="background1"/>
              </w:rPr>
              <w:t>TTC, including:</w:t>
            </w:r>
          </w:p>
          <w:p w14:paraId="53574021" w14:textId="77777777" w:rsidR="00CC51CB" w:rsidRPr="00DA6561" w:rsidRDefault="00CC51CB" w:rsidP="00EC07C1">
            <w:pPr>
              <w:pStyle w:val="Bullet"/>
              <w:numPr>
                <w:ilvl w:val="0"/>
                <w:numId w:val="20"/>
              </w:numPr>
              <w:spacing w:after="120"/>
              <w:rPr>
                <w:color w:val="FFFFFF" w:themeColor="background1"/>
              </w:rPr>
            </w:pPr>
            <w:r w:rsidRPr="00DA6561">
              <w:rPr>
                <w:color w:val="FFFFFF" w:themeColor="background1"/>
              </w:rPr>
              <w:t>The accounting profit which correlates to ‘total income’ reported by the ATO in respect of relevant entities; </w:t>
            </w:r>
          </w:p>
          <w:p w14:paraId="2A09F389" w14:textId="56CD434D" w:rsidR="00D67BBA" w:rsidRPr="00DA6561" w:rsidRDefault="00D67BBA" w:rsidP="00EC07C1">
            <w:pPr>
              <w:pStyle w:val="Bullet"/>
              <w:numPr>
                <w:ilvl w:val="0"/>
                <w:numId w:val="20"/>
              </w:numPr>
              <w:spacing w:after="120"/>
              <w:rPr>
                <w:color w:val="FFFFFF" w:themeColor="background1"/>
              </w:rPr>
            </w:pPr>
            <w:r>
              <w:rPr>
                <w:color w:val="FFFFFF" w:themeColor="background1"/>
              </w:rPr>
              <w:t>The</w:t>
            </w:r>
            <w:r w:rsidRPr="00DA6561">
              <w:rPr>
                <w:color w:val="FFFFFF" w:themeColor="background1"/>
              </w:rPr>
              <w:t xml:space="preserve"> income tax paid and payable in the </w:t>
            </w:r>
            <w:r w:rsidR="00954B47">
              <w:rPr>
                <w:color w:val="FFFFFF" w:themeColor="background1"/>
              </w:rPr>
              <w:t>V</w:t>
            </w:r>
            <w:r w:rsidRPr="00DA6561">
              <w:rPr>
                <w:color w:val="FFFFFF" w:themeColor="background1"/>
              </w:rPr>
              <w:t>TTC to ‘tax payable’ reported by the ATO; and </w:t>
            </w:r>
          </w:p>
          <w:p w14:paraId="31F06E60" w14:textId="1F3F42E0" w:rsidR="00CC51CB" w:rsidRPr="00451677" w:rsidRDefault="00CC51CB" w:rsidP="00EC07C1">
            <w:pPr>
              <w:pStyle w:val="Bullet"/>
              <w:numPr>
                <w:ilvl w:val="0"/>
                <w:numId w:val="20"/>
              </w:numPr>
              <w:spacing w:after="120"/>
            </w:pPr>
            <w:r w:rsidRPr="00DA6561">
              <w:rPr>
                <w:color w:val="FFFFFF" w:themeColor="background1"/>
              </w:rPr>
              <w:t xml:space="preserve">Any further explanation necessary to assist users of the tax transparency information to understand how the information reported by the ATO reconciles to the </w:t>
            </w:r>
            <w:r w:rsidR="00954B47">
              <w:rPr>
                <w:color w:val="FFFFFF" w:themeColor="background1"/>
              </w:rPr>
              <w:t>V</w:t>
            </w:r>
            <w:r w:rsidRPr="00DA6561">
              <w:rPr>
                <w:color w:val="FFFFFF" w:themeColor="background1"/>
              </w:rPr>
              <w:t>TTC. </w:t>
            </w:r>
          </w:p>
        </w:tc>
      </w:tr>
    </w:tbl>
    <w:p w14:paraId="441A5462" w14:textId="77777777" w:rsidR="00CC51CB" w:rsidRDefault="00CC51CB" w:rsidP="00CC51CB">
      <w:pPr>
        <w:pStyle w:val="Heading5"/>
      </w:pPr>
      <w:r>
        <w:t>Guidance</w:t>
      </w:r>
    </w:p>
    <w:p w14:paraId="2D13F9CE" w14:textId="465FE659" w:rsidR="00476D85" w:rsidRPr="00A21B42" w:rsidRDefault="00476D85" w:rsidP="00476D85">
      <w:r w:rsidRPr="00A21B42">
        <w:t xml:space="preserve">The </w:t>
      </w:r>
      <w:r w:rsidR="00954B47">
        <w:t>V</w:t>
      </w:r>
      <w:r w:rsidRPr="00A21B42">
        <w:t xml:space="preserve">TTC provides an opportunity for business to provide meaningful context to the information published annually by the ATO under the mandatory corporate tax transparency measures. </w:t>
      </w:r>
    </w:p>
    <w:p w14:paraId="5D446C6A" w14:textId="0D084EDD" w:rsidR="00476D85" w:rsidRPr="00EB31EB" w:rsidRDefault="00476D85" w:rsidP="005A38DF">
      <w:pPr>
        <w:spacing w:before="0" w:after="0"/>
      </w:pPr>
      <w:r w:rsidRPr="002A260B">
        <w:t xml:space="preserve">This </w:t>
      </w:r>
      <w:r>
        <w:t>reporting</w:t>
      </w:r>
      <w:r w:rsidRPr="002A260B">
        <w:t xml:space="preserve"> requirement will involve businesses </w:t>
      </w:r>
      <w:r>
        <w:t>indicating</w:t>
      </w:r>
      <w:r w:rsidRPr="002A260B">
        <w:t xml:space="preserve"> which entities in the ATO disclosures are covered by </w:t>
      </w:r>
      <w:r>
        <w:t xml:space="preserve">the </w:t>
      </w:r>
      <w:r w:rsidR="00954B47">
        <w:t>V</w:t>
      </w:r>
      <w:r w:rsidRPr="002A260B">
        <w:t>TTC</w:t>
      </w:r>
      <w:r>
        <w:t>.</w:t>
      </w:r>
    </w:p>
    <w:p w14:paraId="0B3B3F47" w14:textId="7DD7F9A3" w:rsidR="005A38DF" w:rsidRPr="00D10950" w:rsidRDefault="37B592AF" w:rsidP="005A38DF">
      <w:pPr>
        <w:rPr>
          <w:color w:val="FF0000"/>
        </w:rPr>
      </w:pPr>
      <w:r w:rsidRPr="00D10950">
        <w:rPr>
          <w:b/>
          <w:bCs/>
          <w:color w:val="FF0000"/>
        </w:rPr>
        <w:t>[Guidance on timing]</w:t>
      </w:r>
      <w:r w:rsidR="005A38DF" w:rsidRPr="00D10950">
        <w:rPr>
          <w:rStyle w:val="FootnoteReference"/>
          <w:color w:val="FF0000"/>
        </w:rPr>
        <w:footnoteReference w:id="12"/>
      </w:r>
    </w:p>
    <w:p w14:paraId="63DAF472" w14:textId="766BED7A" w:rsidR="00EE544A" w:rsidRDefault="00684C07" w:rsidP="002C249C">
      <w:pPr>
        <w:pStyle w:val="Heading3"/>
      </w:pPr>
      <w:r>
        <w:t>Overall a</w:t>
      </w:r>
      <w:r w:rsidR="00EE544A">
        <w:t xml:space="preserve">pproach to </w:t>
      </w:r>
      <w:r>
        <w:t>t</w:t>
      </w:r>
      <w:r w:rsidR="00EE544A">
        <w:t xml:space="preserve">ax </w:t>
      </w:r>
      <w:bookmarkStart w:id="45" w:name="_Approach_to_risk_2"/>
      <w:bookmarkEnd w:id="45"/>
    </w:p>
    <w:p w14:paraId="65038892" w14:textId="1C1BB5BB" w:rsidR="00684C07" w:rsidRPr="00684C07" w:rsidRDefault="00684C07" w:rsidP="00684C07">
      <w:pPr>
        <w:pStyle w:val="Heading4"/>
      </w:pPr>
      <w:bookmarkStart w:id="46" w:name="_Approach_to_tax_2"/>
      <w:bookmarkEnd w:id="46"/>
      <w:r>
        <w:t>Approach to tax</w:t>
      </w:r>
    </w:p>
    <w:tbl>
      <w:tblPr>
        <w:tblStyle w:val="Style1"/>
        <w:tblW w:w="0" w:type="auto"/>
        <w:tblLook w:val="04A0" w:firstRow="1" w:lastRow="0" w:firstColumn="1" w:lastColumn="0" w:noHBand="0" w:noVBand="1"/>
      </w:tblPr>
      <w:tblGrid>
        <w:gridCol w:w="9631"/>
      </w:tblGrid>
      <w:tr w:rsidR="00EE544A" w14:paraId="5916DD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61E09AF8" w14:textId="717E43BC" w:rsidR="00EE544A" w:rsidRPr="008C7050" w:rsidRDefault="00AB436C">
            <w:pPr>
              <w:spacing w:before="240" w:after="120"/>
              <w:jc w:val="both"/>
              <w:rPr>
                <w:rFonts w:asciiTheme="majorHAnsi" w:hAnsiTheme="majorHAnsi"/>
                <w:b/>
                <w:bCs/>
                <w:color w:val="FFFFFF" w:themeColor="background1"/>
              </w:rPr>
            </w:pPr>
            <w:r>
              <w:rPr>
                <w:rFonts w:asciiTheme="majorHAnsi" w:hAnsiTheme="majorHAnsi"/>
                <w:b/>
                <w:bCs/>
                <w:color w:val="FFFFFF" w:themeColor="background1"/>
              </w:rPr>
              <w:t>V</w:t>
            </w:r>
            <w:r w:rsidR="00EE544A" w:rsidRPr="008C7050">
              <w:rPr>
                <w:rFonts w:asciiTheme="majorHAnsi" w:hAnsiTheme="majorHAnsi"/>
                <w:b/>
                <w:bCs/>
                <w:color w:val="FFFFFF" w:themeColor="background1"/>
              </w:rPr>
              <w:t>TTC Requirement</w:t>
            </w:r>
          </w:p>
          <w:p w14:paraId="00A608F8" w14:textId="686AD97E" w:rsidR="00EE544A" w:rsidRPr="00CC5D1D" w:rsidRDefault="00EE544A">
            <w:pPr>
              <w:pStyle w:val="RecommendationText"/>
              <w:spacing w:after="120"/>
              <w:rPr>
                <w:rFonts w:asciiTheme="minorHAnsi" w:hAnsiTheme="minorHAnsi" w:cstheme="minorHAnsi"/>
                <w:color w:val="FFFFFF" w:themeColor="background1"/>
                <w:szCs w:val="22"/>
              </w:rPr>
            </w:pPr>
            <w:r w:rsidRPr="00CC5D1D">
              <w:rPr>
                <w:rFonts w:asciiTheme="minorHAnsi" w:hAnsiTheme="minorHAnsi" w:cstheme="minorHAnsi"/>
                <w:color w:val="FFFFFF" w:themeColor="background1"/>
                <w:szCs w:val="22"/>
              </w:rPr>
              <w:t xml:space="preserve">Businesses should provide information on </w:t>
            </w:r>
            <w:r w:rsidR="009B6CFC">
              <w:rPr>
                <w:rFonts w:asciiTheme="minorHAnsi" w:hAnsiTheme="minorHAnsi" w:cstheme="minorHAnsi"/>
                <w:color w:val="FFFFFF" w:themeColor="background1"/>
                <w:szCs w:val="22"/>
              </w:rPr>
              <w:t>its</w:t>
            </w:r>
            <w:r w:rsidR="00BA1A26">
              <w:rPr>
                <w:rFonts w:asciiTheme="minorHAnsi" w:hAnsiTheme="minorHAnsi" w:cstheme="minorHAnsi"/>
                <w:color w:val="FFFFFF" w:themeColor="background1"/>
                <w:szCs w:val="22"/>
              </w:rPr>
              <w:t xml:space="preserve"> approach to </w:t>
            </w:r>
            <w:r w:rsidRPr="00CC5D1D">
              <w:rPr>
                <w:rFonts w:asciiTheme="minorHAnsi" w:hAnsiTheme="minorHAnsi" w:cstheme="minorHAnsi"/>
                <w:color w:val="FFFFFF" w:themeColor="background1"/>
                <w:szCs w:val="22"/>
              </w:rPr>
              <w:t xml:space="preserve">tax including:  </w:t>
            </w:r>
          </w:p>
          <w:p w14:paraId="3790BBA9" w14:textId="3C745BC5" w:rsidR="00EC034A" w:rsidRPr="00CC5D1D" w:rsidRDefault="00EC034A" w:rsidP="00EC07C1">
            <w:pPr>
              <w:pStyle w:val="Bullet"/>
              <w:numPr>
                <w:ilvl w:val="0"/>
                <w:numId w:val="20"/>
              </w:numPr>
              <w:spacing w:after="120"/>
              <w:rPr>
                <w:color w:val="FFFFFF" w:themeColor="background1"/>
              </w:rPr>
            </w:pPr>
            <w:r w:rsidRPr="00CC5D1D">
              <w:rPr>
                <w:color w:val="FFFFFF" w:themeColor="background1"/>
              </w:rPr>
              <w:t xml:space="preserve">whether they have a formal tax policy </w:t>
            </w:r>
            <w:r>
              <w:rPr>
                <w:color w:val="FFFFFF" w:themeColor="background1"/>
              </w:rPr>
              <w:t>or strategy</w:t>
            </w:r>
            <w:r w:rsidRPr="00CC5D1D">
              <w:rPr>
                <w:color w:val="FFFFFF" w:themeColor="background1"/>
              </w:rPr>
              <w:t xml:space="preserve">; </w:t>
            </w:r>
          </w:p>
          <w:p w14:paraId="2F426063" w14:textId="23149A38" w:rsidR="00EE544A" w:rsidRPr="00641579" w:rsidRDefault="00BA1A26" w:rsidP="00EC07C1">
            <w:pPr>
              <w:pStyle w:val="Bullet"/>
              <w:numPr>
                <w:ilvl w:val="0"/>
                <w:numId w:val="20"/>
              </w:numPr>
              <w:spacing w:after="120"/>
              <w:rPr>
                <w:color w:val="FFFFFF" w:themeColor="background1"/>
              </w:rPr>
            </w:pPr>
            <w:r w:rsidRPr="007A1BCE">
              <w:rPr>
                <w:color w:val="FFFFFF" w:themeColor="background1"/>
              </w:rPr>
              <w:t>the</w:t>
            </w:r>
            <w:r w:rsidR="00EE544A" w:rsidRPr="00CC5D1D">
              <w:rPr>
                <w:color w:val="FFFFFF" w:themeColor="background1"/>
              </w:rPr>
              <w:t xml:space="preserve"> governance </w:t>
            </w:r>
            <w:r w:rsidR="00EE544A" w:rsidRPr="007A1BCE">
              <w:rPr>
                <w:color w:val="FFFFFF" w:themeColor="background1"/>
              </w:rPr>
              <w:t xml:space="preserve">body </w:t>
            </w:r>
            <w:r w:rsidR="00075F0D" w:rsidRPr="007A1BCE">
              <w:rPr>
                <w:color w:val="FFFFFF" w:themeColor="background1"/>
              </w:rPr>
              <w:t>or executive-level position</w:t>
            </w:r>
            <w:r w:rsidR="00EE544A" w:rsidRPr="00641579">
              <w:rPr>
                <w:color w:val="FFFFFF" w:themeColor="background1"/>
              </w:rPr>
              <w:t xml:space="preserve"> that formally reviews and approves the tax strategy and is responsible for compliance with the tax strategy, including frequency of review; </w:t>
            </w:r>
            <w:r w:rsidR="008E6CAB" w:rsidRPr="007A1BCE">
              <w:rPr>
                <w:color w:val="FFFFFF" w:themeColor="background1"/>
              </w:rPr>
              <w:t>and</w:t>
            </w:r>
          </w:p>
          <w:p w14:paraId="4929866D" w14:textId="50872E96" w:rsidR="00EE544A" w:rsidRPr="00CC5D1D" w:rsidRDefault="007A1BCE" w:rsidP="00EC07C1">
            <w:pPr>
              <w:pStyle w:val="Bullet"/>
              <w:numPr>
                <w:ilvl w:val="0"/>
                <w:numId w:val="20"/>
              </w:numPr>
              <w:spacing w:after="120"/>
            </w:pPr>
            <w:r w:rsidRPr="007A1BCE">
              <w:rPr>
                <w:color w:val="FFFFFF" w:themeColor="background1"/>
              </w:rPr>
              <w:t>the approach to regulatory compliance</w:t>
            </w:r>
            <w:r w:rsidR="0084016B">
              <w:rPr>
                <w:color w:val="FFFFFF" w:themeColor="background1"/>
              </w:rPr>
              <w:t>.</w:t>
            </w:r>
          </w:p>
        </w:tc>
      </w:tr>
    </w:tbl>
    <w:p w14:paraId="7ADFCB86" w14:textId="2048E406" w:rsidR="000F7616" w:rsidRDefault="002C249C" w:rsidP="00684C07">
      <w:pPr>
        <w:pStyle w:val="Heading4"/>
      </w:pPr>
      <w:bookmarkStart w:id="47" w:name="_Tax_governance,_control"/>
      <w:bookmarkEnd w:id="47"/>
      <w:r w:rsidRPr="002C249C">
        <w:t>Tax</w:t>
      </w:r>
      <w:r>
        <w:t xml:space="preserve"> </w:t>
      </w:r>
      <w:r w:rsidR="000F7616" w:rsidRPr="002C249C">
        <w:t>governance, control and risk management</w:t>
      </w:r>
      <w:r w:rsidR="004534D1">
        <w:rPr>
          <w:rStyle w:val="FootnoteReference"/>
        </w:rPr>
        <w:footnoteReference w:id="13"/>
      </w:r>
      <w:r w:rsidR="000F7616" w:rsidRPr="002C249C">
        <w:t xml:space="preserve"> </w:t>
      </w:r>
    </w:p>
    <w:p w14:paraId="33294666" w14:textId="77777777" w:rsidR="00EE544A" w:rsidRDefault="00EE544A" w:rsidP="00EE544A">
      <w:pPr>
        <w:pStyle w:val="Heading5"/>
      </w:pPr>
      <w:r>
        <w:t xml:space="preserve">Optional elements </w:t>
      </w:r>
    </w:p>
    <w:p w14:paraId="1C2E9433" w14:textId="77777777" w:rsidR="00C14748" w:rsidRDefault="00D43626" w:rsidP="00C14748">
      <w:pPr>
        <w:pStyle w:val="Bullet"/>
      </w:pPr>
      <w:r>
        <w:t xml:space="preserve">Provide a </w:t>
      </w:r>
      <w:r w:rsidR="004534D1">
        <w:t xml:space="preserve">description of the tax governance, control and risk management framework including: </w:t>
      </w:r>
    </w:p>
    <w:p w14:paraId="66C7063D" w14:textId="32059B96" w:rsidR="004534D1" w:rsidRDefault="00D43626" w:rsidP="00C14748">
      <w:pPr>
        <w:pStyle w:val="Dash"/>
      </w:pPr>
      <w:r>
        <w:t>the</w:t>
      </w:r>
      <w:r w:rsidR="004534D1">
        <w:t xml:space="preserve"> governance body or executive-level position within the organisation accountable for compliance with the tax strategy;</w:t>
      </w:r>
    </w:p>
    <w:p w14:paraId="7C474446" w14:textId="718EA143" w:rsidR="004534D1" w:rsidRDefault="004534D1" w:rsidP="004534D1">
      <w:pPr>
        <w:pStyle w:val="Dash"/>
      </w:pPr>
      <w:r>
        <w:t xml:space="preserve">how </w:t>
      </w:r>
      <w:r w:rsidR="0074741E">
        <w:t xml:space="preserve">the </w:t>
      </w:r>
      <w:r w:rsidR="00C57419">
        <w:t>entity’s</w:t>
      </w:r>
      <w:r w:rsidR="0074741E">
        <w:t xml:space="preserve"> </w:t>
      </w:r>
      <w:r>
        <w:t>approach to tax is communicated and embedded in the organisation;</w:t>
      </w:r>
    </w:p>
    <w:p w14:paraId="551323C5" w14:textId="78C639AA" w:rsidR="004534D1" w:rsidRDefault="004534D1" w:rsidP="004534D1">
      <w:pPr>
        <w:pStyle w:val="Dash"/>
      </w:pPr>
      <w:r>
        <w:t>how tax risks are identified, managed and monitored; and</w:t>
      </w:r>
    </w:p>
    <w:p w14:paraId="5324C184" w14:textId="2B64CFA6" w:rsidR="00B755FF" w:rsidRPr="00B755FF" w:rsidRDefault="004534D1" w:rsidP="00B755FF">
      <w:pPr>
        <w:pStyle w:val="Dash"/>
      </w:pPr>
      <w:r>
        <w:t xml:space="preserve">how compliance with tax governance and control framework is evaluated. </w:t>
      </w:r>
    </w:p>
    <w:p w14:paraId="5B3E9FCC" w14:textId="5B8F2B27" w:rsidR="00A214ED" w:rsidRPr="00A214ED" w:rsidRDefault="000F7616" w:rsidP="00684C07">
      <w:pPr>
        <w:pStyle w:val="Heading4"/>
      </w:pPr>
      <w:bookmarkStart w:id="48" w:name="_Stakeholder_engagement_and_1"/>
      <w:bookmarkEnd w:id="48"/>
      <w:r>
        <w:t>Stakeholder engagement and management of concerns related to tax</w:t>
      </w:r>
      <w:r w:rsidR="004534D1">
        <w:rPr>
          <w:rStyle w:val="FootnoteReference"/>
        </w:rPr>
        <w:footnoteReference w:id="14"/>
      </w:r>
      <w:r>
        <w:t xml:space="preserve"> </w:t>
      </w:r>
    </w:p>
    <w:p w14:paraId="3CFE994E" w14:textId="77777777" w:rsidR="00EE544A" w:rsidRDefault="00EE544A" w:rsidP="00EE544A">
      <w:pPr>
        <w:pStyle w:val="Heading5"/>
      </w:pPr>
      <w:r>
        <w:t xml:space="preserve">Optional elements </w:t>
      </w:r>
    </w:p>
    <w:p w14:paraId="6EF05015" w14:textId="07CD8872" w:rsidR="001749B7" w:rsidRDefault="00D43626" w:rsidP="001749B7">
      <w:pPr>
        <w:pStyle w:val="Bullet"/>
      </w:pPr>
      <w:r>
        <w:t>Provide a</w:t>
      </w:r>
      <w:r w:rsidR="001749B7">
        <w:t xml:space="preserve"> description of </w:t>
      </w:r>
      <w:r w:rsidR="604EDCD6">
        <w:t xml:space="preserve">the </w:t>
      </w:r>
      <w:r w:rsidR="001749B7">
        <w:t>approach to engagement with the ATO</w:t>
      </w:r>
      <w:r w:rsidR="009B6CFC">
        <w:t>. This may include</w:t>
      </w:r>
      <w:r w:rsidR="001749B7">
        <w:t xml:space="preserve">: </w:t>
      </w:r>
    </w:p>
    <w:p w14:paraId="5CC3F617" w14:textId="75EDEA64" w:rsidR="00157681" w:rsidRPr="002C249C" w:rsidRDefault="00157681" w:rsidP="00157681">
      <w:pPr>
        <w:pStyle w:val="Dash"/>
      </w:pPr>
      <w:r w:rsidRPr="002C249C">
        <w:t xml:space="preserve">the assurance regimes </w:t>
      </w:r>
      <w:r>
        <w:t>the entity</w:t>
      </w:r>
      <w:r w:rsidRPr="002C249C">
        <w:t xml:space="preserve"> is subject to,</w:t>
      </w:r>
      <w:r w:rsidR="008311EB" w:rsidRPr="008311EB">
        <w:t xml:space="preserve"> </w:t>
      </w:r>
      <w:r w:rsidR="008311EB">
        <w:t>including any outcomes from assurance regimes</w:t>
      </w:r>
      <w:r w:rsidR="00044C2F">
        <w:t>,</w:t>
      </w:r>
      <w:r w:rsidRPr="002C249C">
        <w:t xml:space="preserve"> for example, internal audit, external audit, Advance Pricing Arrangements (APAs)</w:t>
      </w:r>
      <w:r>
        <w:t xml:space="preserve">, </w:t>
      </w:r>
      <w:r w:rsidR="006D60F9">
        <w:t xml:space="preserve">Annual Compliance Arrangement (ACA), </w:t>
      </w:r>
      <w:r>
        <w:t>Justified Trust reviews</w:t>
      </w:r>
      <w:r w:rsidRPr="002C249C">
        <w:t xml:space="preserve"> and ATO pre-lodgment compliance reviews;</w:t>
      </w:r>
    </w:p>
    <w:p w14:paraId="06EE901B" w14:textId="44428A0F" w:rsidR="001749B7" w:rsidRPr="002C249C" w:rsidRDefault="00D43626" w:rsidP="001749B7">
      <w:pPr>
        <w:pStyle w:val="Dash"/>
      </w:pPr>
      <w:r>
        <w:t>engagement</w:t>
      </w:r>
      <w:r w:rsidR="001749B7" w:rsidRPr="002C249C">
        <w:t xml:space="preserve"> on tax risks including private binding rulings obtained, cooperative compliance agreements, seeking active real-time audit, seeking clearance for significant transactions and advance pricing agreements sought; </w:t>
      </w:r>
    </w:p>
    <w:p w14:paraId="091AFE6E" w14:textId="6E684E3E" w:rsidR="001749B7" w:rsidRPr="002C249C" w:rsidRDefault="001749B7" w:rsidP="00804162">
      <w:pPr>
        <w:pStyle w:val="Dash"/>
      </w:pPr>
      <w:r w:rsidRPr="002C249C">
        <w:t>the outcome of ATO compliance activities, for example, a ‘risk rating’ or the outcome of a streamlined risk review; and</w:t>
      </w:r>
    </w:p>
    <w:p w14:paraId="6B9F724A" w14:textId="5344D8AE" w:rsidR="001749B7" w:rsidRPr="002C249C" w:rsidRDefault="001749B7" w:rsidP="00804162">
      <w:pPr>
        <w:pStyle w:val="Dash"/>
      </w:pPr>
      <w:r w:rsidRPr="002C249C">
        <w:t xml:space="preserve">any significant ongoing or recently settled tax disputes with the ATO and/or other revenue authorities, including settlement outcomes, to the extent not already disclosed in financial statements. </w:t>
      </w:r>
    </w:p>
    <w:p w14:paraId="535D254D" w14:textId="6011E730" w:rsidR="005C2FB4" w:rsidRPr="005C2FB4" w:rsidRDefault="00D43626" w:rsidP="005C2FB4">
      <w:pPr>
        <w:pStyle w:val="Bullet"/>
      </w:pPr>
      <w:r>
        <w:t>Provide a</w:t>
      </w:r>
      <w:r w:rsidR="001749B7">
        <w:t xml:space="preserve"> description of its</w:t>
      </w:r>
      <w:r w:rsidR="001749B7" w:rsidRPr="00E665D9">
        <w:t xml:space="preserve"> approach to engagement with other tax authorities</w:t>
      </w:r>
      <w:r w:rsidR="001749B7">
        <w:t>.</w:t>
      </w:r>
      <w:r w:rsidR="001749B7" w:rsidRPr="00E665D9">
        <w:t>  </w:t>
      </w:r>
    </w:p>
    <w:p w14:paraId="39913D37" w14:textId="541DC0D7" w:rsidR="00EE544A" w:rsidRDefault="00EE544A" w:rsidP="00EE544A">
      <w:pPr>
        <w:pStyle w:val="Heading4"/>
        <w:spacing w:after="120"/>
      </w:pPr>
      <w:bookmarkStart w:id="49" w:name="_International_related_party"/>
      <w:bookmarkEnd w:id="49"/>
      <w:r>
        <w:t>International related party dealings summary</w:t>
      </w:r>
    </w:p>
    <w:tbl>
      <w:tblPr>
        <w:tblStyle w:val="Style1"/>
        <w:tblW w:w="0" w:type="auto"/>
        <w:tblLook w:val="04A0" w:firstRow="1" w:lastRow="0" w:firstColumn="1" w:lastColumn="0" w:noHBand="0" w:noVBand="1"/>
      </w:tblPr>
      <w:tblGrid>
        <w:gridCol w:w="9631"/>
      </w:tblGrid>
      <w:tr w:rsidR="00EE544A" w14:paraId="309B89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1" w:type="dxa"/>
            <w:shd w:val="clear" w:color="auto" w:fill="701F4D" w:themeFill="accent2"/>
          </w:tcPr>
          <w:p w14:paraId="13E64817" w14:textId="578F3548" w:rsidR="00EE544A" w:rsidRPr="007D505D" w:rsidRDefault="00AB436C">
            <w:pPr>
              <w:spacing w:before="240"/>
              <w:jc w:val="both"/>
              <w:rPr>
                <w:rFonts w:asciiTheme="majorHAnsi" w:hAnsiTheme="majorHAnsi"/>
                <w:b/>
                <w:bCs/>
                <w:color w:val="FFFFFF" w:themeColor="background1"/>
              </w:rPr>
            </w:pPr>
            <w:r>
              <w:rPr>
                <w:rFonts w:asciiTheme="majorHAnsi" w:hAnsiTheme="majorHAnsi"/>
                <w:b/>
                <w:bCs/>
                <w:color w:val="FFFFFF" w:themeColor="background1"/>
              </w:rPr>
              <w:t>V</w:t>
            </w:r>
            <w:r w:rsidR="00EE544A" w:rsidRPr="008C7050">
              <w:rPr>
                <w:rFonts w:asciiTheme="majorHAnsi" w:hAnsiTheme="majorHAnsi"/>
                <w:b/>
                <w:bCs/>
                <w:color w:val="FFFFFF" w:themeColor="background1"/>
              </w:rPr>
              <w:t>TTC Requirement</w:t>
            </w:r>
          </w:p>
          <w:p w14:paraId="04685D6C" w14:textId="77777777" w:rsidR="00EE544A" w:rsidRDefault="00EE544A">
            <w:pPr>
              <w:spacing w:before="120"/>
              <w:rPr>
                <w:color w:val="FFFFFF" w:themeColor="background1"/>
              </w:rPr>
            </w:pPr>
            <w:r w:rsidRPr="0057773C">
              <w:rPr>
                <w:color w:val="FFFFFF" w:themeColor="background1"/>
              </w:rPr>
              <w:t>Businesses should provide a qualitative disclosure of key categories of dealings with offshore related parties which have a material impact on the business’ Australian taxable income, including</w:t>
            </w:r>
            <w:r>
              <w:rPr>
                <w:color w:val="FFFFFF" w:themeColor="background1"/>
              </w:rPr>
              <w:t>:</w:t>
            </w:r>
          </w:p>
          <w:p w14:paraId="32D49B27" w14:textId="77777777" w:rsidR="00EE544A" w:rsidRDefault="00EE544A" w:rsidP="00EC07C1">
            <w:pPr>
              <w:pStyle w:val="Bullet"/>
              <w:numPr>
                <w:ilvl w:val="0"/>
                <w:numId w:val="20"/>
              </w:numPr>
              <w:spacing w:before="120" w:after="120"/>
              <w:rPr>
                <w:color w:val="FFFFFF" w:themeColor="background1"/>
              </w:rPr>
            </w:pPr>
            <w:r w:rsidRPr="003D7AFD">
              <w:rPr>
                <w:color w:val="FFFFFF" w:themeColor="background1"/>
              </w:rPr>
              <w:t xml:space="preserve">the nature of </w:t>
            </w:r>
            <w:r>
              <w:rPr>
                <w:color w:val="FFFFFF" w:themeColor="background1"/>
              </w:rPr>
              <w:t>the</w:t>
            </w:r>
            <w:r w:rsidRPr="003D7AFD">
              <w:rPr>
                <w:color w:val="FFFFFF" w:themeColor="background1"/>
              </w:rPr>
              <w:t xml:space="preserve"> dealings</w:t>
            </w:r>
            <w:r>
              <w:rPr>
                <w:color w:val="FFFFFF" w:themeColor="background1"/>
              </w:rPr>
              <w:t>; and</w:t>
            </w:r>
          </w:p>
          <w:p w14:paraId="399552F0" w14:textId="68A3226D" w:rsidR="00EE544A" w:rsidRPr="008356A1" w:rsidRDefault="00EE544A" w:rsidP="00EC07C1">
            <w:pPr>
              <w:pStyle w:val="Bullet"/>
              <w:numPr>
                <w:ilvl w:val="0"/>
                <w:numId w:val="20"/>
              </w:numPr>
              <w:spacing w:after="120"/>
              <w:rPr>
                <w:color w:val="FFFFFF" w:themeColor="background1"/>
              </w:rPr>
            </w:pPr>
            <w:r w:rsidRPr="003D7AFD">
              <w:rPr>
                <w:color w:val="FFFFFF" w:themeColor="background1"/>
              </w:rPr>
              <w:t>the country in which the related party is located</w:t>
            </w:r>
            <w:r>
              <w:rPr>
                <w:color w:val="FFFFFF" w:themeColor="background1"/>
              </w:rPr>
              <w:t>.</w:t>
            </w:r>
          </w:p>
        </w:tc>
      </w:tr>
    </w:tbl>
    <w:p w14:paraId="5AD72554" w14:textId="77777777" w:rsidR="00EE544A" w:rsidRDefault="00EE544A" w:rsidP="00EE544A">
      <w:pPr>
        <w:pStyle w:val="Heading5"/>
      </w:pPr>
      <w:r>
        <w:t>Guidance</w:t>
      </w:r>
    </w:p>
    <w:p w14:paraId="1537D92D" w14:textId="668E3809" w:rsidR="00476D85" w:rsidRPr="00F42443" w:rsidRDefault="00EE544A" w:rsidP="009D6367">
      <w:pPr>
        <w:pStyle w:val="Bullet"/>
        <w:numPr>
          <w:ilvl w:val="0"/>
          <w:numId w:val="0"/>
        </w:numPr>
      </w:pPr>
      <w:r w:rsidRPr="00F42443">
        <w:t xml:space="preserve">A </w:t>
      </w:r>
      <w:r w:rsidR="00476D85" w:rsidRPr="00F42443">
        <w:t>business’</w:t>
      </w:r>
      <w:r w:rsidRPr="00F42443">
        <w:t xml:space="preserve"> dealings with international related parties have particular relevance for the </w:t>
      </w:r>
      <w:r w:rsidR="00954B47">
        <w:t>V</w:t>
      </w:r>
      <w:r w:rsidR="00476D85" w:rsidRPr="00F42443">
        <w:t xml:space="preserve">TTC audience. </w:t>
      </w:r>
      <w:r w:rsidR="00476D85">
        <w:t>Businesses may wish to provide further information, including:</w:t>
      </w:r>
    </w:p>
    <w:p w14:paraId="1A934A6C" w14:textId="77777777" w:rsidR="00476D85" w:rsidRPr="00F42443" w:rsidRDefault="00476D85" w:rsidP="00476D85">
      <w:pPr>
        <w:pStyle w:val="Bullet"/>
      </w:pPr>
      <w:r w:rsidRPr="00F42443">
        <w:t>A description</w:t>
      </w:r>
      <w:r w:rsidR="00EE544A" w:rsidRPr="00F42443">
        <w:t xml:space="preserve"> of the </w:t>
      </w:r>
      <w:r w:rsidRPr="00F42443">
        <w:t xml:space="preserve">business approach to allocation of value between international related parties. For example, use of the arm’s length principles in line with OECD guidelines. </w:t>
      </w:r>
    </w:p>
    <w:p w14:paraId="1F9AD81E" w14:textId="77777777" w:rsidR="00476D85" w:rsidRPr="00F42443" w:rsidRDefault="00476D85" w:rsidP="00476D85">
      <w:pPr>
        <w:pStyle w:val="Bullet"/>
      </w:pPr>
      <w:r>
        <w:t>Additional</w:t>
      </w:r>
      <w:r w:rsidRPr="00F42443">
        <w:t xml:space="preserve"> context in relation to the size of their international related party dealings relative to their whole business. For example, a business could express its international related party dealings as a percentage of its total revenue or expenditure, as relevant; and </w:t>
      </w:r>
    </w:p>
    <w:p w14:paraId="1261CA4C" w14:textId="77777777" w:rsidR="00476D85" w:rsidRPr="00F42443" w:rsidRDefault="00476D85" w:rsidP="00476D85">
      <w:pPr>
        <w:pStyle w:val="Bullet"/>
      </w:pPr>
      <w:r w:rsidRPr="00F42443">
        <w:t>An explanation of activities undertaken in no or low tax jurisdictions, types of tax incentives used, approach to transfer pricing and how it ensures its transactions are arm’s length.</w:t>
      </w:r>
    </w:p>
    <w:p w14:paraId="4C9A7F74" w14:textId="4CA8E118" w:rsidR="00476D85" w:rsidRPr="00F42443" w:rsidRDefault="00476D85" w:rsidP="00897934">
      <w:pPr>
        <w:pStyle w:val="Bullet"/>
        <w:numPr>
          <w:ilvl w:val="0"/>
          <w:numId w:val="0"/>
        </w:numPr>
      </w:pPr>
      <w:r w:rsidRPr="00F42443">
        <w:t xml:space="preserve">The Board believes it is necessary for the </w:t>
      </w:r>
      <w:r w:rsidR="00954B47">
        <w:t>V</w:t>
      </w:r>
      <w:r w:rsidRPr="00F42443">
        <w:t xml:space="preserve">TTC to include this information in light of community concern and media coverage of tax issues. Businesses may address these </w:t>
      </w:r>
      <w:r w:rsidR="00B82044">
        <w:t>concerns</w:t>
      </w:r>
      <w:r w:rsidR="00B82044" w:rsidRPr="00F42443">
        <w:t xml:space="preserve"> </w:t>
      </w:r>
      <w:r w:rsidRPr="00F42443">
        <w:t>by carefully explaining the commercial context of these arrangements. </w:t>
      </w:r>
    </w:p>
    <w:p w14:paraId="5E1867AB" w14:textId="05D0407F" w:rsidR="00EE544A" w:rsidRPr="00F42443" w:rsidRDefault="00EE544A" w:rsidP="00EE544A">
      <w:r w:rsidRPr="00F42443">
        <w:t>There is public interest in ensuring that international related party dealings are being conducted in a manner consistent with Australian tax law and international taxation norms (the arm’s length principle). </w:t>
      </w:r>
      <w:r w:rsidR="00E92925">
        <w:t>Transparency ensures the public have visibility over the structuring arrangements and activities of multinational entities.</w:t>
      </w:r>
    </w:p>
    <w:p w14:paraId="694E05DA" w14:textId="77777777" w:rsidR="00EE544A" w:rsidRDefault="00EE544A" w:rsidP="00EE544A">
      <w:r w:rsidRPr="00F42443">
        <w:t xml:space="preserve">The Board acknowledges the risks of businesses publicly disclosing the information noted above, including the risk of reputational damage caused by misunderstanding of this information. </w:t>
      </w:r>
      <w:r w:rsidR="00476D85" w:rsidRPr="00F42443">
        <w:t xml:space="preserve">However, this may also provide an opportunity for businesses to </w:t>
      </w:r>
      <w:r w:rsidR="00476D85">
        <w:t xml:space="preserve">explain </w:t>
      </w:r>
      <w:r w:rsidR="00476D85" w:rsidRPr="00F42443">
        <w:t xml:space="preserve">and mitigate any misunderstanding </w:t>
      </w:r>
      <w:r w:rsidR="00476D85">
        <w:t>as</w:t>
      </w:r>
      <w:r w:rsidR="00476D85" w:rsidRPr="00F42443">
        <w:t xml:space="preserve"> information about </w:t>
      </w:r>
      <w:r w:rsidR="00476D85">
        <w:t xml:space="preserve">business </w:t>
      </w:r>
      <w:r w:rsidR="00476D85" w:rsidRPr="00F42443">
        <w:t xml:space="preserve">activities in specified jurisdictions may now </w:t>
      </w:r>
      <w:r w:rsidR="00476D85">
        <w:t>require disclosure under ot</w:t>
      </w:r>
      <w:r w:rsidR="00476D85" w:rsidRPr="00F42443">
        <w:t xml:space="preserve">her transparency regimes.   </w:t>
      </w:r>
    </w:p>
    <w:p w14:paraId="71436A43" w14:textId="1A806190" w:rsidR="00476D85" w:rsidRDefault="00476D85" w:rsidP="00476D85">
      <w:r w:rsidRPr="00F42443">
        <w:t xml:space="preserve">Large businesses with no material international related party dealings should state this in their </w:t>
      </w:r>
      <w:r w:rsidR="00005920">
        <w:t>V</w:t>
      </w:r>
      <w:r w:rsidRPr="00F42443">
        <w:t>TTC.</w:t>
      </w:r>
      <w:r w:rsidRPr="0057773C">
        <w:t> </w:t>
      </w:r>
    </w:p>
    <w:p w14:paraId="2F625A03" w14:textId="77777777" w:rsidR="00164C29" w:rsidRDefault="00164C29">
      <w:pPr>
        <w:rPr>
          <w:rFonts w:ascii="Georgia" w:hAnsi="Georgia" w:cs="Arial"/>
          <w:color w:val="142147"/>
          <w:kern w:val="32"/>
          <w:sz w:val="56"/>
          <w:szCs w:val="36"/>
          <w14:numForm w14:val="lining"/>
          <w14:numSpacing w14:val="proportional"/>
        </w:rPr>
      </w:pPr>
      <w:bookmarkStart w:id="50" w:name="_Toc195021315"/>
      <w:bookmarkStart w:id="51" w:name="_Toc199855169"/>
      <w:r>
        <w:br w:type="page"/>
      </w:r>
    </w:p>
    <w:p w14:paraId="32746190" w14:textId="006B4C7F" w:rsidR="00BD4078" w:rsidRDefault="00BD4078" w:rsidP="00BD4078">
      <w:pPr>
        <w:pStyle w:val="Heading1"/>
      </w:pPr>
      <w:r>
        <w:t xml:space="preserve">Appendix A – Example template format of </w:t>
      </w:r>
      <w:r w:rsidR="00005920">
        <w:t>V</w:t>
      </w:r>
      <w:r>
        <w:t>TTC report</w:t>
      </w:r>
      <w:bookmarkEnd w:id="50"/>
      <w:bookmarkEnd w:id="51"/>
      <w:r>
        <w:t xml:space="preserve">  </w:t>
      </w:r>
    </w:p>
    <w:tbl>
      <w:tblPr>
        <w:tblStyle w:val="TableGrid"/>
        <w:tblW w:w="0" w:type="auto"/>
        <w:tblLook w:val="04A0" w:firstRow="1" w:lastRow="0" w:firstColumn="1" w:lastColumn="0" w:noHBand="0" w:noVBand="1"/>
      </w:tblPr>
      <w:tblGrid>
        <w:gridCol w:w="9631"/>
      </w:tblGrid>
      <w:tr w:rsidR="00BD4078" w14:paraId="73B8D2B2" w14:textId="77777777">
        <w:tc>
          <w:tcPr>
            <w:tcW w:w="9631" w:type="dxa"/>
            <w:shd w:val="clear" w:color="auto" w:fill="142147" w:themeFill="accent1"/>
          </w:tcPr>
          <w:p w14:paraId="35CFA203" w14:textId="17DF5186" w:rsidR="00BD4078" w:rsidRDefault="00BD4078">
            <w:pPr>
              <w:rPr>
                <w:b/>
                <w:bCs/>
              </w:rPr>
            </w:pPr>
            <w:r>
              <w:rPr>
                <w:b/>
                <w:bCs/>
              </w:rPr>
              <w:t>Note</w:t>
            </w:r>
            <w:r w:rsidR="00D326FD">
              <w:rPr>
                <w:b/>
                <w:bCs/>
              </w:rPr>
              <w:t>s.</w:t>
            </w:r>
          </w:p>
          <w:p w14:paraId="0B3A31D4" w14:textId="2FFB7503" w:rsidR="00E77BBE" w:rsidRDefault="00BD4078" w:rsidP="000F3E94">
            <w:pPr>
              <w:pStyle w:val="Dash"/>
            </w:pPr>
            <w:r>
              <w:t>The examples contained in Appendix A are entirely based on fictitious businesses ‘JAS Ltd’ (</w:t>
            </w:r>
            <w:r w:rsidR="00DE0E4A">
              <w:t xml:space="preserve">Public </w:t>
            </w:r>
            <w:r>
              <w:t>CbC reporter) and ‘</w:t>
            </w:r>
            <w:r w:rsidR="00260542">
              <w:t>PAA</w:t>
            </w:r>
            <w:r>
              <w:t xml:space="preserve"> Ltd’ (Non-</w:t>
            </w:r>
            <w:r w:rsidR="00DE0E4A">
              <w:t xml:space="preserve">public </w:t>
            </w:r>
            <w:r w:rsidR="00085B3E">
              <w:t>Cb</w:t>
            </w:r>
            <w:r>
              <w:t>C reporter)</w:t>
            </w:r>
            <w:r w:rsidR="002976E7">
              <w:t xml:space="preserve">. </w:t>
            </w:r>
          </w:p>
          <w:p w14:paraId="7987189D" w14:textId="7AE006D5" w:rsidR="00BD4078" w:rsidRDefault="002976E7" w:rsidP="000F3E94">
            <w:pPr>
              <w:pStyle w:val="Dash"/>
            </w:pPr>
            <w:r>
              <w:t>A</w:t>
            </w:r>
            <w:r w:rsidR="00BD4078">
              <w:t xml:space="preserve">ll data and information has been constructed for guidance purposes only. </w:t>
            </w:r>
            <w:r w:rsidR="00EE5DD8">
              <w:t xml:space="preserve">Any similarities </w:t>
            </w:r>
            <w:r w:rsidR="00883528">
              <w:t xml:space="preserve">drawn </w:t>
            </w:r>
            <w:r>
              <w:t xml:space="preserve">between </w:t>
            </w:r>
            <w:r w:rsidR="00883528">
              <w:t xml:space="preserve">the </w:t>
            </w:r>
            <w:r>
              <w:t xml:space="preserve">data contained in Appendix A and </w:t>
            </w:r>
            <w:r w:rsidR="00AD0EEC">
              <w:t>an</w:t>
            </w:r>
            <w:r w:rsidR="006801F2">
              <w:t>y</w:t>
            </w:r>
            <w:r w:rsidR="00EE5DD8">
              <w:t xml:space="preserve"> Australian listed companies </w:t>
            </w:r>
            <w:r w:rsidR="00F0256E">
              <w:t>is</w:t>
            </w:r>
            <w:r w:rsidR="00EE5DD8">
              <w:t xml:space="preserve"> entirely coincidental</w:t>
            </w:r>
            <w:r w:rsidR="00F26C1F">
              <w:t>.</w:t>
            </w:r>
          </w:p>
          <w:p w14:paraId="4EC842D5" w14:textId="5978C50E" w:rsidR="00BD4078" w:rsidRDefault="00BD4078" w:rsidP="000F3E94">
            <w:pPr>
              <w:pStyle w:val="Dash"/>
            </w:pPr>
            <w:r>
              <w:t xml:space="preserve">The inclusion and presentation of information in </w:t>
            </w:r>
            <w:r w:rsidR="00005920">
              <w:t>V</w:t>
            </w:r>
            <w:r>
              <w:t>TTC reports will depend on the particular facts and circumstances of each business and business-specific materiality.</w:t>
            </w:r>
            <w:r>
              <w:rPr>
                <w:rStyle w:val="FootnoteReference"/>
              </w:rPr>
              <w:footnoteReference w:id="15"/>
            </w:r>
            <w:r>
              <w:t xml:space="preserve"> These examples do not prescribe a mandatory format of presentation but rather have been provided for guidance purposes only. </w:t>
            </w:r>
          </w:p>
        </w:tc>
      </w:tr>
    </w:tbl>
    <w:p w14:paraId="30979B82" w14:textId="77777777" w:rsidR="00164C29" w:rsidRDefault="00164C29" w:rsidP="4D10D2DC">
      <w:pPr>
        <w:pStyle w:val="Heading1"/>
        <w:spacing w:after="240"/>
        <w:rPr>
          <w:sz w:val="40"/>
          <w:szCs w:val="40"/>
        </w:rPr>
      </w:pPr>
      <w:bookmarkStart w:id="52" w:name="_Public_CbC_Reporter:"/>
      <w:bookmarkStart w:id="53" w:name="_Toc195021316"/>
      <w:bookmarkStart w:id="54" w:name="_Toc199855170"/>
      <w:bookmarkEnd w:id="52"/>
    </w:p>
    <w:p w14:paraId="7B0C5B8B" w14:textId="77777777" w:rsidR="00164C29" w:rsidRDefault="00164C29">
      <w:pPr>
        <w:rPr>
          <w:rFonts w:ascii="Georgia" w:hAnsi="Georgia" w:cs="Arial"/>
          <w:color w:val="142147"/>
          <w:kern w:val="32"/>
          <w:sz w:val="40"/>
          <w:szCs w:val="40"/>
          <w14:numForm w14:val="lining"/>
          <w14:numSpacing w14:val="proportional"/>
        </w:rPr>
      </w:pPr>
      <w:r>
        <w:rPr>
          <w:sz w:val="40"/>
          <w:szCs w:val="40"/>
        </w:rPr>
        <w:br w:type="page"/>
      </w:r>
    </w:p>
    <w:p w14:paraId="0736ACE5" w14:textId="43359E72" w:rsidR="00BD4078" w:rsidRDefault="005F3057" w:rsidP="4D10D2DC">
      <w:pPr>
        <w:pStyle w:val="Heading1"/>
        <w:spacing w:after="240"/>
        <w:rPr>
          <w:sz w:val="40"/>
          <w:szCs w:val="40"/>
        </w:rPr>
      </w:pPr>
      <w:r>
        <w:rPr>
          <w:sz w:val="40"/>
          <w:szCs w:val="40"/>
        </w:rPr>
        <w:t xml:space="preserve">Public </w:t>
      </w:r>
      <w:r w:rsidR="00BD4078" w:rsidRPr="00C115C0">
        <w:rPr>
          <w:sz w:val="40"/>
          <w:szCs w:val="40"/>
        </w:rPr>
        <w:t xml:space="preserve">CbC Reporter: </w:t>
      </w:r>
      <w:r w:rsidR="00BD4078">
        <w:rPr>
          <w:sz w:val="40"/>
          <w:szCs w:val="40"/>
        </w:rPr>
        <w:t xml:space="preserve">Example </w:t>
      </w:r>
      <w:r w:rsidR="00005920">
        <w:rPr>
          <w:sz w:val="40"/>
          <w:szCs w:val="40"/>
        </w:rPr>
        <w:t>V</w:t>
      </w:r>
      <w:r w:rsidR="00BD4078" w:rsidRPr="00C115C0">
        <w:rPr>
          <w:sz w:val="40"/>
          <w:szCs w:val="40"/>
        </w:rPr>
        <w:t>TTC Report</w:t>
      </w:r>
      <w:bookmarkEnd w:id="53"/>
      <w:bookmarkEnd w:id="54"/>
      <w:r w:rsidR="00BD4078" w:rsidRPr="00C115C0">
        <w:rPr>
          <w:sz w:val="40"/>
          <w:szCs w:val="40"/>
        </w:rPr>
        <w:t xml:space="preserve"> </w:t>
      </w:r>
    </w:p>
    <w:p w14:paraId="57938FBA" w14:textId="77777777" w:rsidR="00BD4078" w:rsidRDefault="00BD4078" w:rsidP="00BD4078">
      <w:pPr>
        <w:spacing w:before="0"/>
        <w:jc w:val="center"/>
        <w:rPr>
          <w:rFonts w:asciiTheme="majorHAnsi" w:hAnsiTheme="majorHAnsi"/>
          <w:b/>
          <w:bCs/>
          <w:color w:val="701F4D" w:themeColor="accent2"/>
          <w:sz w:val="40"/>
          <w:szCs w:val="40"/>
        </w:rPr>
      </w:pPr>
      <w:r>
        <w:rPr>
          <w:rFonts w:asciiTheme="majorHAnsi" w:hAnsiTheme="majorHAnsi"/>
          <w:b/>
          <w:bCs/>
          <w:color w:val="701F4D" w:themeColor="accent2"/>
          <w:sz w:val="40"/>
          <w:szCs w:val="40"/>
        </w:rPr>
        <w:t>Tax Transparency Report for JAS Ltd</w:t>
      </w:r>
    </w:p>
    <w:p w14:paraId="52FDB7CC" w14:textId="5A331CC3" w:rsidR="00BD4078" w:rsidRDefault="00BD4078" w:rsidP="00BD4078">
      <w:pPr>
        <w:jc w:val="center"/>
        <w:rPr>
          <w:rFonts w:asciiTheme="majorHAnsi" w:hAnsiTheme="majorHAnsi"/>
          <w:b/>
          <w:bCs/>
          <w:color w:val="701F4D" w:themeColor="accent2"/>
          <w:sz w:val="32"/>
          <w:szCs w:val="32"/>
        </w:rPr>
      </w:pPr>
      <w:r w:rsidRPr="00E30BBF">
        <w:rPr>
          <w:rFonts w:asciiTheme="majorHAnsi" w:hAnsiTheme="majorHAnsi"/>
          <w:b/>
          <w:bCs/>
          <w:color w:val="701F4D" w:themeColor="accent2"/>
          <w:sz w:val="32"/>
          <w:szCs w:val="32"/>
        </w:rPr>
        <w:t xml:space="preserve">For the year ended </w:t>
      </w:r>
      <w:r w:rsidR="00C06EF3">
        <w:rPr>
          <w:rFonts w:asciiTheme="majorHAnsi" w:hAnsiTheme="majorHAnsi"/>
          <w:b/>
          <w:bCs/>
          <w:color w:val="701F4D" w:themeColor="accent2"/>
          <w:sz w:val="32"/>
          <w:szCs w:val="32"/>
        </w:rPr>
        <w:t>31 December 2024</w:t>
      </w:r>
    </w:p>
    <w:p w14:paraId="2BA3B349" w14:textId="5799EFA4" w:rsidR="00805DFB" w:rsidRPr="00805DFB" w:rsidRDefault="00805DFB" w:rsidP="00BD4078">
      <w:pPr>
        <w:jc w:val="center"/>
        <w:rPr>
          <w:rFonts w:asciiTheme="majorHAnsi" w:hAnsiTheme="majorHAnsi"/>
          <w:b/>
          <w:bCs/>
          <w:color w:val="701F4D" w:themeColor="accent2"/>
        </w:rPr>
      </w:pPr>
      <w:r w:rsidRPr="00805DFB">
        <w:rPr>
          <w:rFonts w:asciiTheme="majorHAnsi" w:hAnsiTheme="majorHAnsi"/>
          <w:b/>
          <w:bCs/>
          <w:color w:val="701F4D" w:themeColor="accent2"/>
        </w:rPr>
        <w:t xml:space="preserve">Published: </w:t>
      </w:r>
      <w:r w:rsidR="00C06EF3">
        <w:rPr>
          <w:rFonts w:asciiTheme="majorHAnsi" w:hAnsiTheme="majorHAnsi"/>
          <w:b/>
          <w:bCs/>
          <w:color w:val="701F4D" w:themeColor="accent2"/>
        </w:rPr>
        <w:t>31 December 2025</w:t>
      </w:r>
    </w:p>
    <w:p w14:paraId="6A80F628" w14:textId="5DC4F12B" w:rsidR="00BD4078" w:rsidRPr="00E30BBF" w:rsidRDefault="00BD4078" w:rsidP="00BD4078">
      <w:pPr>
        <w:jc w:val="center"/>
        <w:rPr>
          <w:rFonts w:asciiTheme="majorHAnsi" w:hAnsiTheme="majorHAnsi"/>
          <w:b/>
          <w:bCs/>
          <w:color w:val="701F4D" w:themeColor="accent2"/>
          <w:sz w:val="40"/>
          <w:szCs w:val="40"/>
        </w:rPr>
      </w:pPr>
      <w:r w:rsidRPr="00351319">
        <w:rPr>
          <w:rFonts w:asciiTheme="majorHAnsi" w:hAnsiTheme="majorHAnsi"/>
          <w:b/>
          <w:bCs/>
          <w:noProof/>
          <w:color w:val="701F4D" w:themeColor="accent2"/>
          <w:sz w:val="40"/>
          <w:szCs w:val="40"/>
        </w:rPr>
        <w:drawing>
          <wp:inline distT="0" distB="0" distL="0" distR="0" wp14:anchorId="3D4FACCD" wp14:editId="3AD9B309">
            <wp:extent cx="1910715" cy="1285875"/>
            <wp:effectExtent l="0" t="0" r="0" b="9525"/>
            <wp:docPr id="604172154" name="Picture 1" descr="JAS Ltd Logo - Where Health Come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72154" name="Picture 1" descr="JAS Ltd Logo - Where Health Comes First"/>
                    <pic:cNvPicPr/>
                  </pic:nvPicPr>
                  <pic:blipFill rotWithShape="1">
                    <a:blip r:embed="rId30"/>
                    <a:srcRect t="9378" b="6225"/>
                    <a:stretch/>
                  </pic:blipFill>
                  <pic:spPr bwMode="auto">
                    <a:xfrm>
                      <a:off x="0" y="0"/>
                      <a:ext cx="1917446" cy="1290405"/>
                    </a:xfrm>
                    <a:prstGeom prst="rect">
                      <a:avLst/>
                    </a:prstGeom>
                    <a:ln>
                      <a:noFill/>
                    </a:ln>
                    <a:extLst>
                      <a:ext uri="{53640926-AAD7-44D8-BBD7-CCE9431645EC}">
                        <a14:shadowObscured xmlns:a14="http://schemas.microsoft.com/office/drawing/2010/main"/>
                      </a:ext>
                    </a:extLst>
                  </pic:spPr>
                </pic:pic>
              </a:graphicData>
            </a:graphic>
          </wp:inline>
        </w:drawing>
      </w:r>
    </w:p>
    <w:p w14:paraId="70704FB2" w14:textId="77777777" w:rsidR="00BD4078" w:rsidRPr="00473EA2" w:rsidRDefault="00BD4078" w:rsidP="00BD4078">
      <w:pPr>
        <w:pStyle w:val="Heading2"/>
        <w:rPr>
          <w:color w:val="701F4D" w:themeColor="accent2"/>
        </w:rPr>
      </w:pPr>
      <w:bookmarkStart w:id="55" w:name="_Toc195021317"/>
      <w:bookmarkStart w:id="56" w:name="_Toc199855171"/>
      <w:r w:rsidRPr="00473EA2">
        <w:rPr>
          <w:color w:val="701F4D" w:themeColor="accent2"/>
        </w:rPr>
        <w:t>Overview</w:t>
      </w:r>
      <w:bookmarkEnd w:id="55"/>
      <w:bookmarkEnd w:id="56"/>
    </w:p>
    <w:p w14:paraId="1FAE4079" w14:textId="77FBC36A" w:rsidR="00BD4078" w:rsidRDefault="00BD4078" w:rsidP="00BD4078">
      <w:pPr>
        <w:spacing w:before="0" w:after="0"/>
        <w:rPr>
          <w:color w:val="142147" w:themeColor="accent1"/>
        </w:rPr>
      </w:pPr>
      <w:r>
        <w:rPr>
          <w:color w:val="142147" w:themeColor="accent1"/>
        </w:rPr>
        <w:t>JAS Ltd</w:t>
      </w:r>
      <w:r w:rsidRPr="00636AAE">
        <w:rPr>
          <w:color w:val="142147" w:themeColor="accent1"/>
        </w:rPr>
        <w:t xml:space="preserve"> reports under Australia’s public country-by-country reporting requirements, </w:t>
      </w:r>
      <w:r w:rsidR="00633E94">
        <w:rPr>
          <w:color w:val="142147" w:themeColor="accent1"/>
        </w:rPr>
        <w:t>the 2025 report</w:t>
      </w:r>
      <w:r w:rsidR="00633E94" w:rsidRPr="00636AAE">
        <w:rPr>
          <w:color w:val="142147" w:themeColor="accent1"/>
        </w:rPr>
        <w:t xml:space="preserve"> </w:t>
      </w:r>
      <w:r w:rsidRPr="00636AAE">
        <w:rPr>
          <w:color w:val="142147" w:themeColor="accent1"/>
        </w:rPr>
        <w:t>can be found here [</w:t>
      </w:r>
      <w:r w:rsidRPr="00636AAE">
        <w:rPr>
          <w:b/>
          <w:bCs/>
          <w:color w:val="142147" w:themeColor="accent1"/>
        </w:rPr>
        <w:t>insert link</w:t>
      </w:r>
      <w:r w:rsidRPr="00636AAE">
        <w:rPr>
          <w:color w:val="142147" w:themeColor="accent1"/>
        </w:rPr>
        <w:t>]</w:t>
      </w:r>
      <w:r>
        <w:rPr>
          <w:color w:val="142147" w:themeColor="accent1"/>
        </w:rPr>
        <w:t>.</w:t>
      </w:r>
    </w:p>
    <w:p w14:paraId="7AEC2F81" w14:textId="12120186" w:rsidR="00BD4078" w:rsidRDefault="00BD4078" w:rsidP="00BD4078">
      <w:pPr>
        <w:spacing w:after="0"/>
        <w:rPr>
          <w:color w:val="142147" w:themeColor="accent1"/>
        </w:rPr>
      </w:pPr>
      <w:r w:rsidRPr="0053280D">
        <w:rPr>
          <w:color w:val="142147" w:themeColor="accent1"/>
        </w:rPr>
        <w:t xml:space="preserve">This </w:t>
      </w:r>
      <w:r w:rsidR="00005920">
        <w:rPr>
          <w:color w:val="142147" w:themeColor="accent1"/>
        </w:rPr>
        <w:t>V</w:t>
      </w:r>
      <w:r w:rsidRPr="0053280D">
        <w:rPr>
          <w:color w:val="142147" w:themeColor="accent1"/>
        </w:rPr>
        <w:t xml:space="preserve">TTC report has been approved by the </w:t>
      </w:r>
      <w:r>
        <w:rPr>
          <w:color w:val="142147" w:themeColor="accent1"/>
        </w:rPr>
        <w:t xml:space="preserve">JAS Ltd </w:t>
      </w:r>
      <w:r w:rsidRPr="0053280D">
        <w:rPr>
          <w:color w:val="142147" w:themeColor="accent1"/>
        </w:rPr>
        <w:t>Audit and Risk Committee on behalf of the Board</w:t>
      </w:r>
      <w:r>
        <w:rPr>
          <w:color w:val="142147" w:themeColor="accent1"/>
        </w:rPr>
        <w:t>.</w:t>
      </w:r>
      <w:r>
        <w:rPr>
          <w:rStyle w:val="FootnoteReference"/>
          <w:color w:val="142147" w:themeColor="accent1"/>
        </w:rPr>
        <w:footnoteReference w:id="16"/>
      </w:r>
      <w:r w:rsidRPr="0053280D">
        <w:rPr>
          <w:color w:val="142147" w:themeColor="accent1"/>
        </w:rPr>
        <w:t xml:space="preserve"> In preparing this report, JAS Ltd have followed the recommendations in the Board of Taxation’s Tax Transparency Code. </w:t>
      </w:r>
    </w:p>
    <w:p w14:paraId="51E767FD" w14:textId="77777777" w:rsidR="00BD4078" w:rsidRPr="005F6197" w:rsidRDefault="00BD4078" w:rsidP="00BD4078">
      <w:pPr>
        <w:pStyle w:val="Heading2"/>
        <w:spacing w:before="360" w:after="0"/>
      </w:pPr>
      <w:bookmarkStart w:id="57" w:name="_Toc195021318"/>
      <w:bookmarkStart w:id="58" w:name="_Toc199855172"/>
      <w:r w:rsidRPr="005F6197">
        <w:t>Tax Data</w:t>
      </w:r>
      <w:bookmarkEnd w:id="57"/>
      <w:bookmarkEnd w:id="58"/>
      <w:r w:rsidRPr="005F6197">
        <w:t xml:space="preserve"> </w:t>
      </w:r>
    </w:p>
    <w:p w14:paraId="358D4621" w14:textId="77777777" w:rsidR="00BD4078" w:rsidRDefault="00BD4078" w:rsidP="00BD4078">
      <w:pPr>
        <w:pStyle w:val="Heading3"/>
      </w:pPr>
      <w:r>
        <w:t xml:space="preserve">Total Tax Contribution </w:t>
      </w:r>
    </w:p>
    <w:tbl>
      <w:tblPr>
        <w:tblStyle w:val="TableGrid"/>
        <w:tblW w:w="0" w:type="auto"/>
        <w:tblLook w:val="04A0" w:firstRow="1" w:lastRow="0" w:firstColumn="1" w:lastColumn="0" w:noHBand="0" w:noVBand="1"/>
      </w:tblPr>
      <w:tblGrid>
        <w:gridCol w:w="9631"/>
      </w:tblGrid>
      <w:tr w:rsidR="00BD4078" w14:paraId="24430F83" w14:textId="77777777">
        <w:tc>
          <w:tcPr>
            <w:tcW w:w="9631" w:type="dxa"/>
            <w:tcBorders>
              <w:top w:val="nil"/>
              <w:left w:val="nil"/>
              <w:bottom w:val="nil"/>
              <w:right w:val="nil"/>
            </w:tcBorders>
            <w:shd w:val="clear" w:color="auto" w:fill="701F4D" w:themeFill="accent2"/>
          </w:tcPr>
          <w:p w14:paraId="07C82513" w14:textId="77777777" w:rsidR="00BD4078" w:rsidRPr="00386052" w:rsidRDefault="00BD4078">
            <w:pPr>
              <w:jc w:val="center"/>
              <w:rPr>
                <w:rFonts w:asciiTheme="majorHAnsi" w:hAnsiTheme="majorHAnsi"/>
                <w:b/>
                <w:bCs/>
                <w:color w:val="FFFFFF" w:themeColor="background1"/>
                <w:sz w:val="28"/>
                <w:szCs w:val="28"/>
              </w:rPr>
            </w:pPr>
            <w:r w:rsidRPr="00386052">
              <w:rPr>
                <w:rFonts w:asciiTheme="majorHAnsi" w:hAnsiTheme="majorHAnsi"/>
                <w:b/>
                <w:bCs/>
                <w:color w:val="FFFFFF" w:themeColor="background1"/>
                <w:sz w:val="28"/>
                <w:szCs w:val="28"/>
              </w:rPr>
              <w:t>$130.7</w:t>
            </w:r>
            <w:r>
              <w:rPr>
                <w:rFonts w:asciiTheme="majorHAnsi" w:hAnsiTheme="majorHAnsi"/>
                <w:b/>
                <w:bCs/>
                <w:color w:val="FFFFFF" w:themeColor="background1"/>
                <w:sz w:val="28"/>
                <w:szCs w:val="28"/>
              </w:rPr>
              <w:t>m</w:t>
            </w:r>
            <w:r w:rsidRPr="00386052">
              <w:rPr>
                <w:rFonts w:asciiTheme="majorHAnsi" w:hAnsiTheme="majorHAnsi"/>
                <w:b/>
                <w:bCs/>
                <w:color w:val="FFFFFF" w:themeColor="background1"/>
                <w:sz w:val="28"/>
                <w:szCs w:val="28"/>
              </w:rPr>
              <w:t xml:space="preserve"> </w:t>
            </w:r>
            <w:r>
              <w:rPr>
                <w:rFonts w:asciiTheme="majorHAnsi" w:hAnsiTheme="majorHAnsi"/>
                <w:b/>
                <w:bCs/>
                <w:color w:val="FFFFFF" w:themeColor="background1"/>
                <w:sz w:val="28"/>
                <w:szCs w:val="28"/>
              </w:rPr>
              <w:t>paid in Australian income tax</w:t>
            </w:r>
          </w:p>
        </w:tc>
      </w:tr>
    </w:tbl>
    <w:p w14:paraId="3BB6E49D" w14:textId="5586A276" w:rsidR="00BD4078" w:rsidRDefault="004D48A4" w:rsidP="00BD4078">
      <w:pPr>
        <w:rPr>
          <w:color w:val="142147" w:themeColor="accent1"/>
        </w:rPr>
      </w:pPr>
      <w:r>
        <w:rPr>
          <w:noProof/>
          <w:color w:val="142147" w:themeColor="accent1"/>
        </w:rPr>
        <mc:AlternateContent>
          <mc:Choice Requires="wps">
            <w:drawing>
              <wp:anchor distT="0" distB="0" distL="114300" distR="114300" simplePos="0" relativeHeight="251594752" behindDoc="0" locked="0" layoutInCell="1" allowOverlap="1" wp14:anchorId="3A652D45" wp14:editId="51A34473">
                <wp:simplePos x="0" y="0"/>
                <wp:positionH relativeFrom="margin">
                  <wp:posOffset>4476750</wp:posOffset>
                </wp:positionH>
                <wp:positionV relativeFrom="paragraph">
                  <wp:posOffset>230505</wp:posOffset>
                </wp:positionV>
                <wp:extent cx="1371600" cy="771525"/>
                <wp:effectExtent l="0" t="0" r="0" b="0"/>
                <wp:wrapNone/>
                <wp:docPr id="1983841041" name="Text Box 6"/>
                <wp:cNvGraphicFramePr/>
                <a:graphic xmlns:a="http://schemas.openxmlformats.org/drawingml/2006/main">
                  <a:graphicData uri="http://schemas.microsoft.com/office/word/2010/wordprocessingShape">
                    <wps:wsp>
                      <wps:cNvSpPr txBox="1"/>
                      <wps:spPr>
                        <a:xfrm>
                          <a:off x="0" y="0"/>
                          <a:ext cx="1371600" cy="771525"/>
                        </a:xfrm>
                        <a:prstGeom prst="rect">
                          <a:avLst/>
                        </a:prstGeom>
                        <a:noFill/>
                        <a:ln w="6350">
                          <a:noFill/>
                        </a:ln>
                      </wps:spPr>
                      <wps:txbx>
                        <w:txbxContent>
                          <w:p w14:paraId="30CE3245" w14:textId="77777777" w:rsidR="00BD4078" w:rsidRPr="0073001A" w:rsidRDefault="00BD4078" w:rsidP="00BD4078">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130.7m</w:t>
                            </w:r>
                            <w:r w:rsidRPr="0073001A">
                              <w:rPr>
                                <w:b/>
                                <w:bCs/>
                                <w:color w:val="701F4D" w:themeColor="accent2"/>
                                <w:sz w:val="32"/>
                                <w:szCs w:val="32"/>
                              </w:rPr>
                              <w:t xml:space="preserve"> </w:t>
                            </w:r>
                          </w:p>
                          <w:p w14:paraId="716B5356" w14:textId="2E2FC478" w:rsidR="00BD4078" w:rsidRPr="001C594E" w:rsidRDefault="00BD4078" w:rsidP="00BD4078">
                            <w:pPr>
                              <w:spacing w:before="0"/>
                              <w:rPr>
                                <w:color w:val="142147" w:themeColor="accent1"/>
                                <w:sz w:val="18"/>
                                <w:szCs w:val="18"/>
                              </w:rPr>
                            </w:pPr>
                            <w:r w:rsidRPr="001C594E">
                              <w:rPr>
                                <w:color w:val="142147" w:themeColor="accent1"/>
                                <w:sz w:val="18"/>
                                <w:szCs w:val="18"/>
                              </w:rPr>
                              <w:t xml:space="preserve">Total </w:t>
                            </w:r>
                            <w:r w:rsidR="004D48A4">
                              <w:rPr>
                                <w:color w:val="142147" w:themeColor="accent1"/>
                                <w:sz w:val="18"/>
                                <w:szCs w:val="18"/>
                              </w:rPr>
                              <w:t>corporate income tax contribution</w:t>
                            </w:r>
                            <w:r w:rsidRPr="001C594E">
                              <w:rPr>
                                <w:color w:val="142147" w:themeColor="accen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2D45" id="_x0000_t202" coordsize="21600,21600" o:spt="202" path="m,l,21600r21600,l21600,xe">
                <v:stroke joinstyle="miter"/>
                <v:path gradientshapeok="t" o:connecttype="rect"/>
              </v:shapetype>
              <v:shape id="Text Box 6" o:spid="_x0000_s1026" type="#_x0000_t202" style="position:absolute;margin-left:352.5pt;margin-top:18.15pt;width:108pt;height:60.7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DqFg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" filled="f" stroked="f" strokeweight=".5pt">
                <v:textbox>
                  <w:txbxContent>
                    <w:p w14:paraId="30CE3245" w14:textId="77777777" w:rsidR="00BD4078" w:rsidRPr="0073001A" w:rsidRDefault="00BD4078" w:rsidP="00BD4078">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130.7m</w:t>
                      </w:r>
                      <w:r w:rsidRPr="0073001A">
                        <w:rPr>
                          <w:b/>
                          <w:bCs/>
                          <w:color w:val="701F4D" w:themeColor="accent2"/>
                          <w:sz w:val="32"/>
                          <w:szCs w:val="32"/>
                        </w:rPr>
                        <w:t xml:space="preserve"> </w:t>
                      </w:r>
                    </w:p>
                    <w:p w14:paraId="716B5356" w14:textId="2E2FC478" w:rsidR="00BD4078" w:rsidRPr="001C594E" w:rsidRDefault="00BD4078" w:rsidP="00BD4078">
                      <w:pPr>
                        <w:spacing w:before="0"/>
                        <w:rPr>
                          <w:color w:val="142147" w:themeColor="accent1"/>
                          <w:sz w:val="18"/>
                          <w:szCs w:val="18"/>
                        </w:rPr>
                      </w:pPr>
                      <w:r w:rsidRPr="001C594E">
                        <w:rPr>
                          <w:color w:val="142147" w:themeColor="accent1"/>
                          <w:sz w:val="18"/>
                          <w:szCs w:val="18"/>
                        </w:rPr>
                        <w:t xml:space="preserve">Total </w:t>
                      </w:r>
                      <w:r w:rsidR="004D48A4">
                        <w:rPr>
                          <w:color w:val="142147" w:themeColor="accent1"/>
                          <w:sz w:val="18"/>
                          <w:szCs w:val="18"/>
                        </w:rPr>
                        <w:t>corporate income tax contribution</w:t>
                      </w:r>
                      <w:r w:rsidRPr="001C594E">
                        <w:rPr>
                          <w:color w:val="142147" w:themeColor="accent1"/>
                          <w:sz w:val="18"/>
                          <w:szCs w:val="18"/>
                        </w:rPr>
                        <w:t xml:space="preserve"> </w:t>
                      </w:r>
                    </w:p>
                  </w:txbxContent>
                </v:textbox>
                <w10:wrap anchorx="margin"/>
              </v:shape>
            </w:pict>
          </mc:Fallback>
        </mc:AlternateContent>
      </w:r>
      <w:r>
        <w:rPr>
          <w:noProof/>
        </w:rPr>
        <w:drawing>
          <wp:anchor distT="0" distB="0" distL="114300" distR="114300" simplePos="0" relativeHeight="251719680" behindDoc="1" locked="0" layoutInCell="1" allowOverlap="1" wp14:anchorId="02D855C9" wp14:editId="192437EF">
            <wp:simplePos x="0" y="0"/>
            <wp:positionH relativeFrom="column">
              <wp:posOffset>4283710</wp:posOffset>
            </wp:positionH>
            <wp:positionV relativeFrom="paragraph">
              <wp:posOffset>40005</wp:posOffset>
            </wp:positionV>
            <wp:extent cx="1492250" cy="1368425"/>
            <wp:effectExtent l="0" t="0" r="0" b="3175"/>
            <wp:wrapSquare wrapText="bothSides"/>
            <wp:docPr id="2067999478" name="Picture 5" descr="Australian map visual showing JAS Ltd pays $130.7 million in total corporate income tax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99478" name="Picture 5" descr="Australian map visual showing JAS Ltd pays $130.7 million in total corporate income taxes in Austral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225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078" w:rsidRPr="00550E13">
        <w:rPr>
          <w:color w:val="142147" w:themeColor="accent1"/>
        </w:rPr>
        <w:t>In the</w:t>
      </w:r>
      <w:r w:rsidR="00BD4078">
        <w:rPr>
          <w:color w:val="142147" w:themeColor="accent1"/>
        </w:rPr>
        <w:t xml:space="preserve"> </w:t>
      </w:r>
      <w:r w:rsidR="00196B2A">
        <w:rPr>
          <w:color w:val="142147" w:themeColor="accent1"/>
        </w:rPr>
        <w:t>2025</w:t>
      </w:r>
      <w:r w:rsidR="00267948">
        <w:rPr>
          <w:color w:val="142147" w:themeColor="accent1"/>
        </w:rPr>
        <w:t xml:space="preserve"> reporting</w:t>
      </w:r>
      <w:r w:rsidR="00BD4078" w:rsidRPr="00550E13">
        <w:rPr>
          <w:color w:val="142147" w:themeColor="accent1"/>
        </w:rPr>
        <w:t xml:space="preserve"> year, </w:t>
      </w:r>
      <w:r w:rsidR="00BD4078">
        <w:rPr>
          <w:color w:val="142147" w:themeColor="accent1"/>
        </w:rPr>
        <w:t>JAS Ltd</w:t>
      </w:r>
      <w:r w:rsidR="00BD4078" w:rsidRPr="00636AAE">
        <w:rPr>
          <w:color w:val="142147" w:themeColor="accent1"/>
        </w:rPr>
        <w:t xml:space="preserve"> </w:t>
      </w:r>
      <w:r w:rsidR="00BD4078" w:rsidRPr="00550E13">
        <w:rPr>
          <w:color w:val="142147" w:themeColor="accent1"/>
        </w:rPr>
        <w:t xml:space="preserve">paid </w:t>
      </w:r>
      <w:r w:rsidR="00BD4078" w:rsidRPr="002A1CAA">
        <w:rPr>
          <w:b/>
          <w:bCs/>
          <w:color w:val="142147" w:themeColor="accent1"/>
        </w:rPr>
        <w:t>$130.7 million</w:t>
      </w:r>
      <w:r w:rsidR="00BD4078" w:rsidRPr="00550E13">
        <w:rPr>
          <w:color w:val="142147" w:themeColor="accent1"/>
        </w:rPr>
        <w:t xml:space="preserve"> in corporate income tax</w:t>
      </w:r>
      <w:r w:rsidR="00BD4078">
        <w:rPr>
          <w:color w:val="142147" w:themeColor="accent1"/>
        </w:rPr>
        <w:t>es</w:t>
      </w:r>
      <w:r w:rsidR="00BD4078" w:rsidRPr="00550E13">
        <w:rPr>
          <w:color w:val="142147" w:themeColor="accent1"/>
        </w:rPr>
        <w:t xml:space="preserve"> in Australia. Corporate income tax is paid on taxable profits, not on revenue. </w:t>
      </w:r>
    </w:p>
    <w:p w14:paraId="726D3492" w14:textId="77777777" w:rsidR="00BD4078" w:rsidRDefault="00BD4078" w:rsidP="00BD4078">
      <w:pPr>
        <w:rPr>
          <w:color w:val="142147" w:themeColor="accent1"/>
        </w:rPr>
      </w:pPr>
      <w:r>
        <w:rPr>
          <w:color w:val="142147" w:themeColor="accent1"/>
        </w:rPr>
        <w:t xml:space="preserve"> </w:t>
      </w:r>
    </w:p>
    <w:p w14:paraId="6286C790" w14:textId="77777777" w:rsidR="00BD4078" w:rsidRDefault="00BD4078" w:rsidP="00BD4078"/>
    <w:p w14:paraId="423ED60D" w14:textId="77777777" w:rsidR="003E668F" w:rsidRDefault="003E668F" w:rsidP="004E7644">
      <w:pPr>
        <w:pStyle w:val="Heading4"/>
      </w:pPr>
      <w:r w:rsidRPr="00CD1A1B">
        <w:t xml:space="preserve">Optional elements </w:t>
      </w:r>
    </w:p>
    <w:p w14:paraId="7FA677AD" w14:textId="77777777" w:rsidR="003E668F" w:rsidRPr="00EA48BD" w:rsidRDefault="003E668F" w:rsidP="00EA48BD">
      <w:pPr>
        <w:pStyle w:val="Bullet"/>
        <w:tabs>
          <w:tab w:val="clear" w:pos="520"/>
          <w:tab w:val="num" w:pos="567"/>
        </w:tabs>
        <w:rPr>
          <w:b/>
          <w:bCs/>
          <w:color w:val="142147" w:themeColor="accent1"/>
        </w:rPr>
      </w:pPr>
      <w:r w:rsidRPr="00EA48BD">
        <w:rPr>
          <w:b/>
          <w:bCs/>
          <w:color w:val="142147" w:themeColor="accent1"/>
        </w:rPr>
        <w:t>[Report on global group total income tax contribution]</w:t>
      </w:r>
    </w:p>
    <w:p w14:paraId="304A2893" w14:textId="77777777" w:rsidR="003E668F" w:rsidRDefault="003E668F" w:rsidP="003E668F">
      <w:pPr>
        <w:rPr>
          <w:color w:val="142147" w:themeColor="accent1"/>
        </w:rPr>
      </w:pPr>
      <w:r w:rsidRPr="00CD1A1B">
        <w:rPr>
          <w:rFonts w:asciiTheme="minorHAnsi" w:hAnsiTheme="minorHAnsi" w:cstheme="minorHAnsi"/>
          <w:color w:val="142147" w:themeColor="accent1"/>
        </w:rPr>
        <w:t xml:space="preserve">In the </w:t>
      </w:r>
      <w:r>
        <w:rPr>
          <w:rFonts w:asciiTheme="minorHAnsi" w:hAnsiTheme="minorHAnsi" w:cstheme="minorHAnsi"/>
          <w:color w:val="142147" w:themeColor="accent1"/>
        </w:rPr>
        <w:t>2025 reporting</w:t>
      </w:r>
      <w:r w:rsidRPr="00CD1A1B">
        <w:rPr>
          <w:rFonts w:asciiTheme="minorHAnsi" w:hAnsiTheme="minorHAnsi" w:cstheme="minorHAnsi"/>
          <w:color w:val="142147" w:themeColor="accent1"/>
        </w:rPr>
        <w:t xml:space="preserve"> year, </w:t>
      </w:r>
      <w:r>
        <w:rPr>
          <w:rFonts w:asciiTheme="minorHAnsi" w:hAnsiTheme="minorHAnsi" w:cstheme="minorHAnsi"/>
          <w:color w:val="142147" w:themeColor="accent1"/>
        </w:rPr>
        <w:t xml:space="preserve">JAS Ltd’s </w:t>
      </w:r>
      <w:r w:rsidRPr="00CD1A1B">
        <w:rPr>
          <w:color w:val="142147" w:themeColor="accent1"/>
        </w:rPr>
        <w:t xml:space="preserve">total global tax </w:t>
      </w:r>
      <w:r>
        <w:rPr>
          <w:color w:val="142147" w:themeColor="accent1"/>
        </w:rPr>
        <w:t>contribution</w:t>
      </w:r>
      <w:r w:rsidRPr="00CD1A1B">
        <w:rPr>
          <w:color w:val="142147" w:themeColor="accent1"/>
        </w:rPr>
        <w:t xml:space="preserve"> w</w:t>
      </w:r>
      <w:r>
        <w:rPr>
          <w:color w:val="142147" w:themeColor="accent1"/>
        </w:rPr>
        <w:t>as</w:t>
      </w:r>
      <w:r w:rsidRPr="00CD1A1B">
        <w:rPr>
          <w:color w:val="142147" w:themeColor="accent1"/>
        </w:rPr>
        <w:t xml:space="preserve"> </w:t>
      </w:r>
      <w:r>
        <w:rPr>
          <w:color w:val="142147" w:themeColor="accent1"/>
        </w:rPr>
        <w:t>AUD$217.8 million</w:t>
      </w:r>
      <w:r w:rsidRPr="00CD1A1B">
        <w:rPr>
          <w:color w:val="142147" w:themeColor="accent1"/>
        </w:rPr>
        <w:t xml:space="preserve">. Of this, </w:t>
      </w:r>
      <w:r>
        <w:rPr>
          <w:color w:val="142147" w:themeColor="accent1"/>
        </w:rPr>
        <w:t>JAS Ltd’s</w:t>
      </w:r>
      <w:r w:rsidRPr="00CD1A1B">
        <w:rPr>
          <w:color w:val="142147" w:themeColor="accent1"/>
        </w:rPr>
        <w:t xml:space="preserve"> Australian contribution represented </w:t>
      </w:r>
      <w:r>
        <w:rPr>
          <w:color w:val="142147" w:themeColor="accent1"/>
        </w:rPr>
        <w:t xml:space="preserve">60%. </w:t>
      </w:r>
    </w:p>
    <w:p w14:paraId="28036BA4" w14:textId="77777777" w:rsidR="003E668F" w:rsidRDefault="003E668F" w:rsidP="003E668F">
      <w:pPr>
        <w:pStyle w:val="Bullet"/>
        <w:tabs>
          <w:tab w:val="clear" w:pos="520"/>
          <w:tab w:val="num" w:pos="567"/>
        </w:tabs>
        <w:rPr>
          <w:b/>
          <w:bCs/>
          <w:color w:val="142147" w:themeColor="accent1"/>
        </w:rPr>
      </w:pPr>
      <w:r>
        <w:rPr>
          <w:b/>
          <w:bCs/>
          <w:color w:val="142147" w:themeColor="accent1"/>
        </w:rPr>
        <w:t>[Report on</w:t>
      </w:r>
      <w:r w:rsidRPr="0065562C">
        <w:rPr>
          <w:b/>
          <w:bCs/>
          <w:color w:val="142147" w:themeColor="accent1"/>
        </w:rPr>
        <w:t xml:space="preserve"> other Australian taxes and imposts paid to Government, for example Petroleum Resources Rent Tax, royalties, excises, payroll taxes, stamp duties, fringe benefits tax and state taxes</w:t>
      </w:r>
      <w:r>
        <w:rPr>
          <w:b/>
          <w:bCs/>
          <w:color w:val="142147" w:themeColor="accent1"/>
        </w:rPr>
        <w:t xml:space="preserve">] </w:t>
      </w:r>
    </w:p>
    <w:p w14:paraId="26453D0F" w14:textId="77777777" w:rsidR="003E668F" w:rsidRPr="00FB4363" w:rsidRDefault="003E668F" w:rsidP="003E668F">
      <w:pPr>
        <w:pStyle w:val="Bullet"/>
        <w:tabs>
          <w:tab w:val="clear" w:pos="520"/>
          <w:tab w:val="num" w:pos="567"/>
        </w:tabs>
        <w:rPr>
          <w:b/>
          <w:bCs/>
          <w:color w:val="142147" w:themeColor="accent1"/>
        </w:rPr>
      </w:pPr>
      <w:r w:rsidRPr="009324E3">
        <w:rPr>
          <w:b/>
          <w:bCs/>
          <w:noProof/>
          <w:color w:val="142147" w:themeColor="accent1"/>
        </w:rPr>
        <w:drawing>
          <wp:anchor distT="0" distB="0" distL="114300" distR="114300" simplePos="0" relativeHeight="251741184" behindDoc="1" locked="0" layoutInCell="1" allowOverlap="1" wp14:anchorId="2BA473DD" wp14:editId="5EFDBCBA">
            <wp:simplePos x="0" y="0"/>
            <wp:positionH relativeFrom="column">
              <wp:posOffset>2707005</wp:posOffset>
            </wp:positionH>
            <wp:positionV relativeFrom="paragraph">
              <wp:posOffset>440055</wp:posOffset>
            </wp:positionV>
            <wp:extent cx="3244850" cy="2000250"/>
            <wp:effectExtent l="0" t="0" r="0" b="0"/>
            <wp:wrapTight wrapText="bothSides">
              <wp:wrapPolygon edited="0">
                <wp:start x="0" y="0"/>
                <wp:lineTo x="0" y="21394"/>
                <wp:lineTo x="21431" y="21394"/>
                <wp:lineTo x="21431" y="0"/>
                <wp:lineTo x="0" y="0"/>
              </wp:wrapPolygon>
            </wp:wrapTight>
            <wp:docPr id="309365352" name="Picture 1" descr="Table showing percentage of different Australian taxes paid by JAS Ltd for the 2025 financial year including 34%  in GST, 36% in corporate income tax, 26% in pay as you go withholding and 4% in payroll tax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65352" name="Picture 1" descr="Table showing percentage of different Australian taxes paid by JAS Ltd for the 2025 financial year including 34%  in GST, 36% in corporate income tax, 26% in pay as you go withholding and 4% in payroll taxes "/>
                    <pic:cNvPicPr/>
                  </pic:nvPicPr>
                  <pic:blipFill>
                    <a:blip r:embed="rId32">
                      <a:extLst>
                        <a:ext uri="{28A0092B-C50C-407E-A947-70E740481C1C}">
                          <a14:useLocalDpi xmlns:a14="http://schemas.microsoft.com/office/drawing/2010/main" val="0"/>
                        </a:ext>
                      </a:extLst>
                    </a:blip>
                    <a:stretch>
                      <a:fillRect/>
                    </a:stretch>
                  </pic:blipFill>
                  <pic:spPr>
                    <a:xfrm>
                      <a:off x="0" y="0"/>
                      <a:ext cx="3244850" cy="2000250"/>
                    </a:xfrm>
                    <a:prstGeom prst="rect">
                      <a:avLst/>
                    </a:prstGeom>
                  </pic:spPr>
                </pic:pic>
              </a:graphicData>
            </a:graphic>
            <wp14:sizeRelH relativeFrom="page">
              <wp14:pctWidth>0</wp14:pctWidth>
            </wp14:sizeRelH>
            <wp14:sizeRelV relativeFrom="page">
              <wp14:pctHeight>0</wp14:pctHeight>
            </wp14:sizeRelV>
          </wp:anchor>
        </w:drawing>
      </w:r>
      <w:r w:rsidRPr="001927AB">
        <w:rPr>
          <w:b/>
          <w:bCs/>
          <w:color w:val="142147" w:themeColor="accent1"/>
        </w:rPr>
        <w:t>[</w:t>
      </w:r>
      <w:r>
        <w:rPr>
          <w:b/>
          <w:bCs/>
          <w:color w:val="142147" w:themeColor="accent1"/>
        </w:rPr>
        <w:t>Report</w:t>
      </w:r>
      <w:r w:rsidRPr="001927AB">
        <w:rPr>
          <w:b/>
          <w:bCs/>
          <w:color w:val="142147" w:themeColor="accent1"/>
        </w:rPr>
        <w:t xml:space="preserve"> Government imposts collected by the business on behalf of others, for example, GST and Pay As You Go withholding taxes]</w:t>
      </w:r>
      <w:r>
        <w:rPr>
          <w:noProof/>
        </w:rPr>
        <w:t xml:space="preserve"> </w:t>
      </w:r>
    </w:p>
    <w:p w14:paraId="4944310E" w14:textId="77777777" w:rsidR="003E668F" w:rsidRDefault="003E668F" w:rsidP="003E668F">
      <w:pPr>
        <w:rPr>
          <w:color w:val="142147" w:themeColor="accent1"/>
        </w:rPr>
      </w:pPr>
      <w:r>
        <w:rPr>
          <w:noProof/>
        </w:rPr>
        <w:drawing>
          <wp:anchor distT="0" distB="0" distL="114300" distR="114300" simplePos="0" relativeHeight="251740160" behindDoc="1" locked="0" layoutInCell="1" allowOverlap="1" wp14:anchorId="473E046F" wp14:editId="313D0080">
            <wp:simplePos x="0" y="0"/>
            <wp:positionH relativeFrom="column">
              <wp:posOffset>1183005</wp:posOffset>
            </wp:positionH>
            <wp:positionV relativeFrom="paragraph">
              <wp:posOffset>899160</wp:posOffset>
            </wp:positionV>
            <wp:extent cx="1504950" cy="1379855"/>
            <wp:effectExtent l="0" t="0" r="0" b="0"/>
            <wp:wrapTight wrapText="bothSides">
              <wp:wrapPolygon edited="0">
                <wp:start x="9296" y="0"/>
                <wp:lineTo x="6562" y="1491"/>
                <wp:lineTo x="3554" y="4175"/>
                <wp:lineTo x="0" y="6561"/>
                <wp:lineTo x="0" y="15507"/>
                <wp:lineTo x="12030" y="19085"/>
                <wp:lineTo x="15585" y="19085"/>
                <wp:lineTo x="16405" y="21173"/>
                <wp:lineTo x="18592" y="21173"/>
                <wp:lineTo x="19139" y="19085"/>
                <wp:lineTo x="21053" y="14314"/>
                <wp:lineTo x="21327" y="12525"/>
                <wp:lineTo x="21327" y="9244"/>
                <wp:lineTo x="19139" y="5964"/>
                <wp:lineTo x="18046" y="4771"/>
                <wp:lineTo x="16132" y="0"/>
                <wp:lineTo x="9296" y="0"/>
              </wp:wrapPolygon>
            </wp:wrapTight>
            <wp:docPr id="174096998" name="Picture 5" descr="Australian map visual showing JAS Ltd pays $370.4 million in total taxes pai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6998" name="Picture 5" descr="Australian map visual showing JAS Ltd pays $370.4 million in total taxes paid in Austral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0495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42147" w:themeColor="accent1"/>
        </w:rPr>
        <mc:AlternateContent>
          <mc:Choice Requires="wps">
            <w:drawing>
              <wp:anchor distT="0" distB="0" distL="114300" distR="114300" simplePos="0" relativeHeight="251742208" behindDoc="0" locked="0" layoutInCell="1" allowOverlap="1" wp14:anchorId="0C48F0BD" wp14:editId="65484C03">
                <wp:simplePos x="0" y="0"/>
                <wp:positionH relativeFrom="column">
                  <wp:posOffset>1392555</wp:posOffset>
                </wp:positionH>
                <wp:positionV relativeFrom="paragraph">
                  <wp:posOffset>1092200</wp:posOffset>
                </wp:positionV>
                <wp:extent cx="1352550" cy="698500"/>
                <wp:effectExtent l="0" t="0" r="0" b="6350"/>
                <wp:wrapNone/>
                <wp:docPr id="591149039" name="Text Box 6"/>
                <wp:cNvGraphicFramePr/>
                <a:graphic xmlns:a="http://schemas.openxmlformats.org/drawingml/2006/main">
                  <a:graphicData uri="http://schemas.microsoft.com/office/word/2010/wordprocessingShape">
                    <wps:wsp>
                      <wps:cNvSpPr txBox="1"/>
                      <wps:spPr>
                        <a:xfrm>
                          <a:off x="0" y="0"/>
                          <a:ext cx="1352550" cy="698500"/>
                        </a:xfrm>
                        <a:prstGeom prst="rect">
                          <a:avLst/>
                        </a:prstGeom>
                        <a:noFill/>
                        <a:ln w="6350">
                          <a:noFill/>
                        </a:ln>
                      </wps:spPr>
                      <wps:txbx>
                        <w:txbxContent>
                          <w:p w14:paraId="658B7877" w14:textId="77777777" w:rsidR="003E668F" w:rsidRPr="0073001A" w:rsidRDefault="003E668F" w:rsidP="003E668F">
                            <w:pPr>
                              <w:spacing w:after="0"/>
                              <w:rPr>
                                <w:b/>
                                <w:bCs/>
                                <w:color w:val="701F4D" w:themeColor="accent2"/>
                                <w:sz w:val="32"/>
                                <w:szCs w:val="32"/>
                              </w:rPr>
                            </w:pPr>
                            <w:r w:rsidRPr="0073001A">
                              <w:rPr>
                                <w:b/>
                                <w:bCs/>
                                <w:color w:val="701F4D" w:themeColor="accent2"/>
                                <w:sz w:val="32"/>
                                <w:szCs w:val="32"/>
                              </w:rPr>
                              <w:t xml:space="preserve">$370.4m </w:t>
                            </w:r>
                          </w:p>
                          <w:p w14:paraId="32996830" w14:textId="77777777" w:rsidR="003E668F" w:rsidRPr="001C594E" w:rsidRDefault="003E668F" w:rsidP="003E668F">
                            <w:pPr>
                              <w:spacing w:before="0"/>
                              <w:rPr>
                                <w:color w:val="142147" w:themeColor="accent1"/>
                                <w:sz w:val="18"/>
                                <w:szCs w:val="18"/>
                              </w:rPr>
                            </w:pPr>
                            <w:r w:rsidRPr="001C594E">
                              <w:rPr>
                                <w:color w:val="142147" w:themeColor="accent1"/>
                                <w:sz w:val="18"/>
                                <w:szCs w:val="18"/>
                              </w:rPr>
                              <w:t xml:space="preserve">Total </w:t>
                            </w:r>
                            <w:r>
                              <w:rPr>
                                <w:color w:val="142147" w:themeColor="accent1"/>
                                <w:sz w:val="18"/>
                                <w:szCs w:val="18"/>
                              </w:rPr>
                              <w:t>Australian taxes paid</w:t>
                            </w:r>
                            <w:r w:rsidRPr="001C594E">
                              <w:rPr>
                                <w:color w:val="142147" w:themeColor="accen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F0BD" id="_x0000_s1027" type="#_x0000_t202" style="position:absolute;margin-left:109.65pt;margin-top:86pt;width:106.5pt;height: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" filled="f" stroked="f" strokeweight=".5pt">
                <v:textbox>
                  <w:txbxContent>
                    <w:p w14:paraId="658B7877" w14:textId="77777777" w:rsidR="003E668F" w:rsidRPr="0073001A" w:rsidRDefault="003E668F" w:rsidP="003E668F">
                      <w:pPr>
                        <w:spacing w:after="0"/>
                        <w:rPr>
                          <w:b/>
                          <w:bCs/>
                          <w:color w:val="701F4D" w:themeColor="accent2"/>
                          <w:sz w:val="32"/>
                          <w:szCs w:val="32"/>
                        </w:rPr>
                      </w:pPr>
                      <w:r w:rsidRPr="0073001A">
                        <w:rPr>
                          <w:b/>
                          <w:bCs/>
                          <w:color w:val="701F4D" w:themeColor="accent2"/>
                          <w:sz w:val="32"/>
                          <w:szCs w:val="32"/>
                        </w:rPr>
                        <w:t xml:space="preserve">$370.4m </w:t>
                      </w:r>
                    </w:p>
                    <w:p w14:paraId="32996830" w14:textId="77777777" w:rsidR="003E668F" w:rsidRPr="001C594E" w:rsidRDefault="003E668F" w:rsidP="003E668F">
                      <w:pPr>
                        <w:spacing w:before="0"/>
                        <w:rPr>
                          <w:color w:val="142147" w:themeColor="accent1"/>
                          <w:sz w:val="18"/>
                          <w:szCs w:val="18"/>
                        </w:rPr>
                      </w:pPr>
                      <w:r w:rsidRPr="001C594E">
                        <w:rPr>
                          <w:color w:val="142147" w:themeColor="accent1"/>
                          <w:sz w:val="18"/>
                          <w:szCs w:val="18"/>
                        </w:rPr>
                        <w:t xml:space="preserve">Total </w:t>
                      </w:r>
                      <w:r>
                        <w:rPr>
                          <w:color w:val="142147" w:themeColor="accent1"/>
                          <w:sz w:val="18"/>
                          <w:szCs w:val="18"/>
                        </w:rPr>
                        <w:t>Australian taxes paid</w:t>
                      </w:r>
                      <w:r w:rsidRPr="001C594E">
                        <w:rPr>
                          <w:color w:val="142147" w:themeColor="accent1"/>
                          <w:sz w:val="18"/>
                          <w:szCs w:val="18"/>
                        </w:rPr>
                        <w:t xml:space="preserve"> </w:t>
                      </w:r>
                    </w:p>
                  </w:txbxContent>
                </v:textbox>
              </v:shape>
            </w:pict>
          </mc:Fallback>
        </mc:AlternateContent>
      </w:r>
      <w:r>
        <w:rPr>
          <w:color w:val="142147" w:themeColor="accent1"/>
        </w:rPr>
        <w:t>In addition to corporate income tax, JAS Ltd</w:t>
      </w:r>
      <w:r w:rsidRPr="00636AAE">
        <w:rPr>
          <w:color w:val="142147" w:themeColor="accent1"/>
        </w:rPr>
        <w:t xml:space="preserve"> </w:t>
      </w:r>
      <w:r w:rsidRPr="0047663D">
        <w:rPr>
          <w:color w:val="142147" w:themeColor="accent1"/>
        </w:rPr>
        <w:t>collect</w:t>
      </w:r>
      <w:r>
        <w:rPr>
          <w:color w:val="142147" w:themeColor="accent1"/>
        </w:rPr>
        <w:t>ed</w:t>
      </w:r>
      <w:r w:rsidRPr="0047663D">
        <w:rPr>
          <w:color w:val="142147" w:themeColor="accent1"/>
        </w:rPr>
        <w:t xml:space="preserve"> and pa</w:t>
      </w:r>
      <w:r>
        <w:rPr>
          <w:color w:val="142147" w:themeColor="accent1"/>
        </w:rPr>
        <w:t>id</w:t>
      </w:r>
      <w:r w:rsidRPr="0047663D">
        <w:rPr>
          <w:color w:val="142147" w:themeColor="accent1"/>
        </w:rPr>
        <w:t xml:space="preserve"> </w:t>
      </w:r>
      <w:r w:rsidRPr="00C6217D">
        <w:rPr>
          <w:b/>
          <w:bCs/>
          <w:color w:val="142147" w:themeColor="accent1"/>
        </w:rPr>
        <w:t>$19.8 million</w:t>
      </w:r>
      <w:r>
        <w:rPr>
          <w:color w:val="142147" w:themeColor="accent1"/>
        </w:rPr>
        <w:t xml:space="preserve"> in other Australian taxes, and </w:t>
      </w:r>
      <w:r w:rsidRPr="00CF52D1">
        <w:rPr>
          <w:b/>
          <w:bCs/>
          <w:color w:val="142147" w:themeColor="accent1"/>
        </w:rPr>
        <w:t>$219.8 million</w:t>
      </w:r>
      <w:r>
        <w:rPr>
          <w:color w:val="142147" w:themeColor="accent1"/>
        </w:rPr>
        <w:t xml:space="preserve"> in government imposts collected on behalf of others. </w:t>
      </w:r>
    </w:p>
    <w:p w14:paraId="581AC04C" w14:textId="77777777" w:rsidR="003E668F" w:rsidRDefault="003E668F" w:rsidP="003E668F">
      <w:pPr>
        <w:pStyle w:val="Bullet"/>
        <w:numPr>
          <w:ilvl w:val="0"/>
          <w:numId w:val="0"/>
        </w:numPr>
        <w:rPr>
          <w:b/>
          <w:bCs/>
          <w:color w:val="142147" w:themeColor="accent1"/>
        </w:rPr>
      </w:pPr>
      <w:r>
        <w:rPr>
          <w:color w:val="142147" w:themeColor="accent1"/>
        </w:rPr>
        <w:t>These taxes are summarised in the below table.</w:t>
      </w:r>
    </w:p>
    <w:p w14:paraId="15501820" w14:textId="77777777" w:rsidR="003E668F" w:rsidRDefault="003E668F" w:rsidP="003E668F">
      <w:pPr>
        <w:pStyle w:val="Bullet"/>
        <w:numPr>
          <w:ilvl w:val="0"/>
          <w:numId w:val="0"/>
        </w:numPr>
        <w:rPr>
          <w:b/>
          <w:bCs/>
          <w:color w:val="142147" w:themeColor="accent1"/>
        </w:rPr>
      </w:pPr>
    </w:p>
    <w:p w14:paraId="5FBB24E5" w14:textId="77777777" w:rsidR="00135306" w:rsidRDefault="00135306" w:rsidP="00135306">
      <w:pPr>
        <w:pStyle w:val="Heading5"/>
      </w:pPr>
    </w:p>
    <w:p w14:paraId="3CBA4869" w14:textId="32B8344C" w:rsidR="003E668F" w:rsidRDefault="00135306" w:rsidP="00135306">
      <w:pPr>
        <w:pStyle w:val="Heading5"/>
      </w:pPr>
      <w:r>
        <w:t xml:space="preserve">Total Australian tax contribution summary </w:t>
      </w:r>
    </w:p>
    <w:p w14:paraId="445737C8" w14:textId="77777777" w:rsidR="00135306" w:rsidRPr="00FB4363" w:rsidRDefault="00135306" w:rsidP="00135306">
      <w:pPr>
        <w:pStyle w:val="Bullet"/>
        <w:numPr>
          <w:ilvl w:val="0"/>
          <w:numId w:val="0"/>
        </w:numPr>
        <w:spacing w:after="0"/>
        <w:rPr>
          <w:b/>
          <w:bCs/>
          <w:color w:val="142147" w:themeColor="accent1"/>
          <w:sz w:val="10"/>
          <w:szCs w:val="10"/>
        </w:rPr>
      </w:pPr>
    </w:p>
    <w:tbl>
      <w:tblPr>
        <w:tblStyle w:val="PlainTable5"/>
        <w:tblW w:w="0" w:type="auto"/>
        <w:tblLook w:val="04A0" w:firstRow="1" w:lastRow="0" w:firstColumn="1" w:lastColumn="0" w:noHBand="0" w:noVBand="1"/>
      </w:tblPr>
      <w:tblGrid>
        <w:gridCol w:w="7320"/>
        <w:gridCol w:w="80"/>
        <w:gridCol w:w="2015"/>
      </w:tblGrid>
      <w:tr w:rsidR="003E668F" w:rsidRPr="00797B9C" w14:paraId="4F02ED8A" w14:textId="77777777" w:rsidTr="00A02E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400" w:type="dxa"/>
            <w:gridSpan w:val="2"/>
            <w:tcBorders>
              <w:top w:val="single" w:sz="4" w:space="0" w:color="142147" w:themeColor="accent1"/>
            </w:tcBorders>
            <w:shd w:val="clear" w:color="auto" w:fill="701F4D" w:themeFill="accent2"/>
          </w:tcPr>
          <w:p w14:paraId="7BE91729" w14:textId="4D579656" w:rsidR="003E668F" w:rsidRPr="00214A87" w:rsidRDefault="003E668F" w:rsidP="00A02EF9">
            <w:pPr>
              <w:tabs>
                <w:tab w:val="center" w:pos="3592"/>
              </w:tabs>
              <w:jc w:val="left"/>
              <w:rPr>
                <w:rFonts w:asciiTheme="minorHAnsi" w:hAnsiTheme="minorHAnsi" w:cstheme="minorHAnsi"/>
                <w:b/>
                <w:color w:val="FFFFFF" w:themeColor="background1"/>
              </w:rPr>
            </w:pPr>
            <w:r w:rsidRPr="00214A87">
              <w:rPr>
                <w:rFonts w:asciiTheme="minorHAnsi" w:hAnsiTheme="minorHAnsi" w:cstheme="minorHAnsi"/>
                <w:b/>
                <w:i w:val="0"/>
                <w:iCs w:val="0"/>
                <w:color w:val="FFFFFF" w:themeColor="background1"/>
                <w:sz w:val="22"/>
              </w:rPr>
              <w:t>Taxes borne by JAS Ltd</w:t>
            </w:r>
            <w:r w:rsidR="00A02EF9">
              <w:rPr>
                <w:rFonts w:asciiTheme="minorHAnsi" w:hAnsiTheme="minorHAnsi" w:cstheme="minorHAnsi"/>
                <w:b/>
                <w:i w:val="0"/>
                <w:iCs w:val="0"/>
                <w:color w:val="FFFFFF" w:themeColor="background1"/>
                <w:sz w:val="22"/>
              </w:rPr>
              <w:tab/>
            </w:r>
          </w:p>
        </w:tc>
        <w:tc>
          <w:tcPr>
            <w:tcW w:w="2015" w:type="dxa"/>
            <w:tcBorders>
              <w:top w:val="single" w:sz="4" w:space="0" w:color="142147" w:themeColor="accent1"/>
            </w:tcBorders>
            <w:shd w:val="clear" w:color="auto" w:fill="701F4D" w:themeFill="accent2"/>
          </w:tcPr>
          <w:p w14:paraId="382A6F77" w14:textId="77777777" w:rsidR="003E668F" w:rsidRPr="00135306" w:rsidRDefault="003E668F" w:rsidP="008E24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iCs w:val="0"/>
                <w:color w:val="FFFFFF" w:themeColor="background1"/>
                <w:sz w:val="22"/>
              </w:rPr>
            </w:pPr>
            <w:r w:rsidRPr="00135306">
              <w:rPr>
                <w:rFonts w:asciiTheme="minorHAnsi" w:hAnsiTheme="minorHAnsi" w:cstheme="minorHAnsi"/>
                <w:b/>
                <w:bCs/>
                <w:i w:val="0"/>
                <w:iCs w:val="0"/>
                <w:color w:val="FFFFFF" w:themeColor="background1"/>
                <w:sz w:val="22"/>
              </w:rPr>
              <w:t>2025 reporting year ($,000)</w:t>
            </w:r>
          </w:p>
        </w:tc>
      </w:tr>
      <w:tr w:rsidR="003E668F" w:rsidRPr="001738BD" w14:paraId="40027E65"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0" w:type="dxa"/>
            <w:tcBorders>
              <w:bottom w:val="single" w:sz="4" w:space="0" w:color="701F4D" w:themeColor="accent2"/>
              <w:right w:val="single" w:sz="4" w:space="0" w:color="701F4D" w:themeColor="accent2"/>
            </w:tcBorders>
          </w:tcPr>
          <w:p w14:paraId="3E5FA1A6" w14:textId="77777777" w:rsidR="003E668F" w:rsidRPr="001738BD" w:rsidRDefault="003E668F" w:rsidP="008E2424">
            <w:pPr>
              <w:jc w:val="left"/>
              <w:rPr>
                <w:rFonts w:asciiTheme="minorHAnsi" w:hAnsiTheme="minorHAnsi" w:cstheme="minorHAnsi"/>
                <w:i w:val="0"/>
                <w:iCs w:val="0"/>
                <w:color w:val="142147" w:themeColor="accent1"/>
              </w:rPr>
            </w:pPr>
            <w:r w:rsidRPr="001738BD">
              <w:rPr>
                <w:rFonts w:asciiTheme="minorHAnsi" w:hAnsiTheme="minorHAnsi" w:cstheme="minorHAnsi"/>
                <w:i w:val="0"/>
                <w:iCs w:val="0"/>
                <w:color w:val="142147" w:themeColor="accent1"/>
                <w:sz w:val="22"/>
              </w:rPr>
              <w:t>Corporate income tax</w:t>
            </w:r>
          </w:p>
        </w:tc>
        <w:tc>
          <w:tcPr>
            <w:tcW w:w="2095" w:type="dxa"/>
            <w:gridSpan w:val="2"/>
            <w:tcBorders>
              <w:left w:val="single" w:sz="4" w:space="0" w:color="701F4D" w:themeColor="accent2"/>
              <w:bottom w:val="single" w:sz="4" w:space="0" w:color="701F4D" w:themeColor="accent2"/>
            </w:tcBorders>
            <w:shd w:val="clear" w:color="auto" w:fill="F6F2ED" w:themeFill="accent3" w:themeFillTint="33"/>
          </w:tcPr>
          <w:p w14:paraId="75C920F6" w14:textId="77777777" w:rsidR="003E668F" w:rsidRPr="003F1062" w:rsidRDefault="003E668F"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3F1062">
              <w:rPr>
                <w:rFonts w:asciiTheme="minorHAnsi" w:hAnsiTheme="minorHAnsi" w:cstheme="minorHAnsi"/>
                <w:color w:val="142147" w:themeColor="accent1"/>
              </w:rPr>
              <w:t>130,750</w:t>
            </w:r>
          </w:p>
        </w:tc>
      </w:tr>
      <w:tr w:rsidR="003E668F" w:rsidRPr="001738BD" w14:paraId="607E0576" w14:textId="77777777" w:rsidTr="008E2424">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3AB7BA70" w14:textId="77777777" w:rsidR="003E668F" w:rsidRPr="001738BD" w:rsidRDefault="003E668F" w:rsidP="008E2424">
            <w:pPr>
              <w:jc w:val="left"/>
              <w:rPr>
                <w:rFonts w:asciiTheme="minorHAnsi" w:hAnsiTheme="minorHAnsi" w:cstheme="minorHAnsi"/>
                <w:i w:val="0"/>
                <w:iCs w:val="0"/>
                <w:color w:val="142147" w:themeColor="accent1"/>
                <w:sz w:val="22"/>
              </w:rPr>
            </w:pPr>
            <w:r w:rsidRPr="001738BD">
              <w:rPr>
                <w:rFonts w:asciiTheme="minorHAnsi" w:hAnsiTheme="minorHAnsi" w:cstheme="minorHAnsi"/>
                <w:i w:val="0"/>
                <w:iCs w:val="0"/>
                <w:color w:val="142147" w:themeColor="accent1"/>
                <w:sz w:val="22"/>
              </w:rPr>
              <w:t>Fringe benefit</w:t>
            </w:r>
            <w:r>
              <w:rPr>
                <w:rFonts w:asciiTheme="minorHAnsi" w:hAnsiTheme="minorHAnsi" w:cstheme="minorHAnsi"/>
                <w:i w:val="0"/>
                <w:iCs w:val="0"/>
                <w:color w:val="142147" w:themeColor="accent1"/>
                <w:sz w:val="22"/>
              </w:rPr>
              <w:t>s</w:t>
            </w:r>
            <w:r w:rsidRPr="001738BD">
              <w:rPr>
                <w:rFonts w:asciiTheme="minorHAnsi" w:hAnsiTheme="minorHAnsi" w:cstheme="minorHAnsi"/>
                <w:i w:val="0"/>
                <w:iCs w:val="0"/>
                <w:color w:val="142147" w:themeColor="accent1"/>
                <w:sz w:val="22"/>
              </w:rPr>
              <w:t xml:space="preserve"> tax </w:t>
            </w:r>
            <w:r>
              <w:rPr>
                <w:rFonts w:asciiTheme="minorHAnsi" w:hAnsiTheme="minorHAnsi" w:cstheme="minorHAnsi"/>
                <w:i w:val="0"/>
                <w:iCs w:val="0"/>
                <w:color w:val="142147" w:themeColor="accent1"/>
                <w:sz w:val="22"/>
              </w:rPr>
              <w:t>(FBT)</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35783B0C" w14:textId="77777777" w:rsidR="003E668F" w:rsidRPr="003F1062" w:rsidRDefault="003E668F"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3F1062">
              <w:rPr>
                <w:rFonts w:asciiTheme="minorHAnsi" w:hAnsiTheme="minorHAnsi" w:cstheme="minorHAnsi"/>
                <w:color w:val="142147" w:themeColor="accent1"/>
              </w:rPr>
              <w:t>2,536</w:t>
            </w:r>
          </w:p>
        </w:tc>
      </w:tr>
      <w:tr w:rsidR="003E668F" w:rsidRPr="001738BD" w14:paraId="61A2B303"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5DA4725B" w14:textId="77777777" w:rsidR="003E668F" w:rsidRPr="001738BD" w:rsidRDefault="003E668F" w:rsidP="008E2424">
            <w:pPr>
              <w:jc w:val="left"/>
              <w:rPr>
                <w:rFonts w:asciiTheme="minorHAnsi" w:hAnsiTheme="minorHAnsi" w:cstheme="minorHAnsi"/>
                <w:i w:val="0"/>
                <w:iCs w:val="0"/>
                <w:color w:val="142147" w:themeColor="accent1"/>
              </w:rPr>
            </w:pPr>
            <w:r w:rsidRPr="00797B9C">
              <w:rPr>
                <w:rFonts w:asciiTheme="minorHAnsi" w:hAnsiTheme="minorHAnsi" w:cstheme="minorHAnsi"/>
                <w:i w:val="0"/>
                <w:iCs w:val="0"/>
                <w:color w:val="142147" w:themeColor="accent1"/>
                <w:sz w:val="22"/>
              </w:rPr>
              <w:t>Withholding taxes on dividends, interest, invoices without ABN</w:t>
            </w:r>
            <w:r>
              <w:rPr>
                <w:rFonts w:asciiTheme="minorHAnsi" w:hAnsiTheme="minorHAnsi" w:cstheme="minorHAnsi"/>
                <w:i w:val="0"/>
                <w:iCs w:val="0"/>
                <w:color w:val="142147" w:themeColor="accent1"/>
              </w:rPr>
              <w:t xml:space="preserve">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8C3FBE2" w14:textId="77777777" w:rsidR="003E668F" w:rsidRPr="003F1062" w:rsidRDefault="003E668F"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3F1062">
              <w:rPr>
                <w:rFonts w:asciiTheme="minorHAnsi" w:hAnsiTheme="minorHAnsi" w:cstheme="minorHAnsi"/>
                <w:color w:val="142147" w:themeColor="accent1"/>
              </w:rPr>
              <w:t>190</w:t>
            </w:r>
          </w:p>
        </w:tc>
      </w:tr>
      <w:tr w:rsidR="003E668F" w:rsidRPr="001738BD" w14:paraId="39D5E9CA" w14:textId="77777777" w:rsidTr="008E2424">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39BA76D9" w14:textId="77777777" w:rsidR="003E668F" w:rsidRPr="001738BD" w:rsidRDefault="003E668F" w:rsidP="008E2424">
            <w:pPr>
              <w:jc w:val="left"/>
              <w:rPr>
                <w:rFonts w:asciiTheme="minorHAnsi" w:hAnsiTheme="minorHAnsi" w:cstheme="minorHAnsi"/>
                <w:i w:val="0"/>
                <w:iCs w:val="0"/>
                <w:color w:val="142147" w:themeColor="accent1"/>
              </w:rPr>
            </w:pPr>
            <w:r w:rsidRPr="00797B9C">
              <w:rPr>
                <w:rFonts w:asciiTheme="minorHAnsi" w:hAnsiTheme="minorHAnsi" w:cstheme="minorHAnsi"/>
                <w:i w:val="0"/>
                <w:iCs w:val="0"/>
                <w:color w:val="142147" w:themeColor="accent1"/>
                <w:sz w:val="22"/>
              </w:rPr>
              <w:t>Property taxes</w:t>
            </w:r>
            <w:r>
              <w:rPr>
                <w:rFonts w:asciiTheme="minorHAnsi" w:hAnsiTheme="minorHAnsi" w:cstheme="minorHAnsi"/>
                <w:i w:val="0"/>
                <w:iCs w:val="0"/>
                <w:color w:val="142147" w:themeColor="accent1"/>
              </w:rPr>
              <w:t xml:space="preserve">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416E26DE" w14:textId="77777777" w:rsidR="003E668F" w:rsidRPr="003F1062" w:rsidRDefault="003E668F"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142147" w:themeColor="accent1"/>
              </w:rPr>
            </w:pPr>
            <w:r w:rsidRPr="4D10D2DC">
              <w:rPr>
                <w:rFonts w:asciiTheme="minorHAnsi" w:hAnsiTheme="minorHAnsi" w:cstheme="minorBidi"/>
                <w:color w:val="142147" w:themeColor="accent1"/>
              </w:rPr>
              <w:t>824</w:t>
            </w:r>
          </w:p>
        </w:tc>
      </w:tr>
      <w:tr w:rsidR="003E668F" w:rsidRPr="001738BD" w14:paraId="68683ABD"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5E76CDBC" w14:textId="77777777" w:rsidR="003E668F" w:rsidRPr="001738BD" w:rsidRDefault="003E668F" w:rsidP="008E2424">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 xml:space="preserve">Payroll taxes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EBF9FF5" w14:textId="77777777" w:rsidR="003E668F" w:rsidRPr="003F1062" w:rsidRDefault="003E668F"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3F1062">
              <w:rPr>
                <w:rFonts w:asciiTheme="minorHAnsi" w:hAnsiTheme="minorHAnsi" w:cstheme="minorHAnsi"/>
                <w:color w:val="142147" w:themeColor="accent1"/>
              </w:rPr>
              <w:t>16,270</w:t>
            </w:r>
          </w:p>
        </w:tc>
      </w:tr>
      <w:tr w:rsidR="003E668F" w:rsidRPr="001738BD" w14:paraId="4BE2AAE5" w14:textId="77777777" w:rsidTr="00A02EF9">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01A26278" w14:textId="77777777" w:rsidR="003E668F" w:rsidRPr="001354E2" w:rsidRDefault="003E668F" w:rsidP="008E2424">
            <w:pPr>
              <w:jc w:val="left"/>
              <w:rPr>
                <w:rFonts w:asciiTheme="minorHAnsi" w:hAnsiTheme="minorHAnsi" w:cstheme="minorHAnsi"/>
                <w:i w:val="0"/>
                <w:iCs w:val="0"/>
                <w:color w:val="142147" w:themeColor="accent1"/>
              </w:rPr>
            </w:pPr>
            <w:r w:rsidRPr="001354E2">
              <w:rPr>
                <w:rFonts w:asciiTheme="minorHAnsi" w:hAnsiTheme="minorHAnsi" w:cstheme="minorHAnsi"/>
                <w:b/>
                <w:i w:val="0"/>
                <w:iCs w:val="0"/>
                <w:color w:val="142147" w:themeColor="accent1"/>
                <w:sz w:val="22"/>
                <w:szCs w:val="18"/>
              </w:rPr>
              <w:t>Total taxes borne by JAS Ltd in Australia</w:t>
            </w:r>
            <w:r w:rsidRPr="001354E2">
              <w:rPr>
                <w:rFonts w:asciiTheme="minorHAnsi" w:hAnsiTheme="minorHAnsi" w:cstheme="minorHAnsi"/>
                <w:i w:val="0"/>
                <w:iCs w:val="0"/>
                <w:color w:val="142147" w:themeColor="accent1"/>
                <w:sz w:val="22"/>
                <w:szCs w:val="18"/>
              </w:rPr>
              <w:t xml:space="preserve">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4DA84818" w14:textId="77777777" w:rsidR="003E668F" w:rsidRPr="001354E2" w:rsidRDefault="003E668F"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1354E2">
              <w:rPr>
                <w:rFonts w:asciiTheme="minorHAnsi" w:hAnsiTheme="minorHAnsi" w:cstheme="minorHAnsi"/>
                <w:b/>
                <w:bCs/>
                <w:color w:val="142147" w:themeColor="accent1"/>
              </w:rPr>
              <w:t>150,570</w:t>
            </w:r>
          </w:p>
        </w:tc>
      </w:tr>
      <w:tr w:rsidR="003E668F" w:rsidRPr="001738BD" w14:paraId="010DC075" w14:textId="77777777" w:rsidTr="00A02E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29488DDF" w14:textId="77777777" w:rsidR="003E668F" w:rsidRPr="00A02EF9" w:rsidRDefault="003E668F" w:rsidP="008E2424">
            <w:pPr>
              <w:jc w:val="left"/>
              <w:rPr>
                <w:rFonts w:asciiTheme="minorHAnsi" w:hAnsiTheme="minorHAnsi" w:cstheme="minorHAnsi"/>
                <w:i w:val="0"/>
                <w:iCs w:val="0"/>
                <w:color w:val="142147" w:themeColor="accent1"/>
                <w:sz w:val="22"/>
              </w:rPr>
            </w:pPr>
            <w:r w:rsidRPr="00A02EF9">
              <w:rPr>
                <w:rFonts w:asciiTheme="minorHAnsi" w:hAnsiTheme="minorHAnsi" w:cstheme="minorHAnsi"/>
                <w:i w:val="0"/>
                <w:iCs w:val="0"/>
                <w:color w:val="142147" w:themeColor="accent1"/>
                <w:sz w:val="22"/>
              </w:rPr>
              <w:t xml:space="preserve">Net GST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5F775BE8" w14:textId="77777777" w:rsidR="003E668F" w:rsidRPr="00A02EF9" w:rsidRDefault="003E668F" w:rsidP="008E2424">
            <w:pPr>
              <w:jc w:val="right"/>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color w:val="142147" w:themeColor="accent1"/>
              </w:rPr>
            </w:pPr>
            <w:r w:rsidRPr="00A02EF9">
              <w:rPr>
                <w:rFonts w:asciiTheme="minorHAnsi" w:eastAsiaTheme="majorEastAsia" w:hAnsiTheme="minorHAnsi" w:cstheme="minorHAnsi"/>
                <w:color w:val="142147" w:themeColor="accent1"/>
              </w:rPr>
              <w:t>123,560</w:t>
            </w:r>
          </w:p>
        </w:tc>
      </w:tr>
      <w:tr w:rsidR="003E668F" w:rsidRPr="001738BD" w14:paraId="0227B506" w14:textId="77777777" w:rsidTr="008E2424">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079CEE92" w14:textId="77777777" w:rsidR="003E668F" w:rsidRPr="006062EC" w:rsidRDefault="003E668F" w:rsidP="008E2424">
            <w:pPr>
              <w:jc w:val="left"/>
              <w:rPr>
                <w:rFonts w:asciiTheme="minorHAnsi" w:hAnsiTheme="minorHAnsi" w:cstheme="minorHAnsi"/>
                <w:i w:val="0"/>
                <w:iCs w:val="0"/>
                <w:color w:val="142147" w:themeColor="accent1"/>
              </w:rPr>
            </w:pPr>
            <w:r w:rsidRPr="006062EC">
              <w:rPr>
                <w:rFonts w:asciiTheme="minorHAnsi" w:hAnsiTheme="minorHAnsi" w:cstheme="minorHAnsi"/>
                <w:i w:val="0"/>
                <w:iCs w:val="0"/>
                <w:color w:val="142147" w:themeColor="accent1"/>
                <w:sz w:val="22"/>
              </w:rPr>
              <w:t>Pay As You Go Withholding</w:t>
            </w:r>
            <w:r w:rsidRPr="006062EC">
              <w:rPr>
                <w:rFonts w:asciiTheme="minorHAnsi" w:hAnsiTheme="minorHAnsi" w:cstheme="minorHAnsi"/>
                <w:i w:val="0"/>
                <w:iCs w:val="0"/>
                <w:color w:val="142147" w:themeColor="accent1"/>
              </w:rPr>
              <w:t xml:space="preserve">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2A791502" w14:textId="77777777" w:rsidR="003E668F" w:rsidRPr="006062EC" w:rsidRDefault="003E668F"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142147" w:themeColor="accent1"/>
              </w:rPr>
            </w:pPr>
            <w:r w:rsidRPr="006062EC">
              <w:rPr>
                <w:rFonts w:asciiTheme="minorHAnsi" w:hAnsiTheme="minorHAnsi" w:cstheme="minorBidi"/>
                <w:color w:val="142147" w:themeColor="accent1"/>
              </w:rPr>
              <w:t>96,302</w:t>
            </w:r>
          </w:p>
        </w:tc>
      </w:tr>
      <w:tr w:rsidR="003E668F" w:rsidRPr="001738BD" w14:paraId="4D18F636"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bottom w:val="single" w:sz="4" w:space="0" w:color="701F4D" w:themeColor="accent2"/>
              <w:right w:val="single" w:sz="4" w:space="0" w:color="701F4D" w:themeColor="accent2"/>
            </w:tcBorders>
          </w:tcPr>
          <w:p w14:paraId="4858675B" w14:textId="77777777" w:rsidR="003E668F" w:rsidRPr="008A48B4" w:rsidRDefault="003E668F" w:rsidP="008E2424">
            <w:pPr>
              <w:jc w:val="left"/>
              <w:rPr>
                <w:rFonts w:asciiTheme="minorHAnsi" w:hAnsiTheme="minorHAnsi" w:cstheme="minorHAnsi"/>
                <w:color w:val="142147" w:themeColor="accent1"/>
              </w:rPr>
            </w:pPr>
            <w:r w:rsidRPr="00214A87">
              <w:rPr>
                <w:rFonts w:asciiTheme="minorHAnsi" w:hAnsiTheme="minorHAnsi" w:cstheme="minorHAnsi"/>
                <w:b/>
                <w:i w:val="0"/>
                <w:iCs w:val="0"/>
                <w:color w:val="142147" w:themeColor="accent1"/>
                <w:sz w:val="22"/>
                <w:szCs w:val="18"/>
              </w:rPr>
              <w:t>Total taxes collected on behalf of others</w:t>
            </w:r>
            <w:r>
              <w:rPr>
                <w:rFonts w:asciiTheme="minorHAnsi" w:hAnsiTheme="minorHAnsi" w:cstheme="minorHAnsi"/>
                <w:b/>
                <w:color w:val="142147" w:themeColor="accent1"/>
              </w:rPr>
              <w:t xml:space="preserve"> </w:t>
            </w:r>
          </w:p>
        </w:tc>
        <w:tc>
          <w:tcPr>
            <w:tcW w:w="2095" w:type="dxa"/>
            <w:gridSpan w:val="2"/>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281EACA" w14:textId="77777777" w:rsidR="003E668F" w:rsidRPr="003F1062" w:rsidRDefault="003E668F"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142147" w:themeColor="accent1"/>
              </w:rPr>
            </w:pPr>
            <w:r w:rsidRPr="003F1062">
              <w:rPr>
                <w:rFonts w:asciiTheme="minorHAnsi" w:hAnsiTheme="minorHAnsi" w:cstheme="minorBidi"/>
                <w:b/>
                <w:bCs/>
                <w:color w:val="142147" w:themeColor="accent1"/>
              </w:rPr>
              <w:t>219,862</w:t>
            </w:r>
          </w:p>
        </w:tc>
      </w:tr>
      <w:tr w:rsidR="003E668F" w:rsidRPr="001738BD" w14:paraId="25F10DA0" w14:textId="77777777" w:rsidTr="008E2424">
        <w:tc>
          <w:tcPr>
            <w:cnfStyle w:val="001000000000" w:firstRow="0" w:lastRow="0" w:firstColumn="1" w:lastColumn="0" w:oddVBand="0" w:evenVBand="0" w:oddHBand="0" w:evenHBand="0" w:firstRowFirstColumn="0" w:firstRowLastColumn="0" w:lastRowFirstColumn="0" w:lastRowLastColumn="0"/>
            <w:tcW w:w="7320" w:type="dxa"/>
            <w:tcBorders>
              <w:top w:val="single" w:sz="4" w:space="0" w:color="701F4D" w:themeColor="accent2"/>
              <w:right w:val="single" w:sz="4" w:space="0" w:color="701F4D" w:themeColor="accent2"/>
            </w:tcBorders>
            <w:shd w:val="clear" w:color="auto" w:fill="D4C2A8" w:themeFill="accent3"/>
          </w:tcPr>
          <w:p w14:paraId="51AA639D" w14:textId="77777777" w:rsidR="003E668F" w:rsidRPr="00214A87" w:rsidRDefault="003E668F" w:rsidP="008E2424">
            <w:pPr>
              <w:jc w:val="left"/>
              <w:rPr>
                <w:rFonts w:asciiTheme="minorHAnsi" w:hAnsiTheme="minorHAnsi" w:cstheme="minorHAnsi"/>
                <w:b/>
                <w:i w:val="0"/>
                <w:iCs w:val="0"/>
                <w:color w:val="701F4D" w:themeColor="accent2"/>
              </w:rPr>
            </w:pPr>
            <w:r w:rsidRPr="00214A87">
              <w:rPr>
                <w:rFonts w:asciiTheme="minorHAnsi" w:hAnsiTheme="minorHAnsi" w:cstheme="minorHAnsi"/>
                <w:b/>
                <w:i w:val="0"/>
                <w:iCs w:val="0"/>
                <w:color w:val="701F4D" w:themeColor="accent2"/>
                <w:sz w:val="22"/>
                <w:szCs w:val="18"/>
              </w:rPr>
              <w:t xml:space="preserve">Total taxes paid </w:t>
            </w:r>
          </w:p>
        </w:tc>
        <w:tc>
          <w:tcPr>
            <w:tcW w:w="2095" w:type="dxa"/>
            <w:gridSpan w:val="2"/>
            <w:tcBorders>
              <w:top w:val="single" w:sz="4" w:space="0" w:color="701F4D" w:themeColor="accent2"/>
              <w:left w:val="single" w:sz="4" w:space="0" w:color="701F4D" w:themeColor="accent2"/>
            </w:tcBorders>
            <w:shd w:val="clear" w:color="auto" w:fill="D4C2A8" w:themeFill="accent3"/>
          </w:tcPr>
          <w:p w14:paraId="10BC6165" w14:textId="77777777" w:rsidR="003E668F" w:rsidRPr="003F1062" w:rsidRDefault="003E668F"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701F4D" w:themeColor="accent2"/>
              </w:rPr>
            </w:pPr>
            <w:r w:rsidRPr="4D10D2DC">
              <w:rPr>
                <w:rFonts w:asciiTheme="minorHAnsi" w:hAnsiTheme="minorHAnsi" w:cstheme="minorBidi"/>
                <w:b/>
                <w:color w:val="701F4D" w:themeColor="accent2"/>
              </w:rPr>
              <w:t>370,432</w:t>
            </w:r>
          </w:p>
        </w:tc>
      </w:tr>
    </w:tbl>
    <w:p w14:paraId="30A2F20B" w14:textId="77777777" w:rsidR="00BD4078" w:rsidRDefault="00BD4078" w:rsidP="00BD4078">
      <w:pPr>
        <w:pStyle w:val="Heading3"/>
      </w:pPr>
      <w:r>
        <w:t xml:space="preserve">Effective Tax Rate </w:t>
      </w:r>
    </w:p>
    <w:tbl>
      <w:tblPr>
        <w:tblStyle w:val="TableGrid"/>
        <w:tblW w:w="0" w:type="auto"/>
        <w:tblLook w:val="04A0" w:firstRow="1" w:lastRow="0" w:firstColumn="1" w:lastColumn="0" w:noHBand="0" w:noVBand="1"/>
      </w:tblPr>
      <w:tblGrid>
        <w:gridCol w:w="9631"/>
      </w:tblGrid>
      <w:tr w:rsidR="00BD4078" w14:paraId="21E4DCE8" w14:textId="77777777">
        <w:tc>
          <w:tcPr>
            <w:tcW w:w="9631" w:type="dxa"/>
            <w:tcBorders>
              <w:top w:val="nil"/>
              <w:left w:val="nil"/>
              <w:bottom w:val="nil"/>
              <w:right w:val="nil"/>
            </w:tcBorders>
            <w:shd w:val="clear" w:color="auto" w:fill="701F4D" w:themeFill="accent2"/>
          </w:tcPr>
          <w:p w14:paraId="762C7080" w14:textId="77777777" w:rsidR="00BD4078" w:rsidRPr="00AA319C" w:rsidRDefault="00BD4078">
            <w:pPr>
              <w:jc w:val="center"/>
              <w:rPr>
                <w:rFonts w:asciiTheme="majorHAnsi" w:hAnsiTheme="majorHAnsi"/>
                <w:b/>
                <w:bCs/>
                <w:sz w:val="28"/>
                <w:szCs w:val="28"/>
              </w:rPr>
            </w:pPr>
            <w:r>
              <w:rPr>
                <w:rFonts w:asciiTheme="majorHAnsi" w:hAnsiTheme="majorHAnsi"/>
                <w:b/>
                <w:bCs/>
                <w:color w:val="FFFFFF" w:themeColor="background1"/>
                <w:sz w:val="28"/>
                <w:szCs w:val="28"/>
              </w:rPr>
              <w:t>23</w:t>
            </w:r>
            <w:r w:rsidRPr="00AA319C">
              <w:rPr>
                <w:rFonts w:asciiTheme="majorHAnsi" w:hAnsiTheme="majorHAnsi"/>
                <w:b/>
                <w:bCs/>
                <w:color w:val="FFFFFF" w:themeColor="background1"/>
                <w:sz w:val="28"/>
                <w:szCs w:val="28"/>
              </w:rPr>
              <w:t>% Australian ETR</w:t>
            </w:r>
            <w:r>
              <w:rPr>
                <w:rFonts w:asciiTheme="majorHAnsi" w:hAnsiTheme="majorHAnsi"/>
                <w:b/>
                <w:bCs/>
                <w:color w:val="FFFFFF" w:themeColor="background1"/>
                <w:sz w:val="28"/>
                <w:szCs w:val="28"/>
              </w:rPr>
              <w:t xml:space="preserve"> | 18.2</w:t>
            </w:r>
            <w:r w:rsidRPr="00AA319C">
              <w:rPr>
                <w:rFonts w:asciiTheme="majorHAnsi" w:hAnsiTheme="majorHAnsi"/>
                <w:b/>
                <w:bCs/>
                <w:color w:val="FFFFFF" w:themeColor="background1"/>
                <w:sz w:val="28"/>
                <w:szCs w:val="28"/>
              </w:rPr>
              <w:t>% Global ETR</w:t>
            </w:r>
          </w:p>
        </w:tc>
      </w:tr>
    </w:tbl>
    <w:p w14:paraId="63FB743D" w14:textId="56BD7AF5" w:rsidR="00BD4078" w:rsidRDefault="00BD4078" w:rsidP="00BD4078">
      <w:pPr>
        <w:spacing w:before="240"/>
        <w:rPr>
          <w:color w:val="142147" w:themeColor="accent1"/>
        </w:rPr>
      </w:pPr>
      <w:r>
        <w:rPr>
          <w:noProof/>
          <w:color w:val="142147" w:themeColor="accent1"/>
        </w:rPr>
        <w:drawing>
          <wp:anchor distT="0" distB="0" distL="114300" distR="114300" simplePos="0" relativeHeight="251707392" behindDoc="1" locked="0" layoutInCell="1" allowOverlap="1" wp14:anchorId="3FA67A1F" wp14:editId="70A7D48B">
            <wp:simplePos x="0" y="0"/>
            <wp:positionH relativeFrom="column">
              <wp:posOffset>3693160</wp:posOffset>
            </wp:positionH>
            <wp:positionV relativeFrom="paragraph">
              <wp:posOffset>581660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877115410"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704320" behindDoc="1" locked="0" layoutInCell="1" allowOverlap="1" wp14:anchorId="7191DE2A" wp14:editId="0404F343">
            <wp:simplePos x="0" y="0"/>
            <wp:positionH relativeFrom="column">
              <wp:posOffset>3742690</wp:posOffset>
            </wp:positionH>
            <wp:positionV relativeFrom="paragraph">
              <wp:posOffset>539115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028716371"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61312" behindDoc="1" locked="0" layoutInCell="1" allowOverlap="1" wp14:anchorId="4CF50A82" wp14:editId="6FA10DC4">
            <wp:simplePos x="0" y="0"/>
            <wp:positionH relativeFrom="column">
              <wp:posOffset>3694430</wp:posOffset>
            </wp:positionH>
            <wp:positionV relativeFrom="paragraph">
              <wp:posOffset>517525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85874679"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55168" behindDoc="1" locked="0" layoutInCell="1" allowOverlap="1" wp14:anchorId="109A11AA" wp14:editId="01A46B2C">
            <wp:simplePos x="0" y="0"/>
            <wp:positionH relativeFrom="column">
              <wp:posOffset>3720266</wp:posOffset>
            </wp:positionH>
            <wp:positionV relativeFrom="paragraph">
              <wp:posOffset>489835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096591430"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64384" behindDoc="1" locked="0" layoutInCell="1" allowOverlap="1" wp14:anchorId="1BB0243E" wp14:editId="4F6B2D46">
            <wp:simplePos x="0" y="0"/>
            <wp:positionH relativeFrom="column">
              <wp:posOffset>3782060</wp:posOffset>
            </wp:positionH>
            <wp:positionV relativeFrom="paragraph">
              <wp:posOffset>429895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948231222"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701248" behindDoc="1" locked="0" layoutInCell="1" allowOverlap="1" wp14:anchorId="5DB4B819" wp14:editId="79077B2F">
            <wp:simplePos x="0" y="0"/>
            <wp:positionH relativeFrom="column">
              <wp:posOffset>4928870</wp:posOffset>
            </wp:positionH>
            <wp:positionV relativeFrom="paragraph">
              <wp:posOffset>1146175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919991471"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49024" behindDoc="1" locked="0" layoutInCell="1" allowOverlap="1" wp14:anchorId="2F0DADB1" wp14:editId="3ACD1D44">
            <wp:simplePos x="0" y="0"/>
            <wp:positionH relativeFrom="column">
              <wp:posOffset>3624580</wp:posOffset>
            </wp:positionH>
            <wp:positionV relativeFrom="paragraph">
              <wp:posOffset>465455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845070288"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79744" behindDoc="1" locked="0" layoutInCell="1" allowOverlap="1" wp14:anchorId="69E89BDB" wp14:editId="1BB01ED1">
            <wp:simplePos x="0" y="0"/>
            <wp:positionH relativeFrom="column">
              <wp:posOffset>3562985</wp:posOffset>
            </wp:positionH>
            <wp:positionV relativeFrom="paragraph">
              <wp:posOffset>479425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420744425"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98176" behindDoc="1" locked="0" layoutInCell="1" allowOverlap="1" wp14:anchorId="4E9AEDE0" wp14:editId="28A47BD3">
            <wp:simplePos x="0" y="0"/>
            <wp:positionH relativeFrom="column">
              <wp:posOffset>3053715</wp:posOffset>
            </wp:positionH>
            <wp:positionV relativeFrom="paragraph">
              <wp:posOffset>1347470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646008606"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95104" behindDoc="1" locked="0" layoutInCell="1" allowOverlap="1" wp14:anchorId="492F1223" wp14:editId="2DD7A34E">
            <wp:simplePos x="0" y="0"/>
            <wp:positionH relativeFrom="column">
              <wp:posOffset>4233545</wp:posOffset>
            </wp:positionH>
            <wp:positionV relativeFrom="paragraph">
              <wp:posOffset>871321</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595120943"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92032" behindDoc="1" locked="0" layoutInCell="1" allowOverlap="1" wp14:anchorId="44A0B1F7" wp14:editId="63D82745">
            <wp:simplePos x="0" y="0"/>
            <wp:positionH relativeFrom="column">
              <wp:posOffset>4915104</wp:posOffset>
            </wp:positionH>
            <wp:positionV relativeFrom="paragraph">
              <wp:posOffset>895632</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017239583"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67456" behindDoc="1" locked="0" layoutInCell="1" allowOverlap="1" wp14:anchorId="76677A66" wp14:editId="7ACF9050">
            <wp:simplePos x="0" y="0"/>
            <wp:positionH relativeFrom="column">
              <wp:posOffset>4773295</wp:posOffset>
            </wp:positionH>
            <wp:positionV relativeFrom="paragraph">
              <wp:posOffset>834390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854233367"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38784" behindDoc="1" locked="0" layoutInCell="1" allowOverlap="1" wp14:anchorId="07E0579C" wp14:editId="448DA99A">
            <wp:simplePos x="0" y="0"/>
            <wp:positionH relativeFrom="column">
              <wp:posOffset>2596898</wp:posOffset>
            </wp:positionH>
            <wp:positionV relativeFrom="paragraph">
              <wp:posOffset>684606</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968032022"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58240" behindDoc="1" locked="0" layoutInCell="1" allowOverlap="1" wp14:anchorId="09B0600D" wp14:editId="4E6183CD">
            <wp:simplePos x="0" y="0"/>
            <wp:positionH relativeFrom="column">
              <wp:posOffset>2597785</wp:posOffset>
            </wp:positionH>
            <wp:positionV relativeFrom="paragraph">
              <wp:posOffset>429260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608623160"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31616" behindDoc="1" locked="0" layoutInCell="1" allowOverlap="1" wp14:anchorId="0E0A2857" wp14:editId="36BA556B">
            <wp:simplePos x="0" y="0"/>
            <wp:positionH relativeFrom="column">
              <wp:posOffset>2686685</wp:posOffset>
            </wp:positionH>
            <wp:positionV relativeFrom="paragraph">
              <wp:posOffset>1054100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578322343"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52096" behindDoc="1" locked="0" layoutInCell="1" allowOverlap="1" wp14:anchorId="256BAC1C" wp14:editId="2EB67787">
            <wp:simplePos x="0" y="0"/>
            <wp:positionH relativeFrom="column">
              <wp:posOffset>5122266</wp:posOffset>
            </wp:positionH>
            <wp:positionV relativeFrom="paragraph">
              <wp:posOffset>704470</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333371710"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73600" behindDoc="1" locked="0" layoutInCell="1" allowOverlap="1" wp14:anchorId="29144937" wp14:editId="0A498E49">
            <wp:simplePos x="0" y="0"/>
            <wp:positionH relativeFrom="column">
              <wp:posOffset>4812157</wp:posOffset>
            </wp:positionH>
            <wp:positionV relativeFrom="paragraph">
              <wp:posOffset>1144221</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76834323"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rPr>
        <w:drawing>
          <wp:anchor distT="0" distB="0" distL="114300" distR="114300" simplePos="0" relativeHeight="251588608" behindDoc="1" locked="0" layoutInCell="1" allowOverlap="1" wp14:anchorId="42E44F0D" wp14:editId="65E9D566">
            <wp:simplePos x="0" y="0"/>
            <wp:positionH relativeFrom="column">
              <wp:posOffset>1964411</wp:posOffset>
            </wp:positionH>
            <wp:positionV relativeFrom="paragraph">
              <wp:posOffset>160909</wp:posOffset>
            </wp:positionV>
            <wp:extent cx="3950970" cy="2084705"/>
            <wp:effectExtent l="0" t="0" r="0" b="0"/>
            <wp:wrapSquare wrapText="bothSides"/>
            <wp:docPr id="410992486" name="Picture 3" descr="World map showing various markers for the 19 countries in which JAS Ltd has global ope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92486" name="Picture 3" descr="World map showing various markers for the 19 countries in which JAS Ltd has global operation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50970" cy="2084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42147" w:themeColor="accent1"/>
        </w:rPr>
        <w:t>JAS Ltd’s</w:t>
      </w:r>
      <w:r w:rsidRPr="00D22DB3">
        <w:rPr>
          <w:color w:val="142147" w:themeColor="accent1"/>
        </w:rPr>
        <w:t xml:space="preserve"> Australian effective tax rate </w:t>
      </w:r>
      <w:r>
        <w:rPr>
          <w:color w:val="142147" w:themeColor="accent1"/>
        </w:rPr>
        <w:t xml:space="preserve">(corporate income tax) </w:t>
      </w:r>
      <w:r w:rsidRPr="00D22DB3">
        <w:rPr>
          <w:color w:val="142147" w:themeColor="accent1"/>
        </w:rPr>
        <w:t xml:space="preserve">for the </w:t>
      </w:r>
      <w:r w:rsidR="00267948">
        <w:rPr>
          <w:color w:val="142147" w:themeColor="accent1"/>
        </w:rPr>
        <w:t>2025 reporting</w:t>
      </w:r>
      <w:r>
        <w:rPr>
          <w:color w:val="142147" w:themeColor="accent1"/>
        </w:rPr>
        <w:t xml:space="preserve"> year </w:t>
      </w:r>
      <w:r w:rsidRPr="00D22DB3">
        <w:rPr>
          <w:color w:val="142147" w:themeColor="accent1"/>
        </w:rPr>
        <w:t xml:space="preserve">was </w:t>
      </w:r>
      <w:r>
        <w:rPr>
          <w:b/>
          <w:bCs/>
          <w:color w:val="142147" w:themeColor="accent1"/>
        </w:rPr>
        <w:t xml:space="preserve">23%. </w:t>
      </w:r>
      <w:r>
        <w:rPr>
          <w:color w:val="142147" w:themeColor="accent1"/>
        </w:rPr>
        <w:t>JAS Ltd</w:t>
      </w:r>
      <w:r w:rsidRPr="00D22DB3">
        <w:rPr>
          <w:color w:val="142147" w:themeColor="accent1"/>
        </w:rPr>
        <w:t xml:space="preserve"> operates in </w:t>
      </w:r>
      <w:r>
        <w:rPr>
          <w:color w:val="142147" w:themeColor="accent1"/>
        </w:rPr>
        <w:t>19</w:t>
      </w:r>
      <w:r w:rsidRPr="00D22DB3">
        <w:rPr>
          <w:color w:val="142147" w:themeColor="accent1"/>
        </w:rPr>
        <w:t xml:space="preserve"> countries and its global effective tax rate for the </w:t>
      </w:r>
      <w:r w:rsidR="00267948">
        <w:rPr>
          <w:color w:val="142147" w:themeColor="accent1"/>
        </w:rPr>
        <w:t>2025</w:t>
      </w:r>
      <w:r>
        <w:rPr>
          <w:color w:val="142147" w:themeColor="accent1"/>
        </w:rPr>
        <w:t xml:space="preserve"> </w:t>
      </w:r>
      <w:r w:rsidR="00267948">
        <w:rPr>
          <w:color w:val="142147" w:themeColor="accent1"/>
        </w:rPr>
        <w:t>reporting</w:t>
      </w:r>
      <w:r>
        <w:rPr>
          <w:color w:val="142147" w:themeColor="accent1"/>
        </w:rPr>
        <w:t xml:space="preserve"> year</w:t>
      </w:r>
      <w:r w:rsidRPr="00D22DB3">
        <w:rPr>
          <w:color w:val="142147" w:themeColor="accent1"/>
        </w:rPr>
        <w:t xml:space="preserve"> was</w:t>
      </w:r>
      <w:r>
        <w:rPr>
          <w:color w:val="142147" w:themeColor="accent1"/>
        </w:rPr>
        <w:t xml:space="preserve"> </w:t>
      </w:r>
      <w:r w:rsidRPr="008278D9">
        <w:rPr>
          <w:b/>
          <w:bCs/>
          <w:color w:val="142147" w:themeColor="accent1"/>
        </w:rPr>
        <w:t>1</w:t>
      </w:r>
      <w:r>
        <w:rPr>
          <w:b/>
          <w:bCs/>
          <w:color w:val="142147" w:themeColor="accent1"/>
        </w:rPr>
        <w:t>8.2</w:t>
      </w:r>
      <w:r w:rsidRPr="008278D9">
        <w:rPr>
          <w:b/>
          <w:bCs/>
          <w:color w:val="142147" w:themeColor="accent1"/>
        </w:rPr>
        <w:t>%.</w:t>
      </w:r>
      <w:r w:rsidRPr="00D22DB3">
        <w:rPr>
          <w:color w:val="142147" w:themeColor="accent1"/>
        </w:rPr>
        <w:t xml:space="preserve"> </w:t>
      </w:r>
    </w:p>
    <w:p w14:paraId="40A73EB2" w14:textId="433A0CD1" w:rsidR="00BD4078" w:rsidRDefault="00BD4078" w:rsidP="00BD4078">
      <w:pPr>
        <w:rPr>
          <w:color w:val="142147" w:themeColor="accent1"/>
        </w:rPr>
      </w:pPr>
      <w:r>
        <w:rPr>
          <w:noProof/>
          <w:color w:val="142147" w:themeColor="accent1"/>
        </w:rPr>
        <w:drawing>
          <wp:anchor distT="0" distB="0" distL="114300" distR="114300" simplePos="0" relativeHeight="251670528" behindDoc="1" locked="0" layoutInCell="1" allowOverlap="1" wp14:anchorId="2562945E" wp14:editId="51E29E8F">
            <wp:simplePos x="0" y="0"/>
            <wp:positionH relativeFrom="column">
              <wp:posOffset>3862019</wp:posOffset>
            </wp:positionH>
            <wp:positionV relativeFrom="paragraph">
              <wp:posOffset>171127</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910640355"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44928" behindDoc="1" locked="0" layoutInCell="1" allowOverlap="1" wp14:anchorId="7DE9A791" wp14:editId="07CE5ACB">
            <wp:simplePos x="0" y="0"/>
            <wp:positionH relativeFrom="column">
              <wp:posOffset>5437344</wp:posOffset>
            </wp:positionH>
            <wp:positionV relativeFrom="paragraph">
              <wp:posOffset>320846</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43956709"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r>
        <w:rPr>
          <w:noProof/>
          <w:color w:val="142147" w:themeColor="accent1"/>
        </w:rPr>
        <w:drawing>
          <wp:anchor distT="0" distB="0" distL="114300" distR="114300" simplePos="0" relativeHeight="251625472" behindDoc="1" locked="0" layoutInCell="1" allowOverlap="1" wp14:anchorId="127DCDA1" wp14:editId="7F464F95">
            <wp:simplePos x="0" y="0"/>
            <wp:positionH relativeFrom="column">
              <wp:posOffset>5143386</wp:posOffset>
            </wp:positionH>
            <wp:positionV relativeFrom="paragraph">
              <wp:posOffset>118299</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341123270"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0987" name="Graphic 1931810987" descr="Marker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219075" cy="219075"/>
                    </a:xfrm>
                    <a:prstGeom prst="rect">
                      <a:avLst/>
                    </a:prstGeom>
                  </pic:spPr>
                </pic:pic>
              </a:graphicData>
            </a:graphic>
          </wp:anchor>
        </w:drawing>
      </w:r>
    </w:p>
    <w:p w14:paraId="6B1D1A23" w14:textId="77777777" w:rsidR="00BD4078" w:rsidRDefault="00BD4078" w:rsidP="00BD4078">
      <w:pPr>
        <w:rPr>
          <w:color w:val="142147" w:themeColor="accent1"/>
        </w:rPr>
      </w:pPr>
    </w:p>
    <w:p w14:paraId="05DDBF48" w14:textId="77777777" w:rsidR="004E7644" w:rsidRDefault="004E7644" w:rsidP="004E7644">
      <w:pPr>
        <w:pStyle w:val="Heading4"/>
      </w:pPr>
      <w:r w:rsidRPr="008E734D">
        <w:t xml:space="preserve">Optional elements </w:t>
      </w:r>
    </w:p>
    <w:p w14:paraId="26FFF191" w14:textId="77777777" w:rsidR="004E7644" w:rsidRPr="00426645" w:rsidRDefault="004E7644" w:rsidP="004E7644">
      <w:pPr>
        <w:pStyle w:val="Bullet"/>
        <w:tabs>
          <w:tab w:val="clear" w:pos="520"/>
          <w:tab w:val="num" w:pos="567"/>
        </w:tabs>
        <w:rPr>
          <w:b/>
          <w:bCs/>
          <w:color w:val="142147" w:themeColor="accent1"/>
        </w:rPr>
      </w:pPr>
      <w:r w:rsidRPr="00426645">
        <w:rPr>
          <w:b/>
          <w:bCs/>
          <w:color w:val="142147" w:themeColor="accent1"/>
        </w:rPr>
        <w:t>[Provide a description of the primary drivers of the gap between ETR and the weighted average statutory rate]</w:t>
      </w:r>
    </w:p>
    <w:p w14:paraId="43E31B4C" w14:textId="77777777" w:rsidR="004E7644" w:rsidRPr="00C613C2" w:rsidRDefault="004E7644" w:rsidP="004E7644">
      <w:pPr>
        <w:pStyle w:val="Bullet"/>
        <w:numPr>
          <w:ilvl w:val="0"/>
          <w:numId w:val="0"/>
        </w:numPr>
        <w:rPr>
          <w:color w:val="142147" w:themeColor="accent1"/>
        </w:rPr>
      </w:pPr>
      <w:r w:rsidRPr="00C613C2">
        <w:rPr>
          <w:color w:val="142147" w:themeColor="accent1"/>
        </w:rPr>
        <w:t>JAS Ltd’s effective tax rate differs from the</w:t>
      </w:r>
      <w:r>
        <w:rPr>
          <w:color w:val="142147" w:themeColor="accent1"/>
        </w:rPr>
        <w:t xml:space="preserve"> Australian</w:t>
      </w:r>
      <w:r w:rsidRPr="00C613C2">
        <w:rPr>
          <w:color w:val="142147" w:themeColor="accent1"/>
        </w:rPr>
        <w:t xml:space="preserve"> statutory corporate tax rate of 30% due to several items: </w:t>
      </w:r>
    </w:p>
    <w:p w14:paraId="7A9B015B" w14:textId="77777777" w:rsidR="004E7644" w:rsidRPr="007F562F" w:rsidRDefault="004E7644" w:rsidP="004E7644">
      <w:pPr>
        <w:pStyle w:val="Bullet"/>
        <w:tabs>
          <w:tab w:val="clear" w:pos="520"/>
          <w:tab w:val="num" w:pos="567"/>
        </w:tabs>
      </w:pPr>
      <w:r w:rsidRPr="000B05D8">
        <w:rPr>
          <w:color w:val="142147" w:themeColor="accent1"/>
        </w:rPr>
        <w:t xml:space="preserve">Differences in tax rates in </w:t>
      </w:r>
      <w:r>
        <w:rPr>
          <w:color w:val="142147" w:themeColor="accent1"/>
        </w:rPr>
        <w:t xml:space="preserve">the </w:t>
      </w:r>
      <w:r w:rsidRPr="000B05D8">
        <w:rPr>
          <w:color w:val="142147" w:themeColor="accent1"/>
        </w:rPr>
        <w:t xml:space="preserve">countries in which </w:t>
      </w:r>
      <w:r>
        <w:rPr>
          <w:color w:val="142147" w:themeColor="accent1"/>
        </w:rPr>
        <w:t>JAS Ltd</w:t>
      </w:r>
      <w:r w:rsidRPr="000B05D8">
        <w:rPr>
          <w:color w:val="142147" w:themeColor="accent1"/>
        </w:rPr>
        <w:t xml:space="preserve"> operate</w:t>
      </w:r>
      <w:r>
        <w:rPr>
          <w:color w:val="142147" w:themeColor="accent1"/>
        </w:rPr>
        <w:t xml:space="preserve">s; </w:t>
      </w:r>
    </w:p>
    <w:p w14:paraId="278FFC97" w14:textId="77777777" w:rsidR="004E7644" w:rsidRPr="001063E5" w:rsidRDefault="004E7644" w:rsidP="004E7644">
      <w:pPr>
        <w:pStyle w:val="Bullet"/>
        <w:tabs>
          <w:tab w:val="clear" w:pos="520"/>
          <w:tab w:val="num" w:pos="567"/>
        </w:tabs>
        <w:rPr>
          <w:color w:val="142147" w:themeColor="accent1"/>
        </w:rPr>
      </w:pPr>
      <w:r w:rsidRPr="001063E5">
        <w:rPr>
          <w:color w:val="142147" w:themeColor="accent1"/>
        </w:rPr>
        <w:t>Material temporary and non-temporary differences (book to tax adjustments);</w:t>
      </w:r>
    </w:p>
    <w:p w14:paraId="5DC61CAE" w14:textId="77777777" w:rsidR="004E7644" w:rsidRPr="004E7644" w:rsidRDefault="004E7644" w:rsidP="004E7644">
      <w:pPr>
        <w:pStyle w:val="Bullet"/>
        <w:tabs>
          <w:tab w:val="clear" w:pos="520"/>
          <w:tab w:val="num" w:pos="567"/>
        </w:tabs>
      </w:pPr>
      <w:r>
        <w:rPr>
          <w:color w:val="142147" w:themeColor="accent1"/>
        </w:rPr>
        <w:t>I</w:t>
      </w:r>
      <w:r w:rsidRPr="000B05D8">
        <w:rPr>
          <w:color w:val="142147" w:themeColor="accent1"/>
        </w:rPr>
        <w:t xml:space="preserve">ncentives such as R&amp;D </w:t>
      </w:r>
      <w:r>
        <w:rPr>
          <w:color w:val="142147" w:themeColor="accent1"/>
        </w:rPr>
        <w:t xml:space="preserve">tax offset which is applied; and </w:t>
      </w:r>
    </w:p>
    <w:p w14:paraId="4C466608" w14:textId="4602355D" w:rsidR="004E7644" w:rsidRPr="004E7644" w:rsidRDefault="004E7644" w:rsidP="004E7644">
      <w:pPr>
        <w:pStyle w:val="Bullet"/>
        <w:tabs>
          <w:tab w:val="clear" w:pos="520"/>
          <w:tab w:val="num" w:pos="567"/>
        </w:tabs>
      </w:pPr>
      <w:r w:rsidRPr="004E7644">
        <w:rPr>
          <w:color w:val="142147" w:themeColor="accent1"/>
        </w:rPr>
        <w:t xml:space="preserve">Country specific allowances and disallowances or limitations of certain deductions in countries.  </w:t>
      </w:r>
    </w:p>
    <w:p w14:paraId="5C486630" w14:textId="77777777" w:rsidR="00BD4078" w:rsidRDefault="00BD4078" w:rsidP="00BD4078">
      <w:pPr>
        <w:pStyle w:val="Heading3"/>
      </w:pPr>
      <w:r>
        <w:t>A reconciliation to ATO Corporate Tax Transparency Disclosures</w:t>
      </w:r>
    </w:p>
    <w:p w14:paraId="608525DD" w14:textId="1EB35C61" w:rsidR="00BD4078" w:rsidRPr="00C2412C" w:rsidRDefault="00BD4078" w:rsidP="00BD4078">
      <w:pPr>
        <w:rPr>
          <w:color w:val="142147" w:themeColor="accent1"/>
        </w:rPr>
      </w:pPr>
      <w:r w:rsidRPr="00D22DB3">
        <w:rPr>
          <w:color w:val="142147" w:themeColor="accent1"/>
        </w:rPr>
        <w:t xml:space="preserve">The ATO publishes </w:t>
      </w:r>
      <w:r>
        <w:rPr>
          <w:color w:val="142147" w:themeColor="accent1"/>
        </w:rPr>
        <w:t>certain</w:t>
      </w:r>
      <w:r w:rsidRPr="00D22DB3">
        <w:rPr>
          <w:color w:val="142147" w:themeColor="accent1"/>
        </w:rPr>
        <w:t xml:space="preserve"> Australian</w:t>
      </w:r>
      <w:r>
        <w:rPr>
          <w:color w:val="142147" w:themeColor="accent1"/>
        </w:rPr>
        <w:t xml:space="preserve"> income</w:t>
      </w:r>
      <w:r w:rsidRPr="00D22DB3">
        <w:rPr>
          <w:color w:val="142147" w:themeColor="accent1"/>
        </w:rPr>
        <w:t xml:space="preserve"> tax information in relation </w:t>
      </w:r>
      <w:r w:rsidRPr="00C2412C">
        <w:rPr>
          <w:color w:val="142147" w:themeColor="accent1"/>
        </w:rPr>
        <w:t>to large taxpayers annually, including JAS Ltd. The below table provides a summary of how the ATO’s 202</w:t>
      </w:r>
      <w:r w:rsidR="00904C5D">
        <w:rPr>
          <w:color w:val="142147" w:themeColor="accent1"/>
        </w:rPr>
        <w:t>3</w:t>
      </w:r>
      <w:r w:rsidRPr="00C2412C">
        <w:rPr>
          <w:color w:val="142147" w:themeColor="accent1"/>
        </w:rPr>
        <w:t xml:space="preserve"> FY public disclosures reconcile to the income tax paid and income tax payable disclosures in JAS Ltd’s 202</w:t>
      </w:r>
      <w:r w:rsidR="00904C5D">
        <w:rPr>
          <w:color w:val="142147" w:themeColor="accent1"/>
        </w:rPr>
        <w:t>3</w:t>
      </w:r>
      <w:r w:rsidRPr="00C2412C">
        <w:rPr>
          <w:color w:val="142147" w:themeColor="accent1"/>
        </w:rPr>
        <w:t xml:space="preserve"> FY </w:t>
      </w:r>
      <w:r w:rsidR="00005920">
        <w:rPr>
          <w:color w:val="142147" w:themeColor="accent1"/>
        </w:rPr>
        <w:t>V</w:t>
      </w:r>
      <w:r w:rsidRPr="00C2412C">
        <w:rPr>
          <w:color w:val="142147" w:themeColor="accent1"/>
        </w:rPr>
        <w:t xml:space="preserve">TTC. </w:t>
      </w:r>
    </w:p>
    <w:p w14:paraId="6F0A74BC" w14:textId="003632BC" w:rsidR="00BD4078" w:rsidRDefault="00BD4078" w:rsidP="00BD4078">
      <w:pPr>
        <w:rPr>
          <w:color w:val="142147" w:themeColor="accent1"/>
        </w:rPr>
      </w:pPr>
      <w:r w:rsidRPr="00C2412C">
        <w:rPr>
          <w:color w:val="142147" w:themeColor="accent1"/>
        </w:rPr>
        <w:t>The ATO public disclosure amounts will differ from the numbers disclosed in JAS Ltd’s 202</w:t>
      </w:r>
      <w:r w:rsidR="00904C5D">
        <w:rPr>
          <w:color w:val="142147" w:themeColor="accent1"/>
        </w:rPr>
        <w:t>3</w:t>
      </w:r>
      <w:r w:rsidRPr="00C2412C">
        <w:rPr>
          <w:color w:val="142147" w:themeColor="accent1"/>
        </w:rPr>
        <w:t xml:space="preserve"> </w:t>
      </w:r>
      <w:r w:rsidR="00005920">
        <w:rPr>
          <w:color w:val="142147" w:themeColor="accent1"/>
        </w:rPr>
        <w:t>V</w:t>
      </w:r>
      <w:r w:rsidRPr="00C2412C">
        <w:rPr>
          <w:color w:val="142147" w:themeColor="accent1"/>
        </w:rPr>
        <w:t>TTC</w:t>
      </w:r>
      <w:r>
        <w:rPr>
          <w:color w:val="142147" w:themeColor="accent1"/>
        </w:rPr>
        <w:t>:</w:t>
      </w:r>
    </w:p>
    <w:p w14:paraId="7F2D4E3F" w14:textId="77777777" w:rsidR="00BD4078" w:rsidRPr="0006262B" w:rsidRDefault="00BD4078" w:rsidP="00BD4078">
      <w:pPr>
        <w:pStyle w:val="Bullet"/>
        <w:tabs>
          <w:tab w:val="clear" w:pos="520"/>
          <w:tab w:val="num" w:pos="567"/>
        </w:tabs>
        <w:rPr>
          <w:color w:val="142147" w:themeColor="accent1"/>
        </w:rPr>
      </w:pPr>
      <w:r w:rsidRPr="0006262B">
        <w:rPr>
          <w:color w:val="142147" w:themeColor="accent1"/>
        </w:rPr>
        <w:t xml:space="preserve">The ATO amounts reflect the Australian tax consolidated group whereas JAS Ltd’s annual report includes the JAS Ltd global group. </w:t>
      </w:r>
    </w:p>
    <w:p w14:paraId="081FD421" w14:textId="77777777" w:rsidR="00BD4078" w:rsidRPr="00494C0A" w:rsidRDefault="00BD4078" w:rsidP="00BD4078">
      <w:pPr>
        <w:pStyle w:val="Bullet"/>
        <w:tabs>
          <w:tab w:val="clear" w:pos="520"/>
          <w:tab w:val="num" w:pos="567"/>
        </w:tabs>
        <w:rPr>
          <w:color w:val="142147" w:themeColor="accent1"/>
        </w:rPr>
      </w:pPr>
      <w:r w:rsidRPr="00494C0A">
        <w:rPr>
          <w:color w:val="142147" w:themeColor="accent1"/>
        </w:rPr>
        <w:t>Foreign subsidiaries and entities that are not wholly owned cannot be members of the Australian tax consolidated group.</w:t>
      </w:r>
    </w:p>
    <w:p w14:paraId="4819B899" w14:textId="250A8DB0" w:rsidR="00BD4078" w:rsidRPr="00202FC0" w:rsidRDefault="00BD4078" w:rsidP="00BD4078">
      <w:pPr>
        <w:pStyle w:val="Bullet"/>
        <w:tabs>
          <w:tab w:val="clear" w:pos="520"/>
          <w:tab w:val="num" w:pos="567"/>
        </w:tabs>
        <w:rPr>
          <w:color w:val="142147" w:themeColor="accent1"/>
        </w:rPr>
      </w:pPr>
      <w:r w:rsidRPr="00494C0A">
        <w:rPr>
          <w:color w:val="142147" w:themeColor="accent1"/>
        </w:rPr>
        <w:t>Tax payable disclosed by the ATO includes credits for taxes paid on offshore income that is also taxable in Australia.</w:t>
      </w:r>
    </w:p>
    <w:tbl>
      <w:tblPr>
        <w:tblStyle w:val="PlainTable5"/>
        <w:tblW w:w="0" w:type="auto"/>
        <w:tblLook w:val="04A0" w:firstRow="1" w:lastRow="0" w:firstColumn="1" w:lastColumn="0" w:noHBand="0" w:noVBand="1"/>
      </w:tblPr>
      <w:tblGrid>
        <w:gridCol w:w="4962"/>
        <w:gridCol w:w="2126"/>
        <w:gridCol w:w="2410"/>
      </w:tblGrid>
      <w:tr w:rsidR="00BD4078" w:rsidRPr="005335ED" w14:paraId="1DC07A64" w14:textId="77777777" w:rsidTr="00164C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tcBorders>
              <w:bottom w:val="none" w:sz="0" w:space="0" w:color="auto"/>
              <w:right w:val="single" w:sz="4" w:space="0" w:color="701F4D" w:themeColor="accent2"/>
            </w:tcBorders>
            <w:shd w:val="clear" w:color="auto" w:fill="142147" w:themeFill="accent1"/>
          </w:tcPr>
          <w:p w14:paraId="1DCBB1C8" w14:textId="5B873E6F" w:rsidR="00BD4078" w:rsidRPr="005A4915" w:rsidRDefault="00D77FFB">
            <w:pPr>
              <w:jc w:val="left"/>
              <w:rPr>
                <w:rFonts w:asciiTheme="minorHAnsi" w:hAnsiTheme="minorHAnsi" w:cstheme="minorHAnsi"/>
                <w:b/>
                <w:bCs/>
                <w:i w:val="0"/>
                <w:iCs w:val="0"/>
                <w:color w:val="FFFFFF" w:themeColor="background1"/>
                <w:sz w:val="22"/>
              </w:rPr>
            </w:pPr>
            <w:r>
              <w:rPr>
                <w:rFonts w:asciiTheme="minorHAnsi" w:hAnsiTheme="minorHAnsi" w:cstheme="minorHAnsi"/>
                <w:b/>
                <w:bCs/>
                <w:i w:val="0"/>
                <w:iCs w:val="0"/>
                <w:color w:val="FFFFFF" w:themeColor="background1"/>
                <w:sz w:val="22"/>
              </w:rPr>
              <w:t xml:space="preserve">Reconciliation </w:t>
            </w:r>
          </w:p>
        </w:tc>
        <w:tc>
          <w:tcPr>
            <w:tcW w:w="2126" w:type="dxa"/>
            <w:tcBorders>
              <w:left w:val="single" w:sz="4" w:space="0" w:color="701F4D" w:themeColor="accent2"/>
              <w:bottom w:val="none" w:sz="0" w:space="0" w:color="auto"/>
            </w:tcBorders>
            <w:shd w:val="clear" w:color="auto" w:fill="142147" w:themeFill="accent1"/>
          </w:tcPr>
          <w:p w14:paraId="2A700439" w14:textId="26EB1590" w:rsidR="00BD4078" w:rsidRPr="005A4915" w:rsidRDefault="00BD40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FFFFFF" w:themeColor="background1"/>
                <w:sz w:val="22"/>
              </w:rPr>
            </w:pPr>
            <w:r>
              <w:rPr>
                <w:rFonts w:asciiTheme="minorHAnsi" w:hAnsiTheme="minorHAnsi" w:cstheme="minorHAnsi"/>
                <w:b/>
                <w:bCs/>
                <w:i w:val="0"/>
                <w:iCs w:val="0"/>
                <w:color w:val="FFFFFF" w:themeColor="background1"/>
                <w:sz w:val="22"/>
              </w:rPr>
              <w:t>202</w:t>
            </w:r>
            <w:r w:rsidR="00904C5D">
              <w:rPr>
                <w:rFonts w:asciiTheme="minorHAnsi" w:hAnsiTheme="minorHAnsi" w:cstheme="minorHAnsi"/>
                <w:b/>
                <w:bCs/>
                <w:i w:val="0"/>
                <w:iCs w:val="0"/>
                <w:color w:val="FFFFFF" w:themeColor="background1"/>
                <w:sz w:val="22"/>
              </w:rPr>
              <w:t>3</w:t>
            </w:r>
            <w:r>
              <w:rPr>
                <w:rFonts w:asciiTheme="minorHAnsi" w:hAnsiTheme="minorHAnsi" w:cstheme="minorHAnsi"/>
                <w:b/>
                <w:bCs/>
                <w:i w:val="0"/>
                <w:iCs w:val="0"/>
                <w:color w:val="FFFFFF" w:themeColor="background1"/>
                <w:sz w:val="22"/>
              </w:rPr>
              <w:t xml:space="preserve"> FY ($,000)</w:t>
            </w:r>
          </w:p>
        </w:tc>
        <w:tc>
          <w:tcPr>
            <w:tcW w:w="2410" w:type="dxa"/>
            <w:tcBorders>
              <w:bottom w:val="none" w:sz="0" w:space="0" w:color="auto"/>
            </w:tcBorders>
            <w:shd w:val="clear" w:color="auto" w:fill="142147" w:themeFill="accent1"/>
          </w:tcPr>
          <w:p w14:paraId="265ECBE3" w14:textId="77777777" w:rsidR="00BD4078" w:rsidRPr="00022974" w:rsidRDefault="00BD40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color w:val="FFFFFF" w:themeColor="background1"/>
                <w:sz w:val="22"/>
                <w:szCs w:val="18"/>
              </w:rPr>
            </w:pPr>
            <w:r w:rsidRPr="00213391">
              <w:rPr>
                <w:rFonts w:asciiTheme="minorHAnsi" w:hAnsiTheme="minorHAnsi" w:cstheme="minorHAnsi"/>
                <w:b/>
                <w:bCs/>
                <w:i w:val="0"/>
                <w:iCs w:val="0"/>
                <w:color w:val="FFFFFF" w:themeColor="background1"/>
                <w:sz w:val="22"/>
                <w:szCs w:val="18"/>
              </w:rPr>
              <w:t>ATO Disclosure</w:t>
            </w:r>
            <w:r>
              <w:rPr>
                <w:rFonts w:asciiTheme="minorHAnsi" w:hAnsiTheme="minorHAnsi" w:cstheme="minorHAnsi"/>
                <w:b/>
                <w:bCs/>
                <w:i w:val="0"/>
                <w:iCs w:val="0"/>
                <w:color w:val="FFFFFF" w:themeColor="background1"/>
                <w:sz w:val="22"/>
                <w:szCs w:val="18"/>
              </w:rPr>
              <w:t xml:space="preserve"> </w:t>
            </w:r>
            <w:r>
              <w:rPr>
                <w:rFonts w:asciiTheme="minorHAnsi" w:hAnsiTheme="minorHAnsi" w:cstheme="minorHAnsi"/>
                <w:b/>
                <w:bCs/>
                <w:i w:val="0"/>
                <w:iCs w:val="0"/>
                <w:color w:val="FFFFFF" w:themeColor="background1"/>
                <w:sz w:val="22"/>
              </w:rPr>
              <w:t>($,000)</w:t>
            </w:r>
          </w:p>
        </w:tc>
      </w:tr>
      <w:tr w:rsidR="00BD4078" w:rsidRPr="005335ED" w14:paraId="0D37E412"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701F4D"/>
              <w:right w:val="none" w:sz="0" w:space="0" w:color="auto"/>
            </w:tcBorders>
            <w:shd w:val="clear" w:color="auto" w:fill="E5DACA" w:themeFill="accent3" w:themeFillTint="99"/>
          </w:tcPr>
          <w:p w14:paraId="7C240745" w14:textId="77777777" w:rsidR="00BD4078" w:rsidRPr="00F34679" w:rsidRDefault="00BD4078">
            <w:pPr>
              <w:jc w:val="left"/>
              <w:rPr>
                <w:rFonts w:asciiTheme="minorHAnsi" w:hAnsiTheme="minorHAnsi" w:cstheme="minorHAnsi"/>
                <w:b/>
                <w:bCs/>
                <w:i w:val="0"/>
                <w:iCs w:val="0"/>
                <w:color w:val="142147" w:themeColor="accent1"/>
                <w:sz w:val="22"/>
                <w:szCs w:val="18"/>
              </w:rPr>
            </w:pPr>
            <w:r w:rsidRPr="00F34679">
              <w:rPr>
                <w:rFonts w:asciiTheme="minorHAnsi" w:hAnsiTheme="minorHAnsi" w:cstheme="minorHAnsi"/>
                <w:b/>
                <w:bCs/>
                <w:i w:val="0"/>
                <w:iCs w:val="0"/>
                <w:color w:val="142147" w:themeColor="accent1"/>
                <w:sz w:val="22"/>
                <w:szCs w:val="18"/>
              </w:rPr>
              <w:t xml:space="preserve">Total Australian income and accounting profit </w:t>
            </w:r>
          </w:p>
        </w:tc>
      </w:tr>
      <w:tr w:rsidR="00BD4078" w:rsidRPr="005335ED" w14:paraId="6C7E4D29"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701F4D"/>
              <w:right w:val="single" w:sz="4" w:space="0" w:color="701F4D" w:themeColor="accent2"/>
            </w:tcBorders>
          </w:tcPr>
          <w:p w14:paraId="34353FB6" w14:textId="77777777" w:rsidR="00BD4078" w:rsidRPr="00C534F9" w:rsidRDefault="00BD4078">
            <w:pPr>
              <w:jc w:val="left"/>
              <w:rPr>
                <w:rFonts w:asciiTheme="minorHAnsi" w:hAnsiTheme="minorHAnsi" w:cstheme="minorHAnsi"/>
                <w:b/>
                <w:bCs/>
                <w:color w:val="142147" w:themeColor="accent1"/>
              </w:rPr>
            </w:pPr>
            <w:r w:rsidRPr="00C534F9">
              <w:rPr>
                <w:rFonts w:asciiTheme="minorHAnsi" w:hAnsiTheme="minorHAnsi" w:cstheme="minorHAnsi"/>
                <w:b/>
                <w:bCs/>
                <w:i w:val="0"/>
                <w:iCs w:val="0"/>
                <w:color w:val="142147" w:themeColor="accent1"/>
                <w:sz w:val="22"/>
              </w:rPr>
              <w:t>Total income</w:t>
            </w:r>
            <w:r>
              <w:rPr>
                <w:rFonts w:asciiTheme="minorHAnsi" w:hAnsiTheme="minorHAnsi" w:cstheme="minorHAnsi"/>
                <w:b/>
                <w:bCs/>
                <w:i w:val="0"/>
                <w:iCs w:val="0"/>
                <w:color w:val="142147" w:themeColor="accent1"/>
                <w:sz w:val="22"/>
              </w:rPr>
              <w:t xml:space="preserve"> </w:t>
            </w:r>
          </w:p>
        </w:tc>
        <w:tc>
          <w:tcPr>
            <w:tcW w:w="2126" w:type="dxa"/>
            <w:tcBorders>
              <w:left w:val="single" w:sz="4" w:space="0" w:color="701F4D" w:themeColor="accent2"/>
              <w:bottom w:val="single" w:sz="4" w:space="0" w:color="701F4D"/>
              <w:right w:val="single" w:sz="4" w:space="0" w:color="701F4D"/>
            </w:tcBorders>
            <w:shd w:val="clear" w:color="auto" w:fill="F6F2ED" w:themeFill="accent3" w:themeFillTint="33"/>
          </w:tcPr>
          <w:p w14:paraId="79D9F34B" w14:textId="77777777" w:rsidR="00BD4078" w:rsidRPr="00BF249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BF2492">
              <w:rPr>
                <w:rFonts w:asciiTheme="minorHAnsi" w:hAnsiTheme="minorHAnsi" w:cstheme="minorHAnsi"/>
                <w:b/>
                <w:bCs/>
                <w:color w:val="142147" w:themeColor="accent1"/>
              </w:rPr>
              <w:t>2,170,256</w:t>
            </w:r>
          </w:p>
        </w:tc>
        <w:tc>
          <w:tcPr>
            <w:tcW w:w="2410" w:type="dxa"/>
            <w:tcBorders>
              <w:left w:val="single" w:sz="4" w:space="0" w:color="701F4D"/>
              <w:bottom w:val="single" w:sz="4" w:space="0" w:color="701F4D" w:themeColor="accent2"/>
            </w:tcBorders>
            <w:shd w:val="clear" w:color="auto" w:fill="F6F2ED" w:themeFill="accent3" w:themeFillTint="33"/>
          </w:tcPr>
          <w:p w14:paraId="39577DB5" w14:textId="77777777" w:rsidR="00BD4078" w:rsidRPr="00BF249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BF2492">
              <w:rPr>
                <w:rFonts w:asciiTheme="minorHAnsi" w:hAnsiTheme="minorHAnsi" w:cstheme="minorHAnsi"/>
                <w:b/>
                <w:bCs/>
                <w:color w:val="142147" w:themeColor="accent1"/>
              </w:rPr>
              <w:t>2,170,256</w:t>
            </w:r>
          </w:p>
        </w:tc>
      </w:tr>
      <w:tr w:rsidR="0023481C" w:rsidRPr="005335ED" w14:paraId="047D5943"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446317E1" w14:textId="77777777" w:rsidR="0023481C" w:rsidRPr="00610074" w:rsidRDefault="0023481C" w:rsidP="0023481C">
            <w:pPr>
              <w:jc w:val="left"/>
              <w:rPr>
                <w:rFonts w:asciiTheme="minorHAnsi" w:hAnsiTheme="minorHAnsi" w:cstheme="minorHAnsi"/>
                <w:i w:val="0"/>
                <w:iCs w:val="0"/>
                <w:color w:val="142147" w:themeColor="accent1"/>
                <w:sz w:val="22"/>
              </w:rPr>
            </w:pPr>
            <w:r w:rsidRPr="00610074">
              <w:rPr>
                <w:rFonts w:asciiTheme="minorHAnsi" w:hAnsiTheme="minorHAnsi" w:cstheme="minorHAnsi"/>
                <w:i w:val="0"/>
                <w:iCs w:val="0"/>
                <w:color w:val="142147" w:themeColor="accent1"/>
                <w:sz w:val="22"/>
              </w:rPr>
              <w:t xml:space="preserve">Total expenses </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2897E17D" w14:textId="77777777" w:rsidR="0023481C" w:rsidRPr="00BF2492" w:rsidRDefault="0023481C" w:rsidP="0023481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(2,033,764)</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65B24E93" w14:textId="6D1AD6FE" w:rsidR="0023481C" w:rsidRPr="00BF2492" w:rsidRDefault="0023481C" w:rsidP="004E627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r>
      <w:tr w:rsidR="0023481C" w:rsidRPr="005335ED" w14:paraId="43C64BD7"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57D61C7B" w14:textId="77777777" w:rsidR="0023481C" w:rsidRPr="00C534F9" w:rsidRDefault="0023481C" w:rsidP="0023481C">
            <w:pPr>
              <w:jc w:val="left"/>
              <w:rPr>
                <w:rFonts w:asciiTheme="minorHAnsi" w:hAnsiTheme="minorHAnsi" w:cstheme="minorHAnsi"/>
                <w:color w:val="142147" w:themeColor="accent1"/>
              </w:rPr>
            </w:pPr>
            <w:r>
              <w:rPr>
                <w:rFonts w:asciiTheme="minorHAnsi" w:hAnsiTheme="minorHAnsi" w:cstheme="minorHAnsi"/>
                <w:i w:val="0"/>
                <w:iCs w:val="0"/>
                <w:color w:val="142147" w:themeColor="accent1"/>
                <w:sz w:val="22"/>
              </w:rPr>
              <w:t>Profit before tax</w:t>
            </w:r>
            <w:r w:rsidRPr="00C534F9">
              <w:rPr>
                <w:rFonts w:asciiTheme="minorHAnsi" w:hAnsiTheme="minorHAnsi" w:cstheme="minorHAnsi"/>
                <w:i w:val="0"/>
                <w:iCs w:val="0"/>
                <w:color w:val="142147" w:themeColor="accent1"/>
                <w:sz w:val="22"/>
              </w:rPr>
              <w:t xml:space="preserve"> (accounting profit)</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4C0F7CEA" w14:textId="77777777" w:rsidR="0023481C" w:rsidRPr="00BF2492" w:rsidRDefault="0023481C" w:rsidP="0023481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136,492</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937FBDF" w14:textId="6906B5AF" w:rsidR="0023481C" w:rsidRPr="00BF2492" w:rsidRDefault="0023481C" w:rsidP="004E627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r>
      <w:tr w:rsidR="00BD4078" w:rsidRPr="005335ED" w14:paraId="3AF2936D"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701F4D"/>
              <w:bottom w:val="single" w:sz="4" w:space="0" w:color="701F4D"/>
              <w:right w:val="none" w:sz="0" w:space="0" w:color="auto"/>
            </w:tcBorders>
            <w:shd w:val="clear" w:color="auto" w:fill="E5DACA" w:themeFill="accent3" w:themeFillTint="99"/>
          </w:tcPr>
          <w:p w14:paraId="295848EE" w14:textId="77777777" w:rsidR="00BD4078" w:rsidRPr="00BF2492" w:rsidRDefault="00BD4078">
            <w:pPr>
              <w:jc w:val="left"/>
              <w:rPr>
                <w:rFonts w:asciiTheme="minorHAnsi" w:hAnsiTheme="minorHAnsi" w:cstheme="minorHAnsi"/>
                <w:b/>
                <w:bCs/>
                <w:color w:val="142147" w:themeColor="accent1"/>
                <w:sz w:val="22"/>
                <w:szCs w:val="18"/>
              </w:rPr>
            </w:pPr>
            <w:r w:rsidRPr="00BF2492">
              <w:rPr>
                <w:rFonts w:asciiTheme="minorHAnsi" w:hAnsiTheme="minorHAnsi" w:cstheme="minorHAnsi"/>
                <w:b/>
                <w:bCs/>
                <w:i w:val="0"/>
                <w:iCs w:val="0"/>
                <w:color w:val="142147" w:themeColor="accent1"/>
                <w:sz w:val="22"/>
                <w:szCs w:val="18"/>
              </w:rPr>
              <w:t xml:space="preserve">Book to tax adjustments </w:t>
            </w:r>
          </w:p>
        </w:tc>
      </w:tr>
      <w:tr w:rsidR="00BF5056" w:rsidRPr="005335ED" w14:paraId="334EA60E"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070E8296" w14:textId="77777777" w:rsidR="00BF5056" w:rsidRPr="00610074" w:rsidRDefault="00BF5056" w:rsidP="00BF5056">
            <w:pPr>
              <w:jc w:val="left"/>
              <w:rPr>
                <w:rFonts w:asciiTheme="minorHAnsi" w:hAnsiTheme="minorHAnsi" w:cstheme="minorHAnsi"/>
                <w:i w:val="0"/>
                <w:iCs w:val="0"/>
                <w:color w:val="142147" w:themeColor="accent1"/>
                <w:sz w:val="22"/>
              </w:rPr>
            </w:pPr>
            <w:r w:rsidRPr="00610074">
              <w:rPr>
                <w:rFonts w:asciiTheme="minorHAnsi" w:hAnsiTheme="minorHAnsi" w:cstheme="minorHAnsi"/>
                <w:i w:val="0"/>
                <w:iCs w:val="0"/>
                <w:color w:val="142147" w:themeColor="accent1"/>
                <w:sz w:val="22"/>
              </w:rPr>
              <w:t>Non-temporary differences</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52B45AA1" w14:textId="77777777" w:rsidR="00BF5056" w:rsidRPr="00BF2492" w:rsidRDefault="00BF5056" w:rsidP="00BF505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(556)</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6C05BDC9" w14:textId="526E8BB7" w:rsidR="00BF5056" w:rsidRPr="00BF2492" w:rsidRDefault="0023481C" w:rsidP="004E627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r>
      <w:tr w:rsidR="0023481C" w:rsidRPr="001738BD" w14:paraId="66A723EA"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6B453F6D" w14:textId="77777777" w:rsidR="0023481C" w:rsidRPr="00610074" w:rsidRDefault="0023481C" w:rsidP="0023481C">
            <w:pPr>
              <w:jc w:val="left"/>
              <w:rPr>
                <w:rFonts w:asciiTheme="minorHAnsi" w:hAnsiTheme="minorHAnsi" w:cstheme="minorHAnsi"/>
                <w:i w:val="0"/>
                <w:iCs w:val="0"/>
                <w:color w:val="142147" w:themeColor="accent1"/>
                <w:sz w:val="22"/>
              </w:rPr>
            </w:pPr>
            <w:r w:rsidRPr="00610074">
              <w:rPr>
                <w:rFonts w:asciiTheme="minorHAnsi" w:hAnsiTheme="minorHAnsi" w:cstheme="minorHAnsi"/>
                <w:i w:val="0"/>
                <w:iCs w:val="0"/>
                <w:color w:val="142147" w:themeColor="accent1"/>
                <w:sz w:val="22"/>
              </w:rPr>
              <w:t>Temporary differences</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5A9F185B" w14:textId="77777777" w:rsidR="0023481C" w:rsidRPr="00BF2492" w:rsidRDefault="0023481C" w:rsidP="0023481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53,020</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24763A4B" w14:textId="23F77B9E" w:rsidR="0023481C" w:rsidRPr="00BF2492" w:rsidRDefault="0023481C" w:rsidP="004E627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r>
      <w:tr w:rsidR="00BF5056" w:rsidRPr="001738BD" w14:paraId="24BAA733"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3519AB97" w14:textId="77777777" w:rsidR="00BF5056" w:rsidRPr="00B25619" w:rsidRDefault="00BF5056" w:rsidP="00BF5056">
            <w:pPr>
              <w:jc w:val="left"/>
              <w:rPr>
                <w:rFonts w:asciiTheme="minorHAnsi" w:hAnsiTheme="minorHAnsi" w:cstheme="minorHAnsi"/>
                <w:b/>
                <w:bCs/>
                <w:i w:val="0"/>
                <w:iCs w:val="0"/>
                <w:color w:val="142147" w:themeColor="accent1"/>
                <w:sz w:val="22"/>
                <w:szCs w:val="18"/>
              </w:rPr>
            </w:pPr>
            <w:r w:rsidRPr="00B25619">
              <w:rPr>
                <w:rFonts w:asciiTheme="minorHAnsi" w:hAnsiTheme="minorHAnsi" w:cstheme="minorHAnsi"/>
                <w:b/>
                <w:bCs/>
                <w:i w:val="0"/>
                <w:iCs w:val="0"/>
                <w:color w:val="142147" w:themeColor="accent1"/>
                <w:sz w:val="22"/>
                <w:szCs w:val="18"/>
              </w:rPr>
              <w:t>Taxable income</w:t>
            </w:r>
          </w:p>
        </w:tc>
        <w:tc>
          <w:tcPr>
            <w:tcW w:w="2126" w:type="dxa"/>
            <w:tcBorders>
              <w:top w:val="single" w:sz="4" w:space="0" w:color="701F4D"/>
              <w:left w:val="single" w:sz="4" w:space="0" w:color="701F4D" w:themeColor="accent2"/>
              <w:bottom w:val="single" w:sz="4" w:space="0" w:color="701F4D"/>
              <w:right w:val="single" w:sz="4" w:space="0" w:color="701F4D"/>
            </w:tcBorders>
            <w:shd w:val="clear" w:color="auto" w:fill="F6F2ED" w:themeFill="accent3" w:themeFillTint="33"/>
          </w:tcPr>
          <w:p w14:paraId="34D882B1" w14:textId="77777777" w:rsidR="00BF5056" w:rsidRPr="00B25619" w:rsidRDefault="00BF5056" w:rsidP="00BF505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B25619">
              <w:rPr>
                <w:rFonts w:asciiTheme="minorHAnsi" w:hAnsiTheme="minorHAnsi" w:cstheme="minorHAnsi"/>
                <w:b/>
                <w:bCs/>
                <w:color w:val="142147" w:themeColor="accent1"/>
              </w:rPr>
              <w:t>188,956</w:t>
            </w:r>
          </w:p>
        </w:tc>
        <w:tc>
          <w:tcPr>
            <w:tcW w:w="2410"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711A9B09" w14:textId="77777777" w:rsidR="00BF5056" w:rsidRPr="00B25619" w:rsidRDefault="00BF5056" w:rsidP="00BF505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B25619">
              <w:rPr>
                <w:rFonts w:asciiTheme="minorHAnsi" w:hAnsiTheme="minorHAnsi" w:cstheme="minorHAnsi"/>
                <w:b/>
                <w:bCs/>
                <w:color w:val="142147" w:themeColor="accent1"/>
              </w:rPr>
              <w:t>188,956</w:t>
            </w:r>
          </w:p>
        </w:tc>
      </w:tr>
      <w:tr w:rsidR="0023481C" w:rsidRPr="001738BD" w14:paraId="700ADB9D"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27AD1DFB" w14:textId="77777777" w:rsidR="0023481C" w:rsidRPr="0088392A" w:rsidRDefault="0023481C" w:rsidP="0023481C">
            <w:pPr>
              <w:jc w:val="left"/>
              <w:rPr>
                <w:rFonts w:asciiTheme="minorHAnsi" w:hAnsiTheme="minorHAnsi" w:cstheme="minorHAnsi"/>
                <w:color w:val="142147" w:themeColor="accent1"/>
              </w:rPr>
            </w:pPr>
            <w:r w:rsidRPr="0088392A">
              <w:rPr>
                <w:rFonts w:asciiTheme="minorHAnsi" w:hAnsiTheme="minorHAnsi" w:cstheme="minorHAnsi"/>
                <w:i w:val="0"/>
                <w:iCs w:val="0"/>
                <w:color w:val="142147" w:themeColor="accent1"/>
                <w:sz w:val="22"/>
              </w:rPr>
              <w:t>Tax payable at 30% statutory rate</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3763E07B" w14:textId="77777777" w:rsidR="0023481C" w:rsidRPr="00BF2492" w:rsidRDefault="0023481C" w:rsidP="0023481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56,687</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DA78E4D" w14:textId="562C12E8" w:rsidR="0023481C" w:rsidRPr="00BF2492" w:rsidRDefault="0023481C" w:rsidP="004E627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color w:val="142147" w:themeColor="accent1"/>
              </w:rPr>
              <w:t>n/a</w:t>
            </w:r>
          </w:p>
        </w:tc>
      </w:tr>
      <w:tr w:rsidR="0023481C" w:rsidRPr="001738BD" w14:paraId="24E33192"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tcPr>
          <w:p w14:paraId="6B98065A" w14:textId="77777777" w:rsidR="0023481C" w:rsidRPr="00610074" w:rsidRDefault="0023481C" w:rsidP="0023481C">
            <w:pPr>
              <w:jc w:val="left"/>
              <w:rPr>
                <w:rFonts w:asciiTheme="minorHAnsi" w:hAnsiTheme="minorHAnsi" w:cstheme="minorHAnsi"/>
                <w:i w:val="0"/>
                <w:iCs w:val="0"/>
                <w:color w:val="142147" w:themeColor="accent1"/>
                <w:sz w:val="22"/>
              </w:rPr>
            </w:pPr>
            <w:r w:rsidRPr="00610074">
              <w:rPr>
                <w:rFonts w:asciiTheme="minorHAnsi" w:hAnsiTheme="minorHAnsi" w:cstheme="minorHAnsi"/>
                <w:i w:val="0"/>
                <w:iCs w:val="0"/>
                <w:color w:val="142147" w:themeColor="accent1"/>
                <w:sz w:val="22"/>
              </w:rPr>
              <w:t xml:space="preserve">R&amp;D tax offset  </w:t>
            </w:r>
          </w:p>
        </w:tc>
        <w:tc>
          <w:tcPr>
            <w:tcW w:w="2126" w:type="dxa"/>
            <w:tcBorders>
              <w:top w:val="single" w:sz="4" w:space="0" w:color="701F4D"/>
              <w:left w:val="single" w:sz="4" w:space="0" w:color="701F4D" w:themeColor="accent2"/>
              <w:bottom w:val="single" w:sz="4" w:space="0" w:color="701F4D"/>
              <w:right w:val="single" w:sz="4" w:space="0" w:color="701F4D" w:themeColor="accent2"/>
            </w:tcBorders>
            <w:shd w:val="clear" w:color="auto" w:fill="F6F2ED" w:themeFill="accent3" w:themeFillTint="33"/>
          </w:tcPr>
          <w:p w14:paraId="42388F53" w14:textId="77777777" w:rsidR="0023481C" w:rsidRPr="00BF2492" w:rsidRDefault="0023481C" w:rsidP="0023481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BF2492">
              <w:rPr>
                <w:rFonts w:asciiTheme="minorHAnsi" w:hAnsiTheme="minorHAnsi" w:cstheme="minorHAnsi"/>
                <w:color w:val="142147" w:themeColor="accent1"/>
              </w:rPr>
              <w:t xml:space="preserve"> (12,630)</w:t>
            </w:r>
          </w:p>
        </w:tc>
        <w:tc>
          <w:tcPr>
            <w:tcW w:w="2410"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0EDF3AE6" w14:textId="3173DB53" w:rsidR="0023481C" w:rsidRPr="00BF2492" w:rsidRDefault="0023481C" w:rsidP="004E627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r>
      <w:tr w:rsidR="00BF5056" w:rsidRPr="001738BD" w14:paraId="7CB58F76"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01F4D"/>
              <w:bottom w:val="single" w:sz="4" w:space="0" w:color="701F4D"/>
              <w:right w:val="single" w:sz="4" w:space="0" w:color="701F4D" w:themeColor="accent2"/>
            </w:tcBorders>
            <w:shd w:val="clear" w:color="auto" w:fill="D4C2A8" w:themeFill="accent3"/>
          </w:tcPr>
          <w:p w14:paraId="22DF58BA" w14:textId="77777777" w:rsidR="00BF5056" w:rsidRPr="005363ED" w:rsidRDefault="00BF5056" w:rsidP="00BF5056">
            <w:pPr>
              <w:jc w:val="left"/>
              <w:rPr>
                <w:rFonts w:asciiTheme="minorHAnsi" w:hAnsiTheme="minorHAnsi" w:cstheme="minorHAnsi"/>
                <w:b/>
                <w:bCs/>
                <w:color w:val="142147" w:themeColor="accent1"/>
              </w:rPr>
            </w:pPr>
            <w:r>
              <w:rPr>
                <w:rFonts w:asciiTheme="minorHAnsi" w:hAnsiTheme="minorHAnsi" w:cstheme="minorHAnsi"/>
                <w:b/>
                <w:bCs/>
                <w:i w:val="0"/>
                <w:iCs w:val="0"/>
                <w:color w:val="142147" w:themeColor="accent1"/>
                <w:sz w:val="22"/>
              </w:rPr>
              <w:t>Income tax</w:t>
            </w:r>
            <w:r w:rsidRPr="00610074">
              <w:rPr>
                <w:rFonts w:asciiTheme="minorHAnsi" w:hAnsiTheme="minorHAnsi" w:cstheme="minorHAnsi"/>
                <w:b/>
                <w:bCs/>
                <w:i w:val="0"/>
                <w:iCs w:val="0"/>
                <w:color w:val="142147" w:themeColor="accent1"/>
                <w:sz w:val="22"/>
              </w:rPr>
              <w:t xml:space="preserve"> </w:t>
            </w:r>
            <w:r>
              <w:rPr>
                <w:rFonts w:asciiTheme="minorHAnsi" w:hAnsiTheme="minorHAnsi" w:cstheme="minorHAnsi"/>
                <w:b/>
                <w:bCs/>
                <w:i w:val="0"/>
                <w:iCs w:val="0"/>
                <w:color w:val="142147" w:themeColor="accent1"/>
                <w:sz w:val="22"/>
              </w:rPr>
              <w:t>payable</w:t>
            </w:r>
            <w:r w:rsidRPr="00610074">
              <w:rPr>
                <w:rFonts w:asciiTheme="minorHAnsi" w:hAnsiTheme="minorHAnsi" w:cstheme="minorHAnsi"/>
                <w:b/>
                <w:bCs/>
                <w:i w:val="0"/>
                <w:iCs w:val="0"/>
                <w:color w:val="142147" w:themeColor="accent1"/>
                <w:sz w:val="22"/>
              </w:rPr>
              <w:t xml:space="preserve"> </w:t>
            </w:r>
          </w:p>
        </w:tc>
        <w:tc>
          <w:tcPr>
            <w:tcW w:w="2126" w:type="dxa"/>
            <w:tcBorders>
              <w:top w:val="single" w:sz="4" w:space="0" w:color="701F4D"/>
              <w:left w:val="single" w:sz="4" w:space="0" w:color="701F4D" w:themeColor="accent2"/>
              <w:bottom w:val="single" w:sz="4" w:space="0" w:color="701F4D"/>
              <w:right w:val="single" w:sz="4" w:space="0" w:color="701F4D"/>
            </w:tcBorders>
            <w:shd w:val="clear" w:color="auto" w:fill="D4C2A8" w:themeFill="accent3"/>
          </w:tcPr>
          <w:p w14:paraId="6D5BA664" w14:textId="77777777" w:rsidR="00BF5056" w:rsidRPr="00BF2492" w:rsidRDefault="00BF5056" w:rsidP="00BF505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BF2492">
              <w:rPr>
                <w:rFonts w:asciiTheme="minorHAnsi" w:hAnsiTheme="minorHAnsi" w:cstheme="minorHAnsi"/>
                <w:b/>
                <w:bCs/>
                <w:color w:val="142147" w:themeColor="accent1"/>
              </w:rPr>
              <w:t xml:space="preserve">44,057 </w:t>
            </w:r>
          </w:p>
        </w:tc>
        <w:tc>
          <w:tcPr>
            <w:tcW w:w="2410" w:type="dxa"/>
            <w:tcBorders>
              <w:top w:val="single" w:sz="4" w:space="0" w:color="701F4D" w:themeColor="accent2"/>
              <w:left w:val="single" w:sz="4" w:space="0" w:color="701F4D"/>
              <w:bottom w:val="single" w:sz="4" w:space="0" w:color="701F4D"/>
            </w:tcBorders>
            <w:shd w:val="clear" w:color="auto" w:fill="D4C2A8" w:themeFill="accent3"/>
          </w:tcPr>
          <w:p w14:paraId="700B4DD3" w14:textId="77777777" w:rsidR="00BF5056" w:rsidRPr="00BF2492" w:rsidRDefault="00BF5056" w:rsidP="00BF505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BF2492">
              <w:rPr>
                <w:rFonts w:asciiTheme="minorHAnsi" w:hAnsiTheme="minorHAnsi" w:cstheme="minorHAnsi"/>
                <w:b/>
                <w:bCs/>
                <w:color w:val="142147" w:themeColor="accent1"/>
              </w:rPr>
              <w:t>44,057</w:t>
            </w:r>
          </w:p>
        </w:tc>
      </w:tr>
    </w:tbl>
    <w:p w14:paraId="5C4D8CCA" w14:textId="2762945C" w:rsidR="00BD4078" w:rsidRPr="00E94D19" w:rsidRDefault="00BD4078" w:rsidP="00BD4078">
      <w:pPr>
        <w:spacing w:after="0"/>
        <w:rPr>
          <w:color w:val="142147" w:themeColor="accent1"/>
        </w:rPr>
      </w:pPr>
      <w:r w:rsidRPr="00E94D19">
        <w:rPr>
          <w:b/>
          <w:bCs/>
          <w:color w:val="142147" w:themeColor="accent1"/>
        </w:rPr>
        <w:t>Note</w:t>
      </w:r>
      <w:r w:rsidRPr="00D22DB3">
        <w:rPr>
          <w:color w:val="142147" w:themeColor="accent1"/>
        </w:rPr>
        <w:t xml:space="preserve">. The ATO’s public disclosures with respect to </w:t>
      </w:r>
      <w:r>
        <w:rPr>
          <w:color w:val="142147" w:themeColor="accent1"/>
        </w:rPr>
        <w:t xml:space="preserve">JAS Ltd’s </w:t>
      </w:r>
      <w:r w:rsidR="00267948">
        <w:rPr>
          <w:color w:val="142147" w:themeColor="accent1"/>
        </w:rPr>
        <w:t>2025</w:t>
      </w:r>
      <w:r>
        <w:rPr>
          <w:color w:val="142147" w:themeColor="accent1"/>
        </w:rPr>
        <w:t xml:space="preserve"> </w:t>
      </w:r>
      <w:r w:rsidRPr="00D22DB3">
        <w:rPr>
          <w:color w:val="142147" w:themeColor="accent1"/>
        </w:rPr>
        <w:t xml:space="preserve">income tax return are expected to be </w:t>
      </w:r>
      <w:r>
        <w:rPr>
          <w:color w:val="142147" w:themeColor="accent1"/>
        </w:rPr>
        <w:t>released by the ATO</w:t>
      </w:r>
      <w:r w:rsidRPr="00D22DB3">
        <w:rPr>
          <w:color w:val="142147" w:themeColor="accent1"/>
        </w:rPr>
        <w:t xml:space="preserve"> in late </w:t>
      </w:r>
      <w:r w:rsidR="00777024">
        <w:rPr>
          <w:color w:val="142147" w:themeColor="accent1"/>
        </w:rPr>
        <w:t>202</w:t>
      </w:r>
      <w:r w:rsidR="00B74E3A">
        <w:rPr>
          <w:color w:val="142147" w:themeColor="accent1"/>
        </w:rPr>
        <w:t>6</w:t>
      </w:r>
      <w:r>
        <w:rPr>
          <w:color w:val="142147" w:themeColor="accent1"/>
        </w:rPr>
        <w:t xml:space="preserve"> </w:t>
      </w:r>
      <w:r w:rsidRPr="00D22DB3">
        <w:rPr>
          <w:color w:val="142147" w:themeColor="accent1"/>
        </w:rPr>
        <w:t xml:space="preserve">and will be reconciled </w:t>
      </w:r>
      <w:r w:rsidR="00F309FE">
        <w:rPr>
          <w:color w:val="142147" w:themeColor="accent1"/>
        </w:rPr>
        <w:t>in the 202</w:t>
      </w:r>
      <w:r w:rsidR="00B04E36">
        <w:rPr>
          <w:color w:val="142147" w:themeColor="accent1"/>
        </w:rPr>
        <w:t>6</w:t>
      </w:r>
      <w:r w:rsidR="00EC30EA">
        <w:rPr>
          <w:color w:val="142147" w:themeColor="accent1"/>
        </w:rPr>
        <w:t xml:space="preserve"> JAS Ltd</w:t>
      </w:r>
      <w:r>
        <w:rPr>
          <w:color w:val="142147" w:themeColor="accent1"/>
        </w:rPr>
        <w:t xml:space="preserve"> </w:t>
      </w:r>
      <w:r w:rsidRPr="00D22DB3">
        <w:rPr>
          <w:color w:val="142147" w:themeColor="accent1"/>
        </w:rPr>
        <w:t>Tax Transparency Report.</w:t>
      </w:r>
      <w:r w:rsidR="00915104">
        <w:rPr>
          <w:rStyle w:val="FootnoteReference"/>
          <w:color w:val="142147" w:themeColor="accent1"/>
        </w:rPr>
        <w:footnoteReference w:id="17"/>
      </w:r>
      <w:r w:rsidRPr="00D22DB3">
        <w:rPr>
          <w:color w:val="142147" w:themeColor="accent1"/>
        </w:rPr>
        <w:t xml:space="preserve">  </w:t>
      </w:r>
    </w:p>
    <w:p w14:paraId="261F0304" w14:textId="77777777" w:rsidR="00BD4078" w:rsidRDefault="00BD4078" w:rsidP="00BD4078">
      <w:pPr>
        <w:pStyle w:val="Heading2"/>
      </w:pPr>
      <w:bookmarkStart w:id="59" w:name="_Toc195021319"/>
      <w:bookmarkStart w:id="60" w:name="_Toc199855173"/>
      <w:r>
        <w:t>Overall approach to tax</w:t>
      </w:r>
      <w:bookmarkEnd w:id="59"/>
      <w:bookmarkEnd w:id="60"/>
      <w:r>
        <w:t xml:space="preserve"> </w:t>
      </w:r>
    </w:p>
    <w:p w14:paraId="0EC37DEF" w14:textId="77777777" w:rsidR="00BD4078" w:rsidRDefault="00BD4078" w:rsidP="00BD4078">
      <w:pPr>
        <w:pStyle w:val="Heading3"/>
        <w:spacing w:before="0"/>
      </w:pPr>
      <w:r>
        <w:t xml:space="preserve">Approach to tax </w:t>
      </w:r>
    </w:p>
    <w:p w14:paraId="7CC2E641" w14:textId="77777777" w:rsidR="00BD4078" w:rsidRPr="008D1908" w:rsidRDefault="00BD4078" w:rsidP="00BD4078">
      <w:pPr>
        <w:rPr>
          <w:color w:val="142147" w:themeColor="accent1"/>
        </w:rPr>
      </w:pPr>
      <w:r w:rsidRPr="008D1908">
        <w:rPr>
          <w:color w:val="142147" w:themeColor="accent1"/>
        </w:rPr>
        <w:t xml:space="preserve">JAS Ltd reports ‘approach to tax’ information for the group, </w:t>
      </w:r>
      <w:r>
        <w:rPr>
          <w:color w:val="142147" w:themeColor="accent1"/>
        </w:rPr>
        <w:t>consistent</w:t>
      </w:r>
      <w:r w:rsidRPr="008D1908">
        <w:rPr>
          <w:color w:val="142147" w:themeColor="accent1"/>
        </w:rPr>
        <w:t xml:space="preserve"> with </w:t>
      </w:r>
      <w:r>
        <w:rPr>
          <w:color w:val="142147" w:themeColor="accent1"/>
        </w:rPr>
        <w:t xml:space="preserve">the </w:t>
      </w:r>
      <w:r w:rsidRPr="008D1908">
        <w:rPr>
          <w:color w:val="142147" w:themeColor="accent1"/>
        </w:rPr>
        <w:t>GRI 207-1</w:t>
      </w:r>
      <w:r>
        <w:rPr>
          <w:color w:val="142147" w:themeColor="accent1"/>
        </w:rPr>
        <w:t xml:space="preserve"> global standards</w:t>
      </w:r>
      <w:r w:rsidRPr="008D1908">
        <w:rPr>
          <w:color w:val="142147" w:themeColor="accent1"/>
        </w:rPr>
        <w:t xml:space="preserve">, as part of our reporting requirements </w:t>
      </w:r>
      <w:r>
        <w:rPr>
          <w:color w:val="142147" w:themeColor="accent1"/>
        </w:rPr>
        <w:t>under</w:t>
      </w:r>
      <w:r w:rsidRPr="008D1908">
        <w:rPr>
          <w:color w:val="142147" w:themeColor="accent1"/>
        </w:rPr>
        <w:t xml:space="preserve"> Australia’s public country-by-country reporting </w:t>
      </w:r>
      <w:r>
        <w:rPr>
          <w:color w:val="142147" w:themeColor="accent1"/>
        </w:rPr>
        <w:t>regime</w:t>
      </w:r>
      <w:r w:rsidRPr="008D1908">
        <w:rPr>
          <w:color w:val="142147" w:themeColor="accent1"/>
        </w:rPr>
        <w:t xml:space="preserve">. </w:t>
      </w:r>
    </w:p>
    <w:p w14:paraId="5C0840CD" w14:textId="77777777" w:rsidR="00BD4078" w:rsidRDefault="00BD4078" w:rsidP="00BD4078">
      <w:pPr>
        <w:pStyle w:val="Heading3"/>
      </w:pPr>
      <w:r>
        <w:t xml:space="preserve">Tax governance, control, and risk management </w:t>
      </w:r>
    </w:p>
    <w:p w14:paraId="4700076C" w14:textId="2045B0C3" w:rsidR="0023481C" w:rsidRPr="0023481C" w:rsidRDefault="0023481C" w:rsidP="0023481C">
      <w:pPr>
        <w:pStyle w:val="Heading4"/>
      </w:pPr>
      <w:r w:rsidRPr="008E734D">
        <w:t xml:space="preserve">Optional elements </w:t>
      </w:r>
    </w:p>
    <w:p w14:paraId="1FFD7D30" w14:textId="77777777" w:rsidR="001F3F4F" w:rsidRPr="003C29B4" w:rsidRDefault="001F3F4F" w:rsidP="001F3F4F">
      <w:pPr>
        <w:pStyle w:val="Bullet"/>
        <w:tabs>
          <w:tab w:val="clear" w:pos="520"/>
          <w:tab w:val="num" w:pos="567"/>
        </w:tabs>
        <w:rPr>
          <w:b/>
          <w:bCs/>
          <w:color w:val="142147" w:themeColor="accent1"/>
        </w:rPr>
      </w:pPr>
      <w:r w:rsidRPr="003C29B4">
        <w:rPr>
          <w:b/>
          <w:bCs/>
          <w:color w:val="142147" w:themeColor="accent1"/>
        </w:rPr>
        <w:t xml:space="preserve">[Provide a description of the tax governance, control and risk management framework including: </w:t>
      </w:r>
    </w:p>
    <w:p w14:paraId="5AB852EF" w14:textId="77777777" w:rsidR="001F3F4F" w:rsidRPr="003C29B4" w:rsidRDefault="001F3F4F" w:rsidP="001F3F4F">
      <w:pPr>
        <w:pStyle w:val="Dash"/>
        <w:tabs>
          <w:tab w:val="clear" w:pos="1040"/>
        </w:tabs>
        <w:rPr>
          <w:b/>
          <w:bCs/>
          <w:color w:val="142147" w:themeColor="accent1"/>
        </w:rPr>
      </w:pPr>
      <w:r w:rsidRPr="003C29B4">
        <w:rPr>
          <w:b/>
          <w:bCs/>
          <w:color w:val="142147" w:themeColor="accent1"/>
        </w:rPr>
        <w:t>the governance body or executive-level position within the organisation accountable for compliance with the tax strategy;</w:t>
      </w:r>
    </w:p>
    <w:p w14:paraId="6C527303" w14:textId="77777777" w:rsidR="001F3F4F" w:rsidRPr="003C29B4" w:rsidRDefault="001F3F4F" w:rsidP="001F3F4F">
      <w:pPr>
        <w:pStyle w:val="Dash"/>
        <w:tabs>
          <w:tab w:val="clear" w:pos="1040"/>
        </w:tabs>
        <w:rPr>
          <w:b/>
          <w:bCs/>
          <w:color w:val="142147" w:themeColor="accent1"/>
        </w:rPr>
      </w:pPr>
      <w:r w:rsidRPr="003C29B4">
        <w:rPr>
          <w:b/>
          <w:bCs/>
          <w:color w:val="142147" w:themeColor="accent1"/>
        </w:rPr>
        <w:t xml:space="preserve">how </w:t>
      </w:r>
      <w:r>
        <w:rPr>
          <w:b/>
          <w:bCs/>
          <w:color w:val="142147" w:themeColor="accent1"/>
        </w:rPr>
        <w:t>the entity’s</w:t>
      </w:r>
      <w:r w:rsidRPr="003C29B4">
        <w:rPr>
          <w:b/>
          <w:bCs/>
          <w:color w:val="142147" w:themeColor="accent1"/>
        </w:rPr>
        <w:t xml:space="preserve"> approach to tax is communicated and embedded in the organisation;</w:t>
      </w:r>
    </w:p>
    <w:p w14:paraId="32133247" w14:textId="77777777" w:rsidR="001F3F4F" w:rsidRPr="003C29B4" w:rsidRDefault="001F3F4F" w:rsidP="001F3F4F">
      <w:pPr>
        <w:pStyle w:val="Dash"/>
        <w:tabs>
          <w:tab w:val="clear" w:pos="1040"/>
        </w:tabs>
        <w:rPr>
          <w:b/>
          <w:bCs/>
          <w:color w:val="142147" w:themeColor="accent1"/>
        </w:rPr>
      </w:pPr>
      <w:r w:rsidRPr="003C29B4">
        <w:rPr>
          <w:b/>
          <w:bCs/>
          <w:color w:val="142147" w:themeColor="accent1"/>
        </w:rPr>
        <w:t>how tax risks are identified, managed and monitored; and</w:t>
      </w:r>
    </w:p>
    <w:p w14:paraId="257C8EC2" w14:textId="77777777" w:rsidR="001F3F4F" w:rsidRPr="00125F25" w:rsidRDefault="001F3F4F" w:rsidP="001F3F4F">
      <w:pPr>
        <w:pStyle w:val="Dash"/>
        <w:tabs>
          <w:tab w:val="clear" w:pos="1040"/>
        </w:tabs>
      </w:pPr>
      <w:r w:rsidRPr="003C29B4">
        <w:rPr>
          <w:b/>
          <w:bCs/>
          <w:color w:val="142147" w:themeColor="accent1"/>
        </w:rPr>
        <w:t>how compliance with tax governance and control framework is evaluated.]</w:t>
      </w:r>
    </w:p>
    <w:p w14:paraId="367D6E76" w14:textId="77777777" w:rsidR="001F3F4F" w:rsidRPr="00FB229C" w:rsidRDefault="001F3F4F" w:rsidP="001F3F4F">
      <w:pPr>
        <w:pStyle w:val="Bullet"/>
        <w:numPr>
          <w:ilvl w:val="0"/>
          <w:numId w:val="0"/>
        </w:numPr>
        <w:rPr>
          <w:rFonts w:asciiTheme="minorHAnsi" w:hAnsiTheme="minorHAnsi" w:cstheme="minorHAnsi"/>
          <w:b/>
          <w:bCs/>
          <w:color w:val="142147" w:themeColor="accent1"/>
        </w:rPr>
      </w:pPr>
      <w:r w:rsidRPr="00FB229C">
        <w:rPr>
          <w:rFonts w:asciiTheme="minorHAnsi" w:hAnsiTheme="minorHAnsi" w:cstheme="minorHAnsi"/>
          <w:b/>
          <w:bCs/>
          <w:color w:val="142147" w:themeColor="accent1"/>
        </w:rPr>
        <w:t xml:space="preserve">Governance </w:t>
      </w:r>
    </w:p>
    <w:p w14:paraId="0503715F" w14:textId="77777777" w:rsidR="001F3F4F" w:rsidRDefault="001F3F4F" w:rsidP="001F3F4F">
      <w:pPr>
        <w:pStyle w:val="Bullet"/>
        <w:numPr>
          <w:ilvl w:val="0"/>
          <w:numId w:val="0"/>
        </w:numPr>
        <w:spacing w:before="0" w:after="0"/>
        <w:rPr>
          <w:color w:val="142147" w:themeColor="accent1"/>
        </w:rPr>
      </w:pPr>
      <w:r>
        <w:rPr>
          <w:color w:val="142147" w:themeColor="accent1"/>
        </w:rPr>
        <w:t>JAS Ltd</w:t>
      </w:r>
      <w:r w:rsidRPr="00555E1C">
        <w:rPr>
          <w:color w:val="142147" w:themeColor="accent1"/>
        </w:rPr>
        <w:t xml:space="preserve"> is committed to high standards of corporate governance and tax transparency including compliance with all applicable tax laws, rules and regulations. </w:t>
      </w:r>
      <w:r>
        <w:rPr>
          <w:color w:val="142147" w:themeColor="accent1"/>
        </w:rPr>
        <w:t>JAS Ltd does</w:t>
      </w:r>
      <w:r w:rsidRPr="00BA6BE1">
        <w:rPr>
          <w:color w:val="142147" w:themeColor="accent1"/>
        </w:rPr>
        <w:t xml:space="preserve"> not </w:t>
      </w:r>
      <w:r>
        <w:rPr>
          <w:color w:val="142147" w:themeColor="accent1"/>
        </w:rPr>
        <w:t>participate</w:t>
      </w:r>
      <w:r w:rsidRPr="00BA6BE1">
        <w:rPr>
          <w:color w:val="142147" w:themeColor="accent1"/>
        </w:rPr>
        <w:t xml:space="preserve"> in tax avoidance schemes or aggressive tax positions</w:t>
      </w:r>
      <w:r>
        <w:rPr>
          <w:color w:val="142147" w:themeColor="accent1"/>
        </w:rPr>
        <w:t xml:space="preserve"> and only engages in transactions that are aligned with </w:t>
      </w:r>
      <w:r w:rsidRPr="4D10D2DC">
        <w:rPr>
          <w:color w:val="142147" w:themeColor="accent1"/>
        </w:rPr>
        <w:t>PAA’s</w:t>
      </w:r>
      <w:r>
        <w:rPr>
          <w:color w:val="142147" w:themeColor="accent1"/>
        </w:rPr>
        <w:t xml:space="preserve"> commercial objectives</w:t>
      </w:r>
      <w:r w:rsidRPr="00BA6BE1">
        <w:rPr>
          <w:color w:val="142147" w:themeColor="accent1"/>
        </w:rPr>
        <w:t>.</w:t>
      </w:r>
    </w:p>
    <w:p w14:paraId="70210E71" w14:textId="77777777" w:rsidR="001F3F4F" w:rsidRDefault="001F3F4F" w:rsidP="001F3F4F">
      <w:pPr>
        <w:pStyle w:val="Bullet"/>
        <w:numPr>
          <w:ilvl w:val="0"/>
          <w:numId w:val="0"/>
        </w:numPr>
        <w:rPr>
          <w:rFonts w:asciiTheme="minorHAnsi" w:hAnsiTheme="minorHAnsi" w:cstheme="minorHAnsi"/>
          <w:color w:val="142147" w:themeColor="accent1"/>
        </w:rPr>
      </w:pPr>
      <w:r>
        <w:rPr>
          <w:rFonts w:asciiTheme="minorHAnsi" w:hAnsiTheme="minorHAnsi" w:cstheme="minorHAnsi"/>
          <w:color w:val="142147" w:themeColor="accent1"/>
        </w:rPr>
        <w:t xml:space="preserve">Our approach to tax is embodied in the </w:t>
      </w:r>
      <w:r w:rsidRPr="00073D92">
        <w:rPr>
          <w:rFonts w:asciiTheme="minorHAnsi" w:hAnsiTheme="minorHAnsi" w:cstheme="minorHAnsi"/>
          <w:b/>
          <w:bCs/>
          <w:i/>
          <w:iCs/>
          <w:color w:val="701F4D" w:themeColor="accent2"/>
        </w:rPr>
        <w:t>JAS Ltd Code of Responsible Business Practice</w:t>
      </w:r>
      <w:r w:rsidRPr="00073D92">
        <w:rPr>
          <w:rFonts w:asciiTheme="minorHAnsi" w:hAnsiTheme="minorHAnsi" w:cstheme="minorHAnsi"/>
          <w:color w:val="701F4D" w:themeColor="accent2"/>
        </w:rPr>
        <w:t xml:space="preserve"> </w:t>
      </w:r>
      <w:r>
        <w:rPr>
          <w:rFonts w:asciiTheme="minorHAnsi" w:hAnsiTheme="minorHAnsi" w:cstheme="minorHAnsi"/>
          <w:color w:val="142147" w:themeColor="accent1"/>
        </w:rPr>
        <w:t xml:space="preserve">and the </w:t>
      </w:r>
      <w:r w:rsidRPr="00073D92">
        <w:rPr>
          <w:rFonts w:asciiTheme="minorHAnsi" w:hAnsiTheme="minorHAnsi" w:cstheme="minorHAnsi"/>
          <w:b/>
          <w:bCs/>
          <w:i/>
          <w:iCs/>
          <w:color w:val="701F4D" w:themeColor="accent2"/>
        </w:rPr>
        <w:t>JAS Ltd Tax Strategy</w:t>
      </w:r>
      <w:r>
        <w:rPr>
          <w:rFonts w:asciiTheme="minorHAnsi" w:hAnsiTheme="minorHAnsi" w:cstheme="minorHAnsi"/>
          <w:color w:val="142147" w:themeColor="accent1"/>
        </w:rPr>
        <w:t>. The code outlines JAS Ltd’s values and principles of conduct, with ethics, integrity and transparency at the forefront. The tax strategy applies to all taxes including indirect taxes (such as GST) and outlines our tax principles.</w:t>
      </w:r>
    </w:p>
    <w:p w14:paraId="3F340973" w14:textId="77777777" w:rsidR="001F3F4F" w:rsidRDefault="001F3F4F" w:rsidP="001F3F4F">
      <w:pPr>
        <w:pStyle w:val="Bullet"/>
        <w:numPr>
          <w:ilvl w:val="0"/>
          <w:numId w:val="0"/>
        </w:numPr>
        <w:rPr>
          <w:rFonts w:cstheme="minorHAnsi"/>
          <w:color w:val="142147" w:themeColor="accent1"/>
        </w:rPr>
      </w:pPr>
      <w:r>
        <w:rPr>
          <w:rFonts w:cstheme="minorHAnsi"/>
          <w:color w:val="142147" w:themeColor="accent1"/>
        </w:rPr>
        <w:t xml:space="preserve">In the 2025 reporting year, JAS Ltd engaged an independent specialist to conduct a governance review of its Australian GST and income tax environment who found the key controls were effective. </w:t>
      </w:r>
    </w:p>
    <w:p w14:paraId="3D43777E" w14:textId="77777777" w:rsidR="00EE5330" w:rsidRDefault="00EE5330" w:rsidP="001F3F4F">
      <w:pPr>
        <w:pStyle w:val="Bullet"/>
        <w:numPr>
          <w:ilvl w:val="0"/>
          <w:numId w:val="0"/>
        </w:numPr>
        <w:rPr>
          <w:rFonts w:cstheme="minorHAnsi"/>
          <w:color w:val="142147" w:themeColor="accent1"/>
        </w:rPr>
      </w:pPr>
    </w:p>
    <w:p w14:paraId="24E1701C" w14:textId="4A35C91C" w:rsidR="00C51D57" w:rsidRPr="00D40F81" w:rsidRDefault="0023481C" w:rsidP="00EE5330">
      <w:pPr>
        <w:pStyle w:val="Bullet"/>
        <w:numPr>
          <w:ilvl w:val="0"/>
          <w:numId w:val="0"/>
        </w:numPr>
        <w:jc w:val="center"/>
        <w:rPr>
          <w:rFonts w:asciiTheme="minorHAnsi" w:hAnsiTheme="minorHAnsi" w:cstheme="minorHAnsi"/>
          <w:b/>
          <w:bCs/>
          <w:color w:val="142147" w:themeColor="accent1"/>
          <w:sz w:val="24"/>
          <w:szCs w:val="24"/>
        </w:rPr>
      </w:pPr>
      <w:r w:rsidRPr="00D40F81">
        <w:rPr>
          <w:rFonts w:asciiTheme="minorHAnsi" w:hAnsiTheme="minorHAnsi" w:cstheme="minorHAnsi"/>
          <w:b/>
          <w:bCs/>
          <w:color w:val="142147" w:themeColor="accent1"/>
          <w:sz w:val="24"/>
          <w:szCs w:val="24"/>
        </w:rPr>
        <w:t>Six responsible tax principles that govern JAS Ltd’s global approach to tax</w:t>
      </w:r>
    </w:p>
    <w:tbl>
      <w:tblPr>
        <w:tblStyle w:val="PlainTable2"/>
        <w:tblpPr w:leftFromText="180" w:rightFromText="180" w:vertAnchor="text" w:horzAnchor="margin" w:tblpXSpec="right" w:tblpY="80"/>
        <w:tblW w:w="0" w:type="auto"/>
        <w:tblLook w:val="04A0" w:firstRow="1" w:lastRow="0" w:firstColumn="1" w:lastColumn="0" w:noHBand="0" w:noVBand="1"/>
      </w:tblPr>
      <w:tblGrid>
        <w:gridCol w:w="1236"/>
        <w:gridCol w:w="8405"/>
      </w:tblGrid>
      <w:tr w:rsidR="0023481C" w14:paraId="2096F91D" w14:textId="77777777" w:rsidTr="00C51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E080DE7"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13A20DE3" wp14:editId="4AFB8B77">
                  <wp:extent cx="619125" cy="619125"/>
                  <wp:effectExtent l="0" t="0" r="0" b="9525"/>
                  <wp:docPr id="107727742"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7742" name="Graphic 6">
                            <a:extLst>
                              <a:ext uri="{C183D7F6-B498-43B3-948B-1728B52AA6E4}">
                                <adec:decorative xmlns:adec="http://schemas.microsoft.com/office/drawing/2017/decorative" val="1"/>
                              </a:ext>
                            </a:extLst>
                          </pic:cNvPr>
                          <pic:cNvPicPr/>
                        </pic:nvPicPr>
                        <pic:blipFill>
                          <a:blip r:embed="rId36">
                            <a:extLst>
                              <a:ext uri="{96DAC541-7B7A-43D3-8B79-37D633B846F1}">
                                <asvg:svgBlip xmlns:asvg="http://schemas.microsoft.com/office/drawing/2016/SVG/main" r:embed="rId37"/>
                              </a:ext>
                            </a:extLst>
                          </a:blip>
                          <a:stretch>
                            <a:fillRect/>
                          </a:stretch>
                        </pic:blipFill>
                        <pic:spPr>
                          <a:xfrm>
                            <a:off x="0" y="0"/>
                            <a:ext cx="619125" cy="619125"/>
                          </a:xfrm>
                          <a:prstGeom prst="rect">
                            <a:avLst/>
                          </a:prstGeom>
                        </pic:spPr>
                      </pic:pic>
                    </a:graphicData>
                  </a:graphic>
                </wp:inline>
              </w:drawing>
            </w:r>
          </w:p>
        </w:tc>
        <w:tc>
          <w:tcPr>
            <w:tcW w:w="8405" w:type="dxa"/>
          </w:tcPr>
          <w:p w14:paraId="560A2897" w14:textId="77777777" w:rsidR="0023481C" w:rsidRPr="009A1CFA" w:rsidRDefault="0023481C" w:rsidP="008E2424">
            <w:pPr>
              <w:pStyle w:val="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color w:val="142147" w:themeColor="accent1"/>
              </w:rPr>
            </w:pPr>
            <w:r w:rsidRPr="009A1CFA">
              <w:rPr>
                <w:rFonts w:asciiTheme="minorHAnsi" w:hAnsiTheme="minorHAnsi" w:cstheme="minorHAnsi"/>
                <w:b/>
                <w:color w:val="142147" w:themeColor="accent1"/>
              </w:rPr>
              <w:t xml:space="preserve">Compliance </w:t>
            </w:r>
          </w:p>
          <w:p w14:paraId="5EC4023E" w14:textId="77777777" w:rsidR="0023481C" w:rsidRPr="00071630" w:rsidRDefault="0023481C" w:rsidP="008E2424">
            <w:pPr>
              <w:pStyle w:val="Bullet"/>
              <w:numPr>
                <w:ilvl w:val="0"/>
                <w:numId w:val="0"/>
              </w:num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sz w:val="20"/>
                <w:szCs w:val="20"/>
              </w:rPr>
            </w:pPr>
            <w:r w:rsidRPr="00806628">
              <w:rPr>
                <w:rFonts w:asciiTheme="minorHAnsi" w:hAnsiTheme="minorHAnsi" w:cstheme="minorHAnsi"/>
                <w:color w:val="142147" w:themeColor="accent1"/>
                <w:sz w:val="20"/>
                <w:szCs w:val="20"/>
              </w:rPr>
              <w:t xml:space="preserve">JAS is committed to complying with the laws of the countries </w:t>
            </w:r>
            <w:r>
              <w:rPr>
                <w:rFonts w:asciiTheme="minorHAnsi" w:hAnsiTheme="minorHAnsi" w:cstheme="minorHAnsi"/>
                <w:color w:val="142147" w:themeColor="accent1"/>
                <w:sz w:val="20"/>
                <w:szCs w:val="20"/>
              </w:rPr>
              <w:t>we</w:t>
            </w:r>
            <w:r w:rsidRPr="00806628">
              <w:rPr>
                <w:rFonts w:asciiTheme="minorHAnsi" w:hAnsiTheme="minorHAnsi" w:cstheme="minorHAnsi"/>
                <w:color w:val="142147" w:themeColor="accent1"/>
                <w:sz w:val="20"/>
                <w:szCs w:val="20"/>
              </w:rPr>
              <w:t xml:space="preserve"> operate in</w:t>
            </w:r>
            <w:r>
              <w:rPr>
                <w:rFonts w:asciiTheme="minorHAnsi" w:hAnsiTheme="minorHAnsi" w:cstheme="minorHAnsi"/>
                <w:color w:val="142147" w:themeColor="accent1"/>
                <w:sz w:val="20"/>
                <w:szCs w:val="20"/>
              </w:rPr>
              <w:t xml:space="preserve"> and meeting all tax obligations on time. </w:t>
            </w:r>
            <w:r w:rsidRPr="001A63AE">
              <w:rPr>
                <w:rFonts w:asciiTheme="minorHAnsi" w:hAnsiTheme="minorHAnsi" w:cstheme="minorHAnsi"/>
                <w:color w:val="142147" w:themeColor="accent1"/>
                <w:sz w:val="20"/>
                <w:szCs w:val="20"/>
              </w:rPr>
              <w:t xml:space="preserve">Our commitment to compliance means that appropriate arrangements are in place to accurately calculate our tax liabilities, so we </w:t>
            </w:r>
            <w:r>
              <w:rPr>
                <w:rFonts w:asciiTheme="minorHAnsi" w:hAnsiTheme="minorHAnsi" w:cstheme="minorHAnsi"/>
                <w:color w:val="142147" w:themeColor="accent1"/>
                <w:sz w:val="20"/>
                <w:szCs w:val="20"/>
              </w:rPr>
              <w:t xml:space="preserve">can </w:t>
            </w:r>
            <w:r w:rsidRPr="001A63AE">
              <w:rPr>
                <w:rFonts w:asciiTheme="minorHAnsi" w:hAnsiTheme="minorHAnsi" w:cstheme="minorHAnsi"/>
                <w:color w:val="142147" w:themeColor="accent1"/>
                <w:sz w:val="20"/>
                <w:szCs w:val="20"/>
              </w:rPr>
              <w:t xml:space="preserve">ensure we pay the right amount of tax in the right place at the right time. We </w:t>
            </w:r>
            <w:r>
              <w:rPr>
                <w:rFonts w:asciiTheme="minorHAnsi" w:hAnsiTheme="minorHAnsi" w:cstheme="minorHAnsi"/>
                <w:color w:val="142147" w:themeColor="accent1"/>
                <w:sz w:val="20"/>
                <w:szCs w:val="20"/>
              </w:rPr>
              <w:t>report</w:t>
            </w:r>
            <w:r w:rsidRPr="001A63AE">
              <w:rPr>
                <w:rFonts w:asciiTheme="minorHAnsi" w:hAnsiTheme="minorHAnsi" w:cstheme="minorHAnsi"/>
                <w:color w:val="142147" w:themeColor="accent1"/>
                <w:sz w:val="20"/>
                <w:szCs w:val="20"/>
              </w:rPr>
              <w:t xml:space="preserve"> all relevant facts and circumstances to tax authorities on a timely basis while claiming available reliefs and incentives relevant to our business activities.</w:t>
            </w:r>
          </w:p>
        </w:tc>
      </w:tr>
      <w:tr w:rsidR="0023481C" w14:paraId="5F639A5A" w14:textId="77777777" w:rsidTr="00C51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5ADF9949"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2F223171" wp14:editId="4DCF9464">
                  <wp:extent cx="628650" cy="628650"/>
                  <wp:effectExtent l="0" t="0" r="0" b="0"/>
                  <wp:docPr id="1092421220"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21220" name="Graphic 7">
                            <a:extLst>
                              <a:ext uri="{C183D7F6-B498-43B3-948B-1728B52AA6E4}">
                                <adec:decorative xmlns:adec="http://schemas.microsoft.com/office/drawing/2017/decorative" val="1"/>
                              </a:ext>
                            </a:extLst>
                          </pic:cNvPr>
                          <pic:cNvPicPr/>
                        </pic:nvPicPr>
                        <pic:blipFill>
                          <a:blip r:embed="rId38">
                            <a:extLst>
                              <a:ext uri="{96DAC541-7B7A-43D3-8B79-37D633B846F1}">
                                <asvg:svgBlip xmlns:asvg="http://schemas.microsoft.com/office/drawing/2016/SVG/main" r:embed="rId39"/>
                              </a:ext>
                            </a:extLst>
                          </a:blip>
                          <a:stretch>
                            <a:fillRect/>
                          </a:stretch>
                        </pic:blipFill>
                        <pic:spPr>
                          <a:xfrm>
                            <a:off x="0" y="0"/>
                            <a:ext cx="628650" cy="628650"/>
                          </a:xfrm>
                          <a:prstGeom prst="rect">
                            <a:avLst/>
                          </a:prstGeom>
                        </pic:spPr>
                      </pic:pic>
                    </a:graphicData>
                  </a:graphic>
                </wp:inline>
              </w:drawing>
            </w:r>
          </w:p>
        </w:tc>
        <w:tc>
          <w:tcPr>
            <w:tcW w:w="8405" w:type="dxa"/>
          </w:tcPr>
          <w:p w14:paraId="4F0877DC" w14:textId="77777777" w:rsidR="0023481C" w:rsidRPr="000342D9" w:rsidRDefault="0023481C" w:rsidP="008E2424">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0342D9">
              <w:rPr>
                <w:rFonts w:asciiTheme="minorHAnsi" w:hAnsiTheme="minorHAnsi" w:cstheme="minorHAnsi"/>
                <w:b/>
                <w:bCs/>
                <w:color w:val="142147" w:themeColor="accent1"/>
              </w:rPr>
              <w:t xml:space="preserve">Risk management and governance  </w:t>
            </w:r>
          </w:p>
          <w:p w14:paraId="12EB13CF" w14:textId="77777777" w:rsidR="0023481C" w:rsidRPr="000342D9" w:rsidRDefault="0023481C" w:rsidP="008E2424">
            <w:pPr>
              <w:pStyle w:val="Bullet"/>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0342D9">
              <w:rPr>
                <w:rFonts w:asciiTheme="minorHAnsi" w:hAnsiTheme="minorHAnsi" w:cstheme="minorHAnsi"/>
                <w:color w:val="142147" w:themeColor="accent1"/>
                <w:sz w:val="20"/>
                <w:szCs w:val="20"/>
              </w:rPr>
              <w:t xml:space="preserve">JAS is committed </w:t>
            </w:r>
            <w:r>
              <w:rPr>
                <w:rFonts w:asciiTheme="minorHAnsi" w:hAnsiTheme="minorHAnsi" w:cstheme="minorHAnsi"/>
                <w:color w:val="142147" w:themeColor="accent1"/>
                <w:sz w:val="20"/>
                <w:szCs w:val="20"/>
              </w:rPr>
              <w:t xml:space="preserve">to strong governance. Our Board approves all tax policy and ensures all tax risks are identified, assessed and managed under the Tax Risk Management Framework and reported to the Audit and Risk Committee. </w:t>
            </w:r>
          </w:p>
        </w:tc>
      </w:tr>
      <w:tr w:rsidR="0023481C" w14:paraId="436C8ABD" w14:textId="77777777" w:rsidTr="00C51D57">
        <w:tc>
          <w:tcPr>
            <w:cnfStyle w:val="001000000000" w:firstRow="0" w:lastRow="0" w:firstColumn="1" w:lastColumn="0" w:oddVBand="0" w:evenVBand="0" w:oddHBand="0" w:evenHBand="0" w:firstRowFirstColumn="0" w:firstRowLastColumn="0" w:lastRowFirstColumn="0" w:lastRowLastColumn="0"/>
            <w:tcW w:w="1236" w:type="dxa"/>
          </w:tcPr>
          <w:p w14:paraId="0B256AB5"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2F7CA016" wp14:editId="5B164B13">
                  <wp:extent cx="638175" cy="638175"/>
                  <wp:effectExtent l="0" t="0" r="9525" b="0"/>
                  <wp:docPr id="1178805222"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05222" name="Graphic 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638175" cy="638175"/>
                          </a:xfrm>
                          <a:prstGeom prst="rect">
                            <a:avLst/>
                          </a:prstGeom>
                        </pic:spPr>
                      </pic:pic>
                    </a:graphicData>
                  </a:graphic>
                </wp:inline>
              </w:drawing>
            </w:r>
          </w:p>
        </w:tc>
        <w:tc>
          <w:tcPr>
            <w:tcW w:w="8405" w:type="dxa"/>
          </w:tcPr>
          <w:p w14:paraId="357B4678" w14:textId="77777777" w:rsidR="0023481C" w:rsidRDefault="0023481C" w:rsidP="008E2424">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142147" w:themeColor="accent1"/>
              </w:rPr>
            </w:pPr>
            <w:r w:rsidRPr="4D10D2DC">
              <w:rPr>
                <w:rFonts w:asciiTheme="minorHAnsi" w:hAnsiTheme="minorHAnsi" w:cstheme="minorBidi"/>
                <w:b/>
                <w:color w:val="142147" w:themeColor="accent1"/>
              </w:rPr>
              <w:t xml:space="preserve">Transparency </w:t>
            </w:r>
          </w:p>
          <w:p w14:paraId="554B4395" w14:textId="77777777" w:rsidR="0023481C" w:rsidRPr="009A1CFA" w:rsidRDefault="0023481C" w:rsidP="008E2424">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sz w:val="20"/>
                <w:szCs w:val="20"/>
              </w:rPr>
              <w:t>JAS publishes</w:t>
            </w:r>
            <w:r w:rsidRPr="003C560E">
              <w:rPr>
                <w:rFonts w:asciiTheme="minorHAnsi" w:hAnsiTheme="minorHAnsi" w:cstheme="minorHAnsi"/>
                <w:color w:val="142147" w:themeColor="accent1"/>
                <w:sz w:val="20"/>
                <w:szCs w:val="20"/>
              </w:rPr>
              <w:t xml:space="preserve"> annual tax transparency reports to explain the taxes we pay. </w:t>
            </w:r>
            <w:r>
              <w:rPr>
                <w:rFonts w:asciiTheme="minorHAnsi" w:hAnsiTheme="minorHAnsi" w:cstheme="minorHAnsi"/>
                <w:color w:val="142147" w:themeColor="accent1"/>
                <w:sz w:val="20"/>
                <w:szCs w:val="20"/>
              </w:rPr>
              <w:t xml:space="preserve">JAS </w:t>
            </w:r>
            <w:r w:rsidRPr="009E5536">
              <w:rPr>
                <w:rFonts w:asciiTheme="minorHAnsi" w:hAnsiTheme="minorHAnsi" w:cstheme="minorHAnsi"/>
                <w:color w:val="142147" w:themeColor="accent1"/>
                <w:sz w:val="20"/>
                <w:szCs w:val="20"/>
              </w:rPr>
              <w:t>has an open-door culture underpinned by the JAS Whistleblower Protection Policy.</w:t>
            </w:r>
            <w:r>
              <w:rPr>
                <w:rFonts w:asciiTheme="minorHAnsi" w:hAnsiTheme="minorHAnsi" w:cstheme="minorHAnsi"/>
                <w:b/>
                <w:bCs/>
                <w:i/>
                <w:iCs/>
                <w:color w:val="701F4D" w:themeColor="accent2"/>
              </w:rPr>
              <w:t xml:space="preserve"> </w:t>
            </w:r>
            <w:r w:rsidRPr="003C560E">
              <w:rPr>
                <w:rFonts w:asciiTheme="minorHAnsi" w:hAnsiTheme="minorHAnsi" w:cstheme="minorHAnsi"/>
                <w:color w:val="142147" w:themeColor="accent1"/>
                <w:sz w:val="20"/>
                <w:szCs w:val="20"/>
              </w:rPr>
              <w:t>We believe openness facilitates understanding on the contribution</w:t>
            </w:r>
            <w:r>
              <w:rPr>
                <w:rFonts w:asciiTheme="minorHAnsi" w:hAnsiTheme="minorHAnsi" w:cstheme="minorHAnsi"/>
                <w:color w:val="142147" w:themeColor="accent1"/>
                <w:sz w:val="20"/>
                <w:szCs w:val="20"/>
              </w:rPr>
              <w:t>s</w:t>
            </w:r>
            <w:r w:rsidRPr="003C560E">
              <w:rPr>
                <w:rFonts w:asciiTheme="minorHAnsi" w:hAnsiTheme="minorHAnsi" w:cstheme="minorHAnsi"/>
                <w:color w:val="142147" w:themeColor="accent1"/>
                <w:sz w:val="20"/>
                <w:szCs w:val="20"/>
              </w:rPr>
              <w:t xml:space="preserve"> we make </w:t>
            </w:r>
            <w:r>
              <w:rPr>
                <w:rFonts w:asciiTheme="minorHAnsi" w:hAnsiTheme="minorHAnsi" w:cstheme="minorHAnsi"/>
                <w:color w:val="142147" w:themeColor="accent1"/>
                <w:sz w:val="20"/>
                <w:szCs w:val="20"/>
              </w:rPr>
              <w:t xml:space="preserve">and provides community stakeholders with confidence over our group compliance in the countries in which we operate.  </w:t>
            </w:r>
          </w:p>
        </w:tc>
      </w:tr>
      <w:tr w:rsidR="0023481C" w14:paraId="2ECD6C95" w14:textId="77777777" w:rsidTr="00C51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61345CF"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014B0501" wp14:editId="360B9676">
                  <wp:extent cx="609600" cy="609600"/>
                  <wp:effectExtent l="0" t="0" r="0" b="0"/>
                  <wp:docPr id="1466167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6712" name="Graphic 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609600" cy="609600"/>
                          </a:xfrm>
                          <a:prstGeom prst="rect">
                            <a:avLst/>
                          </a:prstGeom>
                        </pic:spPr>
                      </pic:pic>
                    </a:graphicData>
                  </a:graphic>
                </wp:inline>
              </w:drawing>
            </w:r>
          </w:p>
        </w:tc>
        <w:tc>
          <w:tcPr>
            <w:tcW w:w="8405" w:type="dxa"/>
          </w:tcPr>
          <w:p w14:paraId="1C69E52D" w14:textId="77777777" w:rsidR="0023481C" w:rsidRPr="009A1CFA" w:rsidRDefault="0023481C" w:rsidP="008E2424">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9A1CFA">
              <w:rPr>
                <w:rFonts w:asciiTheme="minorHAnsi" w:hAnsiTheme="minorHAnsi" w:cstheme="minorHAnsi"/>
                <w:b/>
                <w:bCs/>
                <w:color w:val="142147" w:themeColor="accent1"/>
              </w:rPr>
              <w:t>Corporate citizenship</w:t>
            </w:r>
          </w:p>
          <w:p w14:paraId="2589B40F" w14:textId="77777777" w:rsidR="0023481C" w:rsidRPr="00093DBB" w:rsidRDefault="0023481C" w:rsidP="008E2424">
            <w:pPr>
              <w:pStyle w:val="Bullet"/>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093DBB">
              <w:rPr>
                <w:rFonts w:asciiTheme="minorHAnsi" w:hAnsiTheme="minorHAnsi" w:cstheme="minorHAnsi"/>
                <w:color w:val="142147" w:themeColor="accent1"/>
                <w:sz w:val="20"/>
                <w:szCs w:val="20"/>
              </w:rPr>
              <w:t xml:space="preserve">JAS </w:t>
            </w:r>
            <w:r>
              <w:rPr>
                <w:rFonts w:asciiTheme="minorHAnsi" w:hAnsiTheme="minorHAnsi" w:cstheme="minorHAnsi"/>
                <w:color w:val="142147" w:themeColor="accent1"/>
                <w:sz w:val="20"/>
                <w:szCs w:val="20"/>
              </w:rPr>
              <w:t xml:space="preserve">operates with integrity to maintain open, respectful, constructive and co-operative relationships with revenue authorities. We engage revenue authorities in real-time to obtain certainty over our tax positions and to identify and resolve disagreements on a timely basis. </w:t>
            </w:r>
          </w:p>
        </w:tc>
      </w:tr>
      <w:tr w:rsidR="0023481C" w14:paraId="7BA4C2D3" w14:textId="77777777" w:rsidTr="00C51D57">
        <w:tc>
          <w:tcPr>
            <w:cnfStyle w:val="001000000000" w:firstRow="0" w:lastRow="0" w:firstColumn="1" w:lastColumn="0" w:oddVBand="0" w:evenVBand="0" w:oddHBand="0" w:evenHBand="0" w:firstRowFirstColumn="0" w:firstRowLastColumn="0" w:lastRowFirstColumn="0" w:lastRowLastColumn="0"/>
            <w:tcW w:w="1236" w:type="dxa"/>
          </w:tcPr>
          <w:p w14:paraId="19CB4E66"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7597EEF4" wp14:editId="60B6F3E2">
                  <wp:extent cx="581025" cy="581025"/>
                  <wp:effectExtent l="0" t="0" r="0" b="0"/>
                  <wp:docPr id="1247922807"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22807" name="Graphic 3">
                            <a:extLst>
                              <a:ext uri="{C183D7F6-B498-43B3-948B-1728B52AA6E4}">
                                <adec:decorative xmlns:adec="http://schemas.microsoft.com/office/drawing/2017/decorative" val="1"/>
                              </a:ext>
                            </a:extLst>
                          </pic:cNvPr>
                          <pic:cNvPicPr/>
                        </pic:nvPicPr>
                        <pic:blipFill>
                          <a:blip r:embed="rId44">
                            <a:extLst>
                              <a:ext uri="{96DAC541-7B7A-43D3-8B79-37D633B846F1}">
                                <asvg:svgBlip xmlns:asvg="http://schemas.microsoft.com/office/drawing/2016/SVG/main" r:embed="rId45"/>
                              </a:ext>
                            </a:extLst>
                          </a:blip>
                          <a:stretch>
                            <a:fillRect/>
                          </a:stretch>
                        </pic:blipFill>
                        <pic:spPr>
                          <a:xfrm>
                            <a:off x="0" y="0"/>
                            <a:ext cx="581025" cy="581025"/>
                          </a:xfrm>
                          <a:prstGeom prst="rect">
                            <a:avLst/>
                          </a:prstGeom>
                        </pic:spPr>
                      </pic:pic>
                    </a:graphicData>
                  </a:graphic>
                </wp:inline>
              </w:drawing>
            </w:r>
          </w:p>
        </w:tc>
        <w:tc>
          <w:tcPr>
            <w:tcW w:w="8405" w:type="dxa"/>
          </w:tcPr>
          <w:p w14:paraId="278B505C" w14:textId="23CCF9EE" w:rsidR="0023481C" w:rsidRDefault="0023481C" w:rsidP="008E2424">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9A1CFA">
              <w:rPr>
                <w:rFonts w:asciiTheme="minorHAnsi" w:hAnsiTheme="minorHAnsi" w:cstheme="minorHAnsi"/>
                <w:b/>
                <w:bCs/>
                <w:color w:val="142147" w:themeColor="accent1"/>
              </w:rPr>
              <w:t xml:space="preserve">Business </w:t>
            </w:r>
            <w:r>
              <w:rPr>
                <w:rFonts w:asciiTheme="minorHAnsi" w:hAnsiTheme="minorHAnsi" w:cstheme="minorHAnsi"/>
                <w:b/>
                <w:bCs/>
                <w:color w:val="142147" w:themeColor="accent1"/>
              </w:rPr>
              <w:t xml:space="preserve">structure </w:t>
            </w:r>
          </w:p>
          <w:p w14:paraId="2696A0D5" w14:textId="77777777" w:rsidR="0023481C" w:rsidRPr="00085B3E" w:rsidRDefault="0023481C" w:rsidP="008E2424">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142147" w:themeColor="accent1"/>
              </w:rPr>
            </w:pPr>
            <w:r>
              <w:rPr>
                <w:rFonts w:asciiTheme="minorHAnsi" w:hAnsiTheme="minorHAnsi" w:cstheme="minorHAnsi"/>
                <w:color w:val="142147" w:themeColor="accent1"/>
                <w:sz w:val="20"/>
                <w:szCs w:val="20"/>
              </w:rPr>
              <w:t xml:space="preserve">JAS engages in transactions which align with our business activity and with clear commercial purpose and economic rationale. We do not engage in aggressive tax planning. </w:t>
            </w:r>
          </w:p>
        </w:tc>
      </w:tr>
      <w:tr w:rsidR="0023481C" w14:paraId="79141CCE" w14:textId="77777777" w:rsidTr="00C51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AD3025F" w14:textId="77777777" w:rsidR="0023481C" w:rsidRDefault="0023481C" w:rsidP="008E2424">
            <w:pPr>
              <w:pStyle w:val="Bullet"/>
              <w:numPr>
                <w:ilvl w:val="0"/>
                <w:numId w:val="0"/>
              </w:numPr>
              <w:rPr>
                <w:rFonts w:asciiTheme="minorHAnsi" w:hAnsiTheme="minorHAnsi" w:cstheme="minorHAnsi"/>
                <w:color w:val="142147" w:themeColor="accent1"/>
              </w:rPr>
            </w:pPr>
            <w:r>
              <w:rPr>
                <w:rFonts w:asciiTheme="minorHAnsi" w:hAnsiTheme="minorHAnsi" w:cstheme="minorHAnsi"/>
                <w:noProof/>
                <w:color w:val="142147" w:themeColor="accent1"/>
              </w:rPr>
              <w:drawing>
                <wp:inline distT="0" distB="0" distL="0" distR="0" wp14:anchorId="65B71F02" wp14:editId="3D2D7DDF">
                  <wp:extent cx="542925" cy="542925"/>
                  <wp:effectExtent l="0" t="0" r="9525" b="9525"/>
                  <wp:docPr id="131302013"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2013" name="Graphic 4">
                            <a:extLst>
                              <a:ext uri="{C183D7F6-B498-43B3-948B-1728B52AA6E4}">
                                <adec:decorative xmlns:adec="http://schemas.microsoft.com/office/drawing/2017/decorative" val="1"/>
                              </a:ext>
                            </a:extLst>
                          </pic:cNvPr>
                          <pic:cNvPicPr/>
                        </pic:nvPicPr>
                        <pic:blipFill>
                          <a:blip r:embed="rId46">
                            <a:extLst>
                              <a:ext uri="{96DAC541-7B7A-43D3-8B79-37D633B846F1}">
                                <asvg:svgBlip xmlns:asvg="http://schemas.microsoft.com/office/drawing/2016/SVG/main" r:embed="rId47"/>
                              </a:ext>
                            </a:extLst>
                          </a:blip>
                          <a:stretch>
                            <a:fillRect/>
                          </a:stretch>
                        </pic:blipFill>
                        <pic:spPr>
                          <a:xfrm>
                            <a:off x="0" y="0"/>
                            <a:ext cx="542925" cy="542925"/>
                          </a:xfrm>
                          <a:prstGeom prst="rect">
                            <a:avLst/>
                          </a:prstGeom>
                        </pic:spPr>
                      </pic:pic>
                    </a:graphicData>
                  </a:graphic>
                </wp:inline>
              </w:drawing>
            </w:r>
          </w:p>
        </w:tc>
        <w:tc>
          <w:tcPr>
            <w:tcW w:w="8405" w:type="dxa"/>
          </w:tcPr>
          <w:p w14:paraId="0C0F021B" w14:textId="61F0F027" w:rsidR="0023481C" w:rsidRDefault="0023481C" w:rsidP="008E2424">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9A1CFA">
              <w:rPr>
                <w:rFonts w:asciiTheme="minorHAnsi" w:hAnsiTheme="minorHAnsi" w:cstheme="minorHAnsi"/>
                <w:b/>
                <w:bCs/>
                <w:color w:val="142147" w:themeColor="accent1"/>
              </w:rPr>
              <w:t xml:space="preserve">Advocating reform </w:t>
            </w:r>
          </w:p>
          <w:p w14:paraId="36D08892" w14:textId="77777777" w:rsidR="0023481C" w:rsidRPr="00E70C8D" w:rsidRDefault="0023481C" w:rsidP="008E2424">
            <w:pPr>
              <w:pStyle w:val="Bullet"/>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sz w:val="20"/>
                <w:szCs w:val="20"/>
              </w:rPr>
            </w:pPr>
            <w:r>
              <w:rPr>
                <w:rFonts w:asciiTheme="minorHAnsi" w:hAnsiTheme="minorHAnsi" w:cstheme="minorHAnsi"/>
                <w:color w:val="142147" w:themeColor="accent1"/>
                <w:sz w:val="20"/>
                <w:szCs w:val="20"/>
              </w:rPr>
              <w:t xml:space="preserve">JAS supports simple, efficient, stable and competitive tax rules and the principle that the taxing rights of countries should be commensurate with where the economic activity occurs. We engage in the reform process of international tax rules and local tax rules to support economic growth, job creation and viable long-term tax contributions. </w:t>
            </w:r>
          </w:p>
        </w:tc>
      </w:tr>
    </w:tbl>
    <w:p w14:paraId="3DA0D615" w14:textId="2330E708" w:rsidR="00C2457F" w:rsidRDefault="00C3464D" w:rsidP="00C3464D">
      <w:pPr>
        <w:pStyle w:val="Bullet"/>
        <w:numPr>
          <w:ilvl w:val="0"/>
          <w:numId w:val="0"/>
        </w:numPr>
        <w:rPr>
          <w:rFonts w:asciiTheme="minorHAnsi" w:hAnsiTheme="minorHAnsi" w:cstheme="minorHAnsi"/>
          <w:color w:val="142147" w:themeColor="accent1"/>
        </w:rPr>
      </w:pPr>
      <w:r>
        <w:rPr>
          <w:rFonts w:asciiTheme="minorHAnsi" w:hAnsiTheme="minorHAnsi" w:cstheme="minorHAnsi"/>
          <w:color w:val="142147" w:themeColor="accent1"/>
        </w:rPr>
        <w:t xml:space="preserve">The tax strategy is overseen by the JAS Ltd Board, who are responsible for overall compliance, tax risks and reporting. The Board is supported by the Audit and Risk Committee who maintain a high level of oversight and meets on a quarterly basis to assess the effectiveness of the strategy and undertake formal assurance reviews to ensure compliance with the strategy. The Chief Financial Officer is directly accountable for the management of tax risks, with the JAS Tax Manager and Tax Business Unit operationalising the framework, advising the CFO and Committee on the tax implications of business decisions, transactions and compliance with tax laws. </w:t>
      </w:r>
    </w:p>
    <w:p w14:paraId="1D47B0CF" w14:textId="77777777" w:rsidR="00EE5330" w:rsidRPr="00D40A02" w:rsidRDefault="00EE5330" w:rsidP="00C3464D">
      <w:pPr>
        <w:pStyle w:val="Bullet"/>
        <w:numPr>
          <w:ilvl w:val="0"/>
          <w:numId w:val="0"/>
        </w:numPr>
        <w:rPr>
          <w:rFonts w:asciiTheme="minorHAnsi" w:hAnsiTheme="minorHAnsi" w:cstheme="minorHAnsi"/>
          <w:color w:val="142147" w:themeColor="accent1"/>
        </w:rPr>
      </w:pPr>
    </w:p>
    <w:p w14:paraId="4BE43940" w14:textId="0EF0D26A" w:rsidR="00C3464D" w:rsidRDefault="00C3464D" w:rsidP="00C3464D">
      <w:pPr>
        <w:pStyle w:val="Bullet"/>
        <w:numPr>
          <w:ilvl w:val="0"/>
          <w:numId w:val="0"/>
        </w:numPr>
        <w:rPr>
          <w:b/>
          <w:bCs/>
          <w:color w:val="142147" w:themeColor="accent1"/>
        </w:rPr>
      </w:pPr>
      <w:r w:rsidRPr="00F472D3">
        <w:rPr>
          <w:b/>
          <w:bCs/>
          <w:color w:val="142147" w:themeColor="accent1"/>
        </w:rPr>
        <w:t xml:space="preserve">Risk management </w:t>
      </w:r>
    </w:p>
    <w:p w14:paraId="0D752DCF" w14:textId="58E62F26" w:rsidR="00C3464D" w:rsidRDefault="008E6BB5" w:rsidP="00C3464D">
      <w:pPr>
        <w:pStyle w:val="Bullet"/>
        <w:numPr>
          <w:ilvl w:val="0"/>
          <w:numId w:val="0"/>
        </w:numPr>
        <w:spacing w:before="0"/>
        <w:rPr>
          <w:color w:val="142147" w:themeColor="accent1"/>
        </w:rPr>
      </w:pPr>
      <w:r w:rsidRPr="00531C6B">
        <w:rPr>
          <w:noProof/>
          <w:color w:val="142147" w:themeColor="accent1"/>
        </w:rPr>
        <w:drawing>
          <wp:anchor distT="0" distB="0" distL="114300" distR="114300" simplePos="0" relativeHeight="251746304" behindDoc="1" locked="0" layoutInCell="1" allowOverlap="1" wp14:anchorId="369007D0" wp14:editId="59A881B9">
            <wp:simplePos x="0" y="0"/>
            <wp:positionH relativeFrom="margin">
              <wp:posOffset>-82274</wp:posOffset>
            </wp:positionH>
            <wp:positionV relativeFrom="paragraph">
              <wp:posOffset>1268509</wp:posOffset>
            </wp:positionV>
            <wp:extent cx="3035300" cy="2625725"/>
            <wp:effectExtent l="0" t="0" r="0" b="3175"/>
            <wp:wrapTight wrapText="bothSides">
              <wp:wrapPolygon edited="0">
                <wp:start x="0" y="0"/>
                <wp:lineTo x="0" y="21469"/>
                <wp:lineTo x="21419" y="21469"/>
                <wp:lineTo x="21419" y="0"/>
                <wp:lineTo x="0" y="0"/>
              </wp:wrapPolygon>
            </wp:wrapTight>
            <wp:docPr id="501227628" name="Picture 1" descr="Risk management process flow chart which starts with understanding the business environment, identifying risks, analysing risks, evaluating risks and treating risks. At each of these stages risks are communicated and consulted on and monitored and review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37817" name="Picture 1" descr="Risk management process flow chart which starts with understanding the business environment, identifying risks, analysing risks, evaluating risks and treating risks. At each of these stages risks are communicated and consulted on and monitored and reviewed. "/>
                    <pic:cNvPicPr/>
                  </pic:nvPicPr>
                  <pic:blipFill>
                    <a:blip r:embed="rId48">
                      <a:extLst>
                        <a:ext uri="{28A0092B-C50C-407E-A947-70E740481C1C}">
                          <a14:useLocalDpi xmlns:a14="http://schemas.microsoft.com/office/drawing/2010/main" val="0"/>
                        </a:ext>
                      </a:extLst>
                    </a:blip>
                    <a:stretch>
                      <a:fillRect/>
                    </a:stretch>
                  </pic:blipFill>
                  <pic:spPr>
                    <a:xfrm>
                      <a:off x="0" y="0"/>
                      <a:ext cx="3035300" cy="2625725"/>
                    </a:xfrm>
                    <a:prstGeom prst="rect">
                      <a:avLst/>
                    </a:prstGeom>
                  </pic:spPr>
                </pic:pic>
              </a:graphicData>
            </a:graphic>
            <wp14:sizeRelH relativeFrom="page">
              <wp14:pctWidth>0</wp14:pctWidth>
            </wp14:sizeRelH>
            <wp14:sizeRelV relativeFrom="page">
              <wp14:pctHeight>0</wp14:pctHeight>
            </wp14:sizeRelV>
          </wp:anchor>
        </w:drawing>
      </w:r>
      <w:r>
        <w:rPr>
          <w:noProof/>
          <w:color w:val="142147" w:themeColor="accent1"/>
        </w:rPr>
        <mc:AlternateContent>
          <mc:Choice Requires="wps">
            <w:drawing>
              <wp:anchor distT="0" distB="0" distL="114300" distR="114300" simplePos="0" relativeHeight="251745280" behindDoc="0" locked="0" layoutInCell="1" allowOverlap="1" wp14:anchorId="4A2891AA" wp14:editId="7456D40A">
                <wp:simplePos x="0" y="0"/>
                <wp:positionH relativeFrom="column">
                  <wp:posOffset>2780169</wp:posOffset>
                </wp:positionH>
                <wp:positionV relativeFrom="paragraph">
                  <wp:posOffset>2231389</wp:posOffset>
                </wp:positionV>
                <wp:extent cx="1774825" cy="321945"/>
                <wp:effectExtent l="402590" t="0" r="323215" b="0"/>
                <wp:wrapNone/>
                <wp:docPr id="1499111146" name="Text Box 9"/>
                <wp:cNvGraphicFramePr/>
                <a:graphic xmlns:a="http://schemas.openxmlformats.org/drawingml/2006/main">
                  <a:graphicData uri="http://schemas.microsoft.com/office/word/2010/wordprocessingShape">
                    <wps:wsp>
                      <wps:cNvSpPr txBox="1"/>
                      <wps:spPr>
                        <a:xfrm rot="18382337">
                          <a:off x="0" y="0"/>
                          <a:ext cx="1774825" cy="321945"/>
                        </a:xfrm>
                        <a:prstGeom prst="rect">
                          <a:avLst/>
                        </a:prstGeom>
                        <a:noFill/>
                        <a:ln w="6350">
                          <a:noFill/>
                        </a:ln>
                      </wps:spPr>
                      <wps:txbx>
                        <w:txbxContent>
                          <w:p w14:paraId="12919749" w14:textId="77777777" w:rsidR="00C3464D" w:rsidRPr="00BD7134" w:rsidRDefault="00C3464D" w:rsidP="00C3464D">
                            <w:pPr>
                              <w:rPr>
                                <w:b/>
                                <w:bCs/>
                                <w:color w:val="142147" w:themeColor="accent1"/>
                                <w:sz w:val="20"/>
                                <w:szCs w:val="20"/>
                              </w:rPr>
                            </w:pPr>
                            <w:r w:rsidRPr="00BD7134">
                              <w:rPr>
                                <w:b/>
                                <w:bCs/>
                                <w:color w:val="142147" w:themeColor="accent1"/>
                                <w:sz w:val="20"/>
                                <w:szCs w:val="20"/>
                              </w:rPr>
                              <w:t>Escalation of tax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891AA" id="Text Box 9" o:spid="_x0000_s1028" type="#_x0000_t202" style="position:absolute;margin-left:218.9pt;margin-top:175.7pt;width:139.75pt;height:25.35pt;rotation:-3514546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" filled="f" stroked="f" strokeweight=".5pt">
                <v:textbox>
                  <w:txbxContent>
                    <w:p w14:paraId="12919749" w14:textId="77777777" w:rsidR="00C3464D" w:rsidRPr="00BD7134" w:rsidRDefault="00C3464D" w:rsidP="00C3464D">
                      <w:pPr>
                        <w:rPr>
                          <w:b/>
                          <w:bCs/>
                          <w:color w:val="142147" w:themeColor="accent1"/>
                          <w:sz w:val="20"/>
                          <w:szCs w:val="20"/>
                        </w:rPr>
                      </w:pPr>
                      <w:r w:rsidRPr="00BD7134">
                        <w:rPr>
                          <w:b/>
                          <w:bCs/>
                          <w:color w:val="142147" w:themeColor="accent1"/>
                          <w:sz w:val="20"/>
                          <w:szCs w:val="20"/>
                        </w:rPr>
                        <w:t>Escalation of tax matters</w:t>
                      </w:r>
                    </w:p>
                  </w:txbxContent>
                </v:textbox>
              </v:shape>
            </w:pict>
          </mc:Fallback>
        </mc:AlternateContent>
      </w:r>
      <w:r>
        <w:rPr>
          <w:noProof/>
          <w:color w:val="142147" w:themeColor="accent1"/>
        </w:rPr>
        <mc:AlternateContent>
          <mc:Choice Requires="wps">
            <w:drawing>
              <wp:anchor distT="0" distB="0" distL="114300" distR="114300" simplePos="0" relativeHeight="251744256" behindDoc="0" locked="0" layoutInCell="1" allowOverlap="1" wp14:anchorId="1CDD899D" wp14:editId="755C2F45">
                <wp:simplePos x="0" y="0"/>
                <wp:positionH relativeFrom="column">
                  <wp:posOffset>3104570</wp:posOffset>
                </wp:positionH>
                <wp:positionV relativeFrom="paragraph">
                  <wp:posOffset>1458954</wp:posOffset>
                </wp:positionV>
                <wp:extent cx="1495425" cy="2047875"/>
                <wp:effectExtent l="0" t="38100" r="47625" b="28575"/>
                <wp:wrapNone/>
                <wp:docPr id="110479592"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495425" cy="204787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D64E26" id="_x0000_t32" coordsize="21600,21600" o:spt="32" o:oned="t" path="m,l21600,21600e" filled="f">
                <v:path arrowok="t" fillok="f" o:connecttype="none"/>
                <o:lock v:ext="edit" shapetype="t"/>
              </v:shapetype>
              <v:shape id="Straight Arrow Connector 8" o:spid="_x0000_s1026" type="#_x0000_t32" alt="&quot;&quot;" style="position:absolute;margin-left:244.45pt;margin-top:114.9pt;width:117.75pt;height:161.2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" strokecolor="#142147 [3204]" strokeweight=".5pt">
                <v:stroke endarrow="block" joinstyle="miter"/>
              </v:shape>
            </w:pict>
          </mc:Fallback>
        </mc:AlternateContent>
      </w:r>
      <w:r>
        <w:rPr>
          <w:noProof/>
          <w:color w:val="142147" w:themeColor="accent1"/>
        </w:rPr>
        <w:drawing>
          <wp:anchor distT="0" distB="0" distL="114300" distR="114300" simplePos="0" relativeHeight="251747328" behindDoc="0" locked="0" layoutInCell="1" allowOverlap="1" wp14:anchorId="65A8CD27" wp14:editId="0BB1E8BF">
            <wp:simplePos x="0" y="0"/>
            <wp:positionH relativeFrom="margin">
              <wp:posOffset>3158738</wp:posOffset>
            </wp:positionH>
            <wp:positionV relativeFrom="paragraph">
              <wp:posOffset>1414780</wp:posOffset>
            </wp:positionV>
            <wp:extent cx="3238500" cy="2257425"/>
            <wp:effectExtent l="19050" t="0" r="38100" b="9525"/>
            <wp:wrapSquare wrapText="bothSides"/>
            <wp:docPr id="394249674" name="Diagram 1" descr="Diagram showing escalation of tax matter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r w:rsidR="00C3464D">
        <w:rPr>
          <w:color w:val="142147" w:themeColor="accent1"/>
        </w:rPr>
        <w:t>JAS Ltd</w:t>
      </w:r>
      <w:r w:rsidR="00C3464D">
        <w:rPr>
          <w:rFonts w:asciiTheme="minorHAnsi" w:hAnsiTheme="minorHAnsi" w:cstheme="minorHAnsi"/>
          <w:color w:val="142147" w:themeColor="accent1"/>
        </w:rPr>
        <w:t xml:space="preserve">’s tax risk management approach is informed by the </w:t>
      </w:r>
      <w:r w:rsidR="00C3464D" w:rsidRPr="00091DD8">
        <w:rPr>
          <w:rFonts w:asciiTheme="minorHAnsi" w:hAnsiTheme="minorHAnsi" w:cstheme="minorHAnsi"/>
          <w:b/>
          <w:bCs/>
          <w:i/>
          <w:iCs/>
          <w:color w:val="701F4D" w:themeColor="accent2"/>
        </w:rPr>
        <w:t>JAS Ltd Tax Risk Management Framework</w:t>
      </w:r>
      <w:r w:rsidR="00C3464D" w:rsidRPr="00091DD8">
        <w:rPr>
          <w:rFonts w:asciiTheme="minorHAnsi" w:hAnsiTheme="minorHAnsi" w:cstheme="minorHAnsi"/>
          <w:i/>
          <w:iCs/>
          <w:color w:val="701F4D" w:themeColor="accent2"/>
        </w:rPr>
        <w:t xml:space="preserve"> </w:t>
      </w:r>
      <w:r w:rsidR="00C3464D">
        <w:rPr>
          <w:rFonts w:asciiTheme="minorHAnsi" w:hAnsiTheme="minorHAnsi" w:cstheme="minorHAnsi"/>
          <w:color w:val="142147" w:themeColor="accent1"/>
        </w:rPr>
        <w:t>which</w:t>
      </w:r>
      <w:r w:rsidR="00C3464D" w:rsidRPr="00900FD8">
        <w:rPr>
          <w:rFonts w:asciiTheme="minorHAnsi" w:hAnsiTheme="minorHAnsi" w:cstheme="minorHAnsi"/>
          <w:color w:val="142147" w:themeColor="accent1"/>
        </w:rPr>
        <w:t xml:space="preserve"> was prepared in accordance with the </w:t>
      </w:r>
      <w:r w:rsidR="00C3464D" w:rsidRPr="00782F36">
        <w:rPr>
          <w:rFonts w:asciiTheme="minorHAnsi" w:hAnsiTheme="minorHAnsi" w:cstheme="minorHAnsi"/>
          <w:color w:val="142147" w:themeColor="accent1"/>
        </w:rPr>
        <w:t>ATO’s Tax Risk Management and Governance Review Guide</w:t>
      </w:r>
      <w:r w:rsidR="00C3464D">
        <w:rPr>
          <w:rFonts w:asciiTheme="minorHAnsi" w:hAnsiTheme="minorHAnsi" w:cstheme="minorHAnsi"/>
          <w:color w:val="142147" w:themeColor="accent1"/>
        </w:rPr>
        <w:t xml:space="preserve"> and is reviewed annually by the Board</w:t>
      </w:r>
      <w:r w:rsidR="00C3464D" w:rsidRPr="00782F36">
        <w:rPr>
          <w:rFonts w:asciiTheme="minorHAnsi" w:hAnsiTheme="minorHAnsi" w:cstheme="minorHAnsi"/>
          <w:color w:val="142147" w:themeColor="accent1"/>
        </w:rPr>
        <w:t>.</w:t>
      </w:r>
      <w:r w:rsidR="00C3464D" w:rsidRPr="00900FD8">
        <w:rPr>
          <w:rFonts w:asciiTheme="minorHAnsi" w:hAnsiTheme="minorHAnsi" w:cstheme="minorHAnsi"/>
          <w:color w:val="142147" w:themeColor="accent1"/>
        </w:rPr>
        <w:t xml:space="preserve"> </w:t>
      </w:r>
      <w:r w:rsidR="00C3464D">
        <w:rPr>
          <w:rFonts w:asciiTheme="minorHAnsi" w:hAnsiTheme="minorHAnsi" w:cstheme="minorHAnsi"/>
          <w:color w:val="142147" w:themeColor="accent1"/>
        </w:rPr>
        <w:t xml:space="preserve">The framework sets out the processes, roles, responsibilities and accountabilities to ensure a consistent and compliant approach across the group. </w:t>
      </w:r>
      <w:r w:rsidR="00C3464D">
        <w:rPr>
          <w:color w:val="142147" w:themeColor="accent1"/>
        </w:rPr>
        <w:t xml:space="preserve">JAS Ltd ensures its tax processes, systems and controls are robust through regular reviews and revisions where necessary. JAS Ltd has controls to test the integrity of tax data, a strong focus on technology to support tax compliance, and carries out regular tax due diligence and verification processes. </w:t>
      </w:r>
    </w:p>
    <w:p w14:paraId="3FAAB724" w14:textId="77777777" w:rsidR="00C3464D" w:rsidRDefault="00C3464D" w:rsidP="001F3F4F"/>
    <w:p w14:paraId="776EE4EE" w14:textId="075314AB" w:rsidR="00C3464D" w:rsidRPr="00C3464D" w:rsidRDefault="00C3464D" w:rsidP="00C3464D">
      <w:pPr>
        <w:pStyle w:val="Bullet"/>
        <w:numPr>
          <w:ilvl w:val="0"/>
          <w:numId w:val="0"/>
        </w:numPr>
        <w:rPr>
          <w:b/>
          <w:bCs/>
          <w:color w:val="142147" w:themeColor="accent1"/>
        </w:rPr>
      </w:pPr>
      <w:r w:rsidRPr="00C3464D">
        <w:rPr>
          <w:b/>
          <w:bCs/>
          <w:color w:val="142147" w:themeColor="accent1"/>
        </w:rPr>
        <w:t>Key elements of the JAS Ltd Tax Risk Management Framework</w:t>
      </w:r>
    </w:p>
    <w:tbl>
      <w:tblPr>
        <w:tblStyle w:val="ListTable3-Accent2"/>
        <w:tblW w:w="0" w:type="auto"/>
        <w:tblLook w:val="04A0" w:firstRow="1" w:lastRow="0" w:firstColumn="1" w:lastColumn="0" w:noHBand="0" w:noVBand="1"/>
      </w:tblPr>
      <w:tblGrid>
        <w:gridCol w:w="4815"/>
        <w:gridCol w:w="4816"/>
      </w:tblGrid>
      <w:tr w:rsidR="00C3464D" w14:paraId="13469EEB" w14:textId="77777777" w:rsidTr="008E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shd w:val="clear" w:color="auto" w:fill="142147" w:themeFill="accent1"/>
          </w:tcPr>
          <w:p w14:paraId="613A44E5" w14:textId="77777777" w:rsidR="00C3464D" w:rsidRPr="00C3464D" w:rsidRDefault="00C3464D" w:rsidP="008E2424">
            <w:pPr>
              <w:rPr>
                <w:b/>
                <w:bCs w:val="0"/>
              </w:rPr>
            </w:pPr>
            <w:r w:rsidRPr="00C3464D">
              <w:rPr>
                <w:b/>
                <w:bCs w:val="0"/>
              </w:rPr>
              <w:t>Formal risk management mechanisms</w:t>
            </w:r>
          </w:p>
        </w:tc>
        <w:tc>
          <w:tcPr>
            <w:tcW w:w="4816" w:type="dxa"/>
            <w:shd w:val="clear" w:color="auto" w:fill="142147" w:themeFill="accent1"/>
          </w:tcPr>
          <w:p w14:paraId="1371E40E" w14:textId="77777777" w:rsidR="00C3464D" w:rsidRPr="00A7138A" w:rsidRDefault="00C3464D" w:rsidP="008E2424">
            <w:pPr>
              <w:cnfStyle w:val="100000000000" w:firstRow="1" w:lastRow="0" w:firstColumn="0" w:lastColumn="0" w:oddVBand="0" w:evenVBand="0" w:oddHBand="0" w:evenHBand="0" w:firstRowFirstColumn="0" w:firstRowLastColumn="0" w:lastRowFirstColumn="0" w:lastRowLastColumn="0"/>
              <w:rPr>
                <w:b/>
              </w:rPr>
            </w:pPr>
            <w:r w:rsidRPr="00A7138A">
              <w:rPr>
                <w:b/>
              </w:rPr>
              <w:t xml:space="preserve">Day-to-day risk management obligations </w:t>
            </w:r>
          </w:p>
        </w:tc>
      </w:tr>
      <w:tr w:rsidR="00C3464D" w14:paraId="321FF9F4"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174B48D5" w14:textId="77777777" w:rsidR="00C3464D" w:rsidRPr="00421379" w:rsidRDefault="00C3464D" w:rsidP="008E2424">
            <w:pPr>
              <w:rPr>
                <w:b w:val="0"/>
                <w:color w:val="142147" w:themeColor="accent1"/>
              </w:rPr>
            </w:pPr>
            <w:r w:rsidRPr="00421379">
              <w:rPr>
                <w:b w:val="0"/>
                <w:color w:val="142147" w:themeColor="accent1"/>
              </w:rPr>
              <w:t xml:space="preserve">Enterprise Risk Management Framework </w:t>
            </w:r>
          </w:p>
        </w:tc>
        <w:tc>
          <w:tcPr>
            <w:tcW w:w="4816" w:type="dxa"/>
            <w:tcBorders>
              <w:left w:val="single" w:sz="4" w:space="0" w:color="701F4D"/>
              <w:right w:val="nil"/>
            </w:tcBorders>
          </w:tcPr>
          <w:p w14:paraId="3E35D458" w14:textId="77777777" w:rsidR="00C3464D" w:rsidRPr="00421379" w:rsidRDefault="00C3464D" w:rsidP="008E242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Provide appropriately resources tax function with experienced professionals </w:t>
            </w:r>
          </w:p>
        </w:tc>
      </w:tr>
      <w:tr w:rsidR="00C3464D" w14:paraId="073532EA" w14:textId="77777777" w:rsidTr="008E2424">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0FC4D225" w14:textId="77777777" w:rsidR="00C3464D" w:rsidRPr="00421379" w:rsidRDefault="00C3464D" w:rsidP="008E2424">
            <w:pPr>
              <w:rPr>
                <w:b w:val="0"/>
                <w:color w:val="142147" w:themeColor="accent1"/>
              </w:rPr>
            </w:pPr>
            <w:r w:rsidRPr="00421379">
              <w:rPr>
                <w:b w:val="0"/>
                <w:color w:val="142147" w:themeColor="accent1"/>
              </w:rPr>
              <w:t xml:space="preserve">Risk Appetite Statement </w:t>
            </w:r>
          </w:p>
        </w:tc>
        <w:tc>
          <w:tcPr>
            <w:tcW w:w="4816" w:type="dxa"/>
            <w:tcBorders>
              <w:left w:val="single" w:sz="4" w:space="0" w:color="701F4D"/>
              <w:right w:val="nil"/>
            </w:tcBorders>
          </w:tcPr>
          <w:p w14:paraId="0CBE9A61" w14:textId="77777777" w:rsidR="00C3464D" w:rsidRPr="00421379" w:rsidRDefault="00C3464D" w:rsidP="008E2424">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Implement mechanisms to measure significant transactions, materiality and risk</w:t>
            </w:r>
          </w:p>
        </w:tc>
      </w:tr>
      <w:tr w:rsidR="00C3464D" w14:paraId="543CA887"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1EEEECEA" w14:textId="77777777" w:rsidR="00C3464D" w:rsidRPr="00421379" w:rsidRDefault="00C3464D" w:rsidP="008E2424">
            <w:pPr>
              <w:rPr>
                <w:b w:val="0"/>
                <w:color w:val="142147" w:themeColor="accent1"/>
              </w:rPr>
            </w:pPr>
            <w:r w:rsidRPr="00421379">
              <w:rPr>
                <w:b w:val="0"/>
                <w:color w:val="142147" w:themeColor="accent1"/>
              </w:rPr>
              <w:t xml:space="preserve">Corporate Governance Statement </w:t>
            </w:r>
          </w:p>
        </w:tc>
        <w:tc>
          <w:tcPr>
            <w:tcW w:w="4816" w:type="dxa"/>
            <w:tcBorders>
              <w:left w:val="single" w:sz="4" w:space="0" w:color="701F4D"/>
              <w:right w:val="nil"/>
            </w:tcBorders>
          </w:tcPr>
          <w:p w14:paraId="4F037F6F" w14:textId="77777777" w:rsidR="00C3464D" w:rsidRPr="00421379" w:rsidRDefault="00C3464D" w:rsidP="008E242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Provide tax engagement protocols </w:t>
            </w:r>
          </w:p>
        </w:tc>
      </w:tr>
      <w:tr w:rsidR="00C3464D" w14:paraId="1B9650C5" w14:textId="77777777" w:rsidTr="008E2424">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361A2FC4" w14:textId="77777777" w:rsidR="00C3464D" w:rsidRPr="00421379" w:rsidRDefault="00C3464D" w:rsidP="008E2424">
            <w:pPr>
              <w:rPr>
                <w:b w:val="0"/>
                <w:color w:val="142147" w:themeColor="accent1"/>
              </w:rPr>
            </w:pPr>
            <w:r w:rsidRPr="00421379">
              <w:rPr>
                <w:b w:val="0"/>
                <w:color w:val="142147" w:themeColor="accent1"/>
              </w:rPr>
              <w:t xml:space="preserve">Tax guidelines relating to taxes, tax concessions and relationships with regulators </w:t>
            </w:r>
          </w:p>
        </w:tc>
        <w:tc>
          <w:tcPr>
            <w:tcW w:w="4816" w:type="dxa"/>
            <w:tcBorders>
              <w:left w:val="single" w:sz="4" w:space="0" w:color="701F4D"/>
              <w:right w:val="nil"/>
            </w:tcBorders>
          </w:tcPr>
          <w:p w14:paraId="25A73B2F" w14:textId="77777777" w:rsidR="00C3464D" w:rsidRPr="00421379" w:rsidRDefault="00C3464D" w:rsidP="008E2424">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Engage external tax advisors where necessary</w:t>
            </w:r>
          </w:p>
        </w:tc>
      </w:tr>
      <w:tr w:rsidR="00C3464D" w14:paraId="690486BA"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70A54F1C" w14:textId="77777777" w:rsidR="00C3464D" w:rsidRPr="00823EED" w:rsidRDefault="00C3464D" w:rsidP="008E2424">
            <w:pPr>
              <w:rPr>
                <w:b w:val="0"/>
                <w:color w:val="142147" w:themeColor="accent1"/>
              </w:rPr>
            </w:pPr>
            <w:r w:rsidRPr="00823EED">
              <w:rPr>
                <w:b w:val="0"/>
                <w:color w:val="142147" w:themeColor="accent1"/>
              </w:rPr>
              <w:t>Significant Transaction Identification and Tax Risk Escalation Guideline</w:t>
            </w:r>
          </w:p>
        </w:tc>
        <w:tc>
          <w:tcPr>
            <w:tcW w:w="4816" w:type="dxa"/>
            <w:tcBorders>
              <w:left w:val="single" w:sz="4" w:space="0" w:color="701F4D"/>
              <w:right w:val="nil"/>
            </w:tcBorders>
          </w:tcPr>
          <w:p w14:paraId="10D8D232" w14:textId="77777777" w:rsidR="00C3464D" w:rsidRPr="00421379" w:rsidRDefault="00C3464D" w:rsidP="008E242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Obtain tax rulings or advice from tax authorities on complex or uncertain areas of the law. </w:t>
            </w:r>
          </w:p>
        </w:tc>
      </w:tr>
      <w:tr w:rsidR="00C3464D" w14:paraId="642623E3" w14:textId="77777777" w:rsidTr="008E2424">
        <w:tc>
          <w:tcPr>
            <w:cnfStyle w:val="001000000000" w:firstRow="0" w:lastRow="0" w:firstColumn="1" w:lastColumn="0" w:oddVBand="0" w:evenVBand="0" w:oddHBand="0" w:evenHBand="0" w:firstRowFirstColumn="0" w:firstRowLastColumn="0" w:lastRowFirstColumn="0" w:lastRowLastColumn="0"/>
            <w:tcW w:w="4815" w:type="dxa"/>
            <w:tcBorders>
              <w:left w:val="nil"/>
              <w:right w:val="single" w:sz="4" w:space="0" w:color="701F4D"/>
            </w:tcBorders>
          </w:tcPr>
          <w:p w14:paraId="6DB1811B" w14:textId="77777777" w:rsidR="00C3464D" w:rsidRPr="00823EED" w:rsidRDefault="00C3464D" w:rsidP="008E2424">
            <w:pPr>
              <w:rPr>
                <w:b w:val="0"/>
                <w:color w:val="142147" w:themeColor="accent1"/>
              </w:rPr>
            </w:pPr>
            <w:r w:rsidRPr="00823EED">
              <w:rPr>
                <w:b w:val="0"/>
                <w:color w:val="142147" w:themeColor="accent1"/>
              </w:rPr>
              <w:t xml:space="preserve">Quarterly tax compliance papers submitted to the Audit and Risk Committee </w:t>
            </w:r>
          </w:p>
        </w:tc>
        <w:tc>
          <w:tcPr>
            <w:tcW w:w="4816" w:type="dxa"/>
            <w:tcBorders>
              <w:left w:val="single" w:sz="4" w:space="0" w:color="701F4D"/>
              <w:right w:val="nil"/>
            </w:tcBorders>
          </w:tcPr>
          <w:p w14:paraId="4DB2EC75" w14:textId="77777777" w:rsidR="00C3464D" w:rsidRPr="00421379" w:rsidRDefault="00C3464D" w:rsidP="008E2424">
            <w:pPr>
              <w:cnfStyle w:val="000000000000" w:firstRow="0" w:lastRow="0" w:firstColumn="0" w:lastColumn="0" w:oddVBand="0" w:evenVBand="0" w:oddHBand="0" w:evenHBand="0" w:firstRowFirstColumn="0" w:firstRowLastColumn="0" w:lastRowFirstColumn="0" w:lastRowLastColumn="0"/>
              <w:rPr>
                <w:color w:val="142147" w:themeColor="accent1"/>
              </w:rPr>
            </w:pPr>
          </w:p>
        </w:tc>
      </w:tr>
    </w:tbl>
    <w:p w14:paraId="678486EE" w14:textId="77777777" w:rsidR="00BD4078" w:rsidRDefault="00BD4078" w:rsidP="00BD4078">
      <w:pPr>
        <w:pStyle w:val="Heading3"/>
      </w:pPr>
      <w:r>
        <w:t>Stakeholder engagement and management of concerns related to tax</w:t>
      </w:r>
    </w:p>
    <w:p w14:paraId="73B9653F" w14:textId="2669CB35" w:rsidR="00801EA4" w:rsidRPr="00801EA4" w:rsidRDefault="00801EA4" w:rsidP="00801EA4">
      <w:pPr>
        <w:pStyle w:val="Heading4"/>
      </w:pPr>
      <w:r>
        <w:t>Optional elements</w:t>
      </w:r>
    </w:p>
    <w:p w14:paraId="05743745" w14:textId="77777777" w:rsidR="00801EA4" w:rsidRPr="005D7AD1" w:rsidRDefault="00801EA4" w:rsidP="00801EA4">
      <w:pPr>
        <w:pStyle w:val="Bullet"/>
        <w:tabs>
          <w:tab w:val="clear" w:pos="520"/>
          <w:tab w:val="num" w:pos="567"/>
        </w:tabs>
        <w:rPr>
          <w:b/>
          <w:bCs/>
          <w:color w:val="142147" w:themeColor="accent1"/>
        </w:rPr>
      </w:pPr>
      <w:r>
        <w:rPr>
          <w:b/>
          <w:bCs/>
          <w:color w:val="142147" w:themeColor="accent1"/>
        </w:rPr>
        <w:t>[</w:t>
      </w:r>
      <w:r w:rsidRPr="005D7AD1">
        <w:rPr>
          <w:b/>
          <w:bCs/>
          <w:color w:val="142147" w:themeColor="accent1"/>
        </w:rPr>
        <w:t xml:space="preserve">Provide a description of its approach to engagement with the ATO. This may include: </w:t>
      </w:r>
    </w:p>
    <w:p w14:paraId="5679161A" w14:textId="77777777" w:rsidR="00801EA4" w:rsidRPr="00044C2F" w:rsidRDefault="00801EA4" w:rsidP="00801EA4">
      <w:pPr>
        <w:pStyle w:val="Dash"/>
        <w:tabs>
          <w:tab w:val="clear" w:pos="1040"/>
        </w:tabs>
        <w:rPr>
          <w:b/>
          <w:bCs/>
          <w:color w:val="142147" w:themeColor="accent1"/>
        </w:rPr>
      </w:pPr>
      <w:r w:rsidRPr="00044C2F">
        <w:rPr>
          <w:b/>
          <w:bCs/>
          <w:color w:val="142147" w:themeColor="accent1"/>
        </w:rPr>
        <w:t>the assurance regimes the entity is subject to, including any outcomes from assurance regimes, for example, internal audit, external audit, Advance Pricing Arrangements (APAs), Annual Compliance Arrangement (ACA), Justified Trust reviews and ATO pre-lodgment compliance reviews;</w:t>
      </w:r>
    </w:p>
    <w:p w14:paraId="7E51BA95" w14:textId="77777777" w:rsidR="00801EA4" w:rsidRPr="005D7AD1" w:rsidRDefault="00801EA4" w:rsidP="00801EA4">
      <w:pPr>
        <w:pStyle w:val="Dash"/>
        <w:tabs>
          <w:tab w:val="clear" w:pos="1040"/>
        </w:tabs>
        <w:rPr>
          <w:b/>
          <w:bCs/>
          <w:color w:val="142147" w:themeColor="accent1"/>
        </w:rPr>
      </w:pPr>
      <w:r w:rsidRPr="005D7AD1">
        <w:rPr>
          <w:b/>
          <w:bCs/>
          <w:color w:val="142147" w:themeColor="accent1"/>
        </w:rPr>
        <w:t xml:space="preserve">engagement on tax risks including private binding rulings obtained, cooperative compliance agreements, seeking active real-time audit, seeking clearance for significant transactions and advance pricing agreements sought; </w:t>
      </w:r>
    </w:p>
    <w:p w14:paraId="206FEFD9" w14:textId="77777777" w:rsidR="00801EA4" w:rsidRPr="005D7AD1" w:rsidRDefault="00801EA4" w:rsidP="00801EA4">
      <w:pPr>
        <w:pStyle w:val="Dash"/>
        <w:tabs>
          <w:tab w:val="clear" w:pos="1040"/>
        </w:tabs>
        <w:rPr>
          <w:b/>
          <w:bCs/>
          <w:color w:val="142147" w:themeColor="accent1"/>
        </w:rPr>
      </w:pPr>
      <w:r w:rsidRPr="005D7AD1">
        <w:rPr>
          <w:b/>
          <w:bCs/>
          <w:color w:val="142147" w:themeColor="accent1"/>
        </w:rPr>
        <w:t>the outcome of ATO compliance activities, for example, a ‘risk rating’ or the outcome of a streamlined risk review; and</w:t>
      </w:r>
    </w:p>
    <w:p w14:paraId="01512C48" w14:textId="77777777" w:rsidR="00801EA4" w:rsidRDefault="00801EA4" w:rsidP="00801EA4">
      <w:pPr>
        <w:pStyle w:val="Dash"/>
        <w:tabs>
          <w:tab w:val="clear" w:pos="1040"/>
        </w:tabs>
        <w:rPr>
          <w:b/>
          <w:bCs/>
          <w:color w:val="142147" w:themeColor="accent1"/>
        </w:rPr>
      </w:pPr>
      <w:r w:rsidRPr="00FD651A">
        <w:rPr>
          <w:b/>
          <w:bCs/>
          <w:color w:val="142147" w:themeColor="accent1"/>
        </w:rPr>
        <w:t>any significant ongoing or recently settled tax disputes with the ATO and/or other revenue authorities, including settlement outcomes, to the extent not already disclosed in financial statements]</w:t>
      </w:r>
    </w:p>
    <w:p w14:paraId="221C6E78" w14:textId="77777777" w:rsidR="00801EA4" w:rsidRPr="00DA03F9" w:rsidRDefault="00801EA4" w:rsidP="00801EA4">
      <w:pPr>
        <w:pStyle w:val="Bullet"/>
        <w:tabs>
          <w:tab w:val="clear" w:pos="520"/>
          <w:tab w:val="num" w:pos="567"/>
        </w:tabs>
        <w:rPr>
          <w:b/>
          <w:bCs/>
          <w:color w:val="142147" w:themeColor="accent1"/>
        </w:rPr>
      </w:pPr>
      <w:r>
        <w:rPr>
          <w:b/>
          <w:bCs/>
          <w:color w:val="142147" w:themeColor="accent1"/>
        </w:rPr>
        <w:t>[</w:t>
      </w:r>
      <w:r w:rsidRPr="005D7AD1">
        <w:rPr>
          <w:b/>
          <w:bCs/>
          <w:color w:val="142147" w:themeColor="accent1"/>
        </w:rPr>
        <w:t>Provide a description of its approach to engagement with other tax authorities</w:t>
      </w:r>
      <w:r>
        <w:rPr>
          <w:b/>
          <w:bCs/>
          <w:color w:val="142147" w:themeColor="accent1"/>
        </w:rPr>
        <w:t>]</w:t>
      </w:r>
    </w:p>
    <w:p w14:paraId="37C6C0CC" w14:textId="77777777" w:rsidR="00801EA4" w:rsidRPr="002811FB" w:rsidRDefault="00801EA4" w:rsidP="00801EA4">
      <w:pPr>
        <w:pStyle w:val="Bullet"/>
        <w:numPr>
          <w:ilvl w:val="0"/>
          <w:numId w:val="0"/>
        </w:numPr>
        <w:rPr>
          <w:rFonts w:asciiTheme="minorHAnsi" w:hAnsiTheme="minorHAnsi" w:cstheme="minorHAnsi"/>
          <w:b/>
          <w:bCs/>
          <w:color w:val="142147" w:themeColor="accent1"/>
        </w:rPr>
      </w:pPr>
      <w:r w:rsidRPr="002811FB">
        <w:rPr>
          <w:rFonts w:asciiTheme="minorHAnsi" w:hAnsiTheme="minorHAnsi" w:cstheme="minorHAnsi"/>
          <w:b/>
          <w:bCs/>
          <w:color w:val="142147" w:themeColor="accent1"/>
        </w:rPr>
        <w:t xml:space="preserve">Engagement with </w:t>
      </w:r>
      <w:r>
        <w:rPr>
          <w:rFonts w:asciiTheme="minorHAnsi" w:hAnsiTheme="minorHAnsi" w:cstheme="minorHAnsi"/>
          <w:b/>
          <w:bCs/>
          <w:color w:val="142147" w:themeColor="accent1"/>
        </w:rPr>
        <w:t>tax authorities</w:t>
      </w:r>
    </w:p>
    <w:p w14:paraId="5EDF10DC" w14:textId="77777777" w:rsidR="00801EA4" w:rsidRDefault="00801EA4" w:rsidP="00801EA4">
      <w:pPr>
        <w:pStyle w:val="Bullet"/>
        <w:numPr>
          <w:ilvl w:val="0"/>
          <w:numId w:val="0"/>
        </w:numPr>
        <w:spacing w:before="0"/>
        <w:rPr>
          <w:rFonts w:asciiTheme="minorHAnsi" w:hAnsiTheme="minorHAnsi" w:cstheme="minorHAnsi"/>
          <w:color w:val="142147" w:themeColor="accent1"/>
        </w:rPr>
      </w:pPr>
      <w:r>
        <w:rPr>
          <w:color w:val="142147" w:themeColor="accent1"/>
        </w:rPr>
        <w:t>JAS Ltd</w:t>
      </w:r>
      <w:r>
        <w:rPr>
          <w:rFonts w:asciiTheme="minorHAnsi" w:hAnsiTheme="minorHAnsi" w:cstheme="minorHAnsi"/>
          <w:color w:val="142147" w:themeColor="accent1"/>
        </w:rPr>
        <w:t xml:space="preserve"> recognises the role of tax authorities in administering tax laws and is committed to maintaining an open, constructive and transparent relationship with tax authorities. </w:t>
      </w:r>
      <w:r>
        <w:rPr>
          <w:color w:val="142147" w:themeColor="accent1"/>
        </w:rPr>
        <w:t>JAS Ltd</w:t>
      </w:r>
      <w:r>
        <w:rPr>
          <w:rFonts w:asciiTheme="minorHAnsi" w:hAnsiTheme="minorHAnsi" w:cstheme="minorHAnsi"/>
          <w:color w:val="142147" w:themeColor="accent1"/>
        </w:rPr>
        <w:t xml:space="preserve"> is committed to maintaining good compliance and mitigating tax risks. We recognise that on occasion there will be differences in interpretation of the laws where the tax treatment of certain activities and transactions is unclear. For transactions which present as non-routine, or unclear JAS Ltd seeks tax certainty, and utilises Private Binding Rulings where appropriate. </w:t>
      </w:r>
      <w:r w:rsidRPr="32AB3811">
        <w:rPr>
          <w:rFonts w:asciiTheme="minorHAnsi" w:hAnsiTheme="minorHAnsi" w:cstheme="minorBidi"/>
          <w:color w:val="142147" w:themeColor="accent1"/>
        </w:rPr>
        <w:t xml:space="preserve">In the event of any disputes, we will maintain an open and constructive relationship with tax authorities to achieve a mutually acceptable resolution. </w:t>
      </w:r>
      <w:r>
        <w:rPr>
          <w:rFonts w:asciiTheme="minorHAnsi" w:hAnsiTheme="minorHAnsi" w:cstheme="minorHAnsi"/>
          <w:color w:val="142147" w:themeColor="accent1"/>
        </w:rPr>
        <w:t xml:space="preserve"> </w:t>
      </w:r>
    </w:p>
    <w:p w14:paraId="3860D5F1" w14:textId="74DEB5A5" w:rsidR="00164C29" w:rsidRDefault="00164C29">
      <w:pPr>
        <w:rPr>
          <w:rFonts w:asciiTheme="minorHAnsi" w:hAnsiTheme="minorHAnsi" w:cstheme="minorHAnsi"/>
          <w:color w:val="142147" w:themeColor="accent1"/>
        </w:rPr>
      </w:pPr>
      <w:r>
        <w:rPr>
          <w:rFonts w:asciiTheme="minorHAnsi" w:hAnsiTheme="minorHAnsi" w:cstheme="minorHAnsi"/>
          <w:color w:val="142147" w:themeColor="accent1"/>
        </w:rPr>
        <w:br w:type="page"/>
      </w:r>
    </w:p>
    <w:p w14:paraId="2E96B9AA" w14:textId="77777777" w:rsidR="00801EA4" w:rsidRPr="009B7A7F" w:rsidRDefault="00801EA4" w:rsidP="00801EA4">
      <w:pPr>
        <w:pStyle w:val="Bullet"/>
        <w:numPr>
          <w:ilvl w:val="0"/>
          <w:numId w:val="0"/>
        </w:numPr>
        <w:spacing w:before="0"/>
        <w:rPr>
          <w:rFonts w:asciiTheme="minorHAnsi" w:hAnsiTheme="minorHAnsi" w:cstheme="minorHAnsi"/>
          <w:b/>
          <w:bCs/>
          <w:color w:val="142147" w:themeColor="accent1"/>
        </w:rPr>
      </w:pPr>
      <w:r w:rsidRPr="009B7A7F">
        <w:rPr>
          <w:rFonts w:asciiTheme="minorHAnsi" w:hAnsiTheme="minorHAnsi" w:cstheme="minorHAnsi"/>
          <w:b/>
          <w:bCs/>
          <w:color w:val="142147" w:themeColor="accent1"/>
        </w:rPr>
        <w:t xml:space="preserve">Engagement with the ATO </w:t>
      </w:r>
    </w:p>
    <w:p w14:paraId="675D7E41" w14:textId="77777777" w:rsidR="00801EA4" w:rsidRDefault="00801EA4" w:rsidP="00801EA4">
      <w:pPr>
        <w:pStyle w:val="Bullet"/>
        <w:numPr>
          <w:ilvl w:val="0"/>
          <w:numId w:val="0"/>
        </w:numPr>
        <w:spacing w:before="0"/>
        <w:rPr>
          <w:rFonts w:asciiTheme="minorHAnsi" w:hAnsiTheme="minorHAnsi" w:cstheme="minorHAnsi"/>
          <w:color w:val="142147" w:themeColor="accent1"/>
        </w:rPr>
      </w:pPr>
      <w:r>
        <w:rPr>
          <w:rFonts w:asciiTheme="minorHAnsi" w:hAnsiTheme="minorHAnsi" w:cstheme="minorHAnsi"/>
          <w:b/>
          <w:bCs/>
          <w:noProof/>
          <w:color w:val="142147" w:themeColor="accent1"/>
        </w:rPr>
        <mc:AlternateContent>
          <mc:Choice Requires="wps">
            <w:drawing>
              <wp:anchor distT="0" distB="0" distL="114300" distR="114300" simplePos="0" relativeHeight="251749376" behindDoc="1" locked="0" layoutInCell="1" allowOverlap="1" wp14:anchorId="6921C106" wp14:editId="4EF6E616">
                <wp:simplePos x="0" y="0"/>
                <wp:positionH relativeFrom="column">
                  <wp:posOffset>3799205</wp:posOffset>
                </wp:positionH>
                <wp:positionV relativeFrom="paragraph">
                  <wp:posOffset>15240</wp:posOffset>
                </wp:positionV>
                <wp:extent cx="2000250" cy="2628900"/>
                <wp:effectExtent l="19050" t="19050" r="19050" b="19050"/>
                <wp:wrapSquare wrapText="bothSides"/>
                <wp:docPr id="1272723829" name="Text Box 13"/>
                <wp:cNvGraphicFramePr/>
                <a:graphic xmlns:a="http://schemas.openxmlformats.org/drawingml/2006/main">
                  <a:graphicData uri="http://schemas.microsoft.com/office/word/2010/wordprocessingShape">
                    <wps:wsp>
                      <wps:cNvSpPr txBox="1"/>
                      <wps:spPr>
                        <a:xfrm>
                          <a:off x="0" y="0"/>
                          <a:ext cx="2000250" cy="2628900"/>
                        </a:xfrm>
                        <a:prstGeom prst="rect">
                          <a:avLst/>
                        </a:prstGeom>
                        <a:solidFill>
                          <a:schemeClr val="accent3"/>
                        </a:solidFill>
                        <a:ln w="28575">
                          <a:solidFill>
                            <a:schemeClr val="accent2"/>
                          </a:solidFill>
                        </a:ln>
                      </wps:spPr>
                      <wps:txbx>
                        <w:txbxContent>
                          <w:p w14:paraId="1956B821" w14:textId="77777777" w:rsidR="00801EA4" w:rsidRDefault="00801EA4" w:rsidP="00801EA4">
                            <w:pPr>
                              <w:spacing w:before="360"/>
                              <w:rPr>
                                <w:rFonts w:asciiTheme="majorHAnsi" w:hAnsiTheme="majorHAnsi" w:cs="Segoe UI Symbol"/>
                                <w:b/>
                                <w:bCs/>
                                <w:color w:val="142147" w:themeColor="accent1"/>
                                <w:sz w:val="20"/>
                                <w:szCs w:val="20"/>
                              </w:rPr>
                            </w:pP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ATO pre-lodgment compliance program</w:t>
                            </w:r>
                          </w:p>
                          <w:p w14:paraId="2EE29BBD" w14:textId="77777777" w:rsidR="00801EA4" w:rsidRPr="009B7A7F" w:rsidRDefault="00801EA4" w:rsidP="00801EA4">
                            <w:pPr>
                              <w:spacing w:before="0" w:after="0"/>
                              <w:rPr>
                                <w:rFonts w:asciiTheme="majorHAnsi" w:hAnsiTheme="majorHAnsi" w:cs="Segoe UI Symbol"/>
                                <w:b/>
                                <w:bCs/>
                                <w:color w:val="142147" w:themeColor="accent1"/>
                                <w:sz w:val="24"/>
                                <w:szCs w:val="24"/>
                              </w:rPr>
                            </w:pPr>
                          </w:p>
                          <w:p w14:paraId="467D5BA8" w14:textId="77777777" w:rsidR="00801EA4" w:rsidRDefault="00801EA4" w:rsidP="00801EA4">
                            <w:pPr>
                              <w:rPr>
                                <w:rFonts w:asciiTheme="majorHAnsi" w:hAnsiTheme="majorHAnsi" w:cs="Segoe UI Symbol"/>
                                <w:b/>
                                <w:bCs/>
                                <w:color w:val="142147" w:themeColor="accent1"/>
                                <w:sz w:val="20"/>
                                <w:szCs w:val="20"/>
                              </w:rPr>
                            </w:pP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‘High assurance’ under the ATO</w:t>
                            </w: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justified trust program</w:t>
                            </w:r>
                          </w:p>
                          <w:p w14:paraId="52320622" w14:textId="77777777" w:rsidR="00801EA4" w:rsidRPr="00E961EE" w:rsidRDefault="00801EA4" w:rsidP="00801EA4">
                            <w:pPr>
                              <w:spacing w:before="0" w:after="0"/>
                              <w:rPr>
                                <w:rFonts w:ascii="Segoe UI Symbol" w:hAnsi="Segoe UI Symbol" w:cs="Segoe UI Symbol"/>
                                <w:b/>
                                <w:bCs/>
                                <w:color w:val="142147" w:themeColor="accent1"/>
                                <w:sz w:val="24"/>
                                <w:szCs w:val="24"/>
                              </w:rPr>
                            </w:pPr>
                          </w:p>
                          <w:p w14:paraId="642238D7" w14:textId="77777777" w:rsidR="00801EA4" w:rsidRPr="00E961EE" w:rsidRDefault="00801EA4" w:rsidP="00801EA4">
                            <w:pPr>
                              <w:rPr>
                                <w:rFonts w:asciiTheme="majorHAnsi" w:hAnsiTheme="majorHAnsi" w:cs="Segoe UI Symbol"/>
                                <w:b/>
                                <w:bCs/>
                                <w:color w:val="142147" w:themeColor="accent1"/>
                              </w:rPr>
                            </w:pPr>
                            <w:r w:rsidRPr="00E961EE">
                              <w:rPr>
                                <w:rFonts w:ascii="Segoe UI Symbol" w:hAnsi="Segoe UI Symbol" w:cs="Segoe UI Symbol"/>
                                <w:b/>
                                <w:bCs/>
                                <w:color w:val="142147" w:themeColor="accent1"/>
                                <w:sz w:val="24"/>
                                <w:szCs w:val="24"/>
                              </w:rPr>
                              <w:t xml:space="preserve">✔ </w:t>
                            </w:r>
                            <w:r w:rsidRPr="00217F01">
                              <w:rPr>
                                <w:rFonts w:asciiTheme="majorHAnsi" w:hAnsiTheme="majorHAnsi" w:cs="Segoe UI Symbol"/>
                                <w:b/>
                                <w:bCs/>
                                <w:color w:val="142147" w:themeColor="accent1"/>
                                <w:sz w:val="20"/>
                                <w:szCs w:val="20"/>
                              </w:rPr>
                              <w:t>Actively seek</w:t>
                            </w:r>
                            <w:r>
                              <w:rPr>
                                <w:rFonts w:asciiTheme="majorHAnsi" w:hAnsiTheme="majorHAnsi" w:cs="Segoe UI Symbol"/>
                                <w:b/>
                                <w:bCs/>
                                <w:color w:val="142147" w:themeColor="accent1"/>
                                <w:sz w:val="20"/>
                                <w:szCs w:val="20"/>
                              </w:rPr>
                              <w:t>s</w:t>
                            </w:r>
                            <w:r w:rsidRPr="00217F01">
                              <w:rPr>
                                <w:rFonts w:asciiTheme="majorHAnsi" w:hAnsiTheme="majorHAnsi" w:cs="Segoe UI Symbol"/>
                                <w:b/>
                                <w:bCs/>
                                <w:color w:val="142147" w:themeColor="accent1"/>
                                <w:sz w:val="20"/>
                                <w:szCs w:val="20"/>
                              </w:rPr>
                              <w:t xml:space="preserve"> ATO advice via Private Binding Rulings</w:t>
                            </w:r>
                            <w:r>
                              <w:rPr>
                                <w:rFonts w:ascii="Segoe UI Symbol" w:hAnsi="Segoe UI Symbol" w:cs="Segoe UI Symbol"/>
                                <w:b/>
                                <w:bCs/>
                                <w:color w:val="142147" w:themeColor="accent1"/>
                                <w:sz w:val="24"/>
                                <w:szCs w:val="24"/>
                              </w:rPr>
                              <w:t xml:space="preserve"> </w:t>
                            </w:r>
                            <w:r w:rsidRPr="004536FA">
                              <w:rPr>
                                <w:rFonts w:asciiTheme="majorHAnsi" w:hAnsiTheme="majorHAnsi" w:cs="Segoe UI Symbol"/>
                                <w:b/>
                                <w:bCs/>
                                <w:color w:val="142147" w:themeColor="accent1"/>
                                <w:sz w:val="20"/>
                                <w:szCs w:val="20"/>
                              </w:rPr>
                              <w:t>and makes Voluntary Disclosures</w:t>
                            </w:r>
                            <w:r>
                              <w:rPr>
                                <w:rFonts w:ascii="Segoe UI Symbol" w:hAnsi="Segoe UI Symbol" w:cs="Segoe UI Symbol"/>
                                <w:b/>
                                <w:bCs/>
                                <w:color w:val="142147" w:themeColor="accent1"/>
                                <w:sz w:val="24"/>
                                <w:szCs w:val="24"/>
                              </w:rPr>
                              <w:t xml:space="preserve"> </w:t>
                            </w:r>
                          </w:p>
                          <w:p w14:paraId="0FEB7EED" w14:textId="77777777" w:rsidR="00801EA4" w:rsidRDefault="00801EA4" w:rsidP="00801EA4">
                            <w:pPr>
                              <w:spacing w:before="0"/>
                              <w:rPr>
                                <w:rFonts w:asciiTheme="majorHAnsi" w:hAnsiTheme="majorHAnsi" w:cs="Segoe UI Symbol"/>
                                <w:b/>
                                <w:bCs/>
                                <w:color w:val="142147" w:themeColor="accent1"/>
                                <w:sz w:val="24"/>
                                <w:szCs w:val="24"/>
                              </w:rPr>
                            </w:pPr>
                          </w:p>
                          <w:p w14:paraId="58711660" w14:textId="77777777" w:rsidR="00801EA4" w:rsidRPr="005F72F5" w:rsidRDefault="00801EA4" w:rsidP="00801EA4">
                            <w:pPr>
                              <w:rPr>
                                <w:rFonts w:asciiTheme="majorHAnsi" w:hAnsiTheme="majorHAnsi"/>
                                <w:color w:val="142147"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C106" id="Text Box 13" o:spid="_x0000_s1029" type="#_x0000_t202" style="position:absolute;margin-left:299.15pt;margin-top:1.2pt;width:157.5pt;height:20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" fillcolor="#d4c2a8 [3206]" strokecolor="#701f4d [3205]" strokeweight="2.25pt">
                <v:textbox>
                  <w:txbxContent>
                    <w:p w14:paraId="1956B821" w14:textId="77777777" w:rsidR="00801EA4" w:rsidRDefault="00801EA4" w:rsidP="00801EA4">
                      <w:pPr>
                        <w:spacing w:before="360"/>
                        <w:rPr>
                          <w:rFonts w:asciiTheme="majorHAnsi" w:hAnsiTheme="majorHAnsi" w:cs="Segoe UI Symbol"/>
                          <w:b/>
                          <w:bCs/>
                          <w:color w:val="142147" w:themeColor="accent1"/>
                          <w:sz w:val="20"/>
                          <w:szCs w:val="20"/>
                        </w:rPr>
                      </w:pP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ATO pre-lodgment compliance program</w:t>
                      </w:r>
                    </w:p>
                    <w:p w14:paraId="2EE29BBD" w14:textId="77777777" w:rsidR="00801EA4" w:rsidRPr="009B7A7F" w:rsidRDefault="00801EA4" w:rsidP="00801EA4">
                      <w:pPr>
                        <w:spacing w:before="0" w:after="0"/>
                        <w:rPr>
                          <w:rFonts w:asciiTheme="majorHAnsi" w:hAnsiTheme="majorHAnsi" w:cs="Segoe UI Symbol"/>
                          <w:b/>
                          <w:bCs/>
                          <w:color w:val="142147" w:themeColor="accent1"/>
                          <w:sz w:val="24"/>
                          <w:szCs w:val="24"/>
                        </w:rPr>
                      </w:pPr>
                    </w:p>
                    <w:p w14:paraId="467D5BA8" w14:textId="77777777" w:rsidR="00801EA4" w:rsidRDefault="00801EA4" w:rsidP="00801EA4">
                      <w:pPr>
                        <w:rPr>
                          <w:rFonts w:asciiTheme="majorHAnsi" w:hAnsiTheme="majorHAnsi" w:cs="Segoe UI Symbol"/>
                          <w:b/>
                          <w:bCs/>
                          <w:color w:val="142147" w:themeColor="accent1"/>
                          <w:sz w:val="20"/>
                          <w:szCs w:val="20"/>
                        </w:rPr>
                      </w:pP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‘High assurance’ under the ATO</w:t>
                      </w:r>
                      <w:r w:rsidRPr="00E961EE">
                        <w:rPr>
                          <w:rFonts w:ascii="Segoe UI Symbol" w:hAnsi="Segoe UI Symbol" w:cs="Segoe UI Symbol"/>
                          <w:b/>
                          <w:bCs/>
                          <w:color w:val="142147" w:themeColor="accent1"/>
                          <w:sz w:val="24"/>
                          <w:szCs w:val="24"/>
                        </w:rPr>
                        <w:t xml:space="preserve"> </w:t>
                      </w:r>
                      <w:r w:rsidRPr="00E961EE">
                        <w:rPr>
                          <w:rFonts w:asciiTheme="majorHAnsi" w:hAnsiTheme="majorHAnsi" w:cs="Segoe UI Symbol"/>
                          <w:b/>
                          <w:bCs/>
                          <w:color w:val="142147" w:themeColor="accent1"/>
                          <w:sz w:val="20"/>
                          <w:szCs w:val="20"/>
                        </w:rPr>
                        <w:t>justified trust program</w:t>
                      </w:r>
                    </w:p>
                    <w:p w14:paraId="52320622" w14:textId="77777777" w:rsidR="00801EA4" w:rsidRPr="00E961EE" w:rsidRDefault="00801EA4" w:rsidP="00801EA4">
                      <w:pPr>
                        <w:spacing w:before="0" w:after="0"/>
                        <w:rPr>
                          <w:rFonts w:ascii="Segoe UI Symbol" w:hAnsi="Segoe UI Symbol" w:cs="Segoe UI Symbol"/>
                          <w:b/>
                          <w:bCs/>
                          <w:color w:val="142147" w:themeColor="accent1"/>
                          <w:sz w:val="24"/>
                          <w:szCs w:val="24"/>
                        </w:rPr>
                      </w:pPr>
                    </w:p>
                    <w:p w14:paraId="642238D7" w14:textId="77777777" w:rsidR="00801EA4" w:rsidRPr="00E961EE" w:rsidRDefault="00801EA4" w:rsidP="00801EA4">
                      <w:pPr>
                        <w:rPr>
                          <w:rFonts w:asciiTheme="majorHAnsi" w:hAnsiTheme="majorHAnsi" w:cs="Segoe UI Symbol"/>
                          <w:b/>
                          <w:bCs/>
                          <w:color w:val="142147" w:themeColor="accent1"/>
                        </w:rPr>
                      </w:pPr>
                      <w:r w:rsidRPr="00E961EE">
                        <w:rPr>
                          <w:rFonts w:ascii="Segoe UI Symbol" w:hAnsi="Segoe UI Symbol" w:cs="Segoe UI Symbol"/>
                          <w:b/>
                          <w:bCs/>
                          <w:color w:val="142147" w:themeColor="accent1"/>
                          <w:sz w:val="24"/>
                          <w:szCs w:val="24"/>
                        </w:rPr>
                        <w:t xml:space="preserve">✔ </w:t>
                      </w:r>
                      <w:r w:rsidRPr="00217F01">
                        <w:rPr>
                          <w:rFonts w:asciiTheme="majorHAnsi" w:hAnsiTheme="majorHAnsi" w:cs="Segoe UI Symbol"/>
                          <w:b/>
                          <w:bCs/>
                          <w:color w:val="142147" w:themeColor="accent1"/>
                          <w:sz w:val="20"/>
                          <w:szCs w:val="20"/>
                        </w:rPr>
                        <w:t>Actively seek</w:t>
                      </w:r>
                      <w:r>
                        <w:rPr>
                          <w:rFonts w:asciiTheme="majorHAnsi" w:hAnsiTheme="majorHAnsi" w:cs="Segoe UI Symbol"/>
                          <w:b/>
                          <w:bCs/>
                          <w:color w:val="142147" w:themeColor="accent1"/>
                          <w:sz w:val="20"/>
                          <w:szCs w:val="20"/>
                        </w:rPr>
                        <w:t>s</w:t>
                      </w:r>
                      <w:r w:rsidRPr="00217F01">
                        <w:rPr>
                          <w:rFonts w:asciiTheme="majorHAnsi" w:hAnsiTheme="majorHAnsi" w:cs="Segoe UI Symbol"/>
                          <w:b/>
                          <w:bCs/>
                          <w:color w:val="142147" w:themeColor="accent1"/>
                          <w:sz w:val="20"/>
                          <w:szCs w:val="20"/>
                        </w:rPr>
                        <w:t xml:space="preserve"> ATO advice via Private Binding Rulings</w:t>
                      </w:r>
                      <w:r>
                        <w:rPr>
                          <w:rFonts w:ascii="Segoe UI Symbol" w:hAnsi="Segoe UI Symbol" w:cs="Segoe UI Symbol"/>
                          <w:b/>
                          <w:bCs/>
                          <w:color w:val="142147" w:themeColor="accent1"/>
                          <w:sz w:val="24"/>
                          <w:szCs w:val="24"/>
                        </w:rPr>
                        <w:t xml:space="preserve"> </w:t>
                      </w:r>
                      <w:r w:rsidRPr="004536FA">
                        <w:rPr>
                          <w:rFonts w:asciiTheme="majorHAnsi" w:hAnsiTheme="majorHAnsi" w:cs="Segoe UI Symbol"/>
                          <w:b/>
                          <w:bCs/>
                          <w:color w:val="142147" w:themeColor="accent1"/>
                          <w:sz w:val="20"/>
                          <w:szCs w:val="20"/>
                        </w:rPr>
                        <w:t>and makes Voluntary Disclosures</w:t>
                      </w:r>
                      <w:r>
                        <w:rPr>
                          <w:rFonts w:ascii="Segoe UI Symbol" w:hAnsi="Segoe UI Symbol" w:cs="Segoe UI Symbol"/>
                          <w:b/>
                          <w:bCs/>
                          <w:color w:val="142147" w:themeColor="accent1"/>
                          <w:sz w:val="24"/>
                          <w:szCs w:val="24"/>
                        </w:rPr>
                        <w:t xml:space="preserve"> </w:t>
                      </w:r>
                    </w:p>
                    <w:p w14:paraId="0FEB7EED" w14:textId="77777777" w:rsidR="00801EA4" w:rsidRDefault="00801EA4" w:rsidP="00801EA4">
                      <w:pPr>
                        <w:spacing w:before="0"/>
                        <w:rPr>
                          <w:rFonts w:asciiTheme="majorHAnsi" w:hAnsiTheme="majorHAnsi" w:cs="Segoe UI Symbol"/>
                          <w:b/>
                          <w:bCs/>
                          <w:color w:val="142147" w:themeColor="accent1"/>
                          <w:sz w:val="24"/>
                          <w:szCs w:val="24"/>
                        </w:rPr>
                      </w:pPr>
                    </w:p>
                    <w:p w14:paraId="58711660" w14:textId="77777777" w:rsidR="00801EA4" w:rsidRPr="005F72F5" w:rsidRDefault="00801EA4" w:rsidP="00801EA4">
                      <w:pPr>
                        <w:rPr>
                          <w:rFonts w:asciiTheme="majorHAnsi" w:hAnsiTheme="majorHAnsi"/>
                          <w:color w:val="142147" w:themeColor="accent1"/>
                          <w:sz w:val="24"/>
                          <w:szCs w:val="24"/>
                        </w:rPr>
                      </w:pPr>
                    </w:p>
                  </w:txbxContent>
                </v:textbox>
                <w10:wrap type="square"/>
              </v:shape>
            </w:pict>
          </mc:Fallback>
        </mc:AlternateContent>
      </w:r>
      <w:r>
        <w:rPr>
          <w:rFonts w:asciiTheme="minorHAnsi" w:hAnsiTheme="minorHAnsi" w:cstheme="minorHAnsi"/>
          <w:color w:val="142147" w:themeColor="accent1"/>
        </w:rPr>
        <w:t xml:space="preserve">We correspond with the ATO to explain any relevant tax issues and risks that arise. We seek to resolve any differences firstly through professional and transparent discussions, during the ATO’s </w:t>
      </w:r>
      <w:r w:rsidRPr="009B1DC5">
        <w:rPr>
          <w:rFonts w:asciiTheme="minorHAnsi" w:hAnsiTheme="minorHAnsi" w:cstheme="minorHAnsi"/>
          <w:color w:val="142147" w:themeColor="accent1"/>
        </w:rPr>
        <w:t>Pre-lodgment Compliance Review Program</w:t>
      </w:r>
      <w:r>
        <w:rPr>
          <w:rFonts w:asciiTheme="minorHAnsi" w:hAnsiTheme="minorHAnsi" w:cstheme="minorHAnsi"/>
          <w:color w:val="142147" w:themeColor="accent1"/>
        </w:rPr>
        <w:t xml:space="preserve">, </w:t>
      </w:r>
      <w:r w:rsidRPr="00AF4A0B">
        <w:rPr>
          <w:rFonts w:asciiTheme="minorHAnsi" w:hAnsiTheme="minorHAnsi" w:cstheme="minorHAnsi"/>
          <w:color w:val="142147" w:themeColor="accent1"/>
        </w:rPr>
        <w:t xml:space="preserve">targeted at Australia’s top taxpayers. This involves ongoing real-time discussions with the ATO regarding significant transactions and/or tax positions adopted on specific matters. </w:t>
      </w:r>
    </w:p>
    <w:p w14:paraId="08C1791B" w14:textId="77777777" w:rsidR="00801EA4" w:rsidRDefault="00801EA4" w:rsidP="00801EA4">
      <w:pPr>
        <w:pStyle w:val="Bullet"/>
        <w:numPr>
          <w:ilvl w:val="0"/>
          <w:numId w:val="0"/>
        </w:numPr>
        <w:spacing w:before="0"/>
        <w:rPr>
          <w:rFonts w:asciiTheme="minorHAnsi" w:hAnsiTheme="minorHAnsi" w:cstheme="minorHAnsi"/>
          <w:color w:val="142147" w:themeColor="accent1"/>
        </w:rPr>
      </w:pPr>
      <w:r w:rsidRPr="00AF4A0B">
        <w:rPr>
          <w:rFonts w:asciiTheme="minorHAnsi" w:hAnsiTheme="minorHAnsi" w:cstheme="minorHAnsi"/>
          <w:color w:val="142147" w:themeColor="accent1"/>
        </w:rPr>
        <w:t>JAS Ltd work</w:t>
      </w:r>
      <w:r>
        <w:rPr>
          <w:rFonts w:asciiTheme="minorHAnsi" w:hAnsiTheme="minorHAnsi" w:cstheme="minorHAnsi"/>
          <w:color w:val="142147" w:themeColor="accent1"/>
        </w:rPr>
        <w:t>s</w:t>
      </w:r>
      <w:r w:rsidRPr="00AF4A0B">
        <w:rPr>
          <w:rFonts w:asciiTheme="minorHAnsi" w:hAnsiTheme="minorHAnsi" w:cstheme="minorHAnsi"/>
          <w:color w:val="142147" w:themeColor="accent1"/>
        </w:rPr>
        <w:t xml:space="preserve"> closely with the ATO under </w:t>
      </w:r>
      <w:r>
        <w:rPr>
          <w:rFonts w:asciiTheme="minorHAnsi" w:hAnsiTheme="minorHAnsi" w:cstheme="minorHAnsi"/>
          <w:color w:val="142147" w:themeColor="accent1"/>
        </w:rPr>
        <w:t>their</w:t>
      </w:r>
      <w:r w:rsidRPr="00AF4A0B">
        <w:rPr>
          <w:rFonts w:asciiTheme="minorHAnsi" w:hAnsiTheme="minorHAnsi" w:cstheme="minorHAnsi"/>
          <w:color w:val="142147" w:themeColor="accent1"/>
        </w:rPr>
        <w:t xml:space="preserve"> </w:t>
      </w:r>
      <w:r>
        <w:rPr>
          <w:rFonts w:asciiTheme="minorHAnsi" w:hAnsiTheme="minorHAnsi" w:cstheme="minorHAnsi"/>
          <w:color w:val="142147" w:themeColor="accent1"/>
        </w:rPr>
        <w:t xml:space="preserve">Top 100 </w:t>
      </w:r>
      <w:r w:rsidRPr="00AF4A0B">
        <w:rPr>
          <w:rFonts w:asciiTheme="minorHAnsi" w:hAnsiTheme="minorHAnsi" w:cstheme="minorHAnsi"/>
          <w:color w:val="142147" w:themeColor="accent1"/>
        </w:rPr>
        <w:t>justified trust program. As part of this program, the ATO seeks to obtain a greater level of assurance that taxpayers are paying the ‘right amount of tax’ in accordance with the tax laws</w:t>
      </w:r>
      <w:r>
        <w:rPr>
          <w:rFonts w:asciiTheme="minorHAnsi" w:hAnsiTheme="minorHAnsi" w:cstheme="minorHAnsi"/>
          <w:color w:val="142147" w:themeColor="accent1"/>
        </w:rPr>
        <w:t>. JAS Ltd</w:t>
      </w:r>
      <w:r w:rsidRPr="00AF4A0B">
        <w:rPr>
          <w:rFonts w:asciiTheme="minorHAnsi" w:hAnsiTheme="minorHAnsi" w:cstheme="minorHAnsi"/>
          <w:color w:val="142147" w:themeColor="accent1"/>
        </w:rPr>
        <w:t xml:space="preserve"> </w:t>
      </w:r>
      <w:r>
        <w:rPr>
          <w:rFonts w:asciiTheme="minorHAnsi" w:hAnsiTheme="minorHAnsi" w:cstheme="minorHAnsi"/>
          <w:color w:val="142147" w:themeColor="accent1"/>
        </w:rPr>
        <w:t>has maintained a</w:t>
      </w:r>
      <w:r w:rsidRPr="00AF4A0B">
        <w:rPr>
          <w:rFonts w:asciiTheme="minorHAnsi" w:hAnsiTheme="minorHAnsi" w:cstheme="minorHAnsi"/>
          <w:color w:val="142147" w:themeColor="accent1"/>
        </w:rPr>
        <w:t xml:space="preserve"> ‘High Assurance’ </w:t>
      </w:r>
      <w:r>
        <w:rPr>
          <w:rFonts w:asciiTheme="minorHAnsi" w:hAnsiTheme="minorHAnsi" w:cstheme="minorHAnsi"/>
          <w:color w:val="142147" w:themeColor="accent1"/>
        </w:rPr>
        <w:t>rating since the 2018</w:t>
      </w:r>
      <w:r w:rsidRPr="00AF4A0B">
        <w:rPr>
          <w:rFonts w:asciiTheme="minorHAnsi" w:hAnsiTheme="minorHAnsi" w:cstheme="minorHAnsi"/>
          <w:color w:val="142147" w:themeColor="accent1"/>
        </w:rPr>
        <w:t xml:space="preserve"> financial year</w:t>
      </w:r>
      <w:r>
        <w:rPr>
          <w:rFonts w:asciiTheme="minorHAnsi" w:hAnsiTheme="minorHAnsi" w:cstheme="minorHAnsi"/>
          <w:color w:val="142147" w:themeColor="accent1"/>
        </w:rPr>
        <w:t xml:space="preserve">, meaning </w:t>
      </w:r>
      <w:r w:rsidRPr="00AF4A0B">
        <w:rPr>
          <w:rFonts w:asciiTheme="minorHAnsi" w:hAnsiTheme="minorHAnsi" w:cstheme="minorHAnsi"/>
          <w:color w:val="142147" w:themeColor="accent1"/>
        </w:rPr>
        <w:t xml:space="preserve">the ATO </w:t>
      </w:r>
      <w:r>
        <w:rPr>
          <w:rFonts w:asciiTheme="minorHAnsi" w:hAnsiTheme="minorHAnsi" w:cstheme="minorHAnsi"/>
          <w:color w:val="142147" w:themeColor="accent1"/>
        </w:rPr>
        <w:t xml:space="preserve">has </w:t>
      </w:r>
      <w:r w:rsidRPr="00AF4A0B">
        <w:rPr>
          <w:rFonts w:asciiTheme="minorHAnsi" w:hAnsiTheme="minorHAnsi" w:cstheme="minorHAnsi"/>
          <w:color w:val="142147" w:themeColor="accent1"/>
        </w:rPr>
        <w:t>obtained sufficient objective evidence to conclude that JAS Ltd paid the correct amount of income tax.</w:t>
      </w:r>
    </w:p>
    <w:p w14:paraId="014FAD18" w14:textId="77777777" w:rsidR="00801EA4" w:rsidRDefault="00801EA4" w:rsidP="00801EA4">
      <w:pPr>
        <w:pStyle w:val="Bullet"/>
        <w:numPr>
          <w:ilvl w:val="0"/>
          <w:numId w:val="0"/>
        </w:numPr>
        <w:spacing w:before="0"/>
        <w:rPr>
          <w:rFonts w:asciiTheme="minorHAnsi" w:hAnsiTheme="minorHAnsi" w:cstheme="minorBidi"/>
          <w:color w:val="142147" w:themeColor="accent1"/>
        </w:rPr>
      </w:pPr>
      <w:r>
        <w:rPr>
          <w:rFonts w:asciiTheme="minorHAnsi" w:hAnsiTheme="minorHAnsi" w:cstheme="minorBidi"/>
          <w:color w:val="142147" w:themeColor="accent1"/>
        </w:rPr>
        <w:t>In the 2025 reporting year, JAS reached an agreement with the ATO to settle a transfer pricing dispute relating to its cross-border transfer and licencing of IP between JAS Ltd and JAS Singapore. The settlement brings an end to all transfer pricing tax disputes for past years back to 2018 for $81 million. In the 2025 reporting year, JAS Ltd separately provided a voluntary disclosure to the ATO to adjust Research &amp; Development (R&amp;D) tax incentive claims in our 2023 income tax return, after mistakenly claiming non-R&amp;D related expenses as part of R&amp;D expenditure.</w:t>
      </w:r>
    </w:p>
    <w:p w14:paraId="68B0329B" w14:textId="77777777" w:rsidR="00801EA4" w:rsidRDefault="00801EA4" w:rsidP="00801EA4">
      <w:pPr>
        <w:pStyle w:val="Bullet"/>
        <w:tabs>
          <w:tab w:val="clear" w:pos="520"/>
          <w:tab w:val="num" w:pos="567"/>
        </w:tabs>
        <w:rPr>
          <w:b/>
          <w:bCs/>
          <w:color w:val="142147" w:themeColor="accent1"/>
        </w:rPr>
      </w:pPr>
      <w:r>
        <w:rPr>
          <w:b/>
          <w:bCs/>
          <w:color w:val="142147" w:themeColor="accent1"/>
        </w:rPr>
        <w:t>[</w:t>
      </w:r>
      <w:r w:rsidRPr="005D7AD1">
        <w:rPr>
          <w:b/>
          <w:bCs/>
          <w:color w:val="142147" w:themeColor="accent1"/>
        </w:rPr>
        <w:t>Provide a description of the processes for collecting and considering the views and concerns of stakeholders, including external stakeholders</w:t>
      </w:r>
      <w:r>
        <w:rPr>
          <w:b/>
          <w:bCs/>
          <w:color w:val="142147" w:themeColor="accent1"/>
        </w:rPr>
        <w:t>]</w:t>
      </w:r>
    </w:p>
    <w:p w14:paraId="46F53E33" w14:textId="4A9249B0" w:rsidR="008E6BB5" w:rsidRPr="008E6BB5" w:rsidRDefault="00801EA4" w:rsidP="00801EA4">
      <w:r w:rsidRPr="00371CFB">
        <w:rPr>
          <w:color w:val="142147" w:themeColor="accent1"/>
        </w:rPr>
        <w:t>JAS Ltd are committed to adhering to the tax laws in each of the countries in which we operate.</w:t>
      </w:r>
      <w:r w:rsidRPr="00371CFB">
        <w:rPr>
          <w:rFonts w:asciiTheme="minorHAnsi" w:hAnsiTheme="minorHAnsi" w:cstheme="minorHAnsi"/>
          <w:color w:val="142147" w:themeColor="accent1"/>
        </w:rPr>
        <w:t xml:space="preserve"> We continuously monitor changes to tax legislation and seek advice from professional advisors where appropriate, including for material or non-routine tax transactions. Any tax planning will have commercial and economic substance, considering impact on our reputation and values as a responsible business. We do not put in place any contrived or artificial tax arrangements.</w:t>
      </w:r>
    </w:p>
    <w:p w14:paraId="3672EC75" w14:textId="77777777" w:rsidR="00BD4078" w:rsidRPr="00243793" w:rsidRDefault="00BD4078" w:rsidP="00BD4078">
      <w:pPr>
        <w:pStyle w:val="Heading3"/>
        <w:rPr>
          <w:rFonts w:asciiTheme="minorHAnsi" w:hAnsiTheme="minorHAnsi" w:cstheme="minorHAnsi"/>
          <w:color w:val="142147" w:themeColor="accent1"/>
        </w:rPr>
      </w:pPr>
      <w:r w:rsidRPr="0050378B">
        <w:t xml:space="preserve">International Related Party Dealings summary </w:t>
      </w:r>
    </w:p>
    <w:p w14:paraId="71E60E15" w14:textId="77777777" w:rsidR="00BD4078" w:rsidRPr="00A00A03" w:rsidRDefault="00BD4078" w:rsidP="00BD4078">
      <w:pPr>
        <w:rPr>
          <w:color w:val="142147" w:themeColor="accent1"/>
        </w:rPr>
      </w:pPr>
      <w:r w:rsidRPr="00A00A03">
        <w:rPr>
          <w:color w:val="142147" w:themeColor="accent1"/>
        </w:rPr>
        <w:t xml:space="preserve">In the course of conducting our business across </w:t>
      </w:r>
      <w:r>
        <w:rPr>
          <w:color w:val="142147" w:themeColor="accent1"/>
        </w:rPr>
        <w:t xml:space="preserve">the </w:t>
      </w:r>
      <w:r w:rsidRPr="00A00A03">
        <w:rPr>
          <w:color w:val="142147" w:themeColor="accent1"/>
        </w:rPr>
        <w:t xml:space="preserve">markets in which we operate, transactions take place which give rise to international related party dealings with offshore branches and subsidiaries. </w:t>
      </w:r>
    </w:p>
    <w:p w14:paraId="21B723B5" w14:textId="77777777" w:rsidR="00BD4078" w:rsidRPr="00687C4F" w:rsidRDefault="00BD4078" w:rsidP="00BD4078">
      <w:pPr>
        <w:spacing w:before="0"/>
        <w:rPr>
          <w:color w:val="142147" w:themeColor="accent1"/>
        </w:rPr>
      </w:pPr>
      <w:r w:rsidRPr="00687C4F">
        <w:rPr>
          <w:color w:val="142147" w:themeColor="accent1"/>
        </w:rPr>
        <w:t xml:space="preserve">JAS Ltd international related party dealings are disclosed in the International Dealings Schedule </w:t>
      </w:r>
      <w:r>
        <w:rPr>
          <w:color w:val="142147" w:themeColor="accent1"/>
        </w:rPr>
        <w:t>of</w:t>
      </w:r>
      <w:r w:rsidRPr="00687C4F">
        <w:rPr>
          <w:color w:val="142147" w:themeColor="accent1"/>
        </w:rPr>
        <w:t xml:space="preserve"> its annual income tax return. These dealings fall into </w:t>
      </w:r>
      <w:r>
        <w:rPr>
          <w:color w:val="142147" w:themeColor="accent1"/>
        </w:rPr>
        <w:t>five key</w:t>
      </w:r>
      <w:r w:rsidRPr="00687C4F">
        <w:rPr>
          <w:color w:val="142147" w:themeColor="accent1"/>
        </w:rPr>
        <w:t xml:space="preserve"> categories set out below. </w:t>
      </w:r>
    </w:p>
    <w:tbl>
      <w:tblPr>
        <w:tblStyle w:val="GridTable1Light-Accent2"/>
        <w:tblW w:w="9634" w:type="dxa"/>
        <w:tblBorders>
          <w:top w:val="single" w:sz="4" w:space="0" w:color="142147"/>
          <w:left w:val="single" w:sz="4" w:space="0" w:color="142147"/>
          <w:bottom w:val="single" w:sz="4" w:space="0" w:color="142147"/>
          <w:right w:val="single" w:sz="4" w:space="0" w:color="142147"/>
          <w:insideH w:val="single" w:sz="4" w:space="0" w:color="142147"/>
          <w:insideV w:val="single" w:sz="4" w:space="0" w:color="142147"/>
        </w:tblBorders>
        <w:tblLook w:val="04A0" w:firstRow="1" w:lastRow="0" w:firstColumn="1" w:lastColumn="0" w:noHBand="0" w:noVBand="1"/>
      </w:tblPr>
      <w:tblGrid>
        <w:gridCol w:w="1853"/>
        <w:gridCol w:w="5230"/>
        <w:gridCol w:w="2551"/>
      </w:tblGrid>
      <w:tr w:rsidR="00BD4078" w14:paraId="61FCBDA8" w14:textId="77777777" w:rsidTr="00EB7698">
        <w:trPr>
          <w:cnfStyle w:val="100000000000" w:firstRow="1" w:lastRow="0" w:firstColumn="0" w:lastColumn="0" w:oddVBand="0" w:evenVBand="0" w:oddHBand="0" w:evenHBand="0" w:firstRowFirstColumn="0" w:firstRowLastColumn="0" w:lastRowFirstColumn="0" w:lastRowLastColumn="0"/>
          <w:trHeight w:val="505"/>
          <w:tblHeader/>
        </w:trPr>
        <w:tc>
          <w:tcPr>
            <w:cnfStyle w:val="001000000000" w:firstRow="0" w:lastRow="0" w:firstColumn="1" w:lastColumn="0" w:oddVBand="0" w:evenVBand="0" w:oddHBand="0" w:evenHBand="0" w:firstRowFirstColumn="0" w:firstRowLastColumn="0" w:lastRowFirstColumn="0" w:lastRowLastColumn="0"/>
            <w:tcW w:w="1853" w:type="dxa"/>
            <w:shd w:val="clear" w:color="auto" w:fill="701F4D" w:themeFill="accent2"/>
          </w:tcPr>
          <w:p w14:paraId="01573A32" w14:textId="77777777" w:rsidR="00BD4078" w:rsidRPr="00B5028C" w:rsidRDefault="00BD4078">
            <w:pPr>
              <w:spacing w:before="0" w:after="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Transaction type </w:t>
            </w:r>
          </w:p>
        </w:tc>
        <w:tc>
          <w:tcPr>
            <w:tcW w:w="5230" w:type="dxa"/>
            <w:shd w:val="clear" w:color="auto" w:fill="701F4D" w:themeFill="accent2"/>
          </w:tcPr>
          <w:p w14:paraId="0A6046B7" w14:textId="77777777" w:rsidR="00BD4078" w:rsidRPr="00B5028C" w:rsidRDefault="00BD4078">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Summary of the nature of dealings </w:t>
            </w:r>
          </w:p>
        </w:tc>
        <w:tc>
          <w:tcPr>
            <w:tcW w:w="2551" w:type="dxa"/>
            <w:shd w:val="clear" w:color="auto" w:fill="701F4D" w:themeFill="accent2"/>
          </w:tcPr>
          <w:p w14:paraId="2A8596F3" w14:textId="77777777" w:rsidR="00BD4078" w:rsidRPr="00B5028C" w:rsidRDefault="00BD4078">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Countries related parties are located </w:t>
            </w:r>
          </w:p>
        </w:tc>
      </w:tr>
      <w:tr w:rsidR="00BD4078" w14:paraId="214A01AF" w14:textId="77777777" w:rsidTr="00AC26C0">
        <w:trPr>
          <w:trHeight w:val="247"/>
        </w:trPr>
        <w:tc>
          <w:tcPr>
            <w:cnfStyle w:val="001000000000" w:firstRow="0" w:lastRow="0" w:firstColumn="1" w:lastColumn="0" w:oddVBand="0" w:evenVBand="0" w:oddHBand="0" w:evenHBand="0" w:firstRowFirstColumn="0" w:firstRowLastColumn="0" w:lastRowFirstColumn="0" w:lastRowLastColumn="0"/>
            <w:tcW w:w="1853" w:type="dxa"/>
          </w:tcPr>
          <w:p w14:paraId="3804C244" w14:textId="77777777" w:rsidR="00BD4078" w:rsidRPr="007E52EC" w:rsidRDefault="00BD4078" w:rsidP="00072858">
            <w:pPr>
              <w:pStyle w:val="Bullet"/>
              <w:numPr>
                <w:ilvl w:val="0"/>
                <w:numId w:val="0"/>
              </w:numPr>
              <w:spacing w:before="0" w:after="0"/>
              <w:rPr>
                <w:b/>
                <w:bCs w:val="0"/>
                <w:color w:val="142147" w:themeColor="accent1"/>
              </w:rPr>
            </w:pPr>
            <w:r w:rsidRPr="007E52EC">
              <w:rPr>
                <w:b/>
                <w:bCs w:val="0"/>
                <w:color w:val="142147" w:themeColor="accent1"/>
              </w:rPr>
              <w:t xml:space="preserve">Research and Development (R&amp;D) </w:t>
            </w:r>
          </w:p>
        </w:tc>
        <w:tc>
          <w:tcPr>
            <w:tcW w:w="5230" w:type="dxa"/>
          </w:tcPr>
          <w:p w14:paraId="299D7FF9"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JAS Ltd has a global innovation network with R&amp;D activities ranging from drug discovery, preclinical studies, clinical trials and regulatory affairs. </w:t>
            </w:r>
            <w:r w:rsidRPr="00687C4F">
              <w:rPr>
                <w:color w:val="142147" w:themeColor="accent1"/>
              </w:rPr>
              <w:t xml:space="preserve">The JAS </w:t>
            </w:r>
            <w:r>
              <w:rPr>
                <w:color w:val="142147" w:themeColor="accent1"/>
              </w:rPr>
              <w:t>group</w:t>
            </w:r>
            <w:r w:rsidRPr="00687C4F">
              <w:rPr>
                <w:color w:val="142147" w:themeColor="accent1"/>
              </w:rPr>
              <w:t xml:space="preserve"> entity that owns a product is responsible for R&amp;D and engage</w:t>
            </w:r>
            <w:r>
              <w:rPr>
                <w:color w:val="142147" w:themeColor="accent1"/>
              </w:rPr>
              <w:t>s</w:t>
            </w:r>
            <w:r w:rsidRPr="00687C4F">
              <w:rPr>
                <w:color w:val="142147" w:themeColor="accent1"/>
              </w:rPr>
              <w:t xml:space="preserve"> other JAS </w:t>
            </w:r>
            <w:r>
              <w:rPr>
                <w:color w:val="142147" w:themeColor="accent1"/>
              </w:rPr>
              <w:t>group</w:t>
            </w:r>
            <w:r w:rsidRPr="00687C4F">
              <w:rPr>
                <w:color w:val="142147" w:themeColor="accent1"/>
              </w:rPr>
              <w:t xml:space="preserve"> entities </w:t>
            </w:r>
            <w:r>
              <w:rPr>
                <w:color w:val="142147" w:themeColor="accent1"/>
              </w:rPr>
              <w:t xml:space="preserve">as appropriate </w:t>
            </w:r>
            <w:r w:rsidRPr="00687C4F">
              <w:rPr>
                <w:color w:val="142147" w:themeColor="accent1"/>
              </w:rPr>
              <w:t xml:space="preserve">to conduct R&amp;D on its behalf. </w:t>
            </w:r>
          </w:p>
        </w:tc>
        <w:tc>
          <w:tcPr>
            <w:tcW w:w="2551" w:type="dxa"/>
          </w:tcPr>
          <w:p w14:paraId="1A43420F"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sidRPr="00687C4F">
              <w:rPr>
                <w:color w:val="142147" w:themeColor="accent1"/>
              </w:rPr>
              <w:t xml:space="preserve">Germany, </w:t>
            </w:r>
            <w:r>
              <w:rPr>
                <w:color w:val="142147" w:themeColor="accent1"/>
              </w:rPr>
              <w:t>Netherlands, Singapore.</w:t>
            </w:r>
          </w:p>
        </w:tc>
      </w:tr>
      <w:tr w:rsidR="00BD4078" w14:paraId="0586BD81" w14:textId="77777777">
        <w:trPr>
          <w:trHeight w:val="252"/>
        </w:trPr>
        <w:tc>
          <w:tcPr>
            <w:cnfStyle w:val="001000000000" w:firstRow="0" w:lastRow="0" w:firstColumn="1" w:lastColumn="0" w:oddVBand="0" w:evenVBand="0" w:oddHBand="0" w:evenHBand="0" w:firstRowFirstColumn="0" w:firstRowLastColumn="0" w:lastRowFirstColumn="0" w:lastRowLastColumn="0"/>
            <w:tcW w:w="1853" w:type="dxa"/>
          </w:tcPr>
          <w:p w14:paraId="2F2F4DF3" w14:textId="77777777" w:rsidR="00BD4078" w:rsidRPr="007E52EC" w:rsidRDefault="00BD4078">
            <w:pPr>
              <w:spacing w:before="0" w:after="0"/>
              <w:rPr>
                <w:color w:val="142147" w:themeColor="accent1"/>
              </w:rPr>
            </w:pPr>
            <w:r w:rsidRPr="007E52EC">
              <w:rPr>
                <w:b/>
                <w:bCs w:val="0"/>
                <w:color w:val="142147" w:themeColor="accent1"/>
              </w:rPr>
              <w:t xml:space="preserve">Manufacturing </w:t>
            </w:r>
          </w:p>
        </w:tc>
        <w:tc>
          <w:tcPr>
            <w:tcW w:w="5230" w:type="dxa"/>
          </w:tcPr>
          <w:p w14:paraId="44CE1FAB"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JAS Ltd has specialised manufacturing operations including two Australian sites based in Sydney and Brisbane, and global manufacturing operations where we have contract manufacturing arrangements with our subsidiaries. </w:t>
            </w:r>
          </w:p>
        </w:tc>
        <w:tc>
          <w:tcPr>
            <w:tcW w:w="2551" w:type="dxa"/>
          </w:tcPr>
          <w:p w14:paraId="32A1CC65" w14:textId="77777777" w:rsidR="00BD4078"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Ireland, </w:t>
            </w:r>
          </w:p>
          <w:p w14:paraId="042B2067"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Belgium, Switzerland. </w:t>
            </w:r>
          </w:p>
        </w:tc>
      </w:tr>
      <w:tr w:rsidR="00BD4078" w14:paraId="3221BDBF" w14:textId="77777777">
        <w:trPr>
          <w:trHeight w:val="236"/>
        </w:trPr>
        <w:tc>
          <w:tcPr>
            <w:cnfStyle w:val="001000000000" w:firstRow="0" w:lastRow="0" w:firstColumn="1" w:lastColumn="0" w:oddVBand="0" w:evenVBand="0" w:oddHBand="0" w:evenHBand="0" w:firstRowFirstColumn="0" w:firstRowLastColumn="0" w:lastRowFirstColumn="0" w:lastRowLastColumn="0"/>
            <w:tcW w:w="1853" w:type="dxa"/>
          </w:tcPr>
          <w:p w14:paraId="1D20A62D" w14:textId="77777777" w:rsidR="00BD4078" w:rsidRPr="007E52EC" w:rsidRDefault="00BD4078">
            <w:pPr>
              <w:spacing w:before="0" w:after="0"/>
              <w:rPr>
                <w:b/>
                <w:bCs w:val="0"/>
                <w:color w:val="142147" w:themeColor="accent1"/>
              </w:rPr>
            </w:pPr>
            <w:r>
              <w:rPr>
                <w:b/>
                <w:bCs w:val="0"/>
                <w:color w:val="142147" w:themeColor="accent1"/>
              </w:rPr>
              <w:t xml:space="preserve">Transfer and </w:t>
            </w:r>
            <w:r w:rsidRPr="007E52EC">
              <w:rPr>
                <w:b/>
                <w:bCs w:val="0"/>
                <w:color w:val="142147" w:themeColor="accent1"/>
              </w:rPr>
              <w:t>licencing of Intellectual Property</w:t>
            </w:r>
          </w:p>
        </w:tc>
        <w:tc>
          <w:tcPr>
            <w:tcW w:w="5230" w:type="dxa"/>
          </w:tcPr>
          <w:p w14:paraId="0893DB8D"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JAS Ltd performs a large part of all functions related to the development, enhancement and protection of IP. JAS Ltd transfers and licences IP between related jurisdictions with all royalty or licencing fees based on arm’s length amounts. </w:t>
            </w:r>
          </w:p>
        </w:tc>
        <w:tc>
          <w:tcPr>
            <w:tcW w:w="2551" w:type="dxa"/>
          </w:tcPr>
          <w:p w14:paraId="2B5A637A" w14:textId="77777777" w:rsidR="00BD4078"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sidRPr="00687C4F">
              <w:rPr>
                <w:color w:val="142147" w:themeColor="accent1"/>
              </w:rPr>
              <w:t xml:space="preserve">Germany, </w:t>
            </w:r>
            <w:r>
              <w:rPr>
                <w:color w:val="142147" w:themeColor="accent1"/>
              </w:rPr>
              <w:t xml:space="preserve">Ireland, </w:t>
            </w:r>
          </w:p>
          <w:p w14:paraId="45A6FC16"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Singapore.</w:t>
            </w:r>
          </w:p>
        </w:tc>
      </w:tr>
      <w:tr w:rsidR="00BD4078" w14:paraId="5768F443" w14:textId="77777777">
        <w:trPr>
          <w:trHeight w:val="236"/>
        </w:trPr>
        <w:tc>
          <w:tcPr>
            <w:cnfStyle w:val="001000000000" w:firstRow="0" w:lastRow="0" w:firstColumn="1" w:lastColumn="0" w:oddVBand="0" w:evenVBand="0" w:oddHBand="0" w:evenHBand="0" w:firstRowFirstColumn="0" w:firstRowLastColumn="0" w:lastRowFirstColumn="0" w:lastRowLastColumn="0"/>
            <w:tcW w:w="1853" w:type="dxa"/>
          </w:tcPr>
          <w:p w14:paraId="5379157D" w14:textId="77777777" w:rsidR="00BD4078" w:rsidRPr="007E52EC" w:rsidRDefault="00BD4078">
            <w:pPr>
              <w:spacing w:before="0" w:after="0"/>
              <w:rPr>
                <w:b/>
                <w:bCs w:val="0"/>
                <w:color w:val="142147" w:themeColor="accent1"/>
              </w:rPr>
            </w:pPr>
            <w:r w:rsidRPr="007E52EC">
              <w:rPr>
                <w:b/>
                <w:bCs w:val="0"/>
                <w:color w:val="142147" w:themeColor="accent1"/>
              </w:rPr>
              <w:t xml:space="preserve">Financing arrangements </w:t>
            </w:r>
          </w:p>
        </w:tc>
        <w:tc>
          <w:tcPr>
            <w:tcW w:w="5230" w:type="dxa"/>
          </w:tcPr>
          <w:p w14:paraId="673A32BA"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sidRPr="00687C4F">
              <w:rPr>
                <w:color w:val="142147" w:themeColor="accent1"/>
              </w:rPr>
              <w:t>JAS Ltd has financing-related activities, including guarantees</w:t>
            </w:r>
            <w:r>
              <w:rPr>
                <w:color w:val="142147" w:themeColor="accent1"/>
              </w:rPr>
              <w:t>, equity funding and intra-group loans, advanced to fund operations and capital expenditure</w:t>
            </w:r>
            <w:r w:rsidRPr="00687C4F">
              <w:rPr>
                <w:color w:val="142147" w:themeColor="accent1"/>
              </w:rPr>
              <w:t xml:space="preserve">. JAS Ltd receives interest income on amounts loaned in accordance with arm’s length principles. </w:t>
            </w:r>
          </w:p>
        </w:tc>
        <w:tc>
          <w:tcPr>
            <w:tcW w:w="2551" w:type="dxa"/>
          </w:tcPr>
          <w:p w14:paraId="3EB8ED00"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sidRPr="004772C9">
              <w:rPr>
                <w:color w:val="142147" w:themeColor="accent1"/>
              </w:rPr>
              <w:t>United Kingdom</w:t>
            </w:r>
            <w:r>
              <w:rPr>
                <w:color w:val="142147" w:themeColor="accent1"/>
              </w:rPr>
              <w:t xml:space="preserve"> </w:t>
            </w:r>
          </w:p>
        </w:tc>
      </w:tr>
      <w:tr w:rsidR="00BD4078" w14:paraId="23070D3E" w14:textId="77777777">
        <w:trPr>
          <w:trHeight w:val="236"/>
        </w:trPr>
        <w:tc>
          <w:tcPr>
            <w:cnfStyle w:val="001000000000" w:firstRow="0" w:lastRow="0" w:firstColumn="1" w:lastColumn="0" w:oddVBand="0" w:evenVBand="0" w:oddHBand="0" w:evenHBand="0" w:firstRowFirstColumn="0" w:firstRowLastColumn="0" w:lastRowFirstColumn="0" w:lastRowLastColumn="0"/>
            <w:tcW w:w="1853" w:type="dxa"/>
          </w:tcPr>
          <w:p w14:paraId="706F9151" w14:textId="77777777" w:rsidR="00BD4078" w:rsidRPr="007E52EC" w:rsidRDefault="00BD4078">
            <w:pPr>
              <w:spacing w:before="0" w:after="0"/>
              <w:rPr>
                <w:b/>
                <w:bCs w:val="0"/>
                <w:color w:val="142147" w:themeColor="accent1"/>
              </w:rPr>
            </w:pPr>
            <w:r w:rsidRPr="007E52EC">
              <w:rPr>
                <w:b/>
                <w:bCs w:val="0"/>
                <w:color w:val="142147" w:themeColor="accent1"/>
              </w:rPr>
              <w:t>Exported medicines</w:t>
            </w:r>
          </w:p>
        </w:tc>
        <w:tc>
          <w:tcPr>
            <w:tcW w:w="5230" w:type="dxa"/>
          </w:tcPr>
          <w:p w14:paraId="0326CE9C"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JAS Ltd pharmaceutical products are sold directly into local markets via subsidiary headquarter distributors. </w:t>
            </w:r>
          </w:p>
        </w:tc>
        <w:tc>
          <w:tcPr>
            <w:tcW w:w="2551" w:type="dxa"/>
          </w:tcPr>
          <w:p w14:paraId="02D0E5A8" w14:textId="77777777" w:rsidR="00BD4078" w:rsidRPr="00687C4F"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United Kingdom, United States, Canada, Panama, Singapore, Switzerland, Germany, Belgium, China, Netherlands, Dubai, New Zealand, Japan, Hong Kong, Malaysia, Sweden, Brazil, South Africa </w:t>
            </w:r>
          </w:p>
        </w:tc>
      </w:tr>
    </w:tbl>
    <w:p w14:paraId="717B0A04" w14:textId="77777777" w:rsidR="00164C29" w:rsidRDefault="00164C29" w:rsidP="00164C29">
      <w:pPr>
        <w:rPr>
          <w:rFonts w:ascii="Georgia" w:hAnsi="Georgia" w:cs="Arial"/>
          <w:color w:val="142147"/>
          <w:kern w:val="32"/>
          <w:sz w:val="40"/>
          <w:szCs w:val="40"/>
          <w14:numForm w14:val="lining"/>
          <w14:numSpacing w14:val="proportional"/>
        </w:rPr>
      </w:pPr>
      <w:bookmarkStart w:id="61" w:name="_Non-public_CbC_Reporter:"/>
      <w:bookmarkStart w:id="62" w:name="_Toc199855174"/>
      <w:bookmarkStart w:id="63" w:name="_Toc195021320"/>
      <w:bookmarkEnd w:id="61"/>
      <w:r>
        <w:rPr>
          <w:sz w:val="40"/>
          <w:szCs w:val="40"/>
        </w:rPr>
        <w:br w:type="page"/>
      </w:r>
    </w:p>
    <w:p w14:paraId="6E1A12AC" w14:textId="302AB553" w:rsidR="00BD4078" w:rsidRPr="00E10F37" w:rsidRDefault="00BD4078" w:rsidP="00164C29">
      <w:pPr>
        <w:pStyle w:val="Heading1"/>
        <w:rPr>
          <w:sz w:val="40"/>
          <w:szCs w:val="40"/>
        </w:rPr>
      </w:pPr>
      <w:r w:rsidRPr="00C115C0">
        <w:rPr>
          <w:sz w:val="40"/>
          <w:szCs w:val="40"/>
        </w:rPr>
        <w:t>Non-</w:t>
      </w:r>
      <w:r w:rsidR="00DE0E4A">
        <w:rPr>
          <w:sz w:val="40"/>
          <w:szCs w:val="40"/>
        </w:rPr>
        <w:t xml:space="preserve">public </w:t>
      </w:r>
      <w:r w:rsidRPr="00C115C0">
        <w:rPr>
          <w:sz w:val="40"/>
          <w:szCs w:val="40"/>
        </w:rPr>
        <w:t xml:space="preserve">CbC Reporter: </w:t>
      </w:r>
      <w:r>
        <w:rPr>
          <w:sz w:val="40"/>
          <w:szCs w:val="40"/>
        </w:rPr>
        <w:t xml:space="preserve">Example </w:t>
      </w:r>
      <w:r w:rsidR="00005920">
        <w:rPr>
          <w:sz w:val="40"/>
          <w:szCs w:val="40"/>
        </w:rPr>
        <w:t>V</w:t>
      </w:r>
      <w:r w:rsidRPr="00C115C0">
        <w:rPr>
          <w:sz w:val="40"/>
          <w:szCs w:val="40"/>
        </w:rPr>
        <w:t>TTC Report</w:t>
      </w:r>
      <w:bookmarkEnd w:id="62"/>
      <w:r w:rsidRPr="00C115C0">
        <w:rPr>
          <w:sz w:val="40"/>
          <w:szCs w:val="40"/>
        </w:rPr>
        <w:t xml:space="preserve"> </w:t>
      </w:r>
      <w:bookmarkEnd w:id="63"/>
    </w:p>
    <w:p w14:paraId="794B4CA3" w14:textId="370088E8" w:rsidR="00BD4078" w:rsidRDefault="00BD4078" w:rsidP="00BD4078">
      <w:pPr>
        <w:jc w:val="center"/>
        <w:rPr>
          <w:rFonts w:asciiTheme="majorHAnsi" w:hAnsiTheme="majorHAnsi"/>
          <w:b/>
          <w:bCs/>
          <w:color w:val="701F4D" w:themeColor="accent2"/>
          <w:sz w:val="40"/>
          <w:szCs w:val="40"/>
        </w:rPr>
      </w:pPr>
      <w:r>
        <w:rPr>
          <w:rFonts w:asciiTheme="majorHAnsi" w:hAnsiTheme="majorHAnsi"/>
          <w:b/>
          <w:bCs/>
          <w:color w:val="701F4D" w:themeColor="accent2"/>
          <w:sz w:val="40"/>
          <w:szCs w:val="40"/>
        </w:rPr>
        <w:t xml:space="preserve">Tax Transparency Report for </w:t>
      </w:r>
      <w:r w:rsidR="006030A9">
        <w:rPr>
          <w:rFonts w:asciiTheme="majorHAnsi" w:hAnsiTheme="majorHAnsi"/>
          <w:b/>
          <w:bCs/>
          <w:color w:val="701F4D" w:themeColor="accent2"/>
          <w:sz w:val="40"/>
          <w:szCs w:val="40"/>
        </w:rPr>
        <w:t>PAA</w:t>
      </w:r>
      <w:r>
        <w:rPr>
          <w:rFonts w:asciiTheme="majorHAnsi" w:hAnsiTheme="majorHAnsi"/>
          <w:b/>
          <w:bCs/>
          <w:color w:val="701F4D" w:themeColor="accent2"/>
          <w:sz w:val="40"/>
          <w:szCs w:val="40"/>
        </w:rPr>
        <w:t xml:space="preserve"> Ltd</w:t>
      </w:r>
    </w:p>
    <w:p w14:paraId="58C808AB" w14:textId="32116847" w:rsidR="00BD4078" w:rsidRDefault="00BD4078" w:rsidP="00BD4078">
      <w:pPr>
        <w:jc w:val="center"/>
        <w:rPr>
          <w:rFonts w:asciiTheme="majorHAnsi" w:hAnsiTheme="majorHAnsi"/>
          <w:b/>
          <w:bCs/>
          <w:color w:val="701F4D" w:themeColor="accent2"/>
          <w:sz w:val="32"/>
          <w:szCs w:val="32"/>
        </w:rPr>
      </w:pPr>
      <w:r w:rsidRPr="00E30BBF">
        <w:rPr>
          <w:rFonts w:asciiTheme="majorHAnsi" w:hAnsiTheme="majorHAnsi"/>
          <w:b/>
          <w:bCs/>
          <w:color w:val="701F4D" w:themeColor="accent2"/>
          <w:sz w:val="32"/>
          <w:szCs w:val="32"/>
        </w:rPr>
        <w:t xml:space="preserve">For the year ended 30 June </w:t>
      </w:r>
      <w:r w:rsidR="00081A4E">
        <w:rPr>
          <w:rFonts w:asciiTheme="majorHAnsi" w:hAnsiTheme="majorHAnsi"/>
          <w:b/>
          <w:bCs/>
          <w:color w:val="701F4D" w:themeColor="accent2"/>
          <w:sz w:val="32"/>
          <w:szCs w:val="32"/>
        </w:rPr>
        <w:t>2025</w:t>
      </w:r>
    </w:p>
    <w:p w14:paraId="04F65760" w14:textId="4FCC0D35" w:rsidR="00C06EF3" w:rsidRPr="00C06EF3" w:rsidRDefault="00C06EF3" w:rsidP="00C06EF3">
      <w:pPr>
        <w:jc w:val="center"/>
        <w:rPr>
          <w:rFonts w:asciiTheme="majorHAnsi" w:hAnsiTheme="majorHAnsi"/>
          <w:b/>
          <w:bCs/>
          <w:color w:val="701F4D" w:themeColor="accent2"/>
        </w:rPr>
      </w:pPr>
      <w:r w:rsidRPr="00805DFB">
        <w:rPr>
          <w:rFonts w:asciiTheme="majorHAnsi" w:hAnsiTheme="majorHAnsi"/>
          <w:b/>
          <w:bCs/>
          <w:color w:val="701F4D" w:themeColor="accent2"/>
        </w:rPr>
        <w:t xml:space="preserve">Published: 30 June </w:t>
      </w:r>
      <w:r w:rsidR="00081A4E">
        <w:rPr>
          <w:rFonts w:asciiTheme="majorHAnsi" w:hAnsiTheme="majorHAnsi"/>
          <w:b/>
          <w:bCs/>
          <w:color w:val="701F4D" w:themeColor="accent2"/>
        </w:rPr>
        <w:t>2026</w:t>
      </w:r>
    </w:p>
    <w:p w14:paraId="0D0160EA" w14:textId="4B7555FE" w:rsidR="00BD4078" w:rsidRPr="00E30BBF" w:rsidRDefault="00085A54" w:rsidP="00BD4078">
      <w:pPr>
        <w:jc w:val="center"/>
        <w:rPr>
          <w:rFonts w:asciiTheme="majorHAnsi" w:hAnsiTheme="majorHAnsi"/>
          <w:b/>
          <w:bCs/>
          <w:color w:val="701F4D" w:themeColor="accent2"/>
          <w:sz w:val="40"/>
          <w:szCs w:val="40"/>
        </w:rPr>
      </w:pPr>
      <w:r w:rsidRPr="00085A54">
        <w:rPr>
          <w:rFonts w:asciiTheme="majorHAnsi" w:hAnsiTheme="majorHAnsi"/>
          <w:b/>
          <w:bCs/>
          <w:noProof/>
          <w:color w:val="701F4D" w:themeColor="accent2"/>
          <w:sz w:val="40"/>
          <w:szCs w:val="40"/>
        </w:rPr>
        <w:drawing>
          <wp:inline distT="0" distB="0" distL="0" distR="0" wp14:anchorId="7C46CAEB" wp14:editId="7C90FE41">
            <wp:extent cx="2445489" cy="1697114"/>
            <wp:effectExtent l="0" t="0" r="0" b="0"/>
            <wp:docPr id="1666793516" name="Picture 1" descr="PAA Ltd logo - The right widget, right on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93516" name="Picture 1" descr="PAA Ltd logo - The right widget, right on time "/>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68422" cy="1713029"/>
                    </a:xfrm>
                    <a:prstGeom prst="rect">
                      <a:avLst/>
                    </a:prstGeom>
                  </pic:spPr>
                </pic:pic>
              </a:graphicData>
            </a:graphic>
          </wp:inline>
        </w:drawing>
      </w:r>
    </w:p>
    <w:p w14:paraId="08EFADDA" w14:textId="77777777" w:rsidR="00BD4078" w:rsidRPr="000A3A17" w:rsidRDefault="00BD4078" w:rsidP="00BD4078">
      <w:pPr>
        <w:pStyle w:val="Heading2"/>
        <w:spacing w:before="360"/>
        <w:rPr>
          <w:color w:val="701F4D"/>
        </w:rPr>
      </w:pPr>
      <w:bookmarkStart w:id="64" w:name="_Toc195021321"/>
      <w:bookmarkStart w:id="65" w:name="_Toc199855175"/>
      <w:r w:rsidRPr="000A3A17">
        <w:rPr>
          <w:color w:val="701F4D"/>
        </w:rPr>
        <w:t>Overview</w:t>
      </w:r>
      <w:bookmarkEnd w:id="64"/>
      <w:bookmarkEnd w:id="65"/>
    </w:p>
    <w:p w14:paraId="6DED4A8D" w14:textId="1A72B51B" w:rsidR="00BD4078" w:rsidRDefault="00BD4078" w:rsidP="000669D4">
      <w:pPr>
        <w:pStyle w:val="Bullet"/>
        <w:numPr>
          <w:ilvl w:val="0"/>
          <w:numId w:val="0"/>
        </w:numPr>
        <w:rPr>
          <w:color w:val="142147" w:themeColor="accent1"/>
        </w:rPr>
      </w:pPr>
      <w:r w:rsidRPr="002919C2">
        <w:rPr>
          <w:noProof/>
        </w:rPr>
        <w:drawing>
          <wp:anchor distT="0" distB="0" distL="114300" distR="114300" simplePos="0" relativeHeight="251713536" behindDoc="1" locked="0" layoutInCell="1" allowOverlap="1" wp14:anchorId="52D8EDFA" wp14:editId="1890F2BF">
            <wp:simplePos x="0" y="0"/>
            <wp:positionH relativeFrom="column">
              <wp:posOffset>3899535</wp:posOffset>
            </wp:positionH>
            <wp:positionV relativeFrom="paragraph">
              <wp:posOffset>821055</wp:posOffset>
            </wp:positionV>
            <wp:extent cx="2628900" cy="2447925"/>
            <wp:effectExtent l="0" t="0" r="0" b="0"/>
            <wp:wrapTight wrapText="bothSides">
              <wp:wrapPolygon edited="0">
                <wp:start x="10800" y="1009"/>
                <wp:lineTo x="4852" y="3698"/>
                <wp:lineTo x="2817" y="6724"/>
                <wp:lineTo x="1878" y="9413"/>
                <wp:lineTo x="1722" y="12103"/>
                <wp:lineTo x="2348" y="14792"/>
                <wp:lineTo x="3913" y="17482"/>
                <wp:lineTo x="4070" y="17986"/>
                <wp:lineTo x="7826" y="20171"/>
                <wp:lineTo x="8609" y="20507"/>
                <wp:lineTo x="12365" y="20507"/>
                <wp:lineTo x="13148" y="20171"/>
                <wp:lineTo x="16904" y="17986"/>
                <wp:lineTo x="17061" y="17482"/>
                <wp:lineTo x="18626" y="14792"/>
                <wp:lineTo x="19878" y="9413"/>
                <wp:lineTo x="19252" y="6724"/>
                <wp:lineTo x="18000" y="4707"/>
                <wp:lineTo x="17687" y="3698"/>
                <wp:lineTo x="14243" y="1681"/>
                <wp:lineTo x="12835" y="1009"/>
                <wp:lineTo x="10800" y="1009"/>
              </wp:wrapPolygon>
            </wp:wrapTight>
            <wp:docPr id="1997644668" name="Diagram 1" descr="Diagram showing PAA Ltd entities ">
              <a:extLst xmlns:a="http://schemas.openxmlformats.org/drawingml/2006/main">
                <a:ext uri="{FF2B5EF4-FFF2-40B4-BE49-F238E27FC236}">
                  <a16:creationId xmlns:a16="http://schemas.microsoft.com/office/drawing/2014/main" id="{286C74B3-D9D8-EB73-192F-124E401DBC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anchor>
        </w:drawing>
      </w:r>
      <w:r w:rsidR="006030A9">
        <w:rPr>
          <w:color w:val="142147" w:themeColor="accent1"/>
        </w:rPr>
        <w:t>PAA</w:t>
      </w:r>
      <w:r w:rsidRPr="00A343B2">
        <w:rPr>
          <w:color w:val="142147" w:themeColor="accent1"/>
        </w:rPr>
        <w:t xml:space="preserve"> Ltd is a</w:t>
      </w:r>
      <w:r>
        <w:rPr>
          <w:color w:val="142147" w:themeColor="accent1"/>
        </w:rPr>
        <w:t>n Australian listed</w:t>
      </w:r>
      <w:r w:rsidRPr="00A343B2">
        <w:rPr>
          <w:color w:val="142147" w:themeColor="accent1"/>
        </w:rPr>
        <w:t xml:space="preserve"> </w:t>
      </w:r>
      <w:r>
        <w:rPr>
          <w:color w:val="142147" w:themeColor="accent1"/>
        </w:rPr>
        <w:t>leading manufacturer</w:t>
      </w:r>
      <w:r w:rsidRPr="0014532B">
        <w:rPr>
          <w:color w:val="142147" w:themeColor="accent1"/>
        </w:rPr>
        <w:t xml:space="preserve"> </w:t>
      </w:r>
      <w:r>
        <w:rPr>
          <w:color w:val="142147" w:themeColor="accent1"/>
        </w:rPr>
        <w:t>and distributor of high-</w:t>
      </w:r>
      <w:r w:rsidRPr="004A1ECA">
        <w:rPr>
          <w:color w:val="142147" w:themeColor="accent1"/>
        </w:rPr>
        <w:t xml:space="preserve">quality </w:t>
      </w:r>
      <w:r w:rsidR="00A87B90">
        <w:rPr>
          <w:color w:val="142147" w:themeColor="accent1"/>
        </w:rPr>
        <w:t>widgets</w:t>
      </w:r>
      <w:r>
        <w:rPr>
          <w:color w:val="142147" w:themeColor="accent1"/>
        </w:rPr>
        <w:t xml:space="preserve">, incorporated in 1983, and headquartered in Newcastle, Australia with a growing international presence. </w:t>
      </w:r>
      <w:r w:rsidR="00085B3E">
        <w:rPr>
          <w:color w:val="142147" w:themeColor="accent1"/>
        </w:rPr>
        <w:t>PAA</w:t>
      </w:r>
      <w:r>
        <w:rPr>
          <w:color w:val="142147" w:themeColor="accent1"/>
        </w:rPr>
        <w:t xml:space="preserve"> specialises in the manufacture and distribution of a wide range of</w:t>
      </w:r>
      <w:r w:rsidR="00DF4564">
        <w:rPr>
          <w:color w:val="142147" w:themeColor="accent1"/>
        </w:rPr>
        <w:t xml:space="preserve"> </w:t>
      </w:r>
      <w:r w:rsidR="00D9235E">
        <w:rPr>
          <w:color w:val="142147" w:themeColor="accent1"/>
        </w:rPr>
        <w:t>high-quality</w:t>
      </w:r>
      <w:r>
        <w:rPr>
          <w:color w:val="142147" w:themeColor="accent1"/>
        </w:rPr>
        <w:t xml:space="preserve"> </w:t>
      </w:r>
      <w:r w:rsidR="00A87B90">
        <w:rPr>
          <w:color w:val="142147" w:themeColor="accent1"/>
        </w:rPr>
        <w:t xml:space="preserve">widgets </w:t>
      </w:r>
      <w:r w:rsidR="00DF4564">
        <w:rPr>
          <w:color w:val="142147" w:themeColor="accent1"/>
        </w:rPr>
        <w:t>which power industries across the globe</w:t>
      </w:r>
      <w:r>
        <w:rPr>
          <w:color w:val="142147" w:themeColor="accent1"/>
        </w:rPr>
        <w:t>.</w:t>
      </w:r>
      <w:r w:rsidR="00EE6EBA">
        <w:rPr>
          <w:color w:val="142147" w:themeColor="accent1"/>
        </w:rPr>
        <w:t xml:space="preserve"> We deliver products that meet the diverse needs of our customers. Our widgets </w:t>
      </w:r>
      <w:r w:rsidR="00D9235E">
        <w:rPr>
          <w:color w:val="142147" w:themeColor="accent1"/>
        </w:rPr>
        <w:t xml:space="preserve">are built to last, ensuring reliability and performance in every application. </w:t>
      </w:r>
      <w:r>
        <w:rPr>
          <w:color w:val="142147" w:themeColor="accent1"/>
        </w:rPr>
        <w:t xml:space="preserve"> </w:t>
      </w:r>
    </w:p>
    <w:p w14:paraId="4351F291" w14:textId="357BC757" w:rsidR="00BD4078" w:rsidRDefault="00835B6D" w:rsidP="00BD4078">
      <w:pPr>
        <w:rPr>
          <w:color w:val="142147" w:themeColor="accent1"/>
        </w:rPr>
      </w:pPr>
      <w:r>
        <w:rPr>
          <w:color w:val="142147" w:themeColor="accent1"/>
        </w:rPr>
        <w:t>PAA</w:t>
      </w:r>
      <w:r w:rsidR="00BD4078" w:rsidRPr="00142374">
        <w:rPr>
          <w:color w:val="142147" w:themeColor="accent1"/>
        </w:rPr>
        <w:t xml:space="preserve"> Ltd has </w:t>
      </w:r>
      <w:r w:rsidR="00BD4078">
        <w:rPr>
          <w:color w:val="142147" w:themeColor="accent1"/>
        </w:rPr>
        <w:t>regional headquarters with subsidiaries</w:t>
      </w:r>
      <w:r w:rsidR="00BD4078" w:rsidRPr="00142374">
        <w:rPr>
          <w:color w:val="142147" w:themeColor="accent1"/>
        </w:rPr>
        <w:t xml:space="preserve"> across </w:t>
      </w:r>
      <w:r w:rsidR="00BD4078">
        <w:rPr>
          <w:color w:val="142147" w:themeColor="accent1"/>
        </w:rPr>
        <w:t>three</w:t>
      </w:r>
      <w:r w:rsidR="00BD4078" w:rsidRPr="00142374">
        <w:rPr>
          <w:color w:val="142147" w:themeColor="accent1"/>
        </w:rPr>
        <w:t xml:space="preserve"> countries, </w:t>
      </w:r>
      <w:r w:rsidR="00BD4078" w:rsidRPr="00F53627">
        <w:rPr>
          <w:b/>
          <w:bCs/>
          <w:color w:val="701F4D" w:themeColor="accent2"/>
        </w:rPr>
        <w:t xml:space="preserve">the </w:t>
      </w:r>
      <w:r w:rsidR="00BD4078" w:rsidRPr="002919C2">
        <w:rPr>
          <w:b/>
          <w:bCs/>
          <w:color w:val="701F4D" w:themeColor="accent2"/>
        </w:rPr>
        <w:t>United States, India and China.</w:t>
      </w:r>
      <w:r w:rsidR="00BD4078" w:rsidRPr="002919C2">
        <w:rPr>
          <w:color w:val="701F4D" w:themeColor="accent2"/>
        </w:rPr>
        <w:t xml:space="preserve"> </w:t>
      </w:r>
      <w:r w:rsidR="00085B3E">
        <w:rPr>
          <w:color w:val="142147" w:themeColor="accent1"/>
        </w:rPr>
        <w:t>PAA’s</w:t>
      </w:r>
      <w:r w:rsidR="00BD4078">
        <w:rPr>
          <w:color w:val="142147" w:themeColor="accent1"/>
        </w:rPr>
        <w:t xml:space="preserve"> global workforce is comprised of approximately 1,013 employees who engage in manufacturing, distribution, logistics, sales and administration. </w:t>
      </w:r>
    </w:p>
    <w:p w14:paraId="39D37B85" w14:textId="176E9B90" w:rsidR="00BD4078" w:rsidRPr="004534ED" w:rsidRDefault="00BD4078" w:rsidP="000669D4">
      <w:pPr>
        <w:pStyle w:val="Bullet"/>
        <w:numPr>
          <w:ilvl w:val="0"/>
          <w:numId w:val="0"/>
        </w:numPr>
        <w:rPr>
          <w:color w:val="142147" w:themeColor="accent1"/>
        </w:rPr>
      </w:pPr>
      <w:r w:rsidRPr="004534ED">
        <w:rPr>
          <w:color w:val="142147" w:themeColor="accent1"/>
        </w:rPr>
        <w:t xml:space="preserve">This </w:t>
      </w:r>
      <w:r w:rsidR="00005920">
        <w:rPr>
          <w:color w:val="142147" w:themeColor="accent1"/>
        </w:rPr>
        <w:t>V</w:t>
      </w:r>
      <w:r w:rsidRPr="004534ED">
        <w:rPr>
          <w:color w:val="142147" w:themeColor="accent1"/>
        </w:rPr>
        <w:t xml:space="preserve">TTC report has been approved by the </w:t>
      </w:r>
      <w:r w:rsidR="00427502">
        <w:rPr>
          <w:color w:val="142147" w:themeColor="accent1"/>
        </w:rPr>
        <w:t>PAA</w:t>
      </w:r>
      <w:r w:rsidRPr="004534ED">
        <w:rPr>
          <w:color w:val="142147" w:themeColor="accent1"/>
        </w:rPr>
        <w:t xml:space="preserve"> Ltd Audit and Risk Committee on behalf of the Board.</w:t>
      </w:r>
      <w:r w:rsidRPr="004534ED">
        <w:rPr>
          <w:rStyle w:val="FootnoteReference"/>
          <w:color w:val="142147" w:themeColor="accent1"/>
        </w:rPr>
        <w:footnoteReference w:id="18"/>
      </w:r>
      <w:r w:rsidRPr="004534ED">
        <w:rPr>
          <w:color w:val="142147" w:themeColor="accent1"/>
        </w:rPr>
        <w:t xml:space="preserve"> In preparing this report, </w:t>
      </w:r>
      <w:r w:rsidR="00260542">
        <w:rPr>
          <w:color w:val="142147" w:themeColor="accent1"/>
        </w:rPr>
        <w:t>PAA</w:t>
      </w:r>
      <w:r w:rsidRPr="004534ED">
        <w:rPr>
          <w:color w:val="142147" w:themeColor="accent1"/>
        </w:rPr>
        <w:t xml:space="preserve"> Ltd have followed the recommendations in the Board of Taxation’s Tax Transparency Code. </w:t>
      </w:r>
    </w:p>
    <w:p w14:paraId="013664CD" w14:textId="77777777" w:rsidR="00BD4078" w:rsidRPr="0092576D" w:rsidRDefault="00BD4078" w:rsidP="000669D4">
      <w:pPr>
        <w:pStyle w:val="Bullet"/>
        <w:numPr>
          <w:ilvl w:val="0"/>
          <w:numId w:val="0"/>
        </w:numPr>
        <w:ind w:left="520" w:hanging="520"/>
      </w:pPr>
    </w:p>
    <w:p w14:paraId="1EC5CAE4" w14:textId="77777777" w:rsidR="00BD4078" w:rsidRPr="00D379C1" w:rsidRDefault="00BD4078" w:rsidP="00BD4078">
      <w:pPr>
        <w:pStyle w:val="Heading2"/>
      </w:pPr>
      <w:bookmarkStart w:id="66" w:name="_Toc195021322"/>
      <w:bookmarkStart w:id="67" w:name="_Toc199855176"/>
      <w:r>
        <w:t>Tax Data</w:t>
      </w:r>
      <w:bookmarkEnd w:id="66"/>
      <w:bookmarkEnd w:id="67"/>
      <w:r>
        <w:t xml:space="preserve"> </w:t>
      </w:r>
    </w:p>
    <w:p w14:paraId="25054C12" w14:textId="77777777" w:rsidR="00BD4078" w:rsidRDefault="00BD4078" w:rsidP="00BD4078">
      <w:pPr>
        <w:pStyle w:val="Heading3"/>
      </w:pPr>
      <w:r>
        <w:t xml:space="preserve">Total Tax Contribution </w:t>
      </w:r>
    </w:p>
    <w:tbl>
      <w:tblPr>
        <w:tblStyle w:val="TableGrid"/>
        <w:tblW w:w="0" w:type="auto"/>
        <w:tblLook w:val="04A0" w:firstRow="1" w:lastRow="0" w:firstColumn="1" w:lastColumn="0" w:noHBand="0" w:noVBand="1"/>
      </w:tblPr>
      <w:tblGrid>
        <w:gridCol w:w="9631"/>
      </w:tblGrid>
      <w:tr w:rsidR="00BD4078" w14:paraId="6A87CD19" w14:textId="77777777">
        <w:tc>
          <w:tcPr>
            <w:tcW w:w="9631" w:type="dxa"/>
            <w:tcBorders>
              <w:top w:val="nil"/>
              <w:left w:val="nil"/>
              <w:bottom w:val="nil"/>
              <w:right w:val="nil"/>
            </w:tcBorders>
            <w:shd w:val="clear" w:color="auto" w:fill="701F4D" w:themeFill="accent2"/>
          </w:tcPr>
          <w:p w14:paraId="57441934" w14:textId="77777777" w:rsidR="00BD4078" w:rsidRPr="00386052" w:rsidRDefault="00BD4078">
            <w:pPr>
              <w:jc w:val="center"/>
              <w:rPr>
                <w:rFonts w:asciiTheme="majorHAnsi" w:hAnsiTheme="majorHAnsi"/>
                <w:b/>
                <w:bCs/>
                <w:color w:val="FFFFFF" w:themeColor="background1"/>
                <w:sz w:val="28"/>
                <w:szCs w:val="28"/>
              </w:rPr>
            </w:pPr>
            <w:r w:rsidRPr="00386052">
              <w:rPr>
                <w:rFonts w:asciiTheme="majorHAnsi" w:hAnsiTheme="majorHAnsi"/>
                <w:b/>
                <w:bCs/>
                <w:color w:val="FFFFFF" w:themeColor="background1"/>
                <w:sz w:val="28"/>
                <w:szCs w:val="28"/>
              </w:rPr>
              <w:t>$</w:t>
            </w:r>
            <w:r>
              <w:rPr>
                <w:rFonts w:asciiTheme="majorHAnsi" w:hAnsiTheme="majorHAnsi"/>
                <w:b/>
                <w:bCs/>
                <w:color w:val="FFFFFF" w:themeColor="background1"/>
                <w:sz w:val="28"/>
                <w:szCs w:val="28"/>
              </w:rPr>
              <w:t>14.9m</w:t>
            </w:r>
            <w:r w:rsidRPr="00386052">
              <w:rPr>
                <w:rFonts w:asciiTheme="majorHAnsi" w:hAnsiTheme="majorHAnsi"/>
                <w:b/>
                <w:bCs/>
                <w:color w:val="FFFFFF" w:themeColor="background1"/>
                <w:sz w:val="28"/>
                <w:szCs w:val="28"/>
              </w:rPr>
              <w:t xml:space="preserve"> </w:t>
            </w:r>
            <w:r>
              <w:rPr>
                <w:rFonts w:asciiTheme="majorHAnsi" w:hAnsiTheme="majorHAnsi"/>
                <w:b/>
                <w:bCs/>
                <w:color w:val="FFFFFF" w:themeColor="background1"/>
                <w:sz w:val="28"/>
                <w:szCs w:val="28"/>
              </w:rPr>
              <w:t>paid in Australian income tax</w:t>
            </w:r>
          </w:p>
        </w:tc>
      </w:tr>
    </w:tbl>
    <w:p w14:paraId="76D41B22" w14:textId="61352D1A" w:rsidR="00BD4078" w:rsidRDefault="00E92E98" w:rsidP="00BD4078">
      <w:pPr>
        <w:rPr>
          <w:color w:val="142147" w:themeColor="accent1"/>
        </w:rPr>
      </w:pPr>
      <w:r>
        <w:rPr>
          <w:noProof/>
          <w:color w:val="142147" w:themeColor="accent1"/>
        </w:rPr>
        <mc:AlternateContent>
          <mc:Choice Requires="wps">
            <w:drawing>
              <wp:anchor distT="0" distB="0" distL="114300" distR="114300" simplePos="0" relativeHeight="251600896" behindDoc="0" locked="0" layoutInCell="1" allowOverlap="1" wp14:anchorId="4E2DEDF7" wp14:editId="68379061">
                <wp:simplePos x="0" y="0"/>
                <wp:positionH relativeFrom="column">
                  <wp:posOffset>4398010</wp:posOffset>
                </wp:positionH>
                <wp:positionV relativeFrom="paragraph">
                  <wp:posOffset>274955</wp:posOffset>
                </wp:positionV>
                <wp:extent cx="1339850" cy="771525"/>
                <wp:effectExtent l="0" t="0" r="0" b="0"/>
                <wp:wrapNone/>
                <wp:docPr id="177281476" name="Text Box 6"/>
                <wp:cNvGraphicFramePr/>
                <a:graphic xmlns:a="http://schemas.openxmlformats.org/drawingml/2006/main">
                  <a:graphicData uri="http://schemas.microsoft.com/office/word/2010/wordprocessingShape">
                    <wps:wsp>
                      <wps:cNvSpPr txBox="1"/>
                      <wps:spPr>
                        <a:xfrm>
                          <a:off x="0" y="0"/>
                          <a:ext cx="1339850" cy="771525"/>
                        </a:xfrm>
                        <a:prstGeom prst="rect">
                          <a:avLst/>
                        </a:prstGeom>
                        <a:noFill/>
                        <a:ln w="6350">
                          <a:noFill/>
                        </a:ln>
                      </wps:spPr>
                      <wps:txbx>
                        <w:txbxContent>
                          <w:p w14:paraId="46E8C657" w14:textId="77777777" w:rsidR="00BD4078" w:rsidRPr="0073001A" w:rsidRDefault="00BD4078" w:rsidP="00BD4078">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14.9m</w:t>
                            </w:r>
                            <w:r w:rsidRPr="0073001A">
                              <w:rPr>
                                <w:b/>
                                <w:bCs/>
                                <w:color w:val="701F4D" w:themeColor="accent2"/>
                                <w:sz w:val="32"/>
                                <w:szCs w:val="32"/>
                              </w:rPr>
                              <w:t xml:space="preserve"> </w:t>
                            </w:r>
                          </w:p>
                          <w:p w14:paraId="6B0DC2E8" w14:textId="2354A891" w:rsidR="00BD4078" w:rsidRPr="001C594E" w:rsidRDefault="00BD4078" w:rsidP="00BD4078">
                            <w:pPr>
                              <w:spacing w:before="0"/>
                              <w:rPr>
                                <w:color w:val="142147" w:themeColor="accent1"/>
                                <w:sz w:val="18"/>
                                <w:szCs w:val="18"/>
                              </w:rPr>
                            </w:pPr>
                            <w:r w:rsidRPr="001C594E">
                              <w:rPr>
                                <w:color w:val="142147" w:themeColor="accent1"/>
                                <w:sz w:val="18"/>
                                <w:szCs w:val="18"/>
                              </w:rPr>
                              <w:t xml:space="preserve">Total </w:t>
                            </w:r>
                            <w:r w:rsidR="00E92E98">
                              <w:rPr>
                                <w:color w:val="142147" w:themeColor="accent1"/>
                                <w:sz w:val="18"/>
                                <w:szCs w:val="18"/>
                              </w:rPr>
                              <w:t>corporate income tax contribution</w:t>
                            </w:r>
                            <w:r w:rsidRPr="001C594E">
                              <w:rPr>
                                <w:color w:val="142147" w:themeColor="accen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EDF7" id="_x0000_s1030" type="#_x0000_t202" style="position:absolute;margin-left:346.3pt;margin-top:21.65pt;width:105.5pt;height:6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" filled="f" stroked="f" strokeweight=".5pt">
                <v:textbox>
                  <w:txbxContent>
                    <w:p w14:paraId="46E8C657" w14:textId="77777777" w:rsidR="00BD4078" w:rsidRPr="0073001A" w:rsidRDefault="00BD4078" w:rsidP="00BD4078">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14.9m</w:t>
                      </w:r>
                      <w:r w:rsidRPr="0073001A">
                        <w:rPr>
                          <w:b/>
                          <w:bCs/>
                          <w:color w:val="701F4D" w:themeColor="accent2"/>
                          <w:sz w:val="32"/>
                          <w:szCs w:val="32"/>
                        </w:rPr>
                        <w:t xml:space="preserve"> </w:t>
                      </w:r>
                    </w:p>
                    <w:p w14:paraId="6B0DC2E8" w14:textId="2354A891" w:rsidR="00BD4078" w:rsidRPr="001C594E" w:rsidRDefault="00BD4078" w:rsidP="00BD4078">
                      <w:pPr>
                        <w:spacing w:before="0"/>
                        <w:rPr>
                          <w:color w:val="142147" w:themeColor="accent1"/>
                          <w:sz w:val="18"/>
                          <w:szCs w:val="18"/>
                        </w:rPr>
                      </w:pPr>
                      <w:r w:rsidRPr="001C594E">
                        <w:rPr>
                          <w:color w:val="142147" w:themeColor="accent1"/>
                          <w:sz w:val="18"/>
                          <w:szCs w:val="18"/>
                        </w:rPr>
                        <w:t xml:space="preserve">Total </w:t>
                      </w:r>
                      <w:r w:rsidR="00E92E98">
                        <w:rPr>
                          <w:color w:val="142147" w:themeColor="accent1"/>
                          <w:sz w:val="18"/>
                          <w:szCs w:val="18"/>
                        </w:rPr>
                        <w:t>corporate income tax contribution</w:t>
                      </w:r>
                      <w:r w:rsidRPr="001C594E">
                        <w:rPr>
                          <w:color w:val="142147" w:themeColor="accent1"/>
                          <w:sz w:val="18"/>
                          <w:szCs w:val="18"/>
                        </w:rPr>
                        <w:t xml:space="preserve"> </w:t>
                      </w:r>
                    </w:p>
                  </w:txbxContent>
                </v:textbox>
              </v:shape>
            </w:pict>
          </mc:Fallback>
        </mc:AlternateContent>
      </w:r>
      <w:r>
        <w:rPr>
          <w:noProof/>
        </w:rPr>
        <w:drawing>
          <wp:anchor distT="0" distB="0" distL="114300" distR="114300" simplePos="0" relativeHeight="251735040" behindDoc="1" locked="0" layoutInCell="1" allowOverlap="1" wp14:anchorId="7DCE6513" wp14:editId="1268B68C">
            <wp:simplePos x="0" y="0"/>
            <wp:positionH relativeFrom="column">
              <wp:posOffset>4169410</wp:posOffset>
            </wp:positionH>
            <wp:positionV relativeFrom="paragraph">
              <wp:posOffset>84455</wp:posOffset>
            </wp:positionV>
            <wp:extent cx="1517015" cy="1391285"/>
            <wp:effectExtent l="0" t="0" r="6985" b="0"/>
            <wp:wrapSquare wrapText="bothSides"/>
            <wp:docPr id="342492516" name="Picture 5" descr="outline Australia map on white background. 29294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line Australia map on white background. 2929462 Vector Art at Vecteez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701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078" w:rsidRPr="00550E13">
        <w:rPr>
          <w:color w:val="142147" w:themeColor="accent1"/>
        </w:rPr>
        <w:t>In the</w:t>
      </w:r>
      <w:r w:rsidR="00BD4078">
        <w:rPr>
          <w:color w:val="142147" w:themeColor="accent1"/>
        </w:rPr>
        <w:t xml:space="preserve"> </w:t>
      </w:r>
      <w:r w:rsidR="00FE688C">
        <w:rPr>
          <w:color w:val="142147" w:themeColor="accent1"/>
        </w:rPr>
        <w:t>2025</w:t>
      </w:r>
      <w:r w:rsidR="00BD4078">
        <w:rPr>
          <w:color w:val="142147" w:themeColor="accent1"/>
        </w:rPr>
        <w:t xml:space="preserve"> </w:t>
      </w:r>
      <w:r w:rsidR="00BD4078" w:rsidRPr="00550E13">
        <w:rPr>
          <w:color w:val="142147" w:themeColor="accent1"/>
        </w:rPr>
        <w:t xml:space="preserve">financial year, </w:t>
      </w:r>
      <w:r w:rsidR="00085B3E">
        <w:rPr>
          <w:color w:val="142147" w:themeColor="accent1"/>
        </w:rPr>
        <w:t>PAA</w:t>
      </w:r>
      <w:r w:rsidR="00BD4078" w:rsidRPr="00A343B2">
        <w:rPr>
          <w:color w:val="142147" w:themeColor="accent1"/>
        </w:rPr>
        <w:t xml:space="preserve"> Ltd </w:t>
      </w:r>
      <w:r w:rsidR="00BD4078" w:rsidRPr="00550E13">
        <w:rPr>
          <w:color w:val="142147" w:themeColor="accent1"/>
        </w:rPr>
        <w:t xml:space="preserve">paid </w:t>
      </w:r>
      <w:r w:rsidR="00BD4078" w:rsidRPr="00EB6952">
        <w:rPr>
          <w:b/>
          <w:bCs/>
          <w:color w:val="142147" w:themeColor="accent1"/>
        </w:rPr>
        <w:t>AUD</w:t>
      </w:r>
      <w:r w:rsidR="00BD4078" w:rsidRPr="002A1CAA">
        <w:rPr>
          <w:b/>
          <w:bCs/>
          <w:color w:val="142147" w:themeColor="accent1"/>
        </w:rPr>
        <w:t>$</w:t>
      </w:r>
      <w:r w:rsidR="00BD4078">
        <w:rPr>
          <w:b/>
          <w:bCs/>
          <w:color w:val="142147" w:themeColor="accent1"/>
        </w:rPr>
        <w:t>14.9 million</w:t>
      </w:r>
      <w:r w:rsidR="00BD4078" w:rsidRPr="00550E13">
        <w:rPr>
          <w:color w:val="142147" w:themeColor="accent1"/>
        </w:rPr>
        <w:t xml:space="preserve"> in corporate income tax</w:t>
      </w:r>
      <w:r w:rsidR="00BD4078">
        <w:rPr>
          <w:color w:val="142147" w:themeColor="accent1"/>
        </w:rPr>
        <w:t>es</w:t>
      </w:r>
      <w:r w:rsidR="00BD4078" w:rsidRPr="00550E13">
        <w:rPr>
          <w:color w:val="142147" w:themeColor="accent1"/>
        </w:rPr>
        <w:t xml:space="preserve"> in Australia. Corporate income tax is paid on taxable profits, not on revenue. </w:t>
      </w:r>
    </w:p>
    <w:p w14:paraId="4221EC80" w14:textId="3A90684F" w:rsidR="00BD4078" w:rsidRDefault="00BD4078" w:rsidP="00BD4078">
      <w:pPr>
        <w:rPr>
          <w:color w:val="142147" w:themeColor="accent1"/>
        </w:rPr>
      </w:pPr>
      <w:r>
        <w:rPr>
          <w:color w:val="142147" w:themeColor="accent1"/>
        </w:rPr>
        <w:t xml:space="preserve"> </w:t>
      </w:r>
    </w:p>
    <w:p w14:paraId="2A7ABBCD" w14:textId="687A4F0C" w:rsidR="00BD4078" w:rsidRDefault="00BD4078" w:rsidP="00BD4078"/>
    <w:p w14:paraId="07804120" w14:textId="6AA93588" w:rsidR="00256EDD" w:rsidRDefault="00256EDD" w:rsidP="00256EDD">
      <w:pPr>
        <w:pStyle w:val="Heading4"/>
      </w:pPr>
      <w:r>
        <w:t xml:space="preserve">Optional elements </w:t>
      </w:r>
    </w:p>
    <w:p w14:paraId="6379D09E" w14:textId="77777777" w:rsidR="00256EDD" w:rsidRPr="00C55BD6" w:rsidRDefault="00256EDD" w:rsidP="00256EDD">
      <w:pPr>
        <w:pStyle w:val="Bullet"/>
        <w:tabs>
          <w:tab w:val="clear" w:pos="520"/>
          <w:tab w:val="num" w:pos="567"/>
        </w:tabs>
        <w:rPr>
          <w:b/>
          <w:bCs/>
          <w:color w:val="142147" w:themeColor="accent1"/>
        </w:rPr>
      </w:pPr>
      <w:r w:rsidRPr="00C55BD6">
        <w:rPr>
          <w:b/>
          <w:bCs/>
          <w:color w:val="142147" w:themeColor="accent1"/>
        </w:rPr>
        <w:t xml:space="preserve">[Report on global group total </w:t>
      </w:r>
      <w:r>
        <w:rPr>
          <w:b/>
          <w:bCs/>
          <w:color w:val="142147" w:themeColor="accent1"/>
        </w:rPr>
        <w:t xml:space="preserve">income </w:t>
      </w:r>
      <w:r w:rsidRPr="00C55BD6">
        <w:rPr>
          <w:b/>
          <w:bCs/>
          <w:color w:val="142147" w:themeColor="accent1"/>
        </w:rPr>
        <w:t>tax contribution]</w:t>
      </w:r>
    </w:p>
    <w:p w14:paraId="53452566" w14:textId="77777777" w:rsidR="00256EDD" w:rsidRDefault="00256EDD" w:rsidP="00256EDD">
      <w:pPr>
        <w:rPr>
          <w:color w:val="142147" w:themeColor="accent1"/>
        </w:rPr>
      </w:pPr>
      <w:r w:rsidRPr="00CD1A1B">
        <w:rPr>
          <w:rFonts w:asciiTheme="minorHAnsi" w:hAnsiTheme="minorHAnsi" w:cstheme="minorHAnsi"/>
          <w:color w:val="142147" w:themeColor="accent1"/>
        </w:rPr>
        <w:t xml:space="preserve">In the </w:t>
      </w:r>
      <w:r>
        <w:rPr>
          <w:rFonts w:asciiTheme="minorHAnsi" w:hAnsiTheme="minorHAnsi" w:cstheme="minorHAnsi"/>
          <w:color w:val="142147" w:themeColor="accent1"/>
        </w:rPr>
        <w:t>2025</w:t>
      </w:r>
      <w:r w:rsidRPr="00CD1A1B">
        <w:rPr>
          <w:rFonts w:asciiTheme="minorHAnsi" w:hAnsiTheme="minorHAnsi" w:cstheme="minorHAnsi"/>
          <w:i/>
          <w:iCs/>
          <w:color w:val="142147" w:themeColor="accent1"/>
        </w:rPr>
        <w:t xml:space="preserve"> </w:t>
      </w:r>
      <w:r w:rsidRPr="00CD1A1B">
        <w:rPr>
          <w:rFonts w:asciiTheme="minorHAnsi" w:hAnsiTheme="minorHAnsi" w:cstheme="minorHAnsi"/>
          <w:color w:val="142147" w:themeColor="accent1"/>
        </w:rPr>
        <w:t xml:space="preserve">financial year, </w:t>
      </w:r>
      <w:r>
        <w:rPr>
          <w:rFonts w:asciiTheme="minorHAnsi" w:hAnsiTheme="minorHAnsi" w:cstheme="minorHAnsi"/>
          <w:color w:val="142147" w:themeColor="accent1"/>
        </w:rPr>
        <w:t xml:space="preserve">PAA’s </w:t>
      </w:r>
      <w:r w:rsidRPr="00EB6952">
        <w:rPr>
          <w:color w:val="142147" w:themeColor="accent1"/>
        </w:rPr>
        <w:t xml:space="preserve">total global </w:t>
      </w:r>
      <w:r>
        <w:rPr>
          <w:color w:val="142147" w:themeColor="accent1"/>
        </w:rPr>
        <w:t xml:space="preserve">income </w:t>
      </w:r>
      <w:r w:rsidRPr="00EB6952">
        <w:rPr>
          <w:color w:val="142147" w:themeColor="accent1"/>
        </w:rPr>
        <w:t xml:space="preserve">tax contribution was </w:t>
      </w:r>
      <w:r w:rsidRPr="00EB6952">
        <w:rPr>
          <w:b/>
          <w:bCs/>
          <w:color w:val="142147" w:themeColor="accent1"/>
        </w:rPr>
        <w:t>AUD$23 million</w:t>
      </w:r>
      <w:r w:rsidRPr="00EB6952">
        <w:rPr>
          <w:color w:val="142147" w:themeColor="accent1"/>
        </w:rPr>
        <w:t xml:space="preserve">. Of this, </w:t>
      </w:r>
      <w:r>
        <w:rPr>
          <w:color w:val="142147" w:themeColor="accent1"/>
        </w:rPr>
        <w:t xml:space="preserve">PAA’s </w:t>
      </w:r>
      <w:r w:rsidRPr="00EB6952">
        <w:rPr>
          <w:color w:val="142147" w:themeColor="accent1"/>
        </w:rPr>
        <w:t xml:space="preserve">Australian contribution represented </w:t>
      </w:r>
      <w:r>
        <w:rPr>
          <w:color w:val="142147" w:themeColor="accent1"/>
        </w:rPr>
        <w:t>65</w:t>
      </w:r>
      <w:r w:rsidRPr="00EB6952">
        <w:rPr>
          <w:color w:val="142147" w:themeColor="accent1"/>
        </w:rPr>
        <w:t>%.</w:t>
      </w:r>
      <w:r>
        <w:rPr>
          <w:color w:val="142147" w:themeColor="accent1"/>
        </w:rPr>
        <w:t xml:space="preserve"> </w:t>
      </w:r>
    </w:p>
    <w:p w14:paraId="1EB89864" w14:textId="77777777" w:rsidR="00256EDD" w:rsidRDefault="00256EDD" w:rsidP="00256EDD">
      <w:pPr>
        <w:pStyle w:val="Bullet"/>
        <w:tabs>
          <w:tab w:val="clear" w:pos="520"/>
          <w:tab w:val="num" w:pos="567"/>
        </w:tabs>
        <w:rPr>
          <w:b/>
          <w:bCs/>
          <w:color w:val="142147" w:themeColor="accent1"/>
        </w:rPr>
      </w:pPr>
      <w:r>
        <w:rPr>
          <w:b/>
          <w:bCs/>
          <w:color w:val="142147" w:themeColor="accent1"/>
        </w:rPr>
        <w:t>[Report on</w:t>
      </w:r>
      <w:r w:rsidRPr="0065562C">
        <w:rPr>
          <w:b/>
          <w:bCs/>
          <w:color w:val="142147" w:themeColor="accent1"/>
        </w:rPr>
        <w:t xml:space="preserve"> other Australian taxes and imposts paid to Government, for example Petroleum Resources Rent Tax, royalties, excises, payroll taxes, stamp duties, fringe benefits tax and state taxes</w:t>
      </w:r>
      <w:r>
        <w:rPr>
          <w:b/>
          <w:bCs/>
          <w:color w:val="142147" w:themeColor="accent1"/>
        </w:rPr>
        <w:t xml:space="preserve">] </w:t>
      </w:r>
    </w:p>
    <w:p w14:paraId="2ABB021B" w14:textId="77777777" w:rsidR="00256EDD" w:rsidRPr="00FB4363" w:rsidRDefault="00256EDD" w:rsidP="00256EDD">
      <w:pPr>
        <w:pStyle w:val="Bullet"/>
        <w:tabs>
          <w:tab w:val="clear" w:pos="520"/>
          <w:tab w:val="num" w:pos="567"/>
        </w:tabs>
        <w:rPr>
          <w:b/>
          <w:bCs/>
          <w:color w:val="142147" w:themeColor="accent1"/>
        </w:rPr>
      </w:pPr>
      <w:r w:rsidRPr="001927AB">
        <w:rPr>
          <w:b/>
          <w:bCs/>
          <w:color w:val="142147" w:themeColor="accent1"/>
        </w:rPr>
        <w:t>[</w:t>
      </w:r>
      <w:r>
        <w:rPr>
          <w:b/>
          <w:bCs/>
          <w:color w:val="142147" w:themeColor="accent1"/>
        </w:rPr>
        <w:t>Report</w:t>
      </w:r>
      <w:r w:rsidRPr="001927AB">
        <w:rPr>
          <w:b/>
          <w:bCs/>
          <w:color w:val="142147" w:themeColor="accent1"/>
        </w:rPr>
        <w:t xml:space="preserve"> Government imposts collected by the business on behalf of others, for example, GST and Pay As You Go withholding taxes]</w:t>
      </w:r>
    </w:p>
    <w:p w14:paraId="634C8E1D" w14:textId="77777777" w:rsidR="00256EDD" w:rsidRDefault="00256EDD" w:rsidP="00256EDD">
      <w:pPr>
        <w:rPr>
          <w:color w:val="142147" w:themeColor="accent1"/>
        </w:rPr>
      </w:pPr>
      <w:r>
        <w:rPr>
          <w:noProof/>
        </w:rPr>
        <w:drawing>
          <wp:anchor distT="0" distB="0" distL="114300" distR="114300" simplePos="0" relativeHeight="251752448" behindDoc="1" locked="0" layoutInCell="1" allowOverlap="1" wp14:anchorId="2A98D587" wp14:editId="44446639">
            <wp:simplePos x="0" y="0"/>
            <wp:positionH relativeFrom="column">
              <wp:posOffset>1160780</wp:posOffset>
            </wp:positionH>
            <wp:positionV relativeFrom="paragraph">
              <wp:posOffset>893445</wp:posOffset>
            </wp:positionV>
            <wp:extent cx="1530350" cy="1403350"/>
            <wp:effectExtent l="0" t="0" r="0" b="6350"/>
            <wp:wrapTight wrapText="bothSides">
              <wp:wrapPolygon edited="0">
                <wp:start x="9142" y="0"/>
                <wp:lineTo x="5915" y="2052"/>
                <wp:lineTo x="3764" y="4105"/>
                <wp:lineTo x="0" y="6744"/>
                <wp:lineTo x="0" y="11142"/>
                <wp:lineTo x="269" y="15540"/>
                <wp:lineTo x="7529" y="18766"/>
                <wp:lineTo x="10755" y="18766"/>
                <wp:lineTo x="16402" y="21405"/>
                <wp:lineTo x="18553" y="21405"/>
                <wp:lineTo x="19359" y="19352"/>
                <wp:lineTo x="18015" y="18766"/>
                <wp:lineTo x="17208" y="18766"/>
                <wp:lineTo x="21241" y="17006"/>
                <wp:lineTo x="21241" y="9383"/>
                <wp:lineTo x="19090" y="6157"/>
                <wp:lineTo x="18015" y="4691"/>
                <wp:lineTo x="16133" y="0"/>
                <wp:lineTo x="9142" y="0"/>
              </wp:wrapPolygon>
            </wp:wrapTight>
            <wp:docPr id="103121348" name="Picture 5" descr="Australian map visual showing $85.6 million in total Australian taxes p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43693" name="Picture 5" descr="Australian map visual showing $85.6 million in total Australian taxes paid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035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C08">
        <w:rPr>
          <w:b/>
          <w:bCs/>
          <w:noProof/>
          <w:color w:val="142147" w:themeColor="accent1"/>
        </w:rPr>
        <w:drawing>
          <wp:anchor distT="0" distB="0" distL="114300" distR="114300" simplePos="0" relativeHeight="251753472" behindDoc="1" locked="0" layoutInCell="1" allowOverlap="1" wp14:anchorId="0F126BCE" wp14:editId="50BE822B">
            <wp:simplePos x="0" y="0"/>
            <wp:positionH relativeFrom="column">
              <wp:posOffset>2859405</wp:posOffset>
            </wp:positionH>
            <wp:positionV relativeFrom="paragraph">
              <wp:posOffset>64135</wp:posOffset>
            </wp:positionV>
            <wp:extent cx="3035300" cy="2098675"/>
            <wp:effectExtent l="0" t="0" r="0" b="0"/>
            <wp:wrapTight wrapText="bothSides">
              <wp:wrapPolygon edited="0">
                <wp:start x="0" y="0"/>
                <wp:lineTo x="0" y="21371"/>
                <wp:lineTo x="21419" y="21371"/>
                <wp:lineTo x="21419" y="0"/>
                <wp:lineTo x="0" y="0"/>
              </wp:wrapPolygon>
            </wp:wrapTight>
            <wp:docPr id="1646784112" name="Picture 1" descr="Table showing percentage of different Australian taxes paid by PAA Ltd for the 2025 financial year including 27% in GST, 20% in corporate income tax, 43% in pay as you go withholding and 10% in payroll tax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88066" name="Picture 1" descr="Table showing percentage of different Australian taxes paid by PAA Ltd for the 2025 financial year including 27% in GST, 20% in corporate income tax, 43% in pay as you go withholding and 10% in payroll taxes "/>
                    <pic:cNvPicPr/>
                  </pic:nvPicPr>
                  <pic:blipFill>
                    <a:blip r:embed="rId60">
                      <a:extLst>
                        <a:ext uri="{28A0092B-C50C-407E-A947-70E740481C1C}">
                          <a14:useLocalDpi xmlns:a14="http://schemas.microsoft.com/office/drawing/2010/main" val="0"/>
                        </a:ext>
                      </a:extLst>
                    </a:blip>
                    <a:stretch>
                      <a:fillRect/>
                    </a:stretch>
                  </pic:blipFill>
                  <pic:spPr>
                    <a:xfrm>
                      <a:off x="0" y="0"/>
                      <a:ext cx="3035300" cy="2098675"/>
                    </a:xfrm>
                    <a:prstGeom prst="rect">
                      <a:avLst/>
                    </a:prstGeom>
                  </pic:spPr>
                </pic:pic>
              </a:graphicData>
            </a:graphic>
            <wp14:sizeRelH relativeFrom="margin">
              <wp14:pctWidth>0</wp14:pctWidth>
            </wp14:sizeRelH>
            <wp14:sizeRelV relativeFrom="margin">
              <wp14:pctHeight>0</wp14:pctHeight>
            </wp14:sizeRelV>
          </wp:anchor>
        </w:drawing>
      </w:r>
      <w:r>
        <w:rPr>
          <w:color w:val="142147" w:themeColor="accent1"/>
        </w:rPr>
        <w:t xml:space="preserve">In addition to </w:t>
      </w:r>
      <w:r w:rsidRPr="008A13FA">
        <w:rPr>
          <w:color w:val="142147" w:themeColor="accent1"/>
        </w:rPr>
        <w:t xml:space="preserve">corporate income tax, </w:t>
      </w:r>
      <w:r>
        <w:rPr>
          <w:color w:val="142147" w:themeColor="accent1"/>
        </w:rPr>
        <w:t>PAA</w:t>
      </w:r>
      <w:r w:rsidRPr="008A13FA">
        <w:rPr>
          <w:color w:val="142147" w:themeColor="accent1"/>
        </w:rPr>
        <w:t xml:space="preserve"> Ltd collected and </w:t>
      </w:r>
      <w:r w:rsidRPr="00652422">
        <w:rPr>
          <w:color w:val="142147" w:themeColor="accent1"/>
        </w:rPr>
        <w:t xml:space="preserve">paid </w:t>
      </w:r>
      <w:r w:rsidRPr="00652422">
        <w:rPr>
          <w:b/>
          <w:bCs/>
          <w:color w:val="142147" w:themeColor="accent1"/>
        </w:rPr>
        <w:t>$17.4 million</w:t>
      </w:r>
      <w:r w:rsidRPr="00652422">
        <w:rPr>
          <w:color w:val="142147" w:themeColor="accent1"/>
        </w:rPr>
        <w:t xml:space="preserve"> in other Australian taxes, and </w:t>
      </w:r>
      <w:r w:rsidRPr="00652422">
        <w:rPr>
          <w:b/>
          <w:bCs/>
          <w:color w:val="142147" w:themeColor="accent1"/>
        </w:rPr>
        <w:t>$53.4 million</w:t>
      </w:r>
      <w:r w:rsidRPr="00652422">
        <w:rPr>
          <w:color w:val="142147" w:themeColor="accent1"/>
        </w:rPr>
        <w:t xml:space="preserve"> in</w:t>
      </w:r>
      <w:r>
        <w:rPr>
          <w:color w:val="142147" w:themeColor="accent1"/>
        </w:rPr>
        <w:t xml:space="preserve"> government imposts collected on behalf of others. </w:t>
      </w:r>
    </w:p>
    <w:p w14:paraId="0AF4D33E" w14:textId="77777777" w:rsidR="00256EDD" w:rsidRDefault="00256EDD" w:rsidP="00256EDD">
      <w:pPr>
        <w:pStyle w:val="Bullet"/>
        <w:numPr>
          <w:ilvl w:val="0"/>
          <w:numId w:val="0"/>
        </w:numPr>
        <w:rPr>
          <w:b/>
          <w:bCs/>
          <w:color w:val="142147" w:themeColor="accent1"/>
        </w:rPr>
      </w:pPr>
      <w:r>
        <w:rPr>
          <w:noProof/>
          <w:color w:val="142147" w:themeColor="accent1"/>
        </w:rPr>
        <mc:AlternateContent>
          <mc:Choice Requires="wps">
            <w:drawing>
              <wp:anchor distT="0" distB="0" distL="114300" distR="114300" simplePos="0" relativeHeight="251751424" behindDoc="0" locked="0" layoutInCell="1" allowOverlap="1" wp14:anchorId="37949EA3" wp14:editId="5B96A616">
                <wp:simplePos x="0" y="0"/>
                <wp:positionH relativeFrom="column">
                  <wp:posOffset>1424305</wp:posOffset>
                </wp:positionH>
                <wp:positionV relativeFrom="paragraph">
                  <wp:posOffset>123190</wp:posOffset>
                </wp:positionV>
                <wp:extent cx="1339850" cy="698500"/>
                <wp:effectExtent l="0" t="0" r="0" b="6350"/>
                <wp:wrapNone/>
                <wp:docPr id="409586369" name="Text Box 6"/>
                <wp:cNvGraphicFramePr/>
                <a:graphic xmlns:a="http://schemas.openxmlformats.org/drawingml/2006/main">
                  <a:graphicData uri="http://schemas.microsoft.com/office/word/2010/wordprocessingShape">
                    <wps:wsp>
                      <wps:cNvSpPr txBox="1"/>
                      <wps:spPr>
                        <a:xfrm>
                          <a:off x="0" y="0"/>
                          <a:ext cx="1339850" cy="698500"/>
                        </a:xfrm>
                        <a:prstGeom prst="rect">
                          <a:avLst/>
                        </a:prstGeom>
                        <a:noFill/>
                        <a:ln w="6350">
                          <a:noFill/>
                        </a:ln>
                      </wps:spPr>
                      <wps:txbx>
                        <w:txbxContent>
                          <w:p w14:paraId="1D877D6C" w14:textId="77777777" w:rsidR="00256EDD" w:rsidRPr="0073001A" w:rsidRDefault="00256EDD" w:rsidP="00256EDD">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85.6</w:t>
                            </w:r>
                            <w:r w:rsidRPr="0073001A">
                              <w:rPr>
                                <w:b/>
                                <w:bCs/>
                                <w:color w:val="701F4D" w:themeColor="accent2"/>
                                <w:sz w:val="32"/>
                                <w:szCs w:val="32"/>
                              </w:rPr>
                              <w:t xml:space="preserve">m </w:t>
                            </w:r>
                          </w:p>
                          <w:p w14:paraId="71E35A48" w14:textId="77777777" w:rsidR="00256EDD" w:rsidRPr="001C594E" w:rsidRDefault="00256EDD" w:rsidP="00256EDD">
                            <w:pPr>
                              <w:spacing w:before="0"/>
                              <w:rPr>
                                <w:color w:val="142147" w:themeColor="accent1"/>
                                <w:sz w:val="18"/>
                                <w:szCs w:val="18"/>
                              </w:rPr>
                            </w:pPr>
                            <w:r w:rsidRPr="001C594E">
                              <w:rPr>
                                <w:color w:val="142147" w:themeColor="accent1"/>
                                <w:sz w:val="18"/>
                                <w:szCs w:val="18"/>
                              </w:rPr>
                              <w:t xml:space="preserve">Total </w:t>
                            </w:r>
                            <w:r>
                              <w:rPr>
                                <w:color w:val="142147" w:themeColor="accent1"/>
                                <w:sz w:val="18"/>
                                <w:szCs w:val="18"/>
                              </w:rPr>
                              <w:t>Australian taxes paid</w:t>
                            </w:r>
                            <w:r w:rsidRPr="001C594E">
                              <w:rPr>
                                <w:color w:val="142147" w:themeColor="accent1"/>
                                <w:sz w:val="18"/>
                                <w:szCs w:val="18"/>
                              </w:rPr>
                              <w:t xml:space="preserve"> </w:t>
                            </w:r>
                          </w:p>
                          <w:p w14:paraId="3A0B6DA3" w14:textId="77777777" w:rsidR="00256EDD" w:rsidRPr="001C594E" w:rsidRDefault="00256EDD" w:rsidP="00256EDD">
                            <w:pPr>
                              <w:spacing w:before="0"/>
                              <w:rPr>
                                <w:color w:val="142147"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9EA3" id="_x0000_s1031" type="#_x0000_t202" style="position:absolute;margin-left:112.15pt;margin-top:9.7pt;width:105.5pt;height: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UyFgIAADM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" filled="f" stroked="f" strokeweight=".5pt">
                <v:textbox>
                  <w:txbxContent>
                    <w:p w14:paraId="1D877D6C" w14:textId="77777777" w:rsidR="00256EDD" w:rsidRPr="0073001A" w:rsidRDefault="00256EDD" w:rsidP="00256EDD">
                      <w:pPr>
                        <w:spacing w:after="0"/>
                        <w:rPr>
                          <w:b/>
                          <w:bCs/>
                          <w:color w:val="701F4D" w:themeColor="accent2"/>
                          <w:sz w:val="32"/>
                          <w:szCs w:val="32"/>
                        </w:rPr>
                      </w:pPr>
                      <w:r w:rsidRPr="0073001A">
                        <w:rPr>
                          <w:b/>
                          <w:bCs/>
                          <w:color w:val="701F4D" w:themeColor="accent2"/>
                          <w:sz w:val="32"/>
                          <w:szCs w:val="32"/>
                        </w:rPr>
                        <w:t>$</w:t>
                      </w:r>
                      <w:r>
                        <w:rPr>
                          <w:b/>
                          <w:bCs/>
                          <w:color w:val="701F4D" w:themeColor="accent2"/>
                          <w:sz w:val="32"/>
                          <w:szCs w:val="32"/>
                        </w:rPr>
                        <w:t>85.6</w:t>
                      </w:r>
                      <w:r w:rsidRPr="0073001A">
                        <w:rPr>
                          <w:b/>
                          <w:bCs/>
                          <w:color w:val="701F4D" w:themeColor="accent2"/>
                          <w:sz w:val="32"/>
                          <w:szCs w:val="32"/>
                        </w:rPr>
                        <w:t xml:space="preserve">m </w:t>
                      </w:r>
                    </w:p>
                    <w:p w14:paraId="71E35A48" w14:textId="77777777" w:rsidR="00256EDD" w:rsidRPr="001C594E" w:rsidRDefault="00256EDD" w:rsidP="00256EDD">
                      <w:pPr>
                        <w:spacing w:before="0"/>
                        <w:rPr>
                          <w:color w:val="142147" w:themeColor="accent1"/>
                          <w:sz w:val="18"/>
                          <w:szCs w:val="18"/>
                        </w:rPr>
                      </w:pPr>
                      <w:r w:rsidRPr="001C594E">
                        <w:rPr>
                          <w:color w:val="142147" w:themeColor="accent1"/>
                          <w:sz w:val="18"/>
                          <w:szCs w:val="18"/>
                        </w:rPr>
                        <w:t xml:space="preserve">Total </w:t>
                      </w:r>
                      <w:r>
                        <w:rPr>
                          <w:color w:val="142147" w:themeColor="accent1"/>
                          <w:sz w:val="18"/>
                          <w:szCs w:val="18"/>
                        </w:rPr>
                        <w:t>Australian taxes paid</w:t>
                      </w:r>
                      <w:r w:rsidRPr="001C594E">
                        <w:rPr>
                          <w:color w:val="142147" w:themeColor="accent1"/>
                          <w:sz w:val="18"/>
                          <w:szCs w:val="18"/>
                        </w:rPr>
                        <w:t xml:space="preserve"> </w:t>
                      </w:r>
                    </w:p>
                    <w:p w14:paraId="3A0B6DA3" w14:textId="77777777" w:rsidR="00256EDD" w:rsidRPr="001C594E" w:rsidRDefault="00256EDD" w:rsidP="00256EDD">
                      <w:pPr>
                        <w:spacing w:before="0"/>
                        <w:rPr>
                          <w:color w:val="142147" w:themeColor="accent1"/>
                          <w:sz w:val="18"/>
                          <w:szCs w:val="18"/>
                        </w:rPr>
                      </w:pPr>
                    </w:p>
                  </w:txbxContent>
                </v:textbox>
              </v:shape>
            </w:pict>
          </mc:Fallback>
        </mc:AlternateContent>
      </w:r>
      <w:r>
        <w:rPr>
          <w:color w:val="142147" w:themeColor="accent1"/>
        </w:rPr>
        <w:t>These taxes are summarised in the below table.</w:t>
      </w:r>
      <w:r>
        <w:rPr>
          <w:noProof/>
        </w:rPr>
        <w:t xml:space="preserve"> </w:t>
      </w:r>
    </w:p>
    <w:p w14:paraId="6D58A9CB" w14:textId="77777777" w:rsidR="00256EDD" w:rsidRDefault="00256EDD" w:rsidP="00256EDD">
      <w:pPr>
        <w:pStyle w:val="Bullet"/>
        <w:numPr>
          <w:ilvl w:val="0"/>
          <w:numId w:val="0"/>
        </w:numPr>
        <w:rPr>
          <w:b/>
          <w:bCs/>
          <w:color w:val="142147" w:themeColor="accent1"/>
        </w:rPr>
      </w:pPr>
    </w:p>
    <w:p w14:paraId="7D76BA64" w14:textId="77777777" w:rsidR="00256EDD" w:rsidRDefault="00256EDD" w:rsidP="00256EDD">
      <w:pPr>
        <w:pStyle w:val="Bullet"/>
        <w:numPr>
          <w:ilvl w:val="0"/>
          <w:numId w:val="0"/>
        </w:numPr>
        <w:rPr>
          <w:b/>
          <w:bCs/>
          <w:color w:val="142147" w:themeColor="accent1"/>
        </w:rPr>
      </w:pPr>
    </w:p>
    <w:p w14:paraId="4ED99307" w14:textId="77777777" w:rsidR="00256EDD" w:rsidRDefault="00256EDD" w:rsidP="00256EDD">
      <w:pPr>
        <w:pStyle w:val="Bullet"/>
        <w:numPr>
          <w:ilvl w:val="0"/>
          <w:numId w:val="0"/>
        </w:numPr>
        <w:rPr>
          <w:b/>
          <w:bCs/>
          <w:color w:val="142147" w:themeColor="accent1"/>
        </w:rPr>
      </w:pPr>
    </w:p>
    <w:p w14:paraId="0BEA4166" w14:textId="77777777" w:rsidR="00256EDD" w:rsidRPr="00FB4363" w:rsidRDefault="00256EDD" w:rsidP="00256EDD">
      <w:pPr>
        <w:pStyle w:val="Bullet"/>
        <w:tabs>
          <w:tab w:val="clear" w:pos="520"/>
        </w:tabs>
        <w:spacing w:after="0"/>
        <w:ind w:left="0" w:firstLine="0"/>
        <w:rPr>
          <w:b/>
          <w:bCs/>
          <w:color w:val="142147" w:themeColor="accent1"/>
          <w:sz w:val="10"/>
          <w:szCs w:val="10"/>
        </w:rPr>
      </w:pPr>
    </w:p>
    <w:tbl>
      <w:tblPr>
        <w:tblStyle w:val="PlainTable5"/>
        <w:tblW w:w="0" w:type="auto"/>
        <w:tblLook w:val="04A0" w:firstRow="1" w:lastRow="0" w:firstColumn="1" w:lastColumn="0" w:noHBand="0" w:noVBand="1"/>
      </w:tblPr>
      <w:tblGrid>
        <w:gridCol w:w="7326"/>
        <w:gridCol w:w="2089"/>
      </w:tblGrid>
      <w:tr w:rsidR="00256EDD" w:rsidRPr="001738BD" w14:paraId="6E492E12" w14:textId="77777777" w:rsidTr="008E24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26" w:type="dxa"/>
            <w:tcBorders>
              <w:bottom w:val="single" w:sz="4" w:space="0" w:color="142147"/>
              <w:right w:val="single" w:sz="4" w:space="0" w:color="701F4D"/>
            </w:tcBorders>
            <w:shd w:val="clear" w:color="auto" w:fill="142147" w:themeFill="accent1"/>
          </w:tcPr>
          <w:p w14:paraId="34DB8EF7" w14:textId="77777777" w:rsidR="00256EDD" w:rsidRPr="00E3260B" w:rsidRDefault="00256EDD" w:rsidP="00256EDD">
            <w:pPr>
              <w:jc w:val="left"/>
              <w:rPr>
                <w:rFonts w:asciiTheme="minorHAnsi" w:hAnsiTheme="minorHAnsi" w:cstheme="minorHAnsi"/>
                <w:b/>
                <w:bCs/>
                <w:i w:val="0"/>
                <w:iCs w:val="0"/>
                <w:color w:val="FFFFFF" w:themeColor="background1"/>
                <w:sz w:val="24"/>
                <w:szCs w:val="24"/>
              </w:rPr>
            </w:pPr>
            <w:r w:rsidRPr="00E3260B">
              <w:rPr>
                <w:rFonts w:asciiTheme="minorHAnsi" w:hAnsiTheme="minorHAnsi" w:cstheme="minorHAnsi"/>
                <w:b/>
                <w:bCs/>
                <w:i w:val="0"/>
                <w:iCs w:val="0"/>
                <w:color w:val="FFFFFF" w:themeColor="background1"/>
                <w:sz w:val="24"/>
                <w:szCs w:val="24"/>
              </w:rPr>
              <w:t>Total Australian tax contribution summary</w:t>
            </w:r>
          </w:p>
        </w:tc>
        <w:tc>
          <w:tcPr>
            <w:tcW w:w="2089" w:type="dxa"/>
            <w:tcBorders>
              <w:left w:val="single" w:sz="4" w:space="0" w:color="701F4D"/>
              <w:bottom w:val="single" w:sz="4" w:space="0" w:color="142147"/>
            </w:tcBorders>
            <w:shd w:val="clear" w:color="auto" w:fill="142147" w:themeFill="accent1"/>
          </w:tcPr>
          <w:p w14:paraId="66087A50" w14:textId="77777777" w:rsidR="00256EDD" w:rsidRPr="00E3260B" w:rsidRDefault="00256EDD" w:rsidP="008E24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FFFFFF" w:themeColor="background1"/>
                <w:sz w:val="24"/>
                <w:szCs w:val="24"/>
              </w:rPr>
            </w:pPr>
            <w:r>
              <w:rPr>
                <w:rFonts w:asciiTheme="minorHAnsi" w:hAnsiTheme="minorHAnsi" w:cstheme="minorHAnsi"/>
                <w:b/>
                <w:bCs/>
                <w:i w:val="0"/>
                <w:iCs w:val="0"/>
                <w:color w:val="FFFFFF" w:themeColor="background1"/>
                <w:sz w:val="24"/>
                <w:szCs w:val="24"/>
              </w:rPr>
              <w:t>2024-25</w:t>
            </w:r>
            <w:r w:rsidRPr="00E3260B">
              <w:rPr>
                <w:rFonts w:asciiTheme="minorHAnsi" w:hAnsiTheme="minorHAnsi" w:cstheme="minorHAnsi"/>
                <w:b/>
                <w:bCs/>
                <w:i w:val="0"/>
                <w:iCs w:val="0"/>
                <w:color w:val="FFFFFF" w:themeColor="background1"/>
                <w:sz w:val="24"/>
                <w:szCs w:val="24"/>
              </w:rPr>
              <w:t xml:space="preserve"> FY ($,000)</w:t>
            </w:r>
          </w:p>
        </w:tc>
      </w:tr>
      <w:tr w:rsidR="00256EDD" w:rsidRPr="00797B9C" w14:paraId="30CBBFC7"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5" w:type="dxa"/>
            <w:gridSpan w:val="2"/>
            <w:tcBorders>
              <w:top w:val="single" w:sz="4" w:space="0" w:color="142147"/>
            </w:tcBorders>
            <w:shd w:val="clear" w:color="auto" w:fill="701F4D" w:themeFill="accent2"/>
          </w:tcPr>
          <w:p w14:paraId="08794EAC" w14:textId="77777777" w:rsidR="00256EDD" w:rsidRPr="00214A87" w:rsidRDefault="00256EDD" w:rsidP="008E2424">
            <w:pPr>
              <w:jc w:val="left"/>
              <w:rPr>
                <w:rFonts w:asciiTheme="minorHAnsi" w:hAnsiTheme="minorHAnsi" w:cstheme="minorHAnsi"/>
                <w:b/>
                <w:i w:val="0"/>
                <w:iCs w:val="0"/>
                <w:color w:val="FFFFFF" w:themeColor="background1"/>
                <w:sz w:val="22"/>
              </w:rPr>
            </w:pPr>
            <w:r w:rsidRPr="00214A87">
              <w:rPr>
                <w:rFonts w:asciiTheme="minorHAnsi" w:hAnsiTheme="minorHAnsi" w:cstheme="minorHAnsi"/>
                <w:b/>
                <w:i w:val="0"/>
                <w:iCs w:val="0"/>
                <w:color w:val="FFFFFF" w:themeColor="background1"/>
                <w:sz w:val="22"/>
              </w:rPr>
              <w:t xml:space="preserve">Taxes borne by </w:t>
            </w:r>
            <w:r>
              <w:rPr>
                <w:rFonts w:asciiTheme="minorHAnsi" w:hAnsiTheme="minorHAnsi" w:cstheme="minorHAnsi"/>
                <w:b/>
                <w:i w:val="0"/>
                <w:iCs w:val="0"/>
                <w:color w:val="FFFFFF" w:themeColor="background1"/>
                <w:sz w:val="22"/>
              </w:rPr>
              <w:t>PAA</w:t>
            </w:r>
            <w:r w:rsidRPr="00214A87">
              <w:rPr>
                <w:rFonts w:asciiTheme="minorHAnsi" w:hAnsiTheme="minorHAnsi" w:cstheme="minorHAnsi"/>
                <w:b/>
                <w:i w:val="0"/>
                <w:iCs w:val="0"/>
                <w:color w:val="FFFFFF" w:themeColor="background1"/>
                <w:sz w:val="22"/>
              </w:rPr>
              <w:t xml:space="preserve"> Ltd</w:t>
            </w:r>
          </w:p>
        </w:tc>
      </w:tr>
      <w:tr w:rsidR="00256EDD" w:rsidRPr="001738BD" w14:paraId="2BFECF9C"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bottom w:val="single" w:sz="4" w:space="0" w:color="701F4D" w:themeColor="accent2"/>
              <w:right w:val="single" w:sz="4" w:space="0" w:color="701F4D"/>
            </w:tcBorders>
          </w:tcPr>
          <w:p w14:paraId="1388FDFA" w14:textId="77777777" w:rsidR="00256EDD" w:rsidRPr="001738BD" w:rsidRDefault="00256EDD" w:rsidP="008E2424">
            <w:pPr>
              <w:jc w:val="left"/>
              <w:rPr>
                <w:rFonts w:asciiTheme="minorHAnsi" w:hAnsiTheme="minorHAnsi" w:cstheme="minorHAnsi"/>
                <w:i w:val="0"/>
                <w:iCs w:val="0"/>
                <w:color w:val="142147" w:themeColor="accent1"/>
              </w:rPr>
            </w:pPr>
            <w:r w:rsidRPr="001738BD">
              <w:rPr>
                <w:rFonts w:asciiTheme="minorHAnsi" w:hAnsiTheme="minorHAnsi" w:cstheme="minorHAnsi"/>
                <w:i w:val="0"/>
                <w:iCs w:val="0"/>
                <w:color w:val="142147" w:themeColor="accent1"/>
                <w:sz w:val="22"/>
              </w:rPr>
              <w:t>Corporate income tax</w:t>
            </w:r>
          </w:p>
        </w:tc>
        <w:tc>
          <w:tcPr>
            <w:tcW w:w="2089" w:type="dxa"/>
            <w:tcBorders>
              <w:left w:val="single" w:sz="4" w:space="0" w:color="701F4D"/>
              <w:bottom w:val="single" w:sz="4" w:space="0" w:color="701F4D" w:themeColor="accent2"/>
            </w:tcBorders>
            <w:shd w:val="clear" w:color="auto" w:fill="F6F2ED" w:themeFill="accent3" w:themeFillTint="33"/>
          </w:tcPr>
          <w:p w14:paraId="09841AA5" w14:textId="77777777" w:rsidR="00256EDD" w:rsidRPr="001B3327"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1B3327">
              <w:rPr>
                <w:rFonts w:asciiTheme="minorHAnsi" w:hAnsiTheme="minorHAnsi" w:cstheme="minorHAnsi"/>
                <w:color w:val="142147" w:themeColor="accent1"/>
              </w:rPr>
              <w:t>14,898</w:t>
            </w:r>
          </w:p>
        </w:tc>
      </w:tr>
      <w:tr w:rsidR="00256EDD" w:rsidRPr="001738BD" w14:paraId="41FE15E8"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cBorders>
          </w:tcPr>
          <w:p w14:paraId="696F58D4" w14:textId="77777777" w:rsidR="00256EDD" w:rsidRPr="001738BD" w:rsidRDefault="00256EDD" w:rsidP="008E2424">
            <w:pPr>
              <w:jc w:val="left"/>
              <w:rPr>
                <w:rFonts w:asciiTheme="minorHAnsi" w:hAnsiTheme="minorHAnsi" w:cstheme="minorHAnsi"/>
                <w:i w:val="0"/>
                <w:iCs w:val="0"/>
                <w:color w:val="142147" w:themeColor="accent1"/>
                <w:sz w:val="22"/>
              </w:rPr>
            </w:pPr>
            <w:r w:rsidRPr="001738BD">
              <w:rPr>
                <w:rFonts w:asciiTheme="minorHAnsi" w:hAnsiTheme="minorHAnsi" w:cstheme="minorHAnsi"/>
                <w:i w:val="0"/>
                <w:iCs w:val="0"/>
                <w:color w:val="142147" w:themeColor="accent1"/>
                <w:sz w:val="22"/>
              </w:rPr>
              <w:t>Fringe benefit</w:t>
            </w:r>
            <w:r>
              <w:rPr>
                <w:rFonts w:asciiTheme="minorHAnsi" w:hAnsiTheme="minorHAnsi" w:cstheme="minorHAnsi"/>
                <w:i w:val="0"/>
                <w:iCs w:val="0"/>
                <w:color w:val="142147" w:themeColor="accent1"/>
                <w:sz w:val="22"/>
              </w:rPr>
              <w:t>s</w:t>
            </w:r>
            <w:r w:rsidRPr="001738BD">
              <w:rPr>
                <w:rFonts w:asciiTheme="minorHAnsi" w:hAnsiTheme="minorHAnsi" w:cstheme="minorHAnsi"/>
                <w:i w:val="0"/>
                <w:iCs w:val="0"/>
                <w:color w:val="142147" w:themeColor="accent1"/>
                <w:sz w:val="22"/>
              </w:rPr>
              <w:t xml:space="preserve"> tax </w:t>
            </w:r>
            <w:r>
              <w:rPr>
                <w:rFonts w:asciiTheme="minorHAnsi" w:hAnsiTheme="minorHAnsi" w:cstheme="minorHAnsi"/>
                <w:i w:val="0"/>
                <w:iCs w:val="0"/>
                <w:color w:val="142147" w:themeColor="accent1"/>
                <w:sz w:val="22"/>
              </w:rPr>
              <w:t>(FBT)</w:t>
            </w:r>
          </w:p>
        </w:tc>
        <w:tc>
          <w:tcPr>
            <w:tcW w:w="2089"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6FAFAFF4" w14:textId="77777777" w:rsidR="00256EDD" w:rsidRPr="003F1062" w:rsidRDefault="00256EDD"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600</w:t>
            </w:r>
          </w:p>
        </w:tc>
      </w:tr>
      <w:tr w:rsidR="00256EDD" w:rsidRPr="001738BD" w14:paraId="6000D2FE"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cBorders>
          </w:tcPr>
          <w:p w14:paraId="4B9B3F45" w14:textId="77777777" w:rsidR="00256EDD" w:rsidRPr="001738BD" w:rsidRDefault="00256EDD" w:rsidP="008E2424">
            <w:pPr>
              <w:jc w:val="left"/>
              <w:rPr>
                <w:rFonts w:asciiTheme="minorHAnsi" w:hAnsiTheme="minorHAnsi" w:cstheme="minorHAnsi"/>
                <w:i w:val="0"/>
                <w:iCs w:val="0"/>
                <w:color w:val="142147" w:themeColor="accent1"/>
              </w:rPr>
            </w:pPr>
            <w:r>
              <w:rPr>
                <w:rFonts w:asciiTheme="minorHAnsi" w:hAnsiTheme="minorHAnsi" w:cstheme="minorHAnsi"/>
                <w:i w:val="0"/>
                <w:iCs w:val="0"/>
                <w:color w:val="142147" w:themeColor="accent1"/>
                <w:sz w:val="22"/>
              </w:rPr>
              <w:t>Payroll taxes</w:t>
            </w:r>
          </w:p>
        </w:tc>
        <w:tc>
          <w:tcPr>
            <w:tcW w:w="2089"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1DD719AD" w14:textId="77777777" w:rsidR="00256EDD" w:rsidRPr="003F1062"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7,233</w:t>
            </w:r>
          </w:p>
        </w:tc>
      </w:tr>
      <w:tr w:rsidR="00256EDD" w:rsidRPr="001738BD" w14:paraId="354EAE85"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cBorders>
          </w:tcPr>
          <w:p w14:paraId="1AAB4F9D" w14:textId="77777777" w:rsidR="00256EDD" w:rsidRPr="001738BD" w:rsidRDefault="00256EDD" w:rsidP="008E2424">
            <w:pPr>
              <w:jc w:val="left"/>
              <w:rPr>
                <w:rFonts w:asciiTheme="minorHAnsi" w:hAnsiTheme="minorHAnsi" w:cstheme="minorHAnsi"/>
                <w:i w:val="0"/>
                <w:iCs w:val="0"/>
                <w:color w:val="142147" w:themeColor="accent1"/>
              </w:rPr>
            </w:pPr>
            <w:r w:rsidRPr="00797B9C">
              <w:rPr>
                <w:rFonts w:asciiTheme="minorHAnsi" w:hAnsiTheme="minorHAnsi" w:cstheme="minorHAnsi"/>
                <w:i w:val="0"/>
                <w:iCs w:val="0"/>
                <w:color w:val="142147" w:themeColor="accent1"/>
                <w:sz w:val="22"/>
              </w:rPr>
              <w:t>Property taxes</w:t>
            </w:r>
            <w:r>
              <w:rPr>
                <w:rFonts w:asciiTheme="minorHAnsi" w:hAnsiTheme="minorHAnsi" w:cstheme="minorHAnsi"/>
                <w:i w:val="0"/>
                <w:iCs w:val="0"/>
                <w:color w:val="142147" w:themeColor="accent1"/>
              </w:rPr>
              <w:t xml:space="preserve"> </w:t>
            </w:r>
          </w:p>
        </w:tc>
        <w:tc>
          <w:tcPr>
            <w:tcW w:w="2089"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3919FEBF" w14:textId="77777777" w:rsidR="00256EDD" w:rsidRPr="003F1062" w:rsidRDefault="00256EDD"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5,800</w:t>
            </w:r>
          </w:p>
        </w:tc>
      </w:tr>
      <w:tr w:rsidR="00256EDD" w:rsidRPr="001738BD" w14:paraId="5B706A84"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hemeColor="accent2"/>
            </w:tcBorders>
          </w:tcPr>
          <w:p w14:paraId="2689E295" w14:textId="77777777" w:rsidR="00256EDD" w:rsidRPr="001738BD" w:rsidRDefault="00256EDD" w:rsidP="008E2424">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 xml:space="preserve">Stamp duty </w:t>
            </w:r>
          </w:p>
        </w:tc>
        <w:tc>
          <w:tcPr>
            <w:tcW w:w="2089"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12C645CC" w14:textId="77777777" w:rsidR="00256EDD" w:rsidRPr="003F1062"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1,200</w:t>
            </w:r>
          </w:p>
        </w:tc>
      </w:tr>
      <w:tr w:rsidR="00256EDD" w:rsidRPr="001738BD" w14:paraId="35F17278"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hemeColor="accent2"/>
            </w:tcBorders>
          </w:tcPr>
          <w:p w14:paraId="02B327C4" w14:textId="77777777" w:rsidR="00256EDD" w:rsidRDefault="00256EDD" w:rsidP="008E2424">
            <w:pPr>
              <w:jc w:val="left"/>
              <w:rPr>
                <w:rFonts w:asciiTheme="minorHAnsi" w:hAnsiTheme="minorHAnsi" w:cstheme="minorHAnsi"/>
                <w:i w:val="0"/>
                <w:iCs w:val="0"/>
                <w:color w:val="142147" w:themeColor="accent1"/>
              </w:rPr>
            </w:pPr>
            <w:r w:rsidRPr="0027786A">
              <w:rPr>
                <w:rFonts w:asciiTheme="minorHAnsi" w:hAnsiTheme="minorHAnsi" w:cstheme="minorHAnsi"/>
                <w:i w:val="0"/>
                <w:iCs w:val="0"/>
                <w:color w:val="142147" w:themeColor="accent1"/>
                <w:sz w:val="22"/>
              </w:rPr>
              <w:t>Other local taxes and levies</w:t>
            </w:r>
            <w:r>
              <w:rPr>
                <w:rFonts w:asciiTheme="minorHAnsi" w:hAnsiTheme="minorHAnsi" w:cstheme="minorHAnsi"/>
                <w:i w:val="0"/>
                <w:iCs w:val="0"/>
                <w:color w:val="142147" w:themeColor="accent1"/>
              </w:rPr>
              <w:t xml:space="preserve"> </w:t>
            </w:r>
          </w:p>
        </w:tc>
        <w:tc>
          <w:tcPr>
            <w:tcW w:w="2089" w:type="dxa"/>
            <w:tcBorders>
              <w:top w:val="single" w:sz="4" w:space="0" w:color="701F4D" w:themeColor="accent2"/>
              <w:left w:val="single" w:sz="4" w:space="0" w:color="701F4D" w:themeColor="accent2"/>
              <w:bottom w:val="single" w:sz="4" w:space="0" w:color="701F4D" w:themeColor="accent2"/>
            </w:tcBorders>
            <w:shd w:val="clear" w:color="auto" w:fill="F6F2ED" w:themeFill="accent3" w:themeFillTint="33"/>
          </w:tcPr>
          <w:p w14:paraId="2E094D91" w14:textId="77777777" w:rsidR="00256EDD" w:rsidRDefault="00256EDD"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2,581</w:t>
            </w:r>
          </w:p>
        </w:tc>
      </w:tr>
      <w:tr w:rsidR="00256EDD" w:rsidRPr="001738BD" w14:paraId="0614026B"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right w:val="single" w:sz="4" w:space="0" w:color="701F4D" w:themeColor="accent2"/>
            </w:tcBorders>
          </w:tcPr>
          <w:p w14:paraId="0AC13851" w14:textId="77777777" w:rsidR="00256EDD" w:rsidRPr="00214A87" w:rsidRDefault="00256EDD" w:rsidP="008E2424">
            <w:pPr>
              <w:jc w:val="left"/>
              <w:rPr>
                <w:rFonts w:asciiTheme="minorHAnsi" w:hAnsiTheme="minorHAnsi" w:cstheme="minorHAnsi"/>
                <w:i w:val="0"/>
                <w:iCs w:val="0"/>
                <w:color w:val="142147" w:themeColor="accent1"/>
              </w:rPr>
            </w:pPr>
            <w:r w:rsidRPr="00214A87">
              <w:rPr>
                <w:rFonts w:asciiTheme="minorHAnsi" w:hAnsiTheme="minorHAnsi" w:cstheme="minorHAnsi"/>
                <w:b/>
                <w:i w:val="0"/>
                <w:iCs w:val="0"/>
                <w:color w:val="142147" w:themeColor="accent1"/>
                <w:sz w:val="22"/>
                <w:szCs w:val="18"/>
              </w:rPr>
              <w:t xml:space="preserve">Total taxes borne by </w:t>
            </w:r>
            <w:r>
              <w:rPr>
                <w:rFonts w:asciiTheme="minorHAnsi" w:hAnsiTheme="minorHAnsi" w:cstheme="minorHAnsi"/>
                <w:b/>
                <w:i w:val="0"/>
                <w:iCs w:val="0"/>
                <w:color w:val="142147" w:themeColor="accent1"/>
                <w:sz w:val="22"/>
                <w:szCs w:val="18"/>
              </w:rPr>
              <w:t>PAA</w:t>
            </w:r>
            <w:r w:rsidRPr="00214A87">
              <w:rPr>
                <w:rFonts w:asciiTheme="minorHAnsi" w:hAnsiTheme="minorHAnsi" w:cstheme="minorHAnsi"/>
                <w:b/>
                <w:i w:val="0"/>
                <w:iCs w:val="0"/>
                <w:color w:val="142147" w:themeColor="accent1"/>
                <w:sz w:val="22"/>
                <w:szCs w:val="18"/>
              </w:rPr>
              <w:t xml:space="preserve"> Ltd in Australia</w:t>
            </w:r>
            <w:r w:rsidRPr="00214A87">
              <w:rPr>
                <w:rFonts w:asciiTheme="minorHAnsi" w:hAnsiTheme="minorHAnsi" w:cstheme="minorHAnsi"/>
                <w:i w:val="0"/>
                <w:iCs w:val="0"/>
                <w:color w:val="142147" w:themeColor="accent1"/>
                <w:sz w:val="22"/>
                <w:szCs w:val="18"/>
              </w:rPr>
              <w:t xml:space="preserve"> </w:t>
            </w:r>
          </w:p>
        </w:tc>
        <w:tc>
          <w:tcPr>
            <w:tcW w:w="2089" w:type="dxa"/>
            <w:tcBorders>
              <w:top w:val="single" w:sz="4" w:space="0" w:color="701F4D" w:themeColor="accent2"/>
              <w:left w:val="single" w:sz="4" w:space="0" w:color="701F4D" w:themeColor="accent2"/>
            </w:tcBorders>
            <w:shd w:val="clear" w:color="auto" w:fill="F6F2ED" w:themeFill="accent3" w:themeFillTint="33"/>
          </w:tcPr>
          <w:p w14:paraId="319A4349" w14:textId="77777777" w:rsidR="00256EDD" w:rsidRPr="003F1062"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32,312</w:t>
            </w:r>
          </w:p>
        </w:tc>
      </w:tr>
      <w:tr w:rsidR="00256EDD" w:rsidRPr="001738BD" w14:paraId="404ED544"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5" w:type="dxa"/>
            <w:gridSpan w:val="2"/>
            <w:shd w:val="clear" w:color="auto" w:fill="701F4D" w:themeFill="accent2"/>
          </w:tcPr>
          <w:p w14:paraId="48AD6D81" w14:textId="77777777" w:rsidR="00256EDD" w:rsidRPr="00214A87" w:rsidRDefault="00256EDD" w:rsidP="008E2424">
            <w:pPr>
              <w:jc w:val="left"/>
              <w:rPr>
                <w:rFonts w:asciiTheme="minorHAnsi" w:hAnsiTheme="minorHAnsi" w:cstheme="minorHAnsi"/>
                <w:i w:val="0"/>
                <w:iCs w:val="0"/>
                <w:color w:val="142147" w:themeColor="accent1"/>
                <w:sz w:val="22"/>
                <w:szCs w:val="18"/>
              </w:rPr>
            </w:pPr>
            <w:r w:rsidRPr="00214A87">
              <w:rPr>
                <w:rFonts w:asciiTheme="minorHAnsi" w:hAnsiTheme="minorHAnsi" w:cstheme="minorHAnsi"/>
                <w:b/>
                <w:i w:val="0"/>
                <w:iCs w:val="0"/>
                <w:color w:val="FFFFFF" w:themeColor="background1"/>
                <w:sz w:val="22"/>
                <w:szCs w:val="18"/>
              </w:rPr>
              <w:t xml:space="preserve">Taxes collected </w:t>
            </w:r>
            <w:r>
              <w:rPr>
                <w:rFonts w:asciiTheme="minorHAnsi" w:hAnsiTheme="minorHAnsi" w:cstheme="minorHAnsi"/>
                <w:b/>
                <w:i w:val="0"/>
                <w:iCs w:val="0"/>
                <w:color w:val="FFFFFF" w:themeColor="background1"/>
                <w:sz w:val="22"/>
                <w:szCs w:val="18"/>
              </w:rPr>
              <w:t xml:space="preserve">by PAA Ltd </w:t>
            </w:r>
            <w:r w:rsidRPr="00214A87">
              <w:rPr>
                <w:rFonts w:asciiTheme="minorHAnsi" w:hAnsiTheme="minorHAnsi" w:cstheme="minorHAnsi"/>
                <w:b/>
                <w:i w:val="0"/>
                <w:iCs w:val="0"/>
                <w:color w:val="FFFFFF" w:themeColor="background1"/>
                <w:sz w:val="22"/>
                <w:szCs w:val="18"/>
              </w:rPr>
              <w:t xml:space="preserve">on behalf of others </w:t>
            </w:r>
          </w:p>
        </w:tc>
      </w:tr>
      <w:tr w:rsidR="00256EDD" w:rsidRPr="001738BD" w14:paraId="020C76D2"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bottom w:val="single" w:sz="4" w:space="0" w:color="701F4D" w:themeColor="accent2"/>
              <w:right w:val="single" w:sz="4" w:space="0" w:color="701F4D"/>
            </w:tcBorders>
          </w:tcPr>
          <w:p w14:paraId="2B585EA8" w14:textId="77777777" w:rsidR="00256EDD" w:rsidRDefault="00256EDD" w:rsidP="008E2424">
            <w:pPr>
              <w:jc w:val="left"/>
              <w:rPr>
                <w:rFonts w:asciiTheme="minorHAnsi" w:hAnsiTheme="minorHAnsi" w:cstheme="minorHAnsi"/>
                <w:i w:val="0"/>
                <w:iCs w:val="0"/>
                <w:color w:val="142147" w:themeColor="accent1"/>
              </w:rPr>
            </w:pPr>
            <w:r>
              <w:rPr>
                <w:rFonts w:asciiTheme="minorHAnsi" w:hAnsiTheme="minorHAnsi" w:cstheme="minorHAnsi"/>
                <w:i w:val="0"/>
                <w:iCs w:val="0"/>
                <w:color w:val="142147" w:themeColor="accent1"/>
                <w:sz w:val="22"/>
              </w:rPr>
              <w:t xml:space="preserve">Net GST </w:t>
            </w:r>
          </w:p>
        </w:tc>
        <w:tc>
          <w:tcPr>
            <w:tcW w:w="2089" w:type="dxa"/>
            <w:tcBorders>
              <w:left w:val="single" w:sz="4" w:space="0" w:color="701F4D"/>
              <w:bottom w:val="single" w:sz="4" w:space="0" w:color="701F4D" w:themeColor="accent2"/>
            </w:tcBorders>
            <w:shd w:val="clear" w:color="auto" w:fill="F6F2ED" w:themeFill="accent3" w:themeFillTint="33"/>
          </w:tcPr>
          <w:p w14:paraId="78341B69" w14:textId="77777777" w:rsidR="00256EDD" w:rsidRPr="003F1062"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20,467</w:t>
            </w:r>
          </w:p>
        </w:tc>
      </w:tr>
      <w:tr w:rsidR="00256EDD" w:rsidRPr="001738BD" w14:paraId="1A3D25AD" w14:textId="77777777" w:rsidTr="008E2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cBorders>
          </w:tcPr>
          <w:p w14:paraId="33370A84" w14:textId="77777777" w:rsidR="00256EDD" w:rsidRPr="00617475" w:rsidRDefault="00256EDD" w:rsidP="008E2424">
            <w:pPr>
              <w:jc w:val="left"/>
              <w:rPr>
                <w:rFonts w:asciiTheme="minorHAnsi" w:hAnsiTheme="minorHAnsi" w:cstheme="minorHAnsi"/>
                <w:i w:val="0"/>
                <w:iCs w:val="0"/>
                <w:color w:val="142147" w:themeColor="accent1"/>
              </w:rPr>
            </w:pPr>
            <w:r w:rsidRPr="008A48B4">
              <w:rPr>
                <w:rFonts w:asciiTheme="minorHAnsi" w:hAnsiTheme="minorHAnsi" w:cstheme="minorHAnsi"/>
                <w:i w:val="0"/>
                <w:iCs w:val="0"/>
                <w:color w:val="142147" w:themeColor="accent1"/>
                <w:sz w:val="22"/>
              </w:rPr>
              <w:t>Pay As You Go Withholding</w:t>
            </w:r>
            <w:r>
              <w:rPr>
                <w:rFonts w:asciiTheme="minorHAnsi" w:hAnsiTheme="minorHAnsi" w:cstheme="minorHAnsi"/>
                <w:i w:val="0"/>
                <w:iCs w:val="0"/>
                <w:color w:val="142147" w:themeColor="accent1"/>
              </w:rPr>
              <w:t xml:space="preserve"> </w:t>
            </w:r>
          </w:p>
        </w:tc>
        <w:tc>
          <w:tcPr>
            <w:tcW w:w="2089"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619B3495" w14:textId="77777777" w:rsidR="00256EDD" w:rsidRPr="0085631C" w:rsidRDefault="00256EDD"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142147" w:themeColor="accent1"/>
              </w:rPr>
            </w:pPr>
            <w:r w:rsidRPr="0085631C">
              <w:rPr>
                <w:rFonts w:asciiTheme="minorHAnsi" w:hAnsiTheme="minorHAnsi" w:cstheme="minorBidi"/>
                <w:color w:val="142147" w:themeColor="accent1"/>
              </w:rPr>
              <w:t>32,900</w:t>
            </w:r>
          </w:p>
        </w:tc>
      </w:tr>
      <w:tr w:rsidR="00256EDD" w:rsidRPr="001738BD" w14:paraId="6236BAC5" w14:textId="77777777" w:rsidTr="008E2424">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bottom w:val="single" w:sz="4" w:space="0" w:color="701F4D" w:themeColor="accent2"/>
              <w:right w:val="single" w:sz="4" w:space="0" w:color="701F4D"/>
            </w:tcBorders>
          </w:tcPr>
          <w:p w14:paraId="36DB26C1" w14:textId="77777777" w:rsidR="00256EDD" w:rsidRPr="008A48B4" w:rsidRDefault="00256EDD" w:rsidP="008E2424">
            <w:pPr>
              <w:jc w:val="left"/>
              <w:rPr>
                <w:rFonts w:asciiTheme="minorHAnsi" w:hAnsiTheme="minorHAnsi" w:cstheme="minorHAnsi"/>
                <w:color w:val="142147" w:themeColor="accent1"/>
              </w:rPr>
            </w:pPr>
            <w:r w:rsidRPr="00214A87">
              <w:rPr>
                <w:rFonts w:asciiTheme="minorHAnsi" w:hAnsiTheme="minorHAnsi" w:cstheme="minorHAnsi"/>
                <w:b/>
                <w:i w:val="0"/>
                <w:iCs w:val="0"/>
                <w:color w:val="142147" w:themeColor="accent1"/>
                <w:sz w:val="22"/>
                <w:szCs w:val="18"/>
              </w:rPr>
              <w:t>Total taxes collected on behalf of others</w:t>
            </w:r>
            <w:r>
              <w:rPr>
                <w:rFonts w:asciiTheme="minorHAnsi" w:hAnsiTheme="minorHAnsi" w:cstheme="minorHAnsi"/>
                <w:b/>
                <w:color w:val="142147" w:themeColor="accent1"/>
              </w:rPr>
              <w:t xml:space="preserve"> </w:t>
            </w:r>
          </w:p>
        </w:tc>
        <w:tc>
          <w:tcPr>
            <w:tcW w:w="2089" w:type="dxa"/>
            <w:tcBorders>
              <w:top w:val="single" w:sz="4" w:space="0" w:color="701F4D" w:themeColor="accent2"/>
              <w:left w:val="single" w:sz="4" w:space="0" w:color="701F4D"/>
              <w:bottom w:val="single" w:sz="4" w:space="0" w:color="701F4D" w:themeColor="accent2"/>
            </w:tcBorders>
            <w:shd w:val="clear" w:color="auto" w:fill="F6F2ED" w:themeFill="accent3" w:themeFillTint="33"/>
          </w:tcPr>
          <w:p w14:paraId="106A89D7" w14:textId="77777777" w:rsidR="00256EDD" w:rsidRPr="003F1062" w:rsidRDefault="00256EDD" w:rsidP="008E242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142147" w:themeColor="accent1"/>
              </w:rPr>
            </w:pPr>
            <w:r>
              <w:rPr>
                <w:rFonts w:asciiTheme="minorHAnsi" w:hAnsiTheme="minorHAnsi" w:cstheme="minorBidi"/>
                <w:b/>
                <w:bCs/>
                <w:color w:val="142147" w:themeColor="accent1"/>
              </w:rPr>
              <w:t>53,367</w:t>
            </w:r>
          </w:p>
        </w:tc>
      </w:tr>
      <w:tr w:rsidR="00256EDD" w:rsidRPr="001738BD" w14:paraId="428CB216" w14:textId="77777777" w:rsidTr="00271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701F4D" w:themeColor="accent2"/>
              <w:right w:val="single" w:sz="4" w:space="0" w:color="701F4D"/>
            </w:tcBorders>
            <w:shd w:val="clear" w:color="auto" w:fill="D4C2A8"/>
          </w:tcPr>
          <w:p w14:paraId="68A80436" w14:textId="77777777" w:rsidR="00256EDD" w:rsidRPr="00214A87" w:rsidRDefault="00256EDD" w:rsidP="008E2424">
            <w:pPr>
              <w:jc w:val="left"/>
              <w:rPr>
                <w:rFonts w:asciiTheme="minorHAnsi" w:hAnsiTheme="minorHAnsi" w:cstheme="minorHAnsi"/>
                <w:b/>
                <w:i w:val="0"/>
                <w:iCs w:val="0"/>
                <w:color w:val="701F4D" w:themeColor="accent2"/>
              </w:rPr>
            </w:pPr>
            <w:r w:rsidRPr="00214A87">
              <w:rPr>
                <w:rFonts w:asciiTheme="minorHAnsi" w:hAnsiTheme="minorHAnsi" w:cstheme="minorHAnsi"/>
                <w:b/>
                <w:i w:val="0"/>
                <w:iCs w:val="0"/>
                <w:color w:val="701F4D" w:themeColor="accent2"/>
                <w:sz w:val="22"/>
                <w:szCs w:val="18"/>
              </w:rPr>
              <w:t xml:space="preserve">Total taxes paid </w:t>
            </w:r>
          </w:p>
        </w:tc>
        <w:tc>
          <w:tcPr>
            <w:tcW w:w="2089" w:type="dxa"/>
            <w:tcBorders>
              <w:top w:val="single" w:sz="4" w:space="0" w:color="701F4D" w:themeColor="accent2"/>
              <w:left w:val="single" w:sz="4" w:space="0" w:color="701F4D"/>
            </w:tcBorders>
            <w:shd w:val="clear" w:color="auto" w:fill="D4C2A8" w:themeFill="accent3"/>
          </w:tcPr>
          <w:p w14:paraId="10B673FF" w14:textId="77777777" w:rsidR="00256EDD" w:rsidRPr="003F1062" w:rsidRDefault="00256EDD" w:rsidP="008E242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701F4D" w:themeColor="accent2"/>
              </w:rPr>
            </w:pPr>
            <w:r>
              <w:rPr>
                <w:rFonts w:asciiTheme="minorHAnsi" w:hAnsiTheme="minorHAnsi" w:cstheme="minorHAnsi"/>
                <w:b/>
                <w:bCs/>
                <w:color w:val="701F4D" w:themeColor="accent2"/>
              </w:rPr>
              <w:t>85,679</w:t>
            </w:r>
          </w:p>
        </w:tc>
      </w:tr>
    </w:tbl>
    <w:p w14:paraId="267C1A86" w14:textId="77777777" w:rsidR="00BD4078" w:rsidRPr="005812D0" w:rsidRDefault="00BD4078" w:rsidP="00BD4078">
      <w:pPr>
        <w:pStyle w:val="Heading3"/>
      </w:pPr>
      <w:r>
        <w:t xml:space="preserve">Effective Tax Rate </w:t>
      </w:r>
    </w:p>
    <w:tbl>
      <w:tblPr>
        <w:tblStyle w:val="TableGrid"/>
        <w:tblW w:w="0" w:type="auto"/>
        <w:tblLook w:val="04A0" w:firstRow="1" w:lastRow="0" w:firstColumn="1" w:lastColumn="0" w:noHBand="0" w:noVBand="1"/>
      </w:tblPr>
      <w:tblGrid>
        <w:gridCol w:w="9631"/>
      </w:tblGrid>
      <w:tr w:rsidR="00BD4078" w14:paraId="14643322" w14:textId="77777777">
        <w:tc>
          <w:tcPr>
            <w:tcW w:w="9631" w:type="dxa"/>
            <w:tcBorders>
              <w:top w:val="nil"/>
              <w:left w:val="nil"/>
              <w:bottom w:val="nil"/>
              <w:right w:val="nil"/>
            </w:tcBorders>
            <w:shd w:val="clear" w:color="auto" w:fill="701F4D" w:themeFill="accent2"/>
          </w:tcPr>
          <w:p w14:paraId="0212556F" w14:textId="77777777" w:rsidR="00BD4078" w:rsidRPr="00AA319C" w:rsidRDefault="00BD4078">
            <w:pPr>
              <w:jc w:val="center"/>
              <w:rPr>
                <w:rFonts w:asciiTheme="majorHAnsi" w:hAnsiTheme="majorHAnsi"/>
                <w:b/>
                <w:bCs/>
                <w:sz w:val="28"/>
                <w:szCs w:val="28"/>
              </w:rPr>
            </w:pPr>
            <w:r>
              <w:rPr>
                <w:rFonts w:asciiTheme="majorHAnsi" w:hAnsiTheme="majorHAnsi"/>
                <w:b/>
                <w:bCs/>
                <w:color w:val="FFFFFF" w:themeColor="background1"/>
                <w:sz w:val="28"/>
                <w:szCs w:val="28"/>
              </w:rPr>
              <w:t>25</w:t>
            </w:r>
            <w:r w:rsidRPr="00AA319C">
              <w:rPr>
                <w:rFonts w:asciiTheme="majorHAnsi" w:hAnsiTheme="majorHAnsi"/>
                <w:b/>
                <w:bCs/>
                <w:color w:val="FFFFFF" w:themeColor="background1"/>
                <w:sz w:val="28"/>
                <w:szCs w:val="28"/>
              </w:rPr>
              <w:t>% Australian ETR</w:t>
            </w:r>
            <w:r>
              <w:rPr>
                <w:rFonts w:asciiTheme="majorHAnsi" w:hAnsiTheme="majorHAnsi"/>
                <w:b/>
                <w:bCs/>
                <w:color w:val="FFFFFF" w:themeColor="background1"/>
                <w:sz w:val="28"/>
                <w:szCs w:val="28"/>
              </w:rPr>
              <w:t xml:space="preserve"> </w:t>
            </w:r>
          </w:p>
        </w:tc>
      </w:tr>
    </w:tbl>
    <w:p w14:paraId="630A4E7B" w14:textId="7F9EEAF2" w:rsidR="00BD4078" w:rsidRDefault="004C5F9F" w:rsidP="00BD4078">
      <w:pPr>
        <w:rPr>
          <w:rFonts w:asciiTheme="minorHAnsi" w:hAnsiTheme="minorHAnsi" w:cstheme="minorHAnsi"/>
          <w:b/>
          <w:bCs/>
          <w:color w:val="142147" w:themeColor="accent1"/>
        </w:rPr>
      </w:pPr>
      <w:r>
        <w:rPr>
          <w:color w:val="142147" w:themeColor="accent1"/>
        </w:rPr>
        <w:t>PAA</w:t>
      </w:r>
      <w:r w:rsidR="00BD4078">
        <w:rPr>
          <w:color w:val="142147" w:themeColor="accent1"/>
        </w:rPr>
        <w:t xml:space="preserve"> Ltd’s</w:t>
      </w:r>
      <w:r w:rsidR="00BD4078" w:rsidRPr="00D22DB3">
        <w:rPr>
          <w:color w:val="142147" w:themeColor="accent1"/>
        </w:rPr>
        <w:t xml:space="preserve"> Australian effective tax rate </w:t>
      </w:r>
      <w:r w:rsidR="00BD4078">
        <w:rPr>
          <w:color w:val="142147" w:themeColor="accent1"/>
        </w:rPr>
        <w:t xml:space="preserve">(corporate income tax) </w:t>
      </w:r>
      <w:r w:rsidR="00BD4078" w:rsidRPr="00D22DB3">
        <w:rPr>
          <w:color w:val="142147" w:themeColor="accent1"/>
        </w:rPr>
        <w:t xml:space="preserve">for the </w:t>
      </w:r>
      <w:r w:rsidR="00FE688C">
        <w:rPr>
          <w:color w:val="142147" w:themeColor="accent1"/>
        </w:rPr>
        <w:t>2025</w:t>
      </w:r>
      <w:r w:rsidR="00BD4078">
        <w:rPr>
          <w:color w:val="142147" w:themeColor="accent1"/>
        </w:rPr>
        <w:t xml:space="preserve"> financial year </w:t>
      </w:r>
      <w:r w:rsidR="00BD4078" w:rsidRPr="00D22DB3">
        <w:rPr>
          <w:color w:val="142147" w:themeColor="accent1"/>
        </w:rPr>
        <w:t xml:space="preserve">was </w:t>
      </w:r>
      <w:r w:rsidR="00BD4078">
        <w:rPr>
          <w:rFonts w:asciiTheme="minorHAnsi" w:hAnsiTheme="minorHAnsi" w:cstheme="minorHAnsi"/>
          <w:b/>
          <w:bCs/>
          <w:color w:val="142147" w:themeColor="accent1"/>
        </w:rPr>
        <w:t>25%.</w:t>
      </w:r>
    </w:p>
    <w:p w14:paraId="1DB1A5AF" w14:textId="30D9116B" w:rsidR="00137558" w:rsidRDefault="00137558" w:rsidP="00137558">
      <w:pPr>
        <w:pStyle w:val="Heading4"/>
      </w:pPr>
      <w:r>
        <w:t xml:space="preserve">Optional elements </w:t>
      </w:r>
    </w:p>
    <w:p w14:paraId="2B9B24ED" w14:textId="77777777" w:rsidR="00137558" w:rsidRPr="00426645" w:rsidRDefault="00137558" w:rsidP="00137558">
      <w:pPr>
        <w:pStyle w:val="Bullet"/>
        <w:tabs>
          <w:tab w:val="clear" w:pos="520"/>
          <w:tab w:val="num" w:pos="567"/>
        </w:tabs>
        <w:rPr>
          <w:b/>
          <w:bCs/>
          <w:color w:val="142147" w:themeColor="accent1"/>
        </w:rPr>
      </w:pPr>
      <w:r w:rsidRPr="00426645">
        <w:rPr>
          <w:b/>
          <w:bCs/>
          <w:color w:val="142147" w:themeColor="accent1"/>
        </w:rPr>
        <w:t>[Provide a description of the primary drivers of the gap between ETR and the weighted average statutory rate]</w:t>
      </w:r>
    </w:p>
    <w:p w14:paraId="79E463B2" w14:textId="77777777" w:rsidR="00137558" w:rsidRPr="00C613C2" w:rsidRDefault="00137558" w:rsidP="00137558">
      <w:pPr>
        <w:pStyle w:val="Bullet"/>
        <w:numPr>
          <w:ilvl w:val="0"/>
          <w:numId w:val="0"/>
        </w:numPr>
        <w:rPr>
          <w:color w:val="142147" w:themeColor="accent1"/>
        </w:rPr>
      </w:pPr>
      <w:r>
        <w:rPr>
          <w:color w:val="142147" w:themeColor="accent1"/>
        </w:rPr>
        <w:t>PAA</w:t>
      </w:r>
      <w:r w:rsidRPr="00C613C2">
        <w:rPr>
          <w:color w:val="142147" w:themeColor="accent1"/>
        </w:rPr>
        <w:t xml:space="preserve"> Ltd’s effective tax rate differs from the</w:t>
      </w:r>
      <w:r>
        <w:rPr>
          <w:color w:val="142147" w:themeColor="accent1"/>
        </w:rPr>
        <w:t xml:space="preserve"> Australian</w:t>
      </w:r>
      <w:r w:rsidRPr="00C613C2">
        <w:rPr>
          <w:color w:val="142147" w:themeColor="accent1"/>
        </w:rPr>
        <w:t xml:space="preserve"> statutory corporate tax rate of 30% due to several items: </w:t>
      </w:r>
    </w:p>
    <w:p w14:paraId="49D1AE6E" w14:textId="77777777" w:rsidR="00137558" w:rsidRPr="00E85F37" w:rsidRDefault="00137558" w:rsidP="00137558">
      <w:pPr>
        <w:pStyle w:val="Bullet"/>
        <w:tabs>
          <w:tab w:val="clear" w:pos="520"/>
          <w:tab w:val="num" w:pos="567"/>
        </w:tabs>
      </w:pPr>
      <w:r w:rsidRPr="000B05D8">
        <w:rPr>
          <w:color w:val="142147" w:themeColor="accent1"/>
        </w:rPr>
        <w:t xml:space="preserve">Differences in tax rates in </w:t>
      </w:r>
      <w:r>
        <w:rPr>
          <w:color w:val="142147" w:themeColor="accent1"/>
        </w:rPr>
        <w:t xml:space="preserve">the </w:t>
      </w:r>
      <w:r w:rsidRPr="000B05D8">
        <w:rPr>
          <w:color w:val="142147" w:themeColor="accent1"/>
        </w:rPr>
        <w:t xml:space="preserve">countries in which </w:t>
      </w:r>
      <w:r>
        <w:rPr>
          <w:color w:val="142147" w:themeColor="accent1"/>
        </w:rPr>
        <w:t>PAA Ltd</w:t>
      </w:r>
      <w:r w:rsidRPr="000B05D8">
        <w:rPr>
          <w:color w:val="142147" w:themeColor="accent1"/>
        </w:rPr>
        <w:t xml:space="preserve"> operate</w:t>
      </w:r>
      <w:r>
        <w:rPr>
          <w:color w:val="142147" w:themeColor="accent1"/>
        </w:rPr>
        <w:t xml:space="preserve">s; </w:t>
      </w:r>
    </w:p>
    <w:p w14:paraId="0C1D9B17" w14:textId="77777777" w:rsidR="00137558" w:rsidRPr="00613DDE" w:rsidRDefault="00137558" w:rsidP="00137558">
      <w:pPr>
        <w:pStyle w:val="Bullet"/>
        <w:tabs>
          <w:tab w:val="clear" w:pos="520"/>
          <w:tab w:val="num" w:pos="567"/>
        </w:tabs>
        <w:rPr>
          <w:b/>
          <w:bCs/>
        </w:rPr>
      </w:pPr>
      <w:r>
        <w:rPr>
          <w:color w:val="142147" w:themeColor="accent1"/>
        </w:rPr>
        <w:t xml:space="preserve">Country specific allowances and disallowances or limitations of certain deductions in countries; </w:t>
      </w:r>
    </w:p>
    <w:p w14:paraId="66D36EC3" w14:textId="77777777" w:rsidR="00137558" w:rsidRPr="00815C1E" w:rsidRDefault="00137558" w:rsidP="00137558">
      <w:pPr>
        <w:pStyle w:val="Bullet"/>
        <w:tabs>
          <w:tab w:val="clear" w:pos="520"/>
          <w:tab w:val="num" w:pos="567"/>
        </w:tabs>
        <w:rPr>
          <w:color w:val="142147" w:themeColor="accent1"/>
        </w:rPr>
      </w:pPr>
      <w:r w:rsidRPr="00815C1E">
        <w:rPr>
          <w:color w:val="142147" w:themeColor="accent1"/>
        </w:rPr>
        <w:t xml:space="preserve">Application of carried forward losses from prior financial years; </w:t>
      </w:r>
    </w:p>
    <w:p w14:paraId="584D0B86" w14:textId="77777777" w:rsidR="00137558" w:rsidRPr="00815C1E" w:rsidRDefault="00137558" w:rsidP="00137558">
      <w:pPr>
        <w:pStyle w:val="Bullet"/>
        <w:tabs>
          <w:tab w:val="clear" w:pos="520"/>
          <w:tab w:val="num" w:pos="567"/>
        </w:tabs>
        <w:rPr>
          <w:color w:val="142147" w:themeColor="accent1"/>
        </w:rPr>
      </w:pPr>
      <w:r w:rsidRPr="00815C1E">
        <w:rPr>
          <w:color w:val="142147" w:themeColor="accent1"/>
        </w:rPr>
        <w:t>Timing differences and losses recognised in deferred tax liabilities; and</w:t>
      </w:r>
    </w:p>
    <w:p w14:paraId="1EC007F9" w14:textId="77777777" w:rsidR="00137558" w:rsidRDefault="00137558" w:rsidP="00137558">
      <w:pPr>
        <w:pStyle w:val="Bullet"/>
        <w:tabs>
          <w:tab w:val="clear" w:pos="520"/>
          <w:tab w:val="num" w:pos="567"/>
        </w:tabs>
        <w:rPr>
          <w:color w:val="142147" w:themeColor="accent1"/>
        </w:rPr>
      </w:pPr>
      <w:r w:rsidRPr="00815C1E">
        <w:rPr>
          <w:color w:val="142147" w:themeColor="accent1"/>
        </w:rPr>
        <w:t xml:space="preserve">Current year tax payable in next financial year. </w:t>
      </w:r>
    </w:p>
    <w:p w14:paraId="10DE1505" w14:textId="77777777" w:rsidR="00137558" w:rsidRPr="00815C1E" w:rsidRDefault="00137558" w:rsidP="00137558">
      <w:pPr>
        <w:pStyle w:val="Bullet"/>
        <w:numPr>
          <w:ilvl w:val="0"/>
          <w:numId w:val="0"/>
        </w:numPr>
        <w:tabs>
          <w:tab w:val="clear" w:pos="567"/>
        </w:tabs>
        <w:spacing w:before="0" w:after="0"/>
        <w:ind w:left="522"/>
        <w:rPr>
          <w:color w:val="142147" w:themeColor="accent1"/>
        </w:rPr>
      </w:pPr>
    </w:p>
    <w:p w14:paraId="47FE8B56" w14:textId="77777777" w:rsidR="00137558" w:rsidRPr="006C5411" w:rsidRDefault="00137558" w:rsidP="00137558">
      <w:pPr>
        <w:pStyle w:val="Bullet"/>
        <w:tabs>
          <w:tab w:val="clear" w:pos="520"/>
          <w:tab w:val="num" w:pos="567"/>
        </w:tabs>
        <w:rPr>
          <w:b/>
          <w:bCs/>
        </w:rPr>
      </w:pPr>
      <w:r w:rsidRPr="006C5411">
        <w:rPr>
          <w:b/>
          <w:bCs/>
          <w:color w:val="142147" w:themeColor="accent1"/>
        </w:rPr>
        <w:t>[Provide a global ETR for the worldwide accounting consolidated group calculated based on tax expense (income)]</w:t>
      </w:r>
    </w:p>
    <w:p w14:paraId="3637AA98" w14:textId="0B343EB5" w:rsidR="00137558" w:rsidRPr="00137558" w:rsidRDefault="00137558" w:rsidP="00137558">
      <w:r w:rsidRPr="00815C1E">
        <w:rPr>
          <w:color w:val="142147" w:themeColor="accent1"/>
        </w:rPr>
        <w:t xml:space="preserve">The </w:t>
      </w:r>
      <w:r>
        <w:rPr>
          <w:color w:val="142147" w:themeColor="accent1"/>
        </w:rPr>
        <w:t>PAA</w:t>
      </w:r>
      <w:r w:rsidRPr="00815C1E">
        <w:rPr>
          <w:color w:val="142147" w:themeColor="accent1"/>
        </w:rPr>
        <w:t xml:space="preserve"> global group ETR for the </w:t>
      </w:r>
      <w:r>
        <w:rPr>
          <w:color w:val="142147" w:themeColor="accent1"/>
        </w:rPr>
        <w:t>2025</w:t>
      </w:r>
      <w:r w:rsidRPr="00815C1E">
        <w:rPr>
          <w:color w:val="142147" w:themeColor="accent1"/>
        </w:rPr>
        <w:t xml:space="preserve"> financial year was</w:t>
      </w:r>
      <w:r w:rsidRPr="00815C1E">
        <w:rPr>
          <w:b/>
          <w:bCs/>
          <w:color w:val="142147" w:themeColor="accent1"/>
        </w:rPr>
        <w:t xml:space="preserve"> </w:t>
      </w:r>
      <w:r>
        <w:rPr>
          <w:b/>
          <w:bCs/>
          <w:color w:val="142147" w:themeColor="accent1"/>
        </w:rPr>
        <w:t>21.3</w:t>
      </w:r>
      <w:r w:rsidRPr="00815C1E">
        <w:rPr>
          <w:b/>
          <w:bCs/>
          <w:color w:val="142147" w:themeColor="accent1"/>
        </w:rPr>
        <w:t>%.</w:t>
      </w:r>
    </w:p>
    <w:p w14:paraId="5C49CD0C" w14:textId="77777777" w:rsidR="00BD4078" w:rsidRPr="00AB5894" w:rsidRDefault="00BD4078" w:rsidP="00BD4078">
      <w:pPr>
        <w:pStyle w:val="Heading3"/>
      </w:pPr>
      <w:r w:rsidRPr="00AB5894">
        <w:t>A reconciliation to ATO Corporate Tax Transparency Disclosures</w:t>
      </w:r>
    </w:p>
    <w:p w14:paraId="164C1F34" w14:textId="281027AC" w:rsidR="00BD4078" w:rsidRPr="004E0703" w:rsidRDefault="00BD4078" w:rsidP="000669D4">
      <w:pPr>
        <w:pStyle w:val="Bullet"/>
        <w:numPr>
          <w:ilvl w:val="0"/>
          <w:numId w:val="0"/>
        </w:numPr>
        <w:rPr>
          <w:color w:val="142147" w:themeColor="accent1"/>
        </w:rPr>
      </w:pPr>
      <w:r w:rsidRPr="004E0703">
        <w:rPr>
          <w:color w:val="142147" w:themeColor="accent1"/>
        </w:rPr>
        <w:t xml:space="preserve">The ATO publishes certain Australian income tax information in relation to large taxpayers annually, including </w:t>
      </w:r>
      <w:r w:rsidR="004C5F9F">
        <w:rPr>
          <w:color w:val="142147" w:themeColor="accent1"/>
        </w:rPr>
        <w:t>PAA</w:t>
      </w:r>
      <w:r w:rsidRPr="004E0703">
        <w:rPr>
          <w:color w:val="142147" w:themeColor="accent1"/>
        </w:rPr>
        <w:t xml:space="preserve"> Ltd. The below table provides a summary of how the ATO’s 2023 FY public disclosures reconcile to the income tax paid and income tax payable disclosures in </w:t>
      </w:r>
      <w:r w:rsidR="004C5F9F">
        <w:rPr>
          <w:color w:val="142147" w:themeColor="accent1"/>
        </w:rPr>
        <w:t>PAA</w:t>
      </w:r>
      <w:r w:rsidRPr="004E0703">
        <w:rPr>
          <w:color w:val="142147" w:themeColor="accent1"/>
        </w:rPr>
        <w:t xml:space="preserve"> Ltd’s 2023 FY </w:t>
      </w:r>
      <w:r w:rsidR="00DB0051">
        <w:rPr>
          <w:color w:val="142147" w:themeColor="accent1"/>
        </w:rPr>
        <w:t>V</w:t>
      </w:r>
      <w:r w:rsidRPr="004E0703">
        <w:rPr>
          <w:color w:val="142147" w:themeColor="accent1"/>
        </w:rPr>
        <w:t xml:space="preserve">TTC. </w:t>
      </w:r>
    </w:p>
    <w:p w14:paraId="0155B934" w14:textId="53ACE100" w:rsidR="00BD4078" w:rsidRPr="007F4234" w:rsidRDefault="00BD4078" w:rsidP="000669D4">
      <w:pPr>
        <w:pStyle w:val="Bullet"/>
        <w:numPr>
          <w:ilvl w:val="0"/>
          <w:numId w:val="0"/>
        </w:numPr>
        <w:rPr>
          <w:color w:val="142147" w:themeColor="accent1"/>
        </w:rPr>
      </w:pPr>
      <w:r w:rsidRPr="004E0703">
        <w:rPr>
          <w:color w:val="142147" w:themeColor="accent1"/>
        </w:rPr>
        <w:t xml:space="preserve">The ATO public disclosure amounts will differ from the numbers disclosed in </w:t>
      </w:r>
      <w:r w:rsidR="004C5F9F">
        <w:rPr>
          <w:color w:val="142147" w:themeColor="accent1"/>
        </w:rPr>
        <w:t>PAA</w:t>
      </w:r>
      <w:r w:rsidRPr="004E0703">
        <w:rPr>
          <w:color w:val="142147" w:themeColor="accent1"/>
        </w:rPr>
        <w:t xml:space="preserve"> Ltd’s 2023 </w:t>
      </w:r>
      <w:r w:rsidR="00DB0051">
        <w:rPr>
          <w:color w:val="142147" w:themeColor="accent1"/>
        </w:rPr>
        <w:t>V</w:t>
      </w:r>
      <w:r w:rsidRPr="004E0703">
        <w:rPr>
          <w:color w:val="142147" w:themeColor="accent1"/>
        </w:rPr>
        <w:t>TTC:</w:t>
      </w:r>
    </w:p>
    <w:p w14:paraId="50AEB2EB" w14:textId="77777777" w:rsidR="00BD4078" w:rsidRDefault="00BD4078" w:rsidP="000669D4">
      <w:pPr>
        <w:pStyle w:val="Bullet"/>
        <w:numPr>
          <w:ilvl w:val="0"/>
          <w:numId w:val="0"/>
        </w:numPr>
        <w:tabs>
          <w:tab w:val="clear" w:pos="567"/>
        </w:tabs>
        <w:rPr>
          <w:color w:val="142147" w:themeColor="accent1"/>
        </w:rPr>
      </w:pPr>
      <w:r w:rsidRPr="00494C0A">
        <w:rPr>
          <w:color w:val="142147" w:themeColor="accent1"/>
        </w:rPr>
        <w:t>Tax payable disclosed by the ATO includes credits for taxes paid on offshore income that is also taxable in Australia</w:t>
      </w:r>
      <w:r>
        <w:rPr>
          <w:color w:val="142147" w:themeColor="accent1"/>
        </w:rPr>
        <w:t xml:space="preserve"> and utilisation of franking credits on dividends. </w:t>
      </w:r>
    </w:p>
    <w:p w14:paraId="5912AF99" w14:textId="77777777" w:rsidR="00BD4078" w:rsidRPr="00D07539" w:rsidRDefault="00BD4078" w:rsidP="000669D4">
      <w:pPr>
        <w:pStyle w:val="Bullet"/>
        <w:numPr>
          <w:ilvl w:val="0"/>
          <w:numId w:val="0"/>
        </w:numPr>
        <w:tabs>
          <w:tab w:val="clear" w:pos="567"/>
        </w:tabs>
        <w:rPr>
          <w:color w:val="142147" w:themeColor="accent1"/>
        </w:rPr>
      </w:pPr>
      <w:r w:rsidRPr="00494C0A">
        <w:rPr>
          <w:color w:val="142147" w:themeColor="accent1"/>
        </w:rPr>
        <w:t>Foreign subsidiaries and entities that are not wholly owned cannot be members of the Australian tax consolidated group.</w:t>
      </w:r>
    </w:p>
    <w:p w14:paraId="3CE757CD" w14:textId="49D34531" w:rsidR="00BD4078" w:rsidRPr="0009527A" w:rsidRDefault="000B5F14" w:rsidP="000669D4">
      <w:pPr>
        <w:pStyle w:val="Bullet"/>
        <w:numPr>
          <w:ilvl w:val="0"/>
          <w:numId w:val="0"/>
        </w:numPr>
        <w:tabs>
          <w:tab w:val="clear" w:pos="567"/>
        </w:tabs>
        <w:rPr>
          <w:color w:val="142147" w:themeColor="accent1"/>
        </w:rPr>
      </w:pPr>
      <w:r>
        <w:rPr>
          <w:color w:val="142147" w:themeColor="accent1"/>
        </w:rPr>
        <w:t>There are differences</w:t>
      </w:r>
      <w:r w:rsidR="00BD4078" w:rsidRPr="0009527A">
        <w:rPr>
          <w:color w:val="142147" w:themeColor="accent1"/>
        </w:rPr>
        <w:t xml:space="preserve"> in taxable income reported by the ATO </w:t>
      </w:r>
      <w:r>
        <w:rPr>
          <w:color w:val="142147" w:themeColor="accent1"/>
        </w:rPr>
        <w:t xml:space="preserve">and </w:t>
      </w:r>
      <w:r w:rsidR="00DB0051">
        <w:rPr>
          <w:color w:val="142147" w:themeColor="accent1"/>
        </w:rPr>
        <w:t>V</w:t>
      </w:r>
      <w:r w:rsidRPr="001B7686">
        <w:rPr>
          <w:color w:val="142147" w:themeColor="accent1"/>
        </w:rPr>
        <w:t>T</w:t>
      </w:r>
      <w:r w:rsidR="004C5F9F" w:rsidRPr="001B7686">
        <w:rPr>
          <w:color w:val="142147" w:themeColor="accent1"/>
        </w:rPr>
        <w:t>T</w:t>
      </w:r>
      <w:r w:rsidRPr="001B7686">
        <w:rPr>
          <w:color w:val="142147" w:themeColor="accent1"/>
        </w:rPr>
        <w:t>C</w:t>
      </w:r>
      <w:r>
        <w:rPr>
          <w:color w:val="142147" w:themeColor="accent1"/>
        </w:rPr>
        <w:t xml:space="preserve"> </w:t>
      </w:r>
      <w:r w:rsidR="00BD4078" w:rsidRPr="0009527A">
        <w:rPr>
          <w:color w:val="142147" w:themeColor="accent1"/>
        </w:rPr>
        <w:t>accounting profit due to temporary and permanent differences.</w:t>
      </w:r>
    </w:p>
    <w:tbl>
      <w:tblPr>
        <w:tblStyle w:val="PlainTable5"/>
        <w:tblW w:w="0" w:type="auto"/>
        <w:tblBorders>
          <w:top w:val="single" w:sz="4" w:space="0" w:color="701F4D" w:themeColor="accent2"/>
          <w:bottom w:val="single" w:sz="4" w:space="0" w:color="701F4D" w:themeColor="accent2"/>
          <w:insideH w:val="single" w:sz="4" w:space="0" w:color="701F4D" w:themeColor="accent2"/>
          <w:insideV w:val="single" w:sz="4" w:space="0" w:color="701F4D" w:themeColor="accent2"/>
        </w:tblBorders>
        <w:tblLook w:val="04A0" w:firstRow="1" w:lastRow="0" w:firstColumn="1" w:lastColumn="0" w:noHBand="0" w:noVBand="1"/>
      </w:tblPr>
      <w:tblGrid>
        <w:gridCol w:w="4962"/>
        <w:gridCol w:w="2126"/>
        <w:gridCol w:w="2410"/>
      </w:tblGrid>
      <w:tr w:rsidR="00BD4078" w:rsidRPr="005335ED" w14:paraId="2A192308" w14:textId="77777777" w:rsidTr="00164C2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962" w:type="dxa"/>
            <w:tcBorders>
              <w:bottom w:val="none" w:sz="0" w:space="0" w:color="auto"/>
              <w:right w:val="none" w:sz="0" w:space="0" w:color="auto"/>
            </w:tcBorders>
            <w:shd w:val="clear" w:color="auto" w:fill="142147" w:themeFill="accent1"/>
          </w:tcPr>
          <w:p w14:paraId="12201770" w14:textId="79E6D838" w:rsidR="00BD4078" w:rsidRPr="005A4915" w:rsidRDefault="00A02EF9">
            <w:pPr>
              <w:jc w:val="left"/>
              <w:rPr>
                <w:rFonts w:asciiTheme="minorHAnsi" w:hAnsiTheme="minorHAnsi" w:cstheme="minorHAnsi"/>
                <w:b/>
                <w:bCs/>
                <w:i w:val="0"/>
                <w:iCs w:val="0"/>
                <w:color w:val="FFFFFF" w:themeColor="background1"/>
                <w:sz w:val="22"/>
              </w:rPr>
            </w:pPr>
            <w:r>
              <w:rPr>
                <w:rFonts w:asciiTheme="minorHAnsi" w:hAnsiTheme="minorHAnsi" w:cstheme="minorHAnsi"/>
                <w:b/>
                <w:bCs/>
                <w:i w:val="0"/>
                <w:iCs w:val="0"/>
                <w:color w:val="FFFFFF" w:themeColor="background1"/>
                <w:sz w:val="22"/>
              </w:rPr>
              <w:t>Reconciliation</w:t>
            </w:r>
          </w:p>
        </w:tc>
        <w:tc>
          <w:tcPr>
            <w:tcW w:w="2126" w:type="dxa"/>
            <w:tcBorders>
              <w:bottom w:val="none" w:sz="0" w:space="0" w:color="auto"/>
            </w:tcBorders>
            <w:shd w:val="clear" w:color="auto" w:fill="142147" w:themeFill="accent1"/>
          </w:tcPr>
          <w:p w14:paraId="742FCD7F" w14:textId="2CA2FDEA" w:rsidR="00BD4078" w:rsidRPr="005A4915" w:rsidRDefault="00BD40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FFFFFF" w:themeColor="background1"/>
                <w:sz w:val="22"/>
              </w:rPr>
            </w:pPr>
            <w:r>
              <w:rPr>
                <w:rFonts w:asciiTheme="minorHAnsi" w:hAnsiTheme="minorHAnsi" w:cstheme="minorHAnsi"/>
                <w:b/>
                <w:bCs/>
                <w:i w:val="0"/>
                <w:iCs w:val="0"/>
                <w:color w:val="FFFFFF" w:themeColor="background1"/>
                <w:sz w:val="22"/>
              </w:rPr>
              <w:t>202</w:t>
            </w:r>
            <w:r w:rsidR="005F7628">
              <w:rPr>
                <w:rFonts w:asciiTheme="minorHAnsi" w:hAnsiTheme="minorHAnsi" w:cstheme="minorHAnsi"/>
                <w:b/>
                <w:bCs/>
                <w:i w:val="0"/>
                <w:iCs w:val="0"/>
                <w:color w:val="FFFFFF" w:themeColor="background1"/>
                <w:sz w:val="22"/>
              </w:rPr>
              <w:t>3</w:t>
            </w:r>
            <w:r>
              <w:rPr>
                <w:rFonts w:asciiTheme="minorHAnsi" w:hAnsiTheme="minorHAnsi" w:cstheme="minorHAnsi"/>
                <w:b/>
                <w:bCs/>
                <w:i w:val="0"/>
                <w:iCs w:val="0"/>
                <w:color w:val="FFFFFF" w:themeColor="background1"/>
                <w:sz w:val="22"/>
              </w:rPr>
              <w:t xml:space="preserve"> FY ($,000)</w:t>
            </w:r>
          </w:p>
        </w:tc>
        <w:tc>
          <w:tcPr>
            <w:tcW w:w="2410" w:type="dxa"/>
            <w:tcBorders>
              <w:bottom w:val="none" w:sz="0" w:space="0" w:color="auto"/>
            </w:tcBorders>
            <w:shd w:val="clear" w:color="auto" w:fill="142147" w:themeFill="accent1"/>
          </w:tcPr>
          <w:p w14:paraId="68EB689C" w14:textId="77777777" w:rsidR="00BD4078" w:rsidRPr="00022974" w:rsidRDefault="00BD40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color w:val="FFFFFF" w:themeColor="background1"/>
                <w:sz w:val="22"/>
                <w:szCs w:val="18"/>
              </w:rPr>
            </w:pPr>
            <w:r w:rsidRPr="00213391">
              <w:rPr>
                <w:rFonts w:asciiTheme="minorHAnsi" w:hAnsiTheme="minorHAnsi" w:cstheme="minorHAnsi"/>
                <w:b/>
                <w:bCs/>
                <w:i w:val="0"/>
                <w:iCs w:val="0"/>
                <w:color w:val="FFFFFF" w:themeColor="background1"/>
                <w:sz w:val="22"/>
                <w:szCs w:val="18"/>
              </w:rPr>
              <w:t>ATO Disclosure</w:t>
            </w:r>
            <w:r>
              <w:rPr>
                <w:rFonts w:asciiTheme="minorHAnsi" w:hAnsiTheme="minorHAnsi" w:cstheme="minorHAnsi"/>
                <w:b/>
                <w:bCs/>
                <w:i w:val="0"/>
                <w:iCs w:val="0"/>
                <w:color w:val="FFFFFF" w:themeColor="background1"/>
                <w:sz w:val="22"/>
                <w:szCs w:val="18"/>
              </w:rPr>
              <w:t xml:space="preserve"> </w:t>
            </w:r>
            <w:r>
              <w:rPr>
                <w:rFonts w:asciiTheme="minorHAnsi" w:hAnsiTheme="minorHAnsi" w:cstheme="minorHAnsi"/>
                <w:b/>
                <w:bCs/>
                <w:i w:val="0"/>
                <w:iCs w:val="0"/>
                <w:color w:val="FFFFFF" w:themeColor="background1"/>
                <w:sz w:val="22"/>
              </w:rPr>
              <w:t>($,000)</w:t>
            </w:r>
          </w:p>
        </w:tc>
      </w:tr>
      <w:tr w:rsidR="00BD4078" w:rsidRPr="005335ED" w14:paraId="3C6EC147"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right w:val="none" w:sz="0" w:space="0" w:color="auto"/>
            </w:tcBorders>
            <w:shd w:val="clear" w:color="auto" w:fill="E5DACA" w:themeFill="accent3" w:themeFillTint="99"/>
          </w:tcPr>
          <w:p w14:paraId="2161B523" w14:textId="77777777" w:rsidR="00BD4078" w:rsidRPr="00F34679" w:rsidRDefault="00BD4078">
            <w:pPr>
              <w:jc w:val="left"/>
              <w:rPr>
                <w:rFonts w:asciiTheme="minorHAnsi" w:hAnsiTheme="minorHAnsi" w:cstheme="minorHAnsi"/>
                <w:b/>
                <w:bCs/>
                <w:i w:val="0"/>
                <w:iCs w:val="0"/>
                <w:color w:val="142147" w:themeColor="accent1"/>
                <w:sz w:val="22"/>
                <w:szCs w:val="18"/>
              </w:rPr>
            </w:pPr>
            <w:r w:rsidRPr="00F34679">
              <w:rPr>
                <w:rFonts w:asciiTheme="minorHAnsi" w:hAnsiTheme="minorHAnsi" w:cstheme="minorHAnsi"/>
                <w:b/>
                <w:bCs/>
                <w:i w:val="0"/>
                <w:iCs w:val="0"/>
                <w:color w:val="142147" w:themeColor="accent1"/>
                <w:sz w:val="22"/>
                <w:szCs w:val="18"/>
              </w:rPr>
              <w:t xml:space="preserve">Total Australian income and accounting profit </w:t>
            </w:r>
          </w:p>
        </w:tc>
      </w:tr>
      <w:tr w:rsidR="00BD4078" w:rsidRPr="005335ED" w14:paraId="758E59F1"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7FF99828" w14:textId="77777777" w:rsidR="00BD4078" w:rsidRPr="00D5018D" w:rsidRDefault="00BD4078">
            <w:pPr>
              <w:jc w:val="left"/>
              <w:rPr>
                <w:rFonts w:asciiTheme="minorHAnsi" w:hAnsiTheme="minorHAnsi" w:cstheme="minorHAnsi"/>
                <w:b/>
                <w:bCs/>
                <w:color w:val="142147" w:themeColor="accent1"/>
              </w:rPr>
            </w:pPr>
            <w:r w:rsidRPr="00D5018D">
              <w:rPr>
                <w:rFonts w:asciiTheme="minorHAnsi" w:hAnsiTheme="minorHAnsi" w:cstheme="minorHAnsi"/>
                <w:b/>
                <w:bCs/>
                <w:i w:val="0"/>
                <w:iCs w:val="0"/>
                <w:color w:val="142147" w:themeColor="accent1"/>
                <w:sz w:val="22"/>
              </w:rPr>
              <w:t xml:space="preserve">Total income </w:t>
            </w:r>
          </w:p>
        </w:tc>
        <w:tc>
          <w:tcPr>
            <w:tcW w:w="2126" w:type="dxa"/>
            <w:shd w:val="clear" w:color="auto" w:fill="F6F2ED" w:themeFill="accent3" w:themeFillTint="33"/>
          </w:tcPr>
          <w:p w14:paraId="254F2ECB" w14:textId="77777777" w:rsidR="00BD4078" w:rsidRPr="006C412B"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6C412B">
              <w:rPr>
                <w:rFonts w:asciiTheme="minorHAnsi" w:hAnsiTheme="minorHAnsi" w:cstheme="minorHAnsi"/>
                <w:b/>
                <w:bCs/>
                <w:color w:val="142147" w:themeColor="accent1"/>
              </w:rPr>
              <w:t>723,800</w:t>
            </w:r>
          </w:p>
        </w:tc>
        <w:tc>
          <w:tcPr>
            <w:tcW w:w="2410" w:type="dxa"/>
            <w:shd w:val="clear" w:color="auto" w:fill="F6F2ED" w:themeFill="accent3" w:themeFillTint="33"/>
          </w:tcPr>
          <w:p w14:paraId="69C2E9C0" w14:textId="77777777" w:rsidR="00BD4078" w:rsidRPr="006C412B"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6C412B">
              <w:rPr>
                <w:rFonts w:asciiTheme="minorHAnsi" w:hAnsiTheme="minorHAnsi" w:cstheme="minorHAnsi"/>
                <w:b/>
                <w:bCs/>
                <w:color w:val="142147" w:themeColor="accent1"/>
              </w:rPr>
              <w:t>723,800</w:t>
            </w:r>
          </w:p>
        </w:tc>
      </w:tr>
      <w:tr w:rsidR="00BD4078" w:rsidRPr="005335ED" w14:paraId="2CCC1CE7"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711D61AB" w14:textId="77777777" w:rsidR="00BD4078" w:rsidRPr="00D5018D" w:rsidRDefault="00BD4078">
            <w:pPr>
              <w:jc w:val="left"/>
              <w:rPr>
                <w:rFonts w:asciiTheme="minorHAnsi" w:hAnsiTheme="minorHAnsi" w:cstheme="minorHAnsi"/>
                <w:i w:val="0"/>
                <w:iCs w:val="0"/>
                <w:color w:val="142147" w:themeColor="accent1"/>
                <w:sz w:val="22"/>
              </w:rPr>
            </w:pPr>
            <w:r w:rsidRPr="00D5018D">
              <w:rPr>
                <w:rFonts w:asciiTheme="minorHAnsi" w:hAnsiTheme="minorHAnsi" w:cstheme="minorHAnsi"/>
                <w:i w:val="0"/>
                <w:iCs w:val="0"/>
                <w:color w:val="142147" w:themeColor="accent1"/>
                <w:sz w:val="22"/>
              </w:rPr>
              <w:t xml:space="preserve">Total expenses </w:t>
            </w:r>
          </w:p>
        </w:tc>
        <w:tc>
          <w:tcPr>
            <w:tcW w:w="2126" w:type="dxa"/>
            <w:shd w:val="clear" w:color="auto" w:fill="F6F2ED" w:themeFill="accent3" w:themeFillTint="33"/>
          </w:tcPr>
          <w:p w14:paraId="0F38C55A" w14:textId="4B76FECA" w:rsidR="00BD4078" w:rsidRPr="00D5018D"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w:t>
            </w:r>
            <w:r w:rsidRPr="00D5018D">
              <w:rPr>
                <w:rFonts w:asciiTheme="minorHAnsi" w:hAnsiTheme="minorHAnsi" w:cstheme="minorHAnsi"/>
                <w:color w:val="142147" w:themeColor="accent1"/>
              </w:rPr>
              <w:t>62</w:t>
            </w:r>
            <w:r w:rsidR="00803C34">
              <w:rPr>
                <w:rFonts w:asciiTheme="minorHAnsi" w:hAnsiTheme="minorHAnsi" w:cstheme="minorHAnsi"/>
                <w:color w:val="142147" w:themeColor="accent1"/>
              </w:rPr>
              <w:t>2</w:t>
            </w:r>
            <w:r w:rsidRPr="00D5018D">
              <w:rPr>
                <w:rFonts w:asciiTheme="minorHAnsi" w:hAnsiTheme="minorHAnsi" w:cstheme="minorHAnsi"/>
                <w:color w:val="142147" w:themeColor="accent1"/>
              </w:rPr>
              <w:t>,600</w:t>
            </w:r>
            <w:r>
              <w:rPr>
                <w:rFonts w:asciiTheme="minorHAnsi" w:hAnsiTheme="minorHAnsi" w:cstheme="minorHAnsi"/>
                <w:color w:val="142147" w:themeColor="accent1"/>
              </w:rPr>
              <w:t>)</w:t>
            </w:r>
          </w:p>
        </w:tc>
        <w:tc>
          <w:tcPr>
            <w:tcW w:w="2410" w:type="dxa"/>
            <w:shd w:val="clear" w:color="auto" w:fill="F6F2ED" w:themeFill="accent3" w:themeFillTint="33"/>
          </w:tcPr>
          <w:p w14:paraId="0FF7B449" w14:textId="63B1620E" w:rsidR="00BD4078" w:rsidRPr="004E6274" w:rsidRDefault="004E627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4E6274">
              <w:rPr>
                <w:rFonts w:asciiTheme="minorHAnsi" w:hAnsiTheme="minorHAnsi" w:cstheme="minorHAnsi"/>
                <w:color w:val="142147" w:themeColor="accent1"/>
              </w:rPr>
              <w:t>n/a</w:t>
            </w:r>
          </w:p>
        </w:tc>
      </w:tr>
      <w:tr w:rsidR="00BD4078" w:rsidRPr="005335ED" w14:paraId="6AC926D4"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2D7D8F3A" w14:textId="77777777" w:rsidR="00BD4078" w:rsidRPr="00D5018D" w:rsidRDefault="00BD4078">
            <w:pPr>
              <w:jc w:val="left"/>
              <w:rPr>
                <w:rFonts w:asciiTheme="minorHAnsi" w:hAnsiTheme="minorHAnsi" w:cstheme="minorHAnsi"/>
                <w:color w:val="142147" w:themeColor="accent1"/>
              </w:rPr>
            </w:pPr>
            <w:r w:rsidRPr="00D5018D">
              <w:rPr>
                <w:rFonts w:asciiTheme="minorHAnsi" w:hAnsiTheme="minorHAnsi" w:cstheme="minorHAnsi"/>
                <w:i w:val="0"/>
                <w:iCs w:val="0"/>
                <w:color w:val="142147" w:themeColor="accent1"/>
                <w:sz w:val="22"/>
              </w:rPr>
              <w:t xml:space="preserve">Profit before tax (accounting profit) </w:t>
            </w:r>
          </w:p>
        </w:tc>
        <w:tc>
          <w:tcPr>
            <w:tcW w:w="2126" w:type="dxa"/>
            <w:shd w:val="clear" w:color="auto" w:fill="F6F2ED" w:themeFill="accent3" w:themeFillTint="33"/>
          </w:tcPr>
          <w:p w14:paraId="44EC7E95" w14:textId="7F7FA72D" w:rsidR="00BD4078" w:rsidRPr="00D5018D" w:rsidRDefault="001B76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101</w:t>
            </w:r>
            <w:r w:rsidR="00BD4078" w:rsidRPr="00D5018D">
              <w:rPr>
                <w:rFonts w:asciiTheme="minorHAnsi" w:hAnsiTheme="minorHAnsi" w:cstheme="minorHAnsi"/>
                <w:color w:val="142147" w:themeColor="accent1"/>
              </w:rPr>
              <w:t>,200</w:t>
            </w:r>
          </w:p>
        </w:tc>
        <w:tc>
          <w:tcPr>
            <w:tcW w:w="2410" w:type="dxa"/>
            <w:shd w:val="clear" w:color="auto" w:fill="F6F2ED" w:themeFill="accent3" w:themeFillTint="33"/>
          </w:tcPr>
          <w:p w14:paraId="3FC10427" w14:textId="2D65CCA6" w:rsidR="00BD4078" w:rsidRPr="004E6274" w:rsidRDefault="004E627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4E6274">
              <w:rPr>
                <w:rFonts w:asciiTheme="minorHAnsi" w:hAnsiTheme="minorHAnsi" w:cstheme="minorHAnsi"/>
                <w:color w:val="142147" w:themeColor="accent1"/>
              </w:rPr>
              <w:t>n/a</w:t>
            </w:r>
          </w:p>
        </w:tc>
      </w:tr>
      <w:tr w:rsidR="00BD4078" w:rsidRPr="005335ED" w14:paraId="51576B51"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right w:val="none" w:sz="0" w:space="0" w:color="auto"/>
            </w:tcBorders>
            <w:shd w:val="clear" w:color="auto" w:fill="E5DACA" w:themeFill="accent3" w:themeFillTint="99"/>
          </w:tcPr>
          <w:p w14:paraId="41E38AFA" w14:textId="77777777" w:rsidR="00BD4078" w:rsidRPr="00C0462F" w:rsidRDefault="00BD4078">
            <w:pPr>
              <w:jc w:val="left"/>
              <w:rPr>
                <w:rFonts w:asciiTheme="minorHAnsi" w:hAnsiTheme="minorHAnsi" w:cstheme="minorHAnsi"/>
                <w:b/>
                <w:bCs/>
                <w:color w:val="142147" w:themeColor="accent1"/>
                <w:sz w:val="22"/>
                <w:szCs w:val="18"/>
              </w:rPr>
            </w:pPr>
            <w:r w:rsidRPr="00C0462F">
              <w:rPr>
                <w:rFonts w:asciiTheme="minorHAnsi" w:hAnsiTheme="minorHAnsi" w:cstheme="minorHAnsi"/>
                <w:b/>
                <w:bCs/>
                <w:i w:val="0"/>
                <w:iCs w:val="0"/>
                <w:color w:val="142147" w:themeColor="accent1"/>
                <w:sz w:val="22"/>
                <w:szCs w:val="18"/>
              </w:rPr>
              <w:t xml:space="preserve">Book to tax adjustments </w:t>
            </w:r>
          </w:p>
        </w:tc>
      </w:tr>
      <w:tr w:rsidR="00BD4078" w:rsidRPr="005335ED" w14:paraId="2FE87783"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21BCDBBE" w14:textId="77777777" w:rsidR="00BD4078" w:rsidRPr="00610074" w:rsidRDefault="00BD4078">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T</w:t>
            </w:r>
            <w:r w:rsidRPr="00610074">
              <w:rPr>
                <w:rFonts w:asciiTheme="minorHAnsi" w:hAnsiTheme="minorHAnsi" w:cstheme="minorHAnsi"/>
                <w:i w:val="0"/>
                <w:iCs w:val="0"/>
                <w:color w:val="142147" w:themeColor="accent1"/>
                <w:sz w:val="22"/>
              </w:rPr>
              <w:t>emporary differences</w:t>
            </w:r>
          </w:p>
        </w:tc>
        <w:tc>
          <w:tcPr>
            <w:tcW w:w="2126" w:type="dxa"/>
            <w:shd w:val="clear" w:color="auto" w:fill="F6F2ED" w:themeFill="accent3" w:themeFillTint="33"/>
          </w:tcPr>
          <w:p w14:paraId="6546CF47" w14:textId="77777777" w:rsidR="00BD4078" w:rsidRPr="00983B35"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2,367</w:t>
            </w:r>
          </w:p>
        </w:tc>
        <w:tc>
          <w:tcPr>
            <w:tcW w:w="2410" w:type="dxa"/>
            <w:shd w:val="clear" w:color="auto" w:fill="F6F2ED" w:themeFill="accent3" w:themeFillTint="33"/>
          </w:tcPr>
          <w:p w14:paraId="688ACD07" w14:textId="24B4387F" w:rsidR="00BD4078" w:rsidRPr="00983B35" w:rsidRDefault="004E627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4E6274">
              <w:rPr>
                <w:rFonts w:asciiTheme="minorHAnsi" w:hAnsiTheme="minorHAnsi" w:cstheme="minorHAnsi"/>
                <w:color w:val="142147" w:themeColor="accent1"/>
              </w:rPr>
              <w:t>n/a</w:t>
            </w:r>
          </w:p>
        </w:tc>
      </w:tr>
      <w:tr w:rsidR="00BD4078" w:rsidRPr="001738BD" w14:paraId="5EF98085"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043D9AA2" w14:textId="77777777" w:rsidR="00BD4078" w:rsidRPr="00610074" w:rsidRDefault="00BD4078">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Reconciliation of income tax expense to cash tax paid</w:t>
            </w:r>
          </w:p>
        </w:tc>
        <w:tc>
          <w:tcPr>
            <w:tcW w:w="2126" w:type="dxa"/>
            <w:shd w:val="clear" w:color="auto" w:fill="F6F2ED" w:themeFill="accent3" w:themeFillTint="33"/>
          </w:tcPr>
          <w:p w14:paraId="4A61FB9D" w14:textId="77777777" w:rsidR="00BD4078" w:rsidRPr="00983B35"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(2,540)</w:t>
            </w:r>
          </w:p>
        </w:tc>
        <w:tc>
          <w:tcPr>
            <w:tcW w:w="2410" w:type="dxa"/>
            <w:shd w:val="clear" w:color="auto" w:fill="F6F2ED" w:themeFill="accent3" w:themeFillTint="33"/>
          </w:tcPr>
          <w:p w14:paraId="2BFE89CE" w14:textId="5B701420" w:rsidR="00BD4078" w:rsidRPr="00983B35" w:rsidRDefault="004E627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4E6274">
              <w:rPr>
                <w:rFonts w:asciiTheme="minorHAnsi" w:hAnsiTheme="minorHAnsi" w:cstheme="minorHAnsi"/>
                <w:color w:val="142147" w:themeColor="accent1"/>
              </w:rPr>
              <w:t>n/a</w:t>
            </w:r>
          </w:p>
        </w:tc>
      </w:tr>
      <w:tr w:rsidR="00BD4078" w:rsidRPr="0054147F" w14:paraId="4B947BF5" w14:textId="77777777" w:rsidTr="00164C29">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tcPr>
          <w:p w14:paraId="24C4629B" w14:textId="77777777" w:rsidR="00BD4078" w:rsidRPr="00560FFB" w:rsidRDefault="00BD4078">
            <w:pPr>
              <w:jc w:val="left"/>
              <w:rPr>
                <w:rFonts w:asciiTheme="minorHAnsi" w:hAnsiTheme="minorHAnsi" w:cstheme="minorHAnsi"/>
                <w:b/>
                <w:bCs/>
                <w:i w:val="0"/>
                <w:iCs w:val="0"/>
                <w:color w:val="142147" w:themeColor="accent1"/>
                <w:sz w:val="22"/>
                <w:szCs w:val="18"/>
              </w:rPr>
            </w:pPr>
            <w:r w:rsidRPr="00560FFB">
              <w:rPr>
                <w:rFonts w:asciiTheme="minorHAnsi" w:hAnsiTheme="minorHAnsi" w:cstheme="minorHAnsi"/>
                <w:b/>
                <w:bCs/>
                <w:i w:val="0"/>
                <w:iCs w:val="0"/>
                <w:color w:val="142147" w:themeColor="accent1"/>
                <w:sz w:val="22"/>
                <w:szCs w:val="18"/>
              </w:rPr>
              <w:t>Taxable income</w:t>
            </w:r>
            <w:r>
              <w:rPr>
                <w:rFonts w:asciiTheme="minorHAnsi" w:hAnsiTheme="minorHAnsi" w:cstheme="minorHAnsi"/>
                <w:b/>
                <w:bCs/>
                <w:i w:val="0"/>
                <w:iCs w:val="0"/>
                <w:color w:val="142147" w:themeColor="accent1"/>
                <w:sz w:val="22"/>
                <w:szCs w:val="18"/>
              </w:rPr>
              <w:t xml:space="preserve"> </w:t>
            </w:r>
          </w:p>
        </w:tc>
        <w:tc>
          <w:tcPr>
            <w:tcW w:w="2126" w:type="dxa"/>
            <w:shd w:val="clear" w:color="auto" w:fill="F6F2ED" w:themeFill="accent3" w:themeFillTint="33"/>
          </w:tcPr>
          <w:p w14:paraId="1D07AA8E" w14:textId="5607B6BD" w:rsidR="00BD4078" w:rsidRPr="0054147F" w:rsidRDefault="00C16B7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101</w:t>
            </w:r>
            <w:r w:rsidR="00BD4078" w:rsidRPr="0054147F">
              <w:rPr>
                <w:rFonts w:asciiTheme="minorHAnsi" w:hAnsiTheme="minorHAnsi" w:cstheme="minorHAnsi"/>
                <w:b/>
                <w:bCs/>
                <w:color w:val="142147" w:themeColor="accent1"/>
              </w:rPr>
              <w:t>,027</w:t>
            </w:r>
          </w:p>
        </w:tc>
        <w:tc>
          <w:tcPr>
            <w:tcW w:w="2410" w:type="dxa"/>
            <w:shd w:val="clear" w:color="auto" w:fill="F6F2ED" w:themeFill="accent3" w:themeFillTint="33"/>
          </w:tcPr>
          <w:p w14:paraId="4A26BFAF" w14:textId="2AB9D000" w:rsidR="00BD4078" w:rsidRPr="0054147F" w:rsidRDefault="0010799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101</w:t>
            </w:r>
            <w:r w:rsidR="00BD4078" w:rsidRPr="0054147F">
              <w:rPr>
                <w:rFonts w:asciiTheme="minorHAnsi" w:hAnsiTheme="minorHAnsi" w:cstheme="minorHAnsi"/>
                <w:b/>
                <w:bCs/>
                <w:color w:val="142147" w:themeColor="accent1"/>
              </w:rPr>
              <w:t>,027</w:t>
            </w:r>
          </w:p>
        </w:tc>
      </w:tr>
      <w:tr w:rsidR="00BD4078" w:rsidRPr="001738BD" w14:paraId="6CEBE28A" w14:textId="77777777" w:rsidTr="0016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right w:val="none" w:sz="0" w:space="0" w:color="auto"/>
            </w:tcBorders>
            <w:shd w:val="clear" w:color="auto" w:fill="D4C2A8" w:themeFill="accent3"/>
          </w:tcPr>
          <w:p w14:paraId="1A64489D" w14:textId="77777777" w:rsidR="00BD4078" w:rsidRPr="005363ED" w:rsidRDefault="00BD4078">
            <w:pPr>
              <w:jc w:val="left"/>
              <w:rPr>
                <w:rFonts w:asciiTheme="minorHAnsi" w:hAnsiTheme="minorHAnsi" w:cstheme="minorHAnsi"/>
                <w:b/>
                <w:bCs/>
                <w:color w:val="142147" w:themeColor="accent1"/>
              </w:rPr>
            </w:pPr>
            <w:r>
              <w:rPr>
                <w:rFonts w:asciiTheme="minorHAnsi" w:hAnsiTheme="minorHAnsi" w:cstheme="minorHAnsi"/>
                <w:b/>
                <w:bCs/>
                <w:i w:val="0"/>
                <w:iCs w:val="0"/>
                <w:color w:val="142147" w:themeColor="accent1"/>
                <w:sz w:val="22"/>
              </w:rPr>
              <w:t>Income tax</w:t>
            </w:r>
            <w:r w:rsidRPr="00610074">
              <w:rPr>
                <w:rFonts w:asciiTheme="minorHAnsi" w:hAnsiTheme="minorHAnsi" w:cstheme="minorHAnsi"/>
                <w:b/>
                <w:bCs/>
                <w:i w:val="0"/>
                <w:iCs w:val="0"/>
                <w:color w:val="142147" w:themeColor="accent1"/>
                <w:sz w:val="22"/>
              </w:rPr>
              <w:t xml:space="preserve"> </w:t>
            </w:r>
            <w:r>
              <w:rPr>
                <w:rFonts w:asciiTheme="minorHAnsi" w:hAnsiTheme="minorHAnsi" w:cstheme="minorHAnsi"/>
                <w:b/>
                <w:bCs/>
                <w:i w:val="0"/>
                <w:iCs w:val="0"/>
                <w:color w:val="142147" w:themeColor="accent1"/>
                <w:sz w:val="22"/>
              </w:rPr>
              <w:t>payable</w:t>
            </w:r>
            <w:r w:rsidRPr="00610074">
              <w:rPr>
                <w:rFonts w:asciiTheme="minorHAnsi" w:hAnsiTheme="minorHAnsi" w:cstheme="minorHAnsi"/>
                <w:b/>
                <w:bCs/>
                <w:i w:val="0"/>
                <w:iCs w:val="0"/>
                <w:color w:val="142147" w:themeColor="accent1"/>
                <w:sz w:val="22"/>
              </w:rPr>
              <w:t xml:space="preserve"> </w:t>
            </w:r>
          </w:p>
        </w:tc>
        <w:tc>
          <w:tcPr>
            <w:tcW w:w="2126" w:type="dxa"/>
            <w:shd w:val="clear" w:color="auto" w:fill="D4C2A8" w:themeFill="accent3"/>
          </w:tcPr>
          <w:p w14:paraId="14426403" w14:textId="328763E0" w:rsidR="00BD4078" w:rsidRPr="00CC385B"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25,</w:t>
            </w:r>
            <w:r w:rsidR="00E6614B">
              <w:rPr>
                <w:rFonts w:asciiTheme="minorHAnsi" w:hAnsiTheme="minorHAnsi" w:cstheme="minorHAnsi"/>
                <w:b/>
                <w:bCs/>
                <w:color w:val="142147" w:themeColor="accent1"/>
              </w:rPr>
              <w:t>256</w:t>
            </w:r>
          </w:p>
        </w:tc>
        <w:tc>
          <w:tcPr>
            <w:tcW w:w="2410" w:type="dxa"/>
            <w:shd w:val="clear" w:color="auto" w:fill="D4C2A8" w:themeFill="accent3"/>
          </w:tcPr>
          <w:p w14:paraId="52038AAD" w14:textId="52973B48" w:rsidR="00BD4078" w:rsidRPr="00CC385B"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25,</w:t>
            </w:r>
            <w:r w:rsidR="00E6614B">
              <w:rPr>
                <w:rFonts w:asciiTheme="minorHAnsi" w:hAnsiTheme="minorHAnsi" w:cstheme="minorHAnsi"/>
                <w:b/>
                <w:bCs/>
                <w:color w:val="142147" w:themeColor="accent1"/>
              </w:rPr>
              <w:t>256</w:t>
            </w:r>
          </w:p>
        </w:tc>
      </w:tr>
    </w:tbl>
    <w:p w14:paraId="305EC437" w14:textId="68569706" w:rsidR="00BD4078" w:rsidRPr="00E94D19" w:rsidRDefault="00BD4078" w:rsidP="00BD4078">
      <w:pPr>
        <w:spacing w:after="0"/>
        <w:rPr>
          <w:color w:val="142147" w:themeColor="accent1"/>
        </w:rPr>
      </w:pPr>
      <w:r w:rsidRPr="00E94D19">
        <w:rPr>
          <w:b/>
          <w:bCs/>
          <w:color w:val="142147" w:themeColor="accent1"/>
        </w:rPr>
        <w:t>Note</w:t>
      </w:r>
      <w:r w:rsidRPr="00D22DB3">
        <w:rPr>
          <w:color w:val="142147" w:themeColor="accent1"/>
        </w:rPr>
        <w:t xml:space="preserve">. The ATO’s public disclosures with respect to </w:t>
      </w:r>
      <w:r w:rsidR="004C5F9F">
        <w:rPr>
          <w:color w:val="142147" w:themeColor="accent1"/>
        </w:rPr>
        <w:t>PAA</w:t>
      </w:r>
      <w:r>
        <w:rPr>
          <w:color w:val="142147" w:themeColor="accent1"/>
        </w:rPr>
        <w:t xml:space="preserve"> Ltd’s </w:t>
      </w:r>
      <w:r w:rsidR="00FE688C">
        <w:rPr>
          <w:color w:val="142147" w:themeColor="accent1"/>
        </w:rPr>
        <w:t>2025</w:t>
      </w:r>
      <w:r>
        <w:rPr>
          <w:color w:val="142147" w:themeColor="accent1"/>
        </w:rPr>
        <w:t xml:space="preserve"> </w:t>
      </w:r>
      <w:r w:rsidRPr="00D22DB3">
        <w:rPr>
          <w:color w:val="142147" w:themeColor="accent1"/>
        </w:rPr>
        <w:t xml:space="preserve">income tax return are expected to be </w:t>
      </w:r>
      <w:r>
        <w:rPr>
          <w:color w:val="142147" w:themeColor="accent1"/>
        </w:rPr>
        <w:t>released by the ATO</w:t>
      </w:r>
      <w:r w:rsidRPr="00D22DB3">
        <w:rPr>
          <w:color w:val="142147" w:themeColor="accent1"/>
        </w:rPr>
        <w:t xml:space="preserve"> in late </w:t>
      </w:r>
      <w:r w:rsidR="00581B46">
        <w:rPr>
          <w:color w:val="142147" w:themeColor="accent1"/>
        </w:rPr>
        <w:t>202</w:t>
      </w:r>
      <w:r w:rsidR="001C0078">
        <w:rPr>
          <w:color w:val="142147" w:themeColor="accent1"/>
        </w:rPr>
        <w:t>6</w:t>
      </w:r>
      <w:r>
        <w:rPr>
          <w:color w:val="142147" w:themeColor="accent1"/>
        </w:rPr>
        <w:t xml:space="preserve"> </w:t>
      </w:r>
      <w:r w:rsidRPr="00D22DB3">
        <w:rPr>
          <w:color w:val="142147" w:themeColor="accent1"/>
        </w:rPr>
        <w:t xml:space="preserve">and will be reconciled in </w:t>
      </w:r>
      <w:r w:rsidR="004C5F9F">
        <w:rPr>
          <w:color w:val="142147" w:themeColor="accent1"/>
        </w:rPr>
        <w:t>PAA</w:t>
      </w:r>
      <w:r>
        <w:rPr>
          <w:color w:val="142147" w:themeColor="accent1"/>
        </w:rPr>
        <w:t xml:space="preserve"> Ltd’s </w:t>
      </w:r>
      <w:r w:rsidR="00221C2D">
        <w:rPr>
          <w:color w:val="142147" w:themeColor="accent1"/>
        </w:rPr>
        <w:t>202</w:t>
      </w:r>
      <w:r w:rsidR="001C547F">
        <w:rPr>
          <w:color w:val="142147" w:themeColor="accent1"/>
        </w:rPr>
        <w:t>6</w:t>
      </w:r>
      <w:r>
        <w:rPr>
          <w:color w:val="142147" w:themeColor="accent1"/>
        </w:rPr>
        <w:t xml:space="preserve"> </w:t>
      </w:r>
      <w:r w:rsidRPr="00D22DB3">
        <w:rPr>
          <w:color w:val="142147" w:themeColor="accent1"/>
        </w:rPr>
        <w:t>Tax Transparency Report.</w:t>
      </w:r>
      <w:r w:rsidR="0031423A">
        <w:rPr>
          <w:rStyle w:val="FootnoteReference"/>
          <w:color w:val="142147" w:themeColor="accent1"/>
        </w:rPr>
        <w:footnoteReference w:id="19"/>
      </w:r>
      <w:r w:rsidRPr="00D22DB3">
        <w:rPr>
          <w:color w:val="142147" w:themeColor="accent1"/>
        </w:rPr>
        <w:t xml:space="preserve">  </w:t>
      </w:r>
    </w:p>
    <w:p w14:paraId="3E9A4407" w14:textId="77777777" w:rsidR="00BD4078" w:rsidRPr="00AB5894" w:rsidRDefault="00BD4078" w:rsidP="00BD4078">
      <w:pPr>
        <w:pStyle w:val="Heading3"/>
      </w:pPr>
      <w:r w:rsidRPr="00AB5894">
        <w:t xml:space="preserve">A reconciliation of accounting profit to income tax expense to income tax paid or payable </w:t>
      </w:r>
    </w:p>
    <w:p w14:paraId="3F309669" w14:textId="6FC64519" w:rsidR="00BD4078" w:rsidRDefault="00BD4078" w:rsidP="000669D4">
      <w:pPr>
        <w:pStyle w:val="Bullet"/>
        <w:numPr>
          <w:ilvl w:val="0"/>
          <w:numId w:val="0"/>
        </w:numPr>
        <w:rPr>
          <w:color w:val="142147" w:themeColor="accent1"/>
        </w:rPr>
      </w:pPr>
      <w:r>
        <w:rPr>
          <w:color w:val="142147" w:themeColor="accent1"/>
        </w:rPr>
        <w:t xml:space="preserve">A reconciliation of </w:t>
      </w:r>
      <w:r w:rsidR="004C5F9F">
        <w:rPr>
          <w:color w:val="142147" w:themeColor="accent1"/>
        </w:rPr>
        <w:t>PAA</w:t>
      </w:r>
      <w:r>
        <w:rPr>
          <w:color w:val="142147" w:themeColor="accent1"/>
        </w:rPr>
        <w:t xml:space="preserve"> Ltd’s accounting profit to income tax payable is set out in the below table. The following gave rise to differences between tax and accounting treatment during the period: </w:t>
      </w:r>
    </w:p>
    <w:p w14:paraId="46071A21" w14:textId="77777777" w:rsidR="00BD4078" w:rsidRPr="00E85F37" w:rsidRDefault="00BD4078" w:rsidP="00BD4078">
      <w:pPr>
        <w:pStyle w:val="Bullet"/>
        <w:tabs>
          <w:tab w:val="clear" w:pos="520"/>
          <w:tab w:val="num" w:pos="567"/>
        </w:tabs>
      </w:pPr>
      <w:r w:rsidRPr="000B05D8">
        <w:rPr>
          <w:color w:val="142147" w:themeColor="accent1"/>
        </w:rPr>
        <w:t xml:space="preserve">Differences in tax rates in </w:t>
      </w:r>
      <w:r>
        <w:rPr>
          <w:color w:val="142147" w:themeColor="accent1"/>
        </w:rPr>
        <w:t xml:space="preserve">the </w:t>
      </w:r>
      <w:r w:rsidRPr="000B05D8">
        <w:rPr>
          <w:color w:val="142147" w:themeColor="accent1"/>
        </w:rPr>
        <w:t>countries in which we operate</w:t>
      </w:r>
      <w:r>
        <w:rPr>
          <w:color w:val="142147" w:themeColor="accent1"/>
        </w:rPr>
        <w:t xml:space="preserve">; </w:t>
      </w:r>
    </w:p>
    <w:p w14:paraId="1982319E" w14:textId="77777777" w:rsidR="00BD4078" w:rsidRPr="00613DDE" w:rsidRDefault="00BD4078" w:rsidP="00BD4078">
      <w:pPr>
        <w:pStyle w:val="Bullet"/>
        <w:tabs>
          <w:tab w:val="clear" w:pos="520"/>
          <w:tab w:val="num" w:pos="567"/>
        </w:tabs>
        <w:rPr>
          <w:b/>
          <w:bCs/>
        </w:rPr>
      </w:pPr>
      <w:r>
        <w:rPr>
          <w:color w:val="142147" w:themeColor="accent1"/>
        </w:rPr>
        <w:t xml:space="preserve">Country specific allowances and disallowances or limitations of certain deductions in countries; </w:t>
      </w:r>
    </w:p>
    <w:p w14:paraId="32B634C5" w14:textId="77777777" w:rsidR="00BD4078" w:rsidRPr="006374E9" w:rsidRDefault="00BD4078" w:rsidP="00BD4078">
      <w:pPr>
        <w:pStyle w:val="Bullet"/>
        <w:tabs>
          <w:tab w:val="clear" w:pos="520"/>
          <w:tab w:val="num" w:pos="567"/>
        </w:tabs>
      </w:pPr>
      <w:r w:rsidRPr="006E39B1">
        <w:rPr>
          <w:color w:val="142147" w:themeColor="accent1"/>
        </w:rPr>
        <w:t xml:space="preserve">Application </w:t>
      </w:r>
      <w:r>
        <w:rPr>
          <w:color w:val="142147" w:themeColor="accent1"/>
        </w:rPr>
        <w:t xml:space="preserve">of carried forward losses from prior financial years; </w:t>
      </w:r>
    </w:p>
    <w:p w14:paraId="13133027" w14:textId="77777777" w:rsidR="00BD4078" w:rsidRPr="006E39B1" w:rsidRDefault="00BD4078" w:rsidP="00BD4078">
      <w:pPr>
        <w:pStyle w:val="Bullet"/>
        <w:tabs>
          <w:tab w:val="clear" w:pos="520"/>
          <w:tab w:val="num" w:pos="567"/>
        </w:tabs>
        <w:rPr>
          <w:color w:val="142147" w:themeColor="accent1"/>
        </w:rPr>
      </w:pPr>
      <w:r w:rsidRPr="006E39B1">
        <w:rPr>
          <w:color w:val="142147" w:themeColor="accent1"/>
        </w:rPr>
        <w:t xml:space="preserve">Timing differences and losses recognised in deferred tax liabilities; </w:t>
      </w:r>
      <w:r>
        <w:rPr>
          <w:color w:val="142147" w:themeColor="accent1"/>
        </w:rPr>
        <w:t>and</w:t>
      </w:r>
    </w:p>
    <w:p w14:paraId="622AFFB0" w14:textId="77777777" w:rsidR="00BD4078" w:rsidRPr="006E39B1" w:rsidRDefault="00BD4078" w:rsidP="00BD4078">
      <w:pPr>
        <w:pStyle w:val="Bullet"/>
        <w:tabs>
          <w:tab w:val="clear" w:pos="520"/>
          <w:tab w:val="num" w:pos="567"/>
        </w:tabs>
        <w:rPr>
          <w:color w:val="142147" w:themeColor="accent1"/>
        </w:rPr>
      </w:pPr>
      <w:r w:rsidRPr="006E39B1">
        <w:rPr>
          <w:color w:val="142147" w:themeColor="accent1"/>
        </w:rPr>
        <w:t xml:space="preserve">Current year tax payable in </w:t>
      </w:r>
      <w:r>
        <w:rPr>
          <w:color w:val="142147" w:themeColor="accent1"/>
        </w:rPr>
        <w:t xml:space="preserve">the </w:t>
      </w:r>
      <w:r w:rsidRPr="006E39B1">
        <w:rPr>
          <w:color w:val="142147" w:themeColor="accent1"/>
        </w:rPr>
        <w:t xml:space="preserve">next financial year. </w:t>
      </w:r>
    </w:p>
    <w:tbl>
      <w:tblPr>
        <w:tblStyle w:val="PlainTable5"/>
        <w:tblW w:w="0" w:type="auto"/>
        <w:tblLook w:val="04A0" w:firstRow="1" w:lastRow="0" w:firstColumn="1" w:lastColumn="0" w:noHBand="0" w:noVBand="1"/>
      </w:tblPr>
      <w:tblGrid>
        <w:gridCol w:w="5387"/>
        <w:gridCol w:w="1984"/>
        <w:gridCol w:w="2010"/>
      </w:tblGrid>
      <w:tr w:rsidR="00BD4078" w:rsidRPr="001738BD" w14:paraId="35B89155" w14:textId="77777777" w:rsidTr="00A02E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87" w:type="dxa"/>
            <w:tcBorders>
              <w:bottom w:val="single" w:sz="4" w:space="0" w:color="701F4D"/>
            </w:tcBorders>
            <w:shd w:val="clear" w:color="auto" w:fill="142147" w:themeFill="accent1"/>
          </w:tcPr>
          <w:p w14:paraId="269FF3A2" w14:textId="57C131E9" w:rsidR="00BD4078" w:rsidRPr="0083010D" w:rsidRDefault="00BD4078">
            <w:pPr>
              <w:jc w:val="left"/>
              <w:rPr>
                <w:rFonts w:asciiTheme="minorHAnsi" w:hAnsiTheme="minorHAnsi" w:cstheme="minorHAnsi"/>
                <w:b/>
                <w:bCs/>
                <w:i w:val="0"/>
                <w:iCs w:val="0"/>
                <w:color w:val="FFFFFF" w:themeColor="background1"/>
                <w:sz w:val="24"/>
                <w:szCs w:val="24"/>
              </w:rPr>
            </w:pPr>
            <w:bookmarkStart w:id="68" w:name="_Hlk193718112"/>
            <w:r w:rsidRPr="0083010D">
              <w:rPr>
                <w:rFonts w:asciiTheme="minorHAnsi" w:hAnsiTheme="minorHAnsi" w:cstheme="minorHAnsi"/>
                <w:b/>
                <w:bCs/>
                <w:i w:val="0"/>
                <w:iCs w:val="0"/>
                <w:color w:val="FFFFFF" w:themeColor="background1"/>
                <w:sz w:val="24"/>
                <w:szCs w:val="24"/>
              </w:rPr>
              <w:t xml:space="preserve">Reconciliation </w:t>
            </w:r>
            <w:r>
              <w:rPr>
                <w:rFonts w:asciiTheme="minorHAnsi" w:hAnsiTheme="minorHAnsi" w:cstheme="minorHAnsi"/>
                <w:b/>
                <w:bCs/>
                <w:i w:val="0"/>
                <w:iCs w:val="0"/>
                <w:color w:val="FFFFFF" w:themeColor="background1"/>
                <w:sz w:val="24"/>
                <w:szCs w:val="24"/>
              </w:rPr>
              <w:t>for</w:t>
            </w:r>
            <w:r w:rsidRPr="0083010D">
              <w:rPr>
                <w:rFonts w:asciiTheme="minorHAnsi" w:hAnsiTheme="minorHAnsi" w:cstheme="minorHAnsi"/>
                <w:b/>
                <w:bCs/>
                <w:i w:val="0"/>
                <w:iCs w:val="0"/>
                <w:color w:val="FFFFFF" w:themeColor="background1"/>
                <w:sz w:val="24"/>
                <w:szCs w:val="24"/>
              </w:rPr>
              <w:t xml:space="preserve"> </w:t>
            </w:r>
            <w:r w:rsidR="004C5F9F">
              <w:rPr>
                <w:rFonts w:asciiTheme="minorHAnsi" w:hAnsiTheme="minorHAnsi" w:cstheme="minorHAnsi"/>
                <w:b/>
                <w:bCs/>
                <w:i w:val="0"/>
                <w:iCs w:val="0"/>
                <w:color w:val="FFFFFF" w:themeColor="background1"/>
                <w:sz w:val="24"/>
                <w:szCs w:val="24"/>
              </w:rPr>
              <w:t>PAA</w:t>
            </w:r>
            <w:r>
              <w:rPr>
                <w:rFonts w:asciiTheme="minorHAnsi" w:hAnsiTheme="minorHAnsi" w:cstheme="minorHAnsi"/>
                <w:b/>
                <w:bCs/>
                <w:i w:val="0"/>
                <w:iCs w:val="0"/>
                <w:color w:val="FFFFFF" w:themeColor="background1"/>
                <w:sz w:val="24"/>
                <w:szCs w:val="24"/>
              </w:rPr>
              <w:t xml:space="preserve"> Ltd </w:t>
            </w:r>
            <w:r w:rsidRPr="0083010D">
              <w:rPr>
                <w:rFonts w:asciiTheme="minorHAnsi" w:hAnsiTheme="minorHAnsi" w:cstheme="minorHAnsi"/>
                <w:b/>
                <w:bCs/>
                <w:i w:val="0"/>
                <w:iCs w:val="0"/>
                <w:color w:val="FFFFFF" w:themeColor="background1"/>
                <w:sz w:val="24"/>
                <w:szCs w:val="24"/>
              </w:rPr>
              <w:t xml:space="preserve">for the </w:t>
            </w:r>
            <w:r w:rsidR="00FE688C">
              <w:rPr>
                <w:rFonts w:asciiTheme="minorHAnsi" w:hAnsiTheme="minorHAnsi" w:cstheme="minorHAnsi"/>
                <w:b/>
                <w:bCs/>
                <w:i w:val="0"/>
                <w:iCs w:val="0"/>
                <w:color w:val="FFFFFF" w:themeColor="background1"/>
                <w:sz w:val="24"/>
                <w:szCs w:val="24"/>
              </w:rPr>
              <w:t>2025</w:t>
            </w:r>
            <w:r>
              <w:rPr>
                <w:rFonts w:asciiTheme="minorHAnsi" w:hAnsiTheme="minorHAnsi" w:cstheme="minorHAnsi"/>
                <w:b/>
                <w:bCs/>
                <w:i w:val="0"/>
                <w:iCs w:val="0"/>
                <w:color w:val="FFFFFF" w:themeColor="background1"/>
                <w:sz w:val="24"/>
                <w:szCs w:val="24"/>
              </w:rPr>
              <w:t xml:space="preserve"> FY</w:t>
            </w:r>
          </w:p>
        </w:tc>
        <w:tc>
          <w:tcPr>
            <w:tcW w:w="1984" w:type="dxa"/>
            <w:tcBorders>
              <w:bottom w:val="single" w:sz="4" w:space="0" w:color="701F4D"/>
            </w:tcBorders>
            <w:shd w:val="clear" w:color="auto" w:fill="142147" w:themeFill="accent1"/>
          </w:tcPr>
          <w:p w14:paraId="61524885" w14:textId="454B8631" w:rsidR="00BD4078" w:rsidRPr="0083010D" w:rsidRDefault="00FE68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FFFFFF" w:themeColor="background1"/>
                <w:sz w:val="24"/>
                <w:szCs w:val="24"/>
              </w:rPr>
            </w:pPr>
            <w:r>
              <w:rPr>
                <w:rFonts w:asciiTheme="minorHAnsi" w:hAnsiTheme="minorHAnsi" w:cstheme="minorHAnsi"/>
                <w:b/>
                <w:bCs/>
                <w:i w:val="0"/>
                <w:iCs w:val="0"/>
                <w:color w:val="FFFFFF" w:themeColor="background1"/>
                <w:sz w:val="24"/>
                <w:szCs w:val="24"/>
              </w:rPr>
              <w:t>2025</w:t>
            </w:r>
            <w:r w:rsidR="00BD4078">
              <w:rPr>
                <w:rFonts w:asciiTheme="minorHAnsi" w:hAnsiTheme="minorHAnsi" w:cstheme="minorHAnsi"/>
                <w:b/>
                <w:bCs/>
                <w:i w:val="0"/>
                <w:iCs w:val="0"/>
                <w:color w:val="FFFFFF" w:themeColor="background1"/>
                <w:sz w:val="24"/>
                <w:szCs w:val="24"/>
              </w:rPr>
              <w:t xml:space="preserve"> FY</w:t>
            </w:r>
            <w:r w:rsidR="00BD4078" w:rsidRPr="0083010D">
              <w:rPr>
                <w:rFonts w:asciiTheme="minorHAnsi" w:hAnsiTheme="minorHAnsi" w:cstheme="minorHAnsi"/>
                <w:b/>
                <w:bCs/>
                <w:i w:val="0"/>
                <w:iCs w:val="0"/>
                <w:color w:val="FFFFFF" w:themeColor="background1"/>
                <w:sz w:val="24"/>
                <w:szCs w:val="24"/>
              </w:rPr>
              <w:t xml:space="preserve"> </w:t>
            </w:r>
            <w:r w:rsidR="00BD4078" w:rsidRPr="00E3260B">
              <w:rPr>
                <w:rFonts w:asciiTheme="minorHAnsi" w:hAnsiTheme="minorHAnsi" w:cstheme="minorHAnsi"/>
                <w:b/>
                <w:bCs/>
                <w:i w:val="0"/>
                <w:iCs w:val="0"/>
                <w:color w:val="FFFFFF" w:themeColor="background1"/>
                <w:sz w:val="24"/>
                <w:szCs w:val="24"/>
              </w:rPr>
              <w:t>($,000)</w:t>
            </w:r>
          </w:p>
        </w:tc>
        <w:tc>
          <w:tcPr>
            <w:tcW w:w="2010" w:type="dxa"/>
            <w:tcBorders>
              <w:bottom w:val="single" w:sz="4" w:space="0" w:color="701F4D"/>
            </w:tcBorders>
            <w:shd w:val="clear" w:color="auto" w:fill="142147" w:themeFill="accent1"/>
          </w:tcPr>
          <w:p w14:paraId="2CB4F8C6" w14:textId="7470F5B2" w:rsidR="00BD4078" w:rsidRPr="0083010D" w:rsidRDefault="00FE68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color w:val="FFFFFF" w:themeColor="background1"/>
                <w:sz w:val="24"/>
                <w:szCs w:val="24"/>
              </w:rPr>
            </w:pPr>
            <w:r>
              <w:rPr>
                <w:rFonts w:asciiTheme="minorHAnsi" w:hAnsiTheme="minorHAnsi" w:cstheme="minorHAnsi"/>
                <w:b/>
                <w:bCs/>
                <w:i w:val="0"/>
                <w:iCs w:val="0"/>
                <w:color w:val="FFFFFF" w:themeColor="background1"/>
                <w:sz w:val="24"/>
                <w:szCs w:val="24"/>
              </w:rPr>
              <w:t>2024</w:t>
            </w:r>
            <w:r w:rsidR="00BD4078">
              <w:rPr>
                <w:rFonts w:asciiTheme="minorHAnsi" w:hAnsiTheme="minorHAnsi" w:cstheme="minorHAnsi"/>
                <w:b/>
                <w:bCs/>
                <w:i w:val="0"/>
                <w:iCs w:val="0"/>
                <w:color w:val="FFFFFF" w:themeColor="background1"/>
                <w:sz w:val="24"/>
                <w:szCs w:val="24"/>
              </w:rPr>
              <w:t xml:space="preserve"> FY</w:t>
            </w:r>
            <w:r w:rsidR="00BD4078" w:rsidRPr="0083010D">
              <w:rPr>
                <w:rFonts w:asciiTheme="minorHAnsi" w:hAnsiTheme="minorHAnsi" w:cstheme="minorHAnsi"/>
                <w:b/>
                <w:bCs/>
                <w:i w:val="0"/>
                <w:iCs w:val="0"/>
                <w:color w:val="FFFFFF" w:themeColor="background1"/>
                <w:sz w:val="24"/>
                <w:szCs w:val="24"/>
              </w:rPr>
              <w:t xml:space="preserve"> </w:t>
            </w:r>
            <w:r w:rsidR="00BD4078" w:rsidRPr="00E3260B">
              <w:rPr>
                <w:rFonts w:asciiTheme="minorHAnsi" w:hAnsiTheme="minorHAnsi" w:cstheme="minorHAnsi"/>
                <w:b/>
                <w:bCs/>
                <w:i w:val="0"/>
                <w:iCs w:val="0"/>
                <w:color w:val="FFFFFF" w:themeColor="background1"/>
                <w:sz w:val="24"/>
                <w:szCs w:val="24"/>
              </w:rPr>
              <w:t>($,000)</w:t>
            </w:r>
          </w:p>
        </w:tc>
      </w:tr>
      <w:tr w:rsidR="00BD4078" w:rsidRPr="001738BD" w14:paraId="5D9533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1" w:type="dxa"/>
            <w:gridSpan w:val="3"/>
            <w:tcBorders>
              <w:top w:val="single" w:sz="4" w:space="0" w:color="701F4D"/>
              <w:bottom w:val="single" w:sz="4" w:space="0" w:color="701F4D"/>
            </w:tcBorders>
            <w:shd w:val="clear" w:color="auto" w:fill="701F4D" w:themeFill="accent2"/>
          </w:tcPr>
          <w:p w14:paraId="04AC35B6" w14:textId="77777777" w:rsidR="00BD4078" w:rsidRPr="001364B2" w:rsidRDefault="00BD4078">
            <w:pPr>
              <w:jc w:val="left"/>
              <w:rPr>
                <w:rFonts w:asciiTheme="minorHAnsi" w:hAnsiTheme="minorHAnsi" w:cstheme="minorHAnsi"/>
                <w:b/>
                <w:bCs/>
                <w:i w:val="0"/>
                <w:iCs w:val="0"/>
                <w:color w:val="FFFFFF" w:themeColor="background1"/>
                <w:sz w:val="22"/>
              </w:rPr>
            </w:pPr>
            <w:r w:rsidRPr="001364B2">
              <w:rPr>
                <w:rFonts w:asciiTheme="minorHAnsi" w:hAnsiTheme="minorHAnsi" w:cstheme="minorHAnsi"/>
                <w:b/>
                <w:bCs/>
                <w:i w:val="0"/>
                <w:iCs w:val="0"/>
                <w:color w:val="FFFFFF" w:themeColor="background1"/>
                <w:sz w:val="22"/>
              </w:rPr>
              <w:t xml:space="preserve">Total </w:t>
            </w:r>
            <w:r>
              <w:rPr>
                <w:rFonts w:asciiTheme="minorHAnsi" w:hAnsiTheme="minorHAnsi" w:cstheme="minorHAnsi"/>
                <w:b/>
                <w:bCs/>
                <w:i w:val="0"/>
                <w:iCs w:val="0"/>
                <w:color w:val="FFFFFF" w:themeColor="background1"/>
                <w:sz w:val="22"/>
              </w:rPr>
              <w:t xml:space="preserve">Australian </w:t>
            </w:r>
            <w:r w:rsidRPr="001364B2">
              <w:rPr>
                <w:rFonts w:asciiTheme="minorHAnsi" w:hAnsiTheme="minorHAnsi" w:cstheme="minorHAnsi"/>
                <w:b/>
                <w:bCs/>
                <w:i w:val="0"/>
                <w:iCs w:val="0"/>
                <w:color w:val="FFFFFF" w:themeColor="background1"/>
                <w:sz w:val="22"/>
              </w:rPr>
              <w:t>income and accounting profit</w:t>
            </w:r>
          </w:p>
        </w:tc>
      </w:tr>
      <w:tr w:rsidR="00BD4078" w:rsidRPr="001738BD" w14:paraId="0EEEE6D9"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3FED36CA" w14:textId="77777777" w:rsidR="00BD4078" w:rsidRPr="008B2BDE" w:rsidRDefault="00BD4078">
            <w:pPr>
              <w:jc w:val="left"/>
              <w:rPr>
                <w:rFonts w:asciiTheme="minorHAnsi" w:hAnsiTheme="minorHAnsi" w:cstheme="minorHAnsi"/>
                <w:b/>
                <w:bCs/>
                <w:i w:val="0"/>
                <w:iCs w:val="0"/>
                <w:color w:val="142147" w:themeColor="accent1"/>
                <w:sz w:val="22"/>
              </w:rPr>
            </w:pPr>
            <w:r w:rsidRPr="008B2BDE">
              <w:rPr>
                <w:rFonts w:asciiTheme="minorHAnsi" w:hAnsiTheme="minorHAnsi" w:cstheme="minorHAnsi"/>
                <w:b/>
                <w:bCs/>
                <w:i w:val="0"/>
                <w:iCs w:val="0"/>
                <w:color w:val="142147" w:themeColor="accent1"/>
                <w:sz w:val="22"/>
              </w:rPr>
              <w:t xml:space="preserve">Profit before income tax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0A5BB848" w14:textId="77777777" w:rsidR="00BD4078" w:rsidRPr="001738BD"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100,300</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7BB94DE9" w14:textId="77777777" w:rsidR="00BD4078" w:rsidRPr="001738BD"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98,200</w:t>
            </w:r>
          </w:p>
        </w:tc>
      </w:tr>
      <w:tr w:rsidR="00BD4078" w:rsidRPr="009171B2" w14:paraId="3B1C58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7E1AC867" w14:textId="77777777" w:rsidR="00BD4078" w:rsidRDefault="00BD4078">
            <w:pPr>
              <w:jc w:val="left"/>
              <w:rPr>
                <w:rFonts w:asciiTheme="minorHAnsi" w:hAnsiTheme="minorHAnsi" w:cstheme="minorHAnsi"/>
                <w:color w:val="142147" w:themeColor="accent1"/>
              </w:rPr>
            </w:pPr>
            <w:r>
              <w:rPr>
                <w:rFonts w:asciiTheme="minorHAnsi" w:hAnsiTheme="minorHAnsi" w:cstheme="minorHAnsi"/>
                <w:b/>
                <w:bCs/>
                <w:i w:val="0"/>
                <w:iCs w:val="0"/>
                <w:color w:val="142147" w:themeColor="accent1"/>
                <w:sz w:val="22"/>
              </w:rPr>
              <w:t>Income tax at 30% statutory rate</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648712BF" w14:textId="77777777" w:rsidR="00BD4078" w:rsidRPr="00857A69"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(30,090)</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2CE728FE" w14:textId="77777777" w:rsidR="00BD4078" w:rsidRPr="00857A69"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(29,460)</w:t>
            </w:r>
          </w:p>
        </w:tc>
      </w:tr>
      <w:tr w:rsidR="00BD4078" w:rsidRPr="009171B2" w14:paraId="0A58428D"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497E604F" w14:textId="77777777" w:rsidR="00BD4078" w:rsidRPr="001D295A" w:rsidRDefault="00BD4078">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 xml:space="preserve">Share of net profit of associates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104181EE" w14:textId="77777777" w:rsidR="00BD4078"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1,920</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3C224906"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1,833</w:t>
            </w:r>
          </w:p>
        </w:tc>
      </w:tr>
      <w:tr w:rsidR="00BD4078" w:rsidRPr="009171B2" w14:paraId="568DE7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76FDC6C1" w14:textId="77777777" w:rsidR="00BD4078" w:rsidRPr="002B5B81" w:rsidRDefault="00BD4078">
            <w:pPr>
              <w:jc w:val="left"/>
              <w:rPr>
                <w:rFonts w:asciiTheme="minorHAnsi" w:hAnsiTheme="minorHAnsi" w:cstheme="minorHAnsi"/>
                <w:i w:val="0"/>
                <w:iCs w:val="0"/>
                <w:color w:val="142147" w:themeColor="accent1"/>
              </w:rPr>
            </w:pPr>
            <w:r w:rsidRPr="00852208">
              <w:rPr>
                <w:rFonts w:asciiTheme="minorHAnsi" w:hAnsiTheme="minorHAnsi" w:cstheme="minorHAnsi"/>
                <w:i w:val="0"/>
                <w:iCs w:val="0"/>
                <w:color w:val="142147" w:themeColor="accent1"/>
                <w:sz w:val="22"/>
              </w:rPr>
              <w:t>Taxable profit on property sales</w:t>
            </w:r>
            <w:r>
              <w:rPr>
                <w:rFonts w:asciiTheme="minorHAnsi" w:hAnsiTheme="minorHAnsi" w:cstheme="minorHAnsi"/>
                <w:i w:val="0"/>
                <w:iCs w:val="0"/>
                <w:color w:val="142147" w:themeColor="accent1"/>
              </w:rPr>
              <w:t xml:space="preserve">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00BEC869" w14:textId="77777777" w:rsidR="00BD4078"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(233)</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321B2602" w14:textId="77777777" w:rsidR="00BD4078" w:rsidRPr="009171B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(133)</w:t>
            </w:r>
          </w:p>
        </w:tc>
      </w:tr>
      <w:tr w:rsidR="00BD4078" w:rsidRPr="009171B2" w14:paraId="50F3114F"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1CFAF23A" w14:textId="77777777" w:rsidR="00BD4078" w:rsidRPr="00852208" w:rsidRDefault="00BD4078">
            <w:pPr>
              <w:jc w:val="left"/>
              <w:rPr>
                <w:rFonts w:asciiTheme="minorHAnsi" w:hAnsiTheme="minorHAnsi" w:cstheme="minorHAnsi"/>
                <w:i w:val="0"/>
                <w:iCs w:val="0"/>
                <w:color w:val="142147" w:themeColor="accent1"/>
              </w:rPr>
            </w:pPr>
            <w:r w:rsidRPr="000F741A">
              <w:rPr>
                <w:rFonts w:asciiTheme="minorHAnsi" w:hAnsiTheme="minorHAnsi" w:cstheme="minorHAnsi"/>
                <w:i w:val="0"/>
                <w:iCs w:val="0"/>
                <w:color w:val="142147" w:themeColor="accent1"/>
                <w:sz w:val="22"/>
              </w:rPr>
              <w:t>Subsidiary provisions/impairments</w:t>
            </w:r>
            <w:r>
              <w:rPr>
                <w:rFonts w:asciiTheme="minorHAnsi" w:hAnsiTheme="minorHAnsi" w:cstheme="minorHAnsi"/>
                <w:i w:val="0"/>
                <w:iCs w:val="0"/>
                <w:color w:val="142147" w:themeColor="accent1"/>
              </w:rPr>
              <w:t xml:space="preserve">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622B4CD2" w14:textId="77777777" w:rsidR="00BD4078" w:rsidRPr="0046450E"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46450E">
              <w:rPr>
                <w:rFonts w:asciiTheme="minorHAnsi" w:hAnsiTheme="minorHAnsi" w:cstheme="minorHAnsi"/>
                <w:color w:val="142147" w:themeColor="accent1"/>
              </w:rPr>
              <w:t>612</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322F0582" w14:textId="77777777" w:rsidR="00BD4078" w:rsidRPr="0046450E"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sidRPr="0046450E">
              <w:rPr>
                <w:rFonts w:asciiTheme="minorHAnsi" w:hAnsiTheme="minorHAnsi" w:cstheme="minorHAnsi"/>
                <w:color w:val="142147" w:themeColor="accent1"/>
              </w:rPr>
              <w:t>(2,643)</w:t>
            </w:r>
          </w:p>
        </w:tc>
      </w:tr>
      <w:tr w:rsidR="00BD4078" w:rsidRPr="009171B2" w14:paraId="41BE30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17EBEFAC" w14:textId="77777777" w:rsidR="00BD4078" w:rsidRPr="007A0BF0" w:rsidRDefault="00BD4078">
            <w:pPr>
              <w:jc w:val="left"/>
              <w:rPr>
                <w:rFonts w:asciiTheme="minorHAnsi" w:hAnsiTheme="minorHAnsi" w:cstheme="minorHAnsi"/>
                <w:b/>
                <w:bCs/>
                <w:i w:val="0"/>
                <w:iCs w:val="0"/>
                <w:color w:val="142147" w:themeColor="accent1"/>
                <w:sz w:val="22"/>
              </w:rPr>
            </w:pPr>
            <w:r>
              <w:rPr>
                <w:rFonts w:asciiTheme="minorHAnsi" w:hAnsiTheme="minorHAnsi" w:cstheme="minorHAnsi"/>
                <w:b/>
                <w:bCs/>
                <w:i w:val="0"/>
                <w:iCs w:val="0"/>
                <w:color w:val="142147" w:themeColor="accent1"/>
                <w:sz w:val="22"/>
              </w:rPr>
              <w:t xml:space="preserve">Total income tax expense on current year profit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51566982" w14:textId="77777777" w:rsidR="00BD4078" w:rsidRPr="0046450E"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46450E">
              <w:rPr>
                <w:rFonts w:asciiTheme="minorHAnsi" w:hAnsiTheme="minorHAnsi" w:cstheme="minorHAnsi"/>
                <w:b/>
                <w:bCs/>
                <w:color w:val="142147" w:themeColor="accent1"/>
              </w:rPr>
              <w:t>(27,</w:t>
            </w:r>
            <w:r>
              <w:rPr>
                <w:rFonts w:asciiTheme="minorHAnsi" w:hAnsiTheme="minorHAnsi" w:cstheme="minorHAnsi"/>
                <w:b/>
                <w:bCs/>
                <w:color w:val="142147" w:themeColor="accent1"/>
              </w:rPr>
              <w:t>791</w:t>
            </w:r>
            <w:r w:rsidRPr="0046450E">
              <w:rPr>
                <w:rFonts w:asciiTheme="minorHAnsi" w:hAnsiTheme="minorHAnsi" w:cstheme="minorHAnsi"/>
                <w:b/>
                <w:bCs/>
                <w:color w:val="142147" w:themeColor="accent1"/>
              </w:rPr>
              <w:t>)</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7B1A79C3" w14:textId="77777777" w:rsidR="00BD4078" w:rsidRPr="0046450E"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46450E">
              <w:rPr>
                <w:rFonts w:asciiTheme="minorHAnsi" w:hAnsiTheme="minorHAnsi" w:cstheme="minorHAnsi"/>
                <w:b/>
                <w:bCs/>
                <w:color w:val="142147" w:themeColor="accent1"/>
              </w:rPr>
              <w:t>(30,403)</w:t>
            </w:r>
          </w:p>
        </w:tc>
      </w:tr>
      <w:tr w:rsidR="00BD4078" w:rsidRPr="009171B2" w14:paraId="74110785"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right w:val="single" w:sz="4" w:space="0" w:color="701F4D"/>
            </w:tcBorders>
          </w:tcPr>
          <w:p w14:paraId="385249CF" w14:textId="77777777" w:rsidR="00BD4078" w:rsidRPr="00A37CFB" w:rsidRDefault="00BD4078">
            <w:pPr>
              <w:jc w:val="left"/>
              <w:rPr>
                <w:rFonts w:asciiTheme="minorHAnsi" w:hAnsiTheme="minorHAnsi" w:cstheme="minorHAnsi"/>
                <w:b/>
                <w:bCs/>
                <w:i w:val="0"/>
                <w:iCs w:val="0"/>
                <w:color w:val="142147" w:themeColor="accent1"/>
                <w:sz w:val="22"/>
              </w:rPr>
            </w:pPr>
            <w:r w:rsidRPr="00A37CFB">
              <w:rPr>
                <w:rFonts w:asciiTheme="minorHAnsi" w:hAnsiTheme="minorHAnsi" w:cstheme="minorHAnsi"/>
                <w:b/>
                <w:bCs/>
                <w:i w:val="0"/>
                <w:iCs w:val="0"/>
                <w:color w:val="142147" w:themeColor="accent1"/>
                <w:sz w:val="22"/>
              </w:rPr>
              <w:t xml:space="preserve">Effective tax rate  </w:t>
            </w:r>
          </w:p>
        </w:tc>
        <w:tc>
          <w:tcPr>
            <w:tcW w:w="1984" w:type="dxa"/>
            <w:tcBorders>
              <w:top w:val="single" w:sz="4" w:space="0" w:color="701F4D"/>
              <w:left w:val="single" w:sz="4" w:space="0" w:color="701F4D"/>
              <w:right w:val="single" w:sz="4" w:space="0" w:color="701F4D"/>
            </w:tcBorders>
            <w:shd w:val="clear" w:color="auto" w:fill="F6F2ED" w:themeFill="accent3" w:themeFillTint="33"/>
          </w:tcPr>
          <w:p w14:paraId="47E664DD" w14:textId="77777777" w:rsidR="00BD4078" w:rsidRPr="0046450E"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27.7</w:t>
            </w:r>
            <w:r w:rsidRPr="0046450E">
              <w:rPr>
                <w:rFonts w:asciiTheme="minorHAnsi" w:hAnsiTheme="minorHAnsi" w:cstheme="minorHAnsi"/>
                <w:b/>
                <w:bCs/>
                <w:color w:val="142147" w:themeColor="accent1"/>
              </w:rPr>
              <w:t>%</w:t>
            </w:r>
          </w:p>
        </w:tc>
        <w:tc>
          <w:tcPr>
            <w:tcW w:w="2010" w:type="dxa"/>
            <w:tcBorders>
              <w:top w:val="single" w:sz="4" w:space="0" w:color="701F4D"/>
              <w:left w:val="single" w:sz="4" w:space="0" w:color="701F4D"/>
            </w:tcBorders>
            <w:shd w:val="clear" w:color="auto" w:fill="F6F2ED" w:themeFill="accent3" w:themeFillTint="33"/>
          </w:tcPr>
          <w:p w14:paraId="6CB843E1" w14:textId="77777777" w:rsidR="00BD4078" w:rsidRPr="0046450E"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46450E">
              <w:rPr>
                <w:rFonts w:asciiTheme="minorHAnsi" w:hAnsiTheme="minorHAnsi" w:cstheme="minorHAnsi"/>
                <w:b/>
                <w:bCs/>
                <w:color w:val="142147" w:themeColor="accent1"/>
              </w:rPr>
              <w:t>30.9%</w:t>
            </w:r>
          </w:p>
        </w:tc>
      </w:tr>
      <w:tr w:rsidR="00BD4078" w:rsidRPr="009171B2" w14:paraId="44D541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1" w:type="dxa"/>
            <w:gridSpan w:val="3"/>
            <w:shd w:val="clear" w:color="auto" w:fill="701F4D" w:themeFill="accent2"/>
          </w:tcPr>
          <w:p w14:paraId="4C5A7207" w14:textId="77777777" w:rsidR="00BD4078" w:rsidRPr="009171B2" w:rsidRDefault="00BD4078">
            <w:pPr>
              <w:jc w:val="left"/>
              <w:rPr>
                <w:rFonts w:asciiTheme="minorHAnsi" w:hAnsiTheme="minorHAnsi" w:cstheme="minorHAnsi"/>
                <w:color w:val="142147" w:themeColor="accent1"/>
              </w:rPr>
            </w:pPr>
            <w:r>
              <w:rPr>
                <w:rFonts w:asciiTheme="minorHAnsi" w:hAnsiTheme="minorHAnsi" w:cstheme="minorHAnsi"/>
                <w:b/>
                <w:bCs/>
                <w:i w:val="0"/>
                <w:iCs w:val="0"/>
                <w:color w:val="FFFFFF" w:themeColor="background1"/>
                <w:sz w:val="22"/>
              </w:rPr>
              <w:t xml:space="preserve">Book to tax adjustments: </w:t>
            </w:r>
            <w:r w:rsidRPr="0050196A">
              <w:rPr>
                <w:rFonts w:asciiTheme="minorHAnsi" w:hAnsiTheme="minorHAnsi" w:cstheme="minorHAnsi"/>
                <w:b/>
                <w:bCs/>
                <w:i w:val="0"/>
                <w:iCs w:val="0"/>
                <w:color w:val="FFFFFF" w:themeColor="background1"/>
                <w:sz w:val="22"/>
              </w:rPr>
              <w:t>Temporary Differences</w:t>
            </w:r>
            <w:r w:rsidRPr="0050196A">
              <w:rPr>
                <w:rFonts w:asciiTheme="minorHAnsi" w:hAnsiTheme="minorHAnsi" w:cstheme="minorHAnsi"/>
                <w:i w:val="0"/>
                <w:iCs w:val="0"/>
                <w:color w:val="FFFFFF" w:themeColor="background1"/>
              </w:rPr>
              <w:t xml:space="preserve"> </w:t>
            </w:r>
          </w:p>
        </w:tc>
      </w:tr>
      <w:tr w:rsidR="00BD4078" w:rsidRPr="009171B2" w14:paraId="1A70D5DC" w14:textId="77777777">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701F4D"/>
              <w:right w:val="single" w:sz="4" w:space="0" w:color="701F4D"/>
            </w:tcBorders>
          </w:tcPr>
          <w:p w14:paraId="4451AA1B" w14:textId="77777777" w:rsidR="00BD4078" w:rsidRDefault="00BD4078">
            <w:pPr>
              <w:jc w:val="left"/>
              <w:rPr>
                <w:rFonts w:asciiTheme="minorHAnsi" w:hAnsiTheme="minorHAnsi" w:cstheme="minorHAnsi"/>
                <w:b/>
                <w:bCs/>
                <w:i w:val="0"/>
                <w:iCs w:val="0"/>
                <w:color w:val="142147" w:themeColor="accent1"/>
              </w:rPr>
            </w:pPr>
            <w:r>
              <w:rPr>
                <w:rFonts w:asciiTheme="minorHAnsi" w:hAnsiTheme="minorHAnsi" w:cstheme="minorHAnsi"/>
                <w:i w:val="0"/>
                <w:iCs w:val="0"/>
                <w:color w:val="142147" w:themeColor="accent1"/>
                <w:sz w:val="22"/>
              </w:rPr>
              <w:t xml:space="preserve">Recognition of carried forward capital tax losses </w:t>
            </w:r>
          </w:p>
        </w:tc>
        <w:tc>
          <w:tcPr>
            <w:tcW w:w="1984" w:type="dxa"/>
            <w:tcBorders>
              <w:left w:val="single" w:sz="4" w:space="0" w:color="701F4D"/>
              <w:bottom w:val="single" w:sz="4" w:space="0" w:color="701F4D"/>
              <w:right w:val="single" w:sz="4" w:space="0" w:color="701F4D"/>
            </w:tcBorders>
            <w:shd w:val="clear" w:color="auto" w:fill="F6F2ED" w:themeFill="accent3" w:themeFillTint="33"/>
          </w:tcPr>
          <w:p w14:paraId="0BF798D1" w14:textId="0C75CDF2" w:rsidR="00BD4078" w:rsidRPr="009171B2" w:rsidRDefault="00EA253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c>
          <w:tcPr>
            <w:tcW w:w="2010" w:type="dxa"/>
            <w:tcBorders>
              <w:left w:val="single" w:sz="4" w:space="0" w:color="701F4D"/>
              <w:bottom w:val="single" w:sz="4" w:space="0" w:color="701F4D"/>
            </w:tcBorders>
            <w:shd w:val="clear" w:color="auto" w:fill="F6F2ED" w:themeFill="accent3" w:themeFillTint="33"/>
          </w:tcPr>
          <w:p w14:paraId="34AE3696"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1,667</w:t>
            </w:r>
          </w:p>
        </w:tc>
      </w:tr>
      <w:tr w:rsidR="00BD4078" w:rsidRPr="009171B2" w14:paraId="3E6D88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75C929B1" w14:textId="77777777" w:rsidR="00BD4078" w:rsidRPr="00F6023F" w:rsidRDefault="00BD4078">
            <w:pPr>
              <w:jc w:val="left"/>
              <w:rPr>
                <w:rFonts w:asciiTheme="minorHAnsi" w:hAnsiTheme="minorHAnsi" w:cstheme="minorHAnsi"/>
                <w:i w:val="0"/>
                <w:iCs w:val="0"/>
                <w:color w:val="142147" w:themeColor="accent1"/>
                <w:sz w:val="22"/>
              </w:rPr>
            </w:pPr>
            <w:r w:rsidRPr="00F6023F">
              <w:rPr>
                <w:rFonts w:asciiTheme="minorHAnsi" w:hAnsiTheme="minorHAnsi" w:cstheme="minorHAnsi"/>
                <w:i w:val="0"/>
                <w:iCs w:val="0"/>
                <w:color w:val="142147" w:themeColor="accent1"/>
                <w:sz w:val="22"/>
              </w:rPr>
              <w:t xml:space="preserve">Recognition of carried forward tax losses </w:t>
            </w:r>
          </w:p>
        </w:tc>
        <w:tc>
          <w:tcPr>
            <w:tcW w:w="1984" w:type="dxa"/>
            <w:tcBorders>
              <w:top w:val="single" w:sz="4" w:space="0" w:color="701F4D"/>
              <w:left w:val="single" w:sz="4" w:space="0" w:color="701F4D"/>
              <w:bottom w:val="single" w:sz="4" w:space="0" w:color="701F4D"/>
              <w:right w:val="single" w:sz="4" w:space="0" w:color="701F4D" w:themeColor="accent2"/>
            </w:tcBorders>
            <w:shd w:val="clear" w:color="auto" w:fill="F6F2ED" w:themeFill="accent3" w:themeFillTint="33"/>
          </w:tcPr>
          <w:p w14:paraId="41516429" w14:textId="77777777" w:rsidR="00BD4078" w:rsidRPr="009171B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1,300</w:t>
            </w:r>
          </w:p>
        </w:tc>
        <w:tc>
          <w:tcPr>
            <w:tcW w:w="2010" w:type="dxa"/>
            <w:tcBorders>
              <w:top w:val="single" w:sz="4" w:space="0" w:color="701F4D"/>
              <w:left w:val="single" w:sz="4" w:space="0" w:color="701F4D" w:themeColor="accent2"/>
              <w:bottom w:val="single" w:sz="4" w:space="0" w:color="701F4D"/>
            </w:tcBorders>
            <w:shd w:val="clear" w:color="auto" w:fill="F6F2ED" w:themeFill="accent3" w:themeFillTint="33"/>
          </w:tcPr>
          <w:p w14:paraId="6A7C5248" w14:textId="77777777" w:rsidR="00BD4078" w:rsidRPr="009171B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933</w:t>
            </w:r>
          </w:p>
        </w:tc>
      </w:tr>
      <w:tr w:rsidR="00BD4078" w:rsidRPr="009171B2" w14:paraId="04990BB1"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0B23D325" w14:textId="77777777" w:rsidR="00BD4078" w:rsidRPr="00F6023F" w:rsidRDefault="00BD4078">
            <w:pPr>
              <w:jc w:val="left"/>
              <w:rPr>
                <w:rFonts w:asciiTheme="minorHAnsi" w:hAnsiTheme="minorHAnsi" w:cstheme="minorHAnsi"/>
                <w:b/>
                <w:bCs/>
                <w:i w:val="0"/>
                <w:iCs w:val="0"/>
                <w:color w:val="142147" w:themeColor="accent1"/>
              </w:rPr>
            </w:pPr>
            <w:r w:rsidRPr="00F6023F">
              <w:rPr>
                <w:rFonts w:asciiTheme="minorHAnsi" w:hAnsiTheme="minorHAnsi" w:cstheme="minorHAnsi"/>
                <w:i w:val="0"/>
                <w:iCs w:val="0"/>
                <w:color w:val="142147" w:themeColor="accent1"/>
                <w:sz w:val="22"/>
              </w:rPr>
              <w:t>Income tax over (under) provided in prior years</w:t>
            </w:r>
          </w:p>
        </w:tc>
        <w:tc>
          <w:tcPr>
            <w:tcW w:w="1984" w:type="dxa"/>
            <w:tcBorders>
              <w:top w:val="single" w:sz="4" w:space="0" w:color="701F4D"/>
              <w:left w:val="single" w:sz="4" w:space="0" w:color="701F4D"/>
              <w:bottom w:val="single" w:sz="4" w:space="0" w:color="701F4D"/>
              <w:right w:val="single" w:sz="4" w:space="0" w:color="701F4D" w:themeColor="accent2"/>
            </w:tcBorders>
            <w:shd w:val="clear" w:color="auto" w:fill="F6F2ED" w:themeFill="accent3" w:themeFillTint="33"/>
          </w:tcPr>
          <w:p w14:paraId="7867D80D"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167</w:t>
            </w:r>
          </w:p>
        </w:tc>
        <w:tc>
          <w:tcPr>
            <w:tcW w:w="2010" w:type="dxa"/>
            <w:tcBorders>
              <w:top w:val="single" w:sz="4" w:space="0" w:color="701F4D"/>
              <w:left w:val="single" w:sz="4" w:space="0" w:color="701F4D" w:themeColor="accent2"/>
              <w:bottom w:val="single" w:sz="4" w:space="0" w:color="701F4D"/>
            </w:tcBorders>
            <w:shd w:val="clear" w:color="auto" w:fill="F6F2ED" w:themeFill="accent3" w:themeFillTint="33"/>
          </w:tcPr>
          <w:p w14:paraId="42D871F8"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(233)</w:t>
            </w:r>
          </w:p>
        </w:tc>
      </w:tr>
      <w:tr w:rsidR="00BD4078" w:rsidRPr="009171B2" w14:paraId="248346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7E623B8C" w14:textId="77777777" w:rsidR="00BD4078" w:rsidRPr="007D63DE" w:rsidRDefault="00BD4078">
            <w:pPr>
              <w:jc w:val="left"/>
              <w:rPr>
                <w:rFonts w:asciiTheme="minorHAnsi" w:hAnsiTheme="minorHAnsi" w:cstheme="minorHAnsi"/>
                <w:b/>
                <w:bCs/>
                <w:i w:val="0"/>
                <w:iCs w:val="0"/>
                <w:color w:val="142147" w:themeColor="accent1"/>
                <w:sz w:val="22"/>
              </w:rPr>
            </w:pPr>
            <w:r>
              <w:rPr>
                <w:rFonts w:asciiTheme="minorHAnsi" w:hAnsiTheme="minorHAnsi" w:cstheme="minorHAnsi"/>
                <w:b/>
                <w:bCs/>
                <w:i w:val="0"/>
                <w:iCs w:val="0"/>
                <w:color w:val="142147" w:themeColor="accent1"/>
                <w:sz w:val="22"/>
              </w:rPr>
              <w:t xml:space="preserve">Total income tax expense on current year profit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1993572F" w14:textId="77777777" w:rsidR="00BD4078" w:rsidRPr="00F37D10"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(26,324)</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44845A26" w14:textId="77777777" w:rsidR="00BD4078" w:rsidRPr="00174D0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sidRPr="00174D02">
              <w:rPr>
                <w:rFonts w:asciiTheme="minorHAnsi" w:hAnsiTheme="minorHAnsi" w:cstheme="minorHAnsi"/>
                <w:b/>
                <w:bCs/>
                <w:color w:val="142147" w:themeColor="accent1"/>
              </w:rPr>
              <w:t>(</w:t>
            </w:r>
            <w:r>
              <w:rPr>
                <w:rFonts w:asciiTheme="minorHAnsi" w:hAnsiTheme="minorHAnsi" w:cstheme="minorHAnsi"/>
                <w:b/>
                <w:bCs/>
                <w:color w:val="142147" w:themeColor="accent1"/>
              </w:rPr>
              <w:t>28,036</w:t>
            </w:r>
            <w:r w:rsidRPr="00174D02">
              <w:rPr>
                <w:rFonts w:asciiTheme="minorHAnsi" w:hAnsiTheme="minorHAnsi" w:cstheme="minorHAnsi"/>
                <w:b/>
                <w:bCs/>
                <w:color w:val="142147" w:themeColor="accent1"/>
              </w:rPr>
              <w:t>)</w:t>
            </w:r>
          </w:p>
        </w:tc>
      </w:tr>
      <w:tr w:rsidR="00BD4078" w:rsidRPr="009171B2" w14:paraId="1852A4FB" w14:textId="77777777">
        <w:tc>
          <w:tcPr>
            <w:cnfStyle w:val="001000000000" w:firstRow="0" w:lastRow="0" w:firstColumn="1" w:lastColumn="0" w:oddVBand="0" w:evenVBand="0" w:oddHBand="0" w:evenHBand="0" w:firstRowFirstColumn="0" w:firstRowLastColumn="0" w:lastRowFirstColumn="0" w:lastRowLastColumn="0"/>
            <w:tcW w:w="9381" w:type="dxa"/>
            <w:gridSpan w:val="3"/>
            <w:tcBorders>
              <w:top w:val="single" w:sz="4" w:space="0" w:color="701F4D"/>
              <w:bottom w:val="single" w:sz="4" w:space="0" w:color="701F4D"/>
            </w:tcBorders>
            <w:shd w:val="clear" w:color="auto" w:fill="701F4D" w:themeFill="accent2"/>
          </w:tcPr>
          <w:p w14:paraId="5B4244B4" w14:textId="77777777" w:rsidR="00BD4078" w:rsidRPr="00563286" w:rsidRDefault="00BD4078">
            <w:pPr>
              <w:jc w:val="left"/>
              <w:rPr>
                <w:rFonts w:asciiTheme="minorHAnsi" w:hAnsiTheme="minorHAnsi" w:cstheme="minorHAnsi"/>
                <w:i w:val="0"/>
                <w:color w:val="142147" w:themeColor="accent1"/>
              </w:rPr>
            </w:pPr>
            <w:r w:rsidRPr="00563286">
              <w:rPr>
                <w:rFonts w:asciiTheme="minorHAnsi" w:hAnsiTheme="minorHAnsi" w:cstheme="minorHAnsi"/>
                <w:b/>
                <w:bCs/>
                <w:i w:val="0"/>
                <w:iCs w:val="0"/>
                <w:color w:val="FFFFFF" w:themeColor="background1"/>
                <w:sz w:val="22"/>
              </w:rPr>
              <w:t>Reconciliation of income tax expense to cash tax paid</w:t>
            </w:r>
            <w:r>
              <w:rPr>
                <w:rFonts w:asciiTheme="minorHAnsi" w:hAnsiTheme="minorHAnsi" w:cstheme="minorHAnsi"/>
                <w:i w:val="0"/>
                <w:color w:val="142147" w:themeColor="accent1"/>
              </w:rPr>
              <w:t xml:space="preserve"> </w:t>
            </w:r>
          </w:p>
        </w:tc>
      </w:tr>
      <w:tr w:rsidR="00BD4078" w:rsidRPr="009171B2" w14:paraId="046B70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358FE0C4" w14:textId="77777777" w:rsidR="00BD4078" w:rsidRPr="00563286" w:rsidRDefault="00BD4078">
            <w:pPr>
              <w:jc w:val="left"/>
              <w:rPr>
                <w:rFonts w:asciiTheme="minorHAnsi" w:hAnsiTheme="minorHAnsi" w:cstheme="minorHAnsi"/>
                <w:i w:val="0"/>
                <w:iCs w:val="0"/>
                <w:color w:val="142147" w:themeColor="accent1"/>
                <w:sz w:val="22"/>
              </w:rPr>
            </w:pPr>
            <w:r>
              <w:rPr>
                <w:rFonts w:asciiTheme="minorHAnsi" w:hAnsiTheme="minorHAnsi" w:cstheme="minorHAnsi"/>
                <w:i w:val="0"/>
                <w:iCs w:val="0"/>
                <w:color w:val="142147" w:themeColor="accent1"/>
                <w:sz w:val="22"/>
              </w:rPr>
              <w:t>Timing differences and losses recognised in deferred tax</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6BAE7FCA" w14:textId="77777777" w:rsidR="00BD4078" w:rsidRPr="00510625"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850</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20695841" w14:textId="77777777" w:rsidR="00BD4078" w:rsidRPr="00510625"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3,360</w:t>
            </w:r>
          </w:p>
        </w:tc>
      </w:tr>
      <w:tr w:rsidR="00BD4078" w:rsidRPr="009171B2" w14:paraId="533FCDA3"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28C51C5B" w14:textId="77777777" w:rsidR="00BD4078" w:rsidRPr="00563286" w:rsidRDefault="00BD4078">
            <w:pPr>
              <w:jc w:val="left"/>
              <w:rPr>
                <w:rFonts w:asciiTheme="minorHAnsi" w:hAnsiTheme="minorHAnsi" w:cstheme="minorHAnsi"/>
                <w:i w:val="0"/>
                <w:iCs w:val="0"/>
                <w:color w:val="142147" w:themeColor="accent1"/>
              </w:rPr>
            </w:pPr>
            <w:r w:rsidRPr="00840DAD">
              <w:rPr>
                <w:rFonts w:asciiTheme="minorHAnsi" w:hAnsiTheme="minorHAnsi" w:cstheme="minorHAnsi"/>
                <w:i w:val="0"/>
                <w:iCs w:val="0"/>
                <w:color w:val="142147" w:themeColor="accent1"/>
                <w:sz w:val="22"/>
              </w:rPr>
              <w:t>Current year tax payable in next financial year</w:t>
            </w:r>
            <w:r>
              <w:rPr>
                <w:rFonts w:asciiTheme="minorHAnsi" w:hAnsiTheme="minorHAnsi" w:cstheme="minorHAnsi"/>
                <w:i w:val="0"/>
                <w:iCs w:val="0"/>
                <w:color w:val="142147" w:themeColor="accent1"/>
              </w:rPr>
              <w:t xml:space="preserve">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2CDD9438" w14:textId="77777777" w:rsidR="00BD4078" w:rsidRPr="00403F0A"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1,680</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4B8BF4EC"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950</w:t>
            </w:r>
          </w:p>
        </w:tc>
      </w:tr>
      <w:tr w:rsidR="00BD4078" w:rsidRPr="009171B2" w14:paraId="7BD23C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51C0C021" w14:textId="77777777" w:rsidR="00BD4078" w:rsidRPr="00840DAD" w:rsidRDefault="00BD4078">
            <w:pPr>
              <w:jc w:val="left"/>
              <w:rPr>
                <w:rFonts w:asciiTheme="minorHAnsi" w:hAnsiTheme="minorHAnsi" w:cstheme="minorHAnsi"/>
                <w:i w:val="0"/>
                <w:iCs w:val="0"/>
                <w:color w:val="142147" w:themeColor="accent1"/>
                <w:sz w:val="22"/>
              </w:rPr>
            </w:pPr>
            <w:r w:rsidRPr="00840DAD">
              <w:rPr>
                <w:rFonts w:asciiTheme="minorHAnsi" w:hAnsiTheme="minorHAnsi" w:cstheme="minorHAnsi"/>
                <w:i w:val="0"/>
                <w:iCs w:val="0"/>
                <w:color w:val="142147" w:themeColor="accent1"/>
                <w:sz w:val="22"/>
              </w:rPr>
              <w:t xml:space="preserve">Prior period adjustments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6A978AA0" w14:textId="77777777" w:rsidR="00BD4078" w:rsidRPr="00403F0A"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sidRPr="00403F0A">
              <w:rPr>
                <w:rFonts w:asciiTheme="minorHAnsi" w:hAnsiTheme="minorHAnsi" w:cstheme="minorHAnsi"/>
                <w:color w:val="142147" w:themeColor="accent1"/>
              </w:rPr>
              <w:t>(167)</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52AE17C2" w14:textId="77777777" w:rsidR="00BD4078" w:rsidRPr="009171B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(233)</w:t>
            </w:r>
          </w:p>
        </w:tc>
      </w:tr>
      <w:tr w:rsidR="00BD4078" w:rsidRPr="009171B2" w14:paraId="1A13EDA1"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4B57937F" w14:textId="77777777" w:rsidR="00BD4078" w:rsidRPr="00840DAD" w:rsidRDefault="00BD4078">
            <w:pPr>
              <w:jc w:val="left"/>
              <w:rPr>
                <w:rFonts w:asciiTheme="minorHAnsi" w:hAnsiTheme="minorHAnsi" w:cstheme="minorHAnsi"/>
                <w:i w:val="0"/>
                <w:iCs w:val="0"/>
                <w:color w:val="142147" w:themeColor="accent1"/>
                <w:sz w:val="22"/>
              </w:rPr>
            </w:pPr>
            <w:r w:rsidRPr="00840DAD">
              <w:rPr>
                <w:rFonts w:asciiTheme="minorHAnsi" w:hAnsiTheme="minorHAnsi" w:cstheme="minorHAnsi"/>
                <w:i w:val="0"/>
                <w:iCs w:val="0"/>
                <w:color w:val="142147" w:themeColor="accent1"/>
                <w:sz w:val="22"/>
              </w:rPr>
              <w:t xml:space="preserve">Tax payments relating to prior periods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79C24CDE" w14:textId="77777777" w:rsidR="00BD4078" w:rsidRPr="00403F0A"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w:t>
            </w:r>
            <w:r w:rsidRPr="00403F0A">
              <w:rPr>
                <w:rFonts w:asciiTheme="minorHAnsi" w:hAnsiTheme="minorHAnsi" w:cstheme="minorHAnsi"/>
                <w:color w:val="142147" w:themeColor="accent1"/>
              </w:rPr>
              <w:t>1,133</w:t>
            </w:r>
            <w:r>
              <w:rPr>
                <w:rFonts w:asciiTheme="minorHAnsi" w:hAnsiTheme="minorHAnsi" w:cstheme="minorHAnsi"/>
                <w:color w:val="142147" w:themeColor="accent1"/>
              </w:rPr>
              <w:t>)</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2E0BE9C5" w14:textId="77777777" w:rsidR="00BD4078" w:rsidRPr="009171B2"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(1,600)</w:t>
            </w:r>
          </w:p>
        </w:tc>
      </w:tr>
      <w:tr w:rsidR="00BD4078" w:rsidRPr="009171B2" w14:paraId="1A71FF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tcPr>
          <w:p w14:paraId="099002C6" w14:textId="77777777" w:rsidR="00BD4078" w:rsidRPr="00840DAD" w:rsidRDefault="00BD4078">
            <w:pPr>
              <w:jc w:val="left"/>
              <w:rPr>
                <w:rFonts w:asciiTheme="minorHAnsi" w:hAnsiTheme="minorHAnsi" w:cstheme="minorHAnsi"/>
                <w:i w:val="0"/>
                <w:iCs w:val="0"/>
                <w:color w:val="142147" w:themeColor="accent1"/>
                <w:sz w:val="22"/>
              </w:rPr>
            </w:pPr>
            <w:r w:rsidRPr="00840DAD">
              <w:rPr>
                <w:rFonts w:asciiTheme="minorHAnsi" w:hAnsiTheme="minorHAnsi" w:cstheme="minorHAnsi"/>
                <w:i w:val="0"/>
                <w:iCs w:val="0"/>
                <w:color w:val="142147" w:themeColor="accent1"/>
                <w:sz w:val="22"/>
              </w:rPr>
              <w:t xml:space="preserve">Foreign exchange on overseas movements </w:t>
            </w:r>
          </w:p>
        </w:tc>
        <w:tc>
          <w:tcPr>
            <w:tcW w:w="1984" w:type="dxa"/>
            <w:tcBorders>
              <w:top w:val="single" w:sz="4" w:space="0" w:color="701F4D"/>
              <w:left w:val="single" w:sz="4" w:space="0" w:color="701F4D"/>
              <w:bottom w:val="single" w:sz="4" w:space="0" w:color="701F4D"/>
              <w:right w:val="single" w:sz="4" w:space="0" w:color="701F4D"/>
            </w:tcBorders>
            <w:shd w:val="clear" w:color="auto" w:fill="F6F2ED" w:themeFill="accent3" w:themeFillTint="33"/>
          </w:tcPr>
          <w:p w14:paraId="74C70BC4" w14:textId="51989485" w:rsidR="00BD4078" w:rsidRPr="00403F0A" w:rsidRDefault="00EA253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n/a</w:t>
            </w:r>
          </w:p>
        </w:tc>
        <w:tc>
          <w:tcPr>
            <w:tcW w:w="2010" w:type="dxa"/>
            <w:tcBorders>
              <w:top w:val="single" w:sz="4" w:space="0" w:color="701F4D"/>
              <w:left w:val="single" w:sz="4" w:space="0" w:color="701F4D"/>
              <w:bottom w:val="single" w:sz="4" w:space="0" w:color="701F4D"/>
            </w:tcBorders>
            <w:shd w:val="clear" w:color="auto" w:fill="F6F2ED" w:themeFill="accent3" w:themeFillTint="33"/>
          </w:tcPr>
          <w:p w14:paraId="131B53FE" w14:textId="77777777" w:rsidR="00BD4078" w:rsidRPr="009171B2"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2147" w:themeColor="accent1"/>
              </w:rPr>
            </w:pPr>
            <w:r>
              <w:rPr>
                <w:rFonts w:asciiTheme="minorHAnsi" w:hAnsiTheme="minorHAnsi" w:cstheme="minorHAnsi"/>
                <w:color w:val="142147" w:themeColor="accent1"/>
              </w:rPr>
              <w:t>63</w:t>
            </w:r>
          </w:p>
        </w:tc>
      </w:tr>
      <w:tr w:rsidR="00BD4078" w:rsidRPr="009171B2" w14:paraId="6A30674A" w14:textId="7777777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shd w:val="clear" w:color="auto" w:fill="D4C2A8" w:themeFill="accent3"/>
          </w:tcPr>
          <w:p w14:paraId="2260F5BB" w14:textId="77777777" w:rsidR="00BD4078" w:rsidRPr="009755B8" w:rsidRDefault="00BD4078">
            <w:pPr>
              <w:jc w:val="left"/>
              <w:rPr>
                <w:rFonts w:asciiTheme="minorHAnsi" w:hAnsiTheme="minorHAnsi" w:cstheme="minorHAnsi"/>
                <w:b/>
                <w:bCs/>
                <w:i w:val="0"/>
                <w:iCs w:val="0"/>
                <w:color w:val="142147" w:themeColor="accent1"/>
                <w:sz w:val="22"/>
              </w:rPr>
            </w:pPr>
            <w:r w:rsidRPr="009755B8">
              <w:rPr>
                <w:rFonts w:asciiTheme="minorHAnsi" w:hAnsiTheme="minorHAnsi" w:cstheme="minorHAnsi"/>
                <w:b/>
                <w:bCs/>
                <w:i w:val="0"/>
                <w:iCs w:val="0"/>
                <w:color w:val="142147" w:themeColor="accent1"/>
                <w:sz w:val="22"/>
              </w:rPr>
              <w:t xml:space="preserve">Income tax </w:t>
            </w:r>
            <w:r>
              <w:rPr>
                <w:rFonts w:asciiTheme="minorHAnsi" w:hAnsiTheme="minorHAnsi" w:cstheme="minorHAnsi"/>
                <w:b/>
                <w:bCs/>
                <w:i w:val="0"/>
                <w:iCs w:val="0"/>
                <w:color w:val="142147" w:themeColor="accent1"/>
                <w:sz w:val="22"/>
              </w:rPr>
              <w:t xml:space="preserve">expense </w:t>
            </w:r>
            <w:r w:rsidRPr="009755B8">
              <w:rPr>
                <w:rFonts w:asciiTheme="minorHAnsi" w:hAnsiTheme="minorHAnsi" w:cstheme="minorHAnsi"/>
                <w:b/>
                <w:bCs/>
                <w:i w:val="0"/>
                <w:iCs w:val="0"/>
                <w:color w:val="142147" w:themeColor="accent1"/>
                <w:sz w:val="22"/>
              </w:rPr>
              <w:t xml:space="preserve">paid </w:t>
            </w:r>
          </w:p>
        </w:tc>
        <w:tc>
          <w:tcPr>
            <w:tcW w:w="1984" w:type="dxa"/>
            <w:tcBorders>
              <w:top w:val="single" w:sz="4" w:space="0" w:color="701F4D"/>
              <w:left w:val="single" w:sz="4" w:space="0" w:color="701F4D"/>
              <w:bottom w:val="single" w:sz="4" w:space="0" w:color="701F4D"/>
              <w:right w:val="single" w:sz="4" w:space="0" w:color="701F4D"/>
            </w:tcBorders>
            <w:shd w:val="clear" w:color="auto" w:fill="D4C2A8" w:themeFill="accent3"/>
          </w:tcPr>
          <w:p w14:paraId="7CBFC772" w14:textId="77777777" w:rsidR="00BD4078" w:rsidRPr="00312948"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highlight w:val="yellow"/>
              </w:rPr>
            </w:pPr>
            <w:r w:rsidRPr="00990FE6">
              <w:rPr>
                <w:rFonts w:asciiTheme="minorHAnsi" w:hAnsiTheme="minorHAnsi" w:cstheme="minorHAnsi"/>
                <w:b/>
                <w:bCs/>
                <w:color w:val="142147" w:themeColor="accent1"/>
              </w:rPr>
              <w:t>(</w:t>
            </w:r>
            <w:r>
              <w:rPr>
                <w:rFonts w:asciiTheme="minorHAnsi" w:hAnsiTheme="minorHAnsi" w:cstheme="minorHAnsi"/>
                <w:b/>
                <w:bCs/>
                <w:color w:val="142147" w:themeColor="accent1"/>
              </w:rPr>
              <w:t>25,094</w:t>
            </w:r>
            <w:r w:rsidRPr="00990FE6">
              <w:rPr>
                <w:rFonts w:asciiTheme="minorHAnsi" w:hAnsiTheme="minorHAnsi" w:cstheme="minorHAnsi"/>
                <w:b/>
                <w:bCs/>
                <w:color w:val="142147" w:themeColor="accent1"/>
              </w:rPr>
              <w:t>)</w:t>
            </w:r>
          </w:p>
        </w:tc>
        <w:tc>
          <w:tcPr>
            <w:tcW w:w="2010" w:type="dxa"/>
            <w:tcBorders>
              <w:top w:val="single" w:sz="4" w:space="0" w:color="701F4D"/>
              <w:left w:val="single" w:sz="4" w:space="0" w:color="701F4D"/>
              <w:bottom w:val="single" w:sz="4" w:space="0" w:color="701F4D"/>
            </w:tcBorders>
            <w:shd w:val="clear" w:color="auto" w:fill="D4C2A8" w:themeFill="accent3"/>
          </w:tcPr>
          <w:p w14:paraId="64534950" w14:textId="77777777" w:rsidR="00BD4078" w:rsidRPr="006D13A9" w:rsidRDefault="00BD407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6D13A9">
              <w:rPr>
                <w:rFonts w:asciiTheme="minorHAnsi" w:hAnsiTheme="minorHAnsi" w:cstheme="minorHAnsi"/>
                <w:b/>
                <w:bCs/>
                <w:color w:val="142147" w:themeColor="accent1"/>
              </w:rPr>
              <w:t>(</w:t>
            </w:r>
            <w:r>
              <w:rPr>
                <w:rFonts w:asciiTheme="minorHAnsi" w:hAnsiTheme="minorHAnsi" w:cstheme="minorHAnsi"/>
                <w:b/>
                <w:bCs/>
                <w:color w:val="142147" w:themeColor="accent1"/>
              </w:rPr>
              <w:t>25,496</w:t>
            </w:r>
            <w:r w:rsidRPr="006D13A9">
              <w:rPr>
                <w:rFonts w:asciiTheme="minorHAnsi" w:hAnsiTheme="minorHAnsi" w:cstheme="minorHAnsi"/>
                <w:b/>
                <w:bCs/>
                <w:color w:val="142147" w:themeColor="accent1"/>
              </w:rPr>
              <w:t>)</w:t>
            </w:r>
          </w:p>
        </w:tc>
      </w:tr>
      <w:tr w:rsidR="00BD4078" w:rsidRPr="009171B2" w14:paraId="4EA92760"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01F4D"/>
              <w:bottom w:val="single" w:sz="4" w:space="0" w:color="701F4D"/>
              <w:right w:val="single" w:sz="4" w:space="0" w:color="701F4D"/>
            </w:tcBorders>
            <w:shd w:val="clear" w:color="auto" w:fill="D4C2A8" w:themeFill="accent3"/>
          </w:tcPr>
          <w:p w14:paraId="5DF76AEE" w14:textId="77777777" w:rsidR="00BD4078" w:rsidRPr="009755B8" w:rsidRDefault="00BD4078">
            <w:pPr>
              <w:jc w:val="left"/>
              <w:rPr>
                <w:rFonts w:asciiTheme="minorHAnsi" w:hAnsiTheme="minorHAnsi" w:cstheme="minorHAnsi"/>
                <w:b/>
                <w:bCs/>
                <w:i w:val="0"/>
                <w:iCs w:val="0"/>
                <w:color w:val="142147" w:themeColor="accent1"/>
                <w:sz w:val="22"/>
              </w:rPr>
            </w:pPr>
            <w:r w:rsidRPr="009755B8">
              <w:rPr>
                <w:rFonts w:asciiTheme="minorHAnsi" w:hAnsiTheme="minorHAnsi" w:cstheme="minorHAnsi"/>
                <w:b/>
                <w:bCs/>
                <w:i w:val="0"/>
                <w:iCs w:val="0"/>
                <w:color w:val="142147" w:themeColor="accent1"/>
                <w:sz w:val="22"/>
              </w:rPr>
              <w:t xml:space="preserve">Australian Effective Tax Rate </w:t>
            </w:r>
          </w:p>
        </w:tc>
        <w:tc>
          <w:tcPr>
            <w:tcW w:w="1984" w:type="dxa"/>
            <w:tcBorders>
              <w:top w:val="single" w:sz="4" w:space="0" w:color="701F4D"/>
              <w:left w:val="single" w:sz="4" w:space="0" w:color="701F4D"/>
              <w:bottom w:val="single" w:sz="4" w:space="0" w:color="701F4D"/>
              <w:right w:val="single" w:sz="4" w:space="0" w:color="701F4D"/>
            </w:tcBorders>
            <w:shd w:val="clear" w:color="auto" w:fill="D4C2A8" w:themeFill="accent3"/>
          </w:tcPr>
          <w:p w14:paraId="77CE1F9F" w14:textId="77777777" w:rsidR="00BD4078" w:rsidRPr="00041777"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25</w:t>
            </w:r>
            <w:r w:rsidRPr="00041777">
              <w:rPr>
                <w:rFonts w:asciiTheme="minorHAnsi" w:hAnsiTheme="minorHAnsi" w:cstheme="minorHAnsi"/>
                <w:b/>
                <w:bCs/>
                <w:color w:val="142147" w:themeColor="accent1"/>
              </w:rPr>
              <w:t>%</w:t>
            </w:r>
          </w:p>
        </w:tc>
        <w:tc>
          <w:tcPr>
            <w:tcW w:w="2010" w:type="dxa"/>
            <w:tcBorders>
              <w:top w:val="single" w:sz="4" w:space="0" w:color="701F4D"/>
              <w:left w:val="single" w:sz="4" w:space="0" w:color="701F4D"/>
              <w:bottom w:val="single" w:sz="4" w:space="0" w:color="701F4D"/>
            </w:tcBorders>
            <w:shd w:val="clear" w:color="auto" w:fill="D4C2A8" w:themeFill="accent3"/>
          </w:tcPr>
          <w:p w14:paraId="39A01DEF" w14:textId="77777777" w:rsidR="00BD4078" w:rsidRPr="00041777" w:rsidRDefault="00BD407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42147" w:themeColor="accent1"/>
              </w:rPr>
            </w:pPr>
            <w:r>
              <w:rPr>
                <w:rFonts w:asciiTheme="minorHAnsi" w:hAnsiTheme="minorHAnsi" w:cstheme="minorHAnsi"/>
                <w:b/>
                <w:bCs/>
                <w:color w:val="142147" w:themeColor="accent1"/>
              </w:rPr>
              <w:t>25.9</w:t>
            </w:r>
            <w:r w:rsidRPr="00041777">
              <w:rPr>
                <w:rFonts w:asciiTheme="minorHAnsi" w:hAnsiTheme="minorHAnsi" w:cstheme="minorHAnsi"/>
                <w:b/>
                <w:bCs/>
                <w:color w:val="142147" w:themeColor="accent1"/>
              </w:rPr>
              <w:t>%</w:t>
            </w:r>
          </w:p>
        </w:tc>
      </w:tr>
    </w:tbl>
    <w:p w14:paraId="4A5867A4" w14:textId="77777777" w:rsidR="00BD4078" w:rsidRDefault="00BD4078" w:rsidP="00BD4078">
      <w:pPr>
        <w:pStyle w:val="Heading2"/>
      </w:pPr>
      <w:bookmarkStart w:id="69" w:name="_Approach_to_Tax"/>
      <w:bookmarkStart w:id="70" w:name="_Toc195021323"/>
      <w:bookmarkStart w:id="71" w:name="_Toc199855177"/>
      <w:bookmarkEnd w:id="68"/>
      <w:bookmarkEnd w:id="69"/>
      <w:r>
        <w:t>Overall approach to tax</w:t>
      </w:r>
      <w:bookmarkEnd w:id="70"/>
      <w:bookmarkEnd w:id="71"/>
      <w:r>
        <w:t xml:space="preserve"> </w:t>
      </w:r>
    </w:p>
    <w:p w14:paraId="3C8CC948" w14:textId="77777777" w:rsidR="00BD4078" w:rsidRDefault="00BD4078" w:rsidP="00BD4078">
      <w:pPr>
        <w:pStyle w:val="Heading3"/>
        <w:spacing w:before="0"/>
      </w:pPr>
      <w:r>
        <w:t xml:space="preserve">Approach to tax </w:t>
      </w:r>
    </w:p>
    <w:p w14:paraId="0012ACAC" w14:textId="03F20049" w:rsidR="00BD4078" w:rsidRDefault="003630FF" w:rsidP="000669D4">
      <w:pPr>
        <w:pStyle w:val="Bullet"/>
        <w:numPr>
          <w:ilvl w:val="0"/>
          <w:numId w:val="0"/>
        </w:numPr>
        <w:spacing w:before="0" w:after="0"/>
        <w:rPr>
          <w:color w:val="142147" w:themeColor="accent1"/>
        </w:rPr>
      </w:pPr>
      <w:r>
        <w:rPr>
          <w:color w:val="142147" w:themeColor="accent1"/>
        </w:rPr>
        <w:t>PAA</w:t>
      </w:r>
      <w:r w:rsidR="00BD4078" w:rsidRPr="00555E1C">
        <w:rPr>
          <w:color w:val="142147" w:themeColor="accent1"/>
        </w:rPr>
        <w:t xml:space="preserve"> is committed to high standards of corporate governance and tax transparency including compliance with all applicable tax laws, rules and regulations</w:t>
      </w:r>
      <w:r w:rsidR="00BD4078">
        <w:rPr>
          <w:color w:val="142147" w:themeColor="accent1"/>
        </w:rPr>
        <w:t xml:space="preserve"> to ensure we pay our fair share of tax in the jurisdictions in which we operate. </w:t>
      </w:r>
    </w:p>
    <w:p w14:paraId="6776E9F8" w14:textId="77777777" w:rsidR="00BD4078" w:rsidRDefault="00BD4078" w:rsidP="000669D4">
      <w:pPr>
        <w:pStyle w:val="Bullet"/>
        <w:numPr>
          <w:ilvl w:val="0"/>
          <w:numId w:val="0"/>
        </w:numPr>
        <w:spacing w:before="0" w:after="0"/>
        <w:rPr>
          <w:color w:val="142147" w:themeColor="accent1"/>
        </w:rPr>
      </w:pPr>
    </w:p>
    <w:p w14:paraId="57FAC4BB" w14:textId="32C3CBFB" w:rsidR="00BD4078" w:rsidRDefault="003630FF" w:rsidP="000669D4">
      <w:pPr>
        <w:pStyle w:val="Bullet"/>
        <w:numPr>
          <w:ilvl w:val="0"/>
          <w:numId w:val="0"/>
        </w:numPr>
        <w:spacing w:before="0" w:after="0"/>
        <w:rPr>
          <w:color w:val="142147" w:themeColor="accent1"/>
        </w:rPr>
      </w:pPr>
      <w:r>
        <w:rPr>
          <w:color w:val="142147" w:themeColor="accent1"/>
        </w:rPr>
        <w:t>PAA</w:t>
      </w:r>
      <w:r w:rsidR="00BD4078">
        <w:rPr>
          <w:color w:val="142147" w:themeColor="accent1"/>
        </w:rPr>
        <w:t xml:space="preserve"> has developed a </w:t>
      </w:r>
      <w:r w:rsidR="00BD4078" w:rsidRPr="00E1106C">
        <w:rPr>
          <w:b/>
          <w:bCs/>
          <w:i/>
          <w:iCs/>
          <w:color w:val="701F4D" w:themeColor="accent2"/>
        </w:rPr>
        <w:t>Tax Risk Management and Governance Framework</w:t>
      </w:r>
      <w:r w:rsidR="00BD4078" w:rsidRPr="00E1106C">
        <w:rPr>
          <w:color w:val="701F4D" w:themeColor="accent2"/>
        </w:rPr>
        <w:t xml:space="preserve"> </w:t>
      </w:r>
      <w:r w:rsidR="00BD4078">
        <w:rPr>
          <w:color w:val="142147" w:themeColor="accent1"/>
        </w:rPr>
        <w:t xml:space="preserve">to govern its tax strategy and guide effective management of tax risks. The </w:t>
      </w:r>
      <w:r>
        <w:rPr>
          <w:color w:val="142147" w:themeColor="accent1"/>
        </w:rPr>
        <w:t>PAA</w:t>
      </w:r>
      <w:r w:rsidR="00BD4078">
        <w:rPr>
          <w:color w:val="142147" w:themeColor="accent1"/>
        </w:rPr>
        <w:t xml:space="preserve"> Board requires the Audit and Risk Committee to review the framework every two years for the Board’s approval to ensure it remains fit for purpose. </w:t>
      </w:r>
      <w:r w:rsidR="00BD4078" w:rsidRPr="3AF1FE60">
        <w:rPr>
          <w:rFonts w:asciiTheme="minorHAnsi" w:hAnsiTheme="minorHAnsi" w:cstheme="minorBidi"/>
          <w:color w:val="142147" w:themeColor="accent1"/>
        </w:rPr>
        <w:t xml:space="preserve">The Chief Financial Officer is accountable </w:t>
      </w:r>
      <w:r w:rsidR="00BD4078">
        <w:rPr>
          <w:rFonts w:asciiTheme="minorHAnsi" w:hAnsiTheme="minorHAnsi" w:cstheme="minorBidi"/>
          <w:color w:val="142147" w:themeColor="accent1"/>
        </w:rPr>
        <w:t xml:space="preserve">for </w:t>
      </w:r>
      <w:r w:rsidR="00BD4078" w:rsidRPr="3AF1FE60">
        <w:rPr>
          <w:rFonts w:asciiTheme="minorHAnsi" w:hAnsiTheme="minorHAnsi" w:cstheme="minorBidi"/>
          <w:color w:val="142147" w:themeColor="accent1"/>
        </w:rPr>
        <w:t>compliance with this framework</w:t>
      </w:r>
      <w:r w:rsidR="00BD4078">
        <w:rPr>
          <w:rFonts w:asciiTheme="minorHAnsi" w:hAnsiTheme="minorHAnsi" w:cstheme="minorBidi"/>
          <w:color w:val="142147" w:themeColor="accent1"/>
        </w:rPr>
        <w:t>, supported by</w:t>
      </w:r>
      <w:r w:rsidR="00BD4078" w:rsidRPr="3AF1FE60">
        <w:rPr>
          <w:rFonts w:asciiTheme="minorHAnsi" w:hAnsiTheme="minorHAnsi" w:cstheme="minorBidi"/>
          <w:color w:val="142147" w:themeColor="accent1"/>
        </w:rPr>
        <w:t xml:space="preserve"> </w:t>
      </w:r>
      <w:r w:rsidR="00BD4078">
        <w:rPr>
          <w:rFonts w:asciiTheme="minorHAnsi" w:hAnsiTheme="minorHAnsi" w:cstheme="minorBidi"/>
          <w:color w:val="142147" w:themeColor="accent1"/>
        </w:rPr>
        <w:t>t</w:t>
      </w:r>
      <w:r w:rsidR="00BD4078" w:rsidRPr="3AF1FE60">
        <w:rPr>
          <w:rFonts w:asciiTheme="minorHAnsi" w:hAnsiTheme="minorHAnsi" w:cstheme="minorBidi"/>
          <w:color w:val="142147" w:themeColor="accent1"/>
        </w:rPr>
        <w:t xml:space="preserve">he Tax Manager and Tax Business Group </w:t>
      </w:r>
      <w:r w:rsidR="00BD4078">
        <w:rPr>
          <w:rFonts w:asciiTheme="minorHAnsi" w:hAnsiTheme="minorHAnsi" w:cstheme="minorBidi"/>
          <w:color w:val="142147" w:themeColor="accent1"/>
        </w:rPr>
        <w:t>who operationalise</w:t>
      </w:r>
      <w:r w:rsidR="00BD4078" w:rsidRPr="3AF1FE60">
        <w:rPr>
          <w:rFonts w:asciiTheme="minorHAnsi" w:hAnsiTheme="minorHAnsi" w:cstheme="minorBidi"/>
          <w:color w:val="142147" w:themeColor="accent1"/>
        </w:rPr>
        <w:t xml:space="preserve"> the framework, advising the Committee on the taxing implications of business decisions, transactions and compliance with tax laws</w:t>
      </w:r>
      <w:r w:rsidR="00BD4078">
        <w:rPr>
          <w:rFonts w:asciiTheme="minorHAnsi" w:hAnsiTheme="minorHAnsi" w:cstheme="minorBidi"/>
          <w:color w:val="142147" w:themeColor="accent1"/>
        </w:rPr>
        <w:t xml:space="preserve">. </w:t>
      </w:r>
    </w:p>
    <w:p w14:paraId="4A5A2827" w14:textId="77777777" w:rsidR="00BD4078" w:rsidRDefault="00BD4078" w:rsidP="000669D4">
      <w:pPr>
        <w:pStyle w:val="Bullet"/>
        <w:numPr>
          <w:ilvl w:val="0"/>
          <w:numId w:val="0"/>
        </w:numPr>
        <w:spacing w:before="0" w:after="0"/>
        <w:rPr>
          <w:color w:val="142147" w:themeColor="accent1"/>
        </w:rPr>
      </w:pPr>
    </w:p>
    <w:p w14:paraId="7FC3416C" w14:textId="2F3B21B0" w:rsidR="00BD4078" w:rsidRDefault="003630FF" w:rsidP="000669D4">
      <w:pPr>
        <w:pStyle w:val="Bullet"/>
        <w:numPr>
          <w:ilvl w:val="0"/>
          <w:numId w:val="0"/>
        </w:numPr>
        <w:spacing w:before="0" w:after="0"/>
        <w:rPr>
          <w:iCs/>
          <w:color w:val="142147" w:themeColor="accent1"/>
        </w:rPr>
      </w:pPr>
      <w:r>
        <w:rPr>
          <w:color w:val="142147" w:themeColor="accent1"/>
        </w:rPr>
        <w:t>PAA</w:t>
      </w:r>
      <w:r w:rsidR="00BD4078">
        <w:rPr>
          <w:color w:val="142147" w:themeColor="accent1"/>
        </w:rPr>
        <w:t xml:space="preserve"> seeks to comply with the spirit of the law at all times and takes a conservative approach to managing tax risks, seeking independent advice when significant tax positions are uncertain. </w:t>
      </w:r>
      <w:r w:rsidR="00AB4118">
        <w:rPr>
          <w:color w:val="142147" w:themeColor="accent1"/>
        </w:rPr>
        <w:t>PAA</w:t>
      </w:r>
      <w:r w:rsidR="00BD4078" w:rsidRPr="00BA6BE1">
        <w:rPr>
          <w:color w:val="142147" w:themeColor="accent1"/>
        </w:rPr>
        <w:t xml:space="preserve"> do</w:t>
      </w:r>
      <w:r w:rsidR="00BD4078">
        <w:rPr>
          <w:color w:val="142147" w:themeColor="accent1"/>
        </w:rPr>
        <w:t>es</w:t>
      </w:r>
      <w:r w:rsidR="00BD4078" w:rsidRPr="00BA6BE1">
        <w:rPr>
          <w:color w:val="142147" w:themeColor="accent1"/>
        </w:rPr>
        <w:t xml:space="preserve"> not </w:t>
      </w:r>
      <w:r w:rsidR="00BD4078">
        <w:rPr>
          <w:color w:val="142147" w:themeColor="accent1"/>
        </w:rPr>
        <w:t>participate</w:t>
      </w:r>
      <w:r w:rsidR="00BD4078" w:rsidRPr="00BA6BE1">
        <w:rPr>
          <w:color w:val="142147" w:themeColor="accent1"/>
        </w:rPr>
        <w:t xml:space="preserve"> in tax avoidance schemes or aggressive tax positions</w:t>
      </w:r>
      <w:r w:rsidR="00BD4078">
        <w:rPr>
          <w:color w:val="142147" w:themeColor="accent1"/>
        </w:rPr>
        <w:t xml:space="preserve">, and only engages in transactions that are aligned with </w:t>
      </w:r>
      <w:r>
        <w:rPr>
          <w:color w:val="142147" w:themeColor="accent1"/>
        </w:rPr>
        <w:t>PAA’s</w:t>
      </w:r>
      <w:r w:rsidR="00BD4078">
        <w:rPr>
          <w:color w:val="142147" w:themeColor="accent1"/>
        </w:rPr>
        <w:t xml:space="preserve"> commercial objectives</w:t>
      </w:r>
      <w:r w:rsidR="00BD4078" w:rsidRPr="00BA6BE1">
        <w:rPr>
          <w:color w:val="142147" w:themeColor="accent1"/>
        </w:rPr>
        <w:t>.</w:t>
      </w:r>
      <w:r w:rsidR="00BD4078">
        <w:rPr>
          <w:color w:val="142147" w:themeColor="accent1"/>
        </w:rPr>
        <w:t xml:space="preserve"> As part of the </w:t>
      </w:r>
      <w:r w:rsidR="00BD4078" w:rsidRPr="00E1106C">
        <w:rPr>
          <w:b/>
          <w:bCs/>
          <w:i/>
          <w:iCs/>
          <w:color w:val="701F4D" w:themeColor="accent2"/>
        </w:rPr>
        <w:t>Tax Risk Management and Governance Framework</w:t>
      </w:r>
      <w:r w:rsidR="00BD4078">
        <w:rPr>
          <w:b/>
          <w:bCs/>
          <w:i/>
          <w:iCs/>
          <w:color w:val="701F4D" w:themeColor="accent2"/>
        </w:rPr>
        <w:t xml:space="preserve">, </w:t>
      </w:r>
      <w:r w:rsidR="00BD4078" w:rsidRPr="006C6022">
        <w:rPr>
          <w:iCs/>
          <w:color w:val="142147" w:themeColor="accent1"/>
        </w:rPr>
        <w:t xml:space="preserve">the </w:t>
      </w:r>
      <w:r w:rsidR="009F7476">
        <w:rPr>
          <w:color w:val="142147" w:themeColor="accent1"/>
        </w:rPr>
        <w:t>PAA</w:t>
      </w:r>
      <w:r w:rsidR="00BD4078">
        <w:rPr>
          <w:iCs/>
          <w:color w:val="142147" w:themeColor="accent1"/>
        </w:rPr>
        <w:t xml:space="preserve"> Board endorsed the below tax principles.</w:t>
      </w:r>
    </w:p>
    <w:p w14:paraId="00B1C399" w14:textId="77777777" w:rsidR="00BD4078" w:rsidRPr="008B033E" w:rsidRDefault="00BD4078" w:rsidP="000669D4">
      <w:pPr>
        <w:pStyle w:val="Bullet"/>
        <w:numPr>
          <w:ilvl w:val="0"/>
          <w:numId w:val="0"/>
        </w:numPr>
        <w:spacing w:before="0" w:after="0"/>
        <w:rPr>
          <w:color w:val="142147" w:themeColor="accent1"/>
        </w:rPr>
      </w:pPr>
    </w:p>
    <w:tbl>
      <w:tblPr>
        <w:tblStyle w:val="ListTable3-Accent2"/>
        <w:tblpPr w:leftFromText="180" w:rightFromText="180" w:vertAnchor="text" w:horzAnchor="margin" w:tblpXSpec="right" w:tblpY="80"/>
        <w:tblW w:w="0" w:type="auto"/>
        <w:tblLook w:val="04A0" w:firstRow="1" w:lastRow="0" w:firstColumn="1" w:lastColumn="0" w:noHBand="0" w:noVBand="1"/>
      </w:tblPr>
      <w:tblGrid>
        <w:gridCol w:w="441"/>
        <w:gridCol w:w="9181"/>
      </w:tblGrid>
      <w:tr w:rsidR="00BD4078" w14:paraId="087AD19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2" w:type="dxa"/>
            <w:gridSpan w:val="2"/>
            <w:tcBorders>
              <w:bottom w:val="single" w:sz="4" w:space="0" w:color="701F4D"/>
            </w:tcBorders>
          </w:tcPr>
          <w:p w14:paraId="3EA985B2" w14:textId="169C64D8" w:rsidR="00BD4078" w:rsidRPr="000669D4" w:rsidRDefault="00BD4078" w:rsidP="000669D4">
            <w:pPr>
              <w:rPr>
                <w:b/>
                <w:bCs w:val="0"/>
              </w:rPr>
            </w:pPr>
            <w:r w:rsidRPr="000669D4">
              <w:rPr>
                <w:b/>
                <w:bCs w:val="0"/>
              </w:rPr>
              <w:t>P</w:t>
            </w:r>
            <w:r w:rsidR="003630FF" w:rsidRPr="000669D4">
              <w:rPr>
                <w:b/>
                <w:bCs w:val="0"/>
              </w:rPr>
              <w:t>AA</w:t>
            </w:r>
            <w:r w:rsidRPr="000669D4">
              <w:rPr>
                <w:b/>
                <w:bCs w:val="0"/>
              </w:rPr>
              <w:t>’s approach to tax principles</w:t>
            </w:r>
          </w:p>
        </w:tc>
      </w:tr>
      <w:tr w:rsidR="00BD4078" w14:paraId="07CBC2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6AC73737" w14:textId="77777777" w:rsidR="00BD4078" w:rsidRPr="00CD2876" w:rsidRDefault="00BD4078" w:rsidP="000669D4">
            <w:pPr>
              <w:pStyle w:val="Bullet"/>
              <w:numPr>
                <w:ilvl w:val="0"/>
                <w:numId w:val="0"/>
              </w:numPr>
              <w:spacing w:after="0"/>
              <w:rPr>
                <w:rFonts w:asciiTheme="minorHAnsi" w:hAnsiTheme="minorHAnsi" w:cstheme="minorHAnsi"/>
                <w:color w:val="142147" w:themeColor="accent1"/>
                <w:sz w:val="28"/>
                <w:szCs w:val="28"/>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779E1D02" w14:textId="77777777" w:rsidR="00BD4078" w:rsidRPr="000A73BA" w:rsidRDefault="00BD4078" w:rsidP="000669D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Compliance</w:t>
            </w:r>
            <w:r w:rsidRPr="000A73BA">
              <w:rPr>
                <w:color w:val="142147" w:themeColor="accent1"/>
              </w:rPr>
              <w:t xml:space="preserve"> with all tax obligations in a timely manner </w:t>
            </w:r>
          </w:p>
        </w:tc>
      </w:tr>
      <w:tr w:rsidR="00BD4078" w14:paraId="4C394E6B" w14:textId="77777777">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2EEF7ED5" w14:textId="77777777" w:rsidR="00BD4078" w:rsidRPr="00CD2876" w:rsidRDefault="00BD4078" w:rsidP="000669D4">
            <w:pPr>
              <w:pStyle w:val="Bullet"/>
              <w:numPr>
                <w:ilvl w:val="0"/>
                <w:numId w:val="0"/>
              </w:numPr>
              <w:spacing w:after="0"/>
              <w:rPr>
                <w:rFonts w:asciiTheme="minorHAnsi" w:hAnsiTheme="minorHAnsi" w:cstheme="minorHAnsi"/>
                <w:b w:val="0"/>
                <w:bCs w:val="0"/>
                <w:color w:val="142147" w:themeColor="accent1"/>
                <w:sz w:val="28"/>
                <w:szCs w:val="28"/>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34E18F0A" w14:textId="77777777" w:rsidR="00BD4078" w:rsidRPr="00797C6E" w:rsidRDefault="00BD4078" w:rsidP="000669D4">
            <w:pPr>
              <w:cnfStyle w:val="000000000000" w:firstRow="0" w:lastRow="0" w:firstColumn="0" w:lastColumn="0" w:oddVBand="0" w:evenVBand="0" w:oddHBand="0" w:evenHBand="0" w:firstRowFirstColumn="0" w:firstRowLastColumn="0" w:lastRowFirstColumn="0" w:lastRowLastColumn="0"/>
              <w:rPr>
                <w:color w:val="142147" w:themeColor="accent1"/>
              </w:rPr>
            </w:pPr>
            <w:r w:rsidRPr="00797C6E">
              <w:rPr>
                <w:color w:val="142147" w:themeColor="accent1"/>
              </w:rPr>
              <w:t xml:space="preserve">Consideration of tax risks as part of the commercial assessment of any transaction  </w:t>
            </w:r>
          </w:p>
        </w:tc>
      </w:tr>
      <w:tr w:rsidR="00BD4078" w14:paraId="208567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4D824C44" w14:textId="77777777" w:rsidR="00BD4078" w:rsidRPr="00CD2876" w:rsidRDefault="00BD4078" w:rsidP="000669D4">
            <w:pPr>
              <w:pStyle w:val="Bullet"/>
              <w:numPr>
                <w:ilvl w:val="0"/>
                <w:numId w:val="0"/>
              </w:numPr>
              <w:spacing w:after="0"/>
              <w:rPr>
                <w:rFonts w:asciiTheme="minorHAnsi" w:hAnsiTheme="minorHAnsi" w:cstheme="minorHAnsi"/>
                <w:color w:val="142147" w:themeColor="accent1"/>
                <w:sz w:val="28"/>
                <w:szCs w:val="28"/>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1AB4AE0A" w14:textId="77777777" w:rsidR="00BD4078" w:rsidRPr="00797C6E" w:rsidRDefault="00BD4078" w:rsidP="000669D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Conservative assessment and management of tax risks, </w:t>
            </w:r>
            <w:r w:rsidRPr="00797C6E">
              <w:rPr>
                <w:color w:val="142147" w:themeColor="accent1"/>
              </w:rPr>
              <w:t>with a view to always being considered by revenue authorities as ‘low risk’</w:t>
            </w:r>
          </w:p>
        </w:tc>
      </w:tr>
      <w:tr w:rsidR="00BD4078" w14:paraId="52865414" w14:textId="77777777">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38D64C14" w14:textId="77777777" w:rsidR="00BD4078" w:rsidRPr="00CD2876" w:rsidRDefault="00BD4078" w:rsidP="000669D4">
            <w:pPr>
              <w:pStyle w:val="Bullet"/>
              <w:numPr>
                <w:ilvl w:val="0"/>
                <w:numId w:val="0"/>
              </w:numPr>
              <w:spacing w:after="0"/>
              <w:rPr>
                <w:rFonts w:asciiTheme="minorHAnsi" w:hAnsiTheme="minorHAnsi" w:cstheme="minorHAnsi"/>
                <w:color w:val="142147" w:themeColor="accent1"/>
                <w:sz w:val="28"/>
                <w:szCs w:val="28"/>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10316898" w14:textId="77777777" w:rsidR="00BD4078" w:rsidRPr="00797C6E" w:rsidRDefault="00BD4078" w:rsidP="000669D4">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Maintenance of</w:t>
            </w:r>
            <w:r w:rsidRPr="00797C6E">
              <w:rPr>
                <w:color w:val="142147" w:themeColor="accent1"/>
              </w:rPr>
              <w:t xml:space="preserve"> </w:t>
            </w:r>
            <w:r>
              <w:rPr>
                <w:color w:val="142147" w:themeColor="accent1"/>
              </w:rPr>
              <w:t xml:space="preserve">an </w:t>
            </w:r>
            <w:r w:rsidRPr="00797C6E">
              <w:rPr>
                <w:color w:val="142147" w:themeColor="accent1"/>
              </w:rPr>
              <w:t xml:space="preserve">open and transparent relationships with all revenue authorities </w:t>
            </w:r>
          </w:p>
        </w:tc>
      </w:tr>
      <w:tr w:rsidR="00BD4078" w14:paraId="24C648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06545A56" w14:textId="77777777" w:rsidR="00BD4078" w:rsidRPr="00CD2876" w:rsidRDefault="00BD4078" w:rsidP="000669D4">
            <w:pPr>
              <w:pStyle w:val="Bullet"/>
              <w:numPr>
                <w:ilvl w:val="0"/>
                <w:numId w:val="0"/>
              </w:numPr>
              <w:spacing w:after="0"/>
              <w:rPr>
                <w:rFonts w:asciiTheme="minorHAnsi" w:hAnsiTheme="minorHAnsi" w:cstheme="minorHAnsi"/>
                <w:color w:val="142147" w:themeColor="accent1"/>
                <w:sz w:val="28"/>
                <w:szCs w:val="28"/>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6D1A4B43" w14:textId="77777777" w:rsidR="00BD4078" w:rsidRPr="00797C6E" w:rsidRDefault="00BD4078" w:rsidP="000669D4">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No participation in</w:t>
            </w:r>
            <w:r w:rsidRPr="00797C6E">
              <w:rPr>
                <w:color w:val="142147" w:themeColor="accent1"/>
              </w:rPr>
              <w:t xml:space="preserve"> tax evasion or </w:t>
            </w:r>
            <w:r>
              <w:rPr>
                <w:color w:val="142147" w:themeColor="accent1"/>
              </w:rPr>
              <w:t>avoidance schemes</w:t>
            </w:r>
            <w:r w:rsidRPr="00797C6E">
              <w:rPr>
                <w:color w:val="142147" w:themeColor="accent1"/>
              </w:rPr>
              <w:t xml:space="preserve"> </w:t>
            </w:r>
          </w:p>
        </w:tc>
      </w:tr>
      <w:tr w:rsidR="00BD4078" w14:paraId="5A684F76" w14:textId="77777777">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701F4D"/>
              <w:left w:val="nil"/>
              <w:bottom w:val="single" w:sz="4" w:space="0" w:color="701F4D"/>
            </w:tcBorders>
          </w:tcPr>
          <w:p w14:paraId="65C98DA0" w14:textId="6CD08FB7" w:rsidR="00BD4078" w:rsidRPr="00CD2876" w:rsidRDefault="00BD4078" w:rsidP="000669D4">
            <w:pPr>
              <w:pStyle w:val="Bullet"/>
              <w:numPr>
                <w:ilvl w:val="0"/>
                <w:numId w:val="0"/>
              </w:numPr>
              <w:spacing w:after="0"/>
              <w:rPr>
                <w:rFonts w:asciiTheme="minorHAnsi" w:hAnsiTheme="minorHAnsi" w:cstheme="minorHAnsi"/>
                <w:color w:val="142147" w:themeColor="accent1"/>
              </w:rPr>
            </w:pPr>
            <w:r w:rsidRPr="00CD2876">
              <w:rPr>
                <w:rFonts w:ascii="Segoe UI Symbol" w:hAnsi="Segoe UI Symbol" w:cs="Segoe UI Symbol"/>
                <w:color w:val="701F4D" w:themeColor="accent2"/>
                <w:sz w:val="28"/>
                <w:szCs w:val="28"/>
              </w:rPr>
              <w:t>✔</w:t>
            </w:r>
          </w:p>
        </w:tc>
        <w:tc>
          <w:tcPr>
            <w:tcW w:w="9181" w:type="dxa"/>
            <w:tcBorders>
              <w:top w:val="single" w:sz="4" w:space="0" w:color="701F4D"/>
              <w:left w:val="nil"/>
              <w:bottom w:val="single" w:sz="4" w:space="0" w:color="701F4D"/>
              <w:right w:val="nil"/>
            </w:tcBorders>
            <w:vAlign w:val="center"/>
          </w:tcPr>
          <w:p w14:paraId="004B0E18" w14:textId="77777777" w:rsidR="00BD4078" w:rsidRPr="00797C6E" w:rsidRDefault="00BD4078" w:rsidP="000669D4">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A</w:t>
            </w:r>
            <w:r w:rsidRPr="00797C6E">
              <w:rPr>
                <w:color w:val="142147" w:themeColor="accent1"/>
              </w:rPr>
              <w:t xml:space="preserve"> ‘no surprises’ approach to the management of tax risks  </w:t>
            </w:r>
          </w:p>
        </w:tc>
      </w:tr>
    </w:tbl>
    <w:p w14:paraId="6EBD4A2B" w14:textId="77777777" w:rsidR="00BD4078" w:rsidRDefault="00BD4078" w:rsidP="00BD4078">
      <w:pPr>
        <w:pStyle w:val="Heading3"/>
      </w:pPr>
      <w:r>
        <w:t xml:space="preserve">Tax governance, control, and risk management </w:t>
      </w:r>
    </w:p>
    <w:p w14:paraId="05B5F876" w14:textId="48EA049A" w:rsidR="00EA2531" w:rsidRDefault="00EA2531" w:rsidP="00EA2531">
      <w:pPr>
        <w:pStyle w:val="Heading4"/>
      </w:pPr>
      <w:r>
        <w:t xml:space="preserve">Optional elements </w:t>
      </w:r>
    </w:p>
    <w:p w14:paraId="1AA45E28" w14:textId="77777777" w:rsidR="00EA2531" w:rsidRPr="003C29B4" w:rsidRDefault="00EA2531" w:rsidP="00EA2531">
      <w:pPr>
        <w:pStyle w:val="Bullet"/>
        <w:tabs>
          <w:tab w:val="clear" w:pos="520"/>
          <w:tab w:val="num" w:pos="567"/>
        </w:tabs>
        <w:rPr>
          <w:b/>
          <w:bCs/>
          <w:color w:val="142147" w:themeColor="accent1"/>
        </w:rPr>
      </w:pPr>
      <w:r w:rsidRPr="003C29B4">
        <w:rPr>
          <w:b/>
          <w:bCs/>
          <w:color w:val="142147" w:themeColor="accent1"/>
        </w:rPr>
        <w:t xml:space="preserve">[Provide a description of the tax governance, control and risk management framework including: </w:t>
      </w:r>
    </w:p>
    <w:p w14:paraId="2EBCDEFA" w14:textId="77777777" w:rsidR="00EA2531" w:rsidRPr="003C29B4" w:rsidRDefault="00EA2531" w:rsidP="00EA2531">
      <w:pPr>
        <w:pStyle w:val="Dash"/>
        <w:tabs>
          <w:tab w:val="clear" w:pos="1040"/>
        </w:tabs>
        <w:rPr>
          <w:b/>
          <w:bCs/>
          <w:color w:val="142147" w:themeColor="accent1"/>
        </w:rPr>
      </w:pPr>
      <w:r w:rsidRPr="003C29B4">
        <w:rPr>
          <w:b/>
          <w:bCs/>
          <w:color w:val="142147" w:themeColor="accent1"/>
        </w:rPr>
        <w:t>the governance body or executive-level position within the organisation accountable for compliance with the tax strategy;</w:t>
      </w:r>
    </w:p>
    <w:p w14:paraId="1EC2EA60" w14:textId="77777777" w:rsidR="00EA2531" w:rsidRPr="003C29B4" w:rsidRDefault="00EA2531" w:rsidP="00EA2531">
      <w:pPr>
        <w:pStyle w:val="Dash"/>
        <w:tabs>
          <w:tab w:val="clear" w:pos="1040"/>
        </w:tabs>
        <w:rPr>
          <w:b/>
          <w:bCs/>
          <w:color w:val="142147" w:themeColor="accent1"/>
        </w:rPr>
      </w:pPr>
      <w:r w:rsidRPr="003C29B4">
        <w:rPr>
          <w:b/>
          <w:bCs/>
          <w:color w:val="142147" w:themeColor="accent1"/>
        </w:rPr>
        <w:t xml:space="preserve">how </w:t>
      </w:r>
      <w:r>
        <w:rPr>
          <w:b/>
          <w:bCs/>
          <w:color w:val="142147" w:themeColor="accent1"/>
        </w:rPr>
        <w:t>the entity’s</w:t>
      </w:r>
      <w:r w:rsidRPr="003C29B4">
        <w:rPr>
          <w:b/>
          <w:bCs/>
          <w:color w:val="142147" w:themeColor="accent1"/>
        </w:rPr>
        <w:t xml:space="preserve"> approach to tax is communicated and embedded in the organisation;</w:t>
      </w:r>
    </w:p>
    <w:p w14:paraId="36A61847" w14:textId="77777777" w:rsidR="00EA2531" w:rsidRPr="003C29B4" w:rsidRDefault="00EA2531" w:rsidP="00EA2531">
      <w:pPr>
        <w:pStyle w:val="Dash"/>
        <w:tabs>
          <w:tab w:val="clear" w:pos="1040"/>
        </w:tabs>
        <w:rPr>
          <w:b/>
          <w:bCs/>
          <w:color w:val="142147" w:themeColor="accent1"/>
        </w:rPr>
      </w:pPr>
      <w:r w:rsidRPr="003C29B4">
        <w:rPr>
          <w:b/>
          <w:bCs/>
          <w:color w:val="142147" w:themeColor="accent1"/>
        </w:rPr>
        <w:t>how tax risks are identified, managed and monitored; and</w:t>
      </w:r>
    </w:p>
    <w:p w14:paraId="1CFE2680" w14:textId="0314B807" w:rsidR="00EA2531" w:rsidRPr="00125F25" w:rsidRDefault="00EA2531" w:rsidP="00EA2531">
      <w:pPr>
        <w:pStyle w:val="Dash"/>
        <w:tabs>
          <w:tab w:val="clear" w:pos="1040"/>
        </w:tabs>
      </w:pPr>
      <w:r w:rsidRPr="003C29B4">
        <w:rPr>
          <w:b/>
          <w:bCs/>
          <w:color w:val="142147" w:themeColor="accent1"/>
        </w:rPr>
        <w:t>how compliance with tax governance and control framework is evaluated.]</w:t>
      </w:r>
    </w:p>
    <w:p w14:paraId="5D17B3A5" w14:textId="4CE4A176" w:rsidR="00EA2531" w:rsidRDefault="00A02EF9" w:rsidP="00EA2531">
      <w:pPr>
        <w:pStyle w:val="Bullet"/>
        <w:numPr>
          <w:ilvl w:val="0"/>
          <w:numId w:val="0"/>
        </w:numPr>
        <w:rPr>
          <w:rFonts w:asciiTheme="minorHAnsi" w:hAnsiTheme="minorHAnsi" w:cstheme="minorHAnsi"/>
          <w:b/>
          <w:bCs/>
          <w:color w:val="142147" w:themeColor="accent1"/>
        </w:rPr>
      </w:pPr>
      <w:r>
        <w:rPr>
          <w:noProof/>
          <w:color w:val="142147" w:themeColor="accent1"/>
        </w:rPr>
        <mc:AlternateContent>
          <mc:Choice Requires="wps">
            <w:drawing>
              <wp:anchor distT="0" distB="0" distL="114300" distR="114300" simplePos="0" relativeHeight="251755520" behindDoc="0" locked="0" layoutInCell="1" allowOverlap="1" wp14:anchorId="5987889F" wp14:editId="66561332">
                <wp:simplePos x="0" y="0"/>
                <wp:positionH relativeFrom="column">
                  <wp:posOffset>2662776</wp:posOffset>
                </wp:positionH>
                <wp:positionV relativeFrom="paragraph">
                  <wp:posOffset>34484</wp:posOffset>
                </wp:positionV>
                <wp:extent cx="1547852" cy="2257425"/>
                <wp:effectExtent l="0" t="38100" r="52705" b="28575"/>
                <wp:wrapNone/>
                <wp:docPr id="123701450"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47852" cy="2257425"/>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846892" id="_x0000_t32" coordsize="21600,21600" o:spt="32" o:oned="t" path="m,l21600,21600e" filled="f">
                <v:path arrowok="t" fillok="f" o:connecttype="none"/>
                <o:lock v:ext="edit" shapetype="t"/>
              </v:shapetype>
              <v:shape id="Straight Arrow Connector 8" o:spid="_x0000_s1026" type="#_x0000_t32" alt="&quot;&quot;" style="position:absolute;margin-left:209.65pt;margin-top:2.7pt;width:121.9pt;height:177.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" strokecolor="#142147 [3204]" strokeweight=".5pt">
                <v:stroke endarrow="block" joinstyle="miter"/>
              </v:shape>
            </w:pict>
          </mc:Fallback>
        </mc:AlternateContent>
      </w:r>
      <w:r w:rsidR="00EA2531">
        <w:rPr>
          <w:noProof/>
          <w:color w:val="142147" w:themeColor="accent1"/>
        </w:rPr>
        <w:drawing>
          <wp:anchor distT="0" distB="0" distL="114300" distR="114300" simplePos="0" relativeHeight="251757568" behindDoc="0" locked="0" layoutInCell="1" allowOverlap="1" wp14:anchorId="3C91BFA2" wp14:editId="3E718AE2">
            <wp:simplePos x="0" y="0"/>
            <wp:positionH relativeFrom="margin">
              <wp:posOffset>2770505</wp:posOffset>
            </wp:positionH>
            <wp:positionV relativeFrom="paragraph">
              <wp:posOffset>32385</wp:posOffset>
            </wp:positionV>
            <wp:extent cx="3209925" cy="2343150"/>
            <wp:effectExtent l="19050" t="0" r="28575" b="19050"/>
            <wp:wrapSquare wrapText="bothSides"/>
            <wp:docPr id="840628325" name="Diagram 1" descr="Diagram showing PAA Ltd escalation of tax matter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page">
              <wp14:pctWidth>0</wp14:pctWidth>
            </wp14:sizeRelH>
            <wp14:sizeRelV relativeFrom="page">
              <wp14:pctHeight>0</wp14:pctHeight>
            </wp14:sizeRelV>
          </wp:anchor>
        </w:drawing>
      </w:r>
      <w:r w:rsidR="00EA2531" w:rsidRPr="00FB229C">
        <w:rPr>
          <w:rFonts w:asciiTheme="minorHAnsi" w:hAnsiTheme="minorHAnsi" w:cstheme="minorHAnsi"/>
          <w:b/>
          <w:bCs/>
          <w:color w:val="142147" w:themeColor="accent1"/>
        </w:rPr>
        <w:t xml:space="preserve">Governance </w:t>
      </w:r>
      <w:r w:rsidR="00EA2531">
        <w:rPr>
          <w:rFonts w:asciiTheme="minorHAnsi" w:hAnsiTheme="minorHAnsi" w:cstheme="minorHAnsi"/>
          <w:b/>
          <w:bCs/>
          <w:color w:val="142147" w:themeColor="accent1"/>
        </w:rPr>
        <w:t xml:space="preserve">and risk management </w:t>
      </w:r>
    </w:p>
    <w:p w14:paraId="7153B527" w14:textId="77777777" w:rsidR="00EA2531" w:rsidRPr="00950E21" w:rsidRDefault="00EA2531" w:rsidP="00EA2531">
      <w:pPr>
        <w:pStyle w:val="Bullet"/>
        <w:numPr>
          <w:ilvl w:val="0"/>
          <w:numId w:val="0"/>
        </w:numPr>
        <w:rPr>
          <w:rFonts w:asciiTheme="minorHAnsi" w:hAnsiTheme="minorHAnsi" w:cstheme="minorHAnsi"/>
          <w:color w:val="142147" w:themeColor="accent1"/>
        </w:rPr>
      </w:pPr>
      <w:r>
        <w:rPr>
          <w:noProof/>
          <w:color w:val="142147" w:themeColor="accent1"/>
        </w:rPr>
        <mc:AlternateContent>
          <mc:Choice Requires="wps">
            <w:drawing>
              <wp:anchor distT="0" distB="0" distL="114300" distR="114300" simplePos="0" relativeHeight="251756544" behindDoc="0" locked="0" layoutInCell="1" allowOverlap="1" wp14:anchorId="24E9E28F" wp14:editId="3BA5555A">
                <wp:simplePos x="0" y="0"/>
                <wp:positionH relativeFrom="column">
                  <wp:posOffset>2441574</wp:posOffset>
                </wp:positionH>
                <wp:positionV relativeFrom="paragraph">
                  <wp:posOffset>604520</wp:posOffset>
                </wp:positionV>
                <wp:extent cx="1774825" cy="321945"/>
                <wp:effectExtent l="364490" t="0" r="304165" b="0"/>
                <wp:wrapNone/>
                <wp:docPr id="661210819" name="Text Box 9"/>
                <wp:cNvGraphicFramePr/>
                <a:graphic xmlns:a="http://schemas.openxmlformats.org/drawingml/2006/main">
                  <a:graphicData uri="http://schemas.microsoft.com/office/word/2010/wordprocessingShape">
                    <wps:wsp>
                      <wps:cNvSpPr txBox="1"/>
                      <wps:spPr>
                        <a:xfrm rot="18247791">
                          <a:off x="0" y="0"/>
                          <a:ext cx="1774825" cy="321945"/>
                        </a:xfrm>
                        <a:prstGeom prst="rect">
                          <a:avLst/>
                        </a:prstGeom>
                        <a:noFill/>
                        <a:ln w="6350">
                          <a:noFill/>
                        </a:ln>
                      </wps:spPr>
                      <wps:txbx>
                        <w:txbxContent>
                          <w:p w14:paraId="62A2CD21" w14:textId="77777777" w:rsidR="00EA2531" w:rsidRPr="00BD7134" w:rsidRDefault="00EA2531" w:rsidP="00EA2531">
                            <w:pPr>
                              <w:rPr>
                                <w:b/>
                                <w:bCs/>
                                <w:color w:val="142147" w:themeColor="accent1"/>
                                <w:sz w:val="20"/>
                                <w:szCs w:val="20"/>
                              </w:rPr>
                            </w:pPr>
                            <w:r w:rsidRPr="00BD7134">
                              <w:rPr>
                                <w:b/>
                                <w:bCs/>
                                <w:color w:val="142147" w:themeColor="accent1"/>
                                <w:sz w:val="20"/>
                                <w:szCs w:val="20"/>
                              </w:rPr>
                              <w:t>Escalation of tax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E28F" id="_x0000_s1032" type="#_x0000_t202" style="position:absolute;margin-left:192.25pt;margin-top:47.6pt;width:139.75pt;height:25.35pt;rotation:-3661506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" filled="f" stroked="f" strokeweight=".5pt">
                <v:textbox>
                  <w:txbxContent>
                    <w:p w14:paraId="62A2CD21" w14:textId="77777777" w:rsidR="00EA2531" w:rsidRPr="00BD7134" w:rsidRDefault="00EA2531" w:rsidP="00EA2531">
                      <w:pPr>
                        <w:rPr>
                          <w:b/>
                          <w:bCs/>
                          <w:color w:val="142147" w:themeColor="accent1"/>
                          <w:sz w:val="20"/>
                          <w:szCs w:val="20"/>
                        </w:rPr>
                      </w:pPr>
                      <w:r w:rsidRPr="00BD7134">
                        <w:rPr>
                          <w:b/>
                          <w:bCs/>
                          <w:color w:val="142147" w:themeColor="accent1"/>
                          <w:sz w:val="20"/>
                          <w:szCs w:val="20"/>
                        </w:rPr>
                        <w:t>Escalation of tax matters</w:t>
                      </w:r>
                    </w:p>
                  </w:txbxContent>
                </v:textbox>
              </v:shape>
            </w:pict>
          </mc:Fallback>
        </mc:AlternateContent>
      </w:r>
      <w:r>
        <w:rPr>
          <w:rFonts w:asciiTheme="minorHAnsi" w:hAnsiTheme="minorHAnsi" w:cstheme="minorHAnsi"/>
          <w:color w:val="142147" w:themeColor="accent1"/>
        </w:rPr>
        <w:t xml:space="preserve">The PAA Ltd </w:t>
      </w:r>
      <w:r w:rsidRPr="00E1106C">
        <w:rPr>
          <w:b/>
          <w:bCs/>
          <w:i/>
          <w:iCs/>
          <w:color w:val="701F4D" w:themeColor="accent2"/>
        </w:rPr>
        <w:t>Tax Risk Management and Governance Framework</w:t>
      </w:r>
      <w:r w:rsidRPr="00E1106C">
        <w:rPr>
          <w:color w:val="701F4D" w:themeColor="accent2"/>
        </w:rPr>
        <w:t xml:space="preserve"> </w:t>
      </w:r>
      <w:r w:rsidRPr="00F8309C">
        <w:rPr>
          <w:color w:val="142147" w:themeColor="accent1"/>
        </w:rPr>
        <w:t xml:space="preserve">outlines </w:t>
      </w:r>
      <w:r>
        <w:rPr>
          <w:color w:val="142147" w:themeColor="accent1"/>
        </w:rPr>
        <w:t>PAA’s</w:t>
      </w:r>
      <w:r w:rsidRPr="00F8309C">
        <w:rPr>
          <w:color w:val="142147" w:themeColor="accent1"/>
        </w:rPr>
        <w:t xml:space="preserve"> tax governance structure</w:t>
      </w:r>
      <w:r>
        <w:rPr>
          <w:color w:val="142147" w:themeColor="accent1"/>
        </w:rPr>
        <w:t xml:space="preserve">, risk management processes, roles and responsibilities. The Board is accountable for PAA’s overall tax compliance, and ensuring there is an effective process to manage tax risk. </w:t>
      </w:r>
    </w:p>
    <w:p w14:paraId="33598ECE" w14:textId="77777777" w:rsidR="00EA2531" w:rsidRDefault="00EA2531" w:rsidP="00EA2531">
      <w:pPr>
        <w:pStyle w:val="Bullet"/>
        <w:numPr>
          <w:ilvl w:val="0"/>
          <w:numId w:val="0"/>
        </w:numPr>
        <w:rPr>
          <w:rFonts w:asciiTheme="minorHAnsi" w:hAnsiTheme="minorHAnsi" w:cstheme="minorHAnsi"/>
          <w:color w:val="142147" w:themeColor="accent1"/>
        </w:rPr>
      </w:pPr>
      <w:r>
        <w:rPr>
          <w:rFonts w:asciiTheme="minorHAnsi" w:hAnsiTheme="minorHAnsi" w:cstheme="minorHAnsi"/>
          <w:color w:val="142147" w:themeColor="accent1"/>
        </w:rPr>
        <w:t>The Chief Financial Officer is responsible for the management of tax risks. The Audit and Risk Committee meet on a quarterly basis to discuss and evaluate tax governance and compliance, with all material tax risks reported to the Board. The Tax Manager and Tax Business Unit operationalise the framework, advising the Committee on the tax implications of business decisions, transactions and compliance with tax laws.</w:t>
      </w:r>
    </w:p>
    <w:p w14:paraId="20C4AE27" w14:textId="0DC85592" w:rsidR="00EA2531" w:rsidRPr="00EA2531" w:rsidRDefault="00EA2531" w:rsidP="00EA2531">
      <w:r>
        <w:rPr>
          <w:color w:val="142147" w:themeColor="accent1"/>
        </w:rPr>
        <w:t>The framework outlines a consistent approach to tax risk identification, management and monitoring across PAA. PAA has controls to test the integrity of tax data including early engagement with tax advisors, and authorities where necessary to ensure compliance and test positions.</w:t>
      </w:r>
    </w:p>
    <w:p w14:paraId="00279533" w14:textId="77777777" w:rsidR="00BD4078" w:rsidRDefault="00BD4078" w:rsidP="00BD4078">
      <w:pPr>
        <w:pStyle w:val="Heading3"/>
      </w:pPr>
      <w:r>
        <w:t>Stakeholder engagement and management of concerns related to tax</w:t>
      </w:r>
    </w:p>
    <w:p w14:paraId="750A1A6A" w14:textId="336313F6" w:rsidR="00EA2531" w:rsidRDefault="00EA2531" w:rsidP="00EA2531">
      <w:pPr>
        <w:pStyle w:val="Heading4"/>
      </w:pPr>
      <w:r>
        <w:t xml:space="preserve">Optional elements </w:t>
      </w:r>
    </w:p>
    <w:p w14:paraId="7100486A" w14:textId="77777777" w:rsidR="00EA2531" w:rsidRPr="005D7AD1" w:rsidRDefault="00EA2531" w:rsidP="00EA2531">
      <w:pPr>
        <w:pStyle w:val="Bullet"/>
        <w:tabs>
          <w:tab w:val="clear" w:pos="520"/>
          <w:tab w:val="num" w:pos="567"/>
        </w:tabs>
        <w:rPr>
          <w:b/>
          <w:bCs/>
          <w:color w:val="142147" w:themeColor="accent1"/>
        </w:rPr>
      </w:pPr>
      <w:r>
        <w:rPr>
          <w:b/>
          <w:bCs/>
          <w:color w:val="142147" w:themeColor="accent1"/>
        </w:rPr>
        <w:t>[</w:t>
      </w:r>
      <w:r w:rsidRPr="005D7AD1">
        <w:rPr>
          <w:b/>
          <w:bCs/>
          <w:color w:val="142147" w:themeColor="accent1"/>
        </w:rPr>
        <w:t xml:space="preserve">Provide a description of its approach to engagement with the ATO. This may include: </w:t>
      </w:r>
    </w:p>
    <w:p w14:paraId="32E6F8E1" w14:textId="77777777" w:rsidR="00EA2531" w:rsidRPr="00044C2F" w:rsidRDefault="00EA2531" w:rsidP="00EA2531">
      <w:pPr>
        <w:pStyle w:val="Dash"/>
        <w:tabs>
          <w:tab w:val="clear" w:pos="1040"/>
        </w:tabs>
        <w:rPr>
          <w:b/>
          <w:bCs/>
          <w:color w:val="142147" w:themeColor="accent1"/>
        </w:rPr>
      </w:pPr>
      <w:r w:rsidRPr="00044C2F">
        <w:rPr>
          <w:b/>
          <w:bCs/>
          <w:color w:val="142147" w:themeColor="accent1"/>
        </w:rPr>
        <w:t>the assurance regimes the entity is subject to, including any outcomes from assurance regimes, for example, internal audit, external audit, Advance Pricing Arrangements (APAs), Annual Compliance Arrangement (ACA), Justified Trust reviews and ATO pre-lodgment compliance reviews;</w:t>
      </w:r>
    </w:p>
    <w:p w14:paraId="61E698A4" w14:textId="77777777" w:rsidR="00EA2531" w:rsidRPr="005D7AD1" w:rsidRDefault="00EA2531" w:rsidP="00EA2531">
      <w:pPr>
        <w:pStyle w:val="Dash"/>
        <w:tabs>
          <w:tab w:val="clear" w:pos="1040"/>
        </w:tabs>
        <w:rPr>
          <w:b/>
          <w:bCs/>
          <w:color w:val="142147" w:themeColor="accent1"/>
        </w:rPr>
      </w:pPr>
      <w:r w:rsidRPr="005D7AD1">
        <w:rPr>
          <w:b/>
          <w:bCs/>
          <w:color w:val="142147" w:themeColor="accent1"/>
        </w:rPr>
        <w:t xml:space="preserve">engagement on tax risks including private binding rulings obtained, cooperative compliance agreements, seeking active real-time audit, seeking clearance for significant transactions and advance pricing agreements sought; </w:t>
      </w:r>
    </w:p>
    <w:p w14:paraId="667AC1AA" w14:textId="77777777" w:rsidR="00EA2531" w:rsidRPr="005D7AD1" w:rsidRDefault="00EA2531" w:rsidP="00EA2531">
      <w:pPr>
        <w:pStyle w:val="Dash"/>
        <w:tabs>
          <w:tab w:val="clear" w:pos="1040"/>
        </w:tabs>
        <w:rPr>
          <w:b/>
          <w:bCs/>
          <w:color w:val="142147" w:themeColor="accent1"/>
        </w:rPr>
      </w:pPr>
      <w:r w:rsidRPr="005D7AD1">
        <w:rPr>
          <w:b/>
          <w:bCs/>
          <w:color w:val="142147" w:themeColor="accent1"/>
        </w:rPr>
        <w:t>the outcome of ATO compliance activities, for example, a ‘risk rating’ or the outcome of a streamlined risk review; and</w:t>
      </w:r>
    </w:p>
    <w:p w14:paraId="0E647ACA" w14:textId="77777777" w:rsidR="00EA2531" w:rsidRDefault="00EA2531" w:rsidP="00EA2531">
      <w:pPr>
        <w:pStyle w:val="Dash"/>
        <w:tabs>
          <w:tab w:val="clear" w:pos="1040"/>
        </w:tabs>
        <w:rPr>
          <w:b/>
          <w:bCs/>
          <w:color w:val="142147" w:themeColor="accent1"/>
        </w:rPr>
      </w:pPr>
      <w:r w:rsidRPr="00FD651A">
        <w:rPr>
          <w:b/>
          <w:bCs/>
          <w:color w:val="142147" w:themeColor="accent1"/>
        </w:rPr>
        <w:t>any significant ongoing or recently settled tax disputes with the ATO and/or other revenue authorities, including settlement outcomes, to the extent not already disclosed in financial statements]</w:t>
      </w:r>
    </w:p>
    <w:p w14:paraId="3FC75DAA" w14:textId="77777777" w:rsidR="00EA2531" w:rsidRPr="00887018" w:rsidRDefault="00EA2531" w:rsidP="00EA2531">
      <w:pPr>
        <w:pStyle w:val="Bullet"/>
        <w:tabs>
          <w:tab w:val="clear" w:pos="520"/>
          <w:tab w:val="num" w:pos="567"/>
        </w:tabs>
        <w:rPr>
          <w:b/>
          <w:bCs/>
          <w:color w:val="142147" w:themeColor="accent1"/>
        </w:rPr>
      </w:pPr>
      <w:r>
        <w:rPr>
          <w:b/>
          <w:bCs/>
          <w:color w:val="142147" w:themeColor="accent1"/>
        </w:rPr>
        <w:t>[</w:t>
      </w:r>
      <w:r w:rsidRPr="005D7AD1">
        <w:rPr>
          <w:b/>
          <w:bCs/>
          <w:color w:val="142147" w:themeColor="accent1"/>
        </w:rPr>
        <w:t>Provide a description of its approach to engagement with other tax authorities</w:t>
      </w:r>
      <w:r>
        <w:rPr>
          <w:b/>
          <w:bCs/>
          <w:color w:val="142147" w:themeColor="accent1"/>
        </w:rPr>
        <w:t>]</w:t>
      </w:r>
    </w:p>
    <w:p w14:paraId="5E612B22" w14:textId="77777777" w:rsidR="00EA2531" w:rsidRPr="00887018" w:rsidRDefault="00EA2531" w:rsidP="00EA2531">
      <w:pPr>
        <w:pStyle w:val="Bullet"/>
        <w:numPr>
          <w:ilvl w:val="0"/>
          <w:numId w:val="0"/>
        </w:numPr>
        <w:rPr>
          <w:rFonts w:asciiTheme="minorHAnsi" w:hAnsiTheme="minorHAnsi" w:cstheme="minorHAnsi"/>
          <w:b/>
          <w:bCs/>
          <w:color w:val="142147" w:themeColor="accent1"/>
        </w:rPr>
      </w:pPr>
      <w:r w:rsidRPr="00887018">
        <w:rPr>
          <w:rFonts w:asciiTheme="minorHAnsi" w:hAnsiTheme="minorHAnsi" w:cstheme="minorHAnsi"/>
          <w:b/>
          <w:bCs/>
          <w:color w:val="142147" w:themeColor="accent1"/>
        </w:rPr>
        <w:t>Engagement with tax authorities</w:t>
      </w:r>
    </w:p>
    <w:p w14:paraId="50C0922A" w14:textId="77777777" w:rsidR="00EA2531" w:rsidRPr="00887018" w:rsidRDefault="00EA2531" w:rsidP="00EA2531">
      <w:pPr>
        <w:pStyle w:val="Bullet"/>
        <w:numPr>
          <w:ilvl w:val="0"/>
          <w:numId w:val="0"/>
        </w:numPr>
        <w:spacing w:before="0"/>
        <w:rPr>
          <w:rFonts w:asciiTheme="minorHAnsi" w:hAnsiTheme="minorHAnsi" w:cstheme="minorHAnsi"/>
          <w:color w:val="142147" w:themeColor="accent1"/>
        </w:rPr>
      </w:pPr>
      <w:r>
        <w:rPr>
          <w:color w:val="142147" w:themeColor="accent1"/>
        </w:rPr>
        <w:t>PAA</w:t>
      </w:r>
      <w:r w:rsidRPr="00887018">
        <w:rPr>
          <w:color w:val="142147" w:themeColor="accent1"/>
        </w:rPr>
        <w:t xml:space="preserve"> </w:t>
      </w:r>
      <w:r w:rsidRPr="00887018">
        <w:rPr>
          <w:rFonts w:asciiTheme="minorHAnsi" w:hAnsiTheme="minorHAnsi" w:cstheme="minorHAnsi"/>
          <w:color w:val="142147" w:themeColor="accent1"/>
        </w:rPr>
        <w:t xml:space="preserve">recognises the role of tax authorities in administering tax laws. </w:t>
      </w:r>
      <w:r>
        <w:rPr>
          <w:color w:val="142147" w:themeColor="accent1"/>
        </w:rPr>
        <w:t>PAA</w:t>
      </w:r>
      <w:r w:rsidRPr="00887018">
        <w:rPr>
          <w:color w:val="142147" w:themeColor="accent1"/>
        </w:rPr>
        <w:t xml:space="preserve"> </w:t>
      </w:r>
      <w:r>
        <w:rPr>
          <w:rFonts w:asciiTheme="minorHAnsi" w:hAnsiTheme="minorHAnsi" w:cstheme="minorHAnsi"/>
          <w:color w:val="142147" w:themeColor="accent1"/>
        </w:rPr>
        <w:t xml:space="preserve">seeks to foster </w:t>
      </w:r>
      <w:r w:rsidRPr="00887018">
        <w:rPr>
          <w:rFonts w:asciiTheme="minorHAnsi" w:hAnsiTheme="minorHAnsi" w:cstheme="minorHAnsi"/>
          <w:color w:val="142147" w:themeColor="accent1"/>
        </w:rPr>
        <w:t xml:space="preserve">an open, constructive and transparent relationship with the tax authorities from each jurisdiction in which we operate. </w:t>
      </w:r>
      <w:r>
        <w:rPr>
          <w:color w:val="142147" w:themeColor="accent1"/>
        </w:rPr>
        <w:t>PAA</w:t>
      </w:r>
      <w:r w:rsidRPr="00887018">
        <w:rPr>
          <w:color w:val="142147" w:themeColor="accent1"/>
        </w:rPr>
        <w:t xml:space="preserve"> </w:t>
      </w:r>
      <w:r w:rsidRPr="00887018">
        <w:rPr>
          <w:rFonts w:asciiTheme="minorHAnsi" w:hAnsiTheme="minorHAnsi" w:cstheme="minorHAnsi"/>
          <w:color w:val="142147" w:themeColor="accent1"/>
        </w:rPr>
        <w:t>does not tolerate any practices that rely on secrecy or concealment of any information from any tax authority.</w:t>
      </w:r>
      <w:r>
        <w:rPr>
          <w:rFonts w:asciiTheme="minorHAnsi" w:hAnsiTheme="minorHAnsi" w:cstheme="minorHAnsi"/>
          <w:color w:val="142147" w:themeColor="accent1"/>
        </w:rPr>
        <w:t xml:space="preserve"> </w:t>
      </w:r>
    </w:p>
    <w:p w14:paraId="06B434CC" w14:textId="77777777" w:rsidR="00EA2531" w:rsidRPr="009F7476" w:rsidRDefault="00EA2531" w:rsidP="00EA2531">
      <w:pPr>
        <w:pStyle w:val="Bullet"/>
        <w:numPr>
          <w:ilvl w:val="0"/>
          <w:numId w:val="0"/>
        </w:numPr>
        <w:spacing w:before="0"/>
        <w:rPr>
          <w:rFonts w:asciiTheme="minorHAnsi" w:hAnsiTheme="minorHAnsi" w:cstheme="minorHAnsi"/>
          <w:color w:val="142147" w:themeColor="accent1"/>
        </w:rPr>
      </w:pPr>
      <w:r w:rsidRPr="00887018">
        <w:rPr>
          <w:rFonts w:asciiTheme="minorHAnsi" w:hAnsiTheme="minorHAnsi" w:cstheme="minorHAnsi"/>
          <w:color w:val="142147" w:themeColor="accent1"/>
        </w:rPr>
        <w:t xml:space="preserve">We recognise that on occasion there will be differences in interpretation of the laws where the tax treatment of certain activities and transactions is unclear. For transactions which present as non-routine, or unclear </w:t>
      </w:r>
      <w:r>
        <w:rPr>
          <w:color w:val="142147" w:themeColor="accent1"/>
        </w:rPr>
        <w:t>PAA</w:t>
      </w:r>
      <w:r w:rsidRPr="00887018">
        <w:rPr>
          <w:color w:val="142147" w:themeColor="accent1"/>
        </w:rPr>
        <w:t xml:space="preserve"> </w:t>
      </w:r>
      <w:r w:rsidRPr="00887018">
        <w:rPr>
          <w:rFonts w:asciiTheme="minorHAnsi" w:hAnsiTheme="minorHAnsi" w:cstheme="minorHAnsi"/>
          <w:color w:val="142147" w:themeColor="accent1"/>
        </w:rPr>
        <w:t xml:space="preserve">seeks tax certainty, and utilises Private Binding Rulings where appropriate. </w:t>
      </w:r>
      <w:r w:rsidRPr="00887018">
        <w:rPr>
          <w:rFonts w:asciiTheme="minorHAnsi" w:hAnsiTheme="minorHAnsi" w:cstheme="minorBidi"/>
          <w:color w:val="142147" w:themeColor="accent1"/>
        </w:rPr>
        <w:t xml:space="preserve">In the event of any disputes, we will maintain an open and constructive relationship with tax authorities to achieve a mutually acceptable resolution. </w:t>
      </w:r>
    </w:p>
    <w:p w14:paraId="4A5A19ED" w14:textId="77777777" w:rsidR="00EA2531" w:rsidRDefault="00EA2531" w:rsidP="00EA2531">
      <w:pPr>
        <w:pStyle w:val="Bullet"/>
        <w:numPr>
          <w:ilvl w:val="0"/>
          <w:numId w:val="0"/>
        </w:numPr>
        <w:spacing w:before="0"/>
        <w:rPr>
          <w:rFonts w:asciiTheme="minorHAnsi" w:hAnsiTheme="minorHAnsi" w:cstheme="minorBidi"/>
          <w:color w:val="142147" w:themeColor="accent1"/>
        </w:rPr>
      </w:pPr>
      <w:r w:rsidRPr="4D10D2DC">
        <w:rPr>
          <w:color w:val="142147" w:themeColor="accent1"/>
        </w:rPr>
        <w:t xml:space="preserve">PAA </w:t>
      </w:r>
      <w:r w:rsidRPr="32AB3811">
        <w:rPr>
          <w:rFonts w:asciiTheme="minorHAnsi" w:hAnsiTheme="minorHAnsi" w:cstheme="minorBidi"/>
          <w:color w:val="142147" w:themeColor="accent1"/>
        </w:rPr>
        <w:t xml:space="preserve">maintain thorough and timely disclosures of necessary information required by law, providing the ATO with required information through lodgments, or during reviews or audits. </w:t>
      </w:r>
      <w:r>
        <w:rPr>
          <w:rFonts w:asciiTheme="minorHAnsi" w:hAnsiTheme="minorHAnsi" w:cstheme="minorBidi"/>
          <w:color w:val="142147" w:themeColor="accent1"/>
        </w:rPr>
        <w:t xml:space="preserve">In the 2025 financial year, the ATO performed an assurance review of the APP group as part of their Top 1,000 Tax Assurance Program covering the 2019-20, 2020-21 and the 2021-22 financial years. During this process, </w:t>
      </w:r>
      <w:r w:rsidRPr="4D10D2DC">
        <w:rPr>
          <w:color w:val="142147" w:themeColor="accent1"/>
        </w:rPr>
        <w:t xml:space="preserve">PAA </w:t>
      </w:r>
      <w:r>
        <w:rPr>
          <w:rFonts w:asciiTheme="minorHAnsi" w:hAnsiTheme="minorHAnsi" w:cstheme="minorBidi"/>
          <w:color w:val="142147" w:themeColor="accent1"/>
        </w:rPr>
        <w:t xml:space="preserve">submitted a voluntary disclosure for the 2020-21 financial year to explain and rectify an error made concerning misapplication of the payroll tax rate. No further adjustments were made to tax payable, and </w:t>
      </w:r>
      <w:r w:rsidRPr="4D10D2DC">
        <w:rPr>
          <w:rFonts w:asciiTheme="minorHAnsi" w:hAnsiTheme="minorHAnsi" w:cstheme="minorBidi"/>
          <w:color w:val="142147" w:themeColor="accent1"/>
        </w:rPr>
        <w:t xml:space="preserve">PAA </w:t>
      </w:r>
      <w:r>
        <w:rPr>
          <w:rFonts w:asciiTheme="minorHAnsi" w:hAnsiTheme="minorHAnsi" w:cstheme="minorBidi"/>
          <w:color w:val="142147" w:themeColor="accent1"/>
        </w:rPr>
        <w:t xml:space="preserve">demonstrated that it has an effective tax control framework.  </w:t>
      </w:r>
    </w:p>
    <w:p w14:paraId="4D005DB1" w14:textId="7DA16C31" w:rsidR="00EA2531" w:rsidRPr="00EA2531" w:rsidRDefault="00EA2531" w:rsidP="00EA2531">
      <w:r>
        <w:rPr>
          <w:color w:val="142147" w:themeColor="accent1"/>
        </w:rPr>
        <w:t>PAA</w:t>
      </w:r>
      <w:r w:rsidRPr="00887018">
        <w:rPr>
          <w:color w:val="142147" w:themeColor="accent1"/>
        </w:rPr>
        <w:t xml:space="preserve"> </w:t>
      </w:r>
      <w:r>
        <w:rPr>
          <w:rFonts w:asciiTheme="minorHAnsi" w:hAnsiTheme="minorHAnsi" w:cstheme="minorBidi"/>
          <w:color w:val="142147" w:themeColor="accent1"/>
        </w:rPr>
        <w:t xml:space="preserve">have been engaging with the ATO through their commercial deals program to obtain certainty and reach an agreement over the capital gains tax treatment of the sale of a commercial warehouse in </w:t>
      </w:r>
      <w:r>
        <w:rPr>
          <w:color w:val="142147" w:themeColor="accent1"/>
        </w:rPr>
        <w:t>PAA’s</w:t>
      </w:r>
      <w:r w:rsidRPr="00887018">
        <w:rPr>
          <w:color w:val="142147" w:themeColor="accent1"/>
        </w:rPr>
        <w:t xml:space="preserve"> </w:t>
      </w:r>
      <w:r>
        <w:rPr>
          <w:rFonts w:asciiTheme="minorHAnsi" w:hAnsiTheme="minorHAnsi" w:cstheme="minorBidi"/>
          <w:color w:val="142147" w:themeColor="accent1"/>
        </w:rPr>
        <w:t xml:space="preserve">2025 income tax return.  </w:t>
      </w:r>
    </w:p>
    <w:p w14:paraId="11DA62FD" w14:textId="77777777" w:rsidR="00BD4078" w:rsidRPr="00243793" w:rsidRDefault="00BD4078" w:rsidP="00BD4078">
      <w:pPr>
        <w:pStyle w:val="Heading3"/>
        <w:rPr>
          <w:rFonts w:asciiTheme="minorHAnsi" w:hAnsiTheme="minorHAnsi" w:cstheme="minorHAnsi"/>
          <w:color w:val="142147" w:themeColor="accent1"/>
        </w:rPr>
      </w:pPr>
      <w:r w:rsidRPr="0050378B">
        <w:t xml:space="preserve">International Related Party Dealings summary </w:t>
      </w:r>
    </w:p>
    <w:p w14:paraId="02143E49" w14:textId="4AB57033" w:rsidR="00BD4078" w:rsidRPr="00687C4F" w:rsidRDefault="00BD4078" w:rsidP="00BD4078">
      <w:pPr>
        <w:rPr>
          <w:color w:val="142147" w:themeColor="accent1"/>
        </w:rPr>
      </w:pPr>
      <w:r w:rsidRPr="00A00A03">
        <w:rPr>
          <w:color w:val="142147" w:themeColor="accent1"/>
        </w:rPr>
        <w:t xml:space="preserve">In the course of conducting our business, transactions take place which give rise to international related party dealings with offshore branches and subsidiaries. </w:t>
      </w:r>
      <w:r w:rsidR="009F7476">
        <w:rPr>
          <w:color w:val="142147" w:themeColor="accent1"/>
        </w:rPr>
        <w:t>PAA</w:t>
      </w:r>
      <w:r w:rsidRPr="00687C4F">
        <w:rPr>
          <w:color w:val="142147" w:themeColor="accent1"/>
        </w:rPr>
        <w:t xml:space="preserve"> Ltd</w:t>
      </w:r>
      <w:r>
        <w:rPr>
          <w:color w:val="142147" w:themeColor="accent1"/>
        </w:rPr>
        <w:t>’s</w:t>
      </w:r>
      <w:r w:rsidRPr="00687C4F">
        <w:rPr>
          <w:color w:val="142147" w:themeColor="accent1"/>
        </w:rPr>
        <w:t xml:space="preserve"> international related party dealings are disclosed in the International Dealings Schedule </w:t>
      </w:r>
      <w:r>
        <w:rPr>
          <w:color w:val="142147" w:themeColor="accent1"/>
        </w:rPr>
        <w:t>of</w:t>
      </w:r>
      <w:r w:rsidRPr="00687C4F">
        <w:rPr>
          <w:color w:val="142147" w:themeColor="accent1"/>
        </w:rPr>
        <w:t xml:space="preserve"> its annual income tax return</w:t>
      </w:r>
      <w:r>
        <w:rPr>
          <w:color w:val="142147" w:themeColor="accent1"/>
        </w:rPr>
        <w:t xml:space="preserve"> and are summarised below. </w:t>
      </w:r>
      <w:r w:rsidRPr="00687C4F">
        <w:rPr>
          <w:color w:val="142147" w:themeColor="accent1"/>
        </w:rPr>
        <w:t xml:space="preserve"> </w:t>
      </w:r>
    </w:p>
    <w:tbl>
      <w:tblPr>
        <w:tblStyle w:val="GridTable1Light-Accent2"/>
        <w:tblW w:w="9634" w:type="dxa"/>
        <w:tblBorders>
          <w:top w:val="single" w:sz="4" w:space="0" w:color="142147"/>
          <w:left w:val="single" w:sz="4" w:space="0" w:color="142147"/>
          <w:bottom w:val="single" w:sz="4" w:space="0" w:color="142147"/>
          <w:right w:val="single" w:sz="4" w:space="0" w:color="142147"/>
          <w:insideH w:val="single" w:sz="4" w:space="0" w:color="142147"/>
          <w:insideV w:val="single" w:sz="4" w:space="0" w:color="142147"/>
        </w:tblBorders>
        <w:tblLook w:val="04A0" w:firstRow="1" w:lastRow="0" w:firstColumn="1" w:lastColumn="0" w:noHBand="0" w:noVBand="1"/>
      </w:tblPr>
      <w:tblGrid>
        <w:gridCol w:w="1853"/>
        <w:gridCol w:w="5230"/>
        <w:gridCol w:w="2551"/>
      </w:tblGrid>
      <w:tr w:rsidR="00BD4078" w14:paraId="403E39C4"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853" w:type="dxa"/>
            <w:shd w:val="clear" w:color="auto" w:fill="701F4D" w:themeFill="accent2"/>
          </w:tcPr>
          <w:p w14:paraId="5DA616BD" w14:textId="77777777" w:rsidR="00BD4078" w:rsidRPr="00B5028C" w:rsidRDefault="00BD4078">
            <w:pPr>
              <w:spacing w:before="0" w:after="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Transaction type </w:t>
            </w:r>
          </w:p>
        </w:tc>
        <w:tc>
          <w:tcPr>
            <w:tcW w:w="5230" w:type="dxa"/>
            <w:shd w:val="clear" w:color="auto" w:fill="701F4D" w:themeFill="accent2"/>
          </w:tcPr>
          <w:p w14:paraId="47C32E8C" w14:textId="77777777" w:rsidR="00BD4078" w:rsidRPr="00B5028C" w:rsidRDefault="00BD4078">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Summary of the nature of dealings </w:t>
            </w:r>
          </w:p>
        </w:tc>
        <w:tc>
          <w:tcPr>
            <w:tcW w:w="2551" w:type="dxa"/>
            <w:shd w:val="clear" w:color="auto" w:fill="701F4D" w:themeFill="accent2"/>
          </w:tcPr>
          <w:p w14:paraId="25DD9231" w14:textId="77777777" w:rsidR="00BD4078" w:rsidRPr="00B5028C" w:rsidRDefault="00BD4078">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
                <w:color w:val="FFFFFF" w:themeColor="background1"/>
              </w:rPr>
            </w:pPr>
            <w:r w:rsidRPr="00B5028C">
              <w:rPr>
                <w:rFonts w:asciiTheme="minorHAnsi" w:eastAsiaTheme="majorEastAsia" w:hAnsiTheme="minorHAnsi" w:cstheme="minorHAnsi"/>
                <w:b/>
                <w:color w:val="FFFFFF" w:themeColor="background1"/>
              </w:rPr>
              <w:t xml:space="preserve">Countries related parties are located </w:t>
            </w:r>
          </w:p>
        </w:tc>
      </w:tr>
      <w:tr w:rsidR="00BD4078" w14:paraId="2641132C" w14:textId="77777777">
        <w:trPr>
          <w:trHeight w:val="247"/>
        </w:trPr>
        <w:tc>
          <w:tcPr>
            <w:cnfStyle w:val="001000000000" w:firstRow="0" w:lastRow="0" w:firstColumn="1" w:lastColumn="0" w:oddVBand="0" w:evenVBand="0" w:oddHBand="0" w:evenHBand="0" w:firstRowFirstColumn="0" w:firstRowLastColumn="0" w:lastRowFirstColumn="0" w:lastRowLastColumn="0"/>
            <w:tcW w:w="1853" w:type="dxa"/>
          </w:tcPr>
          <w:p w14:paraId="2E3AF77C" w14:textId="4020D5DD" w:rsidR="00BD4078" w:rsidRPr="00134C7A" w:rsidRDefault="00BD4078" w:rsidP="000D2994">
            <w:pPr>
              <w:pStyle w:val="Bullet"/>
              <w:numPr>
                <w:ilvl w:val="0"/>
                <w:numId w:val="0"/>
              </w:numPr>
              <w:spacing w:before="0" w:after="0"/>
              <w:rPr>
                <w:b/>
                <w:bCs w:val="0"/>
                <w:color w:val="142147" w:themeColor="accent1"/>
              </w:rPr>
            </w:pPr>
            <w:r w:rsidRPr="00134C7A">
              <w:rPr>
                <w:b/>
                <w:bCs w:val="0"/>
                <w:color w:val="142147" w:themeColor="accent1"/>
              </w:rPr>
              <w:t xml:space="preserve">Transfer of </w:t>
            </w:r>
            <w:r>
              <w:rPr>
                <w:b/>
                <w:bCs w:val="0"/>
                <w:color w:val="142147" w:themeColor="accent1"/>
              </w:rPr>
              <w:t xml:space="preserve">raw materials and finished </w:t>
            </w:r>
            <w:r w:rsidR="00C421E4">
              <w:rPr>
                <w:b/>
                <w:bCs w:val="0"/>
                <w:color w:val="142147" w:themeColor="accent1"/>
              </w:rPr>
              <w:t>widgets</w:t>
            </w:r>
            <w:r w:rsidRPr="00134C7A">
              <w:rPr>
                <w:b/>
                <w:bCs w:val="0"/>
                <w:color w:val="142147" w:themeColor="accent1"/>
              </w:rPr>
              <w:t xml:space="preserve"> </w:t>
            </w:r>
          </w:p>
        </w:tc>
        <w:tc>
          <w:tcPr>
            <w:tcW w:w="5230" w:type="dxa"/>
          </w:tcPr>
          <w:p w14:paraId="27351D60" w14:textId="188F4B50" w:rsidR="00BD4078"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Raw materials and unfinished </w:t>
            </w:r>
            <w:r w:rsidR="00C421E4">
              <w:rPr>
                <w:color w:val="142147" w:themeColor="accent1"/>
              </w:rPr>
              <w:t>widgets</w:t>
            </w:r>
            <w:r>
              <w:rPr>
                <w:color w:val="142147" w:themeColor="accent1"/>
              </w:rPr>
              <w:t xml:space="preserve"> are transferred between subsidiaries at market value for </w:t>
            </w:r>
            <w:r w:rsidR="00C421E4">
              <w:rPr>
                <w:color w:val="142147" w:themeColor="accent1"/>
              </w:rPr>
              <w:t>widget</w:t>
            </w:r>
            <w:r>
              <w:rPr>
                <w:color w:val="142147" w:themeColor="accent1"/>
              </w:rPr>
              <w:t xml:space="preserve"> production.</w:t>
            </w:r>
          </w:p>
          <w:p w14:paraId="3BB4B0BC" w14:textId="3536AA73" w:rsidR="00BD4078" w:rsidRPr="00134C7A" w:rsidRDefault="009F7476">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PAA</w:t>
            </w:r>
            <w:r w:rsidR="00BD4078" w:rsidRPr="00134C7A">
              <w:rPr>
                <w:color w:val="142147" w:themeColor="accent1"/>
              </w:rPr>
              <w:t xml:space="preserve"> Ltd </w:t>
            </w:r>
            <w:r w:rsidR="00BD4078">
              <w:rPr>
                <w:color w:val="142147" w:themeColor="accent1"/>
              </w:rPr>
              <w:t xml:space="preserve">finished </w:t>
            </w:r>
            <w:r w:rsidR="00C421E4">
              <w:rPr>
                <w:color w:val="142147" w:themeColor="accent1"/>
              </w:rPr>
              <w:t>widgets</w:t>
            </w:r>
            <w:r w:rsidR="00BD4078" w:rsidRPr="00134C7A">
              <w:rPr>
                <w:color w:val="142147" w:themeColor="accent1"/>
              </w:rPr>
              <w:t xml:space="preserve"> are sold directly into local markets via subsidiary distributors.</w:t>
            </w:r>
          </w:p>
        </w:tc>
        <w:tc>
          <w:tcPr>
            <w:tcW w:w="2551" w:type="dxa"/>
          </w:tcPr>
          <w:p w14:paraId="1DECF35E" w14:textId="77777777" w:rsidR="00BD4078" w:rsidRPr="00134C7A" w:rsidRDefault="00BD4078">
            <w:pPr>
              <w:spacing w:before="0" w:after="0"/>
              <w:cnfStyle w:val="000000000000" w:firstRow="0" w:lastRow="0" w:firstColumn="0" w:lastColumn="0" w:oddVBand="0" w:evenVBand="0" w:oddHBand="0" w:evenHBand="0" w:firstRowFirstColumn="0" w:firstRowLastColumn="0" w:lastRowFirstColumn="0" w:lastRowLastColumn="0"/>
              <w:rPr>
                <w:color w:val="142147" w:themeColor="accent1"/>
              </w:rPr>
            </w:pPr>
            <w:r w:rsidRPr="00134C7A">
              <w:rPr>
                <w:color w:val="142147" w:themeColor="accent1"/>
              </w:rPr>
              <w:t xml:space="preserve">China, India, United States </w:t>
            </w:r>
          </w:p>
        </w:tc>
      </w:tr>
    </w:tbl>
    <w:p w14:paraId="71F70D52" w14:textId="77777777" w:rsidR="00AA2FF2" w:rsidRPr="00AA2FF2" w:rsidRDefault="00AA2FF2" w:rsidP="005F4990">
      <w:pPr>
        <w:pStyle w:val="Bullet"/>
        <w:numPr>
          <w:ilvl w:val="0"/>
          <w:numId w:val="0"/>
        </w:numPr>
        <w:rPr>
          <w:color w:val="142147" w:themeColor="accent1"/>
        </w:rPr>
      </w:pPr>
    </w:p>
    <w:p w14:paraId="5FA0E2BD" w14:textId="111ABB23" w:rsidR="00BD4078" w:rsidRDefault="00BD4078" w:rsidP="00BD4078">
      <w:pPr>
        <w:pStyle w:val="Heading1"/>
      </w:pPr>
      <w:bookmarkStart w:id="72" w:name="_Appendix_B_–_1"/>
      <w:bookmarkStart w:id="73" w:name="_Toc195021324"/>
      <w:bookmarkStart w:id="74" w:name="_Toc199855178"/>
      <w:bookmarkEnd w:id="72"/>
      <w:r>
        <w:t xml:space="preserve">Appendix B – </w:t>
      </w:r>
      <w:r w:rsidR="00DB0051">
        <w:t>V</w:t>
      </w:r>
      <w:r>
        <w:t>TTC Checklist</w:t>
      </w:r>
      <w:bookmarkEnd w:id="73"/>
      <w:bookmarkEnd w:id="74"/>
    </w:p>
    <w:tbl>
      <w:tblPr>
        <w:tblStyle w:val="TableGrid"/>
        <w:tblW w:w="0" w:type="auto"/>
        <w:tblLook w:val="04A0" w:firstRow="1" w:lastRow="0" w:firstColumn="1" w:lastColumn="0" w:noHBand="0" w:noVBand="1"/>
      </w:tblPr>
      <w:tblGrid>
        <w:gridCol w:w="9631"/>
      </w:tblGrid>
      <w:tr w:rsidR="00BD4078" w14:paraId="72C73617" w14:textId="77777777">
        <w:tc>
          <w:tcPr>
            <w:tcW w:w="9631" w:type="dxa"/>
            <w:shd w:val="clear" w:color="auto" w:fill="142147" w:themeFill="accent1"/>
          </w:tcPr>
          <w:p w14:paraId="3A275BEE" w14:textId="77777777" w:rsidR="00BD4078" w:rsidRPr="00352052" w:rsidRDefault="00BD4078">
            <w:pPr>
              <w:rPr>
                <w:b/>
                <w:bCs/>
              </w:rPr>
            </w:pPr>
            <w:r>
              <w:rPr>
                <w:b/>
                <w:bCs/>
              </w:rPr>
              <w:t>Note</w:t>
            </w:r>
          </w:p>
          <w:p w14:paraId="12FE8930" w14:textId="5EB44A87" w:rsidR="00BD4078" w:rsidRDefault="00BD4078" w:rsidP="00EF3690">
            <w:pPr>
              <w:pStyle w:val="Dash"/>
            </w:pPr>
            <w:r>
              <w:t>Appendix B has been designed as a voluntary</w:t>
            </w:r>
            <w:r w:rsidRPr="00D1768B">
              <w:t xml:space="preserve"> self-assessment disclosure checklist</w:t>
            </w:r>
            <w:r>
              <w:t xml:space="preserve"> designed</w:t>
            </w:r>
            <w:r w:rsidRPr="00D1768B">
              <w:t xml:space="preserve"> </w:t>
            </w:r>
            <w:r>
              <w:t xml:space="preserve">to support businesses with the completion of their </w:t>
            </w:r>
            <w:r w:rsidR="00DB0051">
              <w:t>V</w:t>
            </w:r>
            <w:r>
              <w:t xml:space="preserve">TTC report. </w:t>
            </w:r>
          </w:p>
          <w:p w14:paraId="49E1B41A" w14:textId="77777777" w:rsidR="00BD4078" w:rsidRPr="00D1768B" w:rsidRDefault="00BD4078" w:rsidP="00EF3690">
            <w:pPr>
              <w:pStyle w:val="Dash"/>
            </w:pPr>
            <w:r w:rsidRPr="00D1768B">
              <w:t xml:space="preserve">Whilst completion of all </w:t>
            </w:r>
            <w:r>
              <w:t>‘</w:t>
            </w:r>
            <w:r w:rsidRPr="00D1768B">
              <w:t>optional elements</w:t>
            </w:r>
            <w:r>
              <w:t>’</w:t>
            </w:r>
            <w:r w:rsidRPr="00D1768B">
              <w:t xml:space="preserve"> is encouraged</w:t>
            </w:r>
            <w:r>
              <w:t xml:space="preserve">; it is not a requirement. </w:t>
            </w:r>
          </w:p>
        </w:tc>
      </w:tr>
    </w:tbl>
    <w:p w14:paraId="5F72F8BB" w14:textId="77777777" w:rsidR="00BD4078" w:rsidRDefault="00BD4078" w:rsidP="00BD4078">
      <w:pPr>
        <w:rPr>
          <w:highlight w:val="yellow"/>
        </w:rPr>
      </w:pPr>
    </w:p>
    <w:p w14:paraId="58BCF8D2" w14:textId="1BB60726" w:rsidR="00BD4078" w:rsidRDefault="00DE0E4A" w:rsidP="00BD4078">
      <w:pPr>
        <w:pStyle w:val="Heading2"/>
        <w:spacing w:before="0"/>
      </w:pPr>
      <w:bookmarkStart w:id="75" w:name="_CbC_reporter_1"/>
      <w:bookmarkStart w:id="76" w:name="_Toc195021325"/>
      <w:bookmarkStart w:id="77" w:name="_Toc199855179"/>
      <w:bookmarkEnd w:id="75"/>
      <w:r>
        <w:t xml:space="preserve">Public </w:t>
      </w:r>
      <w:r w:rsidR="00BD4078">
        <w:t>CbC reporter</w:t>
      </w:r>
      <w:bookmarkEnd w:id="76"/>
      <w:bookmarkEnd w:id="77"/>
      <w:r w:rsidR="00BD4078">
        <w:t xml:space="preserve"> </w:t>
      </w:r>
    </w:p>
    <w:tbl>
      <w:tblPr>
        <w:tblStyle w:val="ListTable3-Accent2"/>
        <w:tblW w:w="0" w:type="auto"/>
        <w:tblLayout w:type="fixed"/>
        <w:tblLook w:val="04A0" w:firstRow="1" w:lastRow="0" w:firstColumn="1" w:lastColumn="0" w:noHBand="0" w:noVBand="1"/>
      </w:tblPr>
      <w:tblGrid>
        <w:gridCol w:w="2110"/>
        <w:gridCol w:w="108"/>
        <w:gridCol w:w="1189"/>
        <w:gridCol w:w="169"/>
        <w:gridCol w:w="6055"/>
      </w:tblGrid>
      <w:tr w:rsidR="00BD4078" w14:paraId="62D70883" w14:textId="77777777" w:rsidTr="00EB7698">
        <w:trPr>
          <w:cnfStyle w:val="100000000000" w:firstRow="1" w:lastRow="0" w:firstColumn="0" w:lastColumn="0" w:oddVBand="0" w:evenVBand="0" w:oddHBand="0" w:evenHBand="0" w:firstRowFirstColumn="0" w:firstRowLastColumn="0" w:lastRowFirstColumn="0" w:lastRowLastColumn="0"/>
          <w:trHeight w:val="336"/>
          <w:tblHeader/>
        </w:trPr>
        <w:tc>
          <w:tcPr>
            <w:cnfStyle w:val="001000000100" w:firstRow="0" w:lastRow="0" w:firstColumn="1" w:lastColumn="0" w:oddVBand="0" w:evenVBand="0" w:oddHBand="0" w:evenHBand="0" w:firstRowFirstColumn="1" w:firstRowLastColumn="0" w:lastRowFirstColumn="0" w:lastRowLastColumn="0"/>
            <w:tcW w:w="2218" w:type="dxa"/>
            <w:gridSpan w:val="2"/>
            <w:tcBorders>
              <w:bottom w:val="single" w:sz="4" w:space="0" w:color="701F4D" w:themeColor="accent2"/>
            </w:tcBorders>
            <w:vAlign w:val="center"/>
          </w:tcPr>
          <w:p w14:paraId="64A276CA" w14:textId="1FC6A48F" w:rsidR="00BD4078" w:rsidRPr="00E2681A" w:rsidRDefault="00E2681A" w:rsidP="00E2681A">
            <w:pPr>
              <w:pStyle w:val="TableHeaderCellLeft"/>
              <w:spacing w:before="0"/>
              <w:rPr>
                <w:sz w:val="24"/>
                <w:szCs w:val="24"/>
              </w:rPr>
            </w:pPr>
            <w:r w:rsidRPr="00E2681A">
              <w:rPr>
                <w:sz w:val="24"/>
                <w:szCs w:val="24"/>
              </w:rPr>
              <w:t>V</w:t>
            </w:r>
            <w:r w:rsidR="00BD4078" w:rsidRPr="00E2681A">
              <w:rPr>
                <w:sz w:val="24"/>
                <w:szCs w:val="24"/>
              </w:rPr>
              <w:t>TTC requirements</w:t>
            </w:r>
          </w:p>
        </w:tc>
        <w:tc>
          <w:tcPr>
            <w:tcW w:w="1189" w:type="dxa"/>
            <w:tcBorders>
              <w:bottom w:val="single" w:sz="4" w:space="0" w:color="701F4D" w:themeColor="accent2"/>
            </w:tcBorders>
            <w:vAlign w:val="center"/>
          </w:tcPr>
          <w:p w14:paraId="47B40FCE" w14:textId="77777777" w:rsidR="00BD4078" w:rsidRPr="00E2681A" w:rsidRDefault="00BD4078" w:rsidP="00E2681A">
            <w:pPr>
              <w:pStyle w:val="TableHeaderCellLeft"/>
              <w:spacing w:before="0"/>
              <w:cnfStyle w:val="100000000000" w:firstRow="1" w:lastRow="0" w:firstColumn="0" w:lastColumn="0" w:oddVBand="0" w:evenVBand="0" w:oddHBand="0" w:evenHBand="0" w:firstRowFirstColumn="0" w:firstRowLastColumn="0" w:lastRowFirstColumn="0" w:lastRowLastColumn="0"/>
              <w:rPr>
                <w:sz w:val="24"/>
                <w:szCs w:val="24"/>
              </w:rPr>
            </w:pPr>
            <w:r w:rsidRPr="00E2681A">
              <w:rPr>
                <w:sz w:val="24"/>
                <w:szCs w:val="24"/>
              </w:rPr>
              <w:t>Checklist</w:t>
            </w:r>
          </w:p>
        </w:tc>
        <w:tc>
          <w:tcPr>
            <w:tcW w:w="6224" w:type="dxa"/>
            <w:gridSpan w:val="2"/>
            <w:tcBorders>
              <w:bottom w:val="single" w:sz="4" w:space="0" w:color="701F4D" w:themeColor="accent2"/>
            </w:tcBorders>
            <w:vAlign w:val="center"/>
          </w:tcPr>
          <w:p w14:paraId="61CF254E" w14:textId="77777777" w:rsidR="00BD4078" w:rsidRPr="00E2681A" w:rsidRDefault="00BD4078" w:rsidP="00E2681A">
            <w:pPr>
              <w:pStyle w:val="TableHeaderCellLeft"/>
              <w:spacing w:before="0"/>
              <w:cnfStyle w:val="100000000000" w:firstRow="1" w:lastRow="0" w:firstColumn="0" w:lastColumn="0" w:oddVBand="0" w:evenVBand="0" w:oddHBand="0" w:evenHBand="0" w:firstRowFirstColumn="0" w:firstRowLastColumn="0" w:lastRowFirstColumn="0" w:lastRowLastColumn="0"/>
              <w:rPr>
                <w:sz w:val="24"/>
                <w:szCs w:val="24"/>
              </w:rPr>
            </w:pPr>
            <w:r w:rsidRPr="00E2681A">
              <w:rPr>
                <w:sz w:val="24"/>
                <w:szCs w:val="24"/>
              </w:rPr>
              <w:t xml:space="preserve">Requirements and optional elements </w:t>
            </w:r>
          </w:p>
        </w:tc>
      </w:tr>
      <w:tr w:rsidR="00BD4078" w14:paraId="1C989CBF" w14:textId="77777777" w:rsidTr="00E26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1" w:type="dxa"/>
            <w:gridSpan w:val="5"/>
            <w:tcBorders>
              <w:top w:val="single" w:sz="2" w:space="0" w:color="701F4D"/>
              <w:left w:val="single" w:sz="2" w:space="0" w:color="701F4D"/>
              <w:bottom w:val="single" w:sz="2" w:space="0" w:color="701F4D"/>
              <w:right w:val="single" w:sz="2" w:space="0" w:color="701F4D"/>
            </w:tcBorders>
            <w:shd w:val="clear" w:color="auto" w:fill="142147" w:themeFill="accent1"/>
          </w:tcPr>
          <w:p w14:paraId="6E6E67FF" w14:textId="77777777" w:rsidR="00BD4078" w:rsidRPr="00620D7D" w:rsidRDefault="00BD4078">
            <w:pPr>
              <w:spacing w:before="0" w:after="0"/>
              <w:rPr>
                <w:rFonts w:asciiTheme="minorHAnsi" w:hAnsiTheme="minorHAnsi" w:cstheme="minorHAnsi"/>
                <w:color w:val="701F4D" w:themeColor="accent2"/>
              </w:rPr>
            </w:pPr>
            <w:r>
              <w:rPr>
                <w:rFonts w:asciiTheme="minorHAnsi" w:hAnsiTheme="minorHAnsi" w:cstheme="minorHAnsi"/>
                <w:color w:val="FFFFFF" w:themeColor="background1"/>
              </w:rPr>
              <w:t xml:space="preserve">Overview </w:t>
            </w:r>
          </w:p>
        </w:tc>
      </w:tr>
      <w:tr w:rsidR="00BD4078" w14:paraId="501CBEC7"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701F4D" w:themeColor="accent2"/>
              <w:right w:val="single" w:sz="2" w:space="0" w:color="701F4D"/>
            </w:tcBorders>
            <w:shd w:val="clear" w:color="auto" w:fill="D4C2A8" w:themeFill="accent3"/>
            <w:vAlign w:val="center"/>
          </w:tcPr>
          <w:p w14:paraId="25C20FA6" w14:textId="77777777" w:rsidR="00BD4078" w:rsidRDefault="00BD4078">
            <w:pPr>
              <w:spacing w:after="0"/>
              <w:rPr>
                <w:color w:val="142147" w:themeColor="accent1"/>
              </w:rPr>
            </w:pPr>
            <w:r>
              <w:rPr>
                <w:color w:val="142147" w:themeColor="accent1"/>
              </w:rPr>
              <w:t>Overview</w:t>
            </w:r>
          </w:p>
        </w:tc>
        <w:tc>
          <w:tcPr>
            <w:tcW w:w="1466" w:type="dxa"/>
            <w:gridSpan w:val="3"/>
            <w:tcBorders>
              <w:right w:val="single" w:sz="2" w:space="0" w:color="701F4D" w:themeColor="accent2"/>
            </w:tcBorders>
            <w:shd w:val="clear" w:color="auto" w:fill="F6F2ED" w:themeFill="accent3" w:themeFillTint="33"/>
            <w:vAlign w:val="center"/>
          </w:tcPr>
          <w:p w14:paraId="20DF18FD"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B96721">
              <w:rPr>
                <w:b/>
                <w:bCs/>
                <w:color w:val="142147" w:themeColor="accent1"/>
              </w:rPr>
              <w:t>Requirement</w:t>
            </w:r>
          </w:p>
          <w:sdt>
            <w:sdtPr>
              <w:rPr>
                <w:b/>
                <w:bCs/>
              </w:rPr>
              <w:id w:val="-412392319"/>
              <w14:checkbox>
                <w14:checked w14:val="0"/>
                <w14:checkedState w14:val="2612" w14:font="MS Gothic"/>
                <w14:uncheckedState w14:val="2610" w14:font="MS Gothic"/>
              </w14:checkbox>
            </w:sdtPr>
            <w:sdtEndPr/>
            <w:sdtContent>
              <w:p w14:paraId="29CE78E7" w14:textId="77777777" w:rsidR="00BD4078" w:rsidRPr="00B96721" w:rsidRDefault="00BD4078">
                <w:pPr>
                  <w:spacing w:before="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6055" w:type="dxa"/>
            <w:tcBorders>
              <w:left w:val="single" w:sz="2" w:space="0" w:color="701F4D" w:themeColor="accent2"/>
            </w:tcBorders>
            <w:shd w:val="clear" w:color="auto" w:fill="F6F2ED" w:themeFill="accent3" w:themeFillTint="33"/>
            <w:vAlign w:val="bottom"/>
          </w:tcPr>
          <w:p w14:paraId="71010B55" w14:textId="5EB78873" w:rsidR="00BD4078" w:rsidRPr="00B96721" w:rsidRDefault="00BD4078">
            <w:p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E47995">
              <w:rPr>
                <w:b/>
                <w:bCs/>
                <w:color w:val="142147" w:themeColor="accent1"/>
              </w:rPr>
              <w:t xml:space="preserve">Businesses should confirm that they are a public country-by-country reporting </w:t>
            </w:r>
            <w:r w:rsidR="009B62D2">
              <w:rPr>
                <w:b/>
                <w:bCs/>
                <w:color w:val="142147" w:themeColor="accent1"/>
              </w:rPr>
              <w:t>parent</w:t>
            </w:r>
            <w:r w:rsidRPr="00E47995">
              <w:rPr>
                <w:b/>
                <w:bCs/>
                <w:color w:val="142147" w:themeColor="accent1"/>
              </w:rPr>
              <w:t xml:space="preserve"> </w:t>
            </w:r>
            <w:r w:rsidR="009A0038" w:rsidRPr="00905B09">
              <w:rPr>
                <w:b/>
                <w:bCs/>
                <w:color w:val="142147" w:themeColor="accent1"/>
              </w:rPr>
              <w:t>and that they have complied with their reporting requirements under the TAA</w:t>
            </w:r>
            <w:r w:rsidR="00905B09">
              <w:rPr>
                <w:b/>
                <w:bCs/>
                <w:color w:val="142147" w:themeColor="accent1"/>
              </w:rPr>
              <w:t xml:space="preserve">. </w:t>
            </w:r>
            <w:r w:rsidR="00583D2F">
              <w:rPr>
                <w:b/>
                <w:bCs/>
                <w:color w:val="142147" w:themeColor="accent1"/>
              </w:rPr>
              <w:t>Where available, b</w:t>
            </w:r>
            <w:r w:rsidR="00905B09" w:rsidRPr="00905B09">
              <w:rPr>
                <w:b/>
                <w:bCs/>
                <w:color w:val="142147" w:themeColor="accent1"/>
              </w:rPr>
              <w:t xml:space="preserve">usinesses should provide a link to their completed </w:t>
            </w:r>
            <w:r w:rsidR="00B4260D">
              <w:rPr>
                <w:b/>
                <w:bCs/>
                <w:color w:val="142147" w:themeColor="accent1"/>
              </w:rPr>
              <w:t xml:space="preserve">public </w:t>
            </w:r>
            <w:r w:rsidR="00905B09" w:rsidRPr="00905B09">
              <w:rPr>
                <w:b/>
                <w:bCs/>
                <w:color w:val="142147" w:themeColor="accent1"/>
              </w:rPr>
              <w:t xml:space="preserve">CbC report.  </w:t>
            </w:r>
          </w:p>
        </w:tc>
      </w:tr>
      <w:tr w:rsidR="00BD4078" w14:paraId="31D47E4C" w14:textId="77777777" w:rsidTr="00E2681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631" w:type="dxa"/>
            <w:gridSpan w:val="5"/>
            <w:shd w:val="clear" w:color="auto" w:fill="142147" w:themeFill="accent1"/>
            <w:vAlign w:val="center"/>
          </w:tcPr>
          <w:p w14:paraId="79CFBEB7" w14:textId="77777777" w:rsidR="00BD4078" w:rsidRPr="00B96721" w:rsidRDefault="00BD4078">
            <w:pPr>
              <w:spacing w:before="0" w:after="0"/>
              <w:rPr>
                <w:b w:val="0"/>
                <w:bCs w:val="0"/>
                <w:color w:val="142147" w:themeColor="accent1"/>
              </w:rPr>
            </w:pPr>
            <w:r w:rsidRPr="00A05064">
              <w:rPr>
                <w:rFonts w:asciiTheme="minorHAnsi" w:hAnsiTheme="minorHAnsi" w:cstheme="minorHAnsi"/>
                <w:color w:val="FFFFFF" w:themeColor="background1"/>
              </w:rPr>
              <w:t xml:space="preserve">Tax </w:t>
            </w:r>
            <w:r w:rsidRPr="00176AE3">
              <w:rPr>
                <w:rFonts w:asciiTheme="minorHAnsi" w:hAnsiTheme="minorHAnsi" w:cstheme="minorHAnsi"/>
                <w:color w:val="FFFFFF" w:themeColor="background1"/>
                <w:shd w:val="clear" w:color="auto" w:fill="142147" w:themeFill="accent1"/>
              </w:rPr>
              <w:t>data</w:t>
            </w:r>
          </w:p>
        </w:tc>
      </w:tr>
      <w:tr w:rsidR="00BD4078" w14:paraId="4860D641"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vMerge w:val="restart"/>
            <w:tcBorders>
              <w:top w:val="single" w:sz="4" w:space="0" w:color="701F4D" w:themeColor="accent2"/>
              <w:right w:val="single" w:sz="2" w:space="0" w:color="701F4D"/>
            </w:tcBorders>
            <w:shd w:val="clear" w:color="auto" w:fill="D4C2A8" w:themeFill="accent3"/>
            <w:vAlign w:val="center"/>
          </w:tcPr>
          <w:p w14:paraId="3FFE015A" w14:textId="77777777" w:rsidR="00BD4078" w:rsidRPr="004209F4" w:rsidRDefault="00112E9D">
            <w:pPr>
              <w:spacing w:before="0" w:after="0"/>
              <w:rPr>
                <w:color w:val="142147" w:themeColor="accent1"/>
              </w:rPr>
            </w:pPr>
            <w:sdt>
              <w:sdtPr>
                <w:rPr>
                  <w:color w:val="142147" w:themeColor="accent1"/>
                </w:rPr>
                <w:id w:val="-406149103"/>
                <w14:checkbox>
                  <w14:checked w14:val="0"/>
                  <w14:checkedState w14:val="2612" w14:font="MS Gothic"/>
                  <w14:uncheckedState w14:val="2610" w14:font="MS Gothic"/>
                </w14:checkbox>
              </w:sdtPr>
              <w:sdtEndPr/>
              <w:sdtContent>
                <w:r w:rsidR="00BD4078" w:rsidRPr="004209F4">
                  <w:rPr>
                    <w:color w:val="142147" w:themeColor="accent1"/>
                  </w:rPr>
                  <w:t>T</w:t>
                </w:r>
              </w:sdtContent>
            </w:sdt>
            <w:r w:rsidR="00BD4078" w:rsidRPr="004209F4">
              <w:rPr>
                <w:color w:val="142147" w:themeColor="accent1"/>
              </w:rPr>
              <w:t>otal tax contribution</w:t>
            </w:r>
          </w:p>
        </w:tc>
        <w:tc>
          <w:tcPr>
            <w:tcW w:w="1466" w:type="dxa"/>
            <w:gridSpan w:val="3"/>
            <w:tcBorders>
              <w:right w:val="single" w:sz="2" w:space="0" w:color="701F4D" w:themeColor="accent2"/>
            </w:tcBorders>
            <w:shd w:val="clear" w:color="auto" w:fill="F6F2ED" w:themeFill="accent3" w:themeFillTint="33"/>
            <w:vAlign w:val="center"/>
          </w:tcPr>
          <w:p w14:paraId="0E86A813"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B96721">
              <w:rPr>
                <w:b/>
                <w:bCs/>
                <w:color w:val="142147" w:themeColor="accent1"/>
              </w:rPr>
              <w:t>Requirement</w:t>
            </w:r>
          </w:p>
          <w:sdt>
            <w:sdtPr>
              <w:rPr>
                <w:b/>
                <w:bCs/>
              </w:rPr>
              <w:id w:val="1833867872"/>
              <w14:checkbox>
                <w14:checked w14:val="0"/>
                <w14:checkedState w14:val="2612" w14:font="MS Gothic"/>
                <w14:uncheckedState w14:val="2610" w14:font="MS Gothic"/>
              </w14:checkbox>
            </w:sdtPr>
            <w:sdtEndPr/>
            <w:sdtContent>
              <w:p w14:paraId="5EEA943A" w14:textId="77777777" w:rsidR="00BD4078" w:rsidRPr="006553CF"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6055" w:type="dxa"/>
            <w:tcBorders>
              <w:left w:val="single" w:sz="2" w:space="0" w:color="701F4D" w:themeColor="accent2"/>
            </w:tcBorders>
            <w:shd w:val="clear" w:color="auto" w:fill="F6F2ED" w:themeFill="accent3" w:themeFillTint="33"/>
            <w:vAlign w:val="bottom"/>
          </w:tcPr>
          <w:p w14:paraId="68455F2B" w14:textId="082C288A" w:rsidR="00BD4078" w:rsidRPr="00362303" w:rsidRDefault="00BD4078">
            <w:p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62303">
              <w:rPr>
                <w:b/>
                <w:bCs/>
                <w:color w:val="142147" w:themeColor="accent1"/>
              </w:rPr>
              <w:t xml:space="preserve">Businesses should report their total Australian </w:t>
            </w:r>
            <w:r w:rsidR="009C0798">
              <w:rPr>
                <w:b/>
                <w:bCs/>
                <w:color w:val="142147" w:themeColor="accent1"/>
              </w:rPr>
              <w:t xml:space="preserve">corporate </w:t>
            </w:r>
            <w:r w:rsidRPr="00362303">
              <w:rPr>
                <w:b/>
                <w:bCs/>
                <w:color w:val="142147" w:themeColor="accent1"/>
              </w:rPr>
              <w:t>income tax contribution.</w:t>
            </w:r>
          </w:p>
        </w:tc>
      </w:tr>
      <w:tr w:rsidR="00BD4078" w14:paraId="7585D568" w14:textId="77777777" w:rsidTr="00E2681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center"/>
          </w:tcPr>
          <w:p w14:paraId="46084917" w14:textId="77777777" w:rsidR="00BD4078" w:rsidRPr="004209F4" w:rsidRDefault="00BD4078">
            <w:pPr>
              <w:spacing w:before="0" w:after="0"/>
              <w:rPr>
                <w:color w:val="142147" w:themeColor="accent1"/>
              </w:rPr>
            </w:pPr>
          </w:p>
        </w:tc>
        <w:sdt>
          <w:sdtPr>
            <w:rPr>
              <w:b/>
              <w:bCs/>
            </w:rPr>
            <w:id w:val="-51471341"/>
            <w14:checkbox>
              <w14:checked w14:val="0"/>
              <w14:checkedState w14:val="2612" w14:font="MS Gothic"/>
              <w14:uncheckedState w14:val="2610" w14:font="MS Gothic"/>
            </w14:checkbox>
          </w:sdtPr>
          <w:sdtEndPr/>
          <w:sdtContent>
            <w:tc>
              <w:tcPr>
                <w:tcW w:w="1466" w:type="dxa"/>
                <w:gridSpan w:val="3"/>
                <w:tcBorders>
                  <w:right w:val="single" w:sz="2" w:space="0" w:color="701F4D" w:themeColor="accent2"/>
                </w:tcBorders>
                <w:vAlign w:val="center"/>
              </w:tcPr>
              <w:p w14:paraId="46E8CA27"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6055" w:type="dxa"/>
            <w:tcBorders>
              <w:left w:val="single" w:sz="2" w:space="0" w:color="701F4D" w:themeColor="accent2"/>
            </w:tcBorders>
            <w:vAlign w:val="bottom"/>
          </w:tcPr>
          <w:p w14:paraId="6BA008FD" w14:textId="77777777" w:rsidR="00BD4078" w:rsidRPr="00C55BD6"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sidRPr="00C55BD6">
              <w:rPr>
                <w:color w:val="142147" w:themeColor="accent1"/>
              </w:rPr>
              <w:t xml:space="preserve">Report on global group total </w:t>
            </w:r>
            <w:r>
              <w:rPr>
                <w:color w:val="142147" w:themeColor="accent1"/>
              </w:rPr>
              <w:t xml:space="preserve">income </w:t>
            </w:r>
            <w:r w:rsidRPr="00C55BD6">
              <w:rPr>
                <w:color w:val="142147" w:themeColor="accent1"/>
              </w:rPr>
              <w:t>tax contribution</w:t>
            </w:r>
            <w:r>
              <w:rPr>
                <w:color w:val="142147" w:themeColor="accent1"/>
              </w:rPr>
              <w:t>.</w:t>
            </w:r>
          </w:p>
        </w:tc>
      </w:tr>
      <w:tr w:rsidR="00BD4078" w14:paraId="097641B5"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center"/>
          </w:tcPr>
          <w:p w14:paraId="2A58EE98" w14:textId="77777777" w:rsidR="00BD4078" w:rsidRPr="00567F9D" w:rsidRDefault="00BD4078">
            <w:pPr>
              <w:spacing w:before="0" w:after="0"/>
              <w:rPr>
                <w:b w:val="0"/>
                <w:bCs w:val="0"/>
              </w:rPr>
            </w:pPr>
          </w:p>
        </w:tc>
        <w:sdt>
          <w:sdtPr>
            <w:rPr>
              <w:b/>
              <w:bCs/>
            </w:rPr>
            <w:id w:val="156196456"/>
            <w14:checkbox>
              <w14:checked w14:val="0"/>
              <w14:checkedState w14:val="2612" w14:font="MS Gothic"/>
              <w14:uncheckedState w14:val="2610" w14:font="MS Gothic"/>
            </w14:checkbox>
          </w:sdtPr>
          <w:sdtEndPr/>
          <w:sdtContent>
            <w:tc>
              <w:tcPr>
                <w:tcW w:w="1466" w:type="dxa"/>
                <w:gridSpan w:val="3"/>
                <w:tcBorders>
                  <w:right w:val="single" w:sz="2" w:space="0" w:color="701F4D" w:themeColor="accent2"/>
                </w:tcBorders>
                <w:vAlign w:val="center"/>
              </w:tcPr>
              <w:p w14:paraId="30C601C8"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hemeColor="accent2"/>
            </w:tcBorders>
            <w:vAlign w:val="bottom"/>
          </w:tcPr>
          <w:p w14:paraId="373F10DA" w14:textId="77777777" w:rsidR="00BD4078" w:rsidRPr="00892372"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Report o</w:t>
            </w:r>
            <w:r w:rsidRPr="008607B8">
              <w:rPr>
                <w:color w:val="142147" w:themeColor="accent1"/>
              </w:rPr>
              <w:t>ther Australian taxes and imposts paid to Government, for example Petroleum Resources Rent Tax, royalties, excises, payroll taxes, stamp duties, fringe benefits tax and state taxes</w:t>
            </w:r>
            <w:r w:rsidRPr="00892372">
              <w:rPr>
                <w:color w:val="142147" w:themeColor="accent1"/>
              </w:rPr>
              <w:t>.</w:t>
            </w:r>
          </w:p>
        </w:tc>
      </w:tr>
      <w:tr w:rsidR="00BD4078" w14:paraId="45AD4CD8" w14:textId="77777777" w:rsidTr="00E2681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center"/>
          </w:tcPr>
          <w:p w14:paraId="18C36D4F" w14:textId="77777777" w:rsidR="00BD4078" w:rsidRPr="00567F9D" w:rsidRDefault="00BD4078">
            <w:pPr>
              <w:spacing w:before="0" w:after="0"/>
              <w:rPr>
                <w:b w:val="0"/>
                <w:bCs w:val="0"/>
              </w:rPr>
            </w:pPr>
          </w:p>
        </w:tc>
        <w:sdt>
          <w:sdtPr>
            <w:rPr>
              <w:b/>
              <w:bCs/>
            </w:rPr>
            <w:id w:val="-1667470237"/>
            <w14:checkbox>
              <w14:checked w14:val="0"/>
              <w14:checkedState w14:val="2612" w14:font="MS Gothic"/>
              <w14:uncheckedState w14:val="2610" w14:font="MS Gothic"/>
            </w14:checkbox>
          </w:sdtPr>
          <w:sdtEndPr/>
          <w:sdtContent>
            <w:tc>
              <w:tcPr>
                <w:tcW w:w="1466" w:type="dxa"/>
                <w:gridSpan w:val="3"/>
                <w:tcBorders>
                  <w:right w:val="single" w:sz="2" w:space="0" w:color="701F4D" w:themeColor="accent2"/>
                </w:tcBorders>
                <w:vAlign w:val="center"/>
              </w:tcPr>
              <w:p w14:paraId="1C453E27" w14:textId="77777777" w:rsidR="00BD4078"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hemeColor="accent2"/>
            </w:tcBorders>
            <w:vAlign w:val="bottom"/>
          </w:tcPr>
          <w:p w14:paraId="276E1877" w14:textId="77777777" w:rsidR="00BD4078" w:rsidRPr="00892372"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Report G</w:t>
            </w:r>
            <w:r w:rsidRPr="008607B8">
              <w:rPr>
                <w:color w:val="142147" w:themeColor="accent1"/>
              </w:rPr>
              <w:t>overnment imposts collected by the business on behalf of others, for example, GST and Pay As You Go withholding taxes.</w:t>
            </w:r>
          </w:p>
        </w:tc>
      </w:tr>
      <w:tr w:rsidR="00BD4078" w14:paraId="7B7EE2D0"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vMerge w:val="restart"/>
            <w:tcBorders>
              <w:right w:val="single" w:sz="2" w:space="0" w:color="701F4D"/>
            </w:tcBorders>
            <w:shd w:val="clear" w:color="auto" w:fill="D4C2A8" w:themeFill="accent3"/>
            <w:vAlign w:val="center"/>
          </w:tcPr>
          <w:p w14:paraId="2469DC7A" w14:textId="77777777" w:rsidR="00BD4078" w:rsidRPr="004209F4" w:rsidRDefault="00BD4078">
            <w:pPr>
              <w:spacing w:before="0" w:after="0"/>
              <w:rPr>
                <w:color w:val="142147" w:themeColor="accent1"/>
              </w:rPr>
            </w:pPr>
            <w:r w:rsidRPr="004209F4">
              <w:rPr>
                <w:color w:val="142147" w:themeColor="accent1"/>
              </w:rPr>
              <w:t>Effective tax rate for Australian and global operations</w:t>
            </w:r>
          </w:p>
        </w:tc>
        <w:tc>
          <w:tcPr>
            <w:tcW w:w="1466" w:type="dxa"/>
            <w:gridSpan w:val="3"/>
            <w:tcBorders>
              <w:right w:val="single" w:sz="2" w:space="0" w:color="701F4D" w:themeColor="accent2"/>
            </w:tcBorders>
            <w:shd w:val="clear" w:color="auto" w:fill="F6F2ED" w:themeFill="accent3" w:themeFillTint="33"/>
            <w:vAlign w:val="center"/>
          </w:tcPr>
          <w:p w14:paraId="0C3BFE47"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B96721">
              <w:rPr>
                <w:b/>
                <w:bCs/>
                <w:color w:val="142147" w:themeColor="accent1"/>
              </w:rPr>
              <w:t>Requirement</w:t>
            </w:r>
          </w:p>
          <w:p w14:paraId="7496A7FB"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2015181382"/>
              <w14:checkbox>
                <w14:checked w14:val="0"/>
                <w14:checkedState w14:val="2612" w14:font="MS Gothic"/>
                <w14:uncheckedState w14:val="2610" w14:font="MS Gothic"/>
              </w14:checkbox>
            </w:sdtPr>
            <w:sdtEndPr/>
            <w:sdtContent>
              <w:p w14:paraId="52B73F3E"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sdtContent>
          </w:sdt>
        </w:tc>
        <w:tc>
          <w:tcPr>
            <w:tcW w:w="6055" w:type="dxa"/>
            <w:tcBorders>
              <w:left w:val="single" w:sz="2" w:space="0" w:color="701F4D" w:themeColor="accent2"/>
            </w:tcBorders>
            <w:shd w:val="clear" w:color="auto" w:fill="F6F2ED" w:themeFill="accent3" w:themeFillTint="33"/>
            <w:vAlign w:val="bottom"/>
          </w:tcPr>
          <w:p w14:paraId="5B021F7D" w14:textId="77777777" w:rsidR="00BD4078" w:rsidRPr="00362303" w:rsidRDefault="00BD4078">
            <w:p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62303">
              <w:rPr>
                <w:b/>
                <w:bCs/>
                <w:color w:val="142147" w:themeColor="accent1"/>
              </w:rPr>
              <w:t>Businesses should report an Australian accounting effective tax rate (ETR) and a global ETR for the worldwide accounting consolidated group calculated based on tax expense (income).</w:t>
            </w:r>
          </w:p>
        </w:tc>
      </w:tr>
      <w:tr w:rsidR="00BD4078" w14:paraId="38C1A3DE" w14:textId="77777777" w:rsidTr="00E2681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center"/>
          </w:tcPr>
          <w:p w14:paraId="4DD02EB0" w14:textId="77777777" w:rsidR="00BD4078" w:rsidRPr="004209F4" w:rsidRDefault="00BD4078">
            <w:pPr>
              <w:spacing w:before="0" w:after="0"/>
              <w:rPr>
                <w:color w:val="142147" w:themeColor="accent1"/>
              </w:rPr>
            </w:pPr>
          </w:p>
        </w:tc>
        <w:sdt>
          <w:sdtPr>
            <w:rPr>
              <w:b/>
              <w:bCs/>
            </w:rPr>
            <w:id w:val="179938057"/>
            <w14:checkbox>
              <w14:checked w14:val="0"/>
              <w14:checkedState w14:val="2612" w14:font="MS Gothic"/>
              <w14:uncheckedState w14:val="2610" w14:font="MS Gothic"/>
            </w14:checkbox>
          </w:sdtPr>
          <w:sdtEndPr/>
          <w:sdtContent>
            <w:tc>
              <w:tcPr>
                <w:tcW w:w="1466" w:type="dxa"/>
                <w:gridSpan w:val="3"/>
                <w:tcBorders>
                  <w:right w:val="single" w:sz="2" w:space="0" w:color="701F4D" w:themeColor="accent2"/>
                </w:tcBorders>
                <w:vAlign w:val="center"/>
              </w:tcPr>
              <w:p w14:paraId="469BE9C8"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6055" w:type="dxa"/>
            <w:tcBorders>
              <w:left w:val="single" w:sz="2" w:space="0" w:color="701F4D" w:themeColor="accent2"/>
            </w:tcBorders>
            <w:vAlign w:val="bottom"/>
          </w:tcPr>
          <w:p w14:paraId="6664814F" w14:textId="77777777" w:rsidR="00BD4078" w:rsidRPr="000A4BCF"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sidRPr="000A4BCF">
              <w:rPr>
                <w:color w:val="142147" w:themeColor="accent1"/>
              </w:rPr>
              <w:t xml:space="preserve">Provide a description of the primary drivers of the gap between </w:t>
            </w:r>
            <w:r>
              <w:rPr>
                <w:color w:val="142147" w:themeColor="accent1"/>
              </w:rPr>
              <w:t>ETR</w:t>
            </w:r>
            <w:r w:rsidRPr="000A4BCF">
              <w:rPr>
                <w:color w:val="142147" w:themeColor="accent1"/>
              </w:rPr>
              <w:t xml:space="preserve"> and the weighted average statutory rate</w:t>
            </w:r>
            <w:r>
              <w:rPr>
                <w:color w:val="142147" w:themeColor="accent1"/>
              </w:rPr>
              <w:t>.</w:t>
            </w:r>
          </w:p>
        </w:tc>
      </w:tr>
      <w:tr w:rsidR="00BD4078" w14:paraId="05C85E4A"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tcBorders>
              <w:right w:val="single" w:sz="2" w:space="0" w:color="701F4D"/>
            </w:tcBorders>
            <w:shd w:val="clear" w:color="auto" w:fill="D4C2A8" w:themeFill="accent3"/>
            <w:vAlign w:val="center"/>
          </w:tcPr>
          <w:p w14:paraId="77B85243" w14:textId="77777777" w:rsidR="00BD4078" w:rsidRPr="00D053CD" w:rsidRDefault="00112E9D">
            <w:pPr>
              <w:spacing w:before="0" w:after="0"/>
              <w:rPr>
                <w:color w:val="142147" w:themeColor="accent1"/>
              </w:rPr>
            </w:pPr>
            <w:sdt>
              <w:sdtPr>
                <w:rPr>
                  <w:color w:val="142147" w:themeColor="accent1"/>
                </w:rPr>
                <w:id w:val="1723867582"/>
                <w14:checkbox>
                  <w14:checked w14:val="0"/>
                  <w14:checkedState w14:val="2612" w14:font="MS Gothic"/>
                  <w14:uncheckedState w14:val="2610" w14:font="MS Gothic"/>
                </w14:checkbox>
              </w:sdtPr>
              <w:sdtEndPr/>
              <w:sdtContent>
                <w:r w:rsidR="00BD4078" w:rsidRPr="00D053CD">
                  <w:rPr>
                    <w:color w:val="142147" w:themeColor="accent1"/>
                  </w:rPr>
                  <w:t>A</w:t>
                </w:r>
              </w:sdtContent>
            </w:sdt>
            <w:r w:rsidR="00BD4078" w:rsidRPr="00D053CD">
              <w:rPr>
                <w:color w:val="142147" w:themeColor="accent1"/>
              </w:rPr>
              <w:t xml:space="preserve"> reconciliation to ATO </w:t>
            </w:r>
            <w:r w:rsidR="00BD4078">
              <w:rPr>
                <w:color w:val="142147" w:themeColor="accent1"/>
              </w:rPr>
              <w:t>C</w:t>
            </w:r>
            <w:r w:rsidR="00BD4078" w:rsidRPr="00D053CD">
              <w:rPr>
                <w:color w:val="142147" w:themeColor="accent1"/>
              </w:rPr>
              <w:t xml:space="preserve">orporate </w:t>
            </w:r>
            <w:r w:rsidR="00BD4078">
              <w:rPr>
                <w:color w:val="142147" w:themeColor="accent1"/>
              </w:rPr>
              <w:t>T</w:t>
            </w:r>
            <w:r w:rsidR="00BD4078" w:rsidRPr="00D053CD">
              <w:rPr>
                <w:color w:val="142147" w:themeColor="accent1"/>
              </w:rPr>
              <w:t xml:space="preserve">ax </w:t>
            </w:r>
            <w:r w:rsidR="00BD4078">
              <w:rPr>
                <w:color w:val="142147" w:themeColor="accent1"/>
              </w:rPr>
              <w:t>T</w:t>
            </w:r>
            <w:r w:rsidR="00BD4078" w:rsidRPr="00D053CD">
              <w:rPr>
                <w:color w:val="142147" w:themeColor="accent1"/>
              </w:rPr>
              <w:t xml:space="preserve">ransparency </w:t>
            </w:r>
            <w:r w:rsidR="00BD4078">
              <w:rPr>
                <w:color w:val="142147" w:themeColor="accent1"/>
              </w:rPr>
              <w:t>D</w:t>
            </w:r>
            <w:r w:rsidR="00BD4078" w:rsidRPr="00D053CD">
              <w:rPr>
                <w:color w:val="142147" w:themeColor="accent1"/>
              </w:rPr>
              <w:t>isclosures</w:t>
            </w:r>
          </w:p>
          <w:p w14:paraId="7538D3A4" w14:textId="77777777" w:rsidR="00BD4078" w:rsidRPr="004209F4" w:rsidRDefault="00BD4078">
            <w:pPr>
              <w:spacing w:before="0" w:after="0"/>
              <w:rPr>
                <w:color w:val="142147" w:themeColor="accent1"/>
              </w:rPr>
            </w:pPr>
          </w:p>
        </w:tc>
        <w:tc>
          <w:tcPr>
            <w:tcW w:w="1466" w:type="dxa"/>
            <w:gridSpan w:val="3"/>
            <w:tcBorders>
              <w:right w:val="single" w:sz="2" w:space="0" w:color="701F4D" w:themeColor="accent2"/>
            </w:tcBorders>
            <w:shd w:val="clear" w:color="auto" w:fill="F6F2ED" w:themeFill="accent3" w:themeFillTint="33"/>
            <w:vAlign w:val="center"/>
          </w:tcPr>
          <w:p w14:paraId="201C2BCC"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053CD">
              <w:rPr>
                <w:b/>
                <w:bCs/>
                <w:color w:val="142147" w:themeColor="accent1"/>
              </w:rPr>
              <w:t>Requirement</w:t>
            </w:r>
          </w:p>
          <w:p w14:paraId="73C8F644"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46533600"/>
              <w14:checkbox>
                <w14:checked w14:val="0"/>
                <w14:checkedState w14:val="2612" w14:font="MS Gothic"/>
                <w14:uncheckedState w14:val="2610" w14:font="MS Gothic"/>
              </w14:checkbox>
            </w:sdtPr>
            <w:sdtEndPr/>
            <w:sdtContent>
              <w:p w14:paraId="7F9C81A4"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sdtContent>
          </w:sdt>
        </w:tc>
        <w:tc>
          <w:tcPr>
            <w:tcW w:w="6055" w:type="dxa"/>
            <w:tcBorders>
              <w:left w:val="single" w:sz="2" w:space="0" w:color="701F4D" w:themeColor="accent2"/>
            </w:tcBorders>
            <w:shd w:val="clear" w:color="auto" w:fill="F6F2ED" w:themeFill="accent3" w:themeFillTint="33"/>
            <w:vAlign w:val="bottom"/>
          </w:tcPr>
          <w:p w14:paraId="322662FF" w14:textId="4A51844A" w:rsidR="00BD4078" w:rsidRPr="00DA6183"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A6183">
              <w:rPr>
                <w:rFonts w:asciiTheme="minorHAnsi" w:hAnsiTheme="minorHAnsi" w:cstheme="minorHAnsi"/>
                <w:b/>
                <w:bCs/>
                <w:color w:val="142147" w:themeColor="accent1"/>
              </w:rPr>
              <w:t xml:space="preserve">Businesses that are subject to the ATO Corporate Tax Transparency Disclosures, should provide a reconciliation of the data published by the ATO against the data in the </w:t>
            </w:r>
            <w:r w:rsidR="00DB0051">
              <w:rPr>
                <w:rFonts w:asciiTheme="minorHAnsi" w:hAnsiTheme="minorHAnsi" w:cstheme="minorHAnsi"/>
                <w:b/>
                <w:bCs/>
                <w:color w:val="142147" w:themeColor="accent1"/>
              </w:rPr>
              <w:t>V</w:t>
            </w:r>
            <w:r w:rsidRPr="00DA6183">
              <w:rPr>
                <w:rFonts w:asciiTheme="minorHAnsi" w:hAnsiTheme="minorHAnsi" w:cstheme="minorHAnsi"/>
                <w:b/>
                <w:bCs/>
                <w:color w:val="142147" w:themeColor="accent1"/>
              </w:rPr>
              <w:t>TTC, including:</w:t>
            </w:r>
          </w:p>
          <w:p w14:paraId="05B09234" w14:textId="77777777" w:rsidR="00BD4078" w:rsidRPr="00DA6183"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A6183">
              <w:rPr>
                <w:b/>
                <w:bCs/>
                <w:color w:val="142147" w:themeColor="accent1"/>
              </w:rPr>
              <w:t>The accounting profit which correlates to ‘total income’ reported by the ATO in respect of relevant entities; </w:t>
            </w:r>
          </w:p>
          <w:p w14:paraId="61E585E4" w14:textId="0C49FE17" w:rsidR="00BD4078" w:rsidRPr="00DA6183"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A6183">
              <w:rPr>
                <w:b/>
                <w:bCs/>
                <w:color w:val="142147" w:themeColor="accent1"/>
              </w:rPr>
              <w:t xml:space="preserve">The income tax paid and payable in the </w:t>
            </w:r>
            <w:r w:rsidR="00DB0051">
              <w:rPr>
                <w:b/>
                <w:bCs/>
                <w:color w:val="142147" w:themeColor="accent1"/>
              </w:rPr>
              <w:t>V</w:t>
            </w:r>
            <w:r w:rsidRPr="00DA6183">
              <w:rPr>
                <w:b/>
                <w:bCs/>
                <w:color w:val="142147" w:themeColor="accent1"/>
              </w:rPr>
              <w:t>TTC to ‘tax payable’ reported by the ATO; and </w:t>
            </w:r>
          </w:p>
          <w:p w14:paraId="3D4E7417" w14:textId="1E51B2E9" w:rsidR="00BD4078" w:rsidRPr="000A4BCF"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pPr>
            <w:r w:rsidRPr="00DA6183">
              <w:rPr>
                <w:b/>
                <w:bCs/>
                <w:color w:val="142147" w:themeColor="accent1"/>
              </w:rPr>
              <w:t xml:space="preserve">Any further explanation necessary to assist users of the tax transparency information to understand how the information reported by the ATO reconciles to the </w:t>
            </w:r>
            <w:r w:rsidR="00DB0051">
              <w:rPr>
                <w:b/>
                <w:bCs/>
                <w:color w:val="142147" w:themeColor="accent1"/>
              </w:rPr>
              <w:t>V</w:t>
            </w:r>
            <w:r w:rsidRPr="00DA6183">
              <w:rPr>
                <w:b/>
                <w:bCs/>
                <w:color w:val="142147" w:themeColor="accent1"/>
              </w:rPr>
              <w:t>TTC.</w:t>
            </w:r>
            <w:r w:rsidRPr="00DA6183">
              <w:rPr>
                <w:color w:val="142147" w:themeColor="accent1"/>
              </w:rPr>
              <w:t> </w:t>
            </w:r>
          </w:p>
        </w:tc>
      </w:tr>
      <w:tr w:rsidR="00BD4078" w14:paraId="169AB244" w14:textId="77777777" w:rsidTr="00E268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1" w:type="dxa"/>
            <w:gridSpan w:val="5"/>
            <w:tcBorders>
              <w:top w:val="single" w:sz="2" w:space="0" w:color="701F4D"/>
              <w:left w:val="single" w:sz="2" w:space="0" w:color="701F4D"/>
              <w:bottom w:val="single" w:sz="2" w:space="0" w:color="701F4D"/>
              <w:right w:val="single" w:sz="2" w:space="0" w:color="701F4D"/>
            </w:tcBorders>
            <w:shd w:val="clear" w:color="auto" w:fill="142147" w:themeFill="accent1"/>
          </w:tcPr>
          <w:p w14:paraId="72D5FEBE" w14:textId="77777777" w:rsidR="00BD4078" w:rsidRPr="00BF6698" w:rsidRDefault="00BD4078">
            <w:pPr>
              <w:spacing w:before="0" w:after="0"/>
              <w:rPr>
                <w:rFonts w:asciiTheme="minorHAnsi" w:hAnsiTheme="minorHAnsi" w:cstheme="minorHAnsi"/>
                <w:color w:val="FFFFFF" w:themeColor="background1"/>
              </w:rPr>
            </w:pPr>
            <w:r>
              <w:rPr>
                <w:rFonts w:asciiTheme="minorHAnsi" w:hAnsiTheme="minorHAnsi" w:cstheme="minorHAnsi"/>
                <w:color w:val="FFFFFF" w:themeColor="background1"/>
              </w:rPr>
              <w:t>Overall a</w:t>
            </w:r>
            <w:r w:rsidRPr="00BF6698">
              <w:rPr>
                <w:rFonts w:asciiTheme="minorHAnsi" w:hAnsiTheme="minorHAnsi" w:cstheme="minorHAnsi"/>
                <w:color w:val="FFFFFF" w:themeColor="background1"/>
              </w:rPr>
              <w:t>pproach to tax</w:t>
            </w:r>
          </w:p>
        </w:tc>
      </w:tr>
      <w:tr w:rsidR="00BD4078" w14:paraId="11378001" w14:textId="77777777" w:rsidTr="00E2681A">
        <w:trPr>
          <w:trHeight w:val="825"/>
        </w:trPr>
        <w:tc>
          <w:tcPr>
            <w:cnfStyle w:val="001000000000" w:firstRow="0" w:lastRow="0" w:firstColumn="1" w:lastColumn="0" w:oddVBand="0" w:evenVBand="0" w:oddHBand="0" w:evenHBand="0" w:firstRowFirstColumn="0" w:firstRowLastColumn="0" w:lastRowFirstColumn="0" w:lastRowLastColumn="0"/>
            <w:tcW w:w="2110" w:type="dxa"/>
            <w:tcBorders>
              <w:right w:val="single" w:sz="2" w:space="0" w:color="701F4D"/>
            </w:tcBorders>
            <w:shd w:val="clear" w:color="auto" w:fill="D4C2A8" w:themeFill="accent3"/>
            <w:vAlign w:val="center"/>
          </w:tcPr>
          <w:p w14:paraId="47B59C44" w14:textId="77777777" w:rsidR="00BD4078" w:rsidRPr="001237E5" w:rsidRDefault="00BD4078">
            <w:pPr>
              <w:spacing w:before="0" w:after="0"/>
              <w:rPr>
                <w:color w:val="142147" w:themeColor="accent1"/>
              </w:rPr>
            </w:pPr>
            <w:r>
              <w:rPr>
                <w:color w:val="142147" w:themeColor="accent1"/>
              </w:rPr>
              <w:t xml:space="preserve">Approach to tax </w:t>
            </w:r>
          </w:p>
        </w:tc>
        <w:tc>
          <w:tcPr>
            <w:tcW w:w="1466" w:type="dxa"/>
            <w:gridSpan w:val="3"/>
            <w:tcBorders>
              <w:right w:val="single" w:sz="2" w:space="0" w:color="701F4D"/>
            </w:tcBorders>
            <w:shd w:val="clear" w:color="auto" w:fill="F6F2ED" w:themeFill="accent3" w:themeFillTint="33"/>
            <w:vAlign w:val="center"/>
          </w:tcPr>
          <w:p w14:paraId="1D38B412"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053CD">
              <w:rPr>
                <w:b/>
                <w:bCs/>
                <w:color w:val="142147" w:themeColor="accent1"/>
              </w:rPr>
              <w:t>Requirement</w:t>
            </w:r>
          </w:p>
          <w:p w14:paraId="2360E870"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221678379"/>
              <w14:checkbox>
                <w14:checked w14:val="0"/>
                <w14:checkedState w14:val="2612" w14:font="MS Gothic"/>
                <w14:uncheckedState w14:val="2610" w14:font="MS Gothic"/>
              </w14:checkbox>
            </w:sdtPr>
            <w:sdtEndPr/>
            <w:sdtContent>
              <w:p w14:paraId="57C1D89E" w14:textId="77777777" w:rsidR="00BD4078" w:rsidRPr="00D053CD"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6055" w:type="dxa"/>
            <w:tcBorders>
              <w:left w:val="single" w:sz="2" w:space="0" w:color="701F4D"/>
            </w:tcBorders>
            <w:shd w:val="clear" w:color="auto" w:fill="F6F2ED" w:themeFill="accent3" w:themeFillTint="33"/>
            <w:vAlign w:val="center"/>
          </w:tcPr>
          <w:p w14:paraId="42A00DA0" w14:textId="11BBFA6E" w:rsidR="00BD4078" w:rsidRPr="00FA6561"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FA6561">
              <w:rPr>
                <w:b/>
                <w:bCs/>
                <w:color w:val="142147" w:themeColor="accent1"/>
              </w:rPr>
              <w:t xml:space="preserve">Businesses should provide a statement confirming that they report on ‘approach to tax’, consistent with the GRI 207-1 requirements, in their </w:t>
            </w:r>
            <w:r w:rsidR="00B4260D">
              <w:rPr>
                <w:b/>
                <w:bCs/>
                <w:color w:val="142147" w:themeColor="accent1"/>
              </w:rPr>
              <w:t xml:space="preserve">public </w:t>
            </w:r>
            <w:r w:rsidRPr="00FA6561">
              <w:rPr>
                <w:b/>
                <w:bCs/>
                <w:color w:val="142147" w:themeColor="accent1"/>
              </w:rPr>
              <w:t>CbC report.</w:t>
            </w:r>
          </w:p>
        </w:tc>
      </w:tr>
      <w:tr w:rsidR="00BD4078" w14:paraId="150288BE" w14:textId="77777777" w:rsidTr="00E2681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110" w:type="dxa"/>
            <w:vMerge w:val="restart"/>
            <w:tcBorders>
              <w:right w:val="single" w:sz="2" w:space="0" w:color="701F4D"/>
            </w:tcBorders>
            <w:shd w:val="clear" w:color="auto" w:fill="D4C2A8" w:themeFill="accent3"/>
            <w:vAlign w:val="center"/>
          </w:tcPr>
          <w:p w14:paraId="193667C7" w14:textId="77777777" w:rsidR="00BD4078" w:rsidRPr="004209F4" w:rsidRDefault="00BD4078">
            <w:pPr>
              <w:spacing w:before="0" w:after="0"/>
              <w:rPr>
                <w:color w:val="142147" w:themeColor="accent1"/>
              </w:rPr>
            </w:pPr>
            <w:r w:rsidRPr="001237E5">
              <w:rPr>
                <w:color w:val="142147" w:themeColor="accent1"/>
              </w:rPr>
              <w:t>Tax governance, control, and risk management</w:t>
            </w:r>
          </w:p>
        </w:tc>
        <w:sdt>
          <w:sdtPr>
            <w:rPr>
              <w:b/>
              <w:bCs/>
            </w:rPr>
            <w:id w:val="-2021464071"/>
            <w14:checkbox>
              <w14:checked w14:val="0"/>
              <w14:checkedState w14:val="2612" w14:font="MS Gothic"/>
              <w14:uncheckedState w14:val="2610" w14:font="MS Gothic"/>
            </w14:checkbox>
          </w:sdtPr>
          <w:sdtEndPr/>
          <w:sdtContent>
            <w:tc>
              <w:tcPr>
                <w:tcW w:w="1466" w:type="dxa"/>
                <w:gridSpan w:val="3"/>
                <w:tcBorders>
                  <w:right w:val="single" w:sz="2" w:space="0" w:color="701F4D"/>
                </w:tcBorders>
                <w:vAlign w:val="center"/>
              </w:tcPr>
              <w:p w14:paraId="573806B9" w14:textId="77777777" w:rsidR="00BD4078" w:rsidRPr="002E3A7C"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cBorders>
            <w:vAlign w:val="center"/>
          </w:tcPr>
          <w:p w14:paraId="1B66C159" w14:textId="77777777" w:rsidR="00BD4078" w:rsidRPr="002959EC" w:rsidRDefault="00BD4078" w:rsidP="000D2994">
            <w:pPr>
              <w:pStyle w:val="Bullet"/>
              <w:numPr>
                <w:ilvl w:val="0"/>
                <w:numId w:val="0"/>
              </w:num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Provide a</w:t>
            </w:r>
            <w:r w:rsidRPr="002959EC">
              <w:rPr>
                <w:color w:val="142147" w:themeColor="accent1"/>
              </w:rPr>
              <w:t xml:space="preserve"> description of the tax governance, control and risk management framework including: </w:t>
            </w:r>
          </w:p>
          <w:p w14:paraId="50143A83" w14:textId="77777777" w:rsidR="00BD4078" w:rsidRPr="002959EC"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the</w:t>
            </w:r>
            <w:r w:rsidRPr="002959EC">
              <w:rPr>
                <w:color w:val="142147" w:themeColor="accent1"/>
              </w:rPr>
              <w:t xml:space="preserve"> governance body or executive-level position within the organisation accountable for compliance with the tax strategy;</w:t>
            </w:r>
          </w:p>
          <w:p w14:paraId="3315A2DC" w14:textId="307416E9" w:rsidR="00BD4078" w:rsidRPr="002959EC"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color w:val="142147" w:themeColor="accent1"/>
              </w:rPr>
            </w:pPr>
            <w:r w:rsidRPr="002959EC">
              <w:rPr>
                <w:color w:val="142147" w:themeColor="accent1"/>
              </w:rPr>
              <w:t xml:space="preserve">how </w:t>
            </w:r>
            <w:r w:rsidR="0074741E">
              <w:rPr>
                <w:color w:val="142147" w:themeColor="accent1"/>
              </w:rPr>
              <w:t xml:space="preserve">the </w:t>
            </w:r>
            <w:r w:rsidR="00C57419">
              <w:rPr>
                <w:color w:val="142147" w:themeColor="accent1"/>
              </w:rPr>
              <w:t>entity’s</w:t>
            </w:r>
            <w:r w:rsidRPr="002959EC">
              <w:rPr>
                <w:color w:val="142147" w:themeColor="accent1"/>
              </w:rPr>
              <w:t xml:space="preserve"> approach to tax is communicated and embedded in the organisation;</w:t>
            </w:r>
          </w:p>
          <w:p w14:paraId="6015A1A5" w14:textId="77777777" w:rsidR="00BD4078" w:rsidRPr="002959EC"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color w:val="142147" w:themeColor="accent1"/>
              </w:rPr>
            </w:pPr>
            <w:r w:rsidRPr="002959EC">
              <w:rPr>
                <w:color w:val="142147" w:themeColor="accent1"/>
              </w:rPr>
              <w:t>how tax risks are identified, managed and monitored; and</w:t>
            </w:r>
          </w:p>
          <w:p w14:paraId="38E71AF9" w14:textId="77777777" w:rsidR="00BD4078" w:rsidRPr="002959EC"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pPr>
            <w:r w:rsidRPr="002959EC">
              <w:rPr>
                <w:color w:val="142147" w:themeColor="accent1"/>
              </w:rPr>
              <w:t xml:space="preserve">how compliance with tax governance and control framework is evaluated. </w:t>
            </w:r>
          </w:p>
        </w:tc>
      </w:tr>
      <w:tr w:rsidR="00BD4078" w14:paraId="61DCE983" w14:textId="77777777" w:rsidTr="00E2681A">
        <w:trPr>
          <w:trHeight w:val="825"/>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bottom"/>
          </w:tcPr>
          <w:p w14:paraId="1D44A30A" w14:textId="77777777" w:rsidR="00BD4078" w:rsidRPr="004209F4" w:rsidRDefault="00BD4078">
            <w:pPr>
              <w:spacing w:before="0" w:after="0"/>
              <w:rPr>
                <w:color w:val="142147" w:themeColor="accent1"/>
              </w:rPr>
            </w:pPr>
          </w:p>
        </w:tc>
        <w:sdt>
          <w:sdtPr>
            <w:rPr>
              <w:b/>
              <w:bCs/>
            </w:rPr>
            <w:id w:val="305055745"/>
            <w14:checkbox>
              <w14:checked w14:val="0"/>
              <w14:checkedState w14:val="2612" w14:font="MS Gothic"/>
              <w14:uncheckedState w14:val="2610" w14:font="MS Gothic"/>
            </w14:checkbox>
          </w:sdtPr>
          <w:sdtEndPr/>
          <w:sdtContent>
            <w:tc>
              <w:tcPr>
                <w:tcW w:w="1466" w:type="dxa"/>
                <w:gridSpan w:val="3"/>
                <w:tcBorders>
                  <w:right w:val="single" w:sz="2" w:space="0" w:color="701F4D"/>
                </w:tcBorders>
                <w:vAlign w:val="center"/>
              </w:tcPr>
              <w:p w14:paraId="6D2F6B15"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cBorders>
            <w:vAlign w:val="center"/>
          </w:tcPr>
          <w:p w14:paraId="4F2BE429" w14:textId="77777777" w:rsidR="00BD4078" w:rsidRPr="000A4BCF" w:rsidRDefault="00BD4078">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Provide a</w:t>
            </w:r>
            <w:r w:rsidRPr="00A646A2">
              <w:rPr>
                <w:color w:val="142147" w:themeColor="accent1"/>
              </w:rPr>
              <w:t xml:space="preserve"> description of the mechanisms to raise concerns about business’ conduct and integrity in relation to tax. </w:t>
            </w:r>
          </w:p>
        </w:tc>
      </w:tr>
      <w:tr w:rsidR="00BD4078" w14:paraId="12E89E3B" w14:textId="77777777" w:rsidTr="00E2681A">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bottom"/>
          </w:tcPr>
          <w:p w14:paraId="72F720A7" w14:textId="77777777" w:rsidR="00BD4078" w:rsidRPr="004209F4" w:rsidRDefault="00BD4078">
            <w:pPr>
              <w:spacing w:before="0" w:after="0"/>
              <w:rPr>
                <w:color w:val="142147" w:themeColor="accent1"/>
              </w:rPr>
            </w:pPr>
          </w:p>
        </w:tc>
        <w:sdt>
          <w:sdtPr>
            <w:rPr>
              <w:b/>
              <w:bCs/>
            </w:rPr>
            <w:id w:val="1057664945"/>
            <w14:checkbox>
              <w14:checked w14:val="0"/>
              <w14:checkedState w14:val="2612" w14:font="MS Gothic"/>
              <w14:uncheckedState w14:val="2610" w14:font="MS Gothic"/>
            </w14:checkbox>
          </w:sdtPr>
          <w:sdtEndPr/>
          <w:sdtContent>
            <w:tc>
              <w:tcPr>
                <w:tcW w:w="1466" w:type="dxa"/>
                <w:gridSpan w:val="3"/>
                <w:tcBorders>
                  <w:right w:val="single" w:sz="2" w:space="0" w:color="701F4D"/>
                </w:tcBorders>
                <w:vAlign w:val="center"/>
              </w:tcPr>
              <w:p w14:paraId="0DAC8D40" w14:textId="77777777" w:rsidR="00BD4078" w:rsidRPr="002E3A7C"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cBorders>
            <w:vAlign w:val="center"/>
          </w:tcPr>
          <w:p w14:paraId="2FB376FD" w14:textId="77777777" w:rsidR="00BD4078" w:rsidRPr="000A4BCF"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Provide a</w:t>
            </w:r>
            <w:r w:rsidRPr="00A646A2">
              <w:rPr>
                <w:color w:val="142147" w:themeColor="accent1"/>
              </w:rPr>
              <w:t xml:space="preserve"> description of the assurance process for disclosures on tax. </w:t>
            </w:r>
          </w:p>
        </w:tc>
      </w:tr>
      <w:tr w:rsidR="00BD4078" w14:paraId="16F570D2" w14:textId="77777777" w:rsidTr="00E2681A">
        <w:trPr>
          <w:trHeight w:val="507"/>
        </w:trPr>
        <w:tc>
          <w:tcPr>
            <w:cnfStyle w:val="001000000000" w:firstRow="0" w:lastRow="0" w:firstColumn="1" w:lastColumn="0" w:oddVBand="0" w:evenVBand="0" w:oddHBand="0" w:evenHBand="0" w:firstRowFirstColumn="0" w:firstRowLastColumn="0" w:lastRowFirstColumn="0" w:lastRowLastColumn="0"/>
            <w:tcW w:w="2110" w:type="dxa"/>
            <w:vMerge w:val="restart"/>
            <w:tcBorders>
              <w:right w:val="single" w:sz="2" w:space="0" w:color="701F4D"/>
            </w:tcBorders>
            <w:shd w:val="clear" w:color="auto" w:fill="D4C2A8" w:themeFill="accent3"/>
            <w:vAlign w:val="center"/>
          </w:tcPr>
          <w:p w14:paraId="010AFA81" w14:textId="77777777" w:rsidR="00BD4078" w:rsidRPr="004209F4" w:rsidRDefault="00112E9D">
            <w:pPr>
              <w:spacing w:before="0" w:after="0"/>
              <w:rPr>
                <w:color w:val="142147" w:themeColor="accent1"/>
              </w:rPr>
            </w:pPr>
            <w:sdt>
              <w:sdtPr>
                <w:rPr>
                  <w:color w:val="142147" w:themeColor="accent1"/>
                </w:rPr>
                <w:id w:val="-1905443545"/>
                <w14:checkbox>
                  <w14:checked w14:val="0"/>
                  <w14:checkedState w14:val="2612" w14:font="MS Gothic"/>
                  <w14:uncheckedState w14:val="2610" w14:font="MS Gothic"/>
                </w14:checkbox>
              </w:sdtPr>
              <w:sdtEndPr/>
              <w:sdtContent>
                <w:r w:rsidR="00BD4078" w:rsidRPr="00F054AA">
                  <w:rPr>
                    <w:color w:val="142147" w:themeColor="accent1"/>
                  </w:rPr>
                  <w:t>S</w:t>
                </w:r>
              </w:sdtContent>
            </w:sdt>
            <w:r w:rsidR="00BD4078" w:rsidRPr="00F054AA">
              <w:rPr>
                <w:color w:val="142147" w:themeColor="accent1"/>
              </w:rPr>
              <w:t>takeholder engagement and management of concerns related to tax</w:t>
            </w:r>
          </w:p>
        </w:tc>
        <w:sdt>
          <w:sdtPr>
            <w:rPr>
              <w:b/>
              <w:bCs/>
            </w:rPr>
            <w:id w:val="-1362507615"/>
            <w14:checkbox>
              <w14:checked w14:val="0"/>
              <w14:checkedState w14:val="2612" w14:font="MS Gothic"/>
              <w14:uncheckedState w14:val="2610" w14:font="MS Gothic"/>
            </w14:checkbox>
          </w:sdtPr>
          <w:sdtEndPr/>
          <w:sdtContent>
            <w:tc>
              <w:tcPr>
                <w:tcW w:w="1466" w:type="dxa"/>
                <w:gridSpan w:val="3"/>
                <w:tcBorders>
                  <w:right w:val="single" w:sz="2" w:space="0" w:color="701F4D"/>
                </w:tcBorders>
                <w:shd w:val="clear" w:color="auto" w:fill="FFFFFF" w:themeFill="background1"/>
                <w:vAlign w:val="center"/>
              </w:tcPr>
              <w:p w14:paraId="1D38DBC4" w14:textId="77777777" w:rsidR="00BD4078" w:rsidRPr="004A5812"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6055" w:type="dxa"/>
            <w:tcBorders>
              <w:left w:val="single" w:sz="2" w:space="0" w:color="701F4D"/>
            </w:tcBorders>
            <w:shd w:val="clear" w:color="auto" w:fill="FFFFFF" w:themeFill="background1"/>
            <w:vAlign w:val="center"/>
          </w:tcPr>
          <w:p w14:paraId="2953AAD3" w14:textId="77777777" w:rsidR="00BD4078" w:rsidRPr="00A646A2"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Provide a</w:t>
            </w:r>
            <w:r w:rsidRPr="00A646A2">
              <w:rPr>
                <w:color w:val="142147" w:themeColor="accent1"/>
              </w:rPr>
              <w:t xml:space="preserve"> description of its approach to engagement with the ATO</w:t>
            </w:r>
            <w:r>
              <w:rPr>
                <w:color w:val="142147" w:themeColor="accent1"/>
              </w:rPr>
              <w:t>. This may include</w:t>
            </w:r>
            <w:r w:rsidRPr="00A646A2">
              <w:rPr>
                <w:color w:val="142147" w:themeColor="accent1"/>
              </w:rPr>
              <w:t xml:space="preserve">: </w:t>
            </w:r>
          </w:p>
          <w:p w14:paraId="5A09E0AA" w14:textId="77777777" w:rsidR="00044C2F" w:rsidRPr="00044C2F" w:rsidRDefault="00044C2F" w:rsidP="00044C2F">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sidRPr="00044C2F">
              <w:rPr>
                <w:color w:val="142147" w:themeColor="accent1"/>
              </w:rPr>
              <w:t>the assurance regimes the entity is subject to, including any outcomes from assurance regimes, for example, internal audit, external audit, Advance Pricing Arrangements (APAs), Annual Compliance Arrangement (ACA), Justified Trust reviews and ATO pre-lodgment compliance reviews;</w:t>
            </w:r>
          </w:p>
          <w:p w14:paraId="1CF5A74E" w14:textId="6754E8E0" w:rsidR="00BD4078" w:rsidRPr="00A646A2"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e</w:t>
            </w:r>
            <w:r w:rsidRPr="00A646A2">
              <w:rPr>
                <w:color w:val="142147" w:themeColor="accent1"/>
              </w:rPr>
              <w:t xml:space="preserve">ngagement on tax risks including private binding rulings obtained, cooperative compliance agreements, seeking active real-time audit, seeking clearance for significant transactions and advance pricing agreements sought; </w:t>
            </w:r>
          </w:p>
          <w:p w14:paraId="17200AF5" w14:textId="77777777" w:rsidR="00BD4078"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sidRPr="00A646A2">
              <w:rPr>
                <w:color w:val="142147" w:themeColor="accent1"/>
              </w:rPr>
              <w:t>the outcome of ATO compliance activities, for example, a ‘risk rating’ or the outcome of a streamlined risk review; and</w:t>
            </w:r>
          </w:p>
          <w:p w14:paraId="435109E5" w14:textId="77777777" w:rsidR="00BD4078" w:rsidRPr="00EB706E"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sidRPr="00EB706E">
              <w:rPr>
                <w:color w:val="142147" w:themeColor="accent1"/>
              </w:rPr>
              <w:t xml:space="preserve">any significant ongoing or recently settled tax disputes with the ATO and/or other revenue authorities, including settlement outcomes, to the extent not already disclosed in financial statements. </w:t>
            </w:r>
          </w:p>
        </w:tc>
      </w:tr>
      <w:tr w:rsidR="00BD4078" w14:paraId="67BAAA80" w14:textId="77777777" w:rsidTr="00E2681A">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center"/>
          </w:tcPr>
          <w:p w14:paraId="60F5E32E" w14:textId="77777777" w:rsidR="00BD4078" w:rsidRPr="004209F4" w:rsidRDefault="00BD4078">
            <w:pPr>
              <w:spacing w:before="0" w:after="0"/>
              <w:rPr>
                <w:color w:val="142147" w:themeColor="accent1"/>
              </w:rPr>
            </w:pPr>
          </w:p>
        </w:tc>
        <w:sdt>
          <w:sdtPr>
            <w:rPr>
              <w:b/>
              <w:bCs/>
            </w:rPr>
            <w:id w:val="565391640"/>
            <w14:checkbox>
              <w14:checked w14:val="0"/>
              <w14:checkedState w14:val="2612" w14:font="MS Gothic"/>
              <w14:uncheckedState w14:val="2610" w14:font="MS Gothic"/>
            </w14:checkbox>
          </w:sdtPr>
          <w:sdtEndPr/>
          <w:sdtContent>
            <w:tc>
              <w:tcPr>
                <w:tcW w:w="1466" w:type="dxa"/>
                <w:gridSpan w:val="3"/>
                <w:tcBorders>
                  <w:right w:val="single" w:sz="2" w:space="0" w:color="701F4D"/>
                </w:tcBorders>
                <w:vAlign w:val="center"/>
              </w:tcPr>
              <w:p w14:paraId="54195312"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6055" w:type="dxa"/>
            <w:tcBorders>
              <w:left w:val="single" w:sz="2" w:space="0" w:color="701F4D"/>
            </w:tcBorders>
            <w:vAlign w:val="bottom"/>
          </w:tcPr>
          <w:p w14:paraId="6A94C0F0" w14:textId="77777777" w:rsidR="00BD4078" w:rsidRPr="00A646A2" w:rsidRDefault="00BD4078" w:rsidP="000D2994">
            <w:pPr>
              <w:pStyle w:val="Bullet"/>
              <w:numPr>
                <w:ilvl w:val="0"/>
                <w:numId w:val="0"/>
              </w:num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Provide a </w:t>
            </w:r>
            <w:r w:rsidRPr="00A646A2">
              <w:rPr>
                <w:color w:val="142147" w:themeColor="accent1"/>
              </w:rPr>
              <w:t>description of its approach to engagement with other tax authorities.  </w:t>
            </w:r>
          </w:p>
        </w:tc>
      </w:tr>
      <w:tr w:rsidR="00BD4078" w14:paraId="79FF6FBD" w14:textId="77777777" w:rsidTr="00E2681A">
        <w:trPr>
          <w:trHeight w:val="296"/>
        </w:trPr>
        <w:tc>
          <w:tcPr>
            <w:cnfStyle w:val="001000000000" w:firstRow="0" w:lastRow="0" w:firstColumn="1" w:lastColumn="0" w:oddVBand="0" w:evenVBand="0" w:oddHBand="0" w:evenHBand="0" w:firstRowFirstColumn="0" w:firstRowLastColumn="0" w:lastRowFirstColumn="0" w:lastRowLastColumn="0"/>
            <w:tcW w:w="2110" w:type="dxa"/>
            <w:vMerge/>
            <w:tcBorders>
              <w:right w:val="single" w:sz="2" w:space="0" w:color="701F4D"/>
            </w:tcBorders>
            <w:shd w:val="clear" w:color="auto" w:fill="D4C2A8" w:themeFill="accent3"/>
            <w:vAlign w:val="bottom"/>
          </w:tcPr>
          <w:p w14:paraId="7F2BDF3E" w14:textId="77777777" w:rsidR="00BD4078" w:rsidRPr="004209F4" w:rsidRDefault="00BD4078">
            <w:pPr>
              <w:spacing w:before="0" w:after="0"/>
              <w:rPr>
                <w:color w:val="142147" w:themeColor="accent1"/>
              </w:rPr>
            </w:pPr>
          </w:p>
        </w:tc>
        <w:sdt>
          <w:sdtPr>
            <w:rPr>
              <w:b/>
              <w:bCs/>
            </w:rPr>
            <w:id w:val="311684650"/>
            <w14:checkbox>
              <w14:checked w14:val="0"/>
              <w14:checkedState w14:val="2612" w14:font="MS Gothic"/>
              <w14:uncheckedState w14:val="2610" w14:font="MS Gothic"/>
            </w14:checkbox>
          </w:sdtPr>
          <w:sdtEndPr/>
          <w:sdtContent>
            <w:tc>
              <w:tcPr>
                <w:tcW w:w="1466" w:type="dxa"/>
                <w:gridSpan w:val="3"/>
                <w:tcBorders>
                  <w:right w:val="single" w:sz="2" w:space="0" w:color="701F4D"/>
                </w:tcBorders>
                <w:vAlign w:val="center"/>
              </w:tcPr>
              <w:p w14:paraId="51203932"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6055" w:type="dxa"/>
            <w:tcBorders>
              <w:left w:val="single" w:sz="2" w:space="0" w:color="701F4D"/>
            </w:tcBorders>
            <w:vAlign w:val="bottom"/>
          </w:tcPr>
          <w:p w14:paraId="5C3F0DC0" w14:textId="77777777" w:rsidR="00BD4078" w:rsidRPr="000A4BCF" w:rsidRDefault="00BD4078">
            <w:p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Provide a description of the</w:t>
            </w:r>
            <w:r w:rsidRPr="007069F1">
              <w:rPr>
                <w:color w:val="142147" w:themeColor="accent1"/>
              </w:rPr>
              <w:t xml:space="preserve"> processes for collecting and considering the views and concerns of stakeholders, including external stakeholders. </w:t>
            </w:r>
          </w:p>
        </w:tc>
      </w:tr>
      <w:tr w:rsidR="00BD4078" w14:paraId="1316033A" w14:textId="77777777" w:rsidTr="00E2681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10" w:type="dxa"/>
            <w:tcBorders>
              <w:right w:val="single" w:sz="2" w:space="0" w:color="701F4D"/>
            </w:tcBorders>
            <w:shd w:val="clear" w:color="auto" w:fill="D4C2A8" w:themeFill="accent3"/>
            <w:vAlign w:val="center"/>
          </w:tcPr>
          <w:p w14:paraId="576EA291" w14:textId="77777777" w:rsidR="00BD4078" w:rsidRPr="004209F4" w:rsidRDefault="00112E9D">
            <w:pPr>
              <w:spacing w:before="0" w:after="0"/>
              <w:rPr>
                <w:color w:val="142147" w:themeColor="accent1"/>
              </w:rPr>
            </w:pPr>
            <w:sdt>
              <w:sdtPr>
                <w:rPr>
                  <w:color w:val="142147" w:themeColor="accent1"/>
                </w:rPr>
                <w:id w:val="-189692019"/>
                <w14:checkbox>
                  <w14:checked w14:val="0"/>
                  <w14:checkedState w14:val="2612" w14:font="MS Gothic"/>
                  <w14:uncheckedState w14:val="2610" w14:font="MS Gothic"/>
                </w14:checkbox>
              </w:sdtPr>
              <w:sdtEndPr/>
              <w:sdtContent>
                <w:r w:rsidR="00BD4078" w:rsidRPr="004209F4">
                  <w:rPr>
                    <w:color w:val="142147" w:themeColor="accent1"/>
                  </w:rPr>
                  <w:t>I</w:t>
                </w:r>
              </w:sdtContent>
            </w:sdt>
            <w:r w:rsidR="00BD4078" w:rsidRPr="004209F4">
              <w:rPr>
                <w:color w:val="142147" w:themeColor="accent1"/>
              </w:rPr>
              <w:t>nternational related party dealings summary</w:t>
            </w:r>
          </w:p>
        </w:tc>
        <w:tc>
          <w:tcPr>
            <w:tcW w:w="1466" w:type="dxa"/>
            <w:gridSpan w:val="3"/>
            <w:tcBorders>
              <w:right w:val="single" w:sz="2" w:space="0" w:color="701F4D"/>
            </w:tcBorders>
            <w:shd w:val="clear" w:color="auto" w:fill="F6F2ED" w:themeFill="accent3" w:themeFillTint="33"/>
            <w:vAlign w:val="center"/>
          </w:tcPr>
          <w:p w14:paraId="4A5F66B9" w14:textId="77777777" w:rsidR="00BD4078" w:rsidRPr="003156C6"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156C6">
              <w:rPr>
                <w:b/>
                <w:bCs/>
                <w:color w:val="142147" w:themeColor="accent1"/>
              </w:rPr>
              <w:t>Requirement</w:t>
            </w:r>
          </w:p>
          <w:p w14:paraId="48F49D13" w14:textId="77777777" w:rsidR="00BD4078" w:rsidRPr="003156C6"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color w:val="142147" w:themeColor="accent1"/>
              </w:rPr>
            </w:pPr>
          </w:p>
          <w:sdt>
            <w:sdtPr>
              <w:rPr>
                <w:b/>
                <w:bCs/>
                <w:color w:val="142147" w:themeColor="accent1"/>
              </w:rPr>
              <w:id w:val="-207109304"/>
              <w14:checkbox>
                <w14:checked w14:val="0"/>
                <w14:checkedState w14:val="2612" w14:font="MS Gothic"/>
                <w14:uncheckedState w14:val="2610" w14:font="MS Gothic"/>
              </w14:checkbox>
            </w:sdtPr>
            <w:sdtEndPr/>
            <w:sdtContent>
              <w:p w14:paraId="6B3AC1E2" w14:textId="77777777" w:rsidR="00BD4078" w:rsidRPr="003156C6"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156C6">
                  <w:rPr>
                    <w:rFonts w:ascii="MS Gothic" w:eastAsia="MS Gothic" w:hAnsi="MS Gothic" w:hint="eastAsia"/>
                    <w:b/>
                    <w:bCs/>
                    <w:color w:val="142147" w:themeColor="accent1"/>
                  </w:rPr>
                  <w:t>☐</w:t>
                </w:r>
              </w:p>
            </w:sdtContent>
          </w:sdt>
        </w:tc>
        <w:tc>
          <w:tcPr>
            <w:tcW w:w="6055" w:type="dxa"/>
            <w:tcBorders>
              <w:left w:val="single" w:sz="2" w:space="0" w:color="701F4D"/>
            </w:tcBorders>
            <w:shd w:val="clear" w:color="auto" w:fill="F6F2ED" w:themeFill="accent3" w:themeFillTint="33"/>
            <w:vAlign w:val="bottom"/>
          </w:tcPr>
          <w:p w14:paraId="482CEF17" w14:textId="77777777" w:rsidR="00BD4078" w:rsidRPr="003156C6" w:rsidRDefault="00BD4078">
            <w:pP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156C6">
              <w:rPr>
                <w:b/>
                <w:bCs/>
                <w:color w:val="142147" w:themeColor="accent1"/>
              </w:rPr>
              <w:t>Businesses should provide a qualitative disclosure of key categories of dealings with offshore related parties which have a material impact on the business’ Australian taxable income, including:</w:t>
            </w:r>
          </w:p>
          <w:p w14:paraId="7EDD2616" w14:textId="77777777" w:rsidR="00BD4078" w:rsidRPr="003156C6" w:rsidRDefault="00BD4078">
            <w:pPr>
              <w:pStyle w:val="Bullet"/>
              <w:numPr>
                <w:ilvl w:val="0"/>
                <w:numId w:val="20"/>
              </w:numPr>
              <w:spacing w:before="0"/>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156C6">
              <w:rPr>
                <w:b/>
                <w:bCs/>
                <w:color w:val="142147" w:themeColor="accent1"/>
              </w:rPr>
              <w:t>the nature of the dealings; and</w:t>
            </w:r>
          </w:p>
          <w:p w14:paraId="050B06F1" w14:textId="77777777" w:rsidR="00BD4078" w:rsidRPr="003156C6" w:rsidRDefault="00BD4078">
            <w:pPr>
              <w:pStyle w:val="Bullet"/>
              <w:numPr>
                <w:ilvl w:val="0"/>
                <w:numId w:val="20"/>
              </w:numPr>
              <w:spacing w:before="0"/>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156C6">
              <w:rPr>
                <w:b/>
                <w:bCs/>
                <w:color w:val="142147" w:themeColor="accent1"/>
              </w:rPr>
              <w:t>the country in which the related party is located.</w:t>
            </w:r>
          </w:p>
        </w:tc>
      </w:tr>
    </w:tbl>
    <w:p w14:paraId="7EDC137A" w14:textId="77777777" w:rsidR="00164C29" w:rsidRDefault="00164C29">
      <w:r>
        <w:br w:type="page"/>
      </w:r>
    </w:p>
    <w:p w14:paraId="7D8866EB" w14:textId="348D721D" w:rsidR="00BD4078" w:rsidRDefault="00BD4078" w:rsidP="00BD4078">
      <w:pPr>
        <w:pStyle w:val="Heading2"/>
      </w:pPr>
      <w:bookmarkStart w:id="78" w:name="_Non-public_CbC_reporter"/>
      <w:bookmarkStart w:id="79" w:name="_Toc195021326"/>
      <w:bookmarkStart w:id="80" w:name="_Toc199855180"/>
      <w:bookmarkEnd w:id="78"/>
      <w:r>
        <w:t>Non-</w:t>
      </w:r>
      <w:r w:rsidR="00DE0E4A">
        <w:t xml:space="preserve">public </w:t>
      </w:r>
      <w:r>
        <w:t>CbC reporter</w:t>
      </w:r>
      <w:bookmarkEnd w:id="79"/>
      <w:bookmarkEnd w:id="80"/>
      <w:r>
        <w:t xml:space="preserve"> </w:t>
      </w:r>
    </w:p>
    <w:tbl>
      <w:tblPr>
        <w:tblStyle w:val="ListTable3-Accent2"/>
        <w:tblW w:w="0" w:type="auto"/>
        <w:tblLook w:val="04A0" w:firstRow="1" w:lastRow="0" w:firstColumn="1" w:lastColumn="0" w:noHBand="0" w:noVBand="1"/>
      </w:tblPr>
      <w:tblGrid>
        <w:gridCol w:w="2227"/>
        <w:gridCol w:w="1414"/>
        <w:gridCol w:w="5990"/>
      </w:tblGrid>
      <w:tr w:rsidR="00BD4078" w14:paraId="34D747D6" w14:textId="77777777" w:rsidTr="00EB7698">
        <w:trPr>
          <w:cnfStyle w:val="100000000000" w:firstRow="1" w:lastRow="0" w:firstColumn="0" w:lastColumn="0" w:oddVBand="0" w:evenVBand="0" w:oddHBand="0" w:evenHBand="0" w:firstRowFirstColumn="0" w:firstRowLastColumn="0" w:lastRowFirstColumn="0" w:lastRowLastColumn="0"/>
          <w:trHeight w:val="336"/>
          <w:tblHeader/>
        </w:trPr>
        <w:tc>
          <w:tcPr>
            <w:cnfStyle w:val="001000000100" w:firstRow="0" w:lastRow="0" w:firstColumn="1" w:lastColumn="0" w:oddVBand="0" w:evenVBand="0" w:oddHBand="0" w:evenHBand="0" w:firstRowFirstColumn="1" w:firstRowLastColumn="0" w:lastRowFirstColumn="0" w:lastRowLastColumn="0"/>
            <w:tcW w:w="2227" w:type="dxa"/>
            <w:tcBorders>
              <w:bottom w:val="single" w:sz="12" w:space="0" w:color="142147" w:themeColor="accent1"/>
            </w:tcBorders>
            <w:vAlign w:val="center"/>
          </w:tcPr>
          <w:p w14:paraId="74E14AF7" w14:textId="59DFBE67" w:rsidR="00BD4078" w:rsidRPr="00620D7D" w:rsidRDefault="00E2681A" w:rsidP="00E2681A">
            <w:pPr>
              <w:pStyle w:val="TableHeaderCellLeft"/>
              <w:spacing w:before="0"/>
              <w:rPr>
                <w:sz w:val="24"/>
                <w:szCs w:val="24"/>
              </w:rPr>
            </w:pPr>
            <w:r>
              <w:rPr>
                <w:sz w:val="24"/>
                <w:szCs w:val="24"/>
              </w:rPr>
              <w:t>V</w:t>
            </w:r>
            <w:r w:rsidR="00BD4078">
              <w:rPr>
                <w:sz w:val="24"/>
                <w:szCs w:val="24"/>
              </w:rPr>
              <w:t>TTC requirements</w:t>
            </w:r>
          </w:p>
        </w:tc>
        <w:tc>
          <w:tcPr>
            <w:tcW w:w="1414" w:type="dxa"/>
            <w:tcBorders>
              <w:bottom w:val="single" w:sz="12" w:space="0" w:color="142147" w:themeColor="accent1"/>
            </w:tcBorders>
            <w:vAlign w:val="center"/>
          </w:tcPr>
          <w:p w14:paraId="0205E0D7" w14:textId="77777777" w:rsidR="00BD4078" w:rsidRDefault="00BD4078" w:rsidP="00E2681A">
            <w:pPr>
              <w:pStyle w:val="TableHeaderCellLeft"/>
              <w:spacing w:before="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Checklist</w:t>
            </w:r>
          </w:p>
        </w:tc>
        <w:tc>
          <w:tcPr>
            <w:tcW w:w="5990" w:type="dxa"/>
            <w:tcBorders>
              <w:bottom w:val="single" w:sz="12" w:space="0" w:color="142147" w:themeColor="accent1"/>
            </w:tcBorders>
            <w:vAlign w:val="center"/>
          </w:tcPr>
          <w:p w14:paraId="368F5C5E" w14:textId="77777777" w:rsidR="00BD4078" w:rsidRPr="00620D7D" w:rsidRDefault="00BD4078" w:rsidP="00E2681A">
            <w:pPr>
              <w:pStyle w:val="TableHeaderCellLeft"/>
              <w:spacing w:before="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Requirements and optional elements</w:t>
            </w:r>
          </w:p>
        </w:tc>
      </w:tr>
      <w:tr w:rsidR="00BD4078" w14:paraId="080DC33B" w14:textId="7777777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1" w:type="dxa"/>
            <w:gridSpan w:val="3"/>
            <w:tcBorders>
              <w:top w:val="single" w:sz="12" w:space="0" w:color="142147" w:themeColor="accent1"/>
              <w:left w:val="single" w:sz="12" w:space="0" w:color="701F4D" w:themeColor="accent2"/>
              <w:bottom w:val="single" w:sz="4" w:space="0" w:color="auto"/>
              <w:right w:val="single" w:sz="12" w:space="0" w:color="701F4D" w:themeColor="accent2"/>
            </w:tcBorders>
            <w:shd w:val="clear" w:color="auto" w:fill="142147" w:themeFill="accent1"/>
            <w:vAlign w:val="center"/>
          </w:tcPr>
          <w:p w14:paraId="41EBA460" w14:textId="77777777" w:rsidR="00BD4078" w:rsidRPr="00176AE3" w:rsidRDefault="00BD4078">
            <w:pPr>
              <w:spacing w:before="0" w:after="0"/>
              <w:rPr>
                <w:rFonts w:asciiTheme="minorHAnsi" w:hAnsiTheme="minorHAnsi" w:cstheme="minorHAnsi"/>
                <w:color w:val="FFFFFF" w:themeColor="background1"/>
              </w:rPr>
            </w:pPr>
            <w:r>
              <w:rPr>
                <w:rFonts w:asciiTheme="minorHAnsi" w:hAnsiTheme="minorHAnsi" w:cstheme="minorHAnsi"/>
                <w:color w:val="FFFFFF" w:themeColor="background1"/>
              </w:rPr>
              <w:t xml:space="preserve">Overview </w:t>
            </w:r>
            <w:r w:rsidRPr="00176AE3">
              <w:rPr>
                <w:rFonts w:asciiTheme="minorHAnsi" w:hAnsiTheme="minorHAnsi" w:cstheme="minorHAnsi"/>
                <w:color w:val="FFFFFF" w:themeColor="background1"/>
              </w:rPr>
              <w:t xml:space="preserve"> </w:t>
            </w:r>
          </w:p>
        </w:tc>
      </w:tr>
      <w:tr w:rsidR="00BD4078" w14:paraId="5A5B2075" w14:textId="77777777">
        <w:trPr>
          <w:trHeight w:val="336"/>
        </w:trPr>
        <w:tc>
          <w:tcPr>
            <w:cnfStyle w:val="001000000000" w:firstRow="0" w:lastRow="0" w:firstColumn="1" w:lastColumn="0" w:oddVBand="0"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D4C2A8" w:themeFill="accent3"/>
            <w:vAlign w:val="center"/>
          </w:tcPr>
          <w:p w14:paraId="1307656F" w14:textId="77777777" w:rsidR="00BD4078" w:rsidRPr="003334E5" w:rsidRDefault="00BD4078">
            <w:pPr>
              <w:spacing w:before="0" w:after="0"/>
              <w:jc w:val="center"/>
              <w:rPr>
                <w:color w:val="142147" w:themeColor="accent1"/>
              </w:rPr>
            </w:pPr>
            <w:r>
              <w:rPr>
                <w:color w:val="142147" w:themeColor="accent1"/>
              </w:rPr>
              <w:t xml:space="preserve">Overview </w:t>
            </w:r>
            <w:r w:rsidRPr="003334E5">
              <w:rPr>
                <w:color w:val="142147" w:themeColor="accent1"/>
              </w:rPr>
              <w:t xml:space="preserve"> </w:t>
            </w:r>
          </w:p>
        </w:tc>
        <w:tc>
          <w:tcPr>
            <w:tcW w:w="1414" w:type="dxa"/>
            <w:tcBorders>
              <w:top w:val="single" w:sz="4" w:space="0" w:color="auto"/>
              <w:left w:val="single" w:sz="4" w:space="0" w:color="auto"/>
              <w:bottom w:val="single" w:sz="4" w:space="0" w:color="auto"/>
              <w:right w:val="single" w:sz="4" w:space="0" w:color="auto"/>
            </w:tcBorders>
            <w:shd w:val="clear" w:color="auto" w:fill="F6F2ED" w:themeFill="accent3" w:themeFillTint="33"/>
            <w:vAlign w:val="center"/>
          </w:tcPr>
          <w:p w14:paraId="1DCB133E"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p w14:paraId="12ADE2AE"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248958688"/>
              <w14:checkbox>
                <w14:checked w14:val="0"/>
                <w14:checkedState w14:val="2612" w14:font="MS Gothic"/>
                <w14:uncheckedState w14:val="2610" w14:font="MS Gothic"/>
              </w14:checkbox>
            </w:sdtPr>
            <w:sdtEndPr/>
            <w:sdtContent>
              <w:p w14:paraId="33DDE6AF" w14:textId="77777777" w:rsidR="00BD4078" w:rsidRPr="003334E5"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5990" w:type="dxa"/>
            <w:tcBorders>
              <w:top w:val="single" w:sz="4" w:space="0" w:color="auto"/>
              <w:left w:val="single" w:sz="4" w:space="0" w:color="auto"/>
              <w:bottom w:val="single" w:sz="4" w:space="0" w:color="auto"/>
              <w:right w:val="single" w:sz="4" w:space="0" w:color="auto"/>
            </w:tcBorders>
            <w:shd w:val="clear" w:color="auto" w:fill="F6F2ED" w:themeFill="accent3" w:themeFillTint="33"/>
            <w:vAlign w:val="center"/>
          </w:tcPr>
          <w:p w14:paraId="62E78743" w14:textId="77777777" w:rsidR="00BD4078" w:rsidRPr="003334E5" w:rsidRDefault="00BD4078" w:rsidP="000D2994">
            <w:pPr>
              <w:pStyle w:val="Bullet"/>
              <w:numPr>
                <w:ilvl w:val="0"/>
                <w:numId w:val="0"/>
              </w:numPr>
              <w:ind w:left="520" w:hanging="52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 xml:space="preserve">Businesses should provide the following information: </w:t>
            </w:r>
          </w:p>
          <w:p w14:paraId="673CFE50" w14:textId="77777777" w:rsidR="00BD4078" w:rsidRPr="003334E5" w:rsidRDefault="00BD4078">
            <w:pPr>
              <w:pStyle w:val="Bullet"/>
              <w:numPr>
                <w:ilvl w:val="0"/>
                <w:numId w:val="20"/>
              </w:num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a list of all material subsidiaries in the group;</w:t>
            </w:r>
          </w:p>
          <w:p w14:paraId="29F52F43" w14:textId="77777777" w:rsidR="00BD4078" w:rsidRPr="003334E5" w:rsidRDefault="00BD4078">
            <w:pPr>
              <w:pStyle w:val="Bullet"/>
              <w:numPr>
                <w:ilvl w:val="0"/>
                <w:numId w:val="20"/>
              </w:num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 xml:space="preserve">an explanation of the main business activities undertaken by the group; and </w:t>
            </w:r>
          </w:p>
          <w:p w14:paraId="3E22DBE8" w14:textId="77777777" w:rsidR="00BD4078" w:rsidRPr="003334E5" w:rsidRDefault="00BD4078">
            <w:pPr>
              <w:pStyle w:val="Bullet"/>
              <w:numPr>
                <w:ilvl w:val="0"/>
                <w:numId w:val="20"/>
              </w:num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total number of employees.</w:t>
            </w:r>
          </w:p>
        </w:tc>
      </w:tr>
      <w:tr w:rsidR="00BD4078" w14:paraId="105FF5B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1" w:type="dxa"/>
            <w:gridSpan w:val="3"/>
            <w:tcBorders>
              <w:top w:val="single" w:sz="4" w:space="0" w:color="auto"/>
              <w:left w:val="single" w:sz="2" w:space="0" w:color="701F4D"/>
              <w:bottom w:val="single" w:sz="2" w:space="0" w:color="701F4D"/>
              <w:right w:val="single" w:sz="12" w:space="0" w:color="701F4D" w:themeColor="accent2"/>
            </w:tcBorders>
            <w:shd w:val="clear" w:color="auto" w:fill="142147" w:themeFill="accent1"/>
          </w:tcPr>
          <w:p w14:paraId="74F905C9" w14:textId="77777777" w:rsidR="00BD4078" w:rsidRPr="00620D7D" w:rsidRDefault="00112E9D">
            <w:pPr>
              <w:spacing w:before="0" w:after="0"/>
              <w:rPr>
                <w:rFonts w:asciiTheme="minorHAnsi" w:hAnsiTheme="minorHAnsi" w:cstheme="minorHAnsi"/>
                <w:color w:val="701F4D" w:themeColor="accent2"/>
              </w:rPr>
            </w:pPr>
            <w:sdt>
              <w:sdtPr>
                <w:rPr>
                  <w:rFonts w:asciiTheme="minorHAnsi" w:hAnsiTheme="minorHAnsi" w:cstheme="minorHAnsi"/>
                  <w:color w:val="FFFFFF" w:themeColor="background1"/>
                </w:rPr>
                <w:id w:val="-712500396"/>
                <w14:checkbox>
                  <w14:checked w14:val="0"/>
                  <w14:checkedState w14:val="2612" w14:font="MS Gothic"/>
                  <w14:uncheckedState w14:val="2610" w14:font="MS Gothic"/>
                </w14:checkbox>
              </w:sdtPr>
              <w:sdtEndPr/>
              <w:sdtContent>
                <w:r w:rsidR="00BD4078" w:rsidRPr="00A05064">
                  <w:rPr>
                    <w:rFonts w:asciiTheme="minorHAnsi" w:hAnsiTheme="minorHAnsi" w:cstheme="minorHAnsi"/>
                    <w:color w:val="FFFFFF" w:themeColor="background1"/>
                  </w:rPr>
                  <w:t>T</w:t>
                </w:r>
              </w:sdtContent>
            </w:sdt>
            <w:r w:rsidR="00BD4078" w:rsidRPr="00A05064">
              <w:rPr>
                <w:rFonts w:asciiTheme="minorHAnsi" w:hAnsiTheme="minorHAnsi" w:cstheme="minorHAnsi"/>
                <w:color w:val="FFFFFF" w:themeColor="background1"/>
              </w:rPr>
              <w:t>ax data</w:t>
            </w:r>
          </w:p>
        </w:tc>
      </w:tr>
      <w:tr w:rsidR="00BD4078" w14:paraId="5F7E49F1"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vMerge w:val="restart"/>
            <w:tcBorders>
              <w:right w:val="single" w:sz="2" w:space="0" w:color="701F4D"/>
            </w:tcBorders>
            <w:shd w:val="clear" w:color="auto" w:fill="D4C2A8" w:themeFill="accent3"/>
            <w:vAlign w:val="center"/>
          </w:tcPr>
          <w:p w14:paraId="4C6162F0" w14:textId="77777777" w:rsidR="00BD4078" w:rsidRPr="004209F4" w:rsidRDefault="00112E9D">
            <w:pPr>
              <w:spacing w:before="0" w:after="0"/>
              <w:rPr>
                <w:color w:val="142147" w:themeColor="accent1"/>
              </w:rPr>
            </w:pPr>
            <w:sdt>
              <w:sdtPr>
                <w:rPr>
                  <w:color w:val="142147" w:themeColor="accent1"/>
                </w:rPr>
                <w:id w:val="2126728982"/>
                <w14:checkbox>
                  <w14:checked w14:val="0"/>
                  <w14:checkedState w14:val="2612" w14:font="MS Gothic"/>
                  <w14:uncheckedState w14:val="2610" w14:font="MS Gothic"/>
                </w14:checkbox>
              </w:sdtPr>
              <w:sdtEndPr/>
              <w:sdtContent>
                <w:r w:rsidR="00BD4078" w:rsidRPr="004209F4">
                  <w:rPr>
                    <w:color w:val="142147" w:themeColor="accent1"/>
                  </w:rPr>
                  <w:t>T</w:t>
                </w:r>
              </w:sdtContent>
            </w:sdt>
            <w:r w:rsidR="00BD4078" w:rsidRPr="004209F4">
              <w:rPr>
                <w:color w:val="142147" w:themeColor="accent1"/>
              </w:rPr>
              <w:t>otal tax contribution</w:t>
            </w:r>
          </w:p>
        </w:tc>
        <w:tc>
          <w:tcPr>
            <w:tcW w:w="1414" w:type="dxa"/>
            <w:tcBorders>
              <w:right w:val="single" w:sz="2" w:space="0" w:color="701F4D" w:themeColor="accent2"/>
            </w:tcBorders>
            <w:shd w:val="clear" w:color="auto" w:fill="F6F2ED" w:themeFill="accent3" w:themeFillTint="33"/>
            <w:vAlign w:val="center"/>
          </w:tcPr>
          <w:p w14:paraId="4F1D70A5"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sdt>
            <w:sdtPr>
              <w:rPr>
                <w:b/>
                <w:bCs/>
              </w:rPr>
              <w:id w:val="-1343631360"/>
              <w14:checkbox>
                <w14:checked w14:val="0"/>
                <w14:checkedState w14:val="2612" w14:font="MS Gothic"/>
                <w14:uncheckedState w14:val="2610" w14:font="MS Gothic"/>
              </w14:checkbox>
            </w:sdtPr>
            <w:sdtEndPr/>
            <w:sdtContent>
              <w:p w14:paraId="37775384"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sdtContent>
          </w:sdt>
        </w:tc>
        <w:tc>
          <w:tcPr>
            <w:tcW w:w="5990" w:type="dxa"/>
            <w:tcBorders>
              <w:left w:val="single" w:sz="2" w:space="0" w:color="701F4D" w:themeColor="accent2"/>
            </w:tcBorders>
            <w:shd w:val="clear" w:color="auto" w:fill="F6F2ED" w:themeFill="accent3" w:themeFillTint="33"/>
            <w:vAlign w:val="bottom"/>
          </w:tcPr>
          <w:p w14:paraId="77CBC62B" w14:textId="3F86410E" w:rsidR="00BD4078" w:rsidRPr="00362303" w:rsidRDefault="00BD4078">
            <w:p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62303">
              <w:rPr>
                <w:b/>
                <w:bCs/>
                <w:color w:val="142147" w:themeColor="accent1"/>
              </w:rPr>
              <w:t xml:space="preserve">Businesses should report their total Australian </w:t>
            </w:r>
            <w:r w:rsidR="009C0798">
              <w:rPr>
                <w:b/>
                <w:bCs/>
                <w:color w:val="142147" w:themeColor="accent1"/>
              </w:rPr>
              <w:t xml:space="preserve">corporate </w:t>
            </w:r>
            <w:r w:rsidRPr="00362303">
              <w:rPr>
                <w:b/>
                <w:bCs/>
                <w:color w:val="142147" w:themeColor="accent1"/>
              </w:rPr>
              <w:t>income tax contribution.</w:t>
            </w:r>
          </w:p>
        </w:tc>
      </w:tr>
      <w:tr w:rsidR="00BD4078" w14:paraId="0EC5177E"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0AE7992A" w14:textId="77777777" w:rsidR="00BD4078" w:rsidRPr="004209F4" w:rsidRDefault="00BD4078">
            <w:pPr>
              <w:spacing w:before="0" w:after="0"/>
              <w:rPr>
                <w:color w:val="142147" w:themeColor="accent1"/>
              </w:rPr>
            </w:pPr>
          </w:p>
        </w:tc>
        <w:sdt>
          <w:sdtPr>
            <w:rPr>
              <w:b/>
              <w:bCs/>
            </w:rPr>
            <w:id w:val="1522432970"/>
            <w14:checkbox>
              <w14:checked w14:val="0"/>
              <w14:checkedState w14:val="2612" w14:font="MS Gothic"/>
              <w14:uncheckedState w14:val="2610" w14:font="MS Gothic"/>
            </w14:checkbox>
          </w:sdtPr>
          <w:sdtEndPr/>
          <w:sdtContent>
            <w:tc>
              <w:tcPr>
                <w:tcW w:w="1414" w:type="dxa"/>
                <w:tcBorders>
                  <w:right w:val="single" w:sz="2" w:space="0" w:color="701F4D" w:themeColor="accent2"/>
                </w:tcBorders>
                <w:vAlign w:val="center"/>
              </w:tcPr>
              <w:p w14:paraId="71EBA856"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5990" w:type="dxa"/>
            <w:tcBorders>
              <w:left w:val="single" w:sz="2" w:space="0" w:color="701F4D" w:themeColor="accent2"/>
            </w:tcBorders>
            <w:vAlign w:val="bottom"/>
          </w:tcPr>
          <w:p w14:paraId="78A5E167" w14:textId="77777777" w:rsidR="00BD4078" w:rsidRPr="00C55BD6" w:rsidRDefault="00BD4078">
            <w:pP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C55BD6">
              <w:rPr>
                <w:color w:val="142147" w:themeColor="accent1"/>
              </w:rPr>
              <w:t xml:space="preserve">Report on global group total </w:t>
            </w:r>
            <w:r>
              <w:rPr>
                <w:color w:val="142147" w:themeColor="accent1"/>
              </w:rPr>
              <w:t xml:space="preserve">income </w:t>
            </w:r>
            <w:r w:rsidRPr="00C55BD6">
              <w:rPr>
                <w:color w:val="142147" w:themeColor="accent1"/>
              </w:rPr>
              <w:t>tax contribution.</w:t>
            </w:r>
          </w:p>
        </w:tc>
      </w:tr>
      <w:tr w:rsidR="00BD4078" w14:paraId="05C0C7BB"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3A2305FB" w14:textId="77777777" w:rsidR="00BD4078" w:rsidRPr="00567F9D" w:rsidRDefault="00BD4078">
            <w:pPr>
              <w:spacing w:before="0" w:after="0"/>
              <w:rPr>
                <w:b w:val="0"/>
                <w:bCs w:val="0"/>
              </w:rPr>
            </w:pPr>
          </w:p>
        </w:tc>
        <w:sdt>
          <w:sdtPr>
            <w:rPr>
              <w:b/>
              <w:bCs/>
            </w:rPr>
            <w:id w:val="-1734847507"/>
            <w14:checkbox>
              <w14:checked w14:val="0"/>
              <w14:checkedState w14:val="2612" w14:font="MS Gothic"/>
              <w14:uncheckedState w14:val="2610" w14:font="MS Gothic"/>
            </w14:checkbox>
          </w:sdtPr>
          <w:sdtEndPr/>
          <w:sdtContent>
            <w:tc>
              <w:tcPr>
                <w:tcW w:w="1414" w:type="dxa"/>
                <w:tcBorders>
                  <w:right w:val="single" w:sz="2" w:space="0" w:color="701F4D" w:themeColor="accent2"/>
                </w:tcBorders>
                <w:vAlign w:val="center"/>
              </w:tcPr>
              <w:p w14:paraId="6CA9336A"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5990" w:type="dxa"/>
            <w:tcBorders>
              <w:left w:val="single" w:sz="2" w:space="0" w:color="701F4D" w:themeColor="accent2"/>
            </w:tcBorders>
            <w:vAlign w:val="bottom"/>
          </w:tcPr>
          <w:p w14:paraId="3226636B" w14:textId="77777777" w:rsidR="00BD4078" w:rsidRPr="00621747"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Report o</w:t>
            </w:r>
            <w:r w:rsidRPr="008607B8">
              <w:rPr>
                <w:color w:val="142147" w:themeColor="accent1"/>
              </w:rPr>
              <w:t>ther Australian taxes and imposts paid to Government, for example Petroleum Resources Rent Tax, royalties, excises, payroll taxes, stamp duties, fringe benefits tax and state taxes</w:t>
            </w:r>
            <w:r w:rsidRPr="00892372">
              <w:rPr>
                <w:color w:val="142147" w:themeColor="accent1"/>
              </w:rPr>
              <w:t>.</w:t>
            </w:r>
          </w:p>
        </w:tc>
      </w:tr>
      <w:tr w:rsidR="00BD4078" w14:paraId="55545DB9"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4FBB0BD4" w14:textId="77777777" w:rsidR="00BD4078" w:rsidRPr="00567F9D" w:rsidRDefault="00BD4078">
            <w:pPr>
              <w:spacing w:before="0" w:after="0"/>
              <w:rPr>
                <w:b w:val="0"/>
                <w:bCs w:val="0"/>
              </w:rPr>
            </w:pPr>
          </w:p>
        </w:tc>
        <w:sdt>
          <w:sdtPr>
            <w:rPr>
              <w:b/>
              <w:bCs/>
            </w:rPr>
            <w:id w:val="108705273"/>
            <w14:checkbox>
              <w14:checked w14:val="0"/>
              <w14:checkedState w14:val="2612" w14:font="MS Gothic"/>
              <w14:uncheckedState w14:val="2610" w14:font="MS Gothic"/>
            </w14:checkbox>
          </w:sdtPr>
          <w:sdtEndPr/>
          <w:sdtContent>
            <w:tc>
              <w:tcPr>
                <w:tcW w:w="1414" w:type="dxa"/>
                <w:tcBorders>
                  <w:right w:val="single" w:sz="2" w:space="0" w:color="701F4D" w:themeColor="accent2"/>
                </w:tcBorders>
                <w:vAlign w:val="center"/>
              </w:tcPr>
              <w:p w14:paraId="55C19503" w14:textId="77777777" w:rsidR="00BD4078"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5990" w:type="dxa"/>
            <w:tcBorders>
              <w:left w:val="single" w:sz="2" w:space="0" w:color="701F4D" w:themeColor="accent2"/>
            </w:tcBorders>
            <w:vAlign w:val="bottom"/>
          </w:tcPr>
          <w:p w14:paraId="7E7E7B7D" w14:textId="77777777" w:rsidR="00BD4078" w:rsidRPr="00621747"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Report g</w:t>
            </w:r>
            <w:r w:rsidRPr="008607B8">
              <w:rPr>
                <w:color w:val="142147" w:themeColor="accent1"/>
              </w:rPr>
              <w:t>overnment imposts collected by the business on behalf of others, for example, GST and Pay As You Go withholding taxes.</w:t>
            </w:r>
          </w:p>
        </w:tc>
      </w:tr>
      <w:tr w:rsidR="00BD4078" w14:paraId="106FD7D1"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vMerge w:val="restart"/>
            <w:tcBorders>
              <w:right w:val="single" w:sz="2" w:space="0" w:color="701F4D"/>
            </w:tcBorders>
            <w:shd w:val="clear" w:color="auto" w:fill="D4C2A8" w:themeFill="accent3"/>
            <w:vAlign w:val="center"/>
          </w:tcPr>
          <w:p w14:paraId="209C7107" w14:textId="77777777" w:rsidR="00BD4078" w:rsidRPr="004209F4" w:rsidRDefault="00BD4078">
            <w:pPr>
              <w:spacing w:before="0" w:after="0"/>
              <w:rPr>
                <w:color w:val="142147" w:themeColor="accent1"/>
              </w:rPr>
            </w:pPr>
            <w:r w:rsidRPr="004209F4">
              <w:rPr>
                <w:color w:val="142147" w:themeColor="accent1"/>
              </w:rPr>
              <w:t>Effective tax rate for Australia</w:t>
            </w:r>
          </w:p>
        </w:tc>
        <w:tc>
          <w:tcPr>
            <w:tcW w:w="1414" w:type="dxa"/>
            <w:tcBorders>
              <w:right w:val="single" w:sz="2" w:space="0" w:color="701F4D" w:themeColor="accent2"/>
            </w:tcBorders>
            <w:shd w:val="clear" w:color="auto" w:fill="F6F2ED" w:themeFill="accent3" w:themeFillTint="33"/>
            <w:vAlign w:val="center"/>
          </w:tcPr>
          <w:p w14:paraId="2CA8E5D2"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sdt>
            <w:sdtPr>
              <w:rPr>
                <w:b/>
                <w:bCs/>
              </w:rPr>
              <w:id w:val="-704721170"/>
              <w14:checkbox>
                <w14:checked w14:val="0"/>
                <w14:checkedState w14:val="2612" w14:font="MS Gothic"/>
                <w14:uncheckedState w14:val="2610" w14:font="MS Gothic"/>
              </w14:checkbox>
            </w:sdtPr>
            <w:sdtEndPr/>
            <w:sdtContent>
              <w:p w14:paraId="66857FAE"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sdtContent>
          </w:sdt>
        </w:tc>
        <w:tc>
          <w:tcPr>
            <w:tcW w:w="5990" w:type="dxa"/>
            <w:tcBorders>
              <w:left w:val="single" w:sz="2" w:space="0" w:color="701F4D" w:themeColor="accent2"/>
            </w:tcBorders>
            <w:shd w:val="clear" w:color="auto" w:fill="F6F2ED" w:themeFill="accent3" w:themeFillTint="33"/>
            <w:vAlign w:val="bottom"/>
          </w:tcPr>
          <w:p w14:paraId="2A80209C" w14:textId="77777777" w:rsidR="00BD4078" w:rsidRPr="00C17D8B" w:rsidRDefault="00BD4078">
            <w:p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C17D8B">
              <w:rPr>
                <w:b/>
                <w:bCs/>
                <w:color w:val="142147" w:themeColor="accent1"/>
              </w:rPr>
              <w:t>Businesses should disclose an Australian accounting effective tax rate (ETR).</w:t>
            </w:r>
          </w:p>
        </w:tc>
      </w:tr>
      <w:tr w:rsidR="00BD4078" w14:paraId="77D21F5C"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2DB729EB" w14:textId="77777777" w:rsidR="00BD4078" w:rsidRPr="004209F4" w:rsidRDefault="00BD4078">
            <w:pPr>
              <w:spacing w:before="0" w:after="0"/>
              <w:rPr>
                <w:color w:val="142147" w:themeColor="accent1"/>
              </w:rPr>
            </w:pPr>
          </w:p>
        </w:tc>
        <w:sdt>
          <w:sdtPr>
            <w:rPr>
              <w:b/>
              <w:bCs/>
            </w:rPr>
            <w:id w:val="166606742"/>
            <w14:checkbox>
              <w14:checked w14:val="0"/>
              <w14:checkedState w14:val="2612" w14:font="MS Gothic"/>
              <w14:uncheckedState w14:val="2610" w14:font="MS Gothic"/>
            </w14:checkbox>
          </w:sdtPr>
          <w:sdtEndPr/>
          <w:sdtContent>
            <w:tc>
              <w:tcPr>
                <w:tcW w:w="1414" w:type="dxa"/>
                <w:tcBorders>
                  <w:right w:val="single" w:sz="2" w:space="0" w:color="701F4D" w:themeColor="accent2"/>
                </w:tcBorders>
                <w:vAlign w:val="center"/>
              </w:tcPr>
              <w:p w14:paraId="66CFF0AA"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5990" w:type="dxa"/>
            <w:tcBorders>
              <w:left w:val="single" w:sz="2" w:space="0" w:color="701F4D" w:themeColor="accent2"/>
            </w:tcBorders>
            <w:vAlign w:val="bottom"/>
          </w:tcPr>
          <w:p w14:paraId="525090DC" w14:textId="77777777" w:rsidR="00BD4078" w:rsidRPr="000A4BCF"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sidRPr="000A4BCF">
              <w:rPr>
                <w:color w:val="142147" w:themeColor="accent1"/>
              </w:rPr>
              <w:t xml:space="preserve">Provide a description of the primary drivers of the gap between </w:t>
            </w:r>
            <w:r>
              <w:rPr>
                <w:color w:val="142147" w:themeColor="accent1"/>
              </w:rPr>
              <w:t>ETR</w:t>
            </w:r>
            <w:r w:rsidRPr="000A4BCF">
              <w:rPr>
                <w:color w:val="142147" w:themeColor="accent1"/>
              </w:rPr>
              <w:t xml:space="preserve"> and the weighted average statutory rate</w:t>
            </w:r>
            <w:r>
              <w:rPr>
                <w:color w:val="142147" w:themeColor="accent1"/>
              </w:rPr>
              <w:t>.</w:t>
            </w:r>
          </w:p>
        </w:tc>
      </w:tr>
      <w:tr w:rsidR="00BD4078" w14:paraId="68C93BDE"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530A0BA6" w14:textId="77777777" w:rsidR="00BD4078" w:rsidRPr="004209F4" w:rsidRDefault="00BD4078">
            <w:pPr>
              <w:spacing w:before="0" w:after="0"/>
              <w:rPr>
                <w:color w:val="142147" w:themeColor="accent1"/>
              </w:rPr>
            </w:pPr>
          </w:p>
        </w:tc>
        <w:sdt>
          <w:sdtPr>
            <w:rPr>
              <w:b/>
              <w:bCs/>
            </w:rPr>
            <w:id w:val="-883255745"/>
            <w14:checkbox>
              <w14:checked w14:val="0"/>
              <w14:checkedState w14:val="2612" w14:font="MS Gothic"/>
              <w14:uncheckedState w14:val="2610" w14:font="MS Gothic"/>
            </w14:checkbox>
          </w:sdtPr>
          <w:sdtEndPr/>
          <w:sdtContent>
            <w:tc>
              <w:tcPr>
                <w:tcW w:w="1414" w:type="dxa"/>
                <w:tcBorders>
                  <w:right w:val="single" w:sz="2" w:space="0" w:color="701F4D" w:themeColor="accent2"/>
                </w:tcBorders>
                <w:vAlign w:val="center"/>
              </w:tcPr>
              <w:p w14:paraId="436DC9A1"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5990" w:type="dxa"/>
            <w:tcBorders>
              <w:left w:val="single" w:sz="2" w:space="0" w:color="701F4D" w:themeColor="accent2"/>
            </w:tcBorders>
            <w:vAlign w:val="bottom"/>
          </w:tcPr>
          <w:p w14:paraId="65DCF5A9" w14:textId="77777777" w:rsidR="00BD4078" w:rsidRPr="000A4BCF" w:rsidRDefault="00BD4078">
            <w:pPr>
              <w:cnfStyle w:val="000000000000" w:firstRow="0" w:lastRow="0" w:firstColumn="0" w:lastColumn="0" w:oddVBand="0" w:evenVBand="0" w:oddHBand="0" w:evenHBand="0" w:firstRowFirstColumn="0" w:firstRowLastColumn="0" w:lastRowFirstColumn="0" w:lastRowLastColumn="0"/>
              <w:rPr>
                <w:color w:val="142147" w:themeColor="accent1"/>
              </w:rPr>
            </w:pPr>
            <w:r w:rsidRPr="006121FF">
              <w:rPr>
                <w:color w:val="142147" w:themeColor="accent1"/>
              </w:rPr>
              <w:t>Provide a global ETR for the worldwide accounting consolidated group calculated based on tax expense (income).</w:t>
            </w:r>
          </w:p>
        </w:tc>
      </w:tr>
      <w:tr w:rsidR="00BD4078" w14:paraId="042B7C91"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27" w:type="dxa"/>
            <w:tcBorders>
              <w:right w:val="single" w:sz="2" w:space="0" w:color="701F4D"/>
            </w:tcBorders>
            <w:shd w:val="clear" w:color="auto" w:fill="D4C2A8" w:themeFill="accent3"/>
            <w:vAlign w:val="center"/>
          </w:tcPr>
          <w:p w14:paraId="0B0AADEF" w14:textId="77777777" w:rsidR="00BD4078" w:rsidRPr="00D053CD" w:rsidRDefault="00112E9D">
            <w:pPr>
              <w:spacing w:before="0" w:after="0"/>
              <w:rPr>
                <w:color w:val="142147" w:themeColor="accent1"/>
              </w:rPr>
            </w:pPr>
            <w:sdt>
              <w:sdtPr>
                <w:rPr>
                  <w:color w:val="142147" w:themeColor="accent1"/>
                </w:rPr>
                <w:id w:val="1453366405"/>
                <w14:checkbox>
                  <w14:checked w14:val="0"/>
                  <w14:checkedState w14:val="2612" w14:font="MS Gothic"/>
                  <w14:uncheckedState w14:val="2610" w14:font="MS Gothic"/>
                </w14:checkbox>
              </w:sdtPr>
              <w:sdtEndPr/>
              <w:sdtContent>
                <w:r w:rsidR="00BD4078" w:rsidRPr="00D053CD">
                  <w:rPr>
                    <w:color w:val="142147" w:themeColor="accent1"/>
                  </w:rPr>
                  <w:t>A</w:t>
                </w:r>
              </w:sdtContent>
            </w:sdt>
            <w:r w:rsidR="00BD4078" w:rsidRPr="00D053CD">
              <w:rPr>
                <w:color w:val="142147" w:themeColor="accent1"/>
              </w:rPr>
              <w:t xml:space="preserve"> reconciliation to ATO </w:t>
            </w:r>
            <w:r w:rsidR="00BD4078">
              <w:rPr>
                <w:color w:val="142147" w:themeColor="accent1"/>
              </w:rPr>
              <w:t>C</w:t>
            </w:r>
            <w:r w:rsidR="00BD4078" w:rsidRPr="00D053CD">
              <w:rPr>
                <w:color w:val="142147" w:themeColor="accent1"/>
              </w:rPr>
              <w:t xml:space="preserve">orporate </w:t>
            </w:r>
            <w:r w:rsidR="00BD4078">
              <w:rPr>
                <w:color w:val="142147" w:themeColor="accent1"/>
              </w:rPr>
              <w:t>T</w:t>
            </w:r>
            <w:r w:rsidR="00BD4078" w:rsidRPr="00D053CD">
              <w:rPr>
                <w:color w:val="142147" w:themeColor="accent1"/>
              </w:rPr>
              <w:t xml:space="preserve">ax </w:t>
            </w:r>
            <w:r w:rsidR="00BD4078">
              <w:rPr>
                <w:color w:val="142147" w:themeColor="accent1"/>
              </w:rPr>
              <w:t>T</w:t>
            </w:r>
            <w:r w:rsidR="00BD4078" w:rsidRPr="00D053CD">
              <w:rPr>
                <w:color w:val="142147" w:themeColor="accent1"/>
              </w:rPr>
              <w:t xml:space="preserve">ransparency </w:t>
            </w:r>
            <w:r w:rsidR="00BD4078">
              <w:rPr>
                <w:color w:val="142147" w:themeColor="accent1"/>
              </w:rPr>
              <w:t>D</w:t>
            </w:r>
            <w:r w:rsidR="00BD4078" w:rsidRPr="00D053CD">
              <w:rPr>
                <w:color w:val="142147" w:themeColor="accent1"/>
              </w:rPr>
              <w:t>isclosures</w:t>
            </w:r>
          </w:p>
          <w:p w14:paraId="33BF6E16" w14:textId="77777777" w:rsidR="00BD4078" w:rsidRPr="004209F4" w:rsidRDefault="00BD4078">
            <w:pPr>
              <w:spacing w:before="0" w:after="0"/>
              <w:rPr>
                <w:color w:val="142147" w:themeColor="accent1"/>
              </w:rPr>
            </w:pPr>
          </w:p>
        </w:tc>
        <w:tc>
          <w:tcPr>
            <w:tcW w:w="1414" w:type="dxa"/>
            <w:tcBorders>
              <w:right w:val="single" w:sz="2" w:space="0" w:color="701F4D" w:themeColor="accent2"/>
            </w:tcBorders>
            <w:shd w:val="clear" w:color="auto" w:fill="F6F2ED" w:themeFill="accent3" w:themeFillTint="33"/>
            <w:vAlign w:val="center"/>
          </w:tcPr>
          <w:p w14:paraId="51EF07AD" w14:textId="77777777" w:rsidR="00BD4078"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3334E5">
              <w:rPr>
                <w:b/>
                <w:bCs/>
                <w:color w:val="142147" w:themeColor="accent1"/>
              </w:rPr>
              <w:t>Requirement</w:t>
            </w:r>
          </w:p>
          <w:p w14:paraId="5A064ED7" w14:textId="77777777" w:rsidR="00BD4078"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color w:val="142147" w:themeColor="accent1"/>
              </w:rPr>
            </w:pPr>
          </w:p>
          <w:sdt>
            <w:sdtPr>
              <w:rPr>
                <w:b/>
                <w:bCs/>
              </w:rPr>
              <w:id w:val="-482312076"/>
              <w14:checkbox>
                <w14:checked w14:val="0"/>
                <w14:checkedState w14:val="2612" w14:font="MS Gothic"/>
                <w14:uncheckedState w14:val="2610" w14:font="MS Gothic"/>
              </w14:checkbox>
            </w:sdtPr>
            <w:sdtEndPr/>
            <w:sdtContent>
              <w:p w14:paraId="3F0B6386" w14:textId="77777777" w:rsidR="00BD4078" w:rsidRPr="002E3A7C"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sdtContent>
          </w:sdt>
        </w:tc>
        <w:tc>
          <w:tcPr>
            <w:tcW w:w="5990" w:type="dxa"/>
            <w:tcBorders>
              <w:left w:val="single" w:sz="2" w:space="0" w:color="701F4D" w:themeColor="accent2"/>
            </w:tcBorders>
            <w:shd w:val="clear" w:color="auto" w:fill="F6F2ED" w:themeFill="accent3" w:themeFillTint="33"/>
            <w:vAlign w:val="bottom"/>
          </w:tcPr>
          <w:p w14:paraId="32F5E838" w14:textId="6ECDBE8C" w:rsidR="00BD4078" w:rsidRPr="00DA6183" w:rsidRDefault="00BD4078" w:rsidP="000D2994">
            <w:pPr>
              <w:pStyle w:val="Bullet"/>
              <w:numPr>
                <w:ilvl w:val="0"/>
                <w:numId w:val="0"/>
              </w:numPr>
              <w:cnfStyle w:val="000000100000" w:firstRow="0" w:lastRow="0" w:firstColumn="0" w:lastColumn="0" w:oddVBand="0" w:evenVBand="0" w:oddHBand="1" w:evenHBand="0" w:firstRowFirstColumn="0" w:firstRowLastColumn="0" w:lastRowFirstColumn="0" w:lastRowLastColumn="0"/>
              <w:rPr>
                <w:b/>
                <w:bCs/>
                <w:color w:val="142147" w:themeColor="accent1"/>
              </w:rPr>
            </w:pPr>
            <w:r w:rsidRPr="00DA6183">
              <w:rPr>
                <w:rFonts w:asciiTheme="minorHAnsi" w:hAnsiTheme="minorHAnsi" w:cstheme="minorHAnsi"/>
                <w:b/>
                <w:bCs/>
                <w:color w:val="142147" w:themeColor="accent1"/>
              </w:rPr>
              <w:t xml:space="preserve">Businesses that are subject to the ATO Corporate Tax Transparency Disclosures, should provide a reconciliation of the data published by the ATO against the data in the </w:t>
            </w:r>
            <w:r w:rsidR="00DB0051">
              <w:rPr>
                <w:rFonts w:asciiTheme="minorHAnsi" w:hAnsiTheme="minorHAnsi" w:cstheme="minorHAnsi"/>
                <w:b/>
                <w:bCs/>
                <w:color w:val="142147" w:themeColor="accent1"/>
              </w:rPr>
              <w:t>V</w:t>
            </w:r>
            <w:r w:rsidRPr="00DA6183">
              <w:rPr>
                <w:rFonts w:asciiTheme="minorHAnsi" w:hAnsiTheme="minorHAnsi" w:cstheme="minorHAnsi"/>
                <w:b/>
                <w:bCs/>
                <w:color w:val="142147" w:themeColor="accent1"/>
              </w:rPr>
              <w:t>TTC, including:</w:t>
            </w:r>
          </w:p>
          <w:p w14:paraId="1EDA6C56" w14:textId="77777777" w:rsidR="00BD4078" w:rsidRPr="00DA6183"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b/>
                <w:bCs/>
                <w:color w:val="142147" w:themeColor="accent1"/>
              </w:rPr>
            </w:pPr>
            <w:r w:rsidRPr="00DA6183">
              <w:rPr>
                <w:b/>
                <w:bCs/>
                <w:color w:val="142147" w:themeColor="accent1"/>
              </w:rPr>
              <w:t>The accounting profit which correlates to ‘total income’ reported by the ATO in respect of relevant entities; </w:t>
            </w:r>
          </w:p>
          <w:p w14:paraId="3C7AD75D" w14:textId="60A7D71C" w:rsidR="00BD4078" w:rsidRPr="00DA6183"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b/>
                <w:bCs/>
                <w:color w:val="142147" w:themeColor="accent1"/>
              </w:rPr>
            </w:pPr>
            <w:r w:rsidRPr="00DA6183">
              <w:rPr>
                <w:b/>
                <w:bCs/>
                <w:color w:val="142147" w:themeColor="accent1"/>
              </w:rPr>
              <w:t xml:space="preserve">The income tax paid and payable in the </w:t>
            </w:r>
            <w:r w:rsidR="00DB0051">
              <w:rPr>
                <w:b/>
                <w:bCs/>
                <w:color w:val="142147" w:themeColor="accent1"/>
              </w:rPr>
              <w:t>V</w:t>
            </w:r>
            <w:r w:rsidRPr="00DA6183">
              <w:rPr>
                <w:b/>
                <w:bCs/>
                <w:color w:val="142147" w:themeColor="accent1"/>
              </w:rPr>
              <w:t>TTC to ‘tax payable’ reported by the ATO; and </w:t>
            </w:r>
          </w:p>
          <w:p w14:paraId="4FA4E67F" w14:textId="42FACB2D" w:rsidR="00BD4078" w:rsidRPr="00B82AE4" w:rsidRDefault="00BD4078" w:rsidP="00BD4078">
            <w:pPr>
              <w:pStyle w:val="Bullet"/>
              <w:tabs>
                <w:tab w:val="clear" w:pos="520"/>
                <w:tab w:val="num" w:pos="567"/>
              </w:tabs>
              <w:cnfStyle w:val="000000100000" w:firstRow="0" w:lastRow="0" w:firstColumn="0" w:lastColumn="0" w:oddVBand="0" w:evenVBand="0" w:oddHBand="1" w:evenHBand="0" w:firstRowFirstColumn="0" w:firstRowLastColumn="0" w:lastRowFirstColumn="0" w:lastRowLastColumn="0"/>
              <w:rPr>
                <w:b/>
                <w:bCs/>
                <w:color w:val="142147" w:themeColor="accent1"/>
              </w:rPr>
            </w:pPr>
            <w:r w:rsidRPr="00DA6183">
              <w:rPr>
                <w:b/>
                <w:bCs/>
                <w:color w:val="142147" w:themeColor="accent1"/>
              </w:rPr>
              <w:t xml:space="preserve">Any further explanation necessary to assist users of the tax transparency information to understand how the information reported by the ATO reconciles to the </w:t>
            </w:r>
            <w:r w:rsidR="00DB0051">
              <w:rPr>
                <w:b/>
                <w:bCs/>
                <w:color w:val="142147" w:themeColor="accent1"/>
              </w:rPr>
              <w:t>V</w:t>
            </w:r>
            <w:r w:rsidRPr="00DA6183">
              <w:rPr>
                <w:b/>
                <w:bCs/>
                <w:color w:val="142147" w:themeColor="accent1"/>
              </w:rPr>
              <w:t>TTC.</w:t>
            </w:r>
            <w:r w:rsidRPr="00DA6183">
              <w:rPr>
                <w:color w:val="142147" w:themeColor="accent1"/>
              </w:rPr>
              <w:t> </w:t>
            </w:r>
          </w:p>
        </w:tc>
      </w:tr>
      <w:tr w:rsidR="00BD4078" w14:paraId="6257FDFE"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tcBorders>
              <w:right w:val="single" w:sz="2" w:space="0" w:color="701F4D"/>
            </w:tcBorders>
            <w:shd w:val="clear" w:color="auto" w:fill="D4C2A8" w:themeFill="accent3"/>
            <w:vAlign w:val="center"/>
          </w:tcPr>
          <w:p w14:paraId="135685C5" w14:textId="77777777" w:rsidR="00BD4078" w:rsidRPr="00D053CD" w:rsidRDefault="00112E9D">
            <w:pPr>
              <w:spacing w:before="0" w:after="0"/>
              <w:rPr>
                <w:color w:val="142147" w:themeColor="accent1"/>
              </w:rPr>
            </w:pPr>
            <w:sdt>
              <w:sdtPr>
                <w:rPr>
                  <w:color w:val="142147" w:themeColor="accent1"/>
                </w:rPr>
                <w:id w:val="-797291829"/>
                <w14:checkbox>
                  <w14:checked w14:val="0"/>
                  <w14:checkedState w14:val="2612" w14:font="MS Gothic"/>
                  <w14:uncheckedState w14:val="2610" w14:font="MS Gothic"/>
                </w14:checkbox>
              </w:sdtPr>
              <w:sdtEndPr/>
              <w:sdtContent>
                <w:r w:rsidR="00BD4078" w:rsidRPr="00D173E7">
                  <w:rPr>
                    <w:color w:val="142147" w:themeColor="accent1"/>
                  </w:rPr>
                  <w:t>A</w:t>
                </w:r>
              </w:sdtContent>
            </w:sdt>
            <w:r w:rsidR="00BD4078" w:rsidRPr="00D173E7">
              <w:rPr>
                <w:color w:val="142147" w:themeColor="accent1"/>
              </w:rPr>
              <w:t xml:space="preserve"> reconciliation of accounting profit to income tax expense to income tax paid or payable </w:t>
            </w:r>
          </w:p>
        </w:tc>
        <w:tc>
          <w:tcPr>
            <w:tcW w:w="1414" w:type="dxa"/>
            <w:tcBorders>
              <w:right w:val="single" w:sz="2" w:space="0" w:color="701F4D" w:themeColor="accent2"/>
            </w:tcBorders>
            <w:shd w:val="clear" w:color="auto" w:fill="F6F2ED" w:themeFill="accent3" w:themeFillTint="33"/>
            <w:vAlign w:val="center"/>
          </w:tcPr>
          <w:p w14:paraId="795687CB"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p w14:paraId="07A45D8D"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1098067847"/>
              <w14:checkbox>
                <w14:checked w14:val="0"/>
                <w14:checkedState w14:val="2612" w14:font="MS Gothic"/>
                <w14:uncheckedState w14:val="2610" w14:font="MS Gothic"/>
              </w14:checkbox>
            </w:sdtPr>
            <w:sdtEndPr/>
            <w:sdtContent>
              <w:p w14:paraId="47A5A5CA" w14:textId="77777777" w:rsidR="00BD4078" w:rsidRPr="003334E5"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5990" w:type="dxa"/>
            <w:tcBorders>
              <w:left w:val="single" w:sz="2" w:space="0" w:color="701F4D" w:themeColor="accent2"/>
            </w:tcBorders>
            <w:shd w:val="clear" w:color="auto" w:fill="F6F2ED" w:themeFill="accent3" w:themeFillTint="33"/>
            <w:vAlign w:val="bottom"/>
          </w:tcPr>
          <w:p w14:paraId="38D61FBC" w14:textId="77777777" w:rsidR="00BD4078" w:rsidRPr="00D173E7" w:rsidRDefault="00BD4078">
            <w:p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D173E7">
              <w:rPr>
                <w:b/>
                <w:bCs/>
                <w:color w:val="142147" w:themeColor="accent1"/>
              </w:rPr>
              <w:t xml:space="preserve">Businesses should </w:t>
            </w:r>
            <w:r>
              <w:rPr>
                <w:b/>
                <w:bCs/>
                <w:color w:val="142147" w:themeColor="accent1"/>
              </w:rPr>
              <w:t>provide</w:t>
            </w:r>
            <w:r w:rsidRPr="00D173E7">
              <w:rPr>
                <w:b/>
                <w:bCs/>
                <w:color w:val="142147" w:themeColor="accent1"/>
              </w:rPr>
              <w:t xml:space="preserve"> a reconciliation of accounting profit to income tax expense, and from income tax expense to income tax paid or income tax payable. </w:t>
            </w:r>
          </w:p>
          <w:p w14:paraId="098C319D" w14:textId="77777777" w:rsidR="00BD4078" w:rsidRPr="00DA6183"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rPr>
            </w:pPr>
            <w:r w:rsidRPr="00D173E7">
              <w:rPr>
                <w:b/>
                <w:bCs/>
                <w:color w:val="142147" w:themeColor="accent1"/>
              </w:rPr>
              <w:t>The reconciliation should identify material temporary or non-temporary differences.</w:t>
            </w:r>
          </w:p>
        </w:tc>
      </w:tr>
      <w:tr w:rsidR="00BD4078" w14:paraId="7F4CA19D"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1" w:type="dxa"/>
            <w:gridSpan w:val="3"/>
            <w:tcBorders>
              <w:top w:val="single" w:sz="2" w:space="0" w:color="701F4D"/>
              <w:left w:val="single" w:sz="2" w:space="0" w:color="701F4D"/>
              <w:bottom w:val="single" w:sz="2" w:space="0" w:color="701F4D"/>
              <w:right w:val="single" w:sz="2" w:space="0" w:color="701F4D"/>
            </w:tcBorders>
            <w:shd w:val="clear" w:color="auto" w:fill="142147" w:themeFill="accent1"/>
          </w:tcPr>
          <w:p w14:paraId="64B7EEAF" w14:textId="77777777" w:rsidR="00BD4078" w:rsidRPr="00C2143A" w:rsidRDefault="00BD4078">
            <w:pPr>
              <w:spacing w:before="0" w:after="0"/>
              <w:rPr>
                <w:rFonts w:asciiTheme="minorHAnsi" w:hAnsiTheme="minorHAnsi" w:cstheme="minorHAnsi"/>
                <w:color w:val="FFFFFF" w:themeColor="background1"/>
              </w:rPr>
            </w:pPr>
            <w:r>
              <w:rPr>
                <w:rFonts w:asciiTheme="minorHAnsi" w:hAnsiTheme="minorHAnsi" w:cstheme="minorHAnsi"/>
                <w:color w:val="FFFFFF" w:themeColor="background1"/>
              </w:rPr>
              <w:t>Overall a</w:t>
            </w:r>
            <w:r w:rsidRPr="00C2143A">
              <w:rPr>
                <w:rFonts w:asciiTheme="minorHAnsi" w:hAnsiTheme="minorHAnsi" w:cstheme="minorHAnsi"/>
                <w:color w:val="FFFFFF" w:themeColor="background1"/>
              </w:rPr>
              <w:t>pproach to tax</w:t>
            </w:r>
          </w:p>
        </w:tc>
      </w:tr>
      <w:tr w:rsidR="00BD4078" w14:paraId="5A55865D" w14:textId="77777777">
        <w:trPr>
          <w:trHeight w:val="310"/>
        </w:trPr>
        <w:tc>
          <w:tcPr>
            <w:cnfStyle w:val="001000000000" w:firstRow="0" w:lastRow="0" w:firstColumn="1" w:lastColumn="0" w:oddVBand="0" w:evenVBand="0" w:oddHBand="0" w:evenHBand="0" w:firstRowFirstColumn="0" w:firstRowLastColumn="0" w:lastRowFirstColumn="0" w:lastRowLastColumn="0"/>
            <w:tcW w:w="2227" w:type="dxa"/>
            <w:tcBorders>
              <w:top w:val="single" w:sz="2" w:space="0" w:color="701F4D"/>
              <w:right w:val="single" w:sz="2" w:space="0" w:color="701F4D"/>
            </w:tcBorders>
            <w:shd w:val="clear" w:color="auto" w:fill="D4C2A8" w:themeFill="accent3"/>
            <w:vAlign w:val="center"/>
          </w:tcPr>
          <w:p w14:paraId="39E0EF68" w14:textId="77777777" w:rsidR="00BD4078" w:rsidRPr="007B54E1" w:rsidRDefault="00BD4078">
            <w:pPr>
              <w:spacing w:before="0" w:after="0"/>
              <w:rPr>
                <w:color w:val="142147" w:themeColor="accent1"/>
              </w:rPr>
            </w:pPr>
            <w:r>
              <w:rPr>
                <w:color w:val="142147" w:themeColor="accent1"/>
              </w:rPr>
              <w:t>Approach to tax</w:t>
            </w:r>
          </w:p>
        </w:tc>
        <w:tc>
          <w:tcPr>
            <w:tcW w:w="1414" w:type="dxa"/>
            <w:tcBorders>
              <w:top w:val="single" w:sz="2" w:space="0" w:color="701F4D"/>
              <w:right w:val="single" w:sz="2" w:space="0" w:color="701F4D"/>
            </w:tcBorders>
            <w:shd w:val="clear" w:color="auto" w:fill="F6F2ED" w:themeFill="accent3" w:themeFillTint="33"/>
            <w:vAlign w:val="center"/>
          </w:tcPr>
          <w:p w14:paraId="054D4DDD"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p w14:paraId="01B0CC0A"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1797792969"/>
              <w14:checkbox>
                <w14:checked w14:val="0"/>
                <w14:checkedState w14:val="2612" w14:font="MS Gothic"/>
                <w14:uncheckedState w14:val="2610" w14:font="MS Gothic"/>
              </w14:checkbox>
            </w:sdtPr>
            <w:sdtEndPr/>
            <w:sdtContent>
              <w:p w14:paraId="76904A4F" w14:textId="77777777" w:rsidR="00BD4078" w:rsidRPr="00737D51"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Pr>
                    <w:rFonts w:ascii="MS Gothic" w:eastAsia="MS Gothic" w:hAnsi="MS Gothic" w:hint="eastAsia"/>
                    <w:b/>
                    <w:bCs/>
                  </w:rPr>
                  <w:t>☐</w:t>
                </w:r>
              </w:p>
            </w:sdtContent>
          </w:sdt>
        </w:tc>
        <w:tc>
          <w:tcPr>
            <w:tcW w:w="5990" w:type="dxa"/>
            <w:tcBorders>
              <w:top w:val="single" w:sz="2" w:space="0" w:color="701F4D"/>
              <w:left w:val="single" w:sz="2" w:space="0" w:color="701F4D"/>
            </w:tcBorders>
            <w:shd w:val="clear" w:color="auto" w:fill="F6F2ED" w:themeFill="accent3" w:themeFillTint="33"/>
            <w:vAlign w:val="bottom"/>
          </w:tcPr>
          <w:p w14:paraId="187FBF20" w14:textId="77777777" w:rsidR="00BD4078" w:rsidRPr="00737D51" w:rsidRDefault="00BD4078">
            <w:pPr>
              <w:pStyle w:val="Recommendation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42147" w:themeColor="accent1"/>
                <w:szCs w:val="22"/>
              </w:rPr>
            </w:pPr>
            <w:r w:rsidRPr="00737D51">
              <w:rPr>
                <w:rFonts w:asciiTheme="minorHAnsi" w:hAnsiTheme="minorHAnsi" w:cstheme="minorHAnsi"/>
                <w:b/>
                <w:bCs/>
                <w:color w:val="142147" w:themeColor="accent1"/>
                <w:szCs w:val="22"/>
              </w:rPr>
              <w:t xml:space="preserve">Businesses should provide information on its approach to tax including:  </w:t>
            </w:r>
          </w:p>
          <w:p w14:paraId="77D3F3EE" w14:textId="77777777" w:rsidR="00BD4078" w:rsidRPr="00737D51" w:rsidRDefault="00BD4078">
            <w:pPr>
              <w:pStyle w:val="Bullet"/>
              <w:numPr>
                <w:ilvl w:val="0"/>
                <w:numId w:val="20"/>
              </w:num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737D51">
              <w:rPr>
                <w:b/>
                <w:bCs/>
                <w:color w:val="142147" w:themeColor="accent1"/>
              </w:rPr>
              <w:t xml:space="preserve">whether they have a formal tax policy or strategy; </w:t>
            </w:r>
          </w:p>
          <w:p w14:paraId="1941F257" w14:textId="77777777" w:rsidR="00BD4078" w:rsidRDefault="00BD4078">
            <w:pPr>
              <w:pStyle w:val="Bullet"/>
              <w:numPr>
                <w:ilvl w:val="0"/>
                <w:numId w:val="20"/>
              </w:num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737D51">
              <w:rPr>
                <w:b/>
                <w:bCs/>
                <w:color w:val="142147" w:themeColor="accent1"/>
              </w:rPr>
              <w:t>the governance body or executive-level position that formally reviews and approves the tax strategy and is responsible for compliance with the tax strategy, including frequency of review; and</w:t>
            </w:r>
          </w:p>
          <w:p w14:paraId="11FAB745" w14:textId="77777777" w:rsidR="00BD4078" w:rsidRPr="00737D51" w:rsidRDefault="00BD4078">
            <w:pPr>
              <w:pStyle w:val="Bullet"/>
              <w:numPr>
                <w:ilvl w:val="0"/>
                <w:numId w:val="20"/>
              </w:numP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737D51">
              <w:rPr>
                <w:b/>
                <w:bCs/>
                <w:color w:val="142147" w:themeColor="accent1"/>
              </w:rPr>
              <w:t>the approach to regulatory compliance.</w:t>
            </w:r>
          </w:p>
        </w:tc>
      </w:tr>
      <w:tr w:rsidR="00BD4078" w14:paraId="3B759FDC"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27" w:type="dxa"/>
            <w:tcBorders>
              <w:top w:val="single" w:sz="2" w:space="0" w:color="701F4D"/>
              <w:right w:val="single" w:sz="2" w:space="0" w:color="701F4D"/>
            </w:tcBorders>
            <w:shd w:val="clear" w:color="auto" w:fill="D4C2A8" w:themeFill="accent3"/>
            <w:vAlign w:val="center"/>
          </w:tcPr>
          <w:p w14:paraId="1E1095BF" w14:textId="77777777" w:rsidR="00BD4078" w:rsidRPr="004209F4" w:rsidRDefault="00BD4078">
            <w:pPr>
              <w:spacing w:before="0" w:after="0"/>
              <w:rPr>
                <w:color w:val="142147" w:themeColor="accent1"/>
              </w:rPr>
            </w:pPr>
            <w:r w:rsidRPr="007B54E1">
              <w:rPr>
                <w:color w:val="142147" w:themeColor="accent1"/>
              </w:rPr>
              <w:t>Tax governance, control and risk management</w:t>
            </w:r>
          </w:p>
        </w:tc>
        <w:sdt>
          <w:sdtPr>
            <w:rPr>
              <w:b/>
              <w:bCs/>
            </w:rPr>
            <w:id w:val="-1520700112"/>
            <w14:checkbox>
              <w14:checked w14:val="0"/>
              <w14:checkedState w14:val="2612" w14:font="MS Gothic"/>
              <w14:uncheckedState w14:val="2610" w14:font="MS Gothic"/>
            </w14:checkbox>
          </w:sdtPr>
          <w:sdtEndPr/>
          <w:sdtContent>
            <w:tc>
              <w:tcPr>
                <w:tcW w:w="1414" w:type="dxa"/>
                <w:tcBorders>
                  <w:top w:val="single" w:sz="2" w:space="0" w:color="701F4D"/>
                  <w:right w:val="single" w:sz="2" w:space="0" w:color="701F4D"/>
                </w:tcBorders>
                <w:shd w:val="clear" w:color="auto" w:fill="FFFFFF" w:themeFill="background1"/>
                <w:vAlign w:val="center"/>
              </w:tcPr>
              <w:p w14:paraId="7D4D92CE" w14:textId="77777777" w:rsidR="00BD4078" w:rsidRPr="002E3A7C"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5990" w:type="dxa"/>
            <w:tcBorders>
              <w:top w:val="single" w:sz="2" w:space="0" w:color="701F4D"/>
              <w:left w:val="single" w:sz="2" w:space="0" w:color="701F4D"/>
            </w:tcBorders>
            <w:shd w:val="clear" w:color="auto" w:fill="FFFFFF" w:themeFill="background1"/>
            <w:vAlign w:val="bottom"/>
          </w:tcPr>
          <w:p w14:paraId="2405E18C" w14:textId="77777777" w:rsidR="00BD4078" w:rsidRPr="00BC25B2" w:rsidRDefault="00BD4078" w:rsidP="000D2994">
            <w:pPr>
              <w:pStyle w:val="Bullet"/>
              <w:numPr>
                <w:ilvl w:val="0"/>
                <w:numId w:val="0"/>
              </w:num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Provide a</w:t>
            </w:r>
            <w:r w:rsidRPr="00BC25B2">
              <w:rPr>
                <w:color w:val="142147" w:themeColor="accent1"/>
              </w:rPr>
              <w:t xml:space="preserve"> description of the tax governance, control and risk management framework including: </w:t>
            </w:r>
          </w:p>
          <w:p w14:paraId="10AA8351" w14:textId="77777777" w:rsidR="00BD4078" w:rsidRPr="00BC25B2" w:rsidRDefault="00BD4078">
            <w:pPr>
              <w:pStyle w:val="Dash"/>
              <w:numPr>
                <w:ilvl w:val="0"/>
                <w:numId w:val="20"/>
              </w:num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the</w:t>
            </w:r>
            <w:r w:rsidRPr="00BC25B2">
              <w:rPr>
                <w:color w:val="142147" w:themeColor="accent1"/>
              </w:rPr>
              <w:t xml:space="preserve"> governance body or executive-level position within the organisation accountable for compliance with the tax strategy;</w:t>
            </w:r>
          </w:p>
          <w:p w14:paraId="787C6A87" w14:textId="018888E7" w:rsidR="00BD4078" w:rsidRPr="00BC25B2" w:rsidRDefault="00BD4078">
            <w:pPr>
              <w:pStyle w:val="Dash"/>
              <w:numPr>
                <w:ilvl w:val="0"/>
                <w:numId w:val="20"/>
              </w:numPr>
              <w:cnfStyle w:val="000000100000" w:firstRow="0" w:lastRow="0" w:firstColumn="0" w:lastColumn="0" w:oddVBand="0" w:evenVBand="0" w:oddHBand="1" w:evenHBand="0" w:firstRowFirstColumn="0" w:firstRowLastColumn="0" w:lastRowFirstColumn="0" w:lastRowLastColumn="0"/>
              <w:rPr>
                <w:color w:val="142147" w:themeColor="accent1"/>
              </w:rPr>
            </w:pPr>
            <w:r w:rsidRPr="00BC25B2">
              <w:rPr>
                <w:color w:val="142147" w:themeColor="accent1"/>
              </w:rPr>
              <w:t xml:space="preserve">how </w:t>
            </w:r>
            <w:r w:rsidR="0074741E">
              <w:rPr>
                <w:color w:val="142147" w:themeColor="accent1"/>
              </w:rPr>
              <w:t xml:space="preserve">the </w:t>
            </w:r>
            <w:r w:rsidR="00C57419">
              <w:rPr>
                <w:color w:val="142147" w:themeColor="accent1"/>
              </w:rPr>
              <w:t>entity’s</w:t>
            </w:r>
            <w:r w:rsidRPr="00BC25B2">
              <w:rPr>
                <w:color w:val="142147" w:themeColor="accent1"/>
              </w:rPr>
              <w:t xml:space="preserve"> approach to tax is communicated and embedded in the organisation;</w:t>
            </w:r>
          </w:p>
          <w:p w14:paraId="580FAE69" w14:textId="77777777" w:rsidR="00BD4078" w:rsidRPr="00BC25B2" w:rsidRDefault="00BD4078">
            <w:pPr>
              <w:pStyle w:val="Dash"/>
              <w:numPr>
                <w:ilvl w:val="0"/>
                <w:numId w:val="20"/>
              </w:numPr>
              <w:cnfStyle w:val="000000100000" w:firstRow="0" w:lastRow="0" w:firstColumn="0" w:lastColumn="0" w:oddVBand="0" w:evenVBand="0" w:oddHBand="1" w:evenHBand="0" w:firstRowFirstColumn="0" w:firstRowLastColumn="0" w:lastRowFirstColumn="0" w:lastRowLastColumn="0"/>
              <w:rPr>
                <w:color w:val="142147" w:themeColor="accent1"/>
              </w:rPr>
            </w:pPr>
            <w:r w:rsidRPr="00BC25B2">
              <w:rPr>
                <w:color w:val="142147" w:themeColor="accent1"/>
              </w:rPr>
              <w:t>how tax risks are identified, managed and monitored; and</w:t>
            </w:r>
          </w:p>
          <w:p w14:paraId="6CA2C53D" w14:textId="77777777" w:rsidR="00BD4078" w:rsidRPr="00BC25B2" w:rsidRDefault="00BD4078">
            <w:pPr>
              <w:pStyle w:val="Dash"/>
              <w:numPr>
                <w:ilvl w:val="0"/>
                <w:numId w:val="20"/>
              </w:numPr>
              <w:cnfStyle w:val="000000100000" w:firstRow="0" w:lastRow="0" w:firstColumn="0" w:lastColumn="0" w:oddVBand="0" w:evenVBand="0" w:oddHBand="1" w:evenHBand="0" w:firstRowFirstColumn="0" w:firstRowLastColumn="0" w:lastRowFirstColumn="0" w:lastRowLastColumn="0"/>
            </w:pPr>
            <w:r w:rsidRPr="00BC25B2">
              <w:rPr>
                <w:color w:val="142147" w:themeColor="accent1"/>
              </w:rPr>
              <w:t xml:space="preserve">how compliance with tax governance and control framework is evaluated. </w:t>
            </w:r>
          </w:p>
        </w:tc>
      </w:tr>
      <w:tr w:rsidR="00BD4078" w14:paraId="2AE8834E" w14:textId="77777777">
        <w:trPr>
          <w:trHeight w:val="567"/>
        </w:trPr>
        <w:tc>
          <w:tcPr>
            <w:cnfStyle w:val="001000000000" w:firstRow="0" w:lastRow="0" w:firstColumn="1" w:lastColumn="0" w:oddVBand="0" w:evenVBand="0" w:oddHBand="0" w:evenHBand="0" w:firstRowFirstColumn="0" w:firstRowLastColumn="0" w:lastRowFirstColumn="0" w:lastRowLastColumn="0"/>
            <w:tcW w:w="2227" w:type="dxa"/>
            <w:vMerge w:val="restart"/>
            <w:tcBorders>
              <w:right w:val="single" w:sz="2" w:space="0" w:color="701F4D"/>
            </w:tcBorders>
            <w:shd w:val="clear" w:color="auto" w:fill="D4C2A8" w:themeFill="accent3"/>
            <w:vAlign w:val="center"/>
          </w:tcPr>
          <w:p w14:paraId="2A828793" w14:textId="77777777" w:rsidR="00BD4078" w:rsidRPr="004209F4" w:rsidRDefault="00112E9D">
            <w:pPr>
              <w:spacing w:before="0" w:after="0"/>
              <w:rPr>
                <w:color w:val="142147" w:themeColor="accent1"/>
              </w:rPr>
            </w:pPr>
            <w:sdt>
              <w:sdtPr>
                <w:rPr>
                  <w:color w:val="142147" w:themeColor="accent1"/>
                </w:rPr>
                <w:id w:val="-1572805694"/>
                <w14:checkbox>
                  <w14:checked w14:val="0"/>
                  <w14:checkedState w14:val="2612" w14:font="MS Gothic"/>
                  <w14:uncheckedState w14:val="2610" w14:font="MS Gothic"/>
                </w14:checkbox>
              </w:sdtPr>
              <w:sdtEndPr/>
              <w:sdtContent>
                <w:r w:rsidR="00BD4078" w:rsidRPr="007B54E1">
                  <w:rPr>
                    <w:color w:val="142147" w:themeColor="accent1"/>
                  </w:rPr>
                  <w:t>S</w:t>
                </w:r>
              </w:sdtContent>
            </w:sdt>
            <w:r w:rsidR="00BD4078" w:rsidRPr="007B54E1">
              <w:rPr>
                <w:color w:val="142147" w:themeColor="accent1"/>
              </w:rPr>
              <w:t>takeholder engagement and management of concerns related to tax</w:t>
            </w:r>
          </w:p>
        </w:tc>
        <w:sdt>
          <w:sdtPr>
            <w:rPr>
              <w:b/>
              <w:bCs/>
            </w:rPr>
            <w:id w:val="-2026324538"/>
            <w14:checkbox>
              <w14:checked w14:val="0"/>
              <w14:checkedState w14:val="2612" w14:font="MS Gothic"/>
              <w14:uncheckedState w14:val="2610" w14:font="MS Gothic"/>
            </w14:checkbox>
          </w:sdtPr>
          <w:sdtEndPr/>
          <w:sdtContent>
            <w:tc>
              <w:tcPr>
                <w:tcW w:w="1414" w:type="dxa"/>
                <w:tcBorders>
                  <w:right w:val="single" w:sz="2" w:space="0" w:color="701F4D"/>
                </w:tcBorders>
                <w:shd w:val="clear" w:color="auto" w:fill="FFFFFF" w:themeFill="background1"/>
                <w:vAlign w:val="center"/>
              </w:tcPr>
              <w:p w14:paraId="6C97E545" w14:textId="77777777" w:rsidR="00BD4078" w:rsidRPr="002E3A7C"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5990" w:type="dxa"/>
            <w:tcBorders>
              <w:left w:val="single" w:sz="2" w:space="0" w:color="701F4D"/>
            </w:tcBorders>
            <w:shd w:val="clear" w:color="auto" w:fill="FFFFFF" w:themeFill="background1"/>
            <w:vAlign w:val="center"/>
          </w:tcPr>
          <w:p w14:paraId="1A43843A" w14:textId="77777777" w:rsidR="00BD4078" w:rsidRPr="00BC25B2" w:rsidRDefault="00BD4078" w:rsidP="000D2994">
            <w:pPr>
              <w:pStyle w:val="Bullet"/>
              <w:numPr>
                <w:ilvl w:val="0"/>
                <w:numId w:val="0"/>
              </w:numPr>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 xml:space="preserve">Provide a </w:t>
            </w:r>
            <w:r w:rsidRPr="00BC25B2">
              <w:rPr>
                <w:color w:val="142147" w:themeColor="accent1"/>
              </w:rPr>
              <w:t>description of its approach to engagement with the ATO</w:t>
            </w:r>
            <w:r>
              <w:rPr>
                <w:color w:val="142147" w:themeColor="accent1"/>
              </w:rPr>
              <w:t>. This may include</w:t>
            </w:r>
            <w:r w:rsidRPr="00BC25B2">
              <w:rPr>
                <w:color w:val="142147" w:themeColor="accent1"/>
              </w:rPr>
              <w:t xml:space="preserve">: </w:t>
            </w:r>
          </w:p>
          <w:p w14:paraId="77E6617B" w14:textId="77777777" w:rsidR="00044C2F" w:rsidRPr="00044C2F" w:rsidRDefault="00044C2F" w:rsidP="00044C2F">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sidRPr="00044C2F">
              <w:rPr>
                <w:color w:val="142147" w:themeColor="accent1"/>
              </w:rPr>
              <w:t>the assurance regimes the entity is subject to, including any outcomes from assurance regimes, for example, internal audit, external audit, Advance Pricing Arrangements (APAs), Annual Compliance Arrangement (ACA), Justified Trust reviews and ATO pre-lodgment compliance reviews;</w:t>
            </w:r>
          </w:p>
          <w:p w14:paraId="121905D4" w14:textId="569BB09F" w:rsidR="00BD4078" w:rsidRPr="00BC25B2"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Pr>
                <w:color w:val="142147" w:themeColor="accent1"/>
              </w:rPr>
              <w:t>e</w:t>
            </w:r>
            <w:r w:rsidRPr="00BC25B2">
              <w:rPr>
                <w:color w:val="142147" w:themeColor="accent1"/>
              </w:rPr>
              <w:t xml:space="preserve">ngagement on tax risks including private binding rulings obtained, cooperative compliance agreements, seeking active real-time audit, seeking clearance for significant transactions and advance pricing agreements sought; </w:t>
            </w:r>
          </w:p>
          <w:p w14:paraId="65014BE3" w14:textId="77777777" w:rsidR="00BD4078" w:rsidRPr="00BC25B2"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rPr>
                <w:color w:val="142147" w:themeColor="accent1"/>
              </w:rPr>
            </w:pPr>
            <w:r w:rsidRPr="00BC25B2">
              <w:rPr>
                <w:color w:val="142147" w:themeColor="accent1"/>
              </w:rPr>
              <w:t>the outcome of ATO compliance activities, for example, a ‘risk rating’ or the outcome of a streamlined risk review; and</w:t>
            </w:r>
          </w:p>
          <w:p w14:paraId="7DC9344E" w14:textId="77777777" w:rsidR="00BD4078" w:rsidRPr="00BC25B2" w:rsidRDefault="00BD4078" w:rsidP="00BD4078">
            <w:pPr>
              <w:pStyle w:val="Bullet"/>
              <w:tabs>
                <w:tab w:val="clear" w:pos="520"/>
                <w:tab w:val="num" w:pos="567"/>
              </w:tabs>
              <w:cnfStyle w:val="000000000000" w:firstRow="0" w:lastRow="0" w:firstColumn="0" w:lastColumn="0" w:oddVBand="0" w:evenVBand="0" w:oddHBand="0" w:evenHBand="0" w:firstRowFirstColumn="0" w:firstRowLastColumn="0" w:lastRowFirstColumn="0" w:lastRowLastColumn="0"/>
            </w:pPr>
            <w:r w:rsidRPr="00BC25B2">
              <w:rPr>
                <w:color w:val="142147" w:themeColor="accent1"/>
              </w:rPr>
              <w:t xml:space="preserve">any significant ongoing or recently settled tax disputes with the ATO and/or other revenue authorities, including settlement outcomes, to the extent not already disclosed in financial statements. </w:t>
            </w:r>
          </w:p>
        </w:tc>
      </w:tr>
      <w:tr w:rsidR="00BD4078" w14:paraId="1103EAB3"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27" w:type="dxa"/>
            <w:vMerge/>
            <w:tcBorders>
              <w:right w:val="single" w:sz="2" w:space="0" w:color="701F4D"/>
            </w:tcBorders>
            <w:shd w:val="clear" w:color="auto" w:fill="D4C2A8" w:themeFill="accent3"/>
            <w:vAlign w:val="center"/>
          </w:tcPr>
          <w:p w14:paraId="350221A0" w14:textId="77777777" w:rsidR="00BD4078" w:rsidRPr="004209F4" w:rsidRDefault="00BD4078">
            <w:pPr>
              <w:spacing w:before="0" w:after="0"/>
              <w:rPr>
                <w:color w:val="142147" w:themeColor="accent1"/>
              </w:rPr>
            </w:pPr>
          </w:p>
        </w:tc>
        <w:sdt>
          <w:sdtPr>
            <w:rPr>
              <w:b/>
              <w:bCs/>
            </w:rPr>
            <w:id w:val="-1142581699"/>
            <w14:checkbox>
              <w14:checked w14:val="0"/>
              <w14:checkedState w14:val="2612" w14:font="MS Gothic"/>
              <w14:uncheckedState w14:val="2610" w14:font="MS Gothic"/>
            </w14:checkbox>
          </w:sdtPr>
          <w:sdtEndPr/>
          <w:sdtContent>
            <w:tc>
              <w:tcPr>
                <w:tcW w:w="1414" w:type="dxa"/>
                <w:tcBorders>
                  <w:right w:val="single" w:sz="2" w:space="0" w:color="701F4D"/>
                </w:tcBorders>
                <w:vAlign w:val="center"/>
              </w:tcPr>
              <w:p w14:paraId="2DD0CC3F" w14:textId="77777777" w:rsidR="00BD4078" w:rsidRPr="005177BD" w:rsidRDefault="00BD4078">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701F4D" w:themeColor="accent2"/>
                  </w:rPr>
                </w:pPr>
                <w:r>
                  <w:rPr>
                    <w:rFonts w:ascii="MS Gothic" w:eastAsia="MS Gothic" w:hAnsi="MS Gothic" w:hint="eastAsia"/>
                    <w:b/>
                    <w:bCs/>
                  </w:rPr>
                  <w:t>☐</w:t>
                </w:r>
              </w:p>
            </w:tc>
          </w:sdtContent>
        </w:sdt>
        <w:tc>
          <w:tcPr>
            <w:tcW w:w="5990" w:type="dxa"/>
            <w:tcBorders>
              <w:left w:val="single" w:sz="2" w:space="0" w:color="701F4D"/>
            </w:tcBorders>
            <w:vAlign w:val="center"/>
          </w:tcPr>
          <w:p w14:paraId="3E384D8D" w14:textId="77777777" w:rsidR="00BD4078" w:rsidRPr="000A4BCF" w:rsidRDefault="00BD4078">
            <w:pPr>
              <w:cnfStyle w:val="000000100000" w:firstRow="0" w:lastRow="0" w:firstColumn="0" w:lastColumn="0" w:oddVBand="0" w:evenVBand="0" w:oddHBand="1" w:evenHBand="0" w:firstRowFirstColumn="0" w:firstRowLastColumn="0" w:lastRowFirstColumn="0" w:lastRowLastColumn="0"/>
              <w:rPr>
                <w:color w:val="142147" w:themeColor="accent1"/>
              </w:rPr>
            </w:pPr>
            <w:r>
              <w:rPr>
                <w:color w:val="142147" w:themeColor="accent1"/>
              </w:rPr>
              <w:t xml:space="preserve">Provide a </w:t>
            </w:r>
            <w:r w:rsidRPr="000A4BCF">
              <w:rPr>
                <w:color w:val="142147" w:themeColor="accent1"/>
              </w:rPr>
              <w:t>description of its approach to engagement with other tax authorities.</w:t>
            </w:r>
          </w:p>
        </w:tc>
      </w:tr>
      <w:tr w:rsidR="00BD4078" w14:paraId="5BA88DD5" w14:textId="77777777">
        <w:trPr>
          <w:trHeight w:val="296"/>
        </w:trPr>
        <w:tc>
          <w:tcPr>
            <w:cnfStyle w:val="001000000000" w:firstRow="0" w:lastRow="0" w:firstColumn="1" w:lastColumn="0" w:oddVBand="0" w:evenVBand="0" w:oddHBand="0" w:evenHBand="0" w:firstRowFirstColumn="0" w:firstRowLastColumn="0" w:lastRowFirstColumn="0" w:lastRowLastColumn="0"/>
            <w:tcW w:w="2227" w:type="dxa"/>
            <w:tcBorders>
              <w:right w:val="single" w:sz="2" w:space="0" w:color="701F4D"/>
            </w:tcBorders>
            <w:shd w:val="clear" w:color="auto" w:fill="D4C2A8" w:themeFill="accent3"/>
            <w:vAlign w:val="center"/>
          </w:tcPr>
          <w:p w14:paraId="5E4F8BA6" w14:textId="77777777" w:rsidR="00BD4078" w:rsidRPr="004209F4" w:rsidRDefault="00112E9D">
            <w:pPr>
              <w:spacing w:before="0" w:after="0"/>
              <w:rPr>
                <w:color w:val="142147" w:themeColor="accent1"/>
              </w:rPr>
            </w:pPr>
            <w:sdt>
              <w:sdtPr>
                <w:rPr>
                  <w:color w:val="142147" w:themeColor="accent1"/>
                </w:rPr>
                <w:id w:val="-1759279711"/>
                <w14:checkbox>
                  <w14:checked w14:val="0"/>
                  <w14:checkedState w14:val="2612" w14:font="MS Gothic"/>
                  <w14:uncheckedState w14:val="2610" w14:font="MS Gothic"/>
                </w14:checkbox>
              </w:sdtPr>
              <w:sdtEndPr/>
              <w:sdtContent/>
            </w:sdt>
            <w:r w:rsidR="00BD4078" w:rsidRPr="004209F4">
              <w:rPr>
                <w:color w:val="142147" w:themeColor="accent1"/>
              </w:rPr>
              <w:t>International related party dealings summary</w:t>
            </w:r>
          </w:p>
        </w:tc>
        <w:tc>
          <w:tcPr>
            <w:tcW w:w="1414" w:type="dxa"/>
            <w:tcBorders>
              <w:right w:val="single" w:sz="2" w:space="0" w:color="701F4D"/>
            </w:tcBorders>
            <w:shd w:val="clear" w:color="auto" w:fill="F6F2ED" w:themeFill="accent3" w:themeFillTint="33"/>
            <w:vAlign w:val="center"/>
          </w:tcPr>
          <w:p w14:paraId="2CAD491B"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r w:rsidRPr="003334E5">
              <w:rPr>
                <w:b/>
                <w:bCs/>
                <w:color w:val="142147" w:themeColor="accent1"/>
              </w:rPr>
              <w:t>Requirement</w:t>
            </w:r>
          </w:p>
          <w:p w14:paraId="0EDA5692"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b/>
                <w:bCs/>
                <w:color w:val="142147" w:themeColor="accent1"/>
              </w:rPr>
            </w:pPr>
          </w:p>
          <w:sdt>
            <w:sdtPr>
              <w:rPr>
                <w:b/>
                <w:bCs/>
              </w:rPr>
              <w:id w:val="-1898966846"/>
              <w14:checkbox>
                <w14:checked w14:val="0"/>
                <w14:checkedState w14:val="2612" w14:font="MS Gothic"/>
                <w14:uncheckedState w14:val="2610" w14:font="MS Gothic"/>
              </w14:checkbox>
            </w:sdtPr>
            <w:sdtEndPr/>
            <w:sdtContent>
              <w:p w14:paraId="6937D6A2" w14:textId="77777777" w:rsidR="00BD4078" w:rsidRDefault="00BD4078">
                <w:pPr>
                  <w:spacing w:before="0" w:after="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
                    <w:bCs/>
                  </w:rPr>
                </w:pPr>
                <w:r>
                  <w:rPr>
                    <w:rFonts w:ascii="MS Gothic" w:eastAsia="MS Gothic" w:hAnsi="MS Gothic" w:hint="eastAsia"/>
                    <w:b/>
                    <w:bCs/>
                  </w:rPr>
                  <w:t>☐</w:t>
                </w:r>
              </w:p>
            </w:sdtContent>
          </w:sdt>
        </w:tc>
        <w:tc>
          <w:tcPr>
            <w:tcW w:w="5990" w:type="dxa"/>
            <w:tcBorders>
              <w:left w:val="single" w:sz="2" w:space="0" w:color="701F4D"/>
            </w:tcBorders>
            <w:shd w:val="clear" w:color="auto" w:fill="F6F2ED" w:themeFill="accent3" w:themeFillTint="33"/>
            <w:vAlign w:val="bottom"/>
          </w:tcPr>
          <w:p w14:paraId="1E31FC84" w14:textId="77777777" w:rsidR="00BD4078" w:rsidRPr="004A5812" w:rsidRDefault="00BD4078">
            <w:p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4A5812">
              <w:rPr>
                <w:b/>
                <w:bCs/>
                <w:color w:val="142147" w:themeColor="accent1"/>
              </w:rPr>
              <w:t>Businesses should provide a qualitative disclosure of key categories of dealings with offshore related parties which have a material impact on the business’ Australian taxable income, including:</w:t>
            </w:r>
          </w:p>
          <w:p w14:paraId="7EB10A7F" w14:textId="77777777" w:rsidR="00BD4078" w:rsidRPr="004A5812" w:rsidRDefault="00BD4078">
            <w:pPr>
              <w:pStyle w:val="Bullet"/>
              <w:numPr>
                <w:ilvl w:val="0"/>
                <w:numId w:val="20"/>
              </w:num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4A5812">
              <w:rPr>
                <w:b/>
                <w:bCs/>
                <w:color w:val="142147" w:themeColor="accent1"/>
              </w:rPr>
              <w:t>the nature of the dealings; and</w:t>
            </w:r>
          </w:p>
          <w:p w14:paraId="68ECB354" w14:textId="77777777" w:rsidR="00BD4078" w:rsidRPr="00C91B43" w:rsidRDefault="00BD4078">
            <w:pPr>
              <w:pStyle w:val="Bullet"/>
              <w:numPr>
                <w:ilvl w:val="0"/>
                <w:numId w:val="20"/>
              </w:numPr>
              <w:spacing w:before="0"/>
              <w:cnfStyle w:val="000000000000" w:firstRow="0" w:lastRow="0" w:firstColumn="0" w:lastColumn="0" w:oddVBand="0" w:evenVBand="0" w:oddHBand="0" w:evenHBand="0" w:firstRowFirstColumn="0" w:firstRowLastColumn="0" w:lastRowFirstColumn="0" w:lastRowLastColumn="0"/>
              <w:rPr>
                <w:b/>
                <w:bCs/>
                <w:color w:val="142147" w:themeColor="accent1"/>
              </w:rPr>
            </w:pPr>
            <w:r w:rsidRPr="004A5812">
              <w:rPr>
                <w:b/>
                <w:bCs/>
                <w:color w:val="142147" w:themeColor="accent1"/>
              </w:rPr>
              <w:t>the country in which the related party is located.</w:t>
            </w:r>
          </w:p>
        </w:tc>
      </w:tr>
    </w:tbl>
    <w:p w14:paraId="7E102491" w14:textId="77777777" w:rsidR="00164C29" w:rsidRDefault="00164C29">
      <w:pPr>
        <w:rPr>
          <w:rFonts w:ascii="Georgia" w:hAnsi="Georgia" w:cs="Arial"/>
          <w:color w:val="142147"/>
          <w:kern w:val="32"/>
          <w:sz w:val="56"/>
          <w:szCs w:val="36"/>
          <w14:numForm w14:val="lining"/>
          <w14:numSpacing w14:val="proportional"/>
        </w:rPr>
      </w:pPr>
      <w:bookmarkStart w:id="81" w:name="_Toc195021327"/>
      <w:bookmarkStart w:id="82" w:name="_Toc199855181"/>
      <w:r>
        <w:br w:type="page"/>
      </w:r>
    </w:p>
    <w:p w14:paraId="513FB81A" w14:textId="0694305D" w:rsidR="00BD4078" w:rsidRDefault="00BD4078" w:rsidP="00BD4078">
      <w:pPr>
        <w:pStyle w:val="Heading1"/>
      </w:pPr>
      <w:r w:rsidRPr="00C45508">
        <w:t>Appendix C – Glossary</w:t>
      </w:r>
      <w:bookmarkEnd w:id="81"/>
      <w:bookmarkEnd w:id="82"/>
      <w:r w:rsidRPr="00C45508">
        <w:t xml:space="preserve"> </w:t>
      </w:r>
    </w:p>
    <w:tbl>
      <w:tblPr>
        <w:tblStyle w:val="TableGrid"/>
        <w:tblW w:w="0" w:type="auto"/>
        <w:tblLayout w:type="fixed"/>
        <w:tblLook w:val="06A0" w:firstRow="1" w:lastRow="0" w:firstColumn="1" w:lastColumn="0" w:noHBand="1" w:noVBand="1"/>
      </w:tblPr>
      <w:tblGrid>
        <w:gridCol w:w="9630"/>
      </w:tblGrid>
      <w:tr w:rsidR="7B084582" w14:paraId="5C002F06" w14:textId="77777777" w:rsidTr="7B084582">
        <w:trPr>
          <w:trHeight w:val="300"/>
        </w:trPr>
        <w:tc>
          <w:tcPr>
            <w:tcW w:w="9630" w:type="dxa"/>
            <w:shd w:val="clear" w:color="auto" w:fill="142147" w:themeFill="accent1"/>
          </w:tcPr>
          <w:p w14:paraId="2E8DF969" w14:textId="3EC20BE3" w:rsidR="2A6BF20B" w:rsidRDefault="2A6BF20B" w:rsidP="7B084582">
            <w:pPr>
              <w:rPr>
                <w:color w:val="FFFFFF" w:themeColor="background1"/>
              </w:rPr>
            </w:pPr>
            <w:r w:rsidRPr="7B084582">
              <w:rPr>
                <w:b/>
                <w:bCs/>
                <w:color w:val="FFFFFF" w:themeColor="background1"/>
              </w:rPr>
              <w:t>Note</w:t>
            </w:r>
            <w:r w:rsidRPr="7B084582">
              <w:rPr>
                <w:color w:val="FFFFFF" w:themeColor="background1"/>
              </w:rPr>
              <w:t xml:space="preserve">. For the purposes of the </w:t>
            </w:r>
            <w:r w:rsidR="00DB0051">
              <w:rPr>
                <w:color w:val="FFFFFF" w:themeColor="background1"/>
              </w:rPr>
              <w:t>V</w:t>
            </w:r>
            <w:r w:rsidRPr="7B084582">
              <w:rPr>
                <w:color w:val="FFFFFF" w:themeColor="background1"/>
              </w:rPr>
              <w:t xml:space="preserve">TTC, the following definitions apply. </w:t>
            </w:r>
          </w:p>
        </w:tc>
      </w:tr>
    </w:tbl>
    <w:p w14:paraId="3B4D7D67" w14:textId="77777777" w:rsidR="00B37803" w:rsidRPr="00B37803" w:rsidRDefault="00B37803" w:rsidP="00B37803"/>
    <w:tbl>
      <w:tblPr>
        <w:tblStyle w:val="Style1"/>
        <w:tblW w:w="0" w:type="auto"/>
        <w:tblLook w:val="04A0" w:firstRow="1" w:lastRow="0" w:firstColumn="1" w:lastColumn="0" w:noHBand="0" w:noVBand="1"/>
      </w:tblPr>
      <w:tblGrid>
        <w:gridCol w:w="3397"/>
        <w:gridCol w:w="6234"/>
      </w:tblGrid>
      <w:tr w:rsidR="00BD4078" w14:paraId="217702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right w:val="single" w:sz="4" w:space="0" w:color="701F4D" w:themeColor="accent2"/>
            </w:tcBorders>
            <w:shd w:val="clear" w:color="auto" w:fill="701F4D" w:themeFill="accent2"/>
            <w:vAlign w:val="center"/>
          </w:tcPr>
          <w:p w14:paraId="14869CAF" w14:textId="77777777" w:rsidR="00BD4078" w:rsidRPr="000B3CFF" w:rsidRDefault="00BD4078">
            <w:pPr>
              <w:pStyle w:val="Heading4"/>
              <w:spacing w:before="120" w:after="120"/>
              <w:rPr>
                <w:b/>
                <w:bCs/>
                <w:color w:val="FFFFFF" w:themeColor="background1"/>
                <w:sz w:val="24"/>
                <w:szCs w:val="24"/>
              </w:rPr>
            </w:pPr>
            <w:r w:rsidRPr="000B3CFF">
              <w:rPr>
                <w:b/>
                <w:bCs/>
                <w:color w:val="FFFFFF" w:themeColor="background1"/>
                <w:sz w:val="24"/>
                <w:szCs w:val="24"/>
              </w:rPr>
              <w:t xml:space="preserve">Term </w:t>
            </w:r>
          </w:p>
        </w:tc>
        <w:tc>
          <w:tcPr>
            <w:tcW w:w="6234" w:type="dxa"/>
            <w:tcBorders>
              <w:top w:val="single" w:sz="4" w:space="0" w:color="701F4D" w:themeColor="accent2"/>
              <w:left w:val="single" w:sz="4" w:space="0" w:color="701F4D" w:themeColor="accent2"/>
              <w:right w:val="single" w:sz="4" w:space="0" w:color="701F4D" w:themeColor="accent2"/>
            </w:tcBorders>
            <w:shd w:val="clear" w:color="auto" w:fill="701F4D" w:themeFill="accent2"/>
            <w:vAlign w:val="center"/>
          </w:tcPr>
          <w:p w14:paraId="0B3593E2" w14:textId="77777777" w:rsidR="00BD4078" w:rsidRPr="000B3CFF" w:rsidRDefault="00BD4078">
            <w:pPr>
              <w:pStyle w:val="Heading4"/>
              <w:spacing w:before="120" w:after="120"/>
              <w:cnfStyle w:val="100000000000" w:firstRow="1" w:lastRow="0" w:firstColumn="0" w:lastColumn="0" w:oddVBand="0" w:evenVBand="0" w:oddHBand="0" w:evenHBand="0" w:firstRowFirstColumn="0" w:firstRowLastColumn="0" w:lastRowFirstColumn="0" w:lastRowLastColumn="0"/>
              <w:rPr>
                <w:b/>
                <w:bCs/>
                <w:color w:val="FFFFFF" w:themeColor="background1"/>
                <w:sz w:val="24"/>
                <w:szCs w:val="24"/>
              </w:rPr>
            </w:pPr>
            <w:r w:rsidRPr="000B3CFF">
              <w:rPr>
                <w:b/>
                <w:bCs/>
                <w:color w:val="FFFFFF" w:themeColor="background1"/>
                <w:sz w:val="24"/>
                <w:szCs w:val="24"/>
              </w:rPr>
              <w:t>Definition</w:t>
            </w:r>
          </w:p>
        </w:tc>
      </w:tr>
      <w:tr w:rsidR="00BD4078" w14:paraId="6E7070EC"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left w:val="single" w:sz="4" w:space="0" w:color="701F4D"/>
              <w:bottom w:val="single" w:sz="4" w:space="0" w:color="701F4D" w:themeColor="accent2"/>
              <w:right w:val="single" w:sz="4" w:space="0" w:color="701F4D"/>
            </w:tcBorders>
          </w:tcPr>
          <w:p w14:paraId="6DA0C69F" w14:textId="77777777" w:rsidR="00BD4078" w:rsidRDefault="00BD4078" w:rsidP="000D2994">
            <w:pPr>
              <w:spacing w:before="120" w:after="120"/>
              <w:rPr>
                <w:b/>
                <w:bCs/>
              </w:rPr>
            </w:pPr>
            <w:r>
              <w:rPr>
                <w:b/>
                <w:bCs/>
              </w:rPr>
              <w:t xml:space="preserve">Accounting profit </w:t>
            </w:r>
          </w:p>
        </w:tc>
        <w:tc>
          <w:tcPr>
            <w:tcW w:w="6234" w:type="dxa"/>
            <w:tcBorders>
              <w:left w:val="single" w:sz="4" w:space="0" w:color="701F4D"/>
              <w:bottom w:val="single" w:sz="4" w:space="0" w:color="701F4D" w:themeColor="accent2"/>
              <w:right w:val="single" w:sz="4" w:space="0" w:color="701F4D" w:themeColor="accent2"/>
            </w:tcBorders>
          </w:tcPr>
          <w:p w14:paraId="4BF0C2DD" w14:textId="128E6C50"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Adopts the same definition in</w:t>
            </w:r>
            <w:r w:rsidR="008D03C9">
              <w:t xml:space="preserve"> Accounting Standard</w:t>
            </w:r>
            <w:r>
              <w:t xml:space="preserve"> AASB 112. Profit or loss for a period before deducting tax expense. </w:t>
            </w:r>
          </w:p>
        </w:tc>
      </w:tr>
      <w:tr w:rsidR="00BD4078" w14:paraId="332932B9"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6AA9095D" w14:textId="77777777" w:rsidR="00BD4078" w:rsidRPr="00C22E0F" w:rsidRDefault="00BD4078" w:rsidP="000D2994">
            <w:pPr>
              <w:spacing w:before="120" w:after="120"/>
              <w:rPr>
                <w:b/>
                <w:bCs/>
                <w:color w:val="FFFFFF" w:themeColor="background1"/>
              </w:rPr>
            </w:pPr>
            <w:r>
              <w:rPr>
                <w:b/>
                <w:bCs/>
              </w:rPr>
              <w:t>ATO</w:t>
            </w:r>
          </w:p>
        </w:tc>
        <w:tc>
          <w:tcPr>
            <w:tcW w:w="6234" w:type="dxa"/>
            <w:tcBorders>
              <w:left w:val="single" w:sz="4" w:space="0" w:color="701F4D" w:themeColor="accent2"/>
              <w:bottom w:val="single" w:sz="4" w:space="0" w:color="701F4D" w:themeColor="accent2"/>
              <w:right w:val="single" w:sz="4" w:space="0" w:color="701F4D" w:themeColor="accent2"/>
            </w:tcBorders>
          </w:tcPr>
          <w:p w14:paraId="71D929E5"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 xml:space="preserve">Australian Taxation Office </w:t>
            </w:r>
          </w:p>
        </w:tc>
      </w:tr>
      <w:tr w:rsidR="00BD4078" w14:paraId="54AAAD6B"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4E8BB8D9" w14:textId="77777777" w:rsidR="00BD4078" w:rsidRPr="00C22E0F" w:rsidRDefault="00BD4078" w:rsidP="000D2994">
            <w:pPr>
              <w:spacing w:before="120" w:after="120"/>
              <w:rPr>
                <w:b/>
                <w:bCs/>
                <w:color w:val="FFFFFF" w:themeColor="background1"/>
              </w:rPr>
            </w:pPr>
            <w:r>
              <w:rPr>
                <w:b/>
                <w:bCs/>
                <w:color w:val="FFFFFF" w:themeColor="background1"/>
              </w:rPr>
              <w:t>Australian headquartered business</w:t>
            </w:r>
          </w:p>
        </w:tc>
        <w:tc>
          <w:tcPr>
            <w:tcW w:w="6234" w:type="dxa"/>
            <w:tcBorders>
              <w:left w:val="single" w:sz="4" w:space="0" w:color="701F4D" w:themeColor="accent2"/>
              <w:bottom w:val="single" w:sz="4" w:space="0" w:color="701F4D" w:themeColor="accent2"/>
              <w:right w:val="single" w:sz="4" w:space="0" w:color="701F4D" w:themeColor="accent2"/>
            </w:tcBorders>
          </w:tcPr>
          <w:p w14:paraId="613F4E46"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G</w:t>
            </w:r>
            <w:r w:rsidRPr="008C26F7">
              <w:t xml:space="preserve">enerally taken to mean an Australian company (or </w:t>
            </w:r>
            <w:r>
              <w:t>business</w:t>
            </w:r>
            <w:r w:rsidRPr="008C26F7">
              <w:t xml:space="preserve"> that is treated as a company for Australian tax purposes), or an accounting consolidated group headed by an Australian parent.</w:t>
            </w:r>
          </w:p>
        </w:tc>
      </w:tr>
      <w:tr w:rsidR="00BD4078" w14:paraId="6758265A"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32CBC17B" w14:textId="57AA28BE" w:rsidR="00BD4078" w:rsidRPr="00C22E0F" w:rsidRDefault="00DE0E4A" w:rsidP="000D2994">
            <w:pPr>
              <w:spacing w:before="120" w:after="120"/>
              <w:rPr>
                <w:b/>
                <w:bCs/>
                <w:color w:val="FFFFFF" w:themeColor="background1"/>
              </w:rPr>
            </w:pPr>
            <w:r>
              <w:rPr>
                <w:b/>
                <w:bCs/>
                <w:color w:val="FFFFFF" w:themeColor="background1"/>
              </w:rPr>
              <w:t xml:space="preserve">Public </w:t>
            </w:r>
            <w:r w:rsidR="00BD4078" w:rsidRPr="00C22E0F">
              <w:rPr>
                <w:b/>
                <w:bCs/>
                <w:color w:val="FFFFFF" w:themeColor="background1"/>
              </w:rPr>
              <w:t>CbC reporter</w:t>
            </w:r>
          </w:p>
        </w:tc>
        <w:tc>
          <w:tcPr>
            <w:tcW w:w="6234" w:type="dxa"/>
            <w:tcBorders>
              <w:left w:val="single" w:sz="4" w:space="0" w:color="701F4D" w:themeColor="accent2"/>
              <w:bottom w:val="single" w:sz="4" w:space="0" w:color="701F4D" w:themeColor="accent2"/>
              <w:right w:val="single" w:sz="4" w:space="0" w:color="701F4D" w:themeColor="accent2"/>
            </w:tcBorders>
          </w:tcPr>
          <w:p w14:paraId="4DCA5CD5" w14:textId="5E567CF5" w:rsidR="00BD4078" w:rsidRPr="00536B9C" w:rsidRDefault="00BD4078" w:rsidP="000D299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Any entity that is required to publish information under the requirements in sections 3D and 3DA of the </w:t>
            </w:r>
            <w:r w:rsidRPr="00535E2C">
              <w:rPr>
                <w:i/>
                <w:iCs/>
              </w:rPr>
              <w:t>Taxation Administration Act 1953</w:t>
            </w:r>
            <w:r>
              <w:t xml:space="preserve"> (Cth) and is a </w:t>
            </w:r>
            <w:r>
              <w:rPr>
                <w:rFonts w:asciiTheme="minorHAnsi" w:hAnsiTheme="minorHAnsi" w:cstheme="minorHAnsi"/>
              </w:rPr>
              <w:t>c</w:t>
            </w:r>
            <w:r w:rsidRPr="00BB4866">
              <w:rPr>
                <w:rFonts w:asciiTheme="minorHAnsi" w:hAnsiTheme="minorHAnsi" w:cstheme="minorHAnsi"/>
              </w:rPr>
              <w:t>ountry-by-</w:t>
            </w:r>
            <w:r>
              <w:rPr>
                <w:rFonts w:asciiTheme="minorHAnsi" w:hAnsiTheme="minorHAnsi" w:cstheme="minorHAnsi"/>
              </w:rPr>
              <w:t>c</w:t>
            </w:r>
            <w:r w:rsidRPr="00BB4866">
              <w:rPr>
                <w:rFonts w:asciiTheme="minorHAnsi" w:hAnsiTheme="minorHAnsi" w:cstheme="minorHAnsi"/>
              </w:rPr>
              <w:t>ountry reporting</w:t>
            </w:r>
            <w:r>
              <w:rPr>
                <w:rFonts w:asciiTheme="minorHAnsi" w:hAnsiTheme="minorHAnsi" w:cstheme="minorHAnsi"/>
              </w:rPr>
              <w:t xml:space="preserve"> </w:t>
            </w:r>
            <w:r w:rsidR="009B62D2">
              <w:rPr>
                <w:rFonts w:asciiTheme="minorHAnsi" w:hAnsiTheme="minorHAnsi" w:cstheme="minorHAnsi"/>
              </w:rPr>
              <w:t>parent</w:t>
            </w:r>
            <w:r>
              <w:rPr>
                <w:rFonts w:asciiTheme="minorHAnsi" w:hAnsiTheme="minorHAnsi" w:cstheme="minorHAnsi"/>
              </w:rPr>
              <w:t xml:space="preserve"> under section 815-37</w:t>
            </w:r>
            <w:r w:rsidR="00954B47">
              <w:rPr>
                <w:rFonts w:asciiTheme="minorHAnsi" w:hAnsiTheme="minorHAnsi" w:cstheme="minorHAnsi"/>
              </w:rPr>
              <w:t>5</w:t>
            </w:r>
            <w:r>
              <w:rPr>
                <w:rFonts w:asciiTheme="minorHAnsi" w:hAnsiTheme="minorHAnsi" w:cstheme="minorHAnsi"/>
              </w:rPr>
              <w:t xml:space="preserve"> of the </w:t>
            </w:r>
            <w:r>
              <w:rPr>
                <w:rFonts w:asciiTheme="minorHAnsi" w:hAnsiTheme="minorHAnsi" w:cstheme="minorHAnsi"/>
                <w:i/>
                <w:iCs/>
              </w:rPr>
              <w:t xml:space="preserve">Income Tax Assessment Act 1997 </w:t>
            </w:r>
            <w:r>
              <w:rPr>
                <w:rFonts w:asciiTheme="minorHAnsi" w:hAnsiTheme="minorHAnsi" w:cstheme="minorHAnsi"/>
              </w:rPr>
              <w:t xml:space="preserve">(Cth). </w:t>
            </w:r>
          </w:p>
        </w:tc>
      </w:tr>
      <w:tr w:rsidR="00BD4078" w14:paraId="1448844C"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3BC435C5" w14:textId="515FDF6D" w:rsidR="00BD4078" w:rsidRPr="00C22E0F" w:rsidRDefault="00913B93" w:rsidP="000D2994">
            <w:pPr>
              <w:spacing w:before="120" w:after="120"/>
              <w:rPr>
                <w:b/>
                <w:bCs/>
                <w:color w:val="FFFFFF" w:themeColor="background1"/>
              </w:rPr>
            </w:pPr>
            <w:r>
              <w:rPr>
                <w:b/>
                <w:bCs/>
              </w:rPr>
              <w:t xml:space="preserve">Public </w:t>
            </w:r>
            <w:r w:rsidR="00BD4078" w:rsidRPr="001173FB">
              <w:rPr>
                <w:b/>
                <w:bCs/>
              </w:rPr>
              <w:t>CbCr</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714F8FB2"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rPr>
              <w:t>P</w:t>
            </w:r>
            <w:r w:rsidRPr="00BB4866">
              <w:rPr>
                <w:rFonts w:asciiTheme="minorHAnsi" w:hAnsiTheme="minorHAnsi" w:cstheme="minorHAnsi"/>
              </w:rPr>
              <w:t xml:space="preserve">ublic </w:t>
            </w:r>
            <w:r>
              <w:rPr>
                <w:rFonts w:asciiTheme="minorHAnsi" w:hAnsiTheme="minorHAnsi" w:cstheme="minorHAnsi"/>
              </w:rPr>
              <w:t>c</w:t>
            </w:r>
            <w:r w:rsidRPr="00BB4866">
              <w:rPr>
                <w:rFonts w:asciiTheme="minorHAnsi" w:hAnsiTheme="minorHAnsi" w:cstheme="minorHAnsi"/>
              </w:rPr>
              <w:t>ountry-by-</w:t>
            </w:r>
            <w:r>
              <w:rPr>
                <w:rFonts w:asciiTheme="minorHAnsi" w:hAnsiTheme="minorHAnsi" w:cstheme="minorHAnsi"/>
              </w:rPr>
              <w:t>c</w:t>
            </w:r>
            <w:r w:rsidRPr="00BB4866">
              <w:rPr>
                <w:rFonts w:asciiTheme="minorHAnsi" w:hAnsiTheme="minorHAnsi" w:cstheme="minorHAnsi"/>
              </w:rPr>
              <w:t>ountry reporting</w:t>
            </w:r>
            <w:r>
              <w:rPr>
                <w:rFonts w:asciiTheme="minorHAnsi" w:hAnsiTheme="minorHAnsi" w:cstheme="minorHAnsi"/>
              </w:rPr>
              <w:t xml:space="preserve"> introduced under the </w:t>
            </w:r>
            <w:r>
              <w:rPr>
                <w:rFonts w:asciiTheme="minorHAnsi" w:hAnsiTheme="minorHAnsi" w:cstheme="minorHAnsi"/>
                <w:i/>
                <w:iCs/>
              </w:rPr>
              <w:t xml:space="preserve">Treasury Laws Amendment (Responsible Buy Noy Pay Later and Other Measures) Act 2024 </w:t>
            </w:r>
            <w:r>
              <w:rPr>
                <w:rFonts w:asciiTheme="minorHAnsi" w:hAnsiTheme="minorHAnsi" w:cstheme="minorHAnsi"/>
              </w:rPr>
              <w:t xml:space="preserve">which applies from 1 July 2024.  </w:t>
            </w:r>
          </w:p>
        </w:tc>
      </w:tr>
      <w:tr w:rsidR="00BD4078" w14:paraId="550AEA35"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3D0808FD" w14:textId="77777777" w:rsidR="00BD4078" w:rsidRDefault="00BD4078" w:rsidP="000D2994">
            <w:pPr>
              <w:spacing w:before="120" w:after="120"/>
              <w:rPr>
                <w:b/>
                <w:bCs/>
              </w:rPr>
            </w:pPr>
            <w:r>
              <w:rPr>
                <w:b/>
                <w:bCs/>
              </w:rPr>
              <w:t xml:space="preserve">Foreign multinational business </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784DA048"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G</w:t>
            </w:r>
            <w:r w:rsidRPr="008C26F7">
              <w:t>enerally taken to mean an accounting consolidated group headed by a non</w:t>
            </w:r>
            <w:r>
              <w:t>-</w:t>
            </w:r>
            <w:r w:rsidRPr="008C26F7">
              <w:t>Australian parent.</w:t>
            </w:r>
          </w:p>
        </w:tc>
      </w:tr>
      <w:tr w:rsidR="00BD4078" w14:paraId="67FD78E1"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1EC7DD6E" w14:textId="77777777" w:rsidR="00BD4078" w:rsidRPr="00D11DCE" w:rsidRDefault="00BD4078" w:rsidP="000D2994">
            <w:pPr>
              <w:spacing w:before="120" w:after="120"/>
              <w:rPr>
                <w:b/>
                <w:bCs/>
              </w:rPr>
            </w:pPr>
            <w:r>
              <w:rPr>
                <w:b/>
                <w:bCs/>
              </w:rPr>
              <w:t>GRI 207</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74868732" w14:textId="62E4DE01" w:rsidR="00BD4078" w:rsidRPr="00291116"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Global Reporting Initiative Standards for Ta</w:t>
            </w:r>
            <w:r w:rsidR="00E30330">
              <w:t xml:space="preserve">x: 2019. </w:t>
            </w:r>
          </w:p>
        </w:tc>
      </w:tr>
      <w:tr w:rsidR="00BD4078" w14:paraId="2A9DD7B9"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0213495A" w14:textId="77777777" w:rsidR="00BD4078" w:rsidRPr="00C22E0F" w:rsidRDefault="00BD4078" w:rsidP="000D2994">
            <w:pPr>
              <w:spacing w:before="120" w:after="120"/>
              <w:rPr>
                <w:b/>
                <w:bCs/>
              </w:rPr>
            </w:pPr>
            <w:r w:rsidRPr="00D11DCE">
              <w:rPr>
                <w:b/>
                <w:bCs/>
              </w:rPr>
              <w:t>ITAA</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38F1AD9B"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rPr>
                <w:i/>
                <w:iCs/>
              </w:rPr>
              <w:t xml:space="preserve">Income Tax Assessment Act 1997 </w:t>
            </w:r>
            <w:r>
              <w:t xml:space="preserve">(Cth) </w:t>
            </w:r>
          </w:p>
        </w:tc>
      </w:tr>
      <w:tr w:rsidR="00BD4078" w14:paraId="5A09EFC9"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04699878" w14:textId="7240E113" w:rsidR="00BD4078" w:rsidRPr="00C22E0F" w:rsidRDefault="00BD4078" w:rsidP="000D2994">
            <w:pPr>
              <w:spacing w:before="120" w:after="120"/>
              <w:rPr>
                <w:b/>
                <w:bCs/>
              </w:rPr>
            </w:pPr>
            <w:r w:rsidRPr="00C22E0F">
              <w:rPr>
                <w:b/>
                <w:bCs/>
              </w:rPr>
              <w:t>Non-</w:t>
            </w:r>
            <w:r w:rsidR="00DE0E4A">
              <w:rPr>
                <w:b/>
                <w:bCs/>
              </w:rPr>
              <w:t xml:space="preserve">public </w:t>
            </w:r>
            <w:r w:rsidRPr="00C22E0F">
              <w:rPr>
                <w:b/>
                <w:bCs/>
              </w:rPr>
              <w:t xml:space="preserve">CbC reporter </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620AF946" w14:textId="69D8DB38"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Any business that is not a ‘</w:t>
            </w:r>
            <w:r w:rsidR="0070526E">
              <w:t xml:space="preserve">Public </w:t>
            </w:r>
            <w:r>
              <w:t xml:space="preserve">CbC reporter’ for </w:t>
            </w:r>
            <w:r w:rsidR="00954B47">
              <w:t>V</w:t>
            </w:r>
            <w:r>
              <w:t>TTC purposes.</w:t>
            </w:r>
          </w:p>
        </w:tc>
      </w:tr>
      <w:tr w:rsidR="00BD4078" w14:paraId="741FA10E"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4A40C770" w14:textId="77777777" w:rsidR="00BD4078" w:rsidRPr="00C22E0F" w:rsidRDefault="00BD4078" w:rsidP="000D2994">
            <w:pPr>
              <w:spacing w:before="120" w:after="120"/>
              <w:rPr>
                <w:b/>
                <w:bCs/>
              </w:rPr>
            </w:pPr>
            <w:r>
              <w:rPr>
                <w:b/>
                <w:bCs/>
              </w:rPr>
              <w:t>OECD</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322FF03A"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 xml:space="preserve">Organisation for Economic Cooperation and Development </w:t>
            </w:r>
          </w:p>
        </w:tc>
      </w:tr>
      <w:tr w:rsidR="00BD4078" w14:paraId="6D07B424"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7C729AEE" w14:textId="77777777" w:rsidR="00BD4078" w:rsidRPr="00C22E0F" w:rsidRDefault="00BD4078" w:rsidP="000D2994">
            <w:pPr>
              <w:spacing w:before="120" w:after="120"/>
              <w:rPr>
                <w:b/>
                <w:bCs/>
              </w:rPr>
            </w:pPr>
            <w:r w:rsidRPr="00D11DCE">
              <w:rPr>
                <w:b/>
                <w:bCs/>
              </w:rPr>
              <w:t>TAA</w:t>
            </w:r>
          </w:p>
        </w:tc>
        <w:tc>
          <w:tcPr>
            <w:tcW w:w="6234" w:type="dxa"/>
            <w:tcBorders>
              <w:top w:val="single" w:sz="4" w:space="0" w:color="701F4D" w:themeColor="accent2"/>
              <w:left w:val="single" w:sz="4" w:space="0" w:color="701F4D" w:themeColor="accent2"/>
              <w:bottom w:val="single" w:sz="4" w:space="0" w:color="701F4D" w:themeColor="accent2"/>
              <w:right w:val="single" w:sz="4" w:space="0" w:color="701F4D" w:themeColor="accent2"/>
            </w:tcBorders>
          </w:tcPr>
          <w:p w14:paraId="53AE9E9C" w14:textId="77777777" w:rsidR="00BD4078"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rPr>
                <w:i/>
                <w:iCs/>
              </w:rPr>
              <w:t xml:space="preserve">Taxation Administration Act 1953 </w:t>
            </w:r>
            <w:r>
              <w:t xml:space="preserve">(Cth) </w:t>
            </w:r>
          </w:p>
        </w:tc>
      </w:tr>
      <w:tr w:rsidR="00BD4078" w14:paraId="3CCCCB49" w14:textId="77777777">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1F4D" w:themeColor="accent2"/>
              <w:left w:val="single" w:sz="4" w:space="0" w:color="701F4D"/>
              <w:bottom w:val="single" w:sz="4" w:space="0" w:color="701F4D"/>
              <w:right w:val="single" w:sz="4" w:space="0" w:color="701F4D"/>
            </w:tcBorders>
          </w:tcPr>
          <w:p w14:paraId="5B96B160" w14:textId="77777777" w:rsidR="00BD4078" w:rsidRPr="001173FB" w:rsidRDefault="00BD4078" w:rsidP="000D2994">
            <w:pPr>
              <w:spacing w:before="120" w:after="120"/>
              <w:rPr>
                <w:b/>
                <w:bCs/>
              </w:rPr>
            </w:pPr>
            <w:r w:rsidRPr="00C22E0F">
              <w:rPr>
                <w:b/>
                <w:bCs/>
              </w:rPr>
              <w:t xml:space="preserve">Tax expense (income) </w:t>
            </w:r>
          </w:p>
        </w:tc>
        <w:tc>
          <w:tcPr>
            <w:tcW w:w="6234" w:type="dxa"/>
            <w:tcBorders>
              <w:top w:val="single" w:sz="4" w:space="0" w:color="701F4D" w:themeColor="accent2"/>
              <w:left w:val="single" w:sz="4" w:space="0" w:color="701F4D"/>
              <w:bottom w:val="single" w:sz="4" w:space="0" w:color="701F4D" w:themeColor="accent2"/>
              <w:right w:val="single" w:sz="4" w:space="0" w:color="701F4D" w:themeColor="accent2"/>
            </w:tcBorders>
          </w:tcPr>
          <w:p w14:paraId="3F1FAA15" w14:textId="7DCC3DA2" w:rsidR="00BD4078" w:rsidRPr="005E619E" w:rsidRDefault="00BD4078" w:rsidP="000D2994">
            <w:pPr>
              <w:spacing w:before="120" w:after="120"/>
              <w:cnfStyle w:val="000000000000" w:firstRow="0" w:lastRow="0" w:firstColumn="0" w:lastColumn="0" w:oddVBand="0" w:evenVBand="0" w:oddHBand="0" w:evenHBand="0" w:firstRowFirstColumn="0" w:firstRowLastColumn="0" w:lastRowFirstColumn="0" w:lastRowLastColumn="0"/>
            </w:pPr>
            <w:r>
              <w:t xml:space="preserve">Adopts the same definition in </w:t>
            </w:r>
            <w:r w:rsidR="00997E81">
              <w:t xml:space="preserve">Accounting Standard </w:t>
            </w:r>
            <w:r>
              <w:t xml:space="preserve">AASB 112. The aggregate amount included in the determination of profit or loss for the period in respect of current tax and deferred tax. </w:t>
            </w:r>
          </w:p>
        </w:tc>
      </w:tr>
    </w:tbl>
    <w:p w14:paraId="7F542BE5" w14:textId="0B253768" w:rsidR="00BD4078" w:rsidRPr="00C45508" w:rsidRDefault="00BD4078" w:rsidP="00C45508"/>
    <w:sectPr w:rsidR="00BD4078" w:rsidRPr="00C45508" w:rsidSect="00225987">
      <w:headerReference w:type="even" r:id="rId66"/>
      <w:headerReference w:type="default" r:id="rId67"/>
      <w:footerReference w:type="even" r:id="rId68"/>
      <w:footerReference w:type="default" r:id="rId69"/>
      <w:headerReference w:type="first" r:id="rId70"/>
      <w:footerReference w:type="first" r:id="rId71"/>
      <w:pgSz w:w="11909" w:h="16834" w:code="9"/>
      <w:pgMar w:top="2268" w:right="1134" w:bottom="198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6ABF" w14:textId="77777777" w:rsidR="00E37DD3" w:rsidRDefault="00E37DD3">
      <w:r>
        <w:separator/>
      </w:r>
    </w:p>
  </w:endnote>
  <w:endnote w:type="continuationSeparator" w:id="0">
    <w:p w14:paraId="5B90A019" w14:textId="77777777" w:rsidR="00E37DD3" w:rsidRDefault="00E37DD3">
      <w:r>
        <w:continuationSeparator/>
      </w:r>
    </w:p>
  </w:endnote>
  <w:endnote w:type="continuationNotice" w:id="1">
    <w:p w14:paraId="70F68D18" w14:textId="77777777" w:rsidR="00E37DD3" w:rsidRDefault="00E37D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9800" w14:textId="45A2E256" w:rsidR="00D3340C" w:rsidRDefault="00BB4866">
    <w:pPr>
      <w:pStyle w:val="FooterEven"/>
    </w:pPr>
    <w:r>
      <w:rPr>
        <w:noProof/>
        <w14:numForm w14:val="default"/>
        <w14:numSpacing w14:val="default"/>
      </w:rPr>
      <mc:AlternateContent>
        <mc:Choice Requires="wps">
          <w:drawing>
            <wp:anchor distT="0" distB="0" distL="0" distR="0" simplePos="0" relativeHeight="251661312" behindDoc="0" locked="0" layoutInCell="1" allowOverlap="1" wp14:anchorId="14D1C76D" wp14:editId="47816731">
              <wp:simplePos x="635" y="635"/>
              <wp:positionH relativeFrom="page">
                <wp:align>center</wp:align>
              </wp:positionH>
              <wp:positionV relativeFrom="page">
                <wp:align>bottom</wp:align>
              </wp:positionV>
              <wp:extent cx="551815" cy="452755"/>
              <wp:effectExtent l="0" t="0" r="635" b="0"/>
              <wp:wrapNone/>
              <wp:docPr id="79489429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8AA787F"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1C76D" id="_x0000_t202" coordsize="21600,21600" o:spt="202" path="m,l,21600r21600,l21600,xe">
              <v:stroke joinstyle="miter"/>
              <v:path gradientshapeok="t" o:connecttype="rect"/>
            </v:shapetype>
            <v:shape id="Text Box 11" o:spid="_x0000_s1035" type="#_x0000_t202" alt="OFFICIAL" style="position:absolute;left:0;text-align:left;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8AA787F"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D3340C">
      <w:t xml:space="preserve">Page </w:t>
    </w:r>
    <w:r w:rsidR="00841199">
      <w:rPr>
        <w:rStyle w:val="PageNumber"/>
      </w:rPr>
      <w:fldChar w:fldCharType="begin"/>
    </w:r>
    <w:r w:rsidR="00D3340C">
      <w:rPr>
        <w:rStyle w:val="PageNumber"/>
      </w:rPr>
      <w:instrText xml:space="preserve"> PAGE </w:instrText>
    </w:r>
    <w:r w:rsidR="00841199">
      <w:rPr>
        <w:rStyle w:val="PageNumber"/>
      </w:rPr>
      <w:fldChar w:fldCharType="separate"/>
    </w:r>
    <w:r w:rsidR="00A43962">
      <w:rPr>
        <w:rStyle w:val="PageNumber"/>
        <w:noProof/>
      </w:rPr>
      <w:t>2</w:t>
    </w:r>
    <w:r w:rsidR="0084119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5DA" w14:textId="7749528A" w:rsidR="00D3340C" w:rsidRDefault="00BB4866">
    <w:pPr>
      <w:pStyle w:val="FooterOdd"/>
    </w:pPr>
    <w:r>
      <w:rPr>
        <w:noProof/>
        <w14:numForm w14:val="default"/>
        <w14:numSpacing w14:val="default"/>
      </w:rPr>
      <mc:AlternateContent>
        <mc:Choice Requires="wps">
          <w:drawing>
            <wp:anchor distT="0" distB="0" distL="0" distR="0" simplePos="0" relativeHeight="251663360" behindDoc="0" locked="0" layoutInCell="1" allowOverlap="1" wp14:anchorId="52F07ABB" wp14:editId="30F48EA1">
              <wp:simplePos x="635" y="635"/>
              <wp:positionH relativeFrom="page">
                <wp:align>center</wp:align>
              </wp:positionH>
              <wp:positionV relativeFrom="page">
                <wp:align>bottom</wp:align>
              </wp:positionV>
              <wp:extent cx="551815" cy="452755"/>
              <wp:effectExtent l="0" t="0" r="635" b="0"/>
              <wp:wrapNone/>
              <wp:docPr id="6358747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8908D70"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07ABB" id="_x0000_t202" coordsize="21600,21600" o:spt="202" path="m,l,21600r21600,l21600,xe">
              <v:stroke joinstyle="miter"/>
              <v:path gradientshapeok="t" o:connecttype="rect"/>
            </v:shapetype>
            <v:shape id="Text Box 12" o:spid="_x0000_s1036"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8908D70"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D3340C">
      <w:t xml:space="preserve">Page </w:t>
    </w:r>
    <w:r w:rsidR="00841199">
      <w:rPr>
        <w:rStyle w:val="PageNumber"/>
      </w:rPr>
      <w:fldChar w:fldCharType="begin"/>
    </w:r>
    <w:r w:rsidR="00D3340C">
      <w:rPr>
        <w:rStyle w:val="PageNumber"/>
      </w:rPr>
      <w:instrText xml:space="preserve"> PAGE </w:instrText>
    </w:r>
    <w:r w:rsidR="00841199">
      <w:rPr>
        <w:rStyle w:val="PageNumber"/>
      </w:rPr>
      <w:fldChar w:fldCharType="separate"/>
    </w:r>
    <w:r w:rsidR="006256BA">
      <w:rPr>
        <w:rStyle w:val="PageNumber"/>
        <w:noProof/>
      </w:rPr>
      <w:t>3</w:t>
    </w:r>
    <w:r w:rsidR="0084119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B83" w14:textId="44189BB3" w:rsidR="009779D0" w:rsidRDefault="00BB4866" w:rsidP="009779D0">
    <w:pPr>
      <w:pStyle w:val="Footer"/>
    </w:pPr>
    <w:r>
      <w:rPr>
        <w:noProof/>
        <w14:numForm w14:val="default"/>
        <w14:numSpacing w14:val="default"/>
      </w:rPr>
      <mc:AlternateContent>
        <mc:Choice Requires="wps">
          <w:drawing>
            <wp:anchor distT="0" distB="0" distL="0" distR="0" simplePos="0" relativeHeight="251659264" behindDoc="0" locked="0" layoutInCell="1" allowOverlap="1" wp14:anchorId="7F19F9D7" wp14:editId="524B55D5">
              <wp:simplePos x="635" y="635"/>
              <wp:positionH relativeFrom="page">
                <wp:align>center</wp:align>
              </wp:positionH>
              <wp:positionV relativeFrom="page">
                <wp:align>bottom</wp:align>
              </wp:positionV>
              <wp:extent cx="551815" cy="452755"/>
              <wp:effectExtent l="0" t="0" r="635" b="0"/>
              <wp:wrapNone/>
              <wp:docPr id="151910303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729408A"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9F9D7" id="_x0000_t202" coordsize="21600,21600" o:spt="202" path="m,l,21600r21600,l21600,xe">
              <v:stroke joinstyle="miter"/>
              <v:path gradientshapeok="t" o:connecttype="rect"/>
            </v:shapetype>
            <v:shape id="Text Box 10" o:spid="_x0000_s1038" type="#_x0000_t202" alt="OFFICIAL" style="position:absolute;left:0;text-align:left;margin-left:0;margin-top:0;width:43.45pt;height:35.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2729408A"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p>
  <w:sdt>
    <w:sdtPr>
      <w:id w:val="-1622374103"/>
      <w:docPartObj>
        <w:docPartGallery w:val="Page Numbers (Bottom of Page)"/>
        <w:docPartUnique/>
      </w:docPartObj>
    </w:sdtPr>
    <w:sdtEndPr>
      <w:rPr>
        <w:noProof/>
      </w:rPr>
    </w:sdtEndPr>
    <w:sdtContent>
      <w:p w14:paraId="23D8D796" w14:textId="77777777" w:rsidR="009779D0" w:rsidRDefault="00112E9D" w:rsidP="009779D0">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2FD2" w14:textId="63B0A6B7" w:rsidR="006256BA" w:rsidRPr="009F50E3" w:rsidRDefault="00BB4866">
    <w:pPr>
      <w:pStyle w:val="FooterEven"/>
    </w:pPr>
    <w:r>
      <w:rPr>
        <w:noProof/>
        <w14:numForm w14:val="default"/>
        <w14:numSpacing w14:val="default"/>
      </w:rPr>
      <mc:AlternateContent>
        <mc:Choice Requires="wps">
          <w:drawing>
            <wp:anchor distT="0" distB="0" distL="0" distR="0" simplePos="0" relativeHeight="251667456" behindDoc="0" locked="0" layoutInCell="1" allowOverlap="1" wp14:anchorId="724EF95D" wp14:editId="70DFDEDD">
              <wp:simplePos x="635" y="635"/>
              <wp:positionH relativeFrom="page">
                <wp:align>center</wp:align>
              </wp:positionH>
              <wp:positionV relativeFrom="page">
                <wp:align>bottom</wp:align>
              </wp:positionV>
              <wp:extent cx="551815" cy="452755"/>
              <wp:effectExtent l="0" t="0" r="635" b="0"/>
              <wp:wrapNone/>
              <wp:docPr id="178954632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CA1227"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EF95D" id="_x0000_t202" coordsize="21600,21600" o:spt="202" path="m,l,21600r21600,l21600,xe">
              <v:stroke joinstyle="miter"/>
              <v:path gradientshapeok="t" o:connecttype="rect"/>
            </v:shapetype>
            <v:shape id="Text Box 14" o:spid="_x0000_s1041" type="#_x0000_t202" alt="OFFICIAL" style="position:absolute;left:0;text-align:left;margin-left:0;margin-top:0;width:43.4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28CA1227"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111646">
      <w:t xml:space="preserve">Page </w:t>
    </w:r>
    <w:r w:rsidR="00111646">
      <w:fldChar w:fldCharType="begin"/>
    </w:r>
    <w:r w:rsidR="00111646">
      <w:instrText xml:space="preserve"> PAGE  \* Arabic  \* MERGEFORMAT </w:instrText>
    </w:r>
    <w:r w:rsidR="00111646">
      <w:fldChar w:fldCharType="separate"/>
    </w:r>
    <w:r w:rsidR="00111646">
      <w:rPr>
        <w:noProof/>
      </w:rPr>
      <w:t>2</w:t>
    </w:r>
    <w:r w:rsidR="00111646">
      <w:rPr>
        <w:noProof/>
      </w:rPr>
      <w:fldChar w:fldCharType="end"/>
    </w:r>
    <w:r w:rsidR="00111646">
      <w:rPr>
        <w:noProof/>
      </w:rPr>
      <w:tab/>
    </w:r>
    <w:fldSimple w:instr="STYLEREF  &quot;Heading 1&quot;  \* MERGEFORMAT">
      <w:r w:rsidR="002E6837">
        <w:rPr>
          <w:noProof/>
        </w:rPr>
        <w:t>Introduction</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ABAA" w14:textId="01D12C41" w:rsidR="006256BA" w:rsidRPr="00111646" w:rsidRDefault="00BB4866" w:rsidP="00111646">
    <w:pPr>
      <w:pStyle w:val="FooterOdd"/>
    </w:pPr>
    <w:r>
      <w:rPr>
        <w:noProof/>
        <w14:numForm w14:val="default"/>
        <w14:numSpacing w14:val="default"/>
      </w:rPr>
      <mc:AlternateContent>
        <mc:Choice Requires="wps">
          <w:drawing>
            <wp:anchor distT="0" distB="0" distL="0" distR="0" simplePos="0" relativeHeight="251669504" behindDoc="0" locked="0" layoutInCell="1" allowOverlap="1" wp14:anchorId="154B9889" wp14:editId="4D8B4D7D">
              <wp:simplePos x="635" y="635"/>
              <wp:positionH relativeFrom="page">
                <wp:align>center</wp:align>
              </wp:positionH>
              <wp:positionV relativeFrom="page">
                <wp:align>bottom</wp:align>
              </wp:positionV>
              <wp:extent cx="551815" cy="452755"/>
              <wp:effectExtent l="0" t="0" r="635" b="0"/>
              <wp:wrapNone/>
              <wp:docPr id="55227273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8366CED"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B9889" id="_x0000_t202" coordsize="21600,21600" o:spt="202" path="m,l,21600r21600,l21600,xe">
              <v:stroke joinstyle="miter"/>
              <v:path gradientshapeok="t" o:connecttype="rect"/>
            </v:shapetype>
            <v:shape id="Text Box 15" o:spid="_x0000_s1042" type="#_x0000_t202" alt="OFFICIAL" style="position:absolute;left:0;text-align:left;margin-left:0;margin-top:0;width:43.45pt;height:35.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58366CED"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fldSimple w:instr="STYLEREF  &quot;Heading 1&quot;  \* MERGEFORMAT">
      <w:r w:rsidR="002E6837">
        <w:rPr>
          <w:noProof/>
        </w:rPr>
        <w:t>Introduction</w:t>
      </w:r>
    </w:fldSimple>
    <w:r w:rsidR="00677AAC" w:rsidRPr="00111646">
      <w:tab/>
    </w:r>
    <w:r w:rsidR="006256BA" w:rsidRPr="00111646">
      <w:rPr>
        <w:i/>
      </w:rPr>
      <w:t>Page</w:t>
    </w:r>
    <w:r w:rsidR="006256BA" w:rsidRPr="00111646">
      <w:t xml:space="preserve"> </w:t>
    </w:r>
    <w:r w:rsidR="006256BA" w:rsidRPr="00111646">
      <w:fldChar w:fldCharType="begin"/>
    </w:r>
    <w:r w:rsidR="006256BA" w:rsidRPr="00111646">
      <w:instrText xml:space="preserve"> PAGE   \* MERGEFORMAT </w:instrText>
    </w:r>
    <w:r w:rsidR="006256BA" w:rsidRPr="00111646">
      <w:fldChar w:fldCharType="separate"/>
    </w:r>
    <w:r w:rsidR="00522E34" w:rsidRPr="00111646">
      <w:t>14</w:t>
    </w:r>
    <w:r w:rsidR="006256BA" w:rsidRPr="0011164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9E6" w14:textId="6252C5A3" w:rsidR="006256BA" w:rsidRPr="009779D0" w:rsidRDefault="00BB4866" w:rsidP="005E0DC1">
    <w:pPr>
      <w:pStyle w:val="FooterOdd"/>
    </w:pPr>
    <w:r>
      <w:rPr>
        <w:noProof/>
        <w14:numForm w14:val="default"/>
        <w14:numSpacing w14:val="default"/>
      </w:rPr>
      <mc:AlternateContent>
        <mc:Choice Requires="wps">
          <w:drawing>
            <wp:anchor distT="0" distB="0" distL="0" distR="0" simplePos="0" relativeHeight="251665408" behindDoc="0" locked="0" layoutInCell="1" allowOverlap="1" wp14:anchorId="1C74DE33" wp14:editId="12D3B7BC">
              <wp:simplePos x="635" y="635"/>
              <wp:positionH relativeFrom="page">
                <wp:align>center</wp:align>
              </wp:positionH>
              <wp:positionV relativeFrom="page">
                <wp:align>bottom</wp:align>
              </wp:positionV>
              <wp:extent cx="551815" cy="452755"/>
              <wp:effectExtent l="0" t="0" r="635" b="0"/>
              <wp:wrapNone/>
              <wp:docPr id="27285305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CC0830A"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4DE33" id="_x0000_t202" coordsize="21600,21600" o:spt="202" path="m,l,21600r21600,l21600,xe">
              <v:stroke joinstyle="miter"/>
              <v:path gradientshapeok="t" o:connecttype="rect"/>
            </v:shapetype>
            <v:shape id="_x0000_s1044" type="#_x0000_t202" alt="OFFICIAL" style="position:absolute;left:0;text-align:left;margin-left:0;margin-top:0;width:43.45pt;height:35.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textbox style="mso-fit-shape-to-text:t" inset="0,0,0,15pt">
                <w:txbxContent>
                  <w:p w14:paraId="2CC0830A"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5E0DC1" w:rsidRPr="00912467">
      <w:t>Page</w:t>
    </w:r>
    <w:r w:rsidR="005E0DC1">
      <w:t xml:space="preserve"> </w:t>
    </w:r>
    <w:r w:rsidR="00FE7652">
      <w:fldChar w:fldCharType="begin"/>
    </w:r>
    <w:r w:rsidR="00FE7652">
      <w:instrText xml:space="preserve"> PAGE  \* roman </w:instrText>
    </w:r>
    <w:r w:rsidR="00FE7652">
      <w:fldChar w:fldCharType="separate"/>
    </w:r>
    <w:r w:rsidR="00FE7652">
      <w:rPr>
        <w:noProof/>
      </w:rPr>
      <w:t>iii</w:t>
    </w:r>
    <w:r w:rsidR="00FE765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7748" w14:textId="7228EBDF" w:rsidR="001D6A8A" w:rsidRPr="009F50E3" w:rsidRDefault="00BB4866" w:rsidP="00AA5FC4">
    <w:pPr>
      <w:pStyle w:val="FooterEven"/>
    </w:pPr>
    <w:r>
      <w:rPr>
        <w:noProof/>
        <w14:numForm w14:val="default"/>
        <w14:numSpacing w14:val="default"/>
      </w:rPr>
      <mc:AlternateContent>
        <mc:Choice Requires="wps">
          <w:drawing>
            <wp:anchor distT="0" distB="0" distL="0" distR="0" simplePos="0" relativeHeight="251658258" behindDoc="0" locked="0" layoutInCell="1" allowOverlap="1" wp14:anchorId="7204A5DF" wp14:editId="1D3CAE83">
              <wp:simplePos x="635" y="635"/>
              <wp:positionH relativeFrom="page">
                <wp:align>center</wp:align>
              </wp:positionH>
              <wp:positionV relativeFrom="page">
                <wp:align>bottom</wp:align>
              </wp:positionV>
              <wp:extent cx="551815" cy="452755"/>
              <wp:effectExtent l="0" t="0" r="635" b="0"/>
              <wp:wrapNone/>
              <wp:docPr id="133662206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84F3BA4"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4A5DF" id="_x0000_t202" coordsize="21600,21600" o:spt="202" path="m,l,21600r21600,l21600,xe">
              <v:stroke joinstyle="miter"/>
              <v:path gradientshapeok="t" o:connecttype="rect"/>
            </v:shapetype>
            <v:shape id="Text Box 17" o:spid="_x0000_s1047" type="#_x0000_t202" alt="OFFICIAL" style="position:absolute;left:0;text-align:left;margin-left:0;margin-top:0;width:43.45pt;height:35.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IzjtcPAgAA&#10;HQQAAA4AAAAAAAAAAAAAAAAALgIAAGRycy9lMm9Eb2MueG1sUEsBAi0AFAAGAAgAAAAhAO+t3rHb&#10;AAAAAwEAAA8AAAAAAAAAAAAAAAAAaQQAAGRycy9kb3ducmV2LnhtbFBLBQYAAAAABAAEAPMAAABx&#10;BQAAAAA=&#10;" filled="f" stroked="f">
              <v:textbox style="mso-fit-shape-to-text:t" inset="0,0,0,15pt">
                <w:txbxContent>
                  <w:p w14:paraId="384F3BA4"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1D6A8A" w:rsidRPr="001D6A8A">
      <w:t>Page</w:t>
    </w:r>
    <w:r w:rsidR="001D6A8A">
      <w:t xml:space="preserve"> </w:t>
    </w:r>
    <w:r w:rsidR="001D6A8A">
      <w:fldChar w:fldCharType="begin"/>
    </w:r>
    <w:r w:rsidR="001D6A8A">
      <w:instrText xml:space="preserve"> PAGE  \* Arabic  \* MERGEFORMAT </w:instrText>
    </w:r>
    <w:r w:rsidR="001D6A8A">
      <w:fldChar w:fldCharType="separate"/>
    </w:r>
    <w:r w:rsidR="001D6A8A">
      <w:rPr>
        <w:noProof/>
      </w:rPr>
      <w:t>2</w:t>
    </w:r>
    <w:r w:rsidR="001D6A8A">
      <w:rPr>
        <w:noProof/>
      </w:rPr>
      <w:fldChar w:fldCharType="end"/>
    </w:r>
    <w:r w:rsidR="001D6A8A">
      <w:rPr>
        <w:noProof/>
      </w:rPr>
      <w:tab/>
    </w:r>
    <w:fldSimple w:instr="STYLEREF  &quot;Heading 1&quot;  \* MERGEFORMAT">
      <w:r w:rsidR="00112E9D">
        <w:rPr>
          <w:noProof/>
        </w:rPr>
        <w:t>Introduction</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E49" w14:textId="191F7806" w:rsidR="001D6A8A" w:rsidRPr="00111646" w:rsidRDefault="00BB4866" w:rsidP="005A4AC5">
    <w:pPr>
      <w:pStyle w:val="FooterOdd"/>
      <w:jc w:val="center"/>
    </w:pPr>
    <w:r>
      <w:rPr>
        <w:noProof/>
        <w14:numForm w14:val="default"/>
        <w14:numSpacing w14:val="default"/>
      </w:rPr>
      <mc:AlternateContent>
        <mc:Choice Requires="wps">
          <w:drawing>
            <wp:anchor distT="0" distB="0" distL="0" distR="0" simplePos="0" relativeHeight="251658259" behindDoc="0" locked="0" layoutInCell="1" allowOverlap="1" wp14:anchorId="3F42A3C7" wp14:editId="3E86074F">
              <wp:simplePos x="635" y="635"/>
              <wp:positionH relativeFrom="page">
                <wp:align>center</wp:align>
              </wp:positionH>
              <wp:positionV relativeFrom="page">
                <wp:align>bottom</wp:align>
              </wp:positionV>
              <wp:extent cx="551815" cy="452755"/>
              <wp:effectExtent l="0" t="0" r="635" b="0"/>
              <wp:wrapNone/>
              <wp:docPr id="14948655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003C268"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2A3C7" id="_x0000_t202" coordsize="21600,21600" o:spt="202" path="m,l,21600r21600,l21600,xe">
              <v:stroke joinstyle="miter"/>
              <v:path gradientshapeok="t" o:connecttype="rect"/>
            </v:shapetype>
            <v:shape id="Text Box 18" o:spid="_x0000_s1048" type="#_x0000_t202" alt="OFFICIAL" style="position:absolute;left:0;text-align:left;margin-left:0;margin-top:0;width:43.45pt;height:35.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BvjDzqDQIAAB0E&#10;AAAOAAAAAAAAAAAAAAAAAC4CAABkcnMvZTJvRG9jLnhtbFBLAQItABQABgAIAAAAIQDvrd6x2wAA&#10;AAMBAAAPAAAAAAAAAAAAAAAAAGcEAABkcnMvZG93bnJldi54bWxQSwUGAAAAAAQABADzAAAAbwUA&#10;AAAA&#10;" filled="f" stroked="f">
              <v:textbox style="mso-fit-shape-to-text:t" inset="0,0,0,15pt">
                <w:txbxContent>
                  <w:p w14:paraId="4003C268"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1D6A8A" w:rsidRPr="00111646">
      <w:tab/>
    </w:r>
    <w:r w:rsidR="001D6A8A" w:rsidRPr="001D6A8A">
      <w:t>Page</w:t>
    </w:r>
    <w:r w:rsidR="001D6A8A" w:rsidRPr="00111646">
      <w:t xml:space="preserve"> </w:t>
    </w:r>
    <w:r w:rsidR="001D6A8A" w:rsidRPr="00111646">
      <w:fldChar w:fldCharType="begin"/>
    </w:r>
    <w:r w:rsidR="001D6A8A" w:rsidRPr="00111646">
      <w:instrText xml:space="preserve"> PAGE   \* MERGEFORMAT </w:instrText>
    </w:r>
    <w:r w:rsidR="001D6A8A" w:rsidRPr="00111646">
      <w:fldChar w:fldCharType="separate"/>
    </w:r>
    <w:r w:rsidR="001D6A8A" w:rsidRPr="00111646">
      <w:t>14</w:t>
    </w:r>
    <w:r w:rsidR="001D6A8A" w:rsidRPr="0011164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8892" w14:textId="50C9973C" w:rsidR="001D6A8A" w:rsidRPr="009F50E3" w:rsidRDefault="00BB4866" w:rsidP="005E0DC1">
    <w:pPr>
      <w:pStyle w:val="FooterOdd"/>
    </w:pPr>
    <w:r>
      <w:rPr>
        <w:noProof/>
        <w14:numForm w14:val="default"/>
        <w14:numSpacing w14:val="default"/>
      </w:rPr>
      <mc:AlternateContent>
        <mc:Choice Requires="wps">
          <w:drawing>
            <wp:anchor distT="0" distB="0" distL="0" distR="0" simplePos="0" relativeHeight="251658257" behindDoc="0" locked="0" layoutInCell="1" allowOverlap="1" wp14:anchorId="60BBB9D4" wp14:editId="33E65614">
              <wp:simplePos x="635" y="635"/>
              <wp:positionH relativeFrom="page">
                <wp:align>center</wp:align>
              </wp:positionH>
              <wp:positionV relativeFrom="page">
                <wp:align>bottom</wp:align>
              </wp:positionV>
              <wp:extent cx="551815" cy="452755"/>
              <wp:effectExtent l="0" t="0" r="635" b="0"/>
              <wp:wrapNone/>
              <wp:docPr id="84437749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88BF526"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BBB9D4" id="_x0000_t202" coordsize="21600,21600" o:spt="202" path="m,l,21600r21600,l21600,xe">
              <v:stroke joinstyle="miter"/>
              <v:path gradientshapeok="t" o:connecttype="rect"/>
            </v:shapetype>
            <v:shape id="Text Box 16" o:spid="_x0000_s1050" type="#_x0000_t202" alt="OFFICIAL" style="position:absolute;left:0;text-align:left;margin-left:0;margin-top:0;width:43.45pt;height:35.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LXyWZEPAgAA&#10;HQQAAA4AAAAAAAAAAAAAAAAALgIAAGRycy9lMm9Eb2MueG1sUEsBAi0AFAAGAAgAAAAhAO+t3rHb&#10;AAAAAwEAAA8AAAAAAAAAAAAAAAAAaQQAAGRycy9kb3ducmV2LnhtbFBLBQYAAAAABAAEAPMAAABx&#10;BQAAAAA=&#10;" filled="f" stroked="f">
              <v:textbox style="mso-fit-shape-to-text:t" inset="0,0,0,15pt">
                <w:txbxContent>
                  <w:p w14:paraId="188BF526"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1D6A8A" w:rsidRPr="00912467">
      <w:t>Page</w:t>
    </w:r>
    <w:r w:rsidR="001D6A8A">
      <w:t xml:space="preserve"> </w:t>
    </w:r>
    <w:r w:rsidR="001D6A8A">
      <w:fldChar w:fldCharType="begin"/>
    </w:r>
    <w:r w:rsidR="001D6A8A">
      <w:instrText xml:space="preserve"> PAGE  \* Arabic </w:instrText>
    </w:r>
    <w:r w:rsidR="001D6A8A">
      <w:fldChar w:fldCharType="separate"/>
    </w:r>
    <w:r w:rsidR="001D6A8A">
      <w:rPr>
        <w:noProof/>
      </w:rPr>
      <w:t>3</w:t>
    </w:r>
    <w:r w:rsidR="001D6A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F383" w14:textId="77777777" w:rsidR="00E37DD3" w:rsidRDefault="00E37DD3">
      <w:r>
        <w:separator/>
      </w:r>
    </w:p>
  </w:footnote>
  <w:footnote w:type="continuationSeparator" w:id="0">
    <w:p w14:paraId="59573587" w14:textId="77777777" w:rsidR="00E37DD3" w:rsidRDefault="00E37DD3">
      <w:r>
        <w:continuationSeparator/>
      </w:r>
    </w:p>
  </w:footnote>
  <w:footnote w:type="continuationNotice" w:id="1">
    <w:p w14:paraId="7179D422" w14:textId="77777777" w:rsidR="00E37DD3" w:rsidRDefault="00E37DD3">
      <w:pPr>
        <w:spacing w:before="0" w:after="0"/>
      </w:pPr>
    </w:p>
  </w:footnote>
  <w:footnote w:id="2">
    <w:p w14:paraId="49CA5A33" w14:textId="5D01BB27" w:rsidR="00142098" w:rsidRPr="00AF7F4D" w:rsidRDefault="00142098" w:rsidP="00AF7F4D">
      <w:pPr>
        <w:pStyle w:val="OutlineNumbered1"/>
        <w:numPr>
          <w:ilvl w:val="0"/>
          <w:numId w:val="0"/>
        </w:numPr>
        <w:tabs>
          <w:tab w:val="clear" w:pos="567"/>
        </w:tabs>
        <w:spacing w:before="120" w:after="120" w:line="240" w:lineRule="auto"/>
        <w:jc w:val="left"/>
        <w:rPr>
          <w:color w:val="FF0000"/>
        </w:rPr>
      </w:pPr>
      <w:r>
        <w:rPr>
          <w:rStyle w:val="FootnoteReference"/>
        </w:rPr>
        <w:footnoteRef/>
      </w:r>
      <w:r w:rsidR="000E6A98">
        <w:t xml:space="preserve"> </w:t>
      </w:r>
      <w:r w:rsidRPr="00AF7F4D">
        <w:rPr>
          <w:rFonts w:ascii="Calibri" w:hAnsi="Calibri"/>
          <w:color w:val="FF0000"/>
          <w:sz w:val="18"/>
          <w:szCs w:val="18"/>
        </w:rPr>
        <w:t xml:space="preserve">Note. Consultation question: </w:t>
      </w:r>
      <w:r w:rsidR="00AF7F4D" w:rsidRPr="00AF7F4D">
        <w:rPr>
          <w:rFonts w:ascii="Calibri" w:hAnsi="Calibri"/>
          <w:color w:val="FF0000"/>
          <w:sz w:val="18"/>
          <w:szCs w:val="18"/>
        </w:rPr>
        <w:t>How should the guidance material be presented within the VTTC for the best user experience? Should guidance be included under each respective reporting requirement or removed and captured in a separate Appendix?</w:t>
      </w:r>
    </w:p>
  </w:footnote>
  <w:footnote w:id="3">
    <w:p w14:paraId="0C1AB820" w14:textId="7B8BCC6C" w:rsidR="007C58B9" w:rsidRDefault="007C58B9">
      <w:pPr>
        <w:pStyle w:val="FootnoteText"/>
      </w:pPr>
      <w:r>
        <w:rPr>
          <w:rStyle w:val="FootnoteReference"/>
        </w:rPr>
        <w:footnoteRef/>
      </w:r>
      <w:r>
        <w:t xml:space="preserve"> </w:t>
      </w:r>
      <w:hyperlink r:id="rId1" w:history="1">
        <w:r w:rsidR="001320C2" w:rsidRPr="00FC3A87">
          <w:rPr>
            <w:rStyle w:val="Hyperlink"/>
          </w:rPr>
          <w:t>https://www.aasb.gov.au/admin/file/content106/c2/TaxTransparency_sub_1_EY.pdf</w:t>
        </w:r>
      </w:hyperlink>
      <w:r w:rsidR="001320C2">
        <w:t xml:space="preserve"> </w:t>
      </w:r>
    </w:p>
  </w:footnote>
  <w:footnote w:id="4">
    <w:p w14:paraId="3EBEEF15" w14:textId="42980A74" w:rsidR="008652AD" w:rsidRDefault="008652AD">
      <w:pPr>
        <w:pStyle w:val="FootnoteText"/>
      </w:pPr>
      <w:r>
        <w:rPr>
          <w:rStyle w:val="FootnoteReference"/>
        </w:rPr>
        <w:footnoteRef/>
      </w:r>
      <w:r>
        <w:t xml:space="preserve"> </w:t>
      </w:r>
      <w:hyperlink r:id="rId2" w:history="1">
        <w:r w:rsidR="001320C2" w:rsidRPr="00FC3A87">
          <w:rPr>
            <w:rStyle w:val="Hyperlink"/>
          </w:rPr>
          <w:t>https://www.aasb.gov.au/admin/file/content106/c2/TaxTransparency_sub_1_EY.pdf</w:t>
        </w:r>
      </w:hyperlink>
      <w:r w:rsidR="001320C2">
        <w:t xml:space="preserve"> </w:t>
      </w:r>
      <w:r>
        <w:t xml:space="preserve"> see paragraphs 27 to </w:t>
      </w:r>
      <w:r w:rsidR="00E86B67">
        <w:t>52</w:t>
      </w:r>
      <w:r>
        <w:t>.</w:t>
      </w:r>
    </w:p>
  </w:footnote>
  <w:footnote w:id="5">
    <w:p w14:paraId="472072EA" w14:textId="021C7B24" w:rsidR="00CC0B4D" w:rsidRPr="007B165A" w:rsidRDefault="00CC0B4D" w:rsidP="00464185">
      <w:pPr>
        <w:pStyle w:val="Bullet"/>
        <w:numPr>
          <w:ilvl w:val="0"/>
          <w:numId w:val="0"/>
        </w:numPr>
        <w:spacing w:after="0"/>
        <w:ind w:left="520" w:hanging="520"/>
        <w:rPr>
          <w:sz w:val="18"/>
          <w:szCs w:val="18"/>
        </w:rPr>
      </w:pPr>
      <w:r w:rsidRPr="00140B5D">
        <w:rPr>
          <w:rStyle w:val="FootnoteReference"/>
          <w:sz w:val="18"/>
          <w:szCs w:val="18"/>
        </w:rPr>
        <w:footnoteRef/>
      </w:r>
      <w:r w:rsidRPr="00140B5D">
        <w:rPr>
          <w:sz w:val="18"/>
          <w:szCs w:val="18"/>
        </w:rPr>
        <w:t xml:space="preserve"> The </w:t>
      </w:r>
      <w:r w:rsidR="00954B47">
        <w:rPr>
          <w:sz w:val="18"/>
          <w:szCs w:val="18"/>
        </w:rPr>
        <w:t>V</w:t>
      </w:r>
      <w:r w:rsidRPr="00140B5D">
        <w:rPr>
          <w:sz w:val="18"/>
          <w:szCs w:val="18"/>
        </w:rPr>
        <w:t>TTC ETR should comply with ASIC Regulatory Guide 230</w:t>
      </w:r>
      <w:r w:rsidR="001320C2">
        <w:rPr>
          <w:sz w:val="18"/>
          <w:szCs w:val="18"/>
        </w:rPr>
        <w:t xml:space="preserve">. </w:t>
      </w:r>
      <w:r w:rsidRPr="00140B5D">
        <w:rPr>
          <w:sz w:val="18"/>
          <w:szCs w:val="18"/>
        </w:rPr>
        <w:t xml:space="preserve"> </w:t>
      </w:r>
    </w:p>
  </w:footnote>
  <w:footnote w:id="6">
    <w:p w14:paraId="1FDFE456" w14:textId="2DA184F9" w:rsidR="009C66BC" w:rsidRDefault="009C66BC" w:rsidP="009C66BC">
      <w:pPr>
        <w:pStyle w:val="FootnoteText"/>
        <w:ind w:left="0" w:firstLine="0"/>
      </w:pPr>
      <w:r>
        <w:rPr>
          <w:rStyle w:val="FootnoteReference"/>
        </w:rPr>
        <w:footnoteRef/>
      </w:r>
      <w:r>
        <w:t xml:space="preserve"> </w:t>
      </w:r>
      <w:r w:rsidRPr="000F3E94">
        <w:rPr>
          <w:b/>
          <w:bCs/>
          <w:color w:val="FF0000"/>
        </w:rPr>
        <w:t>Note</w:t>
      </w:r>
      <w:r>
        <w:rPr>
          <w:color w:val="FF0000"/>
        </w:rPr>
        <w:t xml:space="preserve">: </w:t>
      </w:r>
      <w:r w:rsidR="00CE66D9" w:rsidRPr="00CE66D9">
        <w:rPr>
          <w:rFonts w:eastAsia="Calibri" w:cs="Calibri"/>
          <w:color w:val="FF0000"/>
        </w:rPr>
        <w:t>Consult</w:t>
      </w:r>
      <w:r w:rsidR="00CE66D9" w:rsidRPr="00E53B3C">
        <w:rPr>
          <w:rFonts w:eastAsia="Calibri" w:cs="Calibri"/>
          <w:color w:val="FF0000"/>
        </w:rPr>
        <w:t xml:space="preserve">ation question: </w:t>
      </w:r>
      <w:r w:rsidR="00E53B3C" w:rsidRPr="00E53B3C">
        <w:rPr>
          <w:color w:val="FF0000"/>
        </w:rPr>
        <w:t>Do you consider inclusion of the ‘reconciliation to ATO CTT’ in the draft redesigned VTTC to be of value noting the proposed VTTC publication timing is likely to be prior to the ATO CTT Report publication?</w:t>
      </w:r>
    </w:p>
  </w:footnote>
  <w:footnote w:id="7">
    <w:p w14:paraId="6EADDABD" w14:textId="7301F9F8" w:rsidR="0064236F" w:rsidRDefault="0064236F" w:rsidP="00AC7CC7">
      <w:pPr>
        <w:pStyle w:val="OutlineNumbered1"/>
        <w:numPr>
          <w:ilvl w:val="0"/>
          <w:numId w:val="0"/>
        </w:numPr>
        <w:tabs>
          <w:tab w:val="clear" w:pos="567"/>
        </w:tabs>
        <w:spacing w:before="120" w:after="120" w:line="240" w:lineRule="auto"/>
        <w:jc w:val="left"/>
      </w:pPr>
      <w:r>
        <w:rPr>
          <w:rStyle w:val="FootnoteReference"/>
        </w:rPr>
        <w:footnoteRef/>
      </w:r>
      <w:r>
        <w:t xml:space="preserve"> </w:t>
      </w:r>
      <w:r w:rsidRPr="00AC7CC7">
        <w:rPr>
          <w:rFonts w:ascii="Calibri" w:hAnsi="Calibri"/>
          <w:color w:val="FF0000"/>
          <w:sz w:val="18"/>
          <w:szCs w:val="18"/>
        </w:rPr>
        <w:t xml:space="preserve">Note. Consultation question: </w:t>
      </w:r>
      <w:r w:rsidR="00AC7CC7" w:rsidRPr="00AC7CC7">
        <w:rPr>
          <w:rFonts w:ascii="Calibri" w:hAnsi="Calibri"/>
          <w:color w:val="FF0000"/>
          <w:sz w:val="18"/>
          <w:szCs w:val="18"/>
        </w:rPr>
        <w:t>How should the guidance material be presented within the VTTC for the best user experience? Should guidance be included under each respective reporting requirement or removed and captured in a separate Appendix?</w:t>
      </w:r>
    </w:p>
  </w:footnote>
  <w:footnote w:id="8">
    <w:p w14:paraId="501CA5DD" w14:textId="6EC42148" w:rsidR="00B319B2" w:rsidRDefault="00B319B2" w:rsidP="00B319B2">
      <w:pPr>
        <w:pStyle w:val="FootnoteText"/>
      </w:pPr>
      <w:r>
        <w:rPr>
          <w:rStyle w:val="FootnoteReference"/>
        </w:rPr>
        <w:footnoteRef/>
      </w:r>
      <w:r w:rsidR="00476D85">
        <w:t xml:space="preserve"> </w:t>
      </w:r>
      <w:hyperlink r:id="rId3" w:history="1">
        <w:r w:rsidR="00476D85" w:rsidRPr="00FC3A87">
          <w:rPr>
            <w:rStyle w:val="Hyperlink"/>
          </w:rPr>
          <w:t>https://www.aasb.gov.au/admin/file/content106/c2/TaxTransparency_sub_1_EY.pdf</w:t>
        </w:r>
      </w:hyperlink>
      <w:r w:rsidR="00476D85">
        <w:t xml:space="preserve"> </w:t>
      </w:r>
    </w:p>
  </w:footnote>
  <w:footnote w:id="9">
    <w:p w14:paraId="00C400A2" w14:textId="77777777" w:rsidR="00476D85" w:rsidRDefault="00476D85" w:rsidP="00476D85">
      <w:pPr>
        <w:pStyle w:val="FootnoteText"/>
      </w:pPr>
      <w:r>
        <w:rPr>
          <w:rStyle w:val="FootnoteReference"/>
        </w:rPr>
        <w:footnoteRef/>
      </w:r>
      <w:r>
        <w:t xml:space="preserve"> </w:t>
      </w:r>
      <w:hyperlink r:id="rId4" w:history="1">
        <w:r w:rsidRPr="00FC3A87">
          <w:rPr>
            <w:rStyle w:val="Hyperlink"/>
          </w:rPr>
          <w:t>https://www.aasb.gov.au/admin/file/content106/c2/TaxTransparency_sub_1_EY.pdf</w:t>
        </w:r>
      </w:hyperlink>
      <w:r>
        <w:t xml:space="preserve">  see paragraphs 27 to 52.</w:t>
      </w:r>
    </w:p>
  </w:footnote>
  <w:footnote w:id="10">
    <w:p w14:paraId="449EE222" w14:textId="75E65C2D" w:rsidR="00476D85" w:rsidRPr="005D138E" w:rsidRDefault="00476D85" w:rsidP="005D138E">
      <w:pPr>
        <w:pStyle w:val="Bullet"/>
        <w:numPr>
          <w:ilvl w:val="0"/>
          <w:numId w:val="0"/>
        </w:numPr>
        <w:spacing w:after="0"/>
        <w:ind w:left="520" w:hanging="520"/>
        <w:rPr>
          <w:sz w:val="18"/>
          <w:szCs w:val="18"/>
        </w:rPr>
      </w:pPr>
      <w:r w:rsidRPr="00140B5D">
        <w:rPr>
          <w:rStyle w:val="FootnoteReference"/>
          <w:sz w:val="18"/>
          <w:szCs w:val="18"/>
        </w:rPr>
        <w:footnoteRef/>
      </w:r>
      <w:r w:rsidRPr="00140B5D">
        <w:rPr>
          <w:sz w:val="18"/>
          <w:szCs w:val="18"/>
        </w:rPr>
        <w:t xml:space="preserve"> The </w:t>
      </w:r>
      <w:r w:rsidR="00FE30B8">
        <w:rPr>
          <w:sz w:val="18"/>
          <w:szCs w:val="18"/>
        </w:rPr>
        <w:t>V</w:t>
      </w:r>
      <w:r w:rsidRPr="00140B5D">
        <w:rPr>
          <w:sz w:val="18"/>
          <w:szCs w:val="18"/>
        </w:rPr>
        <w:t>TTC ETR should comply with ASIC Regulatory Guide 230</w:t>
      </w:r>
      <w:r>
        <w:rPr>
          <w:sz w:val="18"/>
          <w:szCs w:val="18"/>
        </w:rPr>
        <w:t xml:space="preserve">. </w:t>
      </w:r>
      <w:r w:rsidRPr="00140B5D">
        <w:rPr>
          <w:sz w:val="18"/>
          <w:szCs w:val="18"/>
        </w:rPr>
        <w:t xml:space="preserve"> </w:t>
      </w:r>
    </w:p>
  </w:footnote>
  <w:footnote w:id="11">
    <w:p w14:paraId="698A90B9" w14:textId="2CBEEFD7" w:rsidR="004E5F86" w:rsidRDefault="004E5F86">
      <w:pPr>
        <w:pStyle w:val="FootnoteText"/>
      </w:pPr>
      <w:r>
        <w:rPr>
          <w:rStyle w:val="FootnoteReference"/>
        </w:rPr>
        <w:footnoteRef/>
      </w:r>
      <w:r>
        <w:t xml:space="preserve"> </w:t>
      </w:r>
      <w:hyperlink r:id="rId5" w:history="1">
        <w:r w:rsidR="005A03D9" w:rsidRPr="00FC3A87">
          <w:rPr>
            <w:rStyle w:val="Hyperlink"/>
          </w:rPr>
          <w:t>https://www.aasb.gov.au/admin/file/content106/c2/TaxTransparency_sub_1_EY.pdf</w:t>
        </w:r>
      </w:hyperlink>
      <w:r w:rsidR="005A03D9">
        <w:t xml:space="preserve"> </w:t>
      </w:r>
    </w:p>
  </w:footnote>
  <w:footnote w:id="12">
    <w:p w14:paraId="6190E437" w14:textId="54AC6264" w:rsidR="005A38DF" w:rsidRDefault="005A38DF" w:rsidP="005A38DF">
      <w:pPr>
        <w:pStyle w:val="FootnoteText"/>
        <w:ind w:left="0" w:firstLine="0"/>
      </w:pPr>
      <w:r>
        <w:rPr>
          <w:rStyle w:val="FootnoteReference"/>
        </w:rPr>
        <w:footnoteRef/>
      </w:r>
      <w:r>
        <w:t xml:space="preserve"> </w:t>
      </w:r>
      <w:r w:rsidRPr="00CB4578">
        <w:rPr>
          <w:b/>
          <w:bCs/>
          <w:color w:val="FF0000"/>
        </w:rPr>
        <w:t xml:space="preserve">Note: </w:t>
      </w:r>
      <w:r w:rsidR="00CE66D9" w:rsidRPr="00CE66D9">
        <w:rPr>
          <w:rFonts w:eastAsia="Calibri" w:cs="Calibri"/>
          <w:color w:val="FF0000"/>
        </w:rPr>
        <w:t xml:space="preserve">Consultation </w:t>
      </w:r>
      <w:r w:rsidR="00CE66D9" w:rsidRPr="00605782">
        <w:rPr>
          <w:rFonts w:eastAsia="Calibri" w:cs="Calibri"/>
          <w:color w:val="FF0000"/>
        </w:rPr>
        <w:t xml:space="preserve">question: </w:t>
      </w:r>
      <w:r w:rsidR="00605782" w:rsidRPr="00605782">
        <w:rPr>
          <w:color w:val="FF0000"/>
        </w:rPr>
        <w:t>Do you consider inclusion of the ‘reconciliation to ATO CTT’ in the draft redesigned VTTC to be of value noting the proposed VTTC publication timing is likely to be prior to the ATO CTT Report publication?</w:t>
      </w:r>
    </w:p>
  </w:footnote>
  <w:footnote w:id="13">
    <w:p w14:paraId="27606EDB" w14:textId="3C8D2F1A" w:rsidR="004534D1" w:rsidRDefault="004534D1">
      <w:pPr>
        <w:pStyle w:val="FootnoteText"/>
      </w:pPr>
      <w:r>
        <w:rPr>
          <w:rStyle w:val="FootnoteReference"/>
        </w:rPr>
        <w:footnoteRef/>
      </w:r>
      <w:r>
        <w:t xml:space="preserve"> Aligned with GRI Standards GRI 207: Tax 2019, GRI 207-2 Tax governance, control and risk management.  </w:t>
      </w:r>
    </w:p>
  </w:footnote>
  <w:footnote w:id="14">
    <w:p w14:paraId="55CCA5D0" w14:textId="5477FC12" w:rsidR="004534D1" w:rsidRDefault="004534D1">
      <w:pPr>
        <w:pStyle w:val="FootnoteText"/>
      </w:pPr>
      <w:r>
        <w:rPr>
          <w:rStyle w:val="FootnoteReference"/>
        </w:rPr>
        <w:footnoteRef/>
      </w:r>
      <w:r>
        <w:t xml:space="preserve"> Aligned with GRI Standards GRI 207: Tax 2019, GRI 207-3 Stakeholder engagement and management of concerns related to tax.   </w:t>
      </w:r>
    </w:p>
  </w:footnote>
  <w:footnote w:id="15">
    <w:p w14:paraId="47416EAE" w14:textId="77777777" w:rsidR="00BD4078" w:rsidRPr="00140B5D" w:rsidRDefault="00BD4078" w:rsidP="00BD4078">
      <w:pPr>
        <w:pStyle w:val="FootnoteText"/>
      </w:pPr>
      <w:r w:rsidRPr="00140B5D">
        <w:rPr>
          <w:rStyle w:val="FootnoteReference"/>
          <w:sz w:val="18"/>
          <w:szCs w:val="18"/>
        </w:rPr>
        <w:footnoteRef/>
      </w:r>
      <w:r w:rsidRPr="00140B5D">
        <w:t xml:space="preserve"> </w:t>
      </w:r>
      <w:hyperlink r:id="rId6" w:history="1">
        <w:r w:rsidRPr="00140B5D">
          <w:rPr>
            <w:rStyle w:val="Hyperlink"/>
          </w:rPr>
          <w:t>https://www.aasb.gov.au/admin/file/content106/c2/TaxTransparency_sub_1_EY.pdf</w:t>
        </w:r>
      </w:hyperlink>
      <w:r w:rsidRPr="00140B5D">
        <w:t xml:space="preserve">. See guidance on materiality. </w:t>
      </w:r>
    </w:p>
  </w:footnote>
  <w:footnote w:id="16">
    <w:p w14:paraId="13D645CD" w14:textId="366973EC" w:rsidR="00BD4078" w:rsidRDefault="00BD4078" w:rsidP="00BD4078">
      <w:pPr>
        <w:pStyle w:val="FootnoteText"/>
      </w:pPr>
      <w:r w:rsidRPr="00673154">
        <w:rPr>
          <w:rStyle w:val="FootnoteReference"/>
          <w:color w:val="142147" w:themeColor="accent1"/>
        </w:rPr>
        <w:footnoteRef/>
      </w:r>
      <w:r w:rsidRPr="00673154">
        <w:rPr>
          <w:color w:val="142147" w:themeColor="accent1"/>
        </w:rPr>
        <w:t xml:space="preserve"> </w:t>
      </w:r>
      <w:r w:rsidRPr="003B2E1D">
        <w:rPr>
          <w:b/>
          <w:bCs/>
        </w:rPr>
        <w:t>Note</w:t>
      </w:r>
      <w:r w:rsidRPr="003B2E1D">
        <w:t xml:space="preserve">. Where relevant, include information on whether </w:t>
      </w:r>
      <w:r w:rsidR="008E5A51">
        <w:t>V</w:t>
      </w:r>
      <w:r w:rsidRPr="003B2E1D">
        <w:t xml:space="preserve">TTC has been assured by an external auditor. </w:t>
      </w:r>
    </w:p>
  </w:footnote>
  <w:footnote w:id="17">
    <w:p w14:paraId="069E1CEE" w14:textId="7D215CF4" w:rsidR="00915104" w:rsidRDefault="00915104" w:rsidP="00D11C69">
      <w:pPr>
        <w:pStyle w:val="FootnoteText"/>
        <w:ind w:left="0" w:firstLine="0"/>
      </w:pPr>
      <w:r>
        <w:rPr>
          <w:rStyle w:val="FootnoteReference"/>
        </w:rPr>
        <w:footnoteRef/>
      </w:r>
      <w:r w:rsidR="00D11C69">
        <w:t xml:space="preserve"> </w:t>
      </w:r>
      <w:r w:rsidRPr="00CB4578">
        <w:rPr>
          <w:b/>
          <w:bCs/>
          <w:color w:val="FF0000"/>
        </w:rPr>
        <w:t>Note</w:t>
      </w:r>
      <w:r w:rsidRPr="00CB4578">
        <w:rPr>
          <w:color w:val="FF0000"/>
        </w:rPr>
        <w:t xml:space="preserve">. </w:t>
      </w:r>
      <w:r w:rsidRPr="000D7D89">
        <w:rPr>
          <w:color w:val="FF0000"/>
        </w:rPr>
        <w:t xml:space="preserve">Consultation question: </w:t>
      </w:r>
      <w:r w:rsidR="008859FB" w:rsidRPr="000D7D89">
        <w:rPr>
          <w:color w:val="FF0000"/>
        </w:rPr>
        <w:t>Do you consider inclusion of the ‘reconciliation to ATO CTT’ in the draft redesigned VTTC to be of value noting the proposed VTTC publication timing is likely to be prior to the ATO CTT Report publication</w:t>
      </w:r>
      <w:r w:rsidR="000D7D89" w:rsidRPr="000D7D89">
        <w:rPr>
          <w:color w:val="FF0000"/>
        </w:rPr>
        <w:t>?</w:t>
      </w:r>
    </w:p>
  </w:footnote>
  <w:footnote w:id="18">
    <w:p w14:paraId="1E407ED3" w14:textId="51F8C4DA" w:rsidR="00BD4078" w:rsidRDefault="00BD4078" w:rsidP="00BD4078">
      <w:pPr>
        <w:pStyle w:val="FootnoteText"/>
      </w:pPr>
      <w:r w:rsidRPr="00673154">
        <w:rPr>
          <w:rStyle w:val="FootnoteReference"/>
          <w:color w:val="142147" w:themeColor="accent1"/>
        </w:rPr>
        <w:footnoteRef/>
      </w:r>
      <w:r w:rsidRPr="00673154">
        <w:rPr>
          <w:color w:val="142147" w:themeColor="accent1"/>
        </w:rPr>
        <w:t xml:space="preserve"> </w:t>
      </w:r>
      <w:r w:rsidRPr="00673154">
        <w:rPr>
          <w:b/>
          <w:bCs/>
          <w:color w:val="142147" w:themeColor="accent1"/>
        </w:rPr>
        <w:t>Note</w:t>
      </w:r>
      <w:r w:rsidRPr="00673154">
        <w:rPr>
          <w:color w:val="142147" w:themeColor="accent1"/>
        </w:rPr>
        <w:t xml:space="preserve">. Where relevant, include information on whether </w:t>
      </w:r>
      <w:r w:rsidR="00005920">
        <w:rPr>
          <w:color w:val="142147" w:themeColor="accent1"/>
        </w:rPr>
        <w:t>V</w:t>
      </w:r>
      <w:r w:rsidRPr="00673154">
        <w:rPr>
          <w:color w:val="142147" w:themeColor="accent1"/>
        </w:rPr>
        <w:t xml:space="preserve">TTC has been assured by an external auditor. </w:t>
      </w:r>
    </w:p>
  </w:footnote>
  <w:footnote w:id="19">
    <w:p w14:paraId="05F77EC8" w14:textId="6B6A16EA" w:rsidR="0031423A" w:rsidRPr="00170DB3" w:rsidRDefault="0031423A" w:rsidP="004A5153">
      <w:pPr>
        <w:pStyle w:val="FootnoteText"/>
        <w:ind w:left="0" w:firstLine="0"/>
        <w:rPr>
          <w:color w:val="FF0000"/>
        </w:rPr>
      </w:pPr>
      <w:r>
        <w:rPr>
          <w:rStyle w:val="FootnoteReference"/>
        </w:rPr>
        <w:footnoteRef/>
      </w:r>
      <w:r w:rsidR="004A5153">
        <w:t xml:space="preserve"> </w:t>
      </w:r>
      <w:r w:rsidR="004A5153" w:rsidRPr="00170DB3">
        <w:rPr>
          <w:b/>
          <w:bCs/>
          <w:color w:val="FF0000"/>
        </w:rPr>
        <w:t>Note</w:t>
      </w:r>
      <w:r w:rsidR="004A5153" w:rsidRPr="00170DB3">
        <w:rPr>
          <w:color w:val="FF0000"/>
        </w:rPr>
        <w:t xml:space="preserve">. Consultation </w:t>
      </w:r>
      <w:r w:rsidR="004A5153" w:rsidRPr="00E2681A">
        <w:rPr>
          <w:color w:val="FF0000"/>
        </w:rPr>
        <w:t xml:space="preserve">question: </w:t>
      </w:r>
      <w:r w:rsidR="00E2681A" w:rsidRPr="00E2681A">
        <w:rPr>
          <w:color w:val="FF0000"/>
        </w:rPr>
        <w:t>Do you consider inclusion of the ‘reconciliation to ATO CTT’ in the draft redesigned VTTC to be of value noting the proposed VTTC publication timing is likely to be prior to the ATO CTT Report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3A32" w14:textId="36C0B581" w:rsidR="00D3340C" w:rsidRDefault="00112E9D">
    <w:pPr>
      <w:pStyle w:val="HeaderEven"/>
    </w:pPr>
    <w:r>
      <w:rPr>
        <w:noProof/>
      </w:rPr>
      <w:pict w14:anchorId="31056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4" o:spid="_x0000_s1100" type="#_x0000_t136" style="position:absolute;left:0;text-align:left;margin-left:0;margin-top:0;width:424.8pt;height:254.8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49024" behindDoc="0" locked="0" layoutInCell="1" allowOverlap="1" wp14:anchorId="48F52D58" wp14:editId="66F31A5B">
              <wp:simplePos x="635" y="635"/>
              <wp:positionH relativeFrom="page">
                <wp:align>center</wp:align>
              </wp:positionH>
              <wp:positionV relativeFrom="page">
                <wp:align>top</wp:align>
              </wp:positionV>
              <wp:extent cx="551815" cy="452755"/>
              <wp:effectExtent l="0" t="0" r="635" b="4445"/>
              <wp:wrapNone/>
              <wp:docPr id="6909660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6B65F68" w14:textId="4D771413" w:rsidR="00BB4866" w:rsidRPr="00BB4866" w:rsidRDefault="00BB4866" w:rsidP="00BB4866">
                          <w:pPr>
                            <w:spacing w:after="0"/>
                            <w:rPr>
                              <w:rFonts w:eastAsia="Calibri" w:cs="Calibri"/>
                              <w:noProof/>
                              <w:color w:val="FF0000"/>
                              <w:sz w:val="24"/>
                              <w:szCs w:val="24"/>
                            </w:rPr>
                          </w:pPr>
                          <w:r w:rsidRPr="00BB486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52D58" id="_x0000_t202" coordsize="21600,21600" o:spt="202" path="m,l,21600r21600,l21600,xe">
              <v:stroke joinstyle="miter"/>
              <v:path gradientshapeok="t" o:connecttype="rect"/>
            </v:shapetype>
            <v:shape id="Text Box 2" o:spid="_x0000_s1033" type="#_x0000_t202" alt="OFFICIAL" style="position:absolute;left:0;text-align:left;margin-left:0;margin-top:0;width:43.45pt;height:35.6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6B65F68" w14:textId="4D771413" w:rsidR="00BB4866" w:rsidRPr="00BB4866" w:rsidRDefault="00BB4866" w:rsidP="00BB4866">
                    <w:pPr>
                      <w:spacing w:after="0"/>
                      <w:rPr>
                        <w:rFonts w:eastAsia="Calibri" w:cs="Calibri"/>
                        <w:noProof/>
                        <w:color w:val="FF0000"/>
                        <w:sz w:val="24"/>
                        <w:szCs w:val="24"/>
                      </w:rPr>
                    </w:pPr>
                    <w:r w:rsidRPr="00BB4866">
                      <w:rPr>
                        <w:rFonts w:eastAsia="Calibri" w:cs="Calibri"/>
                        <w:noProof/>
                        <w:color w:val="FF0000"/>
                        <w:sz w:val="24"/>
                        <w:szCs w:val="24"/>
                      </w:rPr>
                      <w:t>OFFICIAL</w:t>
                    </w:r>
                  </w:p>
                </w:txbxContent>
              </v:textbox>
              <w10:wrap anchorx="page" anchory="page"/>
            </v:shape>
          </w:pict>
        </mc:Fallback>
      </mc:AlternateContent>
    </w:r>
    <w:r w:rsidR="00D3340C">
      <w:t>Chapter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B722" w14:textId="484832AD" w:rsidR="000F5484" w:rsidRDefault="00112E9D">
    <w:pPr>
      <w:pStyle w:val="Header"/>
    </w:pPr>
    <w:r>
      <w:rPr>
        <w:noProof/>
      </w:rPr>
      <w:pict w14:anchorId="50FE5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5" o:spid="_x0000_s1101" type="#_x0000_t136" style="position:absolute;margin-left:0;margin-top:0;width:424.8pt;height:254.8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51072" behindDoc="0" locked="0" layoutInCell="1" allowOverlap="1" wp14:anchorId="08916412" wp14:editId="59E13C82">
              <wp:simplePos x="635" y="635"/>
              <wp:positionH relativeFrom="page">
                <wp:align>center</wp:align>
              </wp:positionH>
              <wp:positionV relativeFrom="page">
                <wp:align>top</wp:align>
              </wp:positionV>
              <wp:extent cx="551815" cy="452755"/>
              <wp:effectExtent l="0" t="0" r="635" b="4445"/>
              <wp:wrapNone/>
              <wp:docPr id="20209916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076A5A1"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16412" id="_x0000_t202" coordsize="21600,21600" o:spt="202" path="m,l,21600r21600,l21600,xe">
              <v:stroke joinstyle="miter"/>
              <v:path gradientshapeok="t" o:connecttype="rect"/>
            </v:shapetype>
            <v:shape id="Text Box 3" o:spid="_x0000_s1034" type="#_x0000_t202" alt="OFFICIAL" style="position:absolute;margin-left:0;margin-top:0;width:43.45pt;height:35.6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7076A5A1"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42BD" w14:textId="550AB92B" w:rsidR="000F5484" w:rsidRDefault="00112E9D">
    <w:pPr>
      <w:pStyle w:val="Header"/>
    </w:pPr>
    <w:r>
      <w:rPr>
        <w:noProof/>
      </w:rPr>
      <w:pict w14:anchorId="7A276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3" o:spid="_x0000_s1099" type="#_x0000_t136" style="position:absolute;margin-left:0;margin-top:0;width:424.8pt;height:254.8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46976" behindDoc="0" locked="0" layoutInCell="1" allowOverlap="1" wp14:anchorId="686DBDAF" wp14:editId="72BEEC46">
              <wp:simplePos x="635" y="635"/>
              <wp:positionH relativeFrom="page">
                <wp:align>center</wp:align>
              </wp:positionH>
              <wp:positionV relativeFrom="page">
                <wp:align>top</wp:align>
              </wp:positionV>
              <wp:extent cx="551815" cy="452755"/>
              <wp:effectExtent l="0" t="0" r="635" b="4445"/>
              <wp:wrapNone/>
              <wp:docPr id="15964469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25FDAFF"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DBDAF" id="_x0000_t202" coordsize="21600,21600" o:spt="202" path="m,l,21600r21600,l21600,xe">
              <v:stroke joinstyle="miter"/>
              <v:path gradientshapeok="t" o:connecttype="rect"/>
            </v:shapetype>
            <v:shape id="Text Box 1" o:spid="_x0000_s1037" type="#_x0000_t202" alt="OFFICIAL" style="position:absolute;margin-left:0;margin-top:0;width:43.45pt;height:35.65pt;z-index:251646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25FDAFF"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2D8" w14:textId="3C8F4CDB" w:rsidR="006256BA" w:rsidRDefault="00112E9D">
    <w:pPr>
      <w:framePr w:wrap="around" w:hAnchor="page" w:x="14460" w:yAlign="top" w:anchorLock="1"/>
      <w:textDirection w:val="tbRl"/>
      <w:rPr>
        <w:rStyle w:val="FramedHeader"/>
      </w:rPr>
    </w:pPr>
    <w:r>
      <w:rPr>
        <w:noProof/>
      </w:rPr>
      <w:pict w14:anchorId="44459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7" o:spid="_x0000_s1103" type="#_x0000_t136" style="position:absolute;margin-left:0;margin-top:0;width:424.8pt;height:254.8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rFonts w:ascii="Arial" w:hAnsi="Arial"/>
        <w:noProof/>
        <w:color w:val="000080"/>
        <w:sz w:val="18"/>
        <w:szCs w:val="18"/>
      </w:rPr>
      <mc:AlternateContent>
        <mc:Choice Requires="wps">
          <w:drawing>
            <wp:anchor distT="0" distB="0" distL="0" distR="0" simplePos="0" relativeHeight="251655168" behindDoc="0" locked="0" layoutInCell="1" allowOverlap="1" wp14:anchorId="60122A42" wp14:editId="630A984F">
              <wp:simplePos x="635" y="635"/>
              <wp:positionH relativeFrom="page">
                <wp:align>center</wp:align>
              </wp:positionH>
              <wp:positionV relativeFrom="page">
                <wp:align>top</wp:align>
              </wp:positionV>
              <wp:extent cx="551815" cy="452755"/>
              <wp:effectExtent l="0" t="0" r="635" b="4445"/>
              <wp:wrapNone/>
              <wp:docPr id="139308881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0A67450"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22A42" id="_x0000_t202" coordsize="21600,21600" o:spt="202" path="m,l,21600r21600,l21600,xe">
              <v:stroke joinstyle="miter"/>
              <v:path gradientshapeok="t" o:connecttype="rect"/>
            </v:shapetype>
            <v:shape id="Text Box 5" o:spid="_x0000_s1039" type="#_x0000_t202" alt="OFFICIAL" style="position:absolute;margin-left:0;margin-top:0;width:43.45pt;height:35.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60A67450"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6256BA">
      <w:rPr>
        <w:rStyle w:val="FramedHeader"/>
      </w:rPr>
      <w:t>Publication Title</w:t>
    </w:r>
  </w:p>
  <w:p w14:paraId="5F502689" w14:textId="77777777" w:rsidR="006256BA" w:rsidRPr="009F50E3" w:rsidRDefault="006256BA" w:rsidP="00111646">
    <w:pPr>
      <w:pStyle w:val="HeaderEven"/>
    </w:pPr>
    <w:r>
      <w:t>Publication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EE61" w14:textId="33F5E41B" w:rsidR="006256BA" w:rsidRPr="004909C9" w:rsidRDefault="00112E9D" w:rsidP="004B2603">
    <w:pPr>
      <w:pStyle w:val="HeaderOdd"/>
    </w:pPr>
    <w:r>
      <w:rPr>
        <w:noProof/>
      </w:rPr>
      <w:pict w14:anchorId="4E978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8" o:spid="_x0000_s1104" type="#_x0000_t136" style="position:absolute;margin-left:0;margin-top:0;width:424.8pt;height:254.8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57216" behindDoc="0" locked="0" layoutInCell="1" allowOverlap="1" wp14:anchorId="118F7B02" wp14:editId="26DEF489">
              <wp:simplePos x="635" y="635"/>
              <wp:positionH relativeFrom="page">
                <wp:align>center</wp:align>
              </wp:positionH>
              <wp:positionV relativeFrom="page">
                <wp:align>top</wp:align>
              </wp:positionV>
              <wp:extent cx="551815" cy="452755"/>
              <wp:effectExtent l="0" t="0" r="635" b="4445"/>
              <wp:wrapNone/>
              <wp:docPr id="124387883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8679DE5"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F7B02" id="_x0000_t202" coordsize="21600,21600" o:spt="202" path="m,l,21600r21600,l21600,xe">
              <v:stroke joinstyle="miter"/>
              <v:path gradientshapeok="t" o:connecttype="rect"/>
            </v:shapetype>
            <v:shape id="_x0000_s1040" type="#_x0000_t202" alt="OFFICIAL" style="position:absolute;margin-left:0;margin-top:0;width:43.45pt;height:35.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textbox style="mso-fit-shape-to-text:t" inset="0,15pt,0,0">
                <w:txbxContent>
                  <w:p w14:paraId="78679DE5"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fldSimple w:instr="STYLEREF  &quot;Cover Title Main&quot;  \* MERGEFORMAT">
      <w:r w:rsidR="002E6837">
        <w:rPr>
          <w:noProof/>
        </w:rPr>
        <w:t>DRAFT Voluntary Tax Transparency Code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4D86" w14:textId="3E8A2E18" w:rsidR="006256BA" w:rsidRPr="00AA7ADC" w:rsidRDefault="00112E9D" w:rsidP="00AA7ADC">
    <w:pPr>
      <w:pStyle w:val="Header"/>
    </w:pPr>
    <w:r>
      <w:rPr>
        <w:noProof/>
      </w:rPr>
      <w:pict w14:anchorId="75A46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6" o:spid="_x0000_s1102" type="#_x0000_t136" style="position:absolute;margin-left:0;margin-top:0;width:424.8pt;height:254.8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53120" behindDoc="0" locked="0" layoutInCell="1" allowOverlap="1" wp14:anchorId="2508CCB3" wp14:editId="48C79841">
              <wp:simplePos x="635" y="635"/>
              <wp:positionH relativeFrom="page">
                <wp:align>center</wp:align>
              </wp:positionH>
              <wp:positionV relativeFrom="page">
                <wp:align>top</wp:align>
              </wp:positionV>
              <wp:extent cx="551815" cy="452755"/>
              <wp:effectExtent l="0" t="0" r="635" b="4445"/>
              <wp:wrapNone/>
              <wp:docPr id="137503482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1E4315F"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8CCB3" id="_x0000_t202" coordsize="21600,21600" o:spt="202" path="m,l,21600r21600,l21600,xe">
              <v:stroke joinstyle="miter"/>
              <v:path gradientshapeok="t" o:connecttype="rect"/>
            </v:shapetype>
            <v:shape id="Text Box 4" o:spid="_x0000_s1043" type="#_x0000_t202" alt="OFFICIAL" style="position:absolute;margin-left:0;margin-top:0;width:43.45pt;height:35.6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DQ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Ppbzz2UZq2TXn63z4asATaJRU4esJLDY&#10;cePDOXVKib0MrDulEjPK/ObAmtGTXSeMVhh2A+kanD7xGV07aE64lYMz4d7ydYe9N8yHZ+aQYVwE&#10;VRue8JAK+prCaFHSgvvxN3/MR+AxSkmPiqmpQUlTor4ZJCSKKxnFbV7meHOTezcZ5qDvAXVY4JOw&#10;PJkxL6jJlA70K+p5FRthiBmO7WoaJvM+nKWL74GL1SoloY4sCxuztTyWjnhFMF+GV+bsiHhAqh5h&#10;khOr3gB/zo1/ers6BIQ/sXIFcoQcNZh4Hd9LFPmv95R1fdXLn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CgJFZUNAgAAHQQA&#10;AA4AAAAAAAAAAAAAAAAALgIAAGRycy9lMm9Eb2MueG1sUEsBAi0AFAAGAAgAAAAhAAxeAg7aAAAA&#10;AwEAAA8AAAAAAAAAAAAAAAAAZwQAAGRycy9kb3ducmV2LnhtbFBLBQYAAAAABAAEAPMAAABuBQAA&#10;AAA=&#10;" filled="f" stroked="f">
              <v:textbox style="mso-fit-shape-to-text:t" inset="0,15pt,0,0">
                <w:txbxContent>
                  <w:p w14:paraId="31E4315F"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C8BC" w14:textId="0F6CE49C" w:rsidR="001D6A8A" w:rsidRDefault="00112E9D">
    <w:pPr>
      <w:framePr w:wrap="around" w:hAnchor="page" w:x="14460" w:yAlign="top" w:anchorLock="1"/>
      <w:textDirection w:val="tbRl"/>
      <w:rPr>
        <w:rStyle w:val="FramedHeader"/>
      </w:rPr>
    </w:pPr>
    <w:sdt>
      <w:sdtPr>
        <w:rPr>
          <w:rStyle w:val="FramedHeader"/>
        </w:rPr>
        <w:id w:val="1392393099"/>
        <w:docPartObj>
          <w:docPartGallery w:val="Watermarks"/>
          <w:docPartUnique/>
        </w:docPartObj>
      </w:sdtPr>
      <w:sdtEndPr>
        <w:rPr>
          <w:rStyle w:val="FramedHeader"/>
        </w:rPr>
      </w:sdtEndPr>
      <w:sdtContent/>
    </w:sdt>
    <w:r w:rsidR="00BB4866">
      <w:rPr>
        <w:rFonts w:ascii="Arial" w:hAnsi="Arial"/>
        <w:noProof/>
        <w:color w:val="000080"/>
        <w:sz w:val="18"/>
        <w:szCs w:val="18"/>
      </w:rPr>
      <mc:AlternateContent>
        <mc:Choice Requires="wps">
          <w:drawing>
            <wp:anchor distT="0" distB="0" distL="0" distR="0" simplePos="0" relativeHeight="251637760" behindDoc="0" locked="0" layoutInCell="1" allowOverlap="1" wp14:anchorId="73878D54" wp14:editId="17290A88">
              <wp:simplePos x="635" y="635"/>
              <wp:positionH relativeFrom="page">
                <wp:align>center</wp:align>
              </wp:positionH>
              <wp:positionV relativeFrom="page">
                <wp:align>top</wp:align>
              </wp:positionV>
              <wp:extent cx="551815" cy="452755"/>
              <wp:effectExtent l="0" t="0" r="635" b="4445"/>
              <wp:wrapNone/>
              <wp:docPr id="186891288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C052F50" w14:textId="7DF4F570" w:rsidR="00BB4866" w:rsidRPr="00BB4866" w:rsidRDefault="00BB4866" w:rsidP="00BB4866">
                          <w:pPr>
                            <w:spacing w:after="0"/>
                            <w:rPr>
                              <w:rFonts w:eastAsia="Calibri" w:cs="Calibri"/>
                              <w:noProof/>
                              <w:color w:val="FF0000"/>
                              <w:sz w:val="24"/>
                              <w:szCs w:val="24"/>
                            </w:rPr>
                          </w:pPr>
                          <w:r w:rsidRPr="00BB486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78D54" id="_x0000_t202" coordsize="21600,21600" o:spt="202" path="m,l,21600r21600,l21600,xe">
              <v:stroke joinstyle="miter"/>
              <v:path gradientshapeok="t" o:connecttype="rect"/>
            </v:shapetype>
            <v:shape id="Text Box 8" o:spid="_x0000_s1045" type="#_x0000_t202" alt="OFFICIAL" style="position:absolute;margin-left:0;margin-top:0;width:43.45pt;height:35.65pt;z-index:251637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DuDgIAAB0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XxqfwfNCadyMC7cW77usPaG+fDMHG4YB0HV&#10;hic8pIK+pnC2KGnB/fibP+Yj8RilpEfF1NSgpClR3wwuJIorGcVtXuZ4c5N7NxnmoO8BdVjgk7A8&#10;mTEvqMmUDvQr6nkVC2GIGY7lahom8z6M0sX3wMVqlZJQR5aFjdlaHqEjX5HMl+GVOXtmPOCqHmGS&#10;E6veED/mxj+9XR0C0p+2ErkdiTxTjhpMez2/lyjyX+8p6/qq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yd3DuDgIAAB0E&#10;AAAOAAAAAAAAAAAAAAAAAC4CAABkcnMvZTJvRG9jLnhtbFBLAQItABQABgAIAAAAIQAMXgIO2gAA&#10;AAMBAAAPAAAAAAAAAAAAAAAAAGgEAABkcnMvZG93bnJldi54bWxQSwUGAAAAAAQABADzAAAAbwUA&#10;AAAA&#10;" filled="f" stroked="f">
              <v:textbox style="mso-fit-shape-to-text:t" inset="0,15pt,0,0">
                <w:txbxContent>
                  <w:p w14:paraId="4C052F50" w14:textId="7DF4F570" w:rsidR="00BB4866" w:rsidRPr="00BB4866" w:rsidRDefault="00BB4866" w:rsidP="00BB4866">
                    <w:pPr>
                      <w:spacing w:after="0"/>
                      <w:rPr>
                        <w:rFonts w:eastAsia="Calibri" w:cs="Calibri"/>
                        <w:noProof/>
                        <w:color w:val="FF0000"/>
                        <w:sz w:val="24"/>
                        <w:szCs w:val="24"/>
                      </w:rPr>
                    </w:pPr>
                    <w:r w:rsidRPr="00BB4866">
                      <w:rPr>
                        <w:rFonts w:eastAsia="Calibri" w:cs="Calibri"/>
                        <w:noProof/>
                        <w:color w:val="FF0000"/>
                        <w:sz w:val="24"/>
                        <w:szCs w:val="24"/>
                      </w:rPr>
                      <w:t>OFFICIAL</w:t>
                    </w:r>
                  </w:p>
                </w:txbxContent>
              </v:textbox>
              <w10:wrap anchorx="page" anchory="page"/>
            </v:shape>
          </w:pict>
        </mc:Fallback>
      </mc:AlternateContent>
    </w:r>
    <w:r w:rsidR="001D6A8A">
      <w:rPr>
        <w:rStyle w:val="FramedHeader"/>
      </w:rPr>
      <w:t>Publication Title</w:t>
    </w:r>
  </w:p>
  <w:p w14:paraId="6F7AC416" w14:textId="1EAE8BB0" w:rsidR="001D6A8A" w:rsidRPr="005E0DC1" w:rsidRDefault="00112E9D" w:rsidP="005E0DC1">
    <w:pPr>
      <w:pStyle w:val="HeaderEven"/>
    </w:pPr>
    <w:r>
      <w:rPr>
        <w:noProof/>
      </w:rPr>
      <w:pict w14:anchorId="31567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50" o:spid="_x0000_s1106" type="#_x0000_t136" style="position:absolute;left:0;text-align:left;margin-left:49.9pt;margin-top:180.9pt;width:424.8pt;height:254.85pt;rotation:315;z-index:-251630592;mso-position-horizontal-relative:margin;mso-position-vertical-relative:margin" o:allowincell="f" fillcolor="silver" stroked="f">
          <v:fill opacity=".5"/>
          <v:textpath style="font-family:&quot;Calibri&quot;;font-size:1pt" string="DRAFT"/>
          <w10:wrap anchorx="margin" anchory="margin"/>
        </v:shape>
      </w:pict>
    </w:r>
    <w:fldSimple w:instr="STYLEREF  &quot;Cover Title Main&quot;  \* MERGEFORMAT">
      <w:r>
        <w:rPr>
          <w:noProof/>
        </w:rPr>
        <w:t>DRAFT Voluntary Tax Transparency Code</w:t>
      </w:r>
    </w:fldSimple>
    <w:r w:rsidR="00FC54A2" w:rsidRPr="005E0DC1">
      <w:rPr>
        <w:noProof/>
      </w:rPr>
      <w:drawing>
        <wp:anchor distT="0" distB="0" distL="114300" distR="114300" simplePos="0" relativeHeight="251582464" behindDoc="1" locked="1" layoutInCell="1" allowOverlap="1" wp14:anchorId="0C21A99E" wp14:editId="0274CB20">
          <wp:simplePos x="904875" y="952500"/>
          <wp:positionH relativeFrom="column">
            <wp:align>center</wp:align>
          </wp:positionH>
          <wp:positionV relativeFrom="page">
            <wp:align>top</wp:align>
          </wp:positionV>
          <wp:extent cx="7559675" cy="125857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4F65" w14:textId="43690CA3" w:rsidR="001D6A8A" w:rsidRPr="005E0DC1" w:rsidRDefault="00112E9D" w:rsidP="005E0DC1">
    <w:pPr>
      <w:pStyle w:val="HeaderOdd"/>
    </w:pPr>
    <w:r>
      <w:rPr>
        <w:noProof/>
      </w:rPr>
      <w:pict w14:anchorId="47F12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51" o:spid="_x0000_s1107" type="#_x0000_t136" style="position:absolute;margin-left:0;margin-top:0;width:424.8pt;height:254.8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298347176"/>
        <w:docPartObj>
          <w:docPartGallery w:val="Watermarks"/>
          <w:docPartUnique/>
        </w:docPartObj>
      </w:sdtPr>
      <w:sdtEndPr/>
      <w:sdtContent/>
    </w:sdt>
    <w:r w:rsidR="00BB4866">
      <w:rPr>
        <w:noProof/>
        <w14:numForm w14:val="default"/>
        <w14:numSpacing w14:val="default"/>
      </w:rPr>
      <mc:AlternateContent>
        <mc:Choice Requires="wps">
          <w:drawing>
            <wp:anchor distT="0" distB="0" distL="0" distR="0" simplePos="0" relativeHeight="251643904" behindDoc="0" locked="0" layoutInCell="1" allowOverlap="1" wp14:anchorId="68C924AF" wp14:editId="140A40DA">
              <wp:simplePos x="635" y="635"/>
              <wp:positionH relativeFrom="page">
                <wp:align>center</wp:align>
              </wp:positionH>
              <wp:positionV relativeFrom="page">
                <wp:align>top</wp:align>
              </wp:positionV>
              <wp:extent cx="551815" cy="452755"/>
              <wp:effectExtent l="0" t="0" r="635" b="4445"/>
              <wp:wrapNone/>
              <wp:docPr id="57190956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1B9A003"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924AF" id="_x0000_t202" coordsize="21600,21600" o:spt="202" path="m,l,21600r21600,l21600,xe">
              <v:stroke joinstyle="miter"/>
              <v:path gradientshapeok="t" o:connecttype="rect"/>
            </v:shapetype>
            <v:shape id="_x0000_s1046" type="#_x0000_t202" alt="OFFICIAL" style="position:absolute;margin-left:0;margin-top:0;width:43.45pt;height:35.65pt;z-index:251643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LTDgIAAB0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XY/fup/R00J5zKwbhwb/m6w9ob5sMTc7hhHARV&#10;Gx7xkAr6msLZoqQF9+Nv/piPxGOUkh4VU1ODkqZEfTO4kCiuZBSf8zLHm5vcu8kwB30HqMMCn4Tl&#10;yYx5QU2mdKBfUM+rWAhDzHAsV9MwmXdhlC6+By5Wq5SEOrIsbMzW8ggd+YpkPg8vzNkz4wFX9QCT&#10;nFj1ivgxN/7p7eoQkP60lcjtSOSZctRg2uv5vUSR/3pPWddXvfwJ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fyMLTDgIAAB0E&#10;AAAOAAAAAAAAAAAAAAAAAC4CAABkcnMvZTJvRG9jLnhtbFBLAQItABQABgAIAAAAIQAMXgIO2gAA&#10;AAMBAAAPAAAAAAAAAAAAAAAAAGgEAABkcnMvZG93bnJldi54bWxQSwUGAAAAAAQABADzAAAAbwUA&#10;AAAA&#10;" filled="f" stroked="f">
              <v:textbox style="mso-fit-shape-to-text:t" inset="0,15pt,0,0">
                <w:txbxContent>
                  <w:p w14:paraId="11B9A003"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r w:rsidR="00FC54A2" w:rsidRPr="005E0DC1">
      <w:rPr>
        <w:noProof/>
      </w:rPr>
      <w:drawing>
        <wp:anchor distT="0" distB="0" distL="114300" distR="114300" simplePos="0" relativeHeight="251587584" behindDoc="1" locked="1" layoutInCell="1" allowOverlap="1" wp14:anchorId="55A12AFE" wp14:editId="22FB3E1A">
          <wp:simplePos x="904875" y="800100"/>
          <wp:positionH relativeFrom="page">
            <wp:align>center</wp:align>
          </wp:positionH>
          <wp:positionV relativeFrom="page">
            <wp:align>top</wp:align>
          </wp:positionV>
          <wp:extent cx="7559675" cy="12585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4"/>
                  </a:xfrm>
                  <a:prstGeom prst="rect">
                    <a:avLst/>
                  </a:prstGeom>
                </pic:spPr>
              </pic:pic>
            </a:graphicData>
          </a:graphic>
          <wp14:sizeRelH relativeFrom="margin">
            <wp14:pctWidth>0</wp14:pctWidth>
          </wp14:sizeRelH>
          <wp14:sizeRelV relativeFrom="margin">
            <wp14:pctHeight>0</wp14:pctHeight>
          </wp14:sizeRelV>
        </wp:anchor>
      </w:drawing>
    </w:r>
    <w:fldSimple w:instr="STYLEREF  &quot;Cover Title Main&quot;  \* MERGEFORMAT">
      <w:r>
        <w:rPr>
          <w:noProof/>
        </w:rPr>
        <w:t>DRAFT Voluntary Tax Transparency Code</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9381" w14:textId="00E988AE" w:rsidR="00622D85" w:rsidRPr="001D6A8A" w:rsidRDefault="00112E9D" w:rsidP="001D6A8A">
    <w:pPr>
      <w:pStyle w:val="Header"/>
    </w:pPr>
    <w:r>
      <w:rPr>
        <w:noProof/>
      </w:rPr>
      <w:pict w14:anchorId="28989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65349" o:spid="_x0000_s1105" type="#_x0000_t136" style="position:absolute;margin-left:0;margin-top:0;width:424.8pt;height:254.8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B4866">
      <w:rPr>
        <w:noProof/>
        <w14:numForm w14:val="default"/>
        <w14:numSpacing w14:val="default"/>
      </w:rPr>
      <mc:AlternateContent>
        <mc:Choice Requires="wps">
          <w:drawing>
            <wp:anchor distT="0" distB="0" distL="0" distR="0" simplePos="0" relativeHeight="251630592" behindDoc="0" locked="0" layoutInCell="1" allowOverlap="1" wp14:anchorId="6DF01F3D" wp14:editId="11B43A00">
              <wp:simplePos x="635" y="635"/>
              <wp:positionH relativeFrom="page">
                <wp:align>center</wp:align>
              </wp:positionH>
              <wp:positionV relativeFrom="page">
                <wp:align>top</wp:align>
              </wp:positionV>
              <wp:extent cx="551815" cy="452755"/>
              <wp:effectExtent l="0" t="0" r="635" b="4445"/>
              <wp:wrapNone/>
              <wp:docPr id="14612697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18B282D" w14:textId="77777777" w:rsidR="00BB4866" w:rsidRPr="00BB4866" w:rsidRDefault="00BB4866" w:rsidP="00BB4866">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01F3D" id="_x0000_t202" coordsize="21600,21600" o:spt="202" path="m,l,21600r21600,l21600,xe">
              <v:stroke joinstyle="miter"/>
              <v:path gradientshapeok="t" o:connecttype="rect"/>
            </v:shapetype>
            <v:shape id="Text Box 7" o:spid="_x0000_s1049" type="#_x0000_t202" alt="OFFICIAL" style="position:absolute;margin-left:0;margin-top:0;width:43.45pt;height:35.65pt;z-index:251630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oYDgIAAB0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Rrs/mZqfwfNCadyMC7cW77usPaG+fDMHG4YB0HV&#10;hic8pIK+pnC2KGnB/fibP+Yj8RilpEfF1NSgpClR3wwuJIorGcXnvMzx5ib3bjLMQd8D6rDAJ2F5&#10;MmNeUJMpHehX1PMqFsIQMxzL1TRM5n0YpYvvgYvVKiWhjiwLG7O1PEJHviKZL8Mrc/bMeMBVPcIk&#10;J1a9IX7MjX96uzoEpD9tJXI7EnmmHDWY9np+L1Hkv95T1vVVL38C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GiroYDgIAAB0E&#10;AAAOAAAAAAAAAAAAAAAAAC4CAABkcnMvZTJvRG9jLnhtbFBLAQItABQABgAIAAAAIQAMXgIO2gAA&#10;AAMBAAAPAAAAAAAAAAAAAAAAAGgEAABkcnMvZG93bnJldi54bWxQSwUGAAAAAAQABADzAAAAbwUA&#10;AAAA&#10;" filled="f" stroked="f">
              <v:textbox style="mso-fit-shape-to-text:t" inset="0,15pt,0,0">
                <w:txbxContent>
                  <w:p w14:paraId="718B282D" w14:textId="77777777" w:rsidR="00BB4866" w:rsidRPr="00BB4866" w:rsidRDefault="00BB4866" w:rsidP="00BB4866">
                    <w:pPr>
                      <w:spacing w:after="0"/>
                      <w:rPr>
                        <w:rFonts w:eastAsia="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468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E3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42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66FB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B0D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877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4C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86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59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8045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21F48"/>
    <w:multiLevelType w:val="singleLevel"/>
    <w:tmpl w:val="F0B87A5C"/>
    <w:name w:val="Case study bullet List"/>
    <w:lvl w:ilvl="0">
      <w:start w:val="1"/>
      <w:numFmt w:val="bullet"/>
      <w:lvlRestart w:val="0"/>
      <w:lvlText w:val="•"/>
      <w:lvlJc w:val="left"/>
      <w:pPr>
        <w:tabs>
          <w:tab w:val="num" w:pos="283"/>
        </w:tabs>
        <w:ind w:left="283" w:hanging="283"/>
      </w:pPr>
      <w:rPr>
        <w:rFonts w:ascii="Book Antiqua" w:hAnsi="Book Antiqua"/>
        <w:b w:val="0"/>
        <w:i w:val="0"/>
        <w:color w:val="000080"/>
        <w:sz w:val="16"/>
      </w:rPr>
    </w:lvl>
  </w:abstractNum>
  <w:abstractNum w:abstractNumId="11" w15:restartNumberingAfterBreak="0">
    <w:nsid w:val="12266472"/>
    <w:multiLevelType w:val="multilevel"/>
    <w:tmpl w:val="3E163E82"/>
    <w:lvl w:ilvl="0">
      <w:start w:val="1"/>
      <w:numFmt w:val="bullet"/>
      <w:lvlText w:val="•"/>
      <w:lvlJc w:val="left"/>
      <w:pPr>
        <w:ind w:left="568" w:hanging="284"/>
      </w:pPr>
      <w:rPr>
        <w:rFonts w:ascii="Arial" w:hAnsi="Arial" w:hint="default"/>
        <w:color w:val="FFFFFF" w:themeColor="background1"/>
      </w:rPr>
    </w:lvl>
    <w:lvl w:ilvl="1">
      <w:start w:val="1"/>
      <w:numFmt w:val="bullet"/>
      <w:lvlText w:val="–"/>
      <w:lvlJc w:val="left"/>
      <w:pPr>
        <w:ind w:left="852" w:hanging="284"/>
      </w:pPr>
      <w:rPr>
        <w:rFonts w:ascii="Times New Roman" w:hAnsi="Times New Roman" w:cs="Times New Roman" w:hint="default"/>
      </w:rPr>
    </w:lvl>
    <w:lvl w:ilvl="2">
      <w:start w:val="1"/>
      <w:numFmt w:val="bullet"/>
      <w:lvlText w:val=":"/>
      <w:lvlJc w:val="left"/>
      <w:pPr>
        <w:ind w:left="1136" w:hanging="284"/>
      </w:pPr>
      <w:rPr>
        <w:rFonts w:ascii="Times New Roman" w:hAnsi="Times New Roman" w:cs="Times New Roman"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2" w15:restartNumberingAfterBreak="0">
    <w:nsid w:val="164A4E0E"/>
    <w:multiLevelType w:val="multilevel"/>
    <w:tmpl w:val="6B2272A8"/>
    <w:name w:val="BoTStandardBulletedList"/>
    <w:lvl w:ilvl="0">
      <w:start w:val="1"/>
      <w:numFmt w:val="bullet"/>
      <w:lvlRestart w:val="0"/>
      <w:lvlText w:val="•"/>
      <w:lvlJc w:val="left"/>
      <w:pPr>
        <w:tabs>
          <w:tab w:val="num" w:pos="567"/>
        </w:tabs>
        <w:ind w:left="567" w:hanging="567"/>
      </w:pPr>
      <w:rPr>
        <w:rFonts w:ascii="Times New Roman" w:hAnsi="Times New Roman" w:cs="Times New Roman"/>
        <w:b w:val="0"/>
        <w:i w:val="0"/>
      </w:rPr>
    </w:lvl>
    <w:lvl w:ilvl="1">
      <w:start w:val="1"/>
      <w:numFmt w:val="bullet"/>
      <w:lvlText w:val="–"/>
      <w:lvlJc w:val="left"/>
      <w:pPr>
        <w:tabs>
          <w:tab w:val="num" w:pos="1134"/>
        </w:tabs>
        <w:ind w:left="1134" w:hanging="567"/>
      </w:pPr>
      <w:rPr>
        <w:rFonts w:ascii="Times New Roman" w:hAnsi="Times New Roman" w:cs="Times New Roman"/>
        <w:b w:val="0"/>
        <w:i w:val="0"/>
      </w:rPr>
    </w:lvl>
    <w:lvl w:ilvl="2">
      <w:start w:val="1"/>
      <w:numFmt w:val="bullet"/>
      <w:lvlText w:val=":"/>
      <w:lvlJc w:val="left"/>
      <w:pPr>
        <w:tabs>
          <w:tab w:val="num" w:pos="1701"/>
        </w:tabs>
        <w:ind w:left="1701" w:hanging="567"/>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9C960FD"/>
    <w:multiLevelType w:val="multilevel"/>
    <w:tmpl w:val="0CAC953E"/>
    <w:name w:val="OneLevelNumberedParagraphList"/>
    <w:lvl w:ilvl="0">
      <w:start w:val="1"/>
      <w:numFmt w:val="decimal"/>
      <w:lvlRestart w:val="0"/>
      <w:lvlText w:val="%1."/>
      <w:lvlJc w:val="left"/>
      <w:pPr>
        <w:tabs>
          <w:tab w:val="num" w:pos="567"/>
        </w:tabs>
        <w:ind w:left="567" w:hanging="567"/>
      </w:pPr>
      <w:rPr>
        <w:rFonts w:asciiTheme="minorHAnsi" w:hAnsiTheme="minorHAnsi" w:cs="Times New Roman" w:hint="default"/>
        <w:b w:val="0"/>
        <w:i w:val="0"/>
        <w:color w:val="00000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4" w15:restartNumberingAfterBreak="0">
    <w:nsid w:val="244237C5"/>
    <w:multiLevelType w:val="multilevel"/>
    <w:tmpl w:val="D25A51D8"/>
    <w:name w:val="StandardNumberedList"/>
    <w:lvl w:ilvl="0">
      <w:start w:val="1"/>
      <w:numFmt w:val="decimal"/>
      <w:pStyle w:val="OutlineNumbered1"/>
      <w:lvlText w:val="%1."/>
      <w:lvlJc w:val="left"/>
      <w:pPr>
        <w:tabs>
          <w:tab w:val="num" w:pos="520"/>
        </w:tabs>
        <w:ind w:left="520" w:hanging="520"/>
      </w:pPr>
      <w:rPr>
        <w:b w:val="0"/>
        <w:i w:val="0"/>
      </w:rPr>
    </w:lvl>
    <w:lvl w:ilvl="1">
      <w:start w:val="1"/>
      <w:numFmt w:val="decimal"/>
      <w:pStyle w:val="OutlineNumbered2"/>
      <w:lvlText w:val="%1.%2."/>
      <w:lvlJc w:val="left"/>
      <w:pPr>
        <w:tabs>
          <w:tab w:val="num" w:pos="1040"/>
        </w:tabs>
        <w:ind w:left="1040" w:hanging="520"/>
      </w:pPr>
      <w:rPr>
        <w:b w:val="0"/>
        <w:i w:val="0"/>
      </w:rPr>
    </w:lvl>
    <w:lvl w:ilvl="2">
      <w:start w:val="1"/>
      <w:numFmt w:val="decimal"/>
      <w:pStyle w:val="OutlineNumbered3"/>
      <w:lvlText w:val="%1.%2.%3."/>
      <w:lvlJc w:val="left"/>
      <w:pPr>
        <w:tabs>
          <w:tab w:val="num" w:pos="1560"/>
        </w:tabs>
        <w:ind w:left="1560" w:hanging="52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27440C8B"/>
    <w:multiLevelType w:val="multilevel"/>
    <w:tmpl w:val="DE8403C4"/>
    <w:name w:val="NewParagraphList"/>
    <w:lvl w:ilvl="0">
      <w:start w:val="1"/>
      <w:numFmt w:val="decimal"/>
      <w:lvlRestart w:val="0"/>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6" w15:restartNumberingAfterBreak="0">
    <w:nsid w:val="2D665DFA"/>
    <w:multiLevelType w:val="singleLevel"/>
    <w:tmpl w:val="C0868FF0"/>
    <w:name w:val="RecommendationAlphaList"/>
    <w:lvl w:ilvl="0">
      <w:start w:val="1"/>
      <w:numFmt w:val="lowerLetter"/>
      <w:pStyle w:val="AlphaParagraph"/>
      <w:lvlText w:val="(%1)"/>
      <w:lvlJc w:val="left"/>
      <w:pPr>
        <w:ind w:left="360" w:hanging="360"/>
      </w:pPr>
      <w:rPr>
        <w:rFonts w:ascii="Calibri" w:hAnsi="Calibri" w:cs="Times New Roman" w:hint="default"/>
        <w:b w:val="0"/>
        <w:i w:val="0"/>
        <w:color w:val="auto"/>
        <w:sz w:val="22"/>
      </w:rPr>
    </w:lvl>
  </w:abstractNum>
  <w:abstractNum w:abstractNumId="17" w15:restartNumberingAfterBreak="0">
    <w:nsid w:val="2DCE64CC"/>
    <w:multiLevelType w:val="multilevel"/>
    <w:tmpl w:val="B7C46CDE"/>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142147" w:themeColor="accent1"/>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F54350"/>
    <w:multiLevelType w:val="multilevel"/>
    <w:tmpl w:val="FFFFFFFF"/>
    <w:styleLink w:val="Outlinenumbering"/>
    <w:lvl w:ilvl="0">
      <w:start w:val="1"/>
      <w:numFmt w:val="decimal"/>
      <w:lvlRestart w:val="0"/>
      <w:lvlText w:val="%1."/>
      <w:lvlJc w:val="left"/>
      <w:pPr>
        <w:tabs>
          <w:tab w:val="num" w:pos="567"/>
        </w:tabs>
        <w:ind w:left="567" w:hanging="567"/>
      </w:pPr>
      <w:rPr>
        <w:rFonts w:cs="Times New Roman" w:hint="default"/>
        <w:b w:val="0"/>
        <w:i w:val="0"/>
      </w:rPr>
    </w:lvl>
    <w:lvl w:ilvl="1">
      <w:start w:val="1"/>
      <w:numFmt w:val="decimal"/>
      <w:lvlText w:val="%1.%2."/>
      <w:lvlJc w:val="left"/>
      <w:pPr>
        <w:tabs>
          <w:tab w:val="num" w:pos="1134"/>
        </w:tabs>
        <w:ind w:left="1134" w:hanging="567"/>
      </w:pPr>
      <w:rPr>
        <w:rFonts w:cs="Times New Roman" w:hint="default"/>
        <w:b w:val="0"/>
        <w:i w:val="0"/>
      </w:rPr>
    </w:lvl>
    <w:lvl w:ilvl="2">
      <w:start w:val="1"/>
      <w:numFmt w:val="decimal"/>
      <w:lvlText w:val="%1.%2.%3."/>
      <w:lvlJc w:val="left"/>
      <w:pPr>
        <w:tabs>
          <w:tab w:val="num" w:pos="1984"/>
        </w:tabs>
        <w:ind w:left="1984" w:hanging="850"/>
      </w:pPr>
      <w:rPr>
        <w:rFonts w:cs="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9" w15:restartNumberingAfterBreak="0">
    <w:nsid w:val="3077770F"/>
    <w:multiLevelType w:val="multilevel"/>
    <w:tmpl w:val="34ECB6EE"/>
    <w:lvl w:ilvl="0">
      <w:start w:val="1"/>
      <w:numFmt w:val="bullet"/>
      <w:lvlText w:val="•"/>
      <w:lvlJc w:val="left"/>
      <w:pPr>
        <w:ind w:left="284" w:hanging="284"/>
      </w:pPr>
      <w:rPr>
        <w:rFonts w:ascii="Times New Roman" w:hAnsi="Times New Roman" w:cs="Times New Roman" w:hint="default"/>
        <w:color w:val="auto"/>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3700C6"/>
    <w:multiLevelType w:val="multilevel"/>
    <w:tmpl w:val="91921BC0"/>
    <w:lvl w:ilvl="0">
      <w:start w:val="1"/>
      <w:numFmt w:val="decimal"/>
      <w:pStyle w:val="NumberedParagraph1"/>
      <w:lvlText w:val="%1"/>
      <w:lvlJc w:val="left"/>
      <w:pPr>
        <w:ind w:left="567" w:hanging="567"/>
      </w:pPr>
      <w:rPr>
        <w:rFonts w:asciiTheme="minorHAnsi" w:hAnsiTheme="minorHAnsi" w:hint="default"/>
        <w:b w:val="0"/>
        <w:i w:val="0"/>
        <w:vanish w:val="0"/>
        <w:sz w:val="22"/>
      </w:rPr>
    </w:lvl>
    <w:lvl w:ilvl="1">
      <w:start w:val="1"/>
      <w:numFmt w:val="decimal"/>
      <w:pStyle w:val="NumberedParagraph11"/>
      <w:lvlText w:val="%1.%2"/>
      <w:lvlJc w:val="left"/>
      <w:pPr>
        <w:ind w:left="567" w:hanging="567"/>
      </w:pPr>
      <w:rPr>
        <w:rFonts w:hint="default"/>
        <w:b w:val="0"/>
        <w:i w:val="0"/>
      </w:rPr>
    </w:lvl>
    <w:lvl w:ilvl="2">
      <w:start w:val="1"/>
      <w:numFmt w:val="decimal"/>
      <w:pStyle w:val="NumberedParagraph111"/>
      <w:lvlText w:val="%1.%2.%3"/>
      <w:lvlJc w:val="left"/>
      <w:pPr>
        <w:ind w:left="567" w:hanging="567"/>
      </w:pPr>
      <w:rPr>
        <w:rFonts w:hint="default"/>
        <w:b w:val="0"/>
        <w:i w:val="0"/>
      </w:rPr>
    </w:lvl>
    <w:lvl w:ilvl="3">
      <w:start w:val="1"/>
      <w:numFmt w:val="lowerLetter"/>
      <w:pStyle w:val="NumberedParagraphalpha"/>
      <w:lvlText w:val="(%4)"/>
      <w:lvlJc w:val="left"/>
      <w:pPr>
        <w:ind w:left="1134" w:hanging="567"/>
      </w:pPr>
      <w:rPr>
        <w:rFonts w:hint="default"/>
        <w:b w:val="0"/>
        <w:i w:val="0"/>
      </w:rPr>
    </w:lvl>
    <w:lvl w:ilvl="4">
      <w:start w:val="1"/>
      <w:numFmt w:val="decimal"/>
      <w:pStyle w:val="NumberedParagraphnumbers"/>
      <w:lvlText w:val="(%5)"/>
      <w:lvlJc w:val="left"/>
      <w:pPr>
        <w:ind w:left="1134" w:hanging="567"/>
      </w:pPr>
      <w:rPr>
        <w:rFonts w:hint="default"/>
        <w:b w:val="0"/>
        <w:i w:val="0"/>
      </w:rPr>
    </w:lvl>
    <w:lvl w:ilvl="5">
      <w:start w:val="1"/>
      <w:numFmt w:val="lowerRoman"/>
      <w:pStyle w:val="NumberedParagraphroman"/>
      <w:lvlText w:val="(%6)"/>
      <w:lvlJc w:val="left"/>
      <w:pPr>
        <w:ind w:left="1134" w:hanging="567"/>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470A060D"/>
    <w:multiLevelType w:val="singleLevel"/>
    <w:tmpl w:val="7DD26AF0"/>
    <w:name w:val="RecommendationAlphaList"/>
    <w:lvl w:ilvl="0">
      <w:start w:val="1"/>
      <w:numFmt w:val="lowerLetter"/>
      <w:lvlText w:val="(%1)"/>
      <w:lvlJc w:val="left"/>
      <w:pPr>
        <w:ind w:left="360" w:hanging="360"/>
      </w:pPr>
      <w:rPr>
        <w:rFonts w:ascii="Calibri" w:hAnsi="Calibri" w:cs="Times New Roman" w:hint="default"/>
        <w:b w:val="0"/>
        <w:i w:val="0"/>
        <w:color w:val="auto"/>
      </w:rPr>
    </w:lvl>
  </w:abstractNum>
  <w:abstractNum w:abstractNumId="23" w15:restartNumberingAfterBreak="0">
    <w:nsid w:val="4CE06931"/>
    <w:multiLevelType w:val="singleLevel"/>
    <w:tmpl w:val="4BF4570C"/>
    <w:lvl w:ilvl="0">
      <w:start w:val="1"/>
      <w:numFmt w:val="lowerLetter"/>
      <w:pStyle w:val="Notealpha"/>
      <w:lvlText w:val="%1)"/>
      <w:lvlJc w:val="left"/>
      <w:pPr>
        <w:ind w:left="360" w:hanging="360"/>
      </w:pPr>
      <w:rPr>
        <w:rFonts w:hint="default"/>
        <w:b w:val="0"/>
        <w:i w:val="0"/>
        <w:color w:val="000000"/>
        <w:sz w:val="16"/>
      </w:rPr>
    </w:lvl>
  </w:abstractNum>
  <w:abstractNum w:abstractNumId="24" w15:restartNumberingAfterBreak="0">
    <w:nsid w:val="4DCF3A8E"/>
    <w:multiLevelType w:val="singleLevel"/>
    <w:tmpl w:val="00087A28"/>
    <w:name w:val="Roman numeral list"/>
    <w:lvl w:ilvl="0">
      <w:start w:val="1"/>
      <w:numFmt w:val="lowerRoman"/>
      <w:lvlRestart w:val="0"/>
      <w:pStyle w:val="Romannumeral"/>
      <w:lvlText w:val="(%1)"/>
      <w:lvlJc w:val="left"/>
      <w:pPr>
        <w:tabs>
          <w:tab w:val="num" w:pos="1134"/>
        </w:tabs>
        <w:ind w:left="1134" w:hanging="567"/>
      </w:pPr>
      <w:rPr>
        <w:b w:val="0"/>
        <w:i w:val="0"/>
        <w:color w:val="000000"/>
      </w:rPr>
    </w:lvl>
  </w:abstractNum>
  <w:abstractNum w:abstractNumId="25" w15:restartNumberingAfterBreak="0">
    <w:nsid w:val="58101827"/>
    <w:multiLevelType w:val="multilevel"/>
    <w:tmpl w:val="5C8E20D0"/>
    <w:name w:val="BoxBulletedList"/>
    <w:lvl w:ilvl="0">
      <w:start w:val="1"/>
      <w:numFmt w:val="bullet"/>
      <w:pStyle w:val="BoxBullet"/>
      <w:lvlText w:val="•"/>
      <w:lvlJc w:val="left"/>
      <w:pPr>
        <w:ind w:left="284" w:hanging="284"/>
      </w:pPr>
      <w:rPr>
        <w:rFonts w:ascii="Segoe UI" w:hAnsi="Segoe U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xDash"/>
      <w:lvlText w:val="–"/>
      <w:lvlJc w:val="left"/>
      <w:pPr>
        <w:tabs>
          <w:tab w:val="num" w:pos="567"/>
        </w:tabs>
        <w:ind w:left="568" w:hanging="284"/>
      </w:pPr>
      <w:rPr>
        <w:rFonts w:hint="default"/>
        <w:b w:val="0"/>
        <w:i w:val="0"/>
      </w:rPr>
    </w:lvl>
    <w:lvl w:ilvl="2">
      <w:start w:val="1"/>
      <w:numFmt w:val="bullet"/>
      <w:pStyle w:val="BoxDoubleDo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16cid:durableId="1299408905">
    <w:abstractNumId w:val="14"/>
  </w:num>
  <w:num w:numId="2" w16cid:durableId="982851464">
    <w:abstractNumId w:val="16"/>
  </w:num>
  <w:num w:numId="3" w16cid:durableId="1114134390">
    <w:abstractNumId w:val="23"/>
  </w:num>
  <w:num w:numId="4" w16cid:durableId="1722971660">
    <w:abstractNumId w:val="25"/>
  </w:num>
  <w:num w:numId="5" w16cid:durableId="1784569137">
    <w:abstractNumId w:val="24"/>
  </w:num>
  <w:num w:numId="6" w16cid:durableId="744259204">
    <w:abstractNumId w:val="21"/>
  </w:num>
  <w:num w:numId="7" w16cid:durableId="1293096655">
    <w:abstractNumId w:val="20"/>
  </w:num>
  <w:num w:numId="8" w16cid:durableId="866067138">
    <w:abstractNumId w:val="19"/>
  </w:num>
  <w:num w:numId="9" w16cid:durableId="1231381608">
    <w:abstractNumId w:val="9"/>
  </w:num>
  <w:num w:numId="10" w16cid:durableId="1435131293">
    <w:abstractNumId w:val="7"/>
  </w:num>
  <w:num w:numId="11" w16cid:durableId="977760185">
    <w:abstractNumId w:val="6"/>
  </w:num>
  <w:num w:numId="12" w16cid:durableId="1864050206">
    <w:abstractNumId w:val="5"/>
  </w:num>
  <w:num w:numId="13" w16cid:durableId="1043403270">
    <w:abstractNumId w:val="4"/>
  </w:num>
  <w:num w:numId="14" w16cid:durableId="1530412670">
    <w:abstractNumId w:val="8"/>
  </w:num>
  <w:num w:numId="15" w16cid:durableId="1661618011">
    <w:abstractNumId w:val="3"/>
  </w:num>
  <w:num w:numId="16" w16cid:durableId="1373652150">
    <w:abstractNumId w:val="2"/>
  </w:num>
  <w:num w:numId="17" w16cid:durableId="1278172958">
    <w:abstractNumId w:val="1"/>
  </w:num>
  <w:num w:numId="18" w16cid:durableId="1586955393">
    <w:abstractNumId w:val="0"/>
  </w:num>
  <w:num w:numId="19" w16cid:durableId="1231618955">
    <w:abstractNumId w:val="18"/>
  </w:num>
  <w:num w:numId="20" w16cid:durableId="796216386">
    <w:abstractNumId w:val="11"/>
  </w:num>
  <w:num w:numId="21" w16cid:durableId="1498230854">
    <w:abstractNumId w:val="17"/>
  </w:num>
  <w:num w:numId="22" w16cid:durableId="1516965069">
    <w:abstractNumId w:val="17"/>
  </w:num>
  <w:num w:numId="23" w16cid:durableId="1757484191">
    <w:abstractNumId w:val="17"/>
  </w:num>
  <w:num w:numId="24" w16cid:durableId="433746915">
    <w:abstractNumId w:val="17"/>
  </w:num>
  <w:num w:numId="25" w16cid:durableId="223370522">
    <w:abstractNumId w:val="17"/>
  </w:num>
  <w:num w:numId="26" w16cid:durableId="45980336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66"/>
    <w:rsid w:val="00000466"/>
    <w:rsid w:val="0000047D"/>
    <w:rsid w:val="000005B8"/>
    <w:rsid w:val="00000F3E"/>
    <w:rsid w:val="00001318"/>
    <w:rsid w:val="00001B2C"/>
    <w:rsid w:val="00001DEE"/>
    <w:rsid w:val="00001EA2"/>
    <w:rsid w:val="000022B9"/>
    <w:rsid w:val="00002617"/>
    <w:rsid w:val="00003192"/>
    <w:rsid w:val="000033BC"/>
    <w:rsid w:val="00003465"/>
    <w:rsid w:val="000034C6"/>
    <w:rsid w:val="000035AE"/>
    <w:rsid w:val="0000416E"/>
    <w:rsid w:val="0000435E"/>
    <w:rsid w:val="000044D0"/>
    <w:rsid w:val="00004520"/>
    <w:rsid w:val="00004778"/>
    <w:rsid w:val="00004C94"/>
    <w:rsid w:val="0000513C"/>
    <w:rsid w:val="00005399"/>
    <w:rsid w:val="000058CA"/>
    <w:rsid w:val="00005920"/>
    <w:rsid w:val="00006A30"/>
    <w:rsid w:val="00006E0F"/>
    <w:rsid w:val="00006E2D"/>
    <w:rsid w:val="000078A0"/>
    <w:rsid w:val="00007E19"/>
    <w:rsid w:val="000105CA"/>
    <w:rsid w:val="00010B47"/>
    <w:rsid w:val="0001124D"/>
    <w:rsid w:val="0001175A"/>
    <w:rsid w:val="000118D3"/>
    <w:rsid w:val="00012758"/>
    <w:rsid w:val="00012BAE"/>
    <w:rsid w:val="00012E3C"/>
    <w:rsid w:val="00012F3D"/>
    <w:rsid w:val="00013013"/>
    <w:rsid w:val="000133B9"/>
    <w:rsid w:val="0001365F"/>
    <w:rsid w:val="0001386B"/>
    <w:rsid w:val="000138B8"/>
    <w:rsid w:val="00013B73"/>
    <w:rsid w:val="00014231"/>
    <w:rsid w:val="00014281"/>
    <w:rsid w:val="00014423"/>
    <w:rsid w:val="000146F1"/>
    <w:rsid w:val="0001497D"/>
    <w:rsid w:val="0001499C"/>
    <w:rsid w:val="00014F3E"/>
    <w:rsid w:val="00015557"/>
    <w:rsid w:val="00015586"/>
    <w:rsid w:val="0001618E"/>
    <w:rsid w:val="00016605"/>
    <w:rsid w:val="00016606"/>
    <w:rsid w:val="0001696E"/>
    <w:rsid w:val="00017457"/>
    <w:rsid w:val="00017A87"/>
    <w:rsid w:val="00017B78"/>
    <w:rsid w:val="00017BD0"/>
    <w:rsid w:val="00017D96"/>
    <w:rsid w:val="00017E22"/>
    <w:rsid w:val="00017F5D"/>
    <w:rsid w:val="000201EE"/>
    <w:rsid w:val="000204AD"/>
    <w:rsid w:val="00021002"/>
    <w:rsid w:val="00021E95"/>
    <w:rsid w:val="00021F0D"/>
    <w:rsid w:val="00021F6C"/>
    <w:rsid w:val="00022378"/>
    <w:rsid w:val="00022389"/>
    <w:rsid w:val="0002249E"/>
    <w:rsid w:val="000225E7"/>
    <w:rsid w:val="000228E6"/>
    <w:rsid w:val="00022B24"/>
    <w:rsid w:val="0002383F"/>
    <w:rsid w:val="00024831"/>
    <w:rsid w:val="00024E34"/>
    <w:rsid w:val="00024EF1"/>
    <w:rsid w:val="00025118"/>
    <w:rsid w:val="00025388"/>
    <w:rsid w:val="00025DBE"/>
    <w:rsid w:val="000268C6"/>
    <w:rsid w:val="00026BA2"/>
    <w:rsid w:val="00026F26"/>
    <w:rsid w:val="0002700F"/>
    <w:rsid w:val="0002791F"/>
    <w:rsid w:val="000279A8"/>
    <w:rsid w:val="00027C2A"/>
    <w:rsid w:val="00027F67"/>
    <w:rsid w:val="0003021B"/>
    <w:rsid w:val="00030A01"/>
    <w:rsid w:val="00030B2C"/>
    <w:rsid w:val="00031570"/>
    <w:rsid w:val="00031A82"/>
    <w:rsid w:val="00031AC3"/>
    <w:rsid w:val="00031D5A"/>
    <w:rsid w:val="00031E96"/>
    <w:rsid w:val="000323F8"/>
    <w:rsid w:val="000324CE"/>
    <w:rsid w:val="00032511"/>
    <w:rsid w:val="0003284F"/>
    <w:rsid w:val="0003320D"/>
    <w:rsid w:val="0003326D"/>
    <w:rsid w:val="0003335A"/>
    <w:rsid w:val="000335F1"/>
    <w:rsid w:val="00033825"/>
    <w:rsid w:val="00033999"/>
    <w:rsid w:val="00033C13"/>
    <w:rsid w:val="000342D9"/>
    <w:rsid w:val="00034350"/>
    <w:rsid w:val="00034838"/>
    <w:rsid w:val="000348E8"/>
    <w:rsid w:val="00034961"/>
    <w:rsid w:val="00034B9A"/>
    <w:rsid w:val="00034EF8"/>
    <w:rsid w:val="00034F7D"/>
    <w:rsid w:val="000350AC"/>
    <w:rsid w:val="0003573E"/>
    <w:rsid w:val="00035908"/>
    <w:rsid w:val="00035AE2"/>
    <w:rsid w:val="00035C9F"/>
    <w:rsid w:val="00035F6B"/>
    <w:rsid w:val="000361A2"/>
    <w:rsid w:val="00036361"/>
    <w:rsid w:val="00036436"/>
    <w:rsid w:val="00036521"/>
    <w:rsid w:val="000369AC"/>
    <w:rsid w:val="00036A95"/>
    <w:rsid w:val="00036AAD"/>
    <w:rsid w:val="00036C14"/>
    <w:rsid w:val="00036F66"/>
    <w:rsid w:val="000372FD"/>
    <w:rsid w:val="0003739A"/>
    <w:rsid w:val="0003759C"/>
    <w:rsid w:val="00037941"/>
    <w:rsid w:val="00037AF8"/>
    <w:rsid w:val="0004037F"/>
    <w:rsid w:val="000404A0"/>
    <w:rsid w:val="00040B75"/>
    <w:rsid w:val="00041235"/>
    <w:rsid w:val="00041253"/>
    <w:rsid w:val="0004126D"/>
    <w:rsid w:val="00041463"/>
    <w:rsid w:val="000417B5"/>
    <w:rsid w:val="000417CF"/>
    <w:rsid w:val="00041A0B"/>
    <w:rsid w:val="00041A25"/>
    <w:rsid w:val="0004229D"/>
    <w:rsid w:val="00042573"/>
    <w:rsid w:val="00042852"/>
    <w:rsid w:val="0004321C"/>
    <w:rsid w:val="000436F3"/>
    <w:rsid w:val="00043B0F"/>
    <w:rsid w:val="00043B88"/>
    <w:rsid w:val="000443C2"/>
    <w:rsid w:val="00044636"/>
    <w:rsid w:val="00044698"/>
    <w:rsid w:val="000446C8"/>
    <w:rsid w:val="0004496A"/>
    <w:rsid w:val="00044C2F"/>
    <w:rsid w:val="00044E64"/>
    <w:rsid w:val="00045448"/>
    <w:rsid w:val="00045610"/>
    <w:rsid w:val="0004563A"/>
    <w:rsid w:val="0004574D"/>
    <w:rsid w:val="00045E45"/>
    <w:rsid w:val="00046065"/>
    <w:rsid w:val="0004609A"/>
    <w:rsid w:val="0004642C"/>
    <w:rsid w:val="00046620"/>
    <w:rsid w:val="00046681"/>
    <w:rsid w:val="00046961"/>
    <w:rsid w:val="000469C1"/>
    <w:rsid w:val="000473D6"/>
    <w:rsid w:val="0004752B"/>
    <w:rsid w:val="00047535"/>
    <w:rsid w:val="00047B9F"/>
    <w:rsid w:val="000503DD"/>
    <w:rsid w:val="00050463"/>
    <w:rsid w:val="00050B5B"/>
    <w:rsid w:val="00050BB3"/>
    <w:rsid w:val="00050C4A"/>
    <w:rsid w:val="000516DB"/>
    <w:rsid w:val="000516FA"/>
    <w:rsid w:val="00051932"/>
    <w:rsid w:val="00051C95"/>
    <w:rsid w:val="00052303"/>
    <w:rsid w:val="00052448"/>
    <w:rsid w:val="00052913"/>
    <w:rsid w:val="00052D70"/>
    <w:rsid w:val="0005306B"/>
    <w:rsid w:val="00053134"/>
    <w:rsid w:val="00053244"/>
    <w:rsid w:val="00053508"/>
    <w:rsid w:val="00053A04"/>
    <w:rsid w:val="00053B8A"/>
    <w:rsid w:val="00053D71"/>
    <w:rsid w:val="00053E74"/>
    <w:rsid w:val="00053E9F"/>
    <w:rsid w:val="00053FC8"/>
    <w:rsid w:val="00054185"/>
    <w:rsid w:val="000549FF"/>
    <w:rsid w:val="00054EC9"/>
    <w:rsid w:val="000552D5"/>
    <w:rsid w:val="00055E0E"/>
    <w:rsid w:val="000562B7"/>
    <w:rsid w:val="000568DA"/>
    <w:rsid w:val="00056B5A"/>
    <w:rsid w:val="00056D56"/>
    <w:rsid w:val="00057052"/>
    <w:rsid w:val="0006003A"/>
    <w:rsid w:val="0006030C"/>
    <w:rsid w:val="000606EB"/>
    <w:rsid w:val="00060824"/>
    <w:rsid w:val="000608E4"/>
    <w:rsid w:val="000608EB"/>
    <w:rsid w:val="00060BA1"/>
    <w:rsid w:val="00061063"/>
    <w:rsid w:val="000613F5"/>
    <w:rsid w:val="00061CC8"/>
    <w:rsid w:val="000620F8"/>
    <w:rsid w:val="000621CA"/>
    <w:rsid w:val="00062245"/>
    <w:rsid w:val="00062425"/>
    <w:rsid w:val="0006262B"/>
    <w:rsid w:val="00062C3A"/>
    <w:rsid w:val="00062EC8"/>
    <w:rsid w:val="00063721"/>
    <w:rsid w:val="00063BA5"/>
    <w:rsid w:val="0006421A"/>
    <w:rsid w:val="00064895"/>
    <w:rsid w:val="00064B3A"/>
    <w:rsid w:val="00064C71"/>
    <w:rsid w:val="00064E6A"/>
    <w:rsid w:val="00065009"/>
    <w:rsid w:val="00065074"/>
    <w:rsid w:val="000650A2"/>
    <w:rsid w:val="0006547E"/>
    <w:rsid w:val="00065492"/>
    <w:rsid w:val="00065493"/>
    <w:rsid w:val="00065568"/>
    <w:rsid w:val="00065695"/>
    <w:rsid w:val="00065E8C"/>
    <w:rsid w:val="000669D4"/>
    <w:rsid w:val="00066E87"/>
    <w:rsid w:val="00066EBF"/>
    <w:rsid w:val="0006707F"/>
    <w:rsid w:val="00067736"/>
    <w:rsid w:val="0006773F"/>
    <w:rsid w:val="00067A13"/>
    <w:rsid w:val="00067BF2"/>
    <w:rsid w:val="00070291"/>
    <w:rsid w:val="00070534"/>
    <w:rsid w:val="00070AAB"/>
    <w:rsid w:val="00071573"/>
    <w:rsid w:val="00071630"/>
    <w:rsid w:val="00071873"/>
    <w:rsid w:val="00071A94"/>
    <w:rsid w:val="0007223F"/>
    <w:rsid w:val="000724E0"/>
    <w:rsid w:val="00072858"/>
    <w:rsid w:val="00073079"/>
    <w:rsid w:val="00073216"/>
    <w:rsid w:val="00073587"/>
    <w:rsid w:val="0007372D"/>
    <w:rsid w:val="0007392C"/>
    <w:rsid w:val="00073D92"/>
    <w:rsid w:val="00074976"/>
    <w:rsid w:val="00074F7B"/>
    <w:rsid w:val="000757BB"/>
    <w:rsid w:val="000758F5"/>
    <w:rsid w:val="00075F0D"/>
    <w:rsid w:val="00076985"/>
    <w:rsid w:val="000769D5"/>
    <w:rsid w:val="00076C55"/>
    <w:rsid w:val="00077407"/>
    <w:rsid w:val="000776BF"/>
    <w:rsid w:val="0007779F"/>
    <w:rsid w:val="00077FB3"/>
    <w:rsid w:val="000802B8"/>
    <w:rsid w:val="00080919"/>
    <w:rsid w:val="00080965"/>
    <w:rsid w:val="00080A2E"/>
    <w:rsid w:val="00080B28"/>
    <w:rsid w:val="00080B6B"/>
    <w:rsid w:val="000810D5"/>
    <w:rsid w:val="00081499"/>
    <w:rsid w:val="00081659"/>
    <w:rsid w:val="00081A4E"/>
    <w:rsid w:val="00081AD2"/>
    <w:rsid w:val="00082088"/>
    <w:rsid w:val="000821C8"/>
    <w:rsid w:val="0008243C"/>
    <w:rsid w:val="00082476"/>
    <w:rsid w:val="000825B3"/>
    <w:rsid w:val="00082A4F"/>
    <w:rsid w:val="00082B11"/>
    <w:rsid w:val="00082E89"/>
    <w:rsid w:val="00082FC1"/>
    <w:rsid w:val="0008325A"/>
    <w:rsid w:val="0008334C"/>
    <w:rsid w:val="000844BD"/>
    <w:rsid w:val="00084A4D"/>
    <w:rsid w:val="00085404"/>
    <w:rsid w:val="000854F0"/>
    <w:rsid w:val="00085642"/>
    <w:rsid w:val="0008564F"/>
    <w:rsid w:val="00085A54"/>
    <w:rsid w:val="00085B3E"/>
    <w:rsid w:val="00085E8B"/>
    <w:rsid w:val="000864A3"/>
    <w:rsid w:val="00086A33"/>
    <w:rsid w:val="00086B29"/>
    <w:rsid w:val="00086C4C"/>
    <w:rsid w:val="00086E7D"/>
    <w:rsid w:val="0008710D"/>
    <w:rsid w:val="0008738A"/>
    <w:rsid w:val="00087393"/>
    <w:rsid w:val="00087427"/>
    <w:rsid w:val="0008745E"/>
    <w:rsid w:val="00087D98"/>
    <w:rsid w:val="0009036D"/>
    <w:rsid w:val="0009041F"/>
    <w:rsid w:val="000906AB"/>
    <w:rsid w:val="00090F8E"/>
    <w:rsid w:val="00091169"/>
    <w:rsid w:val="000916A3"/>
    <w:rsid w:val="00091C84"/>
    <w:rsid w:val="00091DD8"/>
    <w:rsid w:val="00092324"/>
    <w:rsid w:val="00092407"/>
    <w:rsid w:val="00092746"/>
    <w:rsid w:val="000927E7"/>
    <w:rsid w:val="00093053"/>
    <w:rsid w:val="00093188"/>
    <w:rsid w:val="000936BD"/>
    <w:rsid w:val="000937D0"/>
    <w:rsid w:val="00093A4B"/>
    <w:rsid w:val="00093DBB"/>
    <w:rsid w:val="0009440A"/>
    <w:rsid w:val="000944A2"/>
    <w:rsid w:val="00094558"/>
    <w:rsid w:val="00094562"/>
    <w:rsid w:val="00094A81"/>
    <w:rsid w:val="00094AF8"/>
    <w:rsid w:val="00094D53"/>
    <w:rsid w:val="0009533E"/>
    <w:rsid w:val="0009538F"/>
    <w:rsid w:val="00095889"/>
    <w:rsid w:val="00095B40"/>
    <w:rsid w:val="00095E5B"/>
    <w:rsid w:val="00095F50"/>
    <w:rsid w:val="000969B4"/>
    <w:rsid w:val="00096BC3"/>
    <w:rsid w:val="00096EEE"/>
    <w:rsid w:val="000971C1"/>
    <w:rsid w:val="000973C5"/>
    <w:rsid w:val="00097403"/>
    <w:rsid w:val="0009774E"/>
    <w:rsid w:val="00097830"/>
    <w:rsid w:val="00097B03"/>
    <w:rsid w:val="00097DF5"/>
    <w:rsid w:val="000A0023"/>
    <w:rsid w:val="000A005D"/>
    <w:rsid w:val="000A06CB"/>
    <w:rsid w:val="000A0827"/>
    <w:rsid w:val="000A09B1"/>
    <w:rsid w:val="000A0AA5"/>
    <w:rsid w:val="000A0AA7"/>
    <w:rsid w:val="000A0DF9"/>
    <w:rsid w:val="000A0FB4"/>
    <w:rsid w:val="000A1607"/>
    <w:rsid w:val="000A1C77"/>
    <w:rsid w:val="000A21DE"/>
    <w:rsid w:val="000A2268"/>
    <w:rsid w:val="000A25E9"/>
    <w:rsid w:val="000A2806"/>
    <w:rsid w:val="000A2BAC"/>
    <w:rsid w:val="000A2EB3"/>
    <w:rsid w:val="000A30AA"/>
    <w:rsid w:val="000A3A17"/>
    <w:rsid w:val="000A3BFF"/>
    <w:rsid w:val="000A3EB1"/>
    <w:rsid w:val="000A4029"/>
    <w:rsid w:val="000A4191"/>
    <w:rsid w:val="000A4196"/>
    <w:rsid w:val="000A4BCF"/>
    <w:rsid w:val="000A4D99"/>
    <w:rsid w:val="000A5101"/>
    <w:rsid w:val="000A51C8"/>
    <w:rsid w:val="000A5720"/>
    <w:rsid w:val="000A57E1"/>
    <w:rsid w:val="000A5C0A"/>
    <w:rsid w:val="000A5E71"/>
    <w:rsid w:val="000A63D0"/>
    <w:rsid w:val="000A64B6"/>
    <w:rsid w:val="000A693F"/>
    <w:rsid w:val="000A699D"/>
    <w:rsid w:val="000A6A1B"/>
    <w:rsid w:val="000A6A20"/>
    <w:rsid w:val="000A6AC1"/>
    <w:rsid w:val="000A6B01"/>
    <w:rsid w:val="000A6BC4"/>
    <w:rsid w:val="000A70D9"/>
    <w:rsid w:val="000A716C"/>
    <w:rsid w:val="000A7B72"/>
    <w:rsid w:val="000B0034"/>
    <w:rsid w:val="000B020D"/>
    <w:rsid w:val="000B0353"/>
    <w:rsid w:val="000B0C2B"/>
    <w:rsid w:val="000B114C"/>
    <w:rsid w:val="000B12E8"/>
    <w:rsid w:val="000B174B"/>
    <w:rsid w:val="000B175B"/>
    <w:rsid w:val="000B17AE"/>
    <w:rsid w:val="000B2641"/>
    <w:rsid w:val="000B2685"/>
    <w:rsid w:val="000B287C"/>
    <w:rsid w:val="000B2A54"/>
    <w:rsid w:val="000B2F4A"/>
    <w:rsid w:val="000B3548"/>
    <w:rsid w:val="000B3601"/>
    <w:rsid w:val="000B3C2E"/>
    <w:rsid w:val="000B3CFF"/>
    <w:rsid w:val="000B3E90"/>
    <w:rsid w:val="000B3F05"/>
    <w:rsid w:val="000B408D"/>
    <w:rsid w:val="000B40C2"/>
    <w:rsid w:val="000B4241"/>
    <w:rsid w:val="000B48E4"/>
    <w:rsid w:val="000B49C5"/>
    <w:rsid w:val="000B49CB"/>
    <w:rsid w:val="000B4B2A"/>
    <w:rsid w:val="000B4E0D"/>
    <w:rsid w:val="000B4E55"/>
    <w:rsid w:val="000B4EA7"/>
    <w:rsid w:val="000B570E"/>
    <w:rsid w:val="000B580F"/>
    <w:rsid w:val="000B58C1"/>
    <w:rsid w:val="000B5E0B"/>
    <w:rsid w:val="000B5F14"/>
    <w:rsid w:val="000B5F83"/>
    <w:rsid w:val="000B64E8"/>
    <w:rsid w:val="000B667C"/>
    <w:rsid w:val="000B69AE"/>
    <w:rsid w:val="000B6A15"/>
    <w:rsid w:val="000B6D7D"/>
    <w:rsid w:val="000B6F90"/>
    <w:rsid w:val="000C06B2"/>
    <w:rsid w:val="000C0D08"/>
    <w:rsid w:val="000C0D5E"/>
    <w:rsid w:val="000C181C"/>
    <w:rsid w:val="000C1928"/>
    <w:rsid w:val="000C1C37"/>
    <w:rsid w:val="000C23CA"/>
    <w:rsid w:val="000C2414"/>
    <w:rsid w:val="000C27A0"/>
    <w:rsid w:val="000C2A31"/>
    <w:rsid w:val="000C2A6C"/>
    <w:rsid w:val="000C30E3"/>
    <w:rsid w:val="000C312A"/>
    <w:rsid w:val="000C324D"/>
    <w:rsid w:val="000C34AB"/>
    <w:rsid w:val="000C3502"/>
    <w:rsid w:val="000C3612"/>
    <w:rsid w:val="000C3682"/>
    <w:rsid w:val="000C3AFD"/>
    <w:rsid w:val="000C3C6F"/>
    <w:rsid w:val="000C40F9"/>
    <w:rsid w:val="000C46C0"/>
    <w:rsid w:val="000C48F6"/>
    <w:rsid w:val="000C50F0"/>
    <w:rsid w:val="000C5117"/>
    <w:rsid w:val="000C51B1"/>
    <w:rsid w:val="000C5E0B"/>
    <w:rsid w:val="000C6070"/>
    <w:rsid w:val="000C6209"/>
    <w:rsid w:val="000C6614"/>
    <w:rsid w:val="000C6630"/>
    <w:rsid w:val="000C694A"/>
    <w:rsid w:val="000C6C0A"/>
    <w:rsid w:val="000C6D40"/>
    <w:rsid w:val="000C6D8B"/>
    <w:rsid w:val="000C708D"/>
    <w:rsid w:val="000C7449"/>
    <w:rsid w:val="000C77E7"/>
    <w:rsid w:val="000D03BF"/>
    <w:rsid w:val="000D055B"/>
    <w:rsid w:val="000D0699"/>
    <w:rsid w:val="000D0A1A"/>
    <w:rsid w:val="000D113C"/>
    <w:rsid w:val="000D197D"/>
    <w:rsid w:val="000D1DF6"/>
    <w:rsid w:val="000D1DFE"/>
    <w:rsid w:val="000D226C"/>
    <w:rsid w:val="000D279F"/>
    <w:rsid w:val="000D27DA"/>
    <w:rsid w:val="000D284D"/>
    <w:rsid w:val="000D2994"/>
    <w:rsid w:val="000D2A97"/>
    <w:rsid w:val="000D2B2F"/>
    <w:rsid w:val="000D2E0E"/>
    <w:rsid w:val="000D2E53"/>
    <w:rsid w:val="000D2E89"/>
    <w:rsid w:val="000D2E95"/>
    <w:rsid w:val="000D2EEE"/>
    <w:rsid w:val="000D33BC"/>
    <w:rsid w:val="000D34C0"/>
    <w:rsid w:val="000D370C"/>
    <w:rsid w:val="000D3883"/>
    <w:rsid w:val="000D3B35"/>
    <w:rsid w:val="000D411C"/>
    <w:rsid w:val="000D41AA"/>
    <w:rsid w:val="000D4EA8"/>
    <w:rsid w:val="000D51BF"/>
    <w:rsid w:val="000D5735"/>
    <w:rsid w:val="000D58B6"/>
    <w:rsid w:val="000D698D"/>
    <w:rsid w:val="000D6BFF"/>
    <w:rsid w:val="000D7144"/>
    <w:rsid w:val="000D71B5"/>
    <w:rsid w:val="000D78B9"/>
    <w:rsid w:val="000D7CF6"/>
    <w:rsid w:val="000D7D89"/>
    <w:rsid w:val="000E0078"/>
    <w:rsid w:val="000E00BC"/>
    <w:rsid w:val="000E0B77"/>
    <w:rsid w:val="000E11EA"/>
    <w:rsid w:val="000E14ED"/>
    <w:rsid w:val="000E1921"/>
    <w:rsid w:val="000E1A71"/>
    <w:rsid w:val="000E1D0D"/>
    <w:rsid w:val="000E2279"/>
    <w:rsid w:val="000E2AEF"/>
    <w:rsid w:val="000E2BF8"/>
    <w:rsid w:val="000E2D4B"/>
    <w:rsid w:val="000E344E"/>
    <w:rsid w:val="000E390B"/>
    <w:rsid w:val="000E3B71"/>
    <w:rsid w:val="000E3FB6"/>
    <w:rsid w:val="000E4666"/>
    <w:rsid w:val="000E4F84"/>
    <w:rsid w:val="000E5ACD"/>
    <w:rsid w:val="000E5E1B"/>
    <w:rsid w:val="000E60F6"/>
    <w:rsid w:val="000E6A98"/>
    <w:rsid w:val="000E6F24"/>
    <w:rsid w:val="000E7230"/>
    <w:rsid w:val="000E75D6"/>
    <w:rsid w:val="000E76C6"/>
    <w:rsid w:val="000E775B"/>
    <w:rsid w:val="000E7BAA"/>
    <w:rsid w:val="000F08FE"/>
    <w:rsid w:val="000F14F7"/>
    <w:rsid w:val="000F1870"/>
    <w:rsid w:val="000F213D"/>
    <w:rsid w:val="000F2220"/>
    <w:rsid w:val="000F27B1"/>
    <w:rsid w:val="000F2D03"/>
    <w:rsid w:val="000F2D1D"/>
    <w:rsid w:val="000F2F4E"/>
    <w:rsid w:val="000F3091"/>
    <w:rsid w:val="000F39F3"/>
    <w:rsid w:val="000F3E94"/>
    <w:rsid w:val="000F4365"/>
    <w:rsid w:val="000F47BA"/>
    <w:rsid w:val="000F47D9"/>
    <w:rsid w:val="000F4CD5"/>
    <w:rsid w:val="000F5484"/>
    <w:rsid w:val="000F55AC"/>
    <w:rsid w:val="000F5719"/>
    <w:rsid w:val="000F5B85"/>
    <w:rsid w:val="000F612E"/>
    <w:rsid w:val="000F6407"/>
    <w:rsid w:val="000F644D"/>
    <w:rsid w:val="000F6908"/>
    <w:rsid w:val="000F6DDE"/>
    <w:rsid w:val="000F705D"/>
    <w:rsid w:val="000F7121"/>
    <w:rsid w:val="000F7466"/>
    <w:rsid w:val="000F7616"/>
    <w:rsid w:val="000F7C34"/>
    <w:rsid w:val="000F7F27"/>
    <w:rsid w:val="001002BF"/>
    <w:rsid w:val="00100543"/>
    <w:rsid w:val="00100622"/>
    <w:rsid w:val="0010064C"/>
    <w:rsid w:val="00100726"/>
    <w:rsid w:val="0010144E"/>
    <w:rsid w:val="0010169B"/>
    <w:rsid w:val="00101908"/>
    <w:rsid w:val="00101D06"/>
    <w:rsid w:val="00102103"/>
    <w:rsid w:val="00102202"/>
    <w:rsid w:val="00102468"/>
    <w:rsid w:val="0010283F"/>
    <w:rsid w:val="00102844"/>
    <w:rsid w:val="00103035"/>
    <w:rsid w:val="001034C9"/>
    <w:rsid w:val="00103FAE"/>
    <w:rsid w:val="00104157"/>
    <w:rsid w:val="0010435A"/>
    <w:rsid w:val="00104443"/>
    <w:rsid w:val="00104684"/>
    <w:rsid w:val="00104F05"/>
    <w:rsid w:val="0010555F"/>
    <w:rsid w:val="0010565F"/>
    <w:rsid w:val="001058B6"/>
    <w:rsid w:val="00105ABE"/>
    <w:rsid w:val="00105C9E"/>
    <w:rsid w:val="0010666A"/>
    <w:rsid w:val="001068E3"/>
    <w:rsid w:val="00106A32"/>
    <w:rsid w:val="00106D26"/>
    <w:rsid w:val="00106E32"/>
    <w:rsid w:val="00107744"/>
    <w:rsid w:val="00107958"/>
    <w:rsid w:val="00107990"/>
    <w:rsid w:val="00107D74"/>
    <w:rsid w:val="00110201"/>
    <w:rsid w:val="001104BB"/>
    <w:rsid w:val="001106B2"/>
    <w:rsid w:val="00110A49"/>
    <w:rsid w:val="00110BA8"/>
    <w:rsid w:val="00110BDF"/>
    <w:rsid w:val="00110D6D"/>
    <w:rsid w:val="00110EAA"/>
    <w:rsid w:val="00111067"/>
    <w:rsid w:val="00111646"/>
    <w:rsid w:val="0011166C"/>
    <w:rsid w:val="00111A43"/>
    <w:rsid w:val="00111FD1"/>
    <w:rsid w:val="0011202E"/>
    <w:rsid w:val="00112098"/>
    <w:rsid w:val="0011209B"/>
    <w:rsid w:val="0011227E"/>
    <w:rsid w:val="001123F5"/>
    <w:rsid w:val="00112E9D"/>
    <w:rsid w:val="0011371B"/>
    <w:rsid w:val="0011375B"/>
    <w:rsid w:val="001137E4"/>
    <w:rsid w:val="00113877"/>
    <w:rsid w:val="00113BDD"/>
    <w:rsid w:val="00113D26"/>
    <w:rsid w:val="00113D89"/>
    <w:rsid w:val="001143CF"/>
    <w:rsid w:val="001144C8"/>
    <w:rsid w:val="0011479F"/>
    <w:rsid w:val="00114B9D"/>
    <w:rsid w:val="0011550D"/>
    <w:rsid w:val="00115EB8"/>
    <w:rsid w:val="0011614D"/>
    <w:rsid w:val="00116199"/>
    <w:rsid w:val="001162CB"/>
    <w:rsid w:val="001164C7"/>
    <w:rsid w:val="00116618"/>
    <w:rsid w:val="001168E8"/>
    <w:rsid w:val="00116FBA"/>
    <w:rsid w:val="00117277"/>
    <w:rsid w:val="00117327"/>
    <w:rsid w:val="001173FB"/>
    <w:rsid w:val="00117C99"/>
    <w:rsid w:val="001202FF"/>
    <w:rsid w:val="0012036E"/>
    <w:rsid w:val="001209C8"/>
    <w:rsid w:val="00120AA7"/>
    <w:rsid w:val="00120FF4"/>
    <w:rsid w:val="00121200"/>
    <w:rsid w:val="001213D9"/>
    <w:rsid w:val="00121C72"/>
    <w:rsid w:val="00121D96"/>
    <w:rsid w:val="00121F83"/>
    <w:rsid w:val="00122174"/>
    <w:rsid w:val="00122A6A"/>
    <w:rsid w:val="00122C19"/>
    <w:rsid w:val="00122D45"/>
    <w:rsid w:val="00122FDA"/>
    <w:rsid w:val="001232B0"/>
    <w:rsid w:val="001233C9"/>
    <w:rsid w:val="001237E5"/>
    <w:rsid w:val="00123B72"/>
    <w:rsid w:val="0012450C"/>
    <w:rsid w:val="0012476B"/>
    <w:rsid w:val="00124B79"/>
    <w:rsid w:val="00124D83"/>
    <w:rsid w:val="00125BA6"/>
    <w:rsid w:val="00125C57"/>
    <w:rsid w:val="00125F25"/>
    <w:rsid w:val="001262B8"/>
    <w:rsid w:val="0012647C"/>
    <w:rsid w:val="001265F9"/>
    <w:rsid w:val="0012660C"/>
    <w:rsid w:val="00126B08"/>
    <w:rsid w:val="00126DAF"/>
    <w:rsid w:val="00126EDB"/>
    <w:rsid w:val="001270E5"/>
    <w:rsid w:val="00127625"/>
    <w:rsid w:val="00127664"/>
    <w:rsid w:val="001278FA"/>
    <w:rsid w:val="00127C1E"/>
    <w:rsid w:val="00127C27"/>
    <w:rsid w:val="0013004D"/>
    <w:rsid w:val="001301F5"/>
    <w:rsid w:val="00130F45"/>
    <w:rsid w:val="0013105F"/>
    <w:rsid w:val="00131133"/>
    <w:rsid w:val="0013114C"/>
    <w:rsid w:val="001311EF"/>
    <w:rsid w:val="001312F4"/>
    <w:rsid w:val="0013151C"/>
    <w:rsid w:val="0013166C"/>
    <w:rsid w:val="001316EC"/>
    <w:rsid w:val="00131A5A"/>
    <w:rsid w:val="00131D44"/>
    <w:rsid w:val="00131F1C"/>
    <w:rsid w:val="001320C2"/>
    <w:rsid w:val="00132305"/>
    <w:rsid w:val="001328EC"/>
    <w:rsid w:val="00132938"/>
    <w:rsid w:val="00132E95"/>
    <w:rsid w:val="001330D5"/>
    <w:rsid w:val="001334A1"/>
    <w:rsid w:val="0013375F"/>
    <w:rsid w:val="001337D6"/>
    <w:rsid w:val="0013389D"/>
    <w:rsid w:val="00134030"/>
    <w:rsid w:val="001341C1"/>
    <w:rsid w:val="001342BA"/>
    <w:rsid w:val="00134A0D"/>
    <w:rsid w:val="00134ACC"/>
    <w:rsid w:val="00135306"/>
    <w:rsid w:val="001354A5"/>
    <w:rsid w:val="00135C75"/>
    <w:rsid w:val="00135DBD"/>
    <w:rsid w:val="00135F8D"/>
    <w:rsid w:val="001360C6"/>
    <w:rsid w:val="001364B2"/>
    <w:rsid w:val="00136636"/>
    <w:rsid w:val="001367A9"/>
    <w:rsid w:val="00136AD1"/>
    <w:rsid w:val="0013716D"/>
    <w:rsid w:val="001371B0"/>
    <w:rsid w:val="001371ED"/>
    <w:rsid w:val="00137558"/>
    <w:rsid w:val="001403BD"/>
    <w:rsid w:val="00140492"/>
    <w:rsid w:val="00140707"/>
    <w:rsid w:val="00140B5D"/>
    <w:rsid w:val="00140FF4"/>
    <w:rsid w:val="00141933"/>
    <w:rsid w:val="00141D41"/>
    <w:rsid w:val="00142098"/>
    <w:rsid w:val="0014233A"/>
    <w:rsid w:val="001424AA"/>
    <w:rsid w:val="0014266B"/>
    <w:rsid w:val="00142699"/>
    <w:rsid w:val="00142CC7"/>
    <w:rsid w:val="00143594"/>
    <w:rsid w:val="001438F7"/>
    <w:rsid w:val="00143BF1"/>
    <w:rsid w:val="00143D2A"/>
    <w:rsid w:val="00144724"/>
    <w:rsid w:val="00144855"/>
    <w:rsid w:val="00144A3B"/>
    <w:rsid w:val="00144F9B"/>
    <w:rsid w:val="00145146"/>
    <w:rsid w:val="001453F0"/>
    <w:rsid w:val="00145596"/>
    <w:rsid w:val="001455A7"/>
    <w:rsid w:val="001458DD"/>
    <w:rsid w:val="00145A84"/>
    <w:rsid w:val="00145C7F"/>
    <w:rsid w:val="00146197"/>
    <w:rsid w:val="00146F52"/>
    <w:rsid w:val="00146F93"/>
    <w:rsid w:val="00150177"/>
    <w:rsid w:val="00150CBD"/>
    <w:rsid w:val="00150E3B"/>
    <w:rsid w:val="001510C8"/>
    <w:rsid w:val="001515ED"/>
    <w:rsid w:val="001528F5"/>
    <w:rsid w:val="00152B65"/>
    <w:rsid w:val="00153492"/>
    <w:rsid w:val="001539BA"/>
    <w:rsid w:val="00153C7A"/>
    <w:rsid w:val="00153E91"/>
    <w:rsid w:val="00153FF5"/>
    <w:rsid w:val="0015419E"/>
    <w:rsid w:val="00154411"/>
    <w:rsid w:val="00154839"/>
    <w:rsid w:val="00154F91"/>
    <w:rsid w:val="00155030"/>
    <w:rsid w:val="00155378"/>
    <w:rsid w:val="00155954"/>
    <w:rsid w:val="00155C17"/>
    <w:rsid w:val="00156798"/>
    <w:rsid w:val="00156DAC"/>
    <w:rsid w:val="00156DB1"/>
    <w:rsid w:val="00156E34"/>
    <w:rsid w:val="00156FC1"/>
    <w:rsid w:val="00157681"/>
    <w:rsid w:val="00157B50"/>
    <w:rsid w:val="00157CEF"/>
    <w:rsid w:val="00160314"/>
    <w:rsid w:val="0016046A"/>
    <w:rsid w:val="00160655"/>
    <w:rsid w:val="00160A09"/>
    <w:rsid w:val="001612F0"/>
    <w:rsid w:val="001617D6"/>
    <w:rsid w:val="0016182F"/>
    <w:rsid w:val="001619A4"/>
    <w:rsid w:val="00161B2D"/>
    <w:rsid w:val="00161B50"/>
    <w:rsid w:val="00161EBF"/>
    <w:rsid w:val="001621C1"/>
    <w:rsid w:val="001624B4"/>
    <w:rsid w:val="0016278A"/>
    <w:rsid w:val="0016292D"/>
    <w:rsid w:val="00163276"/>
    <w:rsid w:val="001633E7"/>
    <w:rsid w:val="001634ED"/>
    <w:rsid w:val="0016376C"/>
    <w:rsid w:val="00163D12"/>
    <w:rsid w:val="00164988"/>
    <w:rsid w:val="00164C29"/>
    <w:rsid w:val="001656C0"/>
    <w:rsid w:val="001657E0"/>
    <w:rsid w:val="00165993"/>
    <w:rsid w:val="00165A76"/>
    <w:rsid w:val="00166036"/>
    <w:rsid w:val="001661EF"/>
    <w:rsid w:val="0016702C"/>
    <w:rsid w:val="001672C2"/>
    <w:rsid w:val="001672CA"/>
    <w:rsid w:val="00167866"/>
    <w:rsid w:val="00167C04"/>
    <w:rsid w:val="00167DC4"/>
    <w:rsid w:val="00167E03"/>
    <w:rsid w:val="00170B91"/>
    <w:rsid w:val="00170DB3"/>
    <w:rsid w:val="001711B1"/>
    <w:rsid w:val="0017130D"/>
    <w:rsid w:val="00171403"/>
    <w:rsid w:val="0017142A"/>
    <w:rsid w:val="00171710"/>
    <w:rsid w:val="00171955"/>
    <w:rsid w:val="00171FCB"/>
    <w:rsid w:val="001729AD"/>
    <w:rsid w:val="00172DC6"/>
    <w:rsid w:val="00172DFF"/>
    <w:rsid w:val="00173215"/>
    <w:rsid w:val="001738BD"/>
    <w:rsid w:val="00173D5B"/>
    <w:rsid w:val="001748E0"/>
    <w:rsid w:val="001749B7"/>
    <w:rsid w:val="00174C04"/>
    <w:rsid w:val="00174E54"/>
    <w:rsid w:val="00175837"/>
    <w:rsid w:val="00176990"/>
    <w:rsid w:val="00176AE3"/>
    <w:rsid w:val="00177217"/>
    <w:rsid w:val="001772B6"/>
    <w:rsid w:val="001774C5"/>
    <w:rsid w:val="00177819"/>
    <w:rsid w:val="00177B38"/>
    <w:rsid w:val="00177B42"/>
    <w:rsid w:val="0018002A"/>
    <w:rsid w:val="00180B5A"/>
    <w:rsid w:val="00180DE4"/>
    <w:rsid w:val="00180ED0"/>
    <w:rsid w:val="00181075"/>
    <w:rsid w:val="001811AE"/>
    <w:rsid w:val="00181415"/>
    <w:rsid w:val="00181425"/>
    <w:rsid w:val="001814CC"/>
    <w:rsid w:val="00181504"/>
    <w:rsid w:val="00181857"/>
    <w:rsid w:val="00181D4C"/>
    <w:rsid w:val="00181F12"/>
    <w:rsid w:val="001820C5"/>
    <w:rsid w:val="00182361"/>
    <w:rsid w:val="00182497"/>
    <w:rsid w:val="00182C9D"/>
    <w:rsid w:val="00182E3D"/>
    <w:rsid w:val="00182F39"/>
    <w:rsid w:val="0018342E"/>
    <w:rsid w:val="001837D9"/>
    <w:rsid w:val="00183EC6"/>
    <w:rsid w:val="00184E1F"/>
    <w:rsid w:val="00184F76"/>
    <w:rsid w:val="00185ACC"/>
    <w:rsid w:val="00185C2C"/>
    <w:rsid w:val="00186194"/>
    <w:rsid w:val="001861D8"/>
    <w:rsid w:val="00186283"/>
    <w:rsid w:val="001862CF"/>
    <w:rsid w:val="001862E8"/>
    <w:rsid w:val="001864E9"/>
    <w:rsid w:val="0018656B"/>
    <w:rsid w:val="0018697F"/>
    <w:rsid w:val="00186CEB"/>
    <w:rsid w:val="00186FC4"/>
    <w:rsid w:val="001870B5"/>
    <w:rsid w:val="001871AF"/>
    <w:rsid w:val="0019051B"/>
    <w:rsid w:val="0019091C"/>
    <w:rsid w:val="001909F5"/>
    <w:rsid w:val="00190E4E"/>
    <w:rsid w:val="00191029"/>
    <w:rsid w:val="001915B2"/>
    <w:rsid w:val="001915E0"/>
    <w:rsid w:val="00191CCE"/>
    <w:rsid w:val="00191FBB"/>
    <w:rsid w:val="00192289"/>
    <w:rsid w:val="001924AA"/>
    <w:rsid w:val="001925A1"/>
    <w:rsid w:val="001927AB"/>
    <w:rsid w:val="00192834"/>
    <w:rsid w:val="00192B54"/>
    <w:rsid w:val="00192F5C"/>
    <w:rsid w:val="0019329D"/>
    <w:rsid w:val="0019387D"/>
    <w:rsid w:val="001938CF"/>
    <w:rsid w:val="00193CDA"/>
    <w:rsid w:val="00193DB5"/>
    <w:rsid w:val="00193DE1"/>
    <w:rsid w:val="00194219"/>
    <w:rsid w:val="0019438A"/>
    <w:rsid w:val="00194450"/>
    <w:rsid w:val="0019446A"/>
    <w:rsid w:val="00194C6E"/>
    <w:rsid w:val="00195075"/>
    <w:rsid w:val="00195201"/>
    <w:rsid w:val="001952D0"/>
    <w:rsid w:val="001963D7"/>
    <w:rsid w:val="001965F4"/>
    <w:rsid w:val="00196639"/>
    <w:rsid w:val="001966B6"/>
    <w:rsid w:val="00196B2A"/>
    <w:rsid w:val="0019719E"/>
    <w:rsid w:val="001975FE"/>
    <w:rsid w:val="0019768C"/>
    <w:rsid w:val="001979F1"/>
    <w:rsid w:val="00197CEE"/>
    <w:rsid w:val="00197EB1"/>
    <w:rsid w:val="001A029C"/>
    <w:rsid w:val="001A0763"/>
    <w:rsid w:val="001A07B5"/>
    <w:rsid w:val="001A07E3"/>
    <w:rsid w:val="001A0AE4"/>
    <w:rsid w:val="001A0D8B"/>
    <w:rsid w:val="001A0F12"/>
    <w:rsid w:val="001A12AD"/>
    <w:rsid w:val="001A12E8"/>
    <w:rsid w:val="001A1868"/>
    <w:rsid w:val="001A1DB0"/>
    <w:rsid w:val="001A27CC"/>
    <w:rsid w:val="001A2A23"/>
    <w:rsid w:val="001A2C92"/>
    <w:rsid w:val="001A2CD2"/>
    <w:rsid w:val="001A3178"/>
    <w:rsid w:val="001A3919"/>
    <w:rsid w:val="001A3C58"/>
    <w:rsid w:val="001A3DE4"/>
    <w:rsid w:val="001A4032"/>
    <w:rsid w:val="001A4038"/>
    <w:rsid w:val="001A411E"/>
    <w:rsid w:val="001A417F"/>
    <w:rsid w:val="001A4929"/>
    <w:rsid w:val="001A561D"/>
    <w:rsid w:val="001A5A49"/>
    <w:rsid w:val="001A63AE"/>
    <w:rsid w:val="001A6425"/>
    <w:rsid w:val="001A6FD2"/>
    <w:rsid w:val="001A70EA"/>
    <w:rsid w:val="001A78CB"/>
    <w:rsid w:val="001A7DCF"/>
    <w:rsid w:val="001B012E"/>
    <w:rsid w:val="001B0205"/>
    <w:rsid w:val="001B039F"/>
    <w:rsid w:val="001B0461"/>
    <w:rsid w:val="001B0771"/>
    <w:rsid w:val="001B07B5"/>
    <w:rsid w:val="001B09D6"/>
    <w:rsid w:val="001B0E5B"/>
    <w:rsid w:val="001B1CFB"/>
    <w:rsid w:val="001B32BC"/>
    <w:rsid w:val="001B36B2"/>
    <w:rsid w:val="001B38E8"/>
    <w:rsid w:val="001B3CCD"/>
    <w:rsid w:val="001B3FEC"/>
    <w:rsid w:val="001B4096"/>
    <w:rsid w:val="001B48A8"/>
    <w:rsid w:val="001B49D7"/>
    <w:rsid w:val="001B4CCD"/>
    <w:rsid w:val="001B4CF4"/>
    <w:rsid w:val="001B4F9A"/>
    <w:rsid w:val="001B50BE"/>
    <w:rsid w:val="001B567F"/>
    <w:rsid w:val="001B58C8"/>
    <w:rsid w:val="001B5C15"/>
    <w:rsid w:val="001B6084"/>
    <w:rsid w:val="001B63EB"/>
    <w:rsid w:val="001B65DE"/>
    <w:rsid w:val="001B676C"/>
    <w:rsid w:val="001B6780"/>
    <w:rsid w:val="001B6930"/>
    <w:rsid w:val="001B69F1"/>
    <w:rsid w:val="001B7132"/>
    <w:rsid w:val="001B7356"/>
    <w:rsid w:val="001B74EB"/>
    <w:rsid w:val="001B7637"/>
    <w:rsid w:val="001B7686"/>
    <w:rsid w:val="001B769F"/>
    <w:rsid w:val="001C0078"/>
    <w:rsid w:val="001C00BB"/>
    <w:rsid w:val="001C0362"/>
    <w:rsid w:val="001C04F4"/>
    <w:rsid w:val="001C07EE"/>
    <w:rsid w:val="001C0B01"/>
    <w:rsid w:val="001C0DA1"/>
    <w:rsid w:val="001C0FE1"/>
    <w:rsid w:val="001C169F"/>
    <w:rsid w:val="001C1A2D"/>
    <w:rsid w:val="001C1ECD"/>
    <w:rsid w:val="001C201C"/>
    <w:rsid w:val="001C21AB"/>
    <w:rsid w:val="001C2AB3"/>
    <w:rsid w:val="001C2AF5"/>
    <w:rsid w:val="001C2C31"/>
    <w:rsid w:val="001C2E4E"/>
    <w:rsid w:val="001C2F64"/>
    <w:rsid w:val="001C3274"/>
    <w:rsid w:val="001C3701"/>
    <w:rsid w:val="001C42D5"/>
    <w:rsid w:val="001C44C4"/>
    <w:rsid w:val="001C4796"/>
    <w:rsid w:val="001C547F"/>
    <w:rsid w:val="001C57AF"/>
    <w:rsid w:val="001C58EB"/>
    <w:rsid w:val="001C594E"/>
    <w:rsid w:val="001C59CB"/>
    <w:rsid w:val="001C5AFF"/>
    <w:rsid w:val="001C5B4D"/>
    <w:rsid w:val="001C60DB"/>
    <w:rsid w:val="001C6133"/>
    <w:rsid w:val="001C615B"/>
    <w:rsid w:val="001C65D1"/>
    <w:rsid w:val="001C6696"/>
    <w:rsid w:val="001C6B1C"/>
    <w:rsid w:val="001C6F62"/>
    <w:rsid w:val="001C749A"/>
    <w:rsid w:val="001C7567"/>
    <w:rsid w:val="001C7BD2"/>
    <w:rsid w:val="001C7D6A"/>
    <w:rsid w:val="001C7FCF"/>
    <w:rsid w:val="001D04D8"/>
    <w:rsid w:val="001D0688"/>
    <w:rsid w:val="001D0887"/>
    <w:rsid w:val="001D13FA"/>
    <w:rsid w:val="001D1457"/>
    <w:rsid w:val="001D1952"/>
    <w:rsid w:val="001D1D6A"/>
    <w:rsid w:val="001D2698"/>
    <w:rsid w:val="001D28BE"/>
    <w:rsid w:val="001D295A"/>
    <w:rsid w:val="001D2967"/>
    <w:rsid w:val="001D2C67"/>
    <w:rsid w:val="001D33CF"/>
    <w:rsid w:val="001D3430"/>
    <w:rsid w:val="001D3615"/>
    <w:rsid w:val="001D3771"/>
    <w:rsid w:val="001D3B7E"/>
    <w:rsid w:val="001D3FF1"/>
    <w:rsid w:val="001D4427"/>
    <w:rsid w:val="001D4943"/>
    <w:rsid w:val="001D4955"/>
    <w:rsid w:val="001D4A50"/>
    <w:rsid w:val="001D4E47"/>
    <w:rsid w:val="001D4E8A"/>
    <w:rsid w:val="001D5325"/>
    <w:rsid w:val="001D5A7B"/>
    <w:rsid w:val="001D5BBC"/>
    <w:rsid w:val="001D5D13"/>
    <w:rsid w:val="001D5DBB"/>
    <w:rsid w:val="001D6215"/>
    <w:rsid w:val="001D6A8A"/>
    <w:rsid w:val="001D6F5C"/>
    <w:rsid w:val="001D7081"/>
    <w:rsid w:val="001D74D6"/>
    <w:rsid w:val="001D7C64"/>
    <w:rsid w:val="001E033A"/>
    <w:rsid w:val="001E0352"/>
    <w:rsid w:val="001E0465"/>
    <w:rsid w:val="001E0677"/>
    <w:rsid w:val="001E08FC"/>
    <w:rsid w:val="001E0AD3"/>
    <w:rsid w:val="001E0C50"/>
    <w:rsid w:val="001E0CFE"/>
    <w:rsid w:val="001E0FDF"/>
    <w:rsid w:val="001E1810"/>
    <w:rsid w:val="001E1DCB"/>
    <w:rsid w:val="001E1E5D"/>
    <w:rsid w:val="001E2581"/>
    <w:rsid w:val="001E25B3"/>
    <w:rsid w:val="001E263F"/>
    <w:rsid w:val="001E27C6"/>
    <w:rsid w:val="001E2AB6"/>
    <w:rsid w:val="001E2D71"/>
    <w:rsid w:val="001E3023"/>
    <w:rsid w:val="001E3169"/>
    <w:rsid w:val="001E3BA7"/>
    <w:rsid w:val="001E3E0B"/>
    <w:rsid w:val="001E43E0"/>
    <w:rsid w:val="001E45F3"/>
    <w:rsid w:val="001E49DD"/>
    <w:rsid w:val="001E4BFC"/>
    <w:rsid w:val="001E4C1D"/>
    <w:rsid w:val="001E5316"/>
    <w:rsid w:val="001E562F"/>
    <w:rsid w:val="001E573E"/>
    <w:rsid w:val="001E59D2"/>
    <w:rsid w:val="001E5BA1"/>
    <w:rsid w:val="001E6194"/>
    <w:rsid w:val="001E68C3"/>
    <w:rsid w:val="001E7399"/>
    <w:rsid w:val="001E777E"/>
    <w:rsid w:val="001E7B8F"/>
    <w:rsid w:val="001F00F2"/>
    <w:rsid w:val="001F063F"/>
    <w:rsid w:val="001F09E3"/>
    <w:rsid w:val="001F0CF0"/>
    <w:rsid w:val="001F117B"/>
    <w:rsid w:val="001F15BE"/>
    <w:rsid w:val="001F16CA"/>
    <w:rsid w:val="001F18A7"/>
    <w:rsid w:val="001F1D9A"/>
    <w:rsid w:val="001F1E39"/>
    <w:rsid w:val="001F202C"/>
    <w:rsid w:val="001F2644"/>
    <w:rsid w:val="001F29CE"/>
    <w:rsid w:val="001F2A8F"/>
    <w:rsid w:val="001F2E62"/>
    <w:rsid w:val="001F2F6C"/>
    <w:rsid w:val="001F33B6"/>
    <w:rsid w:val="001F361A"/>
    <w:rsid w:val="001F3E74"/>
    <w:rsid w:val="001F3F4F"/>
    <w:rsid w:val="001F4124"/>
    <w:rsid w:val="001F43EC"/>
    <w:rsid w:val="001F45BB"/>
    <w:rsid w:val="001F46BD"/>
    <w:rsid w:val="001F4BDD"/>
    <w:rsid w:val="001F5982"/>
    <w:rsid w:val="001F5B95"/>
    <w:rsid w:val="001F5BF8"/>
    <w:rsid w:val="001F612A"/>
    <w:rsid w:val="001F6587"/>
    <w:rsid w:val="001F65A7"/>
    <w:rsid w:val="001F69F6"/>
    <w:rsid w:val="001F6D3B"/>
    <w:rsid w:val="001F6D67"/>
    <w:rsid w:val="001F7489"/>
    <w:rsid w:val="001F77CC"/>
    <w:rsid w:val="001F7893"/>
    <w:rsid w:val="001F7C2B"/>
    <w:rsid w:val="002000D8"/>
    <w:rsid w:val="0020035A"/>
    <w:rsid w:val="002003F1"/>
    <w:rsid w:val="002005FC"/>
    <w:rsid w:val="0020099D"/>
    <w:rsid w:val="002009B5"/>
    <w:rsid w:val="00200ED6"/>
    <w:rsid w:val="0020131B"/>
    <w:rsid w:val="00201493"/>
    <w:rsid w:val="00202032"/>
    <w:rsid w:val="00202447"/>
    <w:rsid w:val="00202920"/>
    <w:rsid w:val="002029DC"/>
    <w:rsid w:val="00202F6F"/>
    <w:rsid w:val="00203132"/>
    <w:rsid w:val="002032CD"/>
    <w:rsid w:val="00203413"/>
    <w:rsid w:val="00203429"/>
    <w:rsid w:val="002034F5"/>
    <w:rsid w:val="0020375C"/>
    <w:rsid w:val="00203959"/>
    <w:rsid w:val="002039B1"/>
    <w:rsid w:val="00203B84"/>
    <w:rsid w:val="00203BFD"/>
    <w:rsid w:val="00203CB8"/>
    <w:rsid w:val="00203D6C"/>
    <w:rsid w:val="00203F96"/>
    <w:rsid w:val="0020421B"/>
    <w:rsid w:val="00204560"/>
    <w:rsid w:val="002049B1"/>
    <w:rsid w:val="00204B19"/>
    <w:rsid w:val="00204D43"/>
    <w:rsid w:val="00204D63"/>
    <w:rsid w:val="002054E9"/>
    <w:rsid w:val="002057A9"/>
    <w:rsid w:val="0020593E"/>
    <w:rsid w:val="00205982"/>
    <w:rsid w:val="00205B0A"/>
    <w:rsid w:val="00205B4E"/>
    <w:rsid w:val="00205B56"/>
    <w:rsid w:val="00205EF5"/>
    <w:rsid w:val="002060D6"/>
    <w:rsid w:val="002062AD"/>
    <w:rsid w:val="00206473"/>
    <w:rsid w:val="0020654E"/>
    <w:rsid w:val="0020665F"/>
    <w:rsid w:val="00206E16"/>
    <w:rsid w:val="002073A9"/>
    <w:rsid w:val="002073DE"/>
    <w:rsid w:val="002079B5"/>
    <w:rsid w:val="00207AC9"/>
    <w:rsid w:val="00207BED"/>
    <w:rsid w:val="00207D7D"/>
    <w:rsid w:val="00210118"/>
    <w:rsid w:val="00210142"/>
    <w:rsid w:val="00210267"/>
    <w:rsid w:val="002102D9"/>
    <w:rsid w:val="00210482"/>
    <w:rsid w:val="00212701"/>
    <w:rsid w:val="002127B0"/>
    <w:rsid w:val="0021287E"/>
    <w:rsid w:val="00212E03"/>
    <w:rsid w:val="00212F04"/>
    <w:rsid w:val="00213B04"/>
    <w:rsid w:val="002147EF"/>
    <w:rsid w:val="00214A87"/>
    <w:rsid w:val="00214BC0"/>
    <w:rsid w:val="00214CE2"/>
    <w:rsid w:val="0021531A"/>
    <w:rsid w:val="00215BC9"/>
    <w:rsid w:val="00215C33"/>
    <w:rsid w:val="00215DD6"/>
    <w:rsid w:val="00216361"/>
    <w:rsid w:val="002177AE"/>
    <w:rsid w:val="002177FE"/>
    <w:rsid w:val="00217877"/>
    <w:rsid w:val="0021799C"/>
    <w:rsid w:val="00217AD3"/>
    <w:rsid w:val="00217F01"/>
    <w:rsid w:val="00220153"/>
    <w:rsid w:val="0022084F"/>
    <w:rsid w:val="00220C10"/>
    <w:rsid w:val="00220D4E"/>
    <w:rsid w:val="00220E96"/>
    <w:rsid w:val="0022101B"/>
    <w:rsid w:val="002215E8"/>
    <w:rsid w:val="0022191A"/>
    <w:rsid w:val="00221C2D"/>
    <w:rsid w:val="00221C35"/>
    <w:rsid w:val="00221D36"/>
    <w:rsid w:val="00222F69"/>
    <w:rsid w:val="00223167"/>
    <w:rsid w:val="00223506"/>
    <w:rsid w:val="00223575"/>
    <w:rsid w:val="00224A86"/>
    <w:rsid w:val="00224A92"/>
    <w:rsid w:val="00224E8F"/>
    <w:rsid w:val="00225393"/>
    <w:rsid w:val="002255FF"/>
    <w:rsid w:val="00225757"/>
    <w:rsid w:val="0022579F"/>
    <w:rsid w:val="00225987"/>
    <w:rsid w:val="00225A92"/>
    <w:rsid w:val="00225B91"/>
    <w:rsid w:val="00225BB9"/>
    <w:rsid w:val="00226017"/>
    <w:rsid w:val="00226300"/>
    <w:rsid w:val="002264F0"/>
    <w:rsid w:val="002265E2"/>
    <w:rsid w:val="00226755"/>
    <w:rsid w:val="00227057"/>
    <w:rsid w:val="002272E0"/>
    <w:rsid w:val="00227531"/>
    <w:rsid w:val="00227790"/>
    <w:rsid w:val="00227E40"/>
    <w:rsid w:val="00230674"/>
    <w:rsid w:val="0023094F"/>
    <w:rsid w:val="00231243"/>
    <w:rsid w:val="00231557"/>
    <w:rsid w:val="002319E1"/>
    <w:rsid w:val="00231BEA"/>
    <w:rsid w:val="0023225B"/>
    <w:rsid w:val="002327AA"/>
    <w:rsid w:val="00232FB7"/>
    <w:rsid w:val="002331AB"/>
    <w:rsid w:val="00233224"/>
    <w:rsid w:val="002332DD"/>
    <w:rsid w:val="00233F8E"/>
    <w:rsid w:val="0023421B"/>
    <w:rsid w:val="002345B6"/>
    <w:rsid w:val="0023462F"/>
    <w:rsid w:val="00234756"/>
    <w:rsid w:val="0023481C"/>
    <w:rsid w:val="00235023"/>
    <w:rsid w:val="00235216"/>
    <w:rsid w:val="0023594B"/>
    <w:rsid w:val="00236330"/>
    <w:rsid w:val="00236351"/>
    <w:rsid w:val="00236424"/>
    <w:rsid w:val="002368E6"/>
    <w:rsid w:val="00236C06"/>
    <w:rsid w:val="00237538"/>
    <w:rsid w:val="002377E4"/>
    <w:rsid w:val="00237A30"/>
    <w:rsid w:val="00237C0D"/>
    <w:rsid w:val="00237C99"/>
    <w:rsid w:val="00237D09"/>
    <w:rsid w:val="00237ECF"/>
    <w:rsid w:val="00240105"/>
    <w:rsid w:val="002402E2"/>
    <w:rsid w:val="002406C8"/>
    <w:rsid w:val="00240780"/>
    <w:rsid w:val="00240875"/>
    <w:rsid w:val="00240AD1"/>
    <w:rsid w:val="00240BC4"/>
    <w:rsid w:val="00240C1E"/>
    <w:rsid w:val="00240EEC"/>
    <w:rsid w:val="0024122A"/>
    <w:rsid w:val="00241243"/>
    <w:rsid w:val="00241597"/>
    <w:rsid w:val="00241863"/>
    <w:rsid w:val="00241966"/>
    <w:rsid w:val="00241F1B"/>
    <w:rsid w:val="00241FA6"/>
    <w:rsid w:val="00242295"/>
    <w:rsid w:val="002432C1"/>
    <w:rsid w:val="002436CD"/>
    <w:rsid w:val="00243793"/>
    <w:rsid w:val="00243B31"/>
    <w:rsid w:val="00243C2F"/>
    <w:rsid w:val="002444FC"/>
    <w:rsid w:val="00244722"/>
    <w:rsid w:val="00244E9C"/>
    <w:rsid w:val="00244F29"/>
    <w:rsid w:val="002452A0"/>
    <w:rsid w:val="00245306"/>
    <w:rsid w:val="0024545F"/>
    <w:rsid w:val="002464CA"/>
    <w:rsid w:val="0024670D"/>
    <w:rsid w:val="00246721"/>
    <w:rsid w:val="002468E3"/>
    <w:rsid w:val="00247024"/>
    <w:rsid w:val="002471D2"/>
    <w:rsid w:val="00247495"/>
    <w:rsid w:val="002474B4"/>
    <w:rsid w:val="002476B7"/>
    <w:rsid w:val="00247D9B"/>
    <w:rsid w:val="00250071"/>
    <w:rsid w:val="002501EA"/>
    <w:rsid w:val="002501FA"/>
    <w:rsid w:val="00250ADC"/>
    <w:rsid w:val="002513CC"/>
    <w:rsid w:val="002518B8"/>
    <w:rsid w:val="002519AF"/>
    <w:rsid w:val="00251C6B"/>
    <w:rsid w:val="002523CD"/>
    <w:rsid w:val="0025268B"/>
    <w:rsid w:val="002526F2"/>
    <w:rsid w:val="00252A79"/>
    <w:rsid w:val="00252E1B"/>
    <w:rsid w:val="00252FDB"/>
    <w:rsid w:val="00253380"/>
    <w:rsid w:val="00253417"/>
    <w:rsid w:val="0025390F"/>
    <w:rsid w:val="0025403E"/>
    <w:rsid w:val="002541DB"/>
    <w:rsid w:val="00254596"/>
    <w:rsid w:val="0025468C"/>
    <w:rsid w:val="002546AB"/>
    <w:rsid w:val="00254A5F"/>
    <w:rsid w:val="00254BBB"/>
    <w:rsid w:val="00254BFF"/>
    <w:rsid w:val="00254C67"/>
    <w:rsid w:val="00254DE8"/>
    <w:rsid w:val="0025525B"/>
    <w:rsid w:val="002560C4"/>
    <w:rsid w:val="00256476"/>
    <w:rsid w:val="00256A86"/>
    <w:rsid w:val="00256EDD"/>
    <w:rsid w:val="002574DD"/>
    <w:rsid w:val="00257C25"/>
    <w:rsid w:val="00257F1A"/>
    <w:rsid w:val="00257FD8"/>
    <w:rsid w:val="00257FED"/>
    <w:rsid w:val="00260015"/>
    <w:rsid w:val="002604F8"/>
    <w:rsid w:val="00260542"/>
    <w:rsid w:val="00260A1E"/>
    <w:rsid w:val="00260B7F"/>
    <w:rsid w:val="00260F09"/>
    <w:rsid w:val="0026107F"/>
    <w:rsid w:val="002623AA"/>
    <w:rsid w:val="002628E8"/>
    <w:rsid w:val="00262C21"/>
    <w:rsid w:val="00262FD5"/>
    <w:rsid w:val="002631DB"/>
    <w:rsid w:val="00263CE3"/>
    <w:rsid w:val="00263D43"/>
    <w:rsid w:val="0026437F"/>
    <w:rsid w:val="00264474"/>
    <w:rsid w:val="002646B0"/>
    <w:rsid w:val="00264A86"/>
    <w:rsid w:val="00264BBC"/>
    <w:rsid w:val="00264D25"/>
    <w:rsid w:val="00264DF6"/>
    <w:rsid w:val="00264E7A"/>
    <w:rsid w:val="0026520F"/>
    <w:rsid w:val="002653BC"/>
    <w:rsid w:val="00265461"/>
    <w:rsid w:val="0026550C"/>
    <w:rsid w:val="00265EE7"/>
    <w:rsid w:val="002661D0"/>
    <w:rsid w:val="0026643D"/>
    <w:rsid w:val="00266840"/>
    <w:rsid w:val="00266AFA"/>
    <w:rsid w:val="00266BF6"/>
    <w:rsid w:val="00266CFB"/>
    <w:rsid w:val="00266EE8"/>
    <w:rsid w:val="00267413"/>
    <w:rsid w:val="00267581"/>
    <w:rsid w:val="00267713"/>
    <w:rsid w:val="0026788B"/>
    <w:rsid w:val="00267948"/>
    <w:rsid w:val="00267985"/>
    <w:rsid w:val="00267FEB"/>
    <w:rsid w:val="0027013E"/>
    <w:rsid w:val="00270308"/>
    <w:rsid w:val="00270764"/>
    <w:rsid w:val="002708FC"/>
    <w:rsid w:val="00270BDD"/>
    <w:rsid w:val="00270C22"/>
    <w:rsid w:val="00271176"/>
    <w:rsid w:val="002711B7"/>
    <w:rsid w:val="002714B8"/>
    <w:rsid w:val="002716AC"/>
    <w:rsid w:val="002719E4"/>
    <w:rsid w:val="00271ADF"/>
    <w:rsid w:val="002723A4"/>
    <w:rsid w:val="002728C8"/>
    <w:rsid w:val="002736F5"/>
    <w:rsid w:val="00273798"/>
    <w:rsid w:val="00273D0C"/>
    <w:rsid w:val="00274545"/>
    <w:rsid w:val="00274564"/>
    <w:rsid w:val="0027461E"/>
    <w:rsid w:val="00274696"/>
    <w:rsid w:val="00274757"/>
    <w:rsid w:val="00275456"/>
    <w:rsid w:val="00275CC0"/>
    <w:rsid w:val="00275D0C"/>
    <w:rsid w:val="002764CB"/>
    <w:rsid w:val="00276ABC"/>
    <w:rsid w:val="00276DC5"/>
    <w:rsid w:val="00276EBB"/>
    <w:rsid w:val="002775FB"/>
    <w:rsid w:val="00277729"/>
    <w:rsid w:val="00277DE3"/>
    <w:rsid w:val="0028045D"/>
    <w:rsid w:val="00280C58"/>
    <w:rsid w:val="00280E63"/>
    <w:rsid w:val="00281155"/>
    <w:rsid w:val="002811FB"/>
    <w:rsid w:val="002816BB"/>
    <w:rsid w:val="00281DD3"/>
    <w:rsid w:val="00281E7A"/>
    <w:rsid w:val="00281F55"/>
    <w:rsid w:val="0028211C"/>
    <w:rsid w:val="002821A7"/>
    <w:rsid w:val="00282431"/>
    <w:rsid w:val="0028252E"/>
    <w:rsid w:val="002826A3"/>
    <w:rsid w:val="00282750"/>
    <w:rsid w:val="00282904"/>
    <w:rsid w:val="00282D34"/>
    <w:rsid w:val="0028310C"/>
    <w:rsid w:val="0028341D"/>
    <w:rsid w:val="002834B1"/>
    <w:rsid w:val="00283681"/>
    <w:rsid w:val="002837EC"/>
    <w:rsid w:val="00283AF8"/>
    <w:rsid w:val="00283CF5"/>
    <w:rsid w:val="002841A8"/>
    <w:rsid w:val="0028459C"/>
    <w:rsid w:val="002847C2"/>
    <w:rsid w:val="00284859"/>
    <w:rsid w:val="00284869"/>
    <w:rsid w:val="00284907"/>
    <w:rsid w:val="00284F92"/>
    <w:rsid w:val="00285022"/>
    <w:rsid w:val="00285228"/>
    <w:rsid w:val="002852E6"/>
    <w:rsid w:val="002855C3"/>
    <w:rsid w:val="002856DB"/>
    <w:rsid w:val="00285DAE"/>
    <w:rsid w:val="00285F30"/>
    <w:rsid w:val="002863D5"/>
    <w:rsid w:val="0028670F"/>
    <w:rsid w:val="00286CBD"/>
    <w:rsid w:val="00286CF6"/>
    <w:rsid w:val="0028738F"/>
    <w:rsid w:val="0028740D"/>
    <w:rsid w:val="00287B16"/>
    <w:rsid w:val="00287E82"/>
    <w:rsid w:val="00291116"/>
    <w:rsid w:val="002913D4"/>
    <w:rsid w:val="002913DF"/>
    <w:rsid w:val="00291458"/>
    <w:rsid w:val="00291788"/>
    <w:rsid w:val="00291809"/>
    <w:rsid w:val="002923D5"/>
    <w:rsid w:val="002932FC"/>
    <w:rsid w:val="00293467"/>
    <w:rsid w:val="00293572"/>
    <w:rsid w:val="00293C78"/>
    <w:rsid w:val="0029443F"/>
    <w:rsid w:val="002945B5"/>
    <w:rsid w:val="002947F6"/>
    <w:rsid w:val="00294B4D"/>
    <w:rsid w:val="00294E16"/>
    <w:rsid w:val="002953BA"/>
    <w:rsid w:val="0029564A"/>
    <w:rsid w:val="0029582A"/>
    <w:rsid w:val="002958D3"/>
    <w:rsid w:val="0029593E"/>
    <w:rsid w:val="002959EC"/>
    <w:rsid w:val="00295A3C"/>
    <w:rsid w:val="00295D14"/>
    <w:rsid w:val="00295F60"/>
    <w:rsid w:val="00296355"/>
    <w:rsid w:val="00296580"/>
    <w:rsid w:val="00296DFB"/>
    <w:rsid w:val="00296EDC"/>
    <w:rsid w:val="00297018"/>
    <w:rsid w:val="00297150"/>
    <w:rsid w:val="002976E7"/>
    <w:rsid w:val="0029793D"/>
    <w:rsid w:val="002A0254"/>
    <w:rsid w:val="002A12CD"/>
    <w:rsid w:val="002A14C5"/>
    <w:rsid w:val="002A1599"/>
    <w:rsid w:val="002A15DE"/>
    <w:rsid w:val="002A1B29"/>
    <w:rsid w:val="002A1CAA"/>
    <w:rsid w:val="002A1FB1"/>
    <w:rsid w:val="002A2191"/>
    <w:rsid w:val="002A255B"/>
    <w:rsid w:val="002A260B"/>
    <w:rsid w:val="002A26BE"/>
    <w:rsid w:val="002A2A81"/>
    <w:rsid w:val="002A2BC7"/>
    <w:rsid w:val="002A3575"/>
    <w:rsid w:val="002A3686"/>
    <w:rsid w:val="002A3813"/>
    <w:rsid w:val="002A3BD4"/>
    <w:rsid w:val="002A3DCC"/>
    <w:rsid w:val="002A3E40"/>
    <w:rsid w:val="002A501B"/>
    <w:rsid w:val="002A54FC"/>
    <w:rsid w:val="002A55F3"/>
    <w:rsid w:val="002A569C"/>
    <w:rsid w:val="002A57F8"/>
    <w:rsid w:val="002A5BAB"/>
    <w:rsid w:val="002A5D8B"/>
    <w:rsid w:val="002A62FA"/>
    <w:rsid w:val="002A63FD"/>
    <w:rsid w:val="002A6748"/>
    <w:rsid w:val="002A68DF"/>
    <w:rsid w:val="002A6B10"/>
    <w:rsid w:val="002A6E91"/>
    <w:rsid w:val="002A71AB"/>
    <w:rsid w:val="002A7651"/>
    <w:rsid w:val="002A77B2"/>
    <w:rsid w:val="002A782E"/>
    <w:rsid w:val="002A7B4F"/>
    <w:rsid w:val="002A7B9F"/>
    <w:rsid w:val="002A7FB5"/>
    <w:rsid w:val="002B06D6"/>
    <w:rsid w:val="002B06DF"/>
    <w:rsid w:val="002B0863"/>
    <w:rsid w:val="002B0928"/>
    <w:rsid w:val="002B095F"/>
    <w:rsid w:val="002B0BBF"/>
    <w:rsid w:val="002B0C1E"/>
    <w:rsid w:val="002B0F05"/>
    <w:rsid w:val="002B1164"/>
    <w:rsid w:val="002B15AF"/>
    <w:rsid w:val="002B1862"/>
    <w:rsid w:val="002B186B"/>
    <w:rsid w:val="002B1EEA"/>
    <w:rsid w:val="002B1F03"/>
    <w:rsid w:val="002B1F65"/>
    <w:rsid w:val="002B1F9B"/>
    <w:rsid w:val="002B259D"/>
    <w:rsid w:val="002B26B3"/>
    <w:rsid w:val="002B283F"/>
    <w:rsid w:val="002B29B1"/>
    <w:rsid w:val="002B2E4D"/>
    <w:rsid w:val="002B3204"/>
    <w:rsid w:val="002B32D6"/>
    <w:rsid w:val="002B3868"/>
    <w:rsid w:val="002B3955"/>
    <w:rsid w:val="002B39F4"/>
    <w:rsid w:val="002B40CC"/>
    <w:rsid w:val="002B4109"/>
    <w:rsid w:val="002B41DF"/>
    <w:rsid w:val="002B48E3"/>
    <w:rsid w:val="002B4DA2"/>
    <w:rsid w:val="002B4E15"/>
    <w:rsid w:val="002B4EF7"/>
    <w:rsid w:val="002B54DC"/>
    <w:rsid w:val="002B550B"/>
    <w:rsid w:val="002B5F8A"/>
    <w:rsid w:val="002B66A8"/>
    <w:rsid w:val="002B677D"/>
    <w:rsid w:val="002B69F4"/>
    <w:rsid w:val="002B6F50"/>
    <w:rsid w:val="002B71C8"/>
    <w:rsid w:val="002B748E"/>
    <w:rsid w:val="002B7AF6"/>
    <w:rsid w:val="002B7C38"/>
    <w:rsid w:val="002C02C6"/>
    <w:rsid w:val="002C1250"/>
    <w:rsid w:val="002C1323"/>
    <w:rsid w:val="002C147B"/>
    <w:rsid w:val="002C14F0"/>
    <w:rsid w:val="002C1938"/>
    <w:rsid w:val="002C19A1"/>
    <w:rsid w:val="002C2078"/>
    <w:rsid w:val="002C2474"/>
    <w:rsid w:val="002C249C"/>
    <w:rsid w:val="002C299B"/>
    <w:rsid w:val="002C323E"/>
    <w:rsid w:val="002C33B2"/>
    <w:rsid w:val="002C34E8"/>
    <w:rsid w:val="002C350E"/>
    <w:rsid w:val="002C364D"/>
    <w:rsid w:val="002C3728"/>
    <w:rsid w:val="002C374F"/>
    <w:rsid w:val="002C376C"/>
    <w:rsid w:val="002C376F"/>
    <w:rsid w:val="002C38D8"/>
    <w:rsid w:val="002C3D48"/>
    <w:rsid w:val="002C3E65"/>
    <w:rsid w:val="002C428A"/>
    <w:rsid w:val="002C433D"/>
    <w:rsid w:val="002C44C0"/>
    <w:rsid w:val="002C4779"/>
    <w:rsid w:val="002C4C58"/>
    <w:rsid w:val="002C4DA4"/>
    <w:rsid w:val="002C4E05"/>
    <w:rsid w:val="002C4F78"/>
    <w:rsid w:val="002C5097"/>
    <w:rsid w:val="002C56A0"/>
    <w:rsid w:val="002C5958"/>
    <w:rsid w:val="002C5F91"/>
    <w:rsid w:val="002C5FAF"/>
    <w:rsid w:val="002C634B"/>
    <w:rsid w:val="002C6374"/>
    <w:rsid w:val="002C78BC"/>
    <w:rsid w:val="002C7AB2"/>
    <w:rsid w:val="002C7C03"/>
    <w:rsid w:val="002C7C08"/>
    <w:rsid w:val="002C7D85"/>
    <w:rsid w:val="002C7DC7"/>
    <w:rsid w:val="002C7E7B"/>
    <w:rsid w:val="002D0C38"/>
    <w:rsid w:val="002D0F6C"/>
    <w:rsid w:val="002D0FA9"/>
    <w:rsid w:val="002D122B"/>
    <w:rsid w:val="002D16D6"/>
    <w:rsid w:val="002D1C25"/>
    <w:rsid w:val="002D251B"/>
    <w:rsid w:val="002D2AF5"/>
    <w:rsid w:val="002D2D7D"/>
    <w:rsid w:val="002D2E1D"/>
    <w:rsid w:val="002D3416"/>
    <w:rsid w:val="002D35C0"/>
    <w:rsid w:val="002D3DF6"/>
    <w:rsid w:val="002D400F"/>
    <w:rsid w:val="002D404E"/>
    <w:rsid w:val="002D405A"/>
    <w:rsid w:val="002D4638"/>
    <w:rsid w:val="002D4727"/>
    <w:rsid w:val="002D4A43"/>
    <w:rsid w:val="002D5047"/>
    <w:rsid w:val="002D52B7"/>
    <w:rsid w:val="002D6532"/>
    <w:rsid w:val="002D66E5"/>
    <w:rsid w:val="002D7035"/>
    <w:rsid w:val="002D73F2"/>
    <w:rsid w:val="002D765D"/>
    <w:rsid w:val="002D7ED8"/>
    <w:rsid w:val="002E002C"/>
    <w:rsid w:val="002E016E"/>
    <w:rsid w:val="002E0933"/>
    <w:rsid w:val="002E093D"/>
    <w:rsid w:val="002E0A82"/>
    <w:rsid w:val="002E0DBC"/>
    <w:rsid w:val="002E0E4F"/>
    <w:rsid w:val="002E1116"/>
    <w:rsid w:val="002E178A"/>
    <w:rsid w:val="002E187F"/>
    <w:rsid w:val="002E18A4"/>
    <w:rsid w:val="002E1B07"/>
    <w:rsid w:val="002E1BA1"/>
    <w:rsid w:val="002E1CBB"/>
    <w:rsid w:val="002E2583"/>
    <w:rsid w:val="002E29E9"/>
    <w:rsid w:val="002E2BEF"/>
    <w:rsid w:val="002E2C63"/>
    <w:rsid w:val="002E2DCA"/>
    <w:rsid w:val="002E3A7C"/>
    <w:rsid w:val="002E3DB2"/>
    <w:rsid w:val="002E3E1A"/>
    <w:rsid w:val="002E3EA6"/>
    <w:rsid w:val="002E4388"/>
    <w:rsid w:val="002E451B"/>
    <w:rsid w:val="002E481C"/>
    <w:rsid w:val="002E4930"/>
    <w:rsid w:val="002E4C58"/>
    <w:rsid w:val="002E5576"/>
    <w:rsid w:val="002E5B11"/>
    <w:rsid w:val="002E5BFC"/>
    <w:rsid w:val="002E6211"/>
    <w:rsid w:val="002E6834"/>
    <w:rsid w:val="002E6837"/>
    <w:rsid w:val="002E755A"/>
    <w:rsid w:val="002E76CD"/>
    <w:rsid w:val="002E7869"/>
    <w:rsid w:val="002E7D44"/>
    <w:rsid w:val="002F00C7"/>
    <w:rsid w:val="002F023F"/>
    <w:rsid w:val="002F0CA5"/>
    <w:rsid w:val="002F121C"/>
    <w:rsid w:val="002F1A9F"/>
    <w:rsid w:val="002F2542"/>
    <w:rsid w:val="002F26E4"/>
    <w:rsid w:val="002F2D1C"/>
    <w:rsid w:val="002F30ED"/>
    <w:rsid w:val="002F334E"/>
    <w:rsid w:val="002F352C"/>
    <w:rsid w:val="002F366E"/>
    <w:rsid w:val="002F36D0"/>
    <w:rsid w:val="002F3784"/>
    <w:rsid w:val="002F3F7D"/>
    <w:rsid w:val="002F48AB"/>
    <w:rsid w:val="002F48F5"/>
    <w:rsid w:val="002F4A6B"/>
    <w:rsid w:val="002F4AE5"/>
    <w:rsid w:val="002F4CE8"/>
    <w:rsid w:val="002F4F0F"/>
    <w:rsid w:val="002F5182"/>
    <w:rsid w:val="002F53C5"/>
    <w:rsid w:val="002F5913"/>
    <w:rsid w:val="002F596A"/>
    <w:rsid w:val="002F5B2C"/>
    <w:rsid w:val="002F5FD6"/>
    <w:rsid w:val="002F615A"/>
    <w:rsid w:val="002F6D29"/>
    <w:rsid w:val="002F705F"/>
    <w:rsid w:val="002F7356"/>
    <w:rsid w:val="002F779A"/>
    <w:rsid w:val="002F7CB1"/>
    <w:rsid w:val="003001BA"/>
    <w:rsid w:val="00300572"/>
    <w:rsid w:val="00300745"/>
    <w:rsid w:val="003013F4"/>
    <w:rsid w:val="003013FF"/>
    <w:rsid w:val="003014D2"/>
    <w:rsid w:val="00301DD7"/>
    <w:rsid w:val="00302391"/>
    <w:rsid w:val="00302841"/>
    <w:rsid w:val="00302B09"/>
    <w:rsid w:val="00302E98"/>
    <w:rsid w:val="00303041"/>
    <w:rsid w:val="003034CB"/>
    <w:rsid w:val="003035E3"/>
    <w:rsid w:val="00303955"/>
    <w:rsid w:val="003049FA"/>
    <w:rsid w:val="00304C45"/>
    <w:rsid w:val="00304CB6"/>
    <w:rsid w:val="00304E81"/>
    <w:rsid w:val="003050B5"/>
    <w:rsid w:val="003051D8"/>
    <w:rsid w:val="0030571E"/>
    <w:rsid w:val="00306AF4"/>
    <w:rsid w:val="00306E08"/>
    <w:rsid w:val="00307349"/>
    <w:rsid w:val="00307360"/>
    <w:rsid w:val="003074EA"/>
    <w:rsid w:val="00307EF9"/>
    <w:rsid w:val="00310C77"/>
    <w:rsid w:val="00311300"/>
    <w:rsid w:val="003113D7"/>
    <w:rsid w:val="00311680"/>
    <w:rsid w:val="0031168B"/>
    <w:rsid w:val="003117F6"/>
    <w:rsid w:val="00311842"/>
    <w:rsid w:val="00311F8B"/>
    <w:rsid w:val="00312704"/>
    <w:rsid w:val="00312711"/>
    <w:rsid w:val="00312948"/>
    <w:rsid w:val="00312F96"/>
    <w:rsid w:val="00313242"/>
    <w:rsid w:val="0031335F"/>
    <w:rsid w:val="00313867"/>
    <w:rsid w:val="00313B0E"/>
    <w:rsid w:val="00313B90"/>
    <w:rsid w:val="00313C34"/>
    <w:rsid w:val="00313CF0"/>
    <w:rsid w:val="003140D7"/>
    <w:rsid w:val="0031423A"/>
    <w:rsid w:val="00314773"/>
    <w:rsid w:val="00314B1C"/>
    <w:rsid w:val="00314D2A"/>
    <w:rsid w:val="00314E8E"/>
    <w:rsid w:val="003152E2"/>
    <w:rsid w:val="003156C6"/>
    <w:rsid w:val="003159C5"/>
    <w:rsid w:val="003159CA"/>
    <w:rsid w:val="00315BC3"/>
    <w:rsid w:val="00315BDB"/>
    <w:rsid w:val="00316052"/>
    <w:rsid w:val="003162A4"/>
    <w:rsid w:val="00316550"/>
    <w:rsid w:val="003165CE"/>
    <w:rsid w:val="0031665B"/>
    <w:rsid w:val="00316B26"/>
    <w:rsid w:val="00316EC1"/>
    <w:rsid w:val="00317338"/>
    <w:rsid w:val="003174D4"/>
    <w:rsid w:val="00317609"/>
    <w:rsid w:val="00317BBC"/>
    <w:rsid w:val="00317F58"/>
    <w:rsid w:val="003202B6"/>
    <w:rsid w:val="003207A7"/>
    <w:rsid w:val="00320A3C"/>
    <w:rsid w:val="00320A6E"/>
    <w:rsid w:val="00320B39"/>
    <w:rsid w:val="00321300"/>
    <w:rsid w:val="003213CD"/>
    <w:rsid w:val="00321467"/>
    <w:rsid w:val="00321C5B"/>
    <w:rsid w:val="00321C80"/>
    <w:rsid w:val="00322222"/>
    <w:rsid w:val="003223A4"/>
    <w:rsid w:val="00322816"/>
    <w:rsid w:val="0032314E"/>
    <w:rsid w:val="003232DB"/>
    <w:rsid w:val="0032394C"/>
    <w:rsid w:val="0032395D"/>
    <w:rsid w:val="0032428E"/>
    <w:rsid w:val="003243E4"/>
    <w:rsid w:val="00324A54"/>
    <w:rsid w:val="00324FBF"/>
    <w:rsid w:val="0032557A"/>
    <w:rsid w:val="00325C36"/>
    <w:rsid w:val="0032609C"/>
    <w:rsid w:val="00326547"/>
    <w:rsid w:val="00326A69"/>
    <w:rsid w:val="00327220"/>
    <w:rsid w:val="00327745"/>
    <w:rsid w:val="00327CAA"/>
    <w:rsid w:val="00327EEE"/>
    <w:rsid w:val="0033008D"/>
    <w:rsid w:val="003301B6"/>
    <w:rsid w:val="0033090C"/>
    <w:rsid w:val="00331403"/>
    <w:rsid w:val="0033163F"/>
    <w:rsid w:val="00331763"/>
    <w:rsid w:val="00331831"/>
    <w:rsid w:val="003318AB"/>
    <w:rsid w:val="00331C80"/>
    <w:rsid w:val="00331ED7"/>
    <w:rsid w:val="0033213D"/>
    <w:rsid w:val="00332437"/>
    <w:rsid w:val="00332674"/>
    <w:rsid w:val="00332F45"/>
    <w:rsid w:val="003330E0"/>
    <w:rsid w:val="003333A6"/>
    <w:rsid w:val="003334E5"/>
    <w:rsid w:val="0033357D"/>
    <w:rsid w:val="003338A3"/>
    <w:rsid w:val="00333A2E"/>
    <w:rsid w:val="00333A75"/>
    <w:rsid w:val="00333ACC"/>
    <w:rsid w:val="0033441C"/>
    <w:rsid w:val="00334EAA"/>
    <w:rsid w:val="00334F47"/>
    <w:rsid w:val="0033518A"/>
    <w:rsid w:val="0033576C"/>
    <w:rsid w:val="0033595C"/>
    <w:rsid w:val="0033625C"/>
    <w:rsid w:val="003367ED"/>
    <w:rsid w:val="00336914"/>
    <w:rsid w:val="00336E1E"/>
    <w:rsid w:val="00336F77"/>
    <w:rsid w:val="00337A8D"/>
    <w:rsid w:val="00337AA0"/>
    <w:rsid w:val="00337EBD"/>
    <w:rsid w:val="00337ECD"/>
    <w:rsid w:val="003400BC"/>
    <w:rsid w:val="00340779"/>
    <w:rsid w:val="00340A79"/>
    <w:rsid w:val="00340AB2"/>
    <w:rsid w:val="00340B08"/>
    <w:rsid w:val="00340EE7"/>
    <w:rsid w:val="00341140"/>
    <w:rsid w:val="00341148"/>
    <w:rsid w:val="003418F1"/>
    <w:rsid w:val="00341D9E"/>
    <w:rsid w:val="00341ED5"/>
    <w:rsid w:val="00341F7F"/>
    <w:rsid w:val="00342276"/>
    <w:rsid w:val="003425B0"/>
    <w:rsid w:val="00342B52"/>
    <w:rsid w:val="00343054"/>
    <w:rsid w:val="00343292"/>
    <w:rsid w:val="0034382B"/>
    <w:rsid w:val="003441A0"/>
    <w:rsid w:val="003442FB"/>
    <w:rsid w:val="0034451F"/>
    <w:rsid w:val="00344899"/>
    <w:rsid w:val="00344B0E"/>
    <w:rsid w:val="00344D89"/>
    <w:rsid w:val="003452BA"/>
    <w:rsid w:val="0034554A"/>
    <w:rsid w:val="00345715"/>
    <w:rsid w:val="0034594B"/>
    <w:rsid w:val="00345F90"/>
    <w:rsid w:val="003462F6"/>
    <w:rsid w:val="0034634C"/>
    <w:rsid w:val="003467EC"/>
    <w:rsid w:val="00346B7C"/>
    <w:rsid w:val="00346DF2"/>
    <w:rsid w:val="003470FC"/>
    <w:rsid w:val="0034711E"/>
    <w:rsid w:val="0034748F"/>
    <w:rsid w:val="003475EA"/>
    <w:rsid w:val="00347651"/>
    <w:rsid w:val="00347691"/>
    <w:rsid w:val="00347D5F"/>
    <w:rsid w:val="003500D3"/>
    <w:rsid w:val="003500D9"/>
    <w:rsid w:val="00350AF0"/>
    <w:rsid w:val="003511ED"/>
    <w:rsid w:val="00351319"/>
    <w:rsid w:val="00351332"/>
    <w:rsid w:val="00351526"/>
    <w:rsid w:val="00351630"/>
    <w:rsid w:val="00351881"/>
    <w:rsid w:val="00352052"/>
    <w:rsid w:val="003520B5"/>
    <w:rsid w:val="0035275F"/>
    <w:rsid w:val="003528D9"/>
    <w:rsid w:val="00352957"/>
    <w:rsid w:val="00352E3E"/>
    <w:rsid w:val="00352EA2"/>
    <w:rsid w:val="0035388D"/>
    <w:rsid w:val="00354A41"/>
    <w:rsid w:val="00354CA4"/>
    <w:rsid w:val="0035559F"/>
    <w:rsid w:val="003559AA"/>
    <w:rsid w:val="00355C2F"/>
    <w:rsid w:val="00355C76"/>
    <w:rsid w:val="00355F29"/>
    <w:rsid w:val="00356339"/>
    <w:rsid w:val="0035654C"/>
    <w:rsid w:val="003565B5"/>
    <w:rsid w:val="00356789"/>
    <w:rsid w:val="00356815"/>
    <w:rsid w:val="00356BF5"/>
    <w:rsid w:val="00356E02"/>
    <w:rsid w:val="00356EDD"/>
    <w:rsid w:val="0035742D"/>
    <w:rsid w:val="003579BF"/>
    <w:rsid w:val="00357BEF"/>
    <w:rsid w:val="00357F15"/>
    <w:rsid w:val="003608BD"/>
    <w:rsid w:val="00360CEB"/>
    <w:rsid w:val="00361089"/>
    <w:rsid w:val="00361397"/>
    <w:rsid w:val="003615A8"/>
    <w:rsid w:val="00361951"/>
    <w:rsid w:val="00361960"/>
    <w:rsid w:val="00361974"/>
    <w:rsid w:val="00361B67"/>
    <w:rsid w:val="00362061"/>
    <w:rsid w:val="003622E3"/>
    <w:rsid w:val="00362303"/>
    <w:rsid w:val="003629A4"/>
    <w:rsid w:val="00362C56"/>
    <w:rsid w:val="00362D00"/>
    <w:rsid w:val="00362F03"/>
    <w:rsid w:val="00362F63"/>
    <w:rsid w:val="00362F9E"/>
    <w:rsid w:val="003630FF"/>
    <w:rsid w:val="003632F5"/>
    <w:rsid w:val="0036342A"/>
    <w:rsid w:val="00363766"/>
    <w:rsid w:val="00363B03"/>
    <w:rsid w:val="00363DE3"/>
    <w:rsid w:val="0036437D"/>
    <w:rsid w:val="00364426"/>
    <w:rsid w:val="00365108"/>
    <w:rsid w:val="003653E0"/>
    <w:rsid w:val="003656BA"/>
    <w:rsid w:val="0036578F"/>
    <w:rsid w:val="00365FD4"/>
    <w:rsid w:val="00366229"/>
    <w:rsid w:val="0036624F"/>
    <w:rsid w:val="003666C1"/>
    <w:rsid w:val="00366BE6"/>
    <w:rsid w:val="00366E2A"/>
    <w:rsid w:val="00367013"/>
    <w:rsid w:val="003673CA"/>
    <w:rsid w:val="003674DC"/>
    <w:rsid w:val="003675C2"/>
    <w:rsid w:val="00367634"/>
    <w:rsid w:val="00367EAD"/>
    <w:rsid w:val="00370045"/>
    <w:rsid w:val="0037084E"/>
    <w:rsid w:val="003708CA"/>
    <w:rsid w:val="00370CB9"/>
    <w:rsid w:val="003716C4"/>
    <w:rsid w:val="00371CA9"/>
    <w:rsid w:val="00371D78"/>
    <w:rsid w:val="0037203A"/>
    <w:rsid w:val="003723B2"/>
    <w:rsid w:val="0037264F"/>
    <w:rsid w:val="00372891"/>
    <w:rsid w:val="003729EB"/>
    <w:rsid w:val="0037321B"/>
    <w:rsid w:val="00373358"/>
    <w:rsid w:val="003733B6"/>
    <w:rsid w:val="00373A4F"/>
    <w:rsid w:val="00373EE2"/>
    <w:rsid w:val="003743FE"/>
    <w:rsid w:val="0037452E"/>
    <w:rsid w:val="00374D4E"/>
    <w:rsid w:val="00374D7D"/>
    <w:rsid w:val="00375871"/>
    <w:rsid w:val="00375FB9"/>
    <w:rsid w:val="003760F0"/>
    <w:rsid w:val="0037684C"/>
    <w:rsid w:val="00376AEA"/>
    <w:rsid w:val="00377337"/>
    <w:rsid w:val="0037768F"/>
    <w:rsid w:val="00380081"/>
    <w:rsid w:val="003801FC"/>
    <w:rsid w:val="00380636"/>
    <w:rsid w:val="00380AD5"/>
    <w:rsid w:val="0038126C"/>
    <w:rsid w:val="00381295"/>
    <w:rsid w:val="00381A0C"/>
    <w:rsid w:val="00381F87"/>
    <w:rsid w:val="0038200B"/>
    <w:rsid w:val="0038218B"/>
    <w:rsid w:val="003827E3"/>
    <w:rsid w:val="00382D0F"/>
    <w:rsid w:val="00382E3C"/>
    <w:rsid w:val="0038300D"/>
    <w:rsid w:val="0038344E"/>
    <w:rsid w:val="0038381A"/>
    <w:rsid w:val="00383948"/>
    <w:rsid w:val="00383AF4"/>
    <w:rsid w:val="00383ECB"/>
    <w:rsid w:val="003847B7"/>
    <w:rsid w:val="003848BD"/>
    <w:rsid w:val="00384ACC"/>
    <w:rsid w:val="00384EB3"/>
    <w:rsid w:val="003855CF"/>
    <w:rsid w:val="00385635"/>
    <w:rsid w:val="00385641"/>
    <w:rsid w:val="00385C6F"/>
    <w:rsid w:val="00385F65"/>
    <w:rsid w:val="00385FD7"/>
    <w:rsid w:val="00386052"/>
    <w:rsid w:val="0038633A"/>
    <w:rsid w:val="0038677C"/>
    <w:rsid w:val="00386CA5"/>
    <w:rsid w:val="00386CDB"/>
    <w:rsid w:val="00386DB8"/>
    <w:rsid w:val="00387107"/>
    <w:rsid w:val="003873AC"/>
    <w:rsid w:val="00387C3E"/>
    <w:rsid w:val="00387DB5"/>
    <w:rsid w:val="00390024"/>
    <w:rsid w:val="003906C1"/>
    <w:rsid w:val="003907A3"/>
    <w:rsid w:val="00390A1D"/>
    <w:rsid w:val="00390AA2"/>
    <w:rsid w:val="00390AD2"/>
    <w:rsid w:val="00390B57"/>
    <w:rsid w:val="00390C80"/>
    <w:rsid w:val="00390CE7"/>
    <w:rsid w:val="00391437"/>
    <w:rsid w:val="003917B3"/>
    <w:rsid w:val="003917BF"/>
    <w:rsid w:val="0039182F"/>
    <w:rsid w:val="00391B7E"/>
    <w:rsid w:val="0039261C"/>
    <w:rsid w:val="00392C5C"/>
    <w:rsid w:val="003932C6"/>
    <w:rsid w:val="003932D1"/>
    <w:rsid w:val="0039392E"/>
    <w:rsid w:val="0039412A"/>
    <w:rsid w:val="00394228"/>
    <w:rsid w:val="003944BB"/>
    <w:rsid w:val="00394553"/>
    <w:rsid w:val="00394793"/>
    <w:rsid w:val="00394831"/>
    <w:rsid w:val="00394A0F"/>
    <w:rsid w:val="00394E68"/>
    <w:rsid w:val="003953D8"/>
    <w:rsid w:val="0039542D"/>
    <w:rsid w:val="00395467"/>
    <w:rsid w:val="00395674"/>
    <w:rsid w:val="00395C70"/>
    <w:rsid w:val="003965C2"/>
    <w:rsid w:val="00396695"/>
    <w:rsid w:val="00397347"/>
    <w:rsid w:val="00397B48"/>
    <w:rsid w:val="00397DF6"/>
    <w:rsid w:val="00397ED0"/>
    <w:rsid w:val="00397FF6"/>
    <w:rsid w:val="003A060B"/>
    <w:rsid w:val="003A090B"/>
    <w:rsid w:val="003A0E8B"/>
    <w:rsid w:val="003A0EAD"/>
    <w:rsid w:val="003A13C1"/>
    <w:rsid w:val="003A2421"/>
    <w:rsid w:val="003A25F3"/>
    <w:rsid w:val="003A285A"/>
    <w:rsid w:val="003A2CBE"/>
    <w:rsid w:val="003A2D16"/>
    <w:rsid w:val="003A2EC2"/>
    <w:rsid w:val="003A3159"/>
    <w:rsid w:val="003A3A35"/>
    <w:rsid w:val="003A3C03"/>
    <w:rsid w:val="003A3C49"/>
    <w:rsid w:val="003A3DED"/>
    <w:rsid w:val="003A4126"/>
    <w:rsid w:val="003A458E"/>
    <w:rsid w:val="003A45DE"/>
    <w:rsid w:val="003A4630"/>
    <w:rsid w:val="003A4E20"/>
    <w:rsid w:val="003A55D1"/>
    <w:rsid w:val="003A56C3"/>
    <w:rsid w:val="003A58B1"/>
    <w:rsid w:val="003A5C95"/>
    <w:rsid w:val="003A5E43"/>
    <w:rsid w:val="003A623E"/>
    <w:rsid w:val="003A67A7"/>
    <w:rsid w:val="003A6862"/>
    <w:rsid w:val="003A755A"/>
    <w:rsid w:val="003A761F"/>
    <w:rsid w:val="003A79A3"/>
    <w:rsid w:val="003A7B20"/>
    <w:rsid w:val="003A7B69"/>
    <w:rsid w:val="003A7BDC"/>
    <w:rsid w:val="003A7D43"/>
    <w:rsid w:val="003B036A"/>
    <w:rsid w:val="003B0510"/>
    <w:rsid w:val="003B071B"/>
    <w:rsid w:val="003B0990"/>
    <w:rsid w:val="003B09B9"/>
    <w:rsid w:val="003B0A38"/>
    <w:rsid w:val="003B0AFB"/>
    <w:rsid w:val="003B0E76"/>
    <w:rsid w:val="003B0F09"/>
    <w:rsid w:val="003B0F9A"/>
    <w:rsid w:val="003B1A8C"/>
    <w:rsid w:val="003B1C20"/>
    <w:rsid w:val="003B1C40"/>
    <w:rsid w:val="003B1F86"/>
    <w:rsid w:val="003B2327"/>
    <w:rsid w:val="003B2580"/>
    <w:rsid w:val="003B2813"/>
    <w:rsid w:val="003B2B2D"/>
    <w:rsid w:val="003B2E1D"/>
    <w:rsid w:val="003B340A"/>
    <w:rsid w:val="003B3D21"/>
    <w:rsid w:val="003B3D6B"/>
    <w:rsid w:val="003B3F11"/>
    <w:rsid w:val="003B3F32"/>
    <w:rsid w:val="003B40DF"/>
    <w:rsid w:val="003B420F"/>
    <w:rsid w:val="003B44C8"/>
    <w:rsid w:val="003B4794"/>
    <w:rsid w:val="003B4B04"/>
    <w:rsid w:val="003B4C74"/>
    <w:rsid w:val="003B4D47"/>
    <w:rsid w:val="003B50EA"/>
    <w:rsid w:val="003B5162"/>
    <w:rsid w:val="003B5503"/>
    <w:rsid w:val="003B5C33"/>
    <w:rsid w:val="003B5DAC"/>
    <w:rsid w:val="003B5E27"/>
    <w:rsid w:val="003B604E"/>
    <w:rsid w:val="003B6791"/>
    <w:rsid w:val="003B6E61"/>
    <w:rsid w:val="003B6FF7"/>
    <w:rsid w:val="003B7380"/>
    <w:rsid w:val="003B7D3C"/>
    <w:rsid w:val="003C01DA"/>
    <w:rsid w:val="003C0281"/>
    <w:rsid w:val="003C0283"/>
    <w:rsid w:val="003C02B7"/>
    <w:rsid w:val="003C0A96"/>
    <w:rsid w:val="003C12CA"/>
    <w:rsid w:val="003C15DF"/>
    <w:rsid w:val="003C165F"/>
    <w:rsid w:val="003C1F4D"/>
    <w:rsid w:val="003C1FB1"/>
    <w:rsid w:val="003C2623"/>
    <w:rsid w:val="003C29B4"/>
    <w:rsid w:val="003C2B35"/>
    <w:rsid w:val="003C2C10"/>
    <w:rsid w:val="003C359F"/>
    <w:rsid w:val="003C39F6"/>
    <w:rsid w:val="003C3C1A"/>
    <w:rsid w:val="003C560E"/>
    <w:rsid w:val="003C5AAB"/>
    <w:rsid w:val="003C5BDA"/>
    <w:rsid w:val="003C60D0"/>
    <w:rsid w:val="003C615B"/>
    <w:rsid w:val="003C665E"/>
    <w:rsid w:val="003C692D"/>
    <w:rsid w:val="003C6EA9"/>
    <w:rsid w:val="003C6F97"/>
    <w:rsid w:val="003C70EF"/>
    <w:rsid w:val="003C75D6"/>
    <w:rsid w:val="003C75E1"/>
    <w:rsid w:val="003C78FC"/>
    <w:rsid w:val="003D0192"/>
    <w:rsid w:val="003D0E00"/>
    <w:rsid w:val="003D0F93"/>
    <w:rsid w:val="003D0FEB"/>
    <w:rsid w:val="003D12CD"/>
    <w:rsid w:val="003D1500"/>
    <w:rsid w:val="003D1B2B"/>
    <w:rsid w:val="003D1FF4"/>
    <w:rsid w:val="003D200C"/>
    <w:rsid w:val="003D201D"/>
    <w:rsid w:val="003D26FD"/>
    <w:rsid w:val="003D2AA8"/>
    <w:rsid w:val="003D2F82"/>
    <w:rsid w:val="003D34F9"/>
    <w:rsid w:val="003D385D"/>
    <w:rsid w:val="003D416C"/>
    <w:rsid w:val="003D4281"/>
    <w:rsid w:val="003D44F1"/>
    <w:rsid w:val="003D45C7"/>
    <w:rsid w:val="003D4E85"/>
    <w:rsid w:val="003D4FEB"/>
    <w:rsid w:val="003D5037"/>
    <w:rsid w:val="003D5183"/>
    <w:rsid w:val="003D528C"/>
    <w:rsid w:val="003D5601"/>
    <w:rsid w:val="003D5779"/>
    <w:rsid w:val="003D5C62"/>
    <w:rsid w:val="003D5DC4"/>
    <w:rsid w:val="003D6563"/>
    <w:rsid w:val="003D6625"/>
    <w:rsid w:val="003D68EB"/>
    <w:rsid w:val="003D6AC7"/>
    <w:rsid w:val="003D6FD9"/>
    <w:rsid w:val="003D709C"/>
    <w:rsid w:val="003D7435"/>
    <w:rsid w:val="003D759C"/>
    <w:rsid w:val="003D7AFD"/>
    <w:rsid w:val="003D7DBD"/>
    <w:rsid w:val="003E008A"/>
    <w:rsid w:val="003E0856"/>
    <w:rsid w:val="003E0B05"/>
    <w:rsid w:val="003E0C35"/>
    <w:rsid w:val="003E0CEC"/>
    <w:rsid w:val="003E0F6B"/>
    <w:rsid w:val="003E11BE"/>
    <w:rsid w:val="003E12CB"/>
    <w:rsid w:val="003E14FC"/>
    <w:rsid w:val="003E189B"/>
    <w:rsid w:val="003E2100"/>
    <w:rsid w:val="003E22FC"/>
    <w:rsid w:val="003E24B9"/>
    <w:rsid w:val="003E25BF"/>
    <w:rsid w:val="003E2773"/>
    <w:rsid w:val="003E28BA"/>
    <w:rsid w:val="003E2A40"/>
    <w:rsid w:val="003E2AEA"/>
    <w:rsid w:val="003E2D15"/>
    <w:rsid w:val="003E2DAC"/>
    <w:rsid w:val="003E336C"/>
    <w:rsid w:val="003E3433"/>
    <w:rsid w:val="003E350C"/>
    <w:rsid w:val="003E3BDA"/>
    <w:rsid w:val="003E3E5A"/>
    <w:rsid w:val="003E3F88"/>
    <w:rsid w:val="003E42EB"/>
    <w:rsid w:val="003E4377"/>
    <w:rsid w:val="003E438C"/>
    <w:rsid w:val="003E463A"/>
    <w:rsid w:val="003E4DB4"/>
    <w:rsid w:val="003E4E90"/>
    <w:rsid w:val="003E5372"/>
    <w:rsid w:val="003E5517"/>
    <w:rsid w:val="003E56CB"/>
    <w:rsid w:val="003E651E"/>
    <w:rsid w:val="003E65DA"/>
    <w:rsid w:val="003E668F"/>
    <w:rsid w:val="003E6E01"/>
    <w:rsid w:val="003E73B9"/>
    <w:rsid w:val="003E7403"/>
    <w:rsid w:val="003E7657"/>
    <w:rsid w:val="003E7AF3"/>
    <w:rsid w:val="003E7DB5"/>
    <w:rsid w:val="003F0062"/>
    <w:rsid w:val="003F090D"/>
    <w:rsid w:val="003F0CED"/>
    <w:rsid w:val="003F0D32"/>
    <w:rsid w:val="003F1062"/>
    <w:rsid w:val="003F131B"/>
    <w:rsid w:val="003F21E7"/>
    <w:rsid w:val="003F21E8"/>
    <w:rsid w:val="003F253A"/>
    <w:rsid w:val="003F2605"/>
    <w:rsid w:val="003F2940"/>
    <w:rsid w:val="003F2959"/>
    <w:rsid w:val="003F29ED"/>
    <w:rsid w:val="003F3901"/>
    <w:rsid w:val="003F3C52"/>
    <w:rsid w:val="003F3EC9"/>
    <w:rsid w:val="003F449D"/>
    <w:rsid w:val="003F4980"/>
    <w:rsid w:val="003F4ADD"/>
    <w:rsid w:val="003F4D13"/>
    <w:rsid w:val="003F4EBE"/>
    <w:rsid w:val="003F4EE4"/>
    <w:rsid w:val="003F528E"/>
    <w:rsid w:val="003F5A0F"/>
    <w:rsid w:val="003F5E9D"/>
    <w:rsid w:val="003F60E9"/>
    <w:rsid w:val="003F645C"/>
    <w:rsid w:val="003F6B2D"/>
    <w:rsid w:val="003F6D73"/>
    <w:rsid w:val="003F72B3"/>
    <w:rsid w:val="003F7E51"/>
    <w:rsid w:val="00400BC4"/>
    <w:rsid w:val="004016FD"/>
    <w:rsid w:val="00401DA2"/>
    <w:rsid w:val="004024EC"/>
    <w:rsid w:val="00402669"/>
    <w:rsid w:val="00402C63"/>
    <w:rsid w:val="004030FE"/>
    <w:rsid w:val="0040346E"/>
    <w:rsid w:val="004035AC"/>
    <w:rsid w:val="00403669"/>
    <w:rsid w:val="004037E7"/>
    <w:rsid w:val="0040390B"/>
    <w:rsid w:val="0040399C"/>
    <w:rsid w:val="00403C5E"/>
    <w:rsid w:val="00403E9F"/>
    <w:rsid w:val="00403F20"/>
    <w:rsid w:val="0040453B"/>
    <w:rsid w:val="0040569E"/>
    <w:rsid w:val="00405ACB"/>
    <w:rsid w:val="00405B72"/>
    <w:rsid w:val="00405B80"/>
    <w:rsid w:val="00405CD1"/>
    <w:rsid w:val="00405E52"/>
    <w:rsid w:val="00405EF3"/>
    <w:rsid w:val="00405F34"/>
    <w:rsid w:val="00405F4A"/>
    <w:rsid w:val="00406745"/>
    <w:rsid w:val="004069E5"/>
    <w:rsid w:val="004070D4"/>
    <w:rsid w:val="004072C0"/>
    <w:rsid w:val="00407308"/>
    <w:rsid w:val="0040738F"/>
    <w:rsid w:val="00407641"/>
    <w:rsid w:val="0041005E"/>
    <w:rsid w:val="00410390"/>
    <w:rsid w:val="004104E9"/>
    <w:rsid w:val="004104ED"/>
    <w:rsid w:val="00410B23"/>
    <w:rsid w:val="00410E8E"/>
    <w:rsid w:val="0041101B"/>
    <w:rsid w:val="00411279"/>
    <w:rsid w:val="0041185F"/>
    <w:rsid w:val="0041194C"/>
    <w:rsid w:val="00411B0F"/>
    <w:rsid w:val="00411FB8"/>
    <w:rsid w:val="004120B9"/>
    <w:rsid w:val="004121D7"/>
    <w:rsid w:val="004121DC"/>
    <w:rsid w:val="004126E1"/>
    <w:rsid w:val="00412E8B"/>
    <w:rsid w:val="004133EE"/>
    <w:rsid w:val="004133F5"/>
    <w:rsid w:val="0041357E"/>
    <w:rsid w:val="004135E8"/>
    <w:rsid w:val="00413F72"/>
    <w:rsid w:val="00414341"/>
    <w:rsid w:val="00414396"/>
    <w:rsid w:val="0041464A"/>
    <w:rsid w:val="00414BAF"/>
    <w:rsid w:val="00414F64"/>
    <w:rsid w:val="00415817"/>
    <w:rsid w:val="00415C21"/>
    <w:rsid w:val="00415D68"/>
    <w:rsid w:val="004161F0"/>
    <w:rsid w:val="004165F2"/>
    <w:rsid w:val="0041690A"/>
    <w:rsid w:val="0041697B"/>
    <w:rsid w:val="00416EF9"/>
    <w:rsid w:val="0041705C"/>
    <w:rsid w:val="00417739"/>
    <w:rsid w:val="00417A1B"/>
    <w:rsid w:val="00417C25"/>
    <w:rsid w:val="00417C88"/>
    <w:rsid w:val="00417F20"/>
    <w:rsid w:val="00417F5B"/>
    <w:rsid w:val="004203EB"/>
    <w:rsid w:val="004205FD"/>
    <w:rsid w:val="00420651"/>
    <w:rsid w:val="004206D0"/>
    <w:rsid w:val="0042075D"/>
    <w:rsid w:val="004209C7"/>
    <w:rsid w:val="004209F4"/>
    <w:rsid w:val="00420EFE"/>
    <w:rsid w:val="00421379"/>
    <w:rsid w:val="0042160A"/>
    <w:rsid w:val="00421903"/>
    <w:rsid w:val="00421A2D"/>
    <w:rsid w:val="00421B13"/>
    <w:rsid w:val="00421C45"/>
    <w:rsid w:val="00421DA6"/>
    <w:rsid w:val="0042216D"/>
    <w:rsid w:val="00422FE0"/>
    <w:rsid w:val="0042337B"/>
    <w:rsid w:val="00423AC2"/>
    <w:rsid w:val="00423AD1"/>
    <w:rsid w:val="00423D3A"/>
    <w:rsid w:val="00423F51"/>
    <w:rsid w:val="00423FB6"/>
    <w:rsid w:val="00424238"/>
    <w:rsid w:val="004243C4"/>
    <w:rsid w:val="0042467F"/>
    <w:rsid w:val="00424BA5"/>
    <w:rsid w:val="00425C90"/>
    <w:rsid w:val="00425F5E"/>
    <w:rsid w:val="004260B4"/>
    <w:rsid w:val="00426208"/>
    <w:rsid w:val="0042628E"/>
    <w:rsid w:val="00426350"/>
    <w:rsid w:val="004265CC"/>
    <w:rsid w:val="00426645"/>
    <w:rsid w:val="0042685F"/>
    <w:rsid w:val="00426B7D"/>
    <w:rsid w:val="004270D3"/>
    <w:rsid w:val="0042717A"/>
    <w:rsid w:val="00427502"/>
    <w:rsid w:val="00427515"/>
    <w:rsid w:val="004279F2"/>
    <w:rsid w:val="00427EA3"/>
    <w:rsid w:val="004300E2"/>
    <w:rsid w:val="00430146"/>
    <w:rsid w:val="00430606"/>
    <w:rsid w:val="00430C46"/>
    <w:rsid w:val="00430C57"/>
    <w:rsid w:val="00431041"/>
    <w:rsid w:val="00431324"/>
    <w:rsid w:val="0043263D"/>
    <w:rsid w:val="00432BF5"/>
    <w:rsid w:val="00432C29"/>
    <w:rsid w:val="00432D8A"/>
    <w:rsid w:val="0043308B"/>
    <w:rsid w:val="0043310B"/>
    <w:rsid w:val="0043341C"/>
    <w:rsid w:val="00433F86"/>
    <w:rsid w:val="0043437E"/>
    <w:rsid w:val="00434458"/>
    <w:rsid w:val="00435618"/>
    <w:rsid w:val="0043585A"/>
    <w:rsid w:val="00435BC0"/>
    <w:rsid w:val="00435D27"/>
    <w:rsid w:val="00435F84"/>
    <w:rsid w:val="00436162"/>
    <w:rsid w:val="0043635B"/>
    <w:rsid w:val="0043683A"/>
    <w:rsid w:val="00436848"/>
    <w:rsid w:val="00436C97"/>
    <w:rsid w:val="00436F1E"/>
    <w:rsid w:val="00437382"/>
    <w:rsid w:val="00437633"/>
    <w:rsid w:val="0043799A"/>
    <w:rsid w:val="00437A88"/>
    <w:rsid w:val="00437DEB"/>
    <w:rsid w:val="0044032F"/>
    <w:rsid w:val="004408D6"/>
    <w:rsid w:val="00440E93"/>
    <w:rsid w:val="00441023"/>
    <w:rsid w:val="004410A1"/>
    <w:rsid w:val="004411F1"/>
    <w:rsid w:val="00441F50"/>
    <w:rsid w:val="00442082"/>
    <w:rsid w:val="00442403"/>
    <w:rsid w:val="00442745"/>
    <w:rsid w:val="00442795"/>
    <w:rsid w:val="00442994"/>
    <w:rsid w:val="00442A35"/>
    <w:rsid w:val="00442BBB"/>
    <w:rsid w:val="00442F5B"/>
    <w:rsid w:val="0044327D"/>
    <w:rsid w:val="0044340C"/>
    <w:rsid w:val="0044355E"/>
    <w:rsid w:val="00443BC0"/>
    <w:rsid w:val="00443E15"/>
    <w:rsid w:val="0044437B"/>
    <w:rsid w:val="0044437D"/>
    <w:rsid w:val="004445AB"/>
    <w:rsid w:val="0044474F"/>
    <w:rsid w:val="00444987"/>
    <w:rsid w:val="004449CE"/>
    <w:rsid w:val="00444AA1"/>
    <w:rsid w:val="00444E25"/>
    <w:rsid w:val="00445098"/>
    <w:rsid w:val="0044536A"/>
    <w:rsid w:val="00445694"/>
    <w:rsid w:val="004458DF"/>
    <w:rsid w:val="0044590A"/>
    <w:rsid w:val="00445CD4"/>
    <w:rsid w:val="004465E5"/>
    <w:rsid w:val="00446BE2"/>
    <w:rsid w:val="004476E0"/>
    <w:rsid w:val="00447A8D"/>
    <w:rsid w:val="00447BFF"/>
    <w:rsid w:val="00447D82"/>
    <w:rsid w:val="0045055F"/>
    <w:rsid w:val="004505DF"/>
    <w:rsid w:val="004509C2"/>
    <w:rsid w:val="00450A57"/>
    <w:rsid w:val="00450AD2"/>
    <w:rsid w:val="00451632"/>
    <w:rsid w:val="00451677"/>
    <w:rsid w:val="00451A1B"/>
    <w:rsid w:val="00451C5D"/>
    <w:rsid w:val="00451E64"/>
    <w:rsid w:val="004520AB"/>
    <w:rsid w:val="004521C1"/>
    <w:rsid w:val="004526F8"/>
    <w:rsid w:val="00452B6B"/>
    <w:rsid w:val="00452CDF"/>
    <w:rsid w:val="00452D1F"/>
    <w:rsid w:val="004532E1"/>
    <w:rsid w:val="0045346D"/>
    <w:rsid w:val="004534D1"/>
    <w:rsid w:val="00453575"/>
    <w:rsid w:val="00453E0A"/>
    <w:rsid w:val="00453E0D"/>
    <w:rsid w:val="004542EA"/>
    <w:rsid w:val="00454D9C"/>
    <w:rsid w:val="00455029"/>
    <w:rsid w:val="004553C8"/>
    <w:rsid w:val="004555DB"/>
    <w:rsid w:val="004555E3"/>
    <w:rsid w:val="004562B8"/>
    <w:rsid w:val="00456379"/>
    <w:rsid w:val="00456971"/>
    <w:rsid w:val="00456C4D"/>
    <w:rsid w:val="00456DC8"/>
    <w:rsid w:val="00456E22"/>
    <w:rsid w:val="00456FBB"/>
    <w:rsid w:val="004570E6"/>
    <w:rsid w:val="00457105"/>
    <w:rsid w:val="004573F3"/>
    <w:rsid w:val="00457533"/>
    <w:rsid w:val="00457853"/>
    <w:rsid w:val="00457B7A"/>
    <w:rsid w:val="00460F8D"/>
    <w:rsid w:val="00461601"/>
    <w:rsid w:val="00461A70"/>
    <w:rsid w:val="00461B05"/>
    <w:rsid w:val="00461F67"/>
    <w:rsid w:val="00461F7A"/>
    <w:rsid w:val="00462066"/>
    <w:rsid w:val="00462303"/>
    <w:rsid w:val="0046279D"/>
    <w:rsid w:val="00463171"/>
    <w:rsid w:val="0046333D"/>
    <w:rsid w:val="00464185"/>
    <w:rsid w:val="00464671"/>
    <w:rsid w:val="00464914"/>
    <w:rsid w:val="00464C55"/>
    <w:rsid w:val="00464CDA"/>
    <w:rsid w:val="00464EB6"/>
    <w:rsid w:val="00465527"/>
    <w:rsid w:val="004656E7"/>
    <w:rsid w:val="00465910"/>
    <w:rsid w:val="00465A58"/>
    <w:rsid w:val="00465C81"/>
    <w:rsid w:val="004663BA"/>
    <w:rsid w:val="00466EFA"/>
    <w:rsid w:val="004671E1"/>
    <w:rsid w:val="0046753D"/>
    <w:rsid w:val="004678F3"/>
    <w:rsid w:val="00467A7A"/>
    <w:rsid w:val="00470393"/>
    <w:rsid w:val="0047113D"/>
    <w:rsid w:val="004711D6"/>
    <w:rsid w:val="004714C2"/>
    <w:rsid w:val="004716A6"/>
    <w:rsid w:val="00472197"/>
    <w:rsid w:val="004722D6"/>
    <w:rsid w:val="004724FD"/>
    <w:rsid w:val="004725CB"/>
    <w:rsid w:val="004727B1"/>
    <w:rsid w:val="00472F5E"/>
    <w:rsid w:val="004730BA"/>
    <w:rsid w:val="0047317D"/>
    <w:rsid w:val="00473828"/>
    <w:rsid w:val="0047396F"/>
    <w:rsid w:val="00473AD8"/>
    <w:rsid w:val="00473D4D"/>
    <w:rsid w:val="0047411D"/>
    <w:rsid w:val="004743F7"/>
    <w:rsid w:val="0047475A"/>
    <w:rsid w:val="00474799"/>
    <w:rsid w:val="00474815"/>
    <w:rsid w:val="00474A6B"/>
    <w:rsid w:val="00474F26"/>
    <w:rsid w:val="00475073"/>
    <w:rsid w:val="00475408"/>
    <w:rsid w:val="004756E9"/>
    <w:rsid w:val="00475BB4"/>
    <w:rsid w:val="00475C3D"/>
    <w:rsid w:val="004760C7"/>
    <w:rsid w:val="00476336"/>
    <w:rsid w:val="0047663D"/>
    <w:rsid w:val="004767FC"/>
    <w:rsid w:val="0047689E"/>
    <w:rsid w:val="00476C6B"/>
    <w:rsid w:val="00476D85"/>
    <w:rsid w:val="00476E13"/>
    <w:rsid w:val="004770C1"/>
    <w:rsid w:val="0047719E"/>
    <w:rsid w:val="004772E4"/>
    <w:rsid w:val="00477B9E"/>
    <w:rsid w:val="00480059"/>
    <w:rsid w:val="00480263"/>
    <w:rsid w:val="00480666"/>
    <w:rsid w:val="00480820"/>
    <w:rsid w:val="00480D0B"/>
    <w:rsid w:val="004810A9"/>
    <w:rsid w:val="00481161"/>
    <w:rsid w:val="004811C0"/>
    <w:rsid w:val="0048145F"/>
    <w:rsid w:val="00481686"/>
    <w:rsid w:val="0048168D"/>
    <w:rsid w:val="00481773"/>
    <w:rsid w:val="00481AF6"/>
    <w:rsid w:val="00481C9F"/>
    <w:rsid w:val="004820AF"/>
    <w:rsid w:val="004823D1"/>
    <w:rsid w:val="00482C6D"/>
    <w:rsid w:val="00482DAF"/>
    <w:rsid w:val="00482E58"/>
    <w:rsid w:val="0048329B"/>
    <w:rsid w:val="00483525"/>
    <w:rsid w:val="00483831"/>
    <w:rsid w:val="0048387C"/>
    <w:rsid w:val="00483969"/>
    <w:rsid w:val="00483B7B"/>
    <w:rsid w:val="00483E5F"/>
    <w:rsid w:val="00483FB2"/>
    <w:rsid w:val="0048405F"/>
    <w:rsid w:val="00484166"/>
    <w:rsid w:val="004841D7"/>
    <w:rsid w:val="004842CD"/>
    <w:rsid w:val="004847BC"/>
    <w:rsid w:val="00484E3F"/>
    <w:rsid w:val="00484F08"/>
    <w:rsid w:val="00485701"/>
    <w:rsid w:val="00485C3A"/>
    <w:rsid w:val="00485FF3"/>
    <w:rsid w:val="0048604A"/>
    <w:rsid w:val="004861B1"/>
    <w:rsid w:val="004862AE"/>
    <w:rsid w:val="00486302"/>
    <w:rsid w:val="004864A6"/>
    <w:rsid w:val="00486666"/>
    <w:rsid w:val="00486A27"/>
    <w:rsid w:val="00486C62"/>
    <w:rsid w:val="00486D8B"/>
    <w:rsid w:val="00486F24"/>
    <w:rsid w:val="00487608"/>
    <w:rsid w:val="004876B1"/>
    <w:rsid w:val="004903AB"/>
    <w:rsid w:val="004905D1"/>
    <w:rsid w:val="004909C9"/>
    <w:rsid w:val="00490A8C"/>
    <w:rsid w:val="00491314"/>
    <w:rsid w:val="00491616"/>
    <w:rsid w:val="004917BB"/>
    <w:rsid w:val="00491938"/>
    <w:rsid w:val="0049193D"/>
    <w:rsid w:val="00491AF8"/>
    <w:rsid w:val="00491BD7"/>
    <w:rsid w:val="00492167"/>
    <w:rsid w:val="00492466"/>
    <w:rsid w:val="004924B9"/>
    <w:rsid w:val="004926A5"/>
    <w:rsid w:val="00492BB8"/>
    <w:rsid w:val="00492D34"/>
    <w:rsid w:val="00493245"/>
    <w:rsid w:val="004933AA"/>
    <w:rsid w:val="004935CE"/>
    <w:rsid w:val="004937DB"/>
    <w:rsid w:val="00493983"/>
    <w:rsid w:val="00493FAF"/>
    <w:rsid w:val="004942F9"/>
    <w:rsid w:val="004945B4"/>
    <w:rsid w:val="00494AEA"/>
    <w:rsid w:val="00494C0A"/>
    <w:rsid w:val="00494D09"/>
    <w:rsid w:val="004952A6"/>
    <w:rsid w:val="0049555D"/>
    <w:rsid w:val="0049574D"/>
    <w:rsid w:val="00495B2F"/>
    <w:rsid w:val="00495CD1"/>
    <w:rsid w:val="0049655D"/>
    <w:rsid w:val="00496A1B"/>
    <w:rsid w:val="00497151"/>
    <w:rsid w:val="00497744"/>
    <w:rsid w:val="0049783C"/>
    <w:rsid w:val="00497B8A"/>
    <w:rsid w:val="004A08A1"/>
    <w:rsid w:val="004A0F81"/>
    <w:rsid w:val="004A165C"/>
    <w:rsid w:val="004A1729"/>
    <w:rsid w:val="004A1A01"/>
    <w:rsid w:val="004A1A88"/>
    <w:rsid w:val="004A1B89"/>
    <w:rsid w:val="004A1C08"/>
    <w:rsid w:val="004A1E79"/>
    <w:rsid w:val="004A20F8"/>
    <w:rsid w:val="004A2297"/>
    <w:rsid w:val="004A2657"/>
    <w:rsid w:val="004A270B"/>
    <w:rsid w:val="004A29C7"/>
    <w:rsid w:val="004A2F9B"/>
    <w:rsid w:val="004A2FD9"/>
    <w:rsid w:val="004A30AA"/>
    <w:rsid w:val="004A34AC"/>
    <w:rsid w:val="004A34B5"/>
    <w:rsid w:val="004A3862"/>
    <w:rsid w:val="004A395B"/>
    <w:rsid w:val="004A3CA4"/>
    <w:rsid w:val="004A41B9"/>
    <w:rsid w:val="004A4531"/>
    <w:rsid w:val="004A45E0"/>
    <w:rsid w:val="004A4D7A"/>
    <w:rsid w:val="004A4E36"/>
    <w:rsid w:val="004A4F5B"/>
    <w:rsid w:val="004A5153"/>
    <w:rsid w:val="004A54C6"/>
    <w:rsid w:val="004A57CD"/>
    <w:rsid w:val="004A5812"/>
    <w:rsid w:val="004A5893"/>
    <w:rsid w:val="004A5CA6"/>
    <w:rsid w:val="004A5D0B"/>
    <w:rsid w:val="004A6012"/>
    <w:rsid w:val="004A613F"/>
    <w:rsid w:val="004A6411"/>
    <w:rsid w:val="004A6704"/>
    <w:rsid w:val="004A6902"/>
    <w:rsid w:val="004A6B36"/>
    <w:rsid w:val="004A72B7"/>
    <w:rsid w:val="004A745D"/>
    <w:rsid w:val="004A78E4"/>
    <w:rsid w:val="004A7918"/>
    <w:rsid w:val="004A7E3D"/>
    <w:rsid w:val="004A7F23"/>
    <w:rsid w:val="004A7F87"/>
    <w:rsid w:val="004B0EC9"/>
    <w:rsid w:val="004B0FC8"/>
    <w:rsid w:val="004B1228"/>
    <w:rsid w:val="004B1397"/>
    <w:rsid w:val="004B193F"/>
    <w:rsid w:val="004B1E76"/>
    <w:rsid w:val="004B2120"/>
    <w:rsid w:val="004B23DE"/>
    <w:rsid w:val="004B2448"/>
    <w:rsid w:val="004B2603"/>
    <w:rsid w:val="004B26BE"/>
    <w:rsid w:val="004B2B45"/>
    <w:rsid w:val="004B2BA5"/>
    <w:rsid w:val="004B2D77"/>
    <w:rsid w:val="004B2F26"/>
    <w:rsid w:val="004B3045"/>
    <w:rsid w:val="004B3361"/>
    <w:rsid w:val="004B3675"/>
    <w:rsid w:val="004B4639"/>
    <w:rsid w:val="004B4B5B"/>
    <w:rsid w:val="004B4BBD"/>
    <w:rsid w:val="004B4E18"/>
    <w:rsid w:val="004B55FB"/>
    <w:rsid w:val="004B591A"/>
    <w:rsid w:val="004B5CA1"/>
    <w:rsid w:val="004B5D2F"/>
    <w:rsid w:val="004B633E"/>
    <w:rsid w:val="004B6341"/>
    <w:rsid w:val="004B6417"/>
    <w:rsid w:val="004B6516"/>
    <w:rsid w:val="004B6A98"/>
    <w:rsid w:val="004B703A"/>
    <w:rsid w:val="004B7E86"/>
    <w:rsid w:val="004C026A"/>
    <w:rsid w:val="004C02ED"/>
    <w:rsid w:val="004C0F82"/>
    <w:rsid w:val="004C1D92"/>
    <w:rsid w:val="004C1E13"/>
    <w:rsid w:val="004C1F56"/>
    <w:rsid w:val="004C2073"/>
    <w:rsid w:val="004C216A"/>
    <w:rsid w:val="004C23AC"/>
    <w:rsid w:val="004C24C2"/>
    <w:rsid w:val="004C2A6A"/>
    <w:rsid w:val="004C2C56"/>
    <w:rsid w:val="004C2CD8"/>
    <w:rsid w:val="004C2DE1"/>
    <w:rsid w:val="004C2E71"/>
    <w:rsid w:val="004C3CBF"/>
    <w:rsid w:val="004C4093"/>
    <w:rsid w:val="004C42D5"/>
    <w:rsid w:val="004C459B"/>
    <w:rsid w:val="004C478A"/>
    <w:rsid w:val="004C5033"/>
    <w:rsid w:val="004C5055"/>
    <w:rsid w:val="004C5180"/>
    <w:rsid w:val="004C52D7"/>
    <w:rsid w:val="004C5472"/>
    <w:rsid w:val="004C5A59"/>
    <w:rsid w:val="004C5B26"/>
    <w:rsid w:val="004C5D29"/>
    <w:rsid w:val="004C5D64"/>
    <w:rsid w:val="004C5F9F"/>
    <w:rsid w:val="004C63F5"/>
    <w:rsid w:val="004C6644"/>
    <w:rsid w:val="004C6647"/>
    <w:rsid w:val="004C6664"/>
    <w:rsid w:val="004C6D03"/>
    <w:rsid w:val="004C6D61"/>
    <w:rsid w:val="004C75D4"/>
    <w:rsid w:val="004C79B2"/>
    <w:rsid w:val="004C7A61"/>
    <w:rsid w:val="004D0504"/>
    <w:rsid w:val="004D056F"/>
    <w:rsid w:val="004D099D"/>
    <w:rsid w:val="004D0AE0"/>
    <w:rsid w:val="004D0E90"/>
    <w:rsid w:val="004D1C39"/>
    <w:rsid w:val="004D2239"/>
    <w:rsid w:val="004D22C2"/>
    <w:rsid w:val="004D2C31"/>
    <w:rsid w:val="004D304B"/>
    <w:rsid w:val="004D3181"/>
    <w:rsid w:val="004D37C3"/>
    <w:rsid w:val="004D3995"/>
    <w:rsid w:val="004D3CEA"/>
    <w:rsid w:val="004D4183"/>
    <w:rsid w:val="004D42C2"/>
    <w:rsid w:val="004D4399"/>
    <w:rsid w:val="004D48A4"/>
    <w:rsid w:val="004D4924"/>
    <w:rsid w:val="004D4FEC"/>
    <w:rsid w:val="004D554B"/>
    <w:rsid w:val="004D585D"/>
    <w:rsid w:val="004D592C"/>
    <w:rsid w:val="004D5DCC"/>
    <w:rsid w:val="004D6049"/>
    <w:rsid w:val="004D63F1"/>
    <w:rsid w:val="004D6676"/>
    <w:rsid w:val="004D67CD"/>
    <w:rsid w:val="004D67EC"/>
    <w:rsid w:val="004D6D96"/>
    <w:rsid w:val="004D73BE"/>
    <w:rsid w:val="004D77BC"/>
    <w:rsid w:val="004D7B8F"/>
    <w:rsid w:val="004E0204"/>
    <w:rsid w:val="004E0519"/>
    <w:rsid w:val="004E06D7"/>
    <w:rsid w:val="004E0748"/>
    <w:rsid w:val="004E1244"/>
    <w:rsid w:val="004E12E9"/>
    <w:rsid w:val="004E154A"/>
    <w:rsid w:val="004E18B7"/>
    <w:rsid w:val="004E18BE"/>
    <w:rsid w:val="004E1B3E"/>
    <w:rsid w:val="004E1C34"/>
    <w:rsid w:val="004E1D48"/>
    <w:rsid w:val="004E216F"/>
    <w:rsid w:val="004E2AB8"/>
    <w:rsid w:val="004E2B0A"/>
    <w:rsid w:val="004E2D2C"/>
    <w:rsid w:val="004E2F20"/>
    <w:rsid w:val="004E30D7"/>
    <w:rsid w:val="004E3387"/>
    <w:rsid w:val="004E3431"/>
    <w:rsid w:val="004E3590"/>
    <w:rsid w:val="004E35C0"/>
    <w:rsid w:val="004E3771"/>
    <w:rsid w:val="004E377C"/>
    <w:rsid w:val="004E393D"/>
    <w:rsid w:val="004E3D47"/>
    <w:rsid w:val="004E4077"/>
    <w:rsid w:val="004E4511"/>
    <w:rsid w:val="004E4525"/>
    <w:rsid w:val="004E46F3"/>
    <w:rsid w:val="004E4C49"/>
    <w:rsid w:val="004E4DB7"/>
    <w:rsid w:val="004E57DC"/>
    <w:rsid w:val="004E58C8"/>
    <w:rsid w:val="004E5F86"/>
    <w:rsid w:val="004E6063"/>
    <w:rsid w:val="004E6274"/>
    <w:rsid w:val="004E6533"/>
    <w:rsid w:val="004E67F6"/>
    <w:rsid w:val="004E7086"/>
    <w:rsid w:val="004E7189"/>
    <w:rsid w:val="004E740B"/>
    <w:rsid w:val="004E7644"/>
    <w:rsid w:val="004E771E"/>
    <w:rsid w:val="004E7D67"/>
    <w:rsid w:val="004F0171"/>
    <w:rsid w:val="004F03A7"/>
    <w:rsid w:val="004F0709"/>
    <w:rsid w:val="004F0BA4"/>
    <w:rsid w:val="004F1BAE"/>
    <w:rsid w:val="004F2034"/>
    <w:rsid w:val="004F2B13"/>
    <w:rsid w:val="004F2C61"/>
    <w:rsid w:val="004F35AC"/>
    <w:rsid w:val="004F3A4B"/>
    <w:rsid w:val="004F5420"/>
    <w:rsid w:val="004F5576"/>
    <w:rsid w:val="004F55B5"/>
    <w:rsid w:val="004F5867"/>
    <w:rsid w:val="004F5BB0"/>
    <w:rsid w:val="004F5CEF"/>
    <w:rsid w:val="004F608D"/>
    <w:rsid w:val="004F630F"/>
    <w:rsid w:val="004F65F8"/>
    <w:rsid w:val="004F6D93"/>
    <w:rsid w:val="004F6E4D"/>
    <w:rsid w:val="004F775D"/>
    <w:rsid w:val="004F7FE1"/>
    <w:rsid w:val="0050040C"/>
    <w:rsid w:val="00500468"/>
    <w:rsid w:val="005005BA"/>
    <w:rsid w:val="00500801"/>
    <w:rsid w:val="00500B5A"/>
    <w:rsid w:val="005011CE"/>
    <w:rsid w:val="0050125F"/>
    <w:rsid w:val="005012EB"/>
    <w:rsid w:val="0050170A"/>
    <w:rsid w:val="0050196A"/>
    <w:rsid w:val="00501C8C"/>
    <w:rsid w:val="005027F9"/>
    <w:rsid w:val="0050294C"/>
    <w:rsid w:val="005029ED"/>
    <w:rsid w:val="00502EA3"/>
    <w:rsid w:val="0050321B"/>
    <w:rsid w:val="0050356F"/>
    <w:rsid w:val="0050378B"/>
    <w:rsid w:val="0050394E"/>
    <w:rsid w:val="00503C3F"/>
    <w:rsid w:val="00503CE0"/>
    <w:rsid w:val="00503F8A"/>
    <w:rsid w:val="005048A6"/>
    <w:rsid w:val="00504964"/>
    <w:rsid w:val="005049E2"/>
    <w:rsid w:val="00505637"/>
    <w:rsid w:val="005056FD"/>
    <w:rsid w:val="005057BE"/>
    <w:rsid w:val="005058F0"/>
    <w:rsid w:val="005059E6"/>
    <w:rsid w:val="00505A4B"/>
    <w:rsid w:val="005065AD"/>
    <w:rsid w:val="00506631"/>
    <w:rsid w:val="00506DB7"/>
    <w:rsid w:val="00506E76"/>
    <w:rsid w:val="00506F85"/>
    <w:rsid w:val="00507069"/>
    <w:rsid w:val="00507106"/>
    <w:rsid w:val="005076EC"/>
    <w:rsid w:val="005079AC"/>
    <w:rsid w:val="00507AD2"/>
    <w:rsid w:val="00507B55"/>
    <w:rsid w:val="00507E40"/>
    <w:rsid w:val="00510063"/>
    <w:rsid w:val="0051036A"/>
    <w:rsid w:val="00510C9C"/>
    <w:rsid w:val="00510D7A"/>
    <w:rsid w:val="00510DEC"/>
    <w:rsid w:val="00511242"/>
    <w:rsid w:val="00511289"/>
    <w:rsid w:val="00511821"/>
    <w:rsid w:val="005118C0"/>
    <w:rsid w:val="00511A17"/>
    <w:rsid w:val="00511BEE"/>
    <w:rsid w:val="00511C37"/>
    <w:rsid w:val="00511F59"/>
    <w:rsid w:val="005122B2"/>
    <w:rsid w:val="00512627"/>
    <w:rsid w:val="00512B4D"/>
    <w:rsid w:val="00512C7F"/>
    <w:rsid w:val="00512F96"/>
    <w:rsid w:val="0051308B"/>
    <w:rsid w:val="005131B6"/>
    <w:rsid w:val="005133CB"/>
    <w:rsid w:val="00513C95"/>
    <w:rsid w:val="00513E2C"/>
    <w:rsid w:val="00513EEF"/>
    <w:rsid w:val="00514745"/>
    <w:rsid w:val="005147EE"/>
    <w:rsid w:val="00514D3C"/>
    <w:rsid w:val="00514EA8"/>
    <w:rsid w:val="0051506C"/>
    <w:rsid w:val="00515665"/>
    <w:rsid w:val="005159CA"/>
    <w:rsid w:val="005159D9"/>
    <w:rsid w:val="00515BD7"/>
    <w:rsid w:val="00515DB1"/>
    <w:rsid w:val="005162DD"/>
    <w:rsid w:val="0051635E"/>
    <w:rsid w:val="005167ED"/>
    <w:rsid w:val="0051690B"/>
    <w:rsid w:val="0051694F"/>
    <w:rsid w:val="00517340"/>
    <w:rsid w:val="00517491"/>
    <w:rsid w:val="005177BD"/>
    <w:rsid w:val="0051797A"/>
    <w:rsid w:val="005204E7"/>
    <w:rsid w:val="005205CD"/>
    <w:rsid w:val="00520C1B"/>
    <w:rsid w:val="00521129"/>
    <w:rsid w:val="00521135"/>
    <w:rsid w:val="0052153D"/>
    <w:rsid w:val="00521A05"/>
    <w:rsid w:val="00522032"/>
    <w:rsid w:val="00522365"/>
    <w:rsid w:val="00522BD0"/>
    <w:rsid w:val="00522E34"/>
    <w:rsid w:val="00523687"/>
    <w:rsid w:val="005236E4"/>
    <w:rsid w:val="00523786"/>
    <w:rsid w:val="00523A00"/>
    <w:rsid w:val="0052411C"/>
    <w:rsid w:val="00524180"/>
    <w:rsid w:val="005249B2"/>
    <w:rsid w:val="005252B6"/>
    <w:rsid w:val="0052566C"/>
    <w:rsid w:val="00525EE4"/>
    <w:rsid w:val="0052614C"/>
    <w:rsid w:val="0052620A"/>
    <w:rsid w:val="005263A6"/>
    <w:rsid w:val="0052645C"/>
    <w:rsid w:val="00526A83"/>
    <w:rsid w:val="00526F5D"/>
    <w:rsid w:val="0052709C"/>
    <w:rsid w:val="00527361"/>
    <w:rsid w:val="0052749B"/>
    <w:rsid w:val="0052757F"/>
    <w:rsid w:val="00527AA1"/>
    <w:rsid w:val="00527D80"/>
    <w:rsid w:val="0053003A"/>
    <w:rsid w:val="0053032D"/>
    <w:rsid w:val="005304B8"/>
    <w:rsid w:val="00530546"/>
    <w:rsid w:val="00530D71"/>
    <w:rsid w:val="0053118D"/>
    <w:rsid w:val="005315BA"/>
    <w:rsid w:val="0053189B"/>
    <w:rsid w:val="0053191A"/>
    <w:rsid w:val="00531C6B"/>
    <w:rsid w:val="00531DA6"/>
    <w:rsid w:val="0053280D"/>
    <w:rsid w:val="00532B87"/>
    <w:rsid w:val="00532BBB"/>
    <w:rsid w:val="0053343C"/>
    <w:rsid w:val="005335ED"/>
    <w:rsid w:val="005336F4"/>
    <w:rsid w:val="00534378"/>
    <w:rsid w:val="00534ABA"/>
    <w:rsid w:val="00534BD3"/>
    <w:rsid w:val="0053500B"/>
    <w:rsid w:val="005352D0"/>
    <w:rsid w:val="00535452"/>
    <w:rsid w:val="005355B7"/>
    <w:rsid w:val="005355CE"/>
    <w:rsid w:val="00535A33"/>
    <w:rsid w:val="00535C60"/>
    <w:rsid w:val="00535E2C"/>
    <w:rsid w:val="005361C4"/>
    <w:rsid w:val="005363A3"/>
    <w:rsid w:val="00536527"/>
    <w:rsid w:val="00536B9C"/>
    <w:rsid w:val="00536F32"/>
    <w:rsid w:val="00537097"/>
    <w:rsid w:val="005375F7"/>
    <w:rsid w:val="005376BA"/>
    <w:rsid w:val="005379B6"/>
    <w:rsid w:val="00537C9B"/>
    <w:rsid w:val="00537CDE"/>
    <w:rsid w:val="00540393"/>
    <w:rsid w:val="005404CD"/>
    <w:rsid w:val="00541005"/>
    <w:rsid w:val="00541334"/>
    <w:rsid w:val="005416C4"/>
    <w:rsid w:val="00542310"/>
    <w:rsid w:val="00542420"/>
    <w:rsid w:val="00542488"/>
    <w:rsid w:val="00542586"/>
    <w:rsid w:val="00542EAD"/>
    <w:rsid w:val="00543050"/>
    <w:rsid w:val="005431BC"/>
    <w:rsid w:val="00543234"/>
    <w:rsid w:val="00543379"/>
    <w:rsid w:val="00543545"/>
    <w:rsid w:val="005439C7"/>
    <w:rsid w:val="00543EBB"/>
    <w:rsid w:val="00544039"/>
    <w:rsid w:val="005441A8"/>
    <w:rsid w:val="005442B4"/>
    <w:rsid w:val="005449C0"/>
    <w:rsid w:val="0054545B"/>
    <w:rsid w:val="00545663"/>
    <w:rsid w:val="00545C2F"/>
    <w:rsid w:val="005460BE"/>
    <w:rsid w:val="00546169"/>
    <w:rsid w:val="0054671A"/>
    <w:rsid w:val="00546BB3"/>
    <w:rsid w:val="00546FC2"/>
    <w:rsid w:val="005471EB"/>
    <w:rsid w:val="005473E0"/>
    <w:rsid w:val="00547E1C"/>
    <w:rsid w:val="00547F43"/>
    <w:rsid w:val="00547FD0"/>
    <w:rsid w:val="00550041"/>
    <w:rsid w:val="00550528"/>
    <w:rsid w:val="005508AE"/>
    <w:rsid w:val="00550E13"/>
    <w:rsid w:val="00551095"/>
    <w:rsid w:val="005513C4"/>
    <w:rsid w:val="005514AF"/>
    <w:rsid w:val="00551A7F"/>
    <w:rsid w:val="005521E1"/>
    <w:rsid w:val="0055245E"/>
    <w:rsid w:val="0055249A"/>
    <w:rsid w:val="00552560"/>
    <w:rsid w:val="00552A2C"/>
    <w:rsid w:val="00552E31"/>
    <w:rsid w:val="005531C5"/>
    <w:rsid w:val="005534C3"/>
    <w:rsid w:val="00553546"/>
    <w:rsid w:val="005535E4"/>
    <w:rsid w:val="00553846"/>
    <w:rsid w:val="005538A3"/>
    <w:rsid w:val="00553BDB"/>
    <w:rsid w:val="00554411"/>
    <w:rsid w:val="005546C2"/>
    <w:rsid w:val="0055487B"/>
    <w:rsid w:val="00554CAD"/>
    <w:rsid w:val="00555357"/>
    <w:rsid w:val="0055536B"/>
    <w:rsid w:val="00555445"/>
    <w:rsid w:val="005554E3"/>
    <w:rsid w:val="005555E9"/>
    <w:rsid w:val="0055590C"/>
    <w:rsid w:val="00555AA0"/>
    <w:rsid w:val="00555E1C"/>
    <w:rsid w:val="005568D0"/>
    <w:rsid w:val="00556A08"/>
    <w:rsid w:val="00556E93"/>
    <w:rsid w:val="00556FF4"/>
    <w:rsid w:val="0055731C"/>
    <w:rsid w:val="0055733D"/>
    <w:rsid w:val="00557688"/>
    <w:rsid w:val="00557D96"/>
    <w:rsid w:val="00560093"/>
    <w:rsid w:val="00560DC3"/>
    <w:rsid w:val="005610C0"/>
    <w:rsid w:val="00561267"/>
    <w:rsid w:val="00561425"/>
    <w:rsid w:val="005621BD"/>
    <w:rsid w:val="00562B9F"/>
    <w:rsid w:val="00562FCE"/>
    <w:rsid w:val="0056310D"/>
    <w:rsid w:val="00563310"/>
    <w:rsid w:val="00563601"/>
    <w:rsid w:val="00563749"/>
    <w:rsid w:val="00563CAF"/>
    <w:rsid w:val="00564112"/>
    <w:rsid w:val="005642C2"/>
    <w:rsid w:val="00564DB3"/>
    <w:rsid w:val="00565AC3"/>
    <w:rsid w:val="00565CC6"/>
    <w:rsid w:val="005662BD"/>
    <w:rsid w:val="00566327"/>
    <w:rsid w:val="00566419"/>
    <w:rsid w:val="0056653E"/>
    <w:rsid w:val="00566B1D"/>
    <w:rsid w:val="0056710F"/>
    <w:rsid w:val="00567562"/>
    <w:rsid w:val="00567F9D"/>
    <w:rsid w:val="0057016F"/>
    <w:rsid w:val="00570397"/>
    <w:rsid w:val="00570719"/>
    <w:rsid w:val="005707D2"/>
    <w:rsid w:val="00571433"/>
    <w:rsid w:val="0057199F"/>
    <w:rsid w:val="00571B8E"/>
    <w:rsid w:val="00571D40"/>
    <w:rsid w:val="00571FC4"/>
    <w:rsid w:val="005722A4"/>
    <w:rsid w:val="00572594"/>
    <w:rsid w:val="00572698"/>
    <w:rsid w:val="00572CBB"/>
    <w:rsid w:val="00572F76"/>
    <w:rsid w:val="0057315A"/>
    <w:rsid w:val="00573493"/>
    <w:rsid w:val="00573575"/>
    <w:rsid w:val="005737D7"/>
    <w:rsid w:val="0057384C"/>
    <w:rsid w:val="00573C55"/>
    <w:rsid w:val="00573C8D"/>
    <w:rsid w:val="00573E14"/>
    <w:rsid w:val="005740FB"/>
    <w:rsid w:val="0057412B"/>
    <w:rsid w:val="005749AB"/>
    <w:rsid w:val="005749E5"/>
    <w:rsid w:val="00574A2C"/>
    <w:rsid w:val="00574FF8"/>
    <w:rsid w:val="005751AE"/>
    <w:rsid w:val="005752B2"/>
    <w:rsid w:val="0057560E"/>
    <w:rsid w:val="00575CA9"/>
    <w:rsid w:val="00575D70"/>
    <w:rsid w:val="00575DC2"/>
    <w:rsid w:val="0057658E"/>
    <w:rsid w:val="0057662A"/>
    <w:rsid w:val="005766A2"/>
    <w:rsid w:val="00576A3B"/>
    <w:rsid w:val="00576E07"/>
    <w:rsid w:val="00576E89"/>
    <w:rsid w:val="005770E2"/>
    <w:rsid w:val="00577391"/>
    <w:rsid w:val="00577413"/>
    <w:rsid w:val="0057773C"/>
    <w:rsid w:val="00577B7A"/>
    <w:rsid w:val="00577D7E"/>
    <w:rsid w:val="0058004E"/>
    <w:rsid w:val="005808C7"/>
    <w:rsid w:val="00580E1E"/>
    <w:rsid w:val="00580F75"/>
    <w:rsid w:val="005812D0"/>
    <w:rsid w:val="005819F6"/>
    <w:rsid w:val="00581B46"/>
    <w:rsid w:val="00581C17"/>
    <w:rsid w:val="005820FF"/>
    <w:rsid w:val="0058219D"/>
    <w:rsid w:val="005822EC"/>
    <w:rsid w:val="005824A8"/>
    <w:rsid w:val="0058292B"/>
    <w:rsid w:val="00582EC0"/>
    <w:rsid w:val="00582F01"/>
    <w:rsid w:val="00582F14"/>
    <w:rsid w:val="005831A5"/>
    <w:rsid w:val="00583D2F"/>
    <w:rsid w:val="005841B6"/>
    <w:rsid w:val="0058492F"/>
    <w:rsid w:val="005849A7"/>
    <w:rsid w:val="00584AD9"/>
    <w:rsid w:val="00584B72"/>
    <w:rsid w:val="00584F4B"/>
    <w:rsid w:val="0058523A"/>
    <w:rsid w:val="0058590C"/>
    <w:rsid w:val="005859A7"/>
    <w:rsid w:val="00585D55"/>
    <w:rsid w:val="00585FCC"/>
    <w:rsid w:val="00586683"/>
    <w:rsid w:val="005867D3"/>
    <w:rsid w:val="00586A0A"/>
    <w:rsid w:val="00586A4B"/>
    <w:rsid w:val="00586BB1"/>
    <w:rsid w:val="00586CD8"/>
    <w:rsid w:val="00586FA5"/>
    <w:rsid w:val="0058771D"/>
    <w:rsid w:val="005878D1"/>
    <w:rsid w:val="00587972"/>
    <w:rsid w:val="00587C5B"/>
    <w:rsid w:val="0059000D"/>
    <w:rsid w:val="00590758"/>
    <w:rsid w:val="005909F5"/>
    <w:rsid w:val="00590EF1"/>
    <w:rsid w:val="00591786"/>
    <w:rsid w:val="00591890"/>
    <w:rsid w:val="00591B53"/>
    <w:rsid w:val="00591BAE"/>
    <w:rsid w:val="00591F15"/>
    <w:rsid w:val="005920A8"/>
    <w:rsid w:val="00592290"/>
    <w:rsid w:val="00592389"/>
    <w:rsid w:val="0059249E"/>
    <w:rsid w:val="00592709"/>
    <w:rsid w:val="00592C82"/>
    <w:rsid w:val="005937DF"/>
    <w:rsid w:val="00593FC1"/>
    <w:rsid w:val="005941E5"/>
    <w:rsid w:val="005941ED"/>
    <w:rsid w:val="0059422E"/>
    <w:rsid w:val="00594320"/>
    <w:rsid w:val="005945E8"/>
    <w:rsid w:val="00594707"/>
    <w:rsid w:val="00594754"/>
    <w:rsid w:val="005949F2"/>
    <w:rsid w:val="00594EDD"/>
    <w:rsid w:val="00594FC0"/>
    <w:rsid w:val="005950AC"/>
    <w:rsid w:val="005960C5"/>
    <w:rsid w:val="00596220"/>
    <w:rsid w:val="005967DE"/>
    <w:rsid w:val="00596B32"/>
    <w:rsid w:val="0059716D"/>
    <w:rsid w:val="005972E5"/>
    <w:rsid w:val="00597582"/>
    <w:rsid w:val="005A00C6"/>
    <w:rsid w:val="005A03D9"/>
    <w:rsid w:val="005A0674"/>
    <w:rsid w:val="005A0FC4"/>
    <w:rsid w:val="005A126F"/>
    <w:rsid w:val="005A190A"/>
    <w:rsid w:val="005A196E"/>
    <w:rsid w:val="005A1DD6"/>
    <w:rsid w:val="005A241E"/>
    <w:rsid w:val="005A24FF"/>
    <w:rsid w:val="005A259F"/>
    <w:rsid w:val="005A28A3"/>
    <w:rsid w:val="005A2C90"/>
    <w:rsid w:val="005A2ED3"/>
    <w:rsid w:val="005A31C4"/>
    <w:rsid w:val="005A3497"/>
    <w:rsid w:val="005A3650"/>
    <w:rsid w:val="005A3667"/>
    <w:rsid w:val="005A38DF"/>
    <w:rsid w:val="005A3D83"/>
    <w:rsid w:val="005A3EF2"/>
    <w:rsid w:val="005A3F74"/>
    <w:rsid w:val="005A3FC4"/>
    <w:rsid w:val="005A4231"/>
    <w:rsid w:val="005A42A0"/>
    <w:rsid w:val="005A4446"/>
    <w:rsid w:val="005A489C"/>
    <w:rsid w:val="005A48D4"/>
    <w:rsid w:val="005A4906"/>
    <w:rsid w:val="005A4915"/>
    <w:rsid w:val="005A4AC5"/>
    <w:rsid w:val="005A4F14"/>
    <w:rsid w:val="005A4F29"/>
    <w:rsid w:val="005A5095"/>
    <w:rsid w:val="005A5358"/>
    <w:rsid w:val="005A53B3"/>
    <w:rsid w:val="005A5737"/>
    <w:rsid w:val="005A5BB9"/>
    <w:rsid w:val="005A632A"/>
    <w:rsid w:val="005A6621"/>
    <w:rsid w:val="005A6B42"/>
    <w:rsid w:val="005A7C54"/>
    <w:rsid w:val="005A7EA2"/>
    <w:rsid w:val="005B00A0"/>
    <w:rsid w:val="005B0898"/>
    <w:rsid w:val="005B0BCB"/>
    <w:rsid w:val="005B109D"/>
    <w:rsid w:val="005B16D3"/>
    <w:rsid w:val="005B1701"/>
    <w:rsid w:val="005B1712"/>
    <w:rsid w:val="005B189B"/>
    <w:rsid w:val="005B2161"/>
    <w:rsid w:val="005B23D5"/>
    <w:rsid w:val="005B2C04"/>
    <w:rsid w:val="005B2C28"/>
    <w:rsid w:val="005B2EFD"/>
    <w:rsid w:val="005B31EF"/>
    <w:rsid w:val="005B3577"/>
    <w:rsid w:val="005B394E"/>
    <w:rsid w:val="005B39BA"/>
    <w:rsid w:val="005B3B86"/>
    <w:rsid w:val="005B3BCC"/>
    <w:rsid w:val="005B3F3D"/>
    <w:rsid w:val="005B44C1"/>
    <w:rsid w:val="005B48BA"/>
    <w:rsid w:val="005B4AF7"/>
    <w:rsid w:val="005B4F57"/>
    <w:rsid w:val="005B5461"/>
    <w:rsid w:val="005B5A6D"/>
    <w:rsid w:val="005B5E27"/>
    <w:rsid w:val="005B64C8"/>
    <w:rsid w:val="005B6AA4"/>
    <w:rsid w:val="005B6DE7"/>
    <w:rsid w:val="005B75BF"/>
    <w:rsid w:val="005B7BB3"/>
    <w:rsid w:val="005C0877"/>
    <w:rsid w:val="005C09CB"/>
    <w:rsid w:val="005C0E70"/>
    <w:rsid w:val="005C11D6"/>
    <w:rsid w:val="005C15A0"/>
    <w:rsid w:val="005C1856"/>
    <w:rsid w:val="005C19A5"/>
    <w:rsid w:val="005C1CDE"/>
    <w:rsid w:val="005C2AE3"/>
    <w:rsid w:val="005C2FB4"/>
    <w:rsid w:val="005C312F"/>
    <w:rsid w:val="005C3139"/>
    <w:rsid w:val="005C3248"/>
    <w:rsid w:val="005C33D2"/>
    <w:rsid w:val="005C34C9"/>
    <w:rsid w:val="005C3C6E"/>
    <w:rsid w:val="005C43C9"/>
    <w:rsid w:val="005C44F8"/>
    <w:rsid w:val="005C47FA"/>
    <w:rsid w:val="005C50C2"/>
    <w:rsid w:val="005C537A"/>
    <w:rsid w:val="005C5380"/>
    <w:rsid w:val="005C56B0"/>
    <w:rsid w:val="005C58B5"/>
    <w:rsid w:val="005C5B77"/>
    <w:rsid w:val="005C5D64"/>
    <w:rsid w:val="005C639D"/>
    <w:rsid w:val="005C68EE"/>
    <w:rsid w:val="005C7695"/>
    <w:rsid w:val="005C7764"/>
    <w:rsid w:val="005C7DB1"/>
    <w:rsid w:val="005D03F0"/>
    <w:rsid w:val="005D0790"/>
    <w:rsid w:val="005D07E6"/>
    <w:rsid w:val="005D0A14"/>
    <w:rsid w:val="005D0ABA"/>
    <w:rsid w:val="005D0B4A"/>
    <w:rsid w:val="005D0DC5"/>
    <w:rsid w:val="005D0DC6"/>
    <w:rsid w:val="005D138E"/>
    <w:rsid w:val="005D186D"/>
    <w:rsid w:val="005D1BA7"/>
    <w:rsid w:val="005D1F8C"/>
    <w:rsid w:val="005D2216"/>
    <w:rsid w:val="005D252E"/>
    <w:rsid w:val="005D25AF"/>
    <w:rsid w:val="005D2BFD"/>
    <w:rsid w:val="005D3373"/>
    <w:rsid w:val="005D3385"/>
    <w:rsid w:val="005D3390"/>
    <w:rsid w:val="005D346A"/>
    <w:rsid w:val="005D38D4"/>
    <w:rsid w:val="005D38F2"/>
    <w:rsid w:val="005D3B31"/>
    <w:rsid w:val="005D3B39"/>
    <w:rsid w:val="005D4494"/>
    <w:rsid w:val="005D4530"/>
    <w:rsid w:val="005D45A7"/>
    <w:rsid w:val="005D4AF1"/>
    <w:rsid w:val="005D4CE4"/>
    <w:rsid w:val="005D4F84"/>
    <w:rsid w:val="005D50D1"/>
    <w:rsid w:val="005D540A"/>
    <w:rsid w:val="005D540B"/>
    <w:rsid w:val="005D5504"/>
    <w:rsid w:val="005D587C"/>
    <w:rsid w:val="005D5A70"/>
    <w:rsid w:val="005D5AB5"/>
    <w:rsid w:val="005D5C00"/>
    <w:rsid w:val="005D5C0E"/>
    <w:rsid w:val="005D5C40"/>
    <w:rsid w:val="005D5F00"/>
    <w:rsid w:val="005D6585"/>
    <w:rsid w:val="005D67DD"/>
    <w:rsid w:val="005D72F3"/>
    <w:rsid w:val="005D7AD1"/>
    <w:rsid w:val="005E0323"/>
    <w:rsid w:val="005E068D"/>
    <w:rsid w:val="005E0DC1"/>
    <w:rsid w:val="005E0EFE"/>
    <w:rsid w:val="005E101E"/>
    <w:rsid w:val="005E1342"/>
    <w:rsid w:val="005E15C2"/>
    <w:rsid w:val="005E1D16"/>
    <w:rsid w:val="005E2095"/>
    <w:rsid w:val="005E2239"/>
    <w:rsid w:val="005E2414"/>
    <w:rsid w:val="005E3375"/>
    <w:rsid w:val="005E3617"/>
    <w:rsid w:val="005E3CFD"/>
    <w:rsid w:val="005E3ECC"/>
    <w:rsid w:val="005E3FC2"/>
    <w:rsid w:val="005E44CD"/>
    <w:rsid w:val="005E47B7"/>
    <w:rsid w:val="005E4808"/>
    <w:rsid w:val="005E49A6"/>
    <w:rsid w:val="005E52E6"/>
    <w:rsid w:val="005E538D"/>
    <w:rsid w:val="005E5E6A"/>
    <w:rsid w:val="005E6000"/>
    <w:rsid w:val="005E619E"/>
    <w:rsid w:val="005E676F"/>
    <w:rsid w:val="005E6F33"/>
    <w:rsid w:val="005E75F7"/>
    <w:rsid w:val="005E7A4B"/>
    <w:rsid w:val="005E7CE7"/>
    <w:rsid w:val="005F0101"/>
    <w:rsid w:val="005F0241"/>
    <w:rsid w:val="005F0B0C"/>
    <w:rsid w:val="005F0C32"/>
    <w:rsid w:val="005F0F75"/>
    <w:rsid w:val="005F1098"/>
    <w:rsid w:val="005F1269"/>
    <w:rsid w:val="005F1303"/>
    <w:rsid w:val="005F139C"/>
    <w:rsid w:val="005F1855"/>
    <w:rsid w:val="005F18B4"/>
    <w:rsid w:val="005F1DC1"/>
    <w:rsid w:val="005F205B"/>
    <w:rsid w:val="005F2126"/>
    <w:rsid w:val="005F2272"/>
    <w:rsid w:val="005F29A0"/>
    <w:rsid w:val="005F2B86"/>
    <w:rsid w:val="005F2FC6"/>
    <w:rsid w:val="005F3057"/>
    <w:rsid w:val="005F31E9"/>
    <w:rsid w:val="005F31EA"/>
    <w:rsid w:val="005F31EB"/>
    <w:rsid w:val="005F35AE"/>
    <w:rsid w:val="005F36B1"/>
    <w:rsid w:val="005F39D5"/>
    <w:rsid w:val="005F4274"/>
    <w:rsid w:val="005F452A"/>
    <w:rsid w:val="005F4990"/>
    <w:rsid w:val="005F516F"/>
    <w:rsid w:val="005F5664"/>
    <w:rsid w:val="005F571E"/>
    <w:rsid w:val="005F5C0C"/>
    <w:rsid w:val="005F5E5F"/>
    <w:rsid w:val="005F6197"/>
    <w:rsid w:val="005F63B4"/>
    <w:rsid w:val="005F6799"/>
    <w:rsid w:val="005F6CF3"/>
    <w:rsid w:val="005F6DF3"/>
    <w:rsid w:val="005F72F5"/>
    <w:rsid w:val="005F7628"/>
    <w:rsid w:val="005F7D0D"/>
    <w:rsid w:val="00600023"/>
    <w:rsid w:val="00600063"/>
    <w:rsid w:val="006002C8"/>
    <w:rsid w:val="00600388"/>
    <w:rsid w:val="0060066C"/>
    <w:rsid w:val="006008FA"/>
    <w:rsid w:val="00600911"/>
    <w:rsid w:val="00600D31"/>
    <w:rsid w:val="00600E81"/>
    <w:rsid w:val="00600FD5"/>
    <w:rsid w:val="006018C0"/>
    <w:rsid w:val="00601A45"/>
    <w:rsid w:val="00601C41"/>
    <w:rsid w:val="00601E25"/>
    <w:rsid w:val="00601F2A"/>
    <w:rsid w:val="00602162"/>
    <w:rsid w:val="0060258F"/>
    <w:rsid w:val="0060262C"/>
    <w:rsid w:val="00602C11"/>
    <w:rsid w:val="006030A9"/>
    <w:rsid w:val="00603659"/>
    <w:rsid w:val="00603680"/>
    <w:rsid w:val="00603B27"/>
    <w:rsid w:val="00603DE8"/>
    <w:rsid w:val="006040D4"/>
    <w:rsid w:val="006043E8"/>
    <w:rsid w:val="0060471C"/>
    <w:rsid w:val="00604FD1"/>
    <w:rsid w:val="0060507E"/>
    <w:rsid w:val="00605782"/>
    <w:rsid w:val="0060626B"/>
    <w:rsid w:val="00606649"/>
    <w:rsid w:val="00606899"/>
    <w:rsid w:val="0060705C"/>
    <w:rsid w:val="006073D0"/>
    <w:rsid w:val="006076DD"/>
    <w:rsid w:val="00607B9A"/>
    <w:rsid w:val="00607C74"/>
    <w:rsid w:val="00610074"/>
    <w:rsid w:val="00610CC9"/>
    <w:rsid w:val="0061101D"/>
    <w:rsid w:val="006110EF"/>
    <w:rsid w:val="00611128"/>
    <w:rsid w:val="00611A93"/>
    <w:rsid w:val="00611B1B"/>
    <w:rsid w:val="006121FF"/>
    <w:rsid w:val="00612937"/>
    <w:rsid w:val="00612AD3"/>
    <w:rsid w:val="00613886"/>
    <w:rsid w:val="00613F12"/>
    <w:rsid w:val="006144F4"/>
    <w:rsid w:val="006146D0"/>
    <w:rsid w:val="00614829"/>
    <w:rsid w:val="006149B5"/>
    <w:rsid w:val="00614E72"/>
    <w:rsid w:val="00614E8A"/>
    <w:rsid w:val="0061505C"/>
    <w:rsid w:val="00615124"/>
    <w:rsid w:val="00615340"/>
    <w:rsid w:val="00615442"/>
    <w:rsid w:val="006155B6"/>
    <w:rsid w:val="006157FD"/>
    <w:rsid w:val="00616167"/>
    <w:rsid w:val="006165AC"/>
    <w:rsid w:val="006166F4"/>
    <w:rsid w:val="0061683A"/>
    <w:rsid w:val="00616AA6"/>
    <w:rsid w:val="0061729D"/>
    <w:rsid w:val="00617475"/>
    <w:rsid w:val="0061752D"/>
    <w:rsid w:val="006178A9"/>
    <w:rsid w:val="00620811"/>
    <w:rsid w:val="00620D7D"/>
    <w:rsid w:val="00620FB1"/>
    <w:rsid w:val="0062104F"/>
    <w:rsid w:val="00621100"/>
    <w:rsid w:val="00621140"/>
    <w:rsid w:val="006215D0"/>
    <w:rsid w:val="00621747"/>
    <w:rsid w:val="00621837"/>
    <w:rsid w:val="00621A7E"/>
    <w:rsid w:val="00621B2E"/>
    <w:rsid w:val="00621BBF"/>
    <w:rsid w:val="00622177"/>
    <w:rsid w:val="0062224F"/>
    <w:rsid w:val="00622837"/>
    <w:rsid w:val="00622D4F"/>
    <w:rsid w:val="00622D85"/>
    <w:rsid w:val="00622F0E"/>
    <w:rsid w:val="00623730"/>
    <w:rsid w:val="006239BB"/>
    <w:rsid w:val="00623A17"/>
    <w:rsid w:val="00623F04"/>
    <w:rsid w:val="0062412D"/>
    <w:rsid w:val="00624406"/>
    <w:rsid w:val="00624431"/>
    <w:rsid w:val="00624970"/>
    <w:rsid w:val="00624B4D"/>
    <w:rsid w:val="00624B8A"/>
    <w:rsid w:val="00624D75"/>
    <w:rsid w:val="00625491"/>
    <w:rsid w:val="006256BA"/>
    <w:rsid w:val="006259D0"/>
    <w:rsid w:val="00626540"/>
    <w:rsid w:val="006269C4"/>
    <w:rsid w:val="006270B7"/>
    <w:rsid w:val="006307E9"/>
    <w:rsid w:val="00630DFD"/>
    <w:rsid w:val="00631048"/>
    <w:rsid w:val="006315F6"/>
    <w:rsid w:val="00631D26"/>
    <w:rsid w:val="0063243D"/>
    <w:rsid w:val="006324B5"/>
    <w:rsid w:val="006325CD"/>
    <w:rsid w:val="00633128"/>
    <w:rsid w:val="00633239"/>
    <w:rsid w:val="006336C4"/>
    <w:rsid w:val="00633848"/>
    <w:rsid w:val="00633D08"/>
    <w:rsid w:val="00633E94"/>
    <w:rsid w:val="00633ED8"/>
    <w:rsid w:val="006342F6"/>
    <w:rsid w:val="0063443B"/>
    <w:rsid w:val="00634440"/>
    <w:rsid w:val="0063482C"/>
    <w:rsid w:val="00634974"/>
    <w:rsid w:val="00634DB8"/>
    <w:rsid w:val="006352E6"/>
    <w:rsid w:val="006356D5"/>
    <w:rsid w:val="006356DA"/>
    <w:rsid w:val="00635752"/>
    <w:rsid w:val="006369ED"/>
    <w:rsid w:val="00636AAE"/>
    <w:rsid w:val="00636AFE"/>
    <w:rsid w:val="00636DAA"/>
    <w:rsid w:val="00636F46"/>
    <w:rsid w:val="00636F6F"/>
    <w:rsid w:val="00637914"/>
    <w:rsid w:val="00637D6E"/>
    <w:rsid w:val="006400B0"/>
    <w:rsid w:val="006400D2"/>
    <w:rsid w:val="006403A9"/>
    <w:rsid w:val="006407D5"/>
    <w:rsid w:val="00640B4E"/>
    <w:rsid w:val="00641181"/>
    <w:rsid w:val="00641579"/>
    <w:rsid w:val="006418D5"/>
    <w:rsid w:val="0064236F"/>
    <w:rsid w:val="006423BD"/>
    <w:rsid w:val="006425ED"/>
    <w:rsid w:val="00642C19"/>
    <w:rsid w:val="00642EF2"/>
    <w:rsid w:val="0064303B"/>
    <w:rsid w:val="006431E8"/>
    <w:rsid w:val="0064332C"/>
    <w:rsid w:val="006436D1"/>
    <w:rsid w:val="00643A79"/>
    <w:rsid w:val="00643BA5"/>
    <w:rsid w:val="00643CA7"/>
    <w:rsid w:val="00643E78"/>
    <w:rsid w:val="00643EC7"/>
    <w:rsid w:val="0064426D"/>
    <w:rsid w:val="0064427C"/>
    <w:rsid w:val="006445E7"/>
    <w:rsid w:val="00644C51"/>
    <w:rsid w:val="00644EC2"/>
    <w:rsid w:val="00645278"/>
    <w:rsid w:val="006453C7"/>
    <w:rsid w:val="00645664"/>
    <w:rsid w:val="00645D23"/>
    <w:rsid w:val="00645D6C"/>
    <w:rsid w:val="00645F05"/>
    <w:rsid w:val="00646465"/>
    <w:rsid w:val="00646552"/>
    <w:rsid w:val="006466AF"/>
    <w:rsid w:val="00646C9C"/>
    <w:rsid w:val="00646F61"/>
    <w:rsid w:val="00647198"/>
    <w:rsid w:val="006478BA"/>
    <w:rsid w:val="006478E1"/>
    <w:rsid w:val="00647C3C"/>
    <w:rsid w:val="00647FED"/>
    <w:rsid w:val="006501E2"/>
    <w:rsid w:val="006501E4"/>
    <w:rsid w:val="006504A4"/>
    <w:rsid w:val="0065073C"/>
    <w:rsid w:val="00650A5C"/>
    <w:rsid w:val="00650ADC"/>
    <w:rsid w:val="00650ADE"/>
    <w:rsid w:val="00650C54"/>
    <w:rsid w:val="00650DCE"/>
    <w:rsid w:val="00650EA0"/>
    <w:rsid w:val="00650EB1"/>
    <w:rsid w:val="00651753"/>
    <w:rsid w:val="00651A58"/>
    <w:rsid w:val="00651DE8"/>
    <w:rsid w:val="00651E91"/>
    <w:rsid w:val="00651EB0"/>
    <w:rsid w:val="00652361"/>
    <w:rsid w:val="006524BE"/>
    <w:rsid w:val="0065277F"/>
    <w:rsid w:val="0065288B"/>
    <w:rsid w:val="00652DAF"/>
    <w:rsid w:val="00653EC7"/>
    <w:rsid w:val="006542D1"/>
    <w:rsid w:val="00654A8C"/>
    <w:rsid w:val="00655046"/>
    <w:rsid w:val="006550B4"/>
    <w:rsid w:val="0065525C"/>
    <w:rsid w:val="006553CF"/>
    <w:rsid w:val="006555B4"/>
    <w:rsid w:val="0065562C"/>
    <w:rsid w:val="006557F6"/>
    <w:rsid w:val="0065644C"/>
    <w:rsid w:val="00656861"/>
    <w:rsid w:val="00656994"/>
    <w:rsid w:val="00656998"/>
    <w:rsid w:val="00656A93"/>
    <w:rsid w:val="00656B41"/>
    <w:rsid w:val="00656CD8"/>
    <w:rsid w:val="00656E6B"/>
    <w:rsid w:val="00656EB9"/>
    <w:rsid w:val="00656EF3"/>
    <w:rsid w:val="0065712F"/>
    <w:rsid w:val="006574D5"/>
    <w:rsid w:val="0065781B"/>
    <w:rsid w:val="00660406"/>
    <w:rsid w:val="006609C4"/>
    <w:rsid w:val="00660A88"/>
    <w:rsid w:val="00661121"/>
    <w:rsid w:val="0066112D"/>
    <w:rsid w:val="00661407"/>
    <w:rsid w:val="00661798"/>
    <w:rsid w:val="006618D4"/>
    <w:rsid w:val="00661B8F"/>
    <w:rsid w:val="00661CE5"/>
    <w:rsid w:val="00662089"/>
    <w:rsid w:val="00662943"/>
    <w:rsid w:val="00662EC1"/>
    <w:rsid w:val="00662F13"/>
    <w:rsid w:val="00662FD5"/>
    <w:rsid w:val="00663017"/>
    <w:rsid w:val="0066318D"/>
    <w:rsid w:val="006631F8"/>
    <w:rsid w:val="0066361D"/>
    <w:rsid w:val="0066412C"/>
    <w:rsid w:val="006641C3"/>
    <w:rsid w:val="00664396"/>
    <w:rsid w:val="00664402"/>
    <w:rsid w:val="006646FD"/>
    <w:rsid w:val="006650E0"/>
    <w:rsid w:val="006650FD"/>
    <w:rsid w:val="0066516E"/>
    <w:rsid w:val="0066544F"/>
    <w:rsid w:val="00665941"/>
    <w:rsid w:val="00665E72"/>
    <w:rsid w:val="00665F75"/>
    <w:rsid w:val="006662CE"/>
    <w:rsid w:val="00666666"/>
    <w:rsid w:val="00666CFD"/>
    <w:rsid w:val="00666EC5"/>
    <w:rsid w:val="00667450"/>
    <w:rsid w:val="00667550"/>
    <w:rsid w:val="00667779"/>
    <w:rsid w:val="006677B6"/>
    <w:rsid w:val="00667A4A"/>
    <w:rsid w:val="00670116"/>
    <w:rsid w:val="00670144"/>
    <w:rsid w:val="006705DA"/>
    <w:rsid w:val="00670787"/>
    <w:rsid w:val="00670A6E"/>
    <w:rsid w:val="00670BE9"/>
    <w:rsid w:val="00670D5A"/>
    <w:rsid w:val="0067123D"/>
    <w:rsid w:val="0067146F"/>
    <w:rsid w:val="00671AC3"/>
    <w:rsid w:val="00671B1F"/>
    <w:rsid w:val="00671B88"/>
    <w:rsid w:val="00671BCD"/>
    <w:rsid w:val="00672608"/>
    <w:rsid w:val="006726EE"/>
    <w:rsid w:val="0067286C"/>
    <w:rsid w:val="00672E28"/>
    <w:rsid w:val="00672FD2"/>
    <w:rsid w:val="00673272"/>
    <w:rsid w:val="0067375F"/>
    <w:rsid w:val="00673853"/>
    <w:rsid w:val="00673B0E"/>
    <w:rsid w:val="00673F3E"/>
    <w:rsid w:val="00674144"/>
    <w:rsid w:val="00674235"/>
    <w:rsid w:val="006743E8"/>
    <w:rsid w:val="00674619"/>
    <w:rsid w:val="006746E0"/>
    <w:rsid w:val="00674CD7"/>
    <w:rsid w:val="00674E93"/>
    <w:rsid w:val="006750C1"/>
    <w:rsid w:val="00675126"/>
    <w:rsid w:val="00675253"/>
    <w:rsid w:val="006752C2"/>
    <w:rsid w:val="00675422"/>
    <w:rsid w:val="00675639"/>
    <w:rsid w:val="00675880"/>
    <w:rsid w:val="00675A83"/>
    <w:rsid w:val="00675B39"/>
    <w:rsid w:val="00675E79"/>
    <w:rsid w:val="00675F17"/>
    <w:rsid w:val="0067603D"/>
    <w:rsid w:val="00676134"/>
    <w:rsid w:val="00676373"/>
    <w:rsid w:val="006766E5"/>
    <w:rsid w:val="00676BD1"/>
    <w:rsid w:val="00676D8C"/>
    <w:rsid w:val="00676D9C"/>
    <w:rsid w:val="00676DF8"/>
    <w:rsid w:val="00677AAC"/>
    <w:rsid w:val="006800ED"/>
    <w:rsid w:val="006801F2"/>
    <w:rsid w:val="006804F6"/>
    <w:rsid w:val="006805C4"/>
    <w:rsid w:val="00680B42"/>
    <w:rsid w:val="00680F50"/>
    <w:rsid w:val="006813E1"/>
    <w:rsid w:val="00681582"/>
    <w:rsid w:val="00681AE2"/>
    <w:rsid w:val="00681CBE"/>
    <w:rsid w:val="00682881"/>
    <w:rsid w:val="00682A14"/>
    <w:rsid w:val="00682A28"/>
    <w:rsid w:val="00682AE2"/>
    <w:rsid w:val="00682B61"/>
    <w:rsid w:val="00682D03"/>
    <w:rsid w:val="0068332B"/>
    <w:rsid w:val="0068337A"/>
    <w:rsid w:val="006833D7"/>
    <w:rsid w:val="00683A13"/>
    <w:rsid w:val="00683E3E"/>
    <w:rsid w:val="0068409C"/>
    <w:rsid w:val="0068431B"/>
    <w:rsid w:val="00684C07"/>
    <w:rsid w:val="00684D50"/>
    <w:rsid w:val="00685154"/>
    <w:rsid w:val="00685C55"/>
    <w:rsid w:val="00685FC4"/>
    <w:rsid w:val="006861B4"/>
    <w:rsid w:val="00686AC0"/>
    <w:rsid w:val="006872D2"/>
    <w:rsid w:val="00687960"/>
    <w:rsid w:val="006879FC"/>
    <w:rsid w:val="00687AD8"/>
    <w:rsid w:val="00687C4F"/>
    <w:rsid w:val="00687EFA"/>
    <w:rsid w:val="00687F35"/>
    <w:rsid w:val="006904C5"/>
    <w:rsid w:val="006904D4"/>
    <w:rsid w:val="00690B9A"/>
    <w:rsid w:val="00690E54"/>
    <w:rsid w:val="00691442"/>
    <w:rsid w:val="006918E4"/>
    <w:rsid w:val="00691BFB"/>
    <w:rsid w:val="0069235A"/>
    <w:rsid w:val="006925B0"/>
    <w:rsid w:val="00692902"/>
    <w:rsid w:val="00692BA2"/>
    <w:rsid w:val="00692C80"/>
    <w:rsid w:val="0069327A"/>
    <w:rsid w:val="00693565"/>
    <w:rsid w:val="0069357A"/>
    <w:rsid w:val="006937EC"/>
    <w:rsid w:val="00693B28"/>
    <w:rsid w:val="00693C59"/>
    <w:rsid w:val="006940F3"/>
    <w:rsid w:val="00694543"/>
    <w:rsid w:val="00694735"/>
    <w:rsid w:val="006947F9"/>
    <w:rsid w:val="0069492E"/>
    <w:rsid w:val="00694D1C"/>
    <w:rsid w:val="00695714"/>
    <w:rsid w:val="006957D7"/>
    <w:rsid w:val="006959A4"/>
    <w:rsid w:val="0069602E"/>
    <w:rsid w:val="0069616B"/>
    <w:rsid w:val="006963D1"/>
    <w:rsid w:val="00696CAE"/>
    <w:rsid w:val="00696CC2"/>
    <w:rsid w:val="00696D96"/>
    <w:rsid w:val="00696E8E"/>
    <w:rsid w:val="00697280"/>
    <w:rsid w:val="00697428"/>
    <w:rsid w:val="00697474"/>
    <w:rsid w:val="006976CE"/>
    <w:rsid w:val="00697CDE"/>
    <w:rsid w:val="006A004D"/>
    <w:rsid w:val="006A0969"/>
    <w:rsid w:val="006A0B59"/>
    <w:rsid w:val="006A0E88"/>
    <w:rsid w:val="006A10C9"/>
    <w:rsid w:val="006A14E6"/>
    <w:rsid w:val="006A19D4"/>
    <w:rsid w:val="006A1A18"/>
    <w:rsid w:val="006A1ACF"/>
    <w:rsid w:val="006A1BE3"/>
    <w:rsid w:val="006A212E"/>
    <w:rsid w:val="006A22BF"/>
    <w:rsid w:val="006A2BF8"/>
    <w:rsid w:val="006A352F"/>
    <w:rsid w:val="006A37FF"/>
    <w:rsid w:val="006A3EEF"/>
    <w:rsid w:val="006A3F90"/>
    <w:rsid w:val="006A4282"/>
    <w:rsid w:val="006A4AF8"/>
    <w:rsid w:val="006A4EF0"/>
    <w:rsid w:val="006A5F23"/>
    <w:rsid w:val="006A65A5"/>
    <w:rsid w:val="006A6BD0"/>
    <w:rsid w:val="006A6CA7"/>
    <w:rsid w:val="006A6D87"/>
    <w:rsid w:val="006A7A19"/>
    <w:rsid w:val="006A7FF8"/>
    <w:rsid w:val="006B043D"/>
    <w:rsid w:val="006B077F"/>
    <w:rsid w:val="006B0901"/>
    <w:rsid w:val="006B0B8E"/>
    <w:rsid w:val="006B0C7F"/>
    <w:rsid w:val="006B0F57"/>
    <w:rsid w:val="006B1062"/>
    <w:rsid w:val="006B1350"/>
    <w:rsid w:val="006B17BC"/>
    <w:rsid w:val="006B1954"/>
    <w:rsid w:val="006B19B4"/>
    <w:rsid w:val="006B1F98"/>
    <w:rsid w:val="006B2039"/>
    <w:rsid w:val="006B22DC"/>
    <w:rsid w:val="006B2302"/>
    <w:rsid w:val="006B2385"/>
    <w:rsid w:val="006B2625"/>
    <w:rsid w:val="006B2B4E"/>
    <w:rsid w:val="006B2D17"/>
    <w:rsid w:val="006B2DC4"/>
    <w:rsid w:val="006B328A"/>
    <w:rsid w:val="006B3317"/>
    <w:rsid w:val="006B334B"/>
    <w:rsid w:val="006B38A0"/>
    <w:rsid w:val="006B3B55"/>
    <w:rsid w:val="006B4036"/>
    <w:rsid w:val="006B4259"/>
    <w:rsid w:val="006B4266"/>
    <w:rsid w:val="006B442A"/>
    <w:rsid w:val="006B4A89"/>
    <w:rsid w:val="006B4B87"/>
    <w:rsid w:val="006B4DAC"/>
    <w:rsid w:val="006B5002"/>
    <w:rsid w:val="006B50BC"/>
    <w:rsid w:val="006B5521"/>
    <w:rsid w:val="006B573E"/>
    <w:rsid w:val="006B5840"/>
    <w:rsid w:val="006B5E00"/>
    <w:rsid w:val="006B6033"/>
    <w:rsid w:val="006B667D"/>
    <w:rsid w:val="006B66DC"/>
    <w:rsid w:val="006B6811"/>
    <w:rsid w:val="006B682D"/>
    <w:rsid w:val="006B6AE6"/>
    <w:rsid w:val="006B6EDB"/>
    <w:rsid w:val="006B7104"/>
    <w:rsid w:val="006B71AC"/>
    <w:rsid w:val="006B72C0"/>
    <w:rsid w:val="006B7544"/>
    <w:rsid w:val="006B7993"/>
    <w:rsid w:val="006B7C61"/>
    <w:rsid w:val="006C0515"/>
    <w:rsid w:val="006C06A2"/>
    <w:rsid w:val="006C0C99"/>
    <w:rsid w:val="006C15DD"/>
    <w:rsid w:val="006C1BA7"/>
    <w:rsid w:val="006C1DA5"/>
    <w:rsid w:val="006C215E"/>
    <w:rsid w:val="006C21DF"/>
    <w:rsid w:val="006C21EE"/>
    <w:rsid w:val="006C237C"/>
    <w:rsid w:val="006C24DD"/>
    <w:rsid w:val="006C2609"/>
    <w:rsid w:val="006C275A"/>
    <w:rsid w:val="006C28EA"/>
    <w:rsid w:val="006C29E7"/>
    <w:rsid w:val="006C2D93"/>
    <w:rsid w:val="006C2DD1"/>
    <w:rsid w:val="006C2ECC"/>
    <w:rsid w:val="006C36A7"/>
    <w:rsid w:val="006C36E0"/>
    <w:rsid w:val="006C3929"/>
    <w:rsid w:val="006C444E"/>
    <w:rsid w:val="006C44BA"/>
    <w:rsid w:val="006C518F"/>
    <w:rsid w:val="006C5DBF"/>
    <w:rsid w:val="006C6229"/>
    <w:rsid w:val="006C63A1"/>
    <w:rsid w:val="006C657C"/>
    <w:rsid w:val="006C65D3"/>
    <w:rsid w:val="006C6852"/>
    <w:rsid w:val="006C6E0C"/>
    <w:rsid w:val="006C72E8"/>
    <w:rsid w:val="006C730C"/>
    <w:rsid w:val="006C772D"/>
    <w:rsid w:val="006C78DF"/>
    <w:rsid w:val="006C7BA1"/>
    <w:rsid w:val="006C7EC5"/>
    <w:rsid w:val="006D00D0"/>
    <w:rsid w:val="006D0275"/>
    <w:rsid w:val="006D0600"/>
    <w:rsid w:val="006D071B"/>
    <w:rsid w:val="006D073C"/>
    <w:rsid w:val="006D0873"/>
    <w:rsid w:val="006D1533"/>
    <w:rsid w:val="006D16A4"/>
    <w:rsid w:val="006D16BA"/>
    <w:rsid w:val="006D2594"/>
    <w:rsid w:val="006D2605"/>
    <w:rsid w:val="006D2F41"/>
    <w:rsid w:val="006D3012"/>
    <w:rsid w:val="006D3932"/>
    <w:rsid w:val="006D3A0D"/>
    <w:rsid w:val="006D3DC1"/>
    <w:rsid w:val="006D3E07"/>
    <w:rsid w:val="006D3FA4"/>
    <w:rsid w:val="006D425D"/>
    <w:rsid w:val="006D436D"/>
    <w:rsid w:val="006D4953"/>
    <w:rsid w:val="006D4E67"/>
    <w:rsid w:val="006D5164"/>
    <w:rsid w:val="006D52A2"/>
    <w:rsid w:val="006D563C"/>
    <w:rsid w:val="006D56EA"/>
    <w:rsid w:val="006D5A49"/>
    <w:rsid w:val="006D5B34"/>
    <w:rsid w:val="006D5E24"/>
    <w:rsid w:val="006D60F9"/>
    <w:rsid w:val="006D65D9"/>
    <w:rsid w:val="006D66FA"/>
    <w:rsid w:val="006D6708"/>
    <w:rsid w:val="006D6916"/>
    <w:rsid w:val="006D6BDA"/>
    <w:rsid w:val="006D6CA1"/>
    <w:rsid w:val="006D6DF7"/>
    <w:rsid w:val="006D76CD"/>
    <w:rsid w:val="006D78EC"/>
    <w:rsid w:val="006D790A"/>
    <w:rsid w:val="006D7C54"/>
    <w:rsid w:val="006D7C6F"/>
    <w:rsid w:val="006E02C9"/>
    <w:rsid w:val="006E0B1C"/>
    <w:rsid w:val="006E0B88"/>
    <w:rsid w:val="006E0FFD"/>
    <w:rsid w:val="006E116B"/>
    <w:rsid w:val="006E1174"/>
    <w:rsid w:val="006E1831"/>
    <w:rsid w:val="006E184B"/>
    <w:rsid w:val="006E1AE9"/>
    <w:rsid w:val="006E2739"/>
    <w:rsid w:val="006E28AF"/>
    <w:rsid w:val="006E2976"/>
    <w:rsid w:val="006E2C5A"/>
    <w:rsid w:val="006E2EBC"/>
    <w:rsid w:val="006E32F8"/>
    <w:rsid w:val="006E3310"/>
    <w:rsid w:val="006E3311"/>
    <w:rsid w:val="006E37D4"/>
    <w:rsid w:val="006E3A54"/>
    <w:rsid w:val="006E416C"/>
    <w:rsid w:val="006E428C"/>
    <w:rsid w:val="006E4562"/>
    <w:rsid w:val="006E4580"/>
    <w:rsid w:val="006E4A6E"/>
    <w:rsid w:val="006E4B1C"/>
    <w:rsid w:val="006E4F91"/>
    <w:rsid w:val="006E50B9"/>
    <w:rsid w:val="006E537F"/>
    <w:rsid w:val="006E5992"/>
    <w:rsid w:val="006E5A22"/>
    <w:rsid w:val="006E5BA7"/>
    <w:rsid w:val="006E5E76"/>
    <w:rsid w:val="006E6521"/>
    <w:rsid w:val="006E658A"/>
    <w:rsid w:val="006E6C30"/>
    <w:rsid w:val="006E6CC1"/>
    <w:rsid w:val="006E7BAD"/>
    <w:rsid w:val="006F0180"/>
    <w:rsid w:val="006F0791"/>
    <w:rsid w:val="006F0F05"/>
    <w:rsid w:val="006F12A0"/>
    <w:rsid w:val="006F1AA0"/>
    <w:rsid w:val="006F236C"/>
    <w:rsid w:val="006F25B8"/>
    <w:rsid w:val="006F26C5"/>
    <w:rsid w:val="006F2974"/>
    <w:rsid w:val="006F2B57"/>
    <w:rsid w:val="006F2BF6"/>
    <w:rsid w:val="006F2D4B"/>
    <w:rsid w:val="006F2FD0"/>
    <w:rsid w:val="006F31E9"/>
    <w:rsid w:val="006F33A1"/>
    <w:rsid w:val="006F3986"/>
    <w:rsid w:val="006F3DD7"/>
    <w:rsid w:val="006F3F7C"/>
    <w:rsid w:val="006F3FFA"/>
    <w:rsid w:val="006F4766"/>
    <w:rsid w:val="006F490C"/>
    <w:rsid w:val="006F4BD8"/>
    <w:rsid w:val="006F4E8D"/>
    <w:rsid w:val="006F5258"/>
    <w:rsid w:val="006F544D"/>
    <w:rsid w:val="006F54B2"/>
    <w:rsid w:val="006F564D"/>
    <w:rsid w:val="006F5A49"/>
    <w:rsid w:val="006F5B01"/>
    <w:rsid w:val="006F5BA6"/>
    <w:rsid w:val="006F5C5E"/>
    <w:rsid w:val="006F6398"/>
    <w:rsid w:val="006F685D"/>
    <w:rsid w:val="006F68B4"/>
    <w:rsid w:val="006F6AD8"/>
    <w:rsid w:val="006F6F42"/>
    <w:rsid w:val="006F70A7"/>
    <w:rsid w:val="006F71C8"/>
    <w:rsid w:val="006F7E3E"/>
    <w:rsid w:val="00700127"/>
    <w:rsid w:val="00700B7C"/>
    <w:rsid w:val="00700C41"/>
    <w:rsid w:val="007011FA"/>
    <w:rsid w:val="00701371"/>
    <w:rsid w:val="00701B0D"/>
    <w:rsid w:val="00701E2E"/>
    <w:rsid w:val="00701E64"/>
    <w:rsid w:val="00702827"/>
    <w:rsid w:val="00702A2E"/>
    <w:rsid w:val="00702EF5"/>
    <w:rsid w:val="00703E2F"/>
    <w:rsid w:val="00704616"/>
    <w:rsid w:val="007046A4"/>
    <w:rsid w:val="007046B7"/>
    <w:rsid w:val="00704741"/>
    <w:rsid w:val="00704D1B"/>
    <w:rsid w:val="00705029"/>
    <w:rsid w:val="00705187"/>
    <w:rsid w:val="0070526E"/>
    <w:rsid w:val="00705618"/>
    <w:rsid w:val="0070594D"/>
    <w:rsid w:val="0070597B"/>
    <w:rsid w:val="00705F50"/>
    <w:rsid w:val="00706499"/>
    <w:rsid w:val="00706785"/>
    <w:rsid w:val="0070682E"/>
    <w:rsid w:val="007069F1"/>
    <w:rsid w:val="00706ACD"/>
    <w:rsid w:val="00706C66"/>
    <w:rsid w:val="00706CC3"/>
    <w:rsid w:val="00706CC9"/>
    <w:rsid w:val="00706DCE"/>
    <w:rsid w:val="00707130"/>
    <w:rsid w:val="0070726E"/>
    <w:rsid w:val="0070778B"/>
    <w:rsid w:val="00707A54"/>
    <w:rsid w:val="00707E22"/>
    <w:rsid w:val="00707E50"/>
    <w:rsid w:val="00707F17"/>
    <w:rsid w:val="00710552"/>
    <w:rsid w:val="0071069C"/>
    <w:rsid w:val="00710745"/>
    <w:rsid w:val="00710D51"/>
    <w:rsid w:val="0071114B"/>
    <w:rsid w:val="00711F99"/>
    <w:rsid w:val="00711FF9"/>
    <w:rsid w:val="00712AB9"/>
    <w:rsid w:val="00712ABC"/>
    <w:rsid w:val="00713339"/>
    <w:rsid w:val="007133C7"/>
    <w:rsid w:val="007137B3"/>
    <w:rsid w:val="00713B27"/>
    <w:rsid w:val="00714851"/>
    <w:rsid w:val="00714C7E"/>
    <w:rsid w:val="00714FB6"/>
    <w:rsid w:val="00714FF4"/>
    <w:rsid w:val="00715706"/>
    <w:rsid w:val="00716533"/>
    <w:rsid w:val="007165D3"/>
    <w:rsid w:val="0071665C"/>
    <w:rsid w:val="0071676D"/>
    <w:rsid w:val="00716F40"/>
    <w:rsid w:val="00717166"/>
    <w:rsid w:val="0071720C"/>
    <w:rsid w:val="00717630"/>
    <w:rsid w:val="007176B1"/>
    <w:rsid w:val="00717859"/>
    <w:rsid w:val="00717A2C"/>
    <w:rsid w:val="00717E93"/>
    <w:rsid w:val="00720221"/>
    <w:rsid w:val="007204C4"/>
    <w:rsid w:val="00720570"/>
    <w:rsid w:val="007213D8"/>
    <w:rsid w:val="00721C15"/>
    <w:rsid w:val="007222A3"/>
    <w:rsid w:val="00722377"/>
    <w:rsid w:val="007228EF"/>
    <w:rsid w:val="00722A47"/>
    <w:rsid w:val="00722A50"/>
    <w:rsid w:val="00722AAF"/>
    <w:rsid w:val="0072303D"/>
    <w:rsid w:val="00723A24"/>
    <w:rsid w:val="00723C61"/>
    <w:rsid w:val="00723F26"/>
    <w:rsid w:val="0072477C"/>
    <w:rsid w:val="0072490E"/>
    <w:rsid w:val="00724F85"/>
    <w:rsid w:val="007259D1"/>
    <w:rsid w:val="00725D80"/>
    <w:rsid w:val="007264DD"/>
    <w:rsid w:val="00726657"/>
    <w:rsid w:val="00726A7A"/>
    <w:rsid w:val="00726B52"/>
    <w:rsid w:val="00726BA0"/>
    <w:rsid w:val="007270A8"/>
    <w:rsid w:val="007271B9"/>
    <w:rsid w:val="00727371"/>
    <w:rsid w:val="00727AD1"/>
    <w:rsid w:val="00727B34"/>
    <w:rsid w:val="00727C68"/>
    <w:rsid w:val="0073001A"/>
    <w:rsid w:val="0073078B"/>
    <w:rsid w:val="00730B8F"/>
    <w:rsid w:val="00730BD2"/>
    <w:rsid w:val="00731588"/>
    <w:rsid w:val="00731859"/>
    <w:rsid w:val="00731B6E"/>
    <w:rsid w:val="00731E46"/>
    <w:rsid w:val="00732287"/>
    <w:rsid w:val="007326C8"/>
    <w:rsid w:val="007326EB"/>
    <w:rsid w:val="00732BCB"/>
    <w:rsid w:val="007331DA"/>
    <w:rsid w:val="007331E6"/>
    <w:rsid w:val="0073320F"/>
    <w:rsid w:val="007333EA"/>
    <w:rsid w:val="007339EC"/>
    <w:rsid w:val="00733A70"/>
    <w:rsid w:val="007341C4"/>
    <w:rsid w:val="0073427F"/>
    <w:rsid w:val="007342F8"/>
    <w:rsid w:val="0073431A"/>
    <w:rsid w:val="00734C14"/>
    <w:rsid w:val="007353E6"/>
    <w:rsid w:val="007354C4"/>
    <w:rsid w:val="00735AD7"/>
    <w:rsid w:val="00735B04"/>
    <w:rsid w:val="00735C8D"/>
    <w:rsid w:val="00735EAC"/>
    <w:rsid w:val="007364D5"/>
    <w:rsid w:val="00736B30"/>
    <w:rsid w:val="00736B82"/>
    <w:rsid w:val="00736D30"/>
    <w:rsid w:val="00736DC4"/>
    <w:rsid w:val="00736F91"/>
    <w:rsid w:val="00736FC1"/>
    <w:rsid w:val="007370D5"/>
    <w:rsid w:val="00737199"/>
    <w:rsid w:val="00737760"/>
    <w:rsid w:val="00737BE3"/>
    <w:rsid w:val="00737CAF"/>
    <w:rsid w:val="00737D51"/>
    <w:rsid w:val="00737D81"/>
    <w:rsid w:val="0074030F"/>
    <w:rsid w:val="00740324"/>
    <w:rsid w:val="00740E37"/>
    <w:rsid w:val="00741746"/>
    <w:rsid w:val="00741905"/>
    <w:rsid w:val="00741BDF"/>
    <w:rsid w:val="00741C54"/>
    <w:rsid w:val="00742575"/>
    <w:rsid w:val="007425AD"/>
    <w:rsid w:val="0074270A"/>
    <w:rsid w:val="0074286D"/>
    <w:rsid w:val="00742CAE"/>
    <w:rsid w:val="0074325A"/>
    <w:rsid w:val="0074349B"/>
    <w:rsid w:val="007442E9"/>
    <w:rsid w:val="00744479"/>
    <w:rsid w:val="0074447D"/>
    <w:rsid w:val="00744869"/>
    <w:rsid w:val="00744AE9"/>
    <w:rsid w:val="00744B50"/>
    <w:rsid w:val="00744C30"/>
    <w:rsid w:val="00744F84"/>
    <w:rsid w:val="00745337"/>
    <w:rsid w:val="007453E2"/>
    <w:rsid w:val="0074560B"/>
    <w:rsid w:val="00745C4F"/>
    <w:rsid w:val="00745C9F"/>
    <w:rsid w:val="007464C4"/>
    <w:rsid w:val="007464E0"/>
    <w:rsid w:val="00746AAF"/>
    <w:rsid w:val="00746ACA"/>
    <w:rsid w:val="0074741E"/>
    <w:rsid w:val="007475CB"/>
    <w:rsid w:val="00747656"/>
    <w:rsid w:val="00747A11"/>
    <w:rsid w:val="00747BBE"/>
    <w:rsid w:val="00747C9A"/>
    <w:rsid w:val="007500A1"/>
    <w:rsid w:val="0075018C"/>
    <w:rsid w:val="00750585"/>
    <w:rsid w:val="007507E8"/>
    <w:rsid w:val="007513A0"/>
    <w:rsid w:val="0075189A"/>
    <w:rsid w:val="00751D4C"/>
    <w:rsid w:val="007523ED"/>
    <w:rsid w:val="0075270D"/>
    <w:rsid w:val="0075297E"/>
    <w:rsid w:val="00752985"/>
    <w:rsid w:val="00752B3B"/>
    <w:rsid w:val="00752B64"/>
    <w:rsid w:val="00752BC3"/>
    <w:rsid w:val="00752BEF"/>
    <w:rsid w:val="00752EB8"/>
    <w:rsid w:val="00752F08"/>
    <w:rsid w:val="0075307E"/>
    <w:rsid w:val="007530FB"/>
    <w:rsid w:val="0075320B"/>
    <w:rsid w:val="0075382C"/>
    <w:rsid w:val="00753C9D"/>
    <w:rsid w:val="0075435D"/>
    <w:rsid w:val="00754B13"/>
    <w:rsid w:val="00754D45"/>
    <w:rsid w:val="00754D72"/>
    <w:rsid w:val="00755BC1"/>
    <w:rsid w:val="00756274"/>
    <w:rsid w:val="0075687A"/>
    <w:rsid w:val="00756DAA"/>
    <w:rsid w:val="00756E5C"/>
    <w:rsid w:val="00757208"/>
    <w:rsid w:val="007573C8"/>
    <w:rsid w:val="0075743C"/>
    <w:rsid w:val="007578CE"/>
    <w:rsid w:val="0076013B"/>
    <w:rsid w:val="00760144"/>
    <w:rsid w:val="00760464"/>
    <w:rsid w:val="007608BC"/>
    <w:rsid w:val="007608E5"/>
    <w:rsid w:val="00760AFF"/>
    <w:rsid w:val="00760D4F"/>
    <w:rsid w:val="00760EB5"/>
    <w:rsid w:val="007610D9"/>
    <w:rsid w:val="0076157F"/>
    <w:rsid w:val="00761918"/>
    <w:rsid w:val="007620C8"/>
    <w:rsid w:val="00762710"/>
    <w:rsid w:val="0076289E"/>
    <w:rsid w:val="00762CE3"/>
    <w:rsid w:val="00763741"/>
    <w:rsid w:val="00763906"/>
    <w:rsid w:val="00763A3A"/>
    <w:rsid w:val="0076434C"/>
    <w:rsid w:val="0076440B"/>
    <w:rsid w:val="00765E65"/>
    <w:rsid w:val="00765F07"/>
    <w:rsid w:val="00765FF0"/>
    <w:rsid w:val="007660A5"/>
    <w:rsid w:val="0076650C"/>
    <w:rsid w:val="00766BB8"/>
    <w:rsid w:val="00766C8D"/>
    <w:rsid w:val="00767B99"/>
    <w:rsid w:val="00770006"/>
    <w:rsid w:val="0077011E"/>
    <w:rsid w:val="00770B4F"/>
    <w:rsid w:val="00771A04"/>
    <w:rsid w:val="00771CCF"/>
    <w:rsid w:val="00771DDA"/>
    <w:rsid w:val="00772A7B"/>
    <w:rsid w:val="00773060"/>
    <w:rsid w:val="007734E9"/>
    <w:rsid w:val="007735A1"/>
    <w:rsid w:val="00773644"/>
    <w:rsid w:val="007739FD"/>
    <w:rsid w:val="00773BB2"/>
    <w:rsid w:val="007747ED"/>
    <w:rsid w:val="007749B2"/>
    <w:rsid w:val="0077591A"/>
    <w:rsid w:val="00775921"/>
    <w:rsid w:val="00775BBE"/>
    <w:rsid w:val="00776361"/>
    <w:rsid w:val="00776A39"/>
    <w:rsid w:val="00777010"/>
    <w:rsid w:val="00777024"/>
    <w:rsid w:val="007800A3"/>
    <w:rsid w:val="007804C2"/>
    <w:rsid w:val="00780723"/>
    <w:rsid w:val="0078076B"/>
    <w:rsid w:val="0078099F"/>
    <w:rsid w:val="00780AAD"/>
    <w:rsid w:val="00780B81"/>
    <w:rsid w:val="00780C00"/>
    <w:rsid w:val="00780C47"/>
    <w:rsid w:val="007813EB"/>
    <w:rsid w:val="0078161A"/>
    <w:rsid w:val="00781B4E"/>
    <w:rsid w:val="00781F40"/>
    <w:rsid w:val="0078238C"/>
    <w:rsid w:val="007825C2"/>
    <w:rsid w:val="00782634"/>
    <w:rsid w:val="00782B61"/>
    <w:rsid w:val="00782D66"/>
    <w:rsid w:val="00782E57"/>
    <w:rsid w:val="00782EB4"/>
    <w:rsid w:val="00782F36"/>
    <w:rsid w:val="0078303E"/>
    <w:rsid w:val="0078355B"/>
    <w:rsid w:val="00783B39"/>
    <w:rsid w:val="00783F78"/>
    <w:rsid w:val="00784662"/>
    <w:rsid w:val="00785415"/>
    <w:rsid w:val="00785BA4"/>
    <w:rsid w:val="00785CE1"/>
    <w:rsid w:val="00785F63"/>
    <w:rsid w:val="0078600C"/>
    <w:rsid w:val="00786B37"/>
    <w:rsid w:val="00787144"/>
    <w:rsid w:val="00787253"/>
    <w:rsid w:val="007874FE"/>
    <w:rsid w:val="007877A4"/>
    <w:rsid w:val="00787A03"/>
    <w:rsid w:val="00787CAD"/>
    <w:rsid w:val="00787DE9"/>
    <w:rsid w:val="0079054C"/>
    <w:rsid w:val="00790D6C"/>
    <w:rsid w:val="00790F32"/>
    <w:rsid w:val="007917E5"/>
    <w:rsid w:val="00791DC8"/>
    <w:rsid w:val="00791FAD"/>
    <w:rsid w:val="00792271"/>
    <w:rsid w:val="00792696"/>
    <w:rsid w:val="00792C25"/>
    <w:rsid w:val="00792F8D"/>
    <w:rsid w:val="00792FAA"/>
    <w:rsid w:val="00793367"/>
    <w:rsid w:val="007935F9"/>
    <w:rsid w:val="00793B18"/>
    <w:rsid w:val="00793C4E"/>
    <w:rsid w:val="00793D00"/>
    <w:rsid w:val="00794310"/>
    <w:rsid w:val="007946E5"/>
    <w:rsid w:val="00794979"/>
    <w:rsid w:val="00794C8D"/>
    <w:rsid w:val="00794E07"/>
    <w:rsid w:val="00795729"/>
    <w:rsid w:val="00795791"/>
    <w:rsid w:val="00795F65"/>
    <w:rsid w:val="007961A0"/>
    <w:rsid w:val="007973E1"/>
    <w:rsid w:val="00797B9C"/>
    <w:rsid w:val="007A0197"/>
    <w:rsid w:val="007A02B2"/>
    <w:rsid w:val="007A0A8C"/>
    <w:rsid w:val="007A0BF0"/>
    <w:rsid w:val="007A0C19"/>
    <w:rsid w:val="007A0C90"/>
    <w:rsid w:val="007A0DC0"/>
    <w:rsid w:val="007A0E78"/>
    <w:rsid w:val="007A1094"/>
    <w:rsid w:val="007A139D"/>
    <w:rsid w:val="007A161A"/>
    <w:rsid w:val="007A1626"/>
    <w:rsid w:val="007A19DB"/>
    <w:rsid w:val="007A1AC4"/>
    <w:rsid w:val="007A1AE8"/>
    <w:rsid w:val="007A1BCE"/>
    <w:rsid w:val="007A1D5B"/>
    <w:rsid w:val="007A1D95"/>
    <w:rsid w:val="007A2641"/>
    <w:rsid w:val="007A2A4A"/>
    <w:rsid w:val="007A2D2E"/>
    <w:rsid w:val="007A2E68"/>
    <w:rsid w:val="007A32E7"/>
    <w:rsid w:val="007A3438"/>
    <w:rsid w:val="007A44DB"/>
    <w:rsid w:val="007A450C"/>
    <w:rsid w:val="007A50E7"/>
    <w:rsid w:val="007A5186"/>
    <w:rsid w:val="007A54E9"/>
    <w:rsid w:val="007A60D2"/>
    <w:rsid w:val="007A623D"/>
    <w:rsid w:val="007A62A5"/>
    <w:rsid w:val="007A6916"/>
    <w:rsid w:val="007A6985"/>
    <w:rsid w:val="007A6AC0"/>
    <w:rsid w:val="007A701C"/>
    <w:rsid w:val="007A7732"/>
    <w:rsid w:val="007A7D8A"/>
    <w:rsid w:val="007A7F4D"/>
    <w:rsid w:val="007B12C6"/>
    <w:rsid w:val="007B14B4"/>
    <w:rsid w:val="007B165A"/>
    <w:rsid w:val="007B19C0"/>
    <w:rsid w:val="007B2051"/>
    <w:rsid w:val="007B2CFE"/>
    <w:rsid w:val="007B30B1"/>
    <w:rsid w:val="007B3450"/>
    <w:rsid w:val="007B35FA"/>
    <w:rsid w:val="007B3912"/>
    <w:rsid w:val="007B3D40"/>
    <w:rsid w:val="007B4142"/>
    <w:rsid w:val="007B4679"/>
    <w:rsid w:val="007B4942"/>
    <w:rsid w:val="007B4A8F"/>
    <w:rsid w:val="007B4C90"/>
    <w:rsid w:val="007B4FB1"/>
    <w:rsid w:val="007B542E"/>
    <w:rsid w:val="007B54E1"/>
    <w:rsid w:val="007B5C1F"/>
    <w:rsid w:val="007B641A"/>
    <w:rsid w:val="007B6D4F"/>
    <w:rsid w:val="007B70AB"/>
    <w:rsid w:val="007B726B"/>
    <w:rsid w:val="007B7BCE"/>
    <w:rsid w:val="007B7CA5"/>
    <w:rsid w:val="007B7E9C"/>
    <w:rsid w:val="007B7EFE"/>
    <w:rsid w:val="007C065B"/>
    <w:rsid w:val="007C0A2D"/>
    <w:rsid w:val="007C0BAA"/>
    <w:rsid w:val="007C0D36"/>
    <w:rsid w:val="007C0DAB"/>
    <w:rsid w:val="007C0E1F"/>
    <w:rsid w:val="007C0F01"/>
    <w:rsid w:val="007C1910"/>
    <w:rsid w:val="007C1D90"/>
    <w:rsid w:val="007C20F9"/>
    <w:rsid w:val="007C28B6"/>
    <w:rsid w:val="007C2D04"/>
    <w:rsid w:val="007C2D50"/>
    <w:rsid w:val="007C2ED9"/>
    <w:rsid w:val="007C2F8C"/>
    <w:rsid w:val="007C3073"/>
    <w:rsid w:val="007C3092"/>
    <w:rsid w:val="007C3193"/>
    <w:rsid w:val="007C3B8B"/>
    <w:rsid w:val="007C3BDC"/>
    <w:rsid w:val="007C3E03"/>
    <w:rsid w:val="007C3F2E"/>
    <w:rsid w:val="007C4078"/>
    <w:rsid w:val="007C417F"/>
    <w:rsid w:val="007C4371"/>
    <w:rsid w:val="007C4611"/>
    <w:rsid w:val="007C49D6"/>
    <w:rsid w:val="007C4A30"/>
    <w:rsid w:val="007C4F9F"/>
    <w:rsid w:val="007C5086"/>
    <w:rsid w:val="007C52E6"/>
    <w:rsid w:val="007C5815"/>
    <w:rsid w:val="007C58B9"/>
    <w:rsid w:val="007C5FD6"/>
    <w:rsid w:val="007C6099"/>
    <w:rsid w:val="007C6145"/>
    <w:rsid w:val="007C64CE"/>
    <w:rsid w:val="007C67EB"/>
    <w:rsid w:val="007C6D0F"/>
    <w:rsid w:val="007C6DD2"/>
    <w:rsid w:val="007C6FC3"/>
    <w:rsid w:val="007C6FC9"/>
    <w:rsid w:val="007C731C"/>
    <w:rsid w:val="007C7372"/>
    <w:rsid w:val="007C7B64"/>
    <w:rsid w:val="007D03B7"/>
    <w:rsid w:val="007D0903"/>
    <w:rsid w:val="007D0C2E"/>
    <w:rsid w:val="007D0FA4"/>
    <w:rsid w:val="007D1402"/>
    <w:rsid w:val="007D1B29"/>
    <w:rsid w:val="007D1DAC"/>
    <w:rsid w:val="007D2B5E"/>
    <w:rsid w:val="007D2D64"/>
    <w:rsid w:val="007D2E49"/>
    <w:rsid w:val="007D2F9A"/>
    <w:rsid w:val="007D3A08"/>
    <w:rsid w:val="007D4200"/>
    <w:rsid w:val="007D432E"/>
    <w:rsid w:val="007D505D"/>
    <w:rsid w:val="007D5690"/>
    <w:rsid w:val="007D57AC"/>
    <w:rsid w:val="007D586B"/>
    <w:rsid w:val="007D62DC"/>
    <w:rsid w:val="007D63A8"/>
    <w:rsid w:val="007D63DE"/>
    <w:rsid w:val="007D69E2"/>
    <w:rsid w:val="007D6D18"/>
    <w:rsid w:val="007D6E4A"/>
    <w:rsid w:val="007D6FD7"/>
    <w:rsid w:val="007D71E9"/>
    <w:rsid w:val="007D72A4"/>
    <w:rsid w:val="007D74A2"/>
    <w:rsid w:val="007D755C"/>
    <w:rsid w:val="007D7998"/>
    <w:rsid w:val="007E0264"/>
    <w:rsid w:val="007E0480"/>
    <w:rsid w:val="007E061F"/>
    <w:rsid w:val="007E0AF8"/>
    <w:rsid w:val="007E13CB"/>
    <w:rsid w:val="007E168F"/>
    <w:rsid w:val="007E1862"/>
    <w:rsid w:val="007E1E0D"/>
    <w:rsid w:val="007E2130"/>
    <w:rsid w:val="007E2222"/>
    <w:rsid w:val="007E26A6"/>
    <w:rsid w:val="007E2BAA"/>
    <w:rsid w:val="007E2E06"/>
    <w:rsid w:val="007E302D"/>
    <w:rsid w:val="007E30B5"/>
    <w:rsid w:val="007E311B"/>
    <w:rsid w:val="007E319C"/>
    <w:rsid w:val="007E39D9"/>
    <w:rsid w:val="007E4338"/>
    <w:rsid w:val="007E448C"/>
    <w:rsid w:val="007E4B4D"/>
    <w:rsid w:val="007E52EC"/>
    <w:rsid w:val="007E58BF"/>
    <w:rsid w:val="007E5AC3"/>
    <w:rsid w:val="007E5B27"/>
    <w:rsid w:val="007E5E8C"/>
    <w:rsid w:val="007E5EEF"/>
    <w:rsid w:val="007E5EFF"/>
    <w:rsid w:val="007E63FC"/>
    <w:rsid w:val="007E68C9"/>
    <w:rsid w:val="007E6F4A"/>
    <w:rsid w:val="007E739B"/>
    <w:rsid w:val="007E7BDE"/>
    <w:rsid w:val="007E7EF1"/>
    <w:rsid w:val="007E7F9D"/>
    <w:rsid w:val="007F0307"/>
    <w:rsid w:val="007F0615"/>
    <w:rsid w:val="007F0A70"/>
    <w:rsid w:val="007F0AED"/>
    <w:rsid w:val="007F0C4A"/>
    <w:rsid w:val="007F0D96"/>
    <w:rsid w:val="007F11C6"/>
    <w:rsid w:val="007F11CB"/>
    <w:rsid w:val="007F15B6"/>
    <w:rsid w:val="007F1737"/>
    <w:rsid w:val="007F1AE0"/>
    <w:rsid w:val="007F1EFE"/>
    <w:rsid w:val="007F1F67"/>
    <w:rsid w:val="007F1FD2"/>
    <w:rsid w:val="007F26BA"/>
    <w:rsid w:val="007F26D7"/>
    <w:rsid w:val="007F291F"/>
    <w:rsid w:val="007F2DF5"/>
    <w:rsid w:val="007F2F0F"/>
    <w:rsid w:val="007F3445"/>
    <w:rsid w:val="007F3CFB"/>
    <w:rsid w:val="007F408A"/>
    <w:rsid w:val="007F40E3"/>
    <w:rsid w:val="007F42F2"/>
    <w:rsid w:val="007F43CC"/>
    <w:rsid w:val="007F448E"/>
    <w:rsid w:val="007F479C"/>
    <w:rsid w:val="007F574F"/>
    <w:rsid w:val="007F5A77"/>
    <w:rsid w:val="007F5BE7"/>
    <w:rsid w:val="007F655D"/>
    <w:rsid w:val="007F6A3A"/>
    <w:rsid w:val="007F6B7A"/>
    <w:rsid w:val="007F7656"/>
    <w:rsid w:val="007F76C3"/>
    <w:rsid w:val="007F7993"/>
    <w:rsid w:val="007F7D9D"/>
    <w:rsid w:val="007F7DFC"/>
    <w:rsid w:val="008002C0"/>
    <w:rsid w:val="008005C5"/>
    <w:rsid w:val="00800C93"/>
    <w:rsid w:val="00800FCB"/>
    <w:rsid w:val="0080167E"/>
    <w:rsid w:val="00801EA4"/>
    <w:rsid w:val="00802234"/>
    <w:rsid w:val="0080258A"/>
    <w:rsid w:val="008025A0"/>
    <w:rsid w:val="008025CB"/>
    <w:rsid w:val="00802641"/>
    <w:rsid w:val="008031A2"/>
    <w:rsid w:val="00803A98"/>
    <w:rsid w:val="00803C34"/>
    <w:rsid w:val="00803F13"/>
    <w:rsid w:val="00804162"/>
    <w:rsid w:val="0080444C"/>
    <w:rsid w:val="008047E6"/>
    <w:rsid w:val="00804860"/>
    <w:rsid w:val="008049AB"/>
    <w:rsid w:val="00804B02"/>
    <w:rsid w:val="00804B68"/>
    <w:rsid w:val="00804B90"/>
    <w:rsid w:val="00804FC1"/>
    <w:rsid w:val="008052DD"/>
    <w:rsid w:val="008056A2"/>
    <w:rsid w:val="008059F5"/>
    <w:rsid w:val="00805DFB"/>
    <w:rsid w:val="00805EB3"/>
    <w:rsid w:val="0080633D"/>
    <w:rsid w:val="00806628"/>
    <w:rsid w:val="00806CC5"/>
    <w:rsid w:val="00806E31"/>
    <w:rsid w:val="0080703A"/>
    <w:rsid w:val="008071D7"/>
    <w:rsid w:val="008074EF"/>
    <w:rsid w:val="008075C7"/>
    <w:rsid w:val="00807956"/>
    <w:rsid w:val="008107A4"/>
    <w:rsid w:val="0081092A"/>
    <w:rsid w:val="00810BB7"/>
    <w:rsid w:val="00810CEA"/>
    <w:rsid w:val="00810DC8"/>
    <w:rsid w:val="00810E5D"/>
    <w:rsid w:val="00810EE3"/>
    <w:rsid w:val="00810F3A"/>
    <w:rsid w:val="00811333"/>
    <w:rsid w:val="00811503"/>
    <w:rsid w:val="00811620"/>
    <w:rsid w:val="008118B1"/>
    <w:rsid w:val="00811966"/>
    <w:rsid w:val="00811BEE"/>
    <w:rsid w:val="00811C80"/>
    <w:rsid w:val="00812118"/>
    <w:rsid w:val="00812583"/>
    <w:rsid w:val="00812750"/>
    <w:rsid w:val="008127A1"/>
    <w:rsid w:val="0081328D"/>
    <w:rsid w:val="00813321"/>
    <w:rsid w:val="008134F0"/>
    <w:rsid w:val="00813652"/>
    <w:rsid w:val="00813967"/>
    <w:rsid w:val="00813A98"/>
    <w:rsid w:val="00813C6D"/>
    <w:rsid w:val="00813E4A"/>
    <w:rsid w:val="00813EB5"/>
    <w:rsid w:val="00813EB9"/>
    <w:rsid w:val="00813F16"/>
    <w:rsid w:val="00814763"/>
    <w:rsid w:val="008149A0"/>
    <w:rsid w:val="00814D75"/>
    <w:rsid w:val="008152DC"/>
    <w:rsid w:val="00815626"/>
    <w:rsid w:val="0081574F"/>
    <w:rsid w:val="008157AF"/>
    <w:rsid w:val="00815954"/>
    <w:rsid w:val="008159D8"/>
    <w:rsid w:val="00815A77"/>
    <w:rsid w:val="00815B0C"/>
    <w:rsid w:val="00815F28"/>
    <w:rsid w:val="00816046"/>
    <w:rsid w:val="00816249"/>
    <w:rsid w:val="00816330"/>
    <w:rsid w:val="008166BE"/>
    <w:rsid w:val="008168D9"/>
    <w:rsid w:val="008179AB"/>
    <w:rsid w:val="00817B8E"/>
    <w:rsid w:val="00820200"/>
    <w:rsid w:val="008206FD"/>
    <w:rsid w:val="00820758"/>
    <w:rsid w:val="00820CAF"/>
    <w:rsid w:val="00820D37"/>
    <w:rsid w:val="00821166"/>
    <w:rsid w:val="00821220"/>
    <w:rsid w:val="008212AE"/>
    <w:rsid w:val="008213A5"/>
    <w:rsid w:val="0082140D"/>
    <w:rsid w:val="008215C0"/>
    <w:rsid w:val="00821650"/>
    <w:rsid w:val="00821A33"/>
    <w:rsid w:val="00821D6D"/>
    <w:rsid w:val="0082294F"/>
    <w:rsid w:val="00822BE5"/>
    <w:rsid w:val="00822CB1"/>
    <w:rsid w:val="00822FF2"/>
    <w:rsid w:val="0082315B"/>
    <w:rsid w:val="00823351"/>
    <w:rsid w:val="008235DF"/>
    <w:rsid w:val="0082379F"/>
    <w:rsid w:val="008239F4"/>
    <w:rsid w:val="00823C8B"/>
    <w:rsid w:val="00823EED"/>
    <w:rsid w:val="00824680"/>
    <w:rsid w:val="00824C00"/>
    <w:rsid w:val="008251B8"/>
    <w:rsid w:val="00825341"/>
    <w:rsid w:val="008254AF"/>
    <w:rsid w:val="00825966"/>
    <w:rsid w:val="00825F6C"/>
    <w:rsid w:val="008260CD"/>
    <w:rsid w:val="008262BF"/>
    <w:rsid w:val="00826314"/>
    <w:rsid w:val="008270E5"/>
    <w:rsid w:val="008271D8"/>
    <w:rsid w:val="00827732"/>
    <w:rsid w:val="0082786B"/>
    <w:rsid w:val="00827A53"/>
    <w:rsid w:val="00827A80"/>
    <w:rsid w:val="00827C49"/>
    <w:rsid w:val="0083010D"/>
    <w:rsid w:val="00830327"/>
    <w:rsid w:val="0083052E"/>
    <w:rsid w:val="00830571"/>
    <w:rsid w:val="00830A43"/>
    <w:rsid w:val="00830E64"/>
    <w:rsid w:val="00830FB2"/>
    <w:rsid w:val="008311EB"/>
    <w:rsid w:val="008321FC"/>
    <w:rsid w:val="00832273"/>
    <w:rsid w:val="0083274C"/>
    <w:rsid w:val="00832DFB"/>
    <w:rsid w:val="00832E2E"/>
    <w:rsid w:val="00833264"/>
    <w:rsid w:val="008336F8"/>
    <w:rsid w:val="00833EC6"/>
    <w:rsid w:val="00833FF7"/>
    <w:rsid w:val="00834151"/>
    <w:rsid w:val="00834296"/>
    <w:rsid w:val="0083431C"/>
    <w:rsid w:val="00834AEE"/>
    <w:rsid w:val="00834B54"/>
    <w:rsid w:val="00834C60"/>
    <w:rsid w:val="00834EE3"/>
    <w:rsid w:val="008351EA"/>
    <w:rsid w:val="008352B5"/>
    <w:rsid w:val="008356A1"/>
    <w:rsid w:val="00835743"/>
    <w:rsid w:val="00835B6D"/>
    <w:rsid w:val="00835F2B"/>
    <w:rsid w:val="00836159"/>
    <w:rsid w:val="0083625C"/>
    <w:rsid w:val="00836409"/>
    <w:rsid w:val="00836A82"/>
    <w:rsid w:val="00836C49"/>
    <w:rsid w:val="00836CB4"/>
    <w:rsid w:val="00836CE4"/>
    <w:rsid w:val="00837421"/>
    <w:rsid w:val="0084002B"/>
    <w:rsid w:val="008400EF"/>
    <w:rsid w:val="00840123"/>
    <w:rsid w:val="0084016B"/>
    <w:rsid w:val="008401E1"/>
    <w:rsid w:val="008402B5"/>
    <w:rsid w:val="00840657"/>
    <w:rsid w:val="00840EE0"/>
    <w:rsid w:val="00841199"/>
    <w:rsid w:val="008412FB"/>
    <w:rsid w:val="00841413"/>
    <w:rsid w:val="008417EF"/>
    <w:rsid w:val="00841F41"/>
    <w:rsid w:val="00842028"/>
    <w:rsid w:val="00842D50"/>
    <w:rsid w:val="00842D9B"/>
    <w:rsid w:val="008431A5"/>
    <w:rsid w:val="008432D6"/>
    <w:rsid w:val="008433C0"/>
    <w:rsid w:val="008439FC"/>
    <w:rsid w:val="00843D95"/>
    <w:rsid w:val="00844056"/>
    <w:rsid w:val="008440B2"/>
    <w:rsid w:val="00844398"/>
    <w:rsid w:val="0084479E"/>
    <w:rsid w:val="00844B94"/>
    <w:rsid w:val="00844F51"/>
    <w:rsid w:val="00845832"/>
    <w:rsid w:val="00845A64"/>
    <w:rsid w:val="00845CDA"/>
    <w:rsid w:val="00845CE5"/>
    <w:rsid w:val="00846585"/>
    <w:rsid w:val="00846B12"/>
    <w:rsid w:val="00846BD6"/>
    <w:rsid w:val="008471C4"/>
    <w:rsid w:val="0084744C"/>
    <w:rsid w:val="0084755E"/>
    <w:rsid w:val="00847A5A"/>
    <w:rsid w:val="00847D4B"/>
    <w:rsid w:val="00847E0C"/>
    <w:rsid w:val="0085097B"/>
    <w:rsid w:val="00850B65"/>
    <w:rsid w:val="00850C85"/>
    <w:rsid w:val="00850DFF"/>
    <w:rsid w:val="00850F53"/>
    <w:rsid w:val="00851004"/>
    <w:rsid w:val="008511C8"/>
    <w:rsid w:val="008514B7"/>
    <w:rsid w:val="00851743"/>
    <w:rsid w:val="00851B07"/>
    <w:rsid w:val="00851E13"/>
    <w:rsid w:val="00851EF4"/>
    <w:rsid w:val="00852052"/>
    <w:rsid w:val="008520BC"/>
    <w:rsid w:val="00852279"/>
    <w:rsid w:val="008524E5"/>
    <w:rsid w:val="00852681"/>
    <w:rsid w:val="0085273F"/>
    <w:rsid w:val="00852D7C"/>
    <w:rsid w:val="00852E59"/>
    <w:rsid w:val="008533D7"/>
    <w:rsid w:val="00853513"/>
    <w:rsid w:val="008539E2"/>
    <w:rsid w:val="00853A90"/>
    <w:rsid w:val="00853F40"/>
    <w:rsid w:val="00854145"/>
    <w:rsid w:val="008547EF"/>
    <w:rsid w:val="00854B34"/>
    <w:rsid w:val="00854C5A"/>
    <w:rsid w:val="00854C9B"/>
    <w:rsid w:val="00854DEA"/>
    <w:rsid w:val="0085507C"/>
    <w:rsid w:val="0085553A"/>
    <w:rsid w:val="0085568F"/>
    <w:rsid w:val="008557C8"/>
    <w:rsid w:val="00855806"/>
    <w:rsid w:val="00855EF6"/>
    <w:rsid w:val="008560B5"/>
    <w:rsid w:val="008561DE"/>
    <w:rsid w:val="008563ED"/>
    <w:rsid w:val="00856826"/>
    <w:rsid w:val="00856ACA"/>
    <w:rsid w:val="00856B77"/>
    <w:rsid w:val="00856EFA"/>
    <w:rsid w:val="00856F38"/>
    <w:rsid w:val="0085768D"/>
    <w:rsid w:val="008576B2"/>
    <w:rsid w:val="00857792"/>
    <w:rsid w:val="0085787E"/>
    <w:rsid w:val="008606F7"/>
    <w:rsid w:val="008607B8"/>
    <w:rsid w:val="008607C7"/>
    <w:rsid w:val="00860E7F"/>
    <w:rsid w:val="00860FBC"/>
    <w:rsid w:val="008610A5"/>
    <w:rsid w:val="008612FF"/>
    <w:rsid w:val="00861AD4"/>
    <w:rsid w:val="00861AE0"/>
    <w:rsid w:val="00861B2C"/>
    <w:rsid w:val="00861CDD"/>
    <w:rsid w:val="00861F48"/>
    <w:rsid w:val="008626A6"/>
    <w:rsid w:val="0086278E"/>
    <w:rsid w:val="00862F42"/>
    <w:rsid w:val="00863173"/>
    <w:rsid w:val="00863255"/>
    <w:rsid w:val="00863652"/>
    <w:rsid w:val="008636FD"/>
    <w:rsid w:val="008637E5"/>
    <w:rsid w:val="00863B4D"/>
    <w:rsid w:val="00863EF5"/>
    <w:rsid w:val="008646B6"/>
    <w:rsid w:val="00864A5E"/>
    <w:rsid w:val="00864B94"/>
    <w:rsid w:val="00865128"/>
    <w:rsid w:val="00865169"/>
    <w:rsid w:val="008652AD"/>
    <w:rsid w:val="008653F3"/>
    <w:rsid w:val="008658B5"/>
    <w:rsid w:val="00865AD4"/>
    <w:rsid w:val="008660E9"/>
    <w:rsid w:val="008662A5"/>
    <w:rsid w:val="00866AF7"/>
    <w:rsid w:val="00866C09"/>
    <w:rsid w:val="00866DC1"/>
    <w:rsid w:val="00866F27"/>
    <w:rsid w:val="0086738A"/>
    <w:rsid w:val="008675A9"/>
    <w:rsid w:val="0086765D"/>
    <w:rsid w:val="008677BD"/>
    <w:rsid w:val="00867A05"/>
    <w:rsid w:val="00870543"/>
    <w:rsid w:val="008705DD"/>
    <w:rsid w:val="00870799"/>
    <w:rsid w:val="00870D96"/>
    <w:rsid w:val="00870F0D"/>
    <w:rsid w:val="00870F92"/>
    <w:rsid w:val="0087117E"/>
    <w:rsid w:val="00871221"/>
    <w:rsid w:val="00871AE5"/>
    <w:rsid w:val="00871EDD"/>
    <w:rsid w:val="00871EE3"/>
    <w:rsid w:val="00872F88"/>
    <w:rsid w:val="00873077"/>
    <w:rsid w:val="008731F5"/>
    <w:rsid w:val="00873255"/>
    <w:rsid w:val="008733F8"/>
    <w:rsid w:val="00873531"/>
    <w:rsid w:val="00873991"/>
    <w:rsid w:val="008743D0"/>
    <w:rsid w:val="00874768"/>
    <w:rsid w:val="008750BA"/>
    <w:rsid w:val="008753F9"/>
    <w:rsid w:val="0087549E"/>
    <w:rsid w:val="00875EA3"/>
    <w:rsid w:val="008760E2"/>
    <w:rsid w:val="00876A41"/>
    <w:rsid w:val="00876AA5"/>
    <w:rsid w:val="00876F35"/>
    <w:rsid w:val="008770C0"/>
    <w:rsid w:val="00877330"/>
    <w:rsid w:val="008773DE"/>
    <w:rsid w:val="008773F7"/>
    <w:rsid w:val="00880043"/>
    <w:rsid w:val="00880743"/>
    <w:rsid w:val="008808CB"/>
    <w:rsid w:val="00881193"/>
    <w:rsid w:val="00881C37"/>
    <w:rsid w:val="008820E4"/>
    <w:rsid w:val="00882173"/>
    <w:rsid w:val="00882255"/>
    <w:rsid w:val="008827CF"/>
    <w:rsid w:val="00882A14"/>
    <w:rsid w:val="00882A8A"/>
    <w:rsid w:val="00883528"/>
    <w:rsid w:val="008835D9"/>
    <w:rsid w:val="00883B48"/>
    <w:rsid w:val="00883F76"/>
    <w:rsid w:val="008840D1"/>
    <w:rsid w:val="00884464"/>
    <w:rsid w:val="008844DA"/>
    <w:rsid w:val="00884567"/>
    <w:rsid w:val="00884911"/>
    <w:rsid w:val="00884A86"/>
    <w:rsid w:val="00884DFB"/>
    <w:rsid w:val="008850BA"/>
    <w:rsid w:val="008851FB"/>
    <w:rsid w:val="00885680"/>
    <w:rsid w:val="008859FB"/>
    <w:rsid w:val="00885D76"/>
    <w:rsid w:val="008860E8"/>
    <w:rsid w:val="008864AA"/>
    <w:rsid w:val="008869AB"/>
    <w:rsid w:val="00886B11"/>
    <w:rsid w:val="008871E9"/>
    <w:rsid w:val="008877C0"/>
    <w:rsid w:val="00887E43"/>
    <w:rsid w:val="008902CA"/>
    <w:rsid w:val="008903F7"/>
    <w:rsid w:val="00890827"/>
    <w:rsid w:val="00890AC8"/>
    <w:rsid w:val="00890CAC"/>
    <w:rsid w:val="00890F9E"/>
    <w:rsid w:val="008913DC"/>
    <w:rsid w:val="0089177D"/>
    <w:rsid w:val="008918D5"/>
    <w:rsid w:val="0089195B"/>
    <w:rsid w:val="00892049"/>
    <w:rsid w:val="00892151"/>
    <w:rsid w:val="00892372"/>
    <w:rsid w:val="008923E3"/>
    <w:rsid w:val="00892514"/>
    <w:rsid w:val="00892B1C"/>
    <w:rsid w:val="00893176"/>
    <w:rsid w:val="00893493"/>
    <w:rsid w:val="00893911"/>
    <w:rsid w:val="008947A0"/>
    <w:rsid w:val="008947B0"/>
    <w:rsid w:val="00894823"/>
    <w:rsid w:val="00894B88"/>
    <w:rsid w:val="00894F0E"/>
    <w:rsid w:val="00895042"/>
    <w:rsid w:val="0089504B"/>
    <w:rsid w:val="008959EE"/>
    <w:rsid w:val="0089600E"/>
    <w:rsid w:val="008969EE"/>
    <w:rsid w:val="00896C31"/>
    <w:rsid w:val="00896F61"/>
    <w:rsid w:val="00896FCB"/>
    <w:rsid w:val="008970B4"/>
    <w:rsid w:val="00897848"/>
    <w:rsid w:val="00897934"/>
    <w:rsid w:val="00897ACF"/>
    <w:rsid w:val="00897B3F"/>
    <w:rsid w:val="00897B90"/>
    <w:rsid w:val="00897BBE"/>
    <w:rsid w:val="00897C52"/>
    <w:rsid w:val="00897D5E"/>
    <w:rsid w:val="008A043A"/>
    <w:rsid w:val="008A071E"/>
    <w:rsid w:val="008A09DC"/>
    <w:rsid w:val="008A0C2D"/>
    <w:rsid w:val="008A0D58"/>
    <w:rsid w:val="008A0FF2"/>
    <w:rsid w:val="008A1D9F"/>
    <w:rsid w:val="008A1FE6"/>
    <w:rsid w:val="008A20F1"/>
    <w:rsid w:val="008A24D1"/>
    <w:rsid w:val="008A2683"/>
    <w:rsid w:val="008A2CDF"/>
    <w:rsid w:val="008A2E20"/>
    <w:rsid w:val="008A2F66"/>
    <w:rsid w:val="008A333E"/>
    <w:rsid w:val="008A338B"/>
    <w:rsid w:val="008A34EB"/>
    <w:rsid w:val="008A3532"/>
    <w:rsid w:val="008A363D"/>
    <w:rsid w:val="008A3847"/>
    <w:rsid w:val="008A3A48"/>
    <w:rsid w:val="008A3B0B"/>
    <w:rsid w:val="008A3B0D"/>
    <w:rsid w:val="008A408B"/>
    <w:rsid w:val="008A4486"/>
    <w:rsid w:val="008A48B4"/>
    <w:rsid w:val="008A48F5"/>
    <w:rsid w:val="008A48FF"/>
    <w:rsid w:val="008A4A75"/>
    <w:rsid w:val="008A4F7B"/>
    <w:rsid w:val="008A5045"/>
    <w:rsid w:val="008A5E7D"/>
    <w:rsid w:val="008A6065"/>
    <w:rsid w:val="008A62A6"/>
    <w:rsid w:val="008A6B3A"/>
    <w:rsid w:val="008A6E1A"/>
    <w:rsid w:val="008A73BF"/>
    <w:rsid w:val="008A73CB"/>
    <w:rsid w:val="008A79A5"/>
    <w:rsid w:val="008A7FF0"/>
    <w:rsid w:val="008B0021"/>
    <w:rsid w:val="008B11E4"/>
    <w:rsid w:val="008B1259"/>
    <w:rsid w:val="008B1596"/>
    <w:rsid w:val="008B1ACD"/>
    <w:rsid w:val="008B1BF1"/>
    <w:rsid w:val="008B1EB9"/>
    <w:rsid w:val="008B22E1"/>
    <w:rsid w:val="008B2469"/>
    <w:rsid w:val="008B269C"/>
    <w:rsid w:val="008B296C"/>
    <w:rsid w:val="008B2C79"/>
    <w:rsid w:val="008B32C8"/>
    <w:rsid w:val="008B3548"/>
    <w:rsid w:val="008B3640"/>
    <w:rsid w:val="008B37ED"/>
    <w:rsid w:val="008B3D75"/>
    <w:rsid w:val="008B3F6E"/>
    <w:rsid w:val="008B4086"/>
    <w:rsid w:val="008B45C5"/>
    <w:rsid w:val="008B4D3B"/>
    <w:rsid w:val="008B4F81"/>
    <w:rsid w:val="008B515C"/>
    <w:rsid w:val="008B5628"/>
    <w:rsid w:val="008B567D"/>
    <w:rsid w:val="008B574B"/>
    <w:rsid w:val="008B5AB0"/>
    <w:rsid w:val="008B5B95"/>
    <w:rsid w:val="008B5CDB"/>
    <w:rsid w:val="008B5F3D"/>
    <w:rsid w:val="008B618C"/>
    <w:rsid w:val="008B62EE"/>
    <w:rsid w:val="008B64F2"/>
    <w:rsid w:val="008B6B99"/>
    <w:rsid w:val="008B6C1E"/>
    <w:rsid w:val="008B6D0F"/>
    <w:rsid w:val="008B6D4D"/>
    <w:rsid w:val="008B6F0C"/>
    <w:rsid w:val="008B6F0F"/>
    <w:rsid w:val="008B70E6"/>
    <w:rsid w:val="008B7752"/>
    <w:rsid w:val="008B77C5"/>
    <w:rsid w:val="008B7BB5"/>
    <w:rsid w:val="008B7BBF"/>
    <w:rsid w:val="008B7EF8"/>
    <w:rsid w:val="008C0084"/>
    <w:rsid w:val="008C02B5"/>
    <w:rsid w:val="008C0304"/>
    <w:rsid w:val="008C03DB"/>
    <w:rsid w:val="008C0E87"/>
    <w:rsid w:val="008C1299"/>
    <w:rsid w:val="008C12CD"/>
    <w:rsid w:val="008C13F3"/>
    <w:rsid w:val="008C16D1"/>
    <w:rsid w:val="008C1816"/>
    <w:rsid w:val="008C1960"/>
    <w:rsid w:val="008C1BB4"/>
    <w:rsid w:val="008C1FA4"/>
    <w:rsid w:val="008C20C1"/>
    <w:rsid w:val="008C26F7"/>
    <w:rsid w:val="008C27BD"/>
    <w:rsid w:val="008C2B9D"/>
    <w:rsid w:val="008C2FF6"/>
    <w:rsid w:val="008C31A5"/>
    <w:rsid w:val="008C3BB8"/>
    <w:rsid w:val="008C41AC"/>
    <w:rsid w:val="008C44CB"/>
    <w:rsid w:val="008C4522"/>
    <w:rsid w:val="008C455E"/>
    <w:rsid w:val="008C4871"/>
    <w:rsid w:val="008C4AA0"/>
    <w:rsid w:val="008C4B4C"/>
    <w:rsid w:val="008C4D1A"/>
    <w:rsid w:val="008C5204"/>
    <w:rsid w:val="008C5345"/>
    <w:rsid w:val="008C55AD"/>
    <w:rsid w:val="008C5A3F"/>
    <w:rsid w:val="008C5ACB"/>
    <w:rsid w:val="008C5D0D"/>
    <w:rsid w:val="008C5D2F"/>
    <w:rsid w:val="008C5DF6"/>
    <w:rsid w:val="008C6928"/>
    <w:rsid w:val="008C6ADE"/>
    <w:rsid w:val="008C6C7C"/>
    <w:rsid w:val="008C6E22"/>
    <w:rsid w:val="008C7050"/>
    <w:rsid w:val="008C756A"/>
    <w:rsid w:val="008C7638"/>
    <w:rsid w:val="008C76D4"/>
    <w:rsid w:val="008C78DB"/>
    <w:rsid w:val="008C78E7"/>
    <w:rsid w:val="008C7FF0"/>
    <w:rsid w:val="008D0054"/>
    <w:rsid w:val="008D011C"/>
    <w:rsid w:val="008D02D1"/>
    <w:rsid w:val="008D03C9"/>
    <w:rsid w:val="008D0908"/>
    <w:rsid w:val="008D0D2F"/>
    <w:rsid w:val="008D0DB7"/>
    <w:rsid w:val="008D1126"/>
    <w:rsid w:val="008D12FF"/>
    <w:rsid w:val="008D1416"/>
    <w:rsid w:val="008D16F3"/>
    <w:rsid w:val="008D1908"/>
    <w:rsid w:val="008D1DFC"/>
    <w:rsid w:val="008D20C7"/>
    <w:rsid w:val="008D21CD"/>
    <w:rsid w:val="008D2738"/>
    <w:rsid w:val="008D2876"/>
    <w:rsid w:val="008D2C43"/>
    <w:rsid w:val="008D3558"/>
    <w:rsid w:val="008D3B37"/>
    <w:rsid w:val="008D4097"/>
    <w:rsid w:val="008D476F"/>
    <w:rsid w:val="008D48EE"/>
    <w:rsid w:val="008D4C6B"/>
    <w:rsid w:val="008D4C9A"/>
    <w:rsid w:val="008D520B"/>
    <w:rsid w:val="008D536A"/>
    <w:rsid w:val="008D547B"/>
    <w:rsid w:val="008D5530"/>
    <w:rsid w:val="008D58CE"/>
    <w:rsid w:val="008D5B12"/>
    <w:rsid w:val="008D5DE8"/>
    <w:rsid w:val="008D5E11"/>
    <w:rsid w:val="008D64F6"/>
    <w:rsid w:val="008D6BD4"/>
    <w:rsid w:val="008D6E2C"/>
    <w:rsid w:val="008D6FA2"/>
    <w:rsid w:val="008D7269"/>
    <w:rsid w:val="008D7405"/>
    <w:rsid w:val="008D7B7E"/>
    <w:rsid w:val="008E0962"/>
    <w:rsid w:val="008E0A6C"/>
    <w:rsid w:val="008E146D"/>
    <w:rsid w:val="008E154D"/>
    <w:rsid w:val="008E1954"/>
    <w:rsid w:val="008E1B0A"/>
    <w:rsid w:val="008E1C4F"/>
    <w:rsid w:val="008E1F24"/>
    <w:rsid w:val="008E211F"/>
    <w:rsid w:val="008E2999"/>
    <w:rsid w:val="008E34F5"/>
    <w:rsid w:val="008E3517"/>
    <w:rsid w:val="008E3C65"/>
    <w:rsid w:val="008E3F6B"/>
    <w:rsid w:val="008E41FD"/>
    <w:rsid w:val="008E4698"/>
    <w:rsid w:val="008E48F8"/>
    <w:rsid w:val="008E4991"/>
    <w:rsid w:val="008E4ECA"/>
    <w:rsid w:val="008E5016"/>
    <w:rsid w:val="008E5017"/>
    <w:rsid w:val="008E533C"/>
    <w:rsid w:val="008E5381"/>
    <w:rsid w:val="008E5A51"/>
    <w:rsid w:val="008E5BA9"/>
    <w:rsid w:val="008E619B"/>
    <w:rsid w:val="008E6742"/>
    <w:rsid w:val="008E6991"/>
    <w:rsid w:val="008E6A06"/>
    <w:rsid w:val="008E6BB5"/>
    <w:rsid w:val="008E6C42"/>
    <w:rsid w:val="008E6CAB"/>
    <w:rsid w:val="008E6D8A"/>
    <w:rsid w:val="008E6FCF"/>
    <w:rsid w:val="008E7336"/>
    <w:rsid w:val="008E734D"/>
    <w:rsid w:val="008E7684"/>
    <w:rsid w:val="008E7CFD"/>
    <w:rsid w:val="008F0A68"/>
    <w:rsid w:val="008F0E03"/>
    <w:rsid w:val="008F1264"/>
    <w:rsid w:val="008F1400"/>
    <w:rsid w:val="008F14C1"/>
    <w:rsid w:val="008F1854"/>
    <w:rsid w:val="008F2642"/>
    <w:rsid w:val="008F2C22"/>
    <w:rsid w:val="008F2C5E"/>
    <w:rsid w:val="008F32A7"/>
    <w:rsid w:val="008F350F"/>
    <w:rsid w:val="008F3B7B"/>
    <w:rsid w:val="008F4039"/>
    <w:rsid w:val="008F40FD"/>
    <w:rsid w:val="008F43EB"/>
    <w:rsid w:val="008F4835"/>
    <w:rsid w:val="008F4AE4"/>
    <w:rsid w:val="008F4CEF"/>
    <w:rsid w:val="008F5236"/>
    <w:rsid w:val="008F5410"/>
    <w:rsid w:val="008F5645"/>
    <w:rsid w:val="008F5669"/>
    <w:rsid w:val="008F578A"/>
    <w:rsid w:val="008F59F7"/>
    <w:rsid w:val="008F5A58"/>
    <w:rsid w:val="008F5AFE"/>
    <w:rsid w:val="008F5BCE"/>
    <w:rsid w:val="008F5CD5"/>
    <w:rsid w:val="008F60A8"/>
    <w:rsid w:val="008F629E"/>
    <w:rsid w:val="008F69B3"/>
    <w:rsid w:val="008F6E0E"/>
    <w:rsid w:val="008F6F5C"/>
    <w:rsid w:val="008F75D8"/>
    <w:rsid w:val="008F7BC5"/>
    <w:rsid w:val="008F7D13"/>
    <w:rsid w:val="008F7EF7"/>
    <w:rsid w:val="00900077"/>
    <w:rsid w:val="00900533"/>
    <w:rsid w:val="0090056F"/>
    <w:rsid w:val="0090082E"/>
    <w:rsid w:val="0090083B"/>
    <w:rsid w:val="00900DCB"/>
    <w:rsid w:val="00900E19"/>
    <w:rsid w:val="00900F96"/>
    <w:rsid w:val="00900FD8"/>
    <w:rsid w:val="00901014"/>
    <w:rsid w:val="009014AC"/>
    <w:rsid w:val="00901979"/>
    <w:rsid w:val="00901A4C"/>
    <w:rsid w:val="00901DEF"/>
    <w:rsid w:val="0090203B"/>
    <w:rsid w:val="00902F07"/>
    <w:rsid w:val="00904286"/>
    <w:rsid w:val="00904ACC"/>
    <w:rsid w:val="00904C5D"/>
    <w:rsid w:val="00904DF6"/>
    <w:rsid w:val="00904F66"/>
    <w:rsid w:val="009051E7"/>
    <w:rsid w:val="009053BA"/>
    <w:rsid w:val="00905B09"/>
    <w:rsid w:val="00905D7E"/>
    <w:rsid w:val="009061B8"/>
    <w:rsid w:val="00906B94"/>
    <w:rsid w:val="00906C37"/>
    <w:rsid w:val="009070D3"/>
    <w:rsid w:val="0090721F"/>
    <w:rsid w:val="009076D8"/>
    <w:rsid w:val="00907C2B"/>
    <w:rsid w:val="00907D34"/>
    <w:rsid w:val="0091068D"/>
    <w:rsid w:val="00910A94"/>
    <w:rsid w:val="009111AA"/>
    <w:rsid w:val="00911523"/>
    <w:rsid w:val="009121BE"/>
    <w:rsid w:val="0091224A"/>
    <w:rsid w:val="00912321"/>
    <w:rsid w:val="00912467"/>
    <w:rsid w:val="0091248C"/>
    <w:rsid w:val="00912A78"/>
    <w:rsid w:val="009131F6"/>
    <w:rsid w:val="009134DC"/>
    <w:rsid w:val="0091387C"/>
    <w:rsid w:val="0091388F"/>
    <w:rsid w:val="00913AD2"/>
    <w:rsid w:val="00913B93"/>
    <w:rsid w:val="00913FE5"/>
    <w:rsid w:val="009140CF"/>
    <w:rsid w:val="00914284"/>
    <w:rsid w:val="009143D5"/>
    <w:rsid w:val="00914FD3"/>
    <w:rsid w:val="00915104"/>
    <w:rsid w:val="00915CDF"/>
    <w:rsid w:val="00916200"/>
    <w:rsid w:val="009165DA"/>
    <w:rsid w:val="009171B2"/>
    <w:rsid w:val="009178A6"/>
    <w:rsid w:val="009179A6"/>
    <w:rsid w:val="009200A2"/>
    <w:rsid w:val="009202A1"/>
    <w:rsid w:val="0092068A"/>
    <w:rsid w:val="009208BE"/>
    <w:rsid w:val="00920BC3"/>
    <w:rsid w:val="00920DEF"/>
    <w:rsid w:val="009214B2"/>
    <w:rsid w:val="0092176C"/>
    <w:rsid w:val="00921AB9"/>
    <w:rsid w:val="00922021"/>
    <w:rsid w:val="00922101"/>
    <w:rsid w:val="0092222F"/>
    <w:rsid w:val="00922761"/>
    <w:rsid w:val="009228E3"/>
    <w:rsid w:val="009239CF"/>
    <w:rsid w:val="00923D1C"/>
    <w:rsid w:val="00923D67"/>
    <w:rsid w:val="0092420B"/>
    <w:rsid w:val="00924501"/>
    <w:rsid w:val="00924AA3"/>
    <w:rsid w:val="00924ED8"/>
    <w:rsid w:val="00925280"/>
    <w:rsid w:val="009252D5"/>
    <w:rsid w:val="009254D6"/>
    <w:rsid w:val="0092575D"/>
    <w:rsid w:val="0092576D"/>
    <w:rsid w:val="00925B9E"/>
    <w:rsid w:val="00925CDD"/>
    <w:rsid w:val="00925E7F"/>
    <w:rsid w:val="00926105"/>
    <w:rsid w:val="00926292"/>
    <w:rsid w:val="00926598"/>
    <w:rsid w:val="0092669A"/>
    <w:rsid w:val="009268E6"/>
    <w:rsid w:val="00926BB4"/>
    <w:rsid w:val="00926F6A"/>
    <w:rsid w:val="00927BB1"/>
    <w:rsid w:val="00930281"/>
    <w:rsid w:val="0093046A"/>
    <w:rsid w:val="009305BB"/>
    <w:rsid w:val="00931868"/>
    <w:rsid w:val="00931A31"/>
    <w:rsid w:val="00931A52"/>
    <w:rsid w:val="00931F17"/>
    <w:rsid w:val="009324E3"/>
    <w:rsid w:val="00932879"/>
    <w:rsid w:val="009328F2"/>
    <w:rsid w:val="00932E48"/>
    <w:rsid w:val="00933367"/>
    <w:rsid w:val="00933445"/>
    <w:rsid w:val="0093351A"/>
    <w:rsid w:val="00933EA5"/>
    <w:rsid w:val="00934227"/>
    <w:rsid w:val="009343A7"/>
    <w:rsid w:val="009345DA"/>
    <w:rsid w:val="009346E4"/>
    <w:rsid w:val="0093483F"/>
    <w:rsid w:val="009348E3"/>
    <w:rsid w:val="00934CC2"/>
    <w:rsid w:val="00935121"/>
    <w:rsid w:val="00935C19"/>
    <w:rsid w:val="009365B7"/>
    <w:rsid w:val="009366D4"/>
    <w:rsid w:val="00936E01"/>
    <w:rsid w:val="00936EA9"/>
    <w:rsid w:val="00937106"/>
    <w:rsid w:val="00937431"/>
    <w:rsid w:val="009374A0"/>
    <w:rsid w:val="009378C5"/>
    <w:rsid w:val="00937A46"/>
    <w:rsid w:val="00937BF3"/>
    <w:rsid w:val="00937DB4"/>
    <w:rsid w:val="00937E40"/>
    <w:rsid w:val="009400DF"/>
    <w:rsid w:val="00940344"/>
    <w:rsid w:val="00940601"/>
    <w:rsid w:val="009409B8"/>
    <w:rsid w:val="00940BC0"/>
    <w:rsid w:val="009410AD"/>
    <w:rsid w:val="009411F2"/>
    <w:rsid w:val="00941296"/>
    <w:rsid w:val="0094157D"/>
    <w:rsid w:val="009418EC"/>
    <w:rsid w:val="00942083"/>
    <w:rsid w:val="0094213F"/>
    <w:rsid w:val="00942165"/>
    <w:rsid w:val="00942675"/>
    <w:rsid w:val="009426A9"/>
    <w:rsid w:val="00942F06"/>
    <w:rsid w:val="00942F8E"/>
    <w:rsid w:val="00943252"/>
    <w:rsid w:val="00943264"/>
    <w:rsid w:val="009441B7"/>
    <w:rsid w:val="00944258"/>
    <w:rsid w:val="0094464F"/>
    <w:rsid w:val="00944811"/>
    <w:rsid w:val="009448EC"/>
    <w:rsid w:val="00945069"/>
    <w:rsid w:val="009454A3"/>
    <w:rsid w:val="00945677"/>
    <w:rsid w:val="00945BCE"/>
    <w:rsid w:val="00945C2E"/>
    <w:rsid w:val="00945D6E"/>
    <w:rsid w:val="00945DB0"/>
    <w:rsid w:val="00945ED0"/>
    <w:rsid w:val="0094653F"/>
    <w:rsid w:val="00946E1E"/>
    <w:rsid w:val="00946E8A"/>
    <w:rsid w:val="009470BB"/>
    <w:rsid w:val="009471A0"/>
    <w:rsid w:val="009477B1"/>
    <w:rsid w:val="00947A76"/>
    <w:rsid w:val="0095049C"/>
    <w:rsid w:val="009506A6"/>
    <w:rsid w:val="00950754"/>
    <w:rsid w:val="00950CFB"/>
    <w:rsid w:val="00951085"/>
    <w:rsid w:val="0095140F"/>
    <w:rsid w:val="00951662"/>
    <w:rsid w:val="00951C65"/>
    <w:rsid w:val="00951EF8"/>
    <w:rsid w:val="00951F1D"/>
    <w:rsid w:val="009522FB"/>
    <w:rsid w:val="00952F5F"/>
    <w:rsid w:val="0095301D"/>
    <w:rsid w:val="00953120"/>
    <w:rsid w:val="00953199"/>
    <w:rsid w:val="00953557"/>
    <w:rsid w:val="00953723"/>
    <w:rsid w:val="009538A7"/>
    <w:rsid w:val="00953F02"/>
    <w:rsid w:val="009540A0"/>
    <w:rsid w:val="009542DE"/>
    <w:rsid w:val="00954A50"/>
    <w:rsid w:val="00954B47"/>
    <w:rsid w:val="0095565C"/>
    <w:rsid w:val="00955C9D"/>
    <w:rsid w:val="0095666C"/>
    <w:rsid w:val="00956A1C"/>
    <w:rsid w:val="009570C7"/>
    <w:rsid w:val="009577DB"/>
    <w:rsid w:val="00957940"/>
    <w:rsid w:val="00957AE1"/>
    <w:rsid w:val="00957F2F"/>
    <w:rsid w:val="0096013E"/>
    <w:rsid w:val="0096039F"/>
    <w:rsid w:val="00960531"/>
    <w:rsid w:val="00960721"/>
    <w:rsid w:val="00960B71"/>
    <w:rsid w:val="00960CB7"/>
    <w:rsid w:val="00960D41"/>
    <w:rsid w:val="00961508"/>
    <w:rsid w:val="00961F59"/>
    <w:rsid w:val="00961FCA"/>
    <w:rsid w:val="009620DB"/>
    <w:rsid w:val="00962373"/>
    <w:rsid w:val="0096241D"/>
    <w:rsid w:val="009625E0"/>
    <w:rsid w:val="00962E7C"/>
    <w:rsid w:val="009630C8"/>
    <w:rsid w:val="009631ED"/>
    <w:rsid w:val="0096384B"/>
    <w:rsid w:val="009638CD"/>
    <w:rsid w:val="00963937"/>
    <w:rsid w:val="00963FDE"/>
    <w:rsid w:val="009642BB"/>
    <w:rsid w:val="0096464D"/>
    <w:rsid w:val="0096481E"/>
    <w:rsid w:val="00964906"/>
    <w:rsid w:val="00964913"/>
    <w:rsid w:val="00964C09"/>
    <w:rsid w:val="00964FD7"/>
    <w:rsid w:val="0096544C"/>
    <w:rsid w:val="009658F3"/>
    <w:rsid w:val="00965B3A"/>
    <w:rsid w:val="00965C2C"/>
    <w:rsid w:val="00965C80"/>
    <w:rsid w:val="00965F74"/>
    <w:rsid w:val="0096601A"/>
    <w:rsid w:val="00966208"/>
    <w:rsid w:val="00966324"/>
    <w:rsid w:val="00966C96"/>
    <w:rsid w:val="00966FEC"/>
    <w:rsid w:val="00967012"/>
    <w:rsid w:val="00967278"/>
    <w:rsid w:val="009679FD"/>
    <w:rsid w:val="00967C9C"/>
    <w:rsid w:val="00967DBE"/>
    <w:rsid w:val="00967DD5"/>
    <w:rsid w:val="009701B3"/>
    <w:rsid w:val="0097075B"/>
    <w:rsid w:val="0097098B"/>
    <w:rsid w:val="00970C88"/>
    <w:rsid w:val="00970E42"/>
    <w:rsid w:val="00970E81"/>
    <w:rsid w:val="009710A7"/>
    <w:rsid w:val="0097116E"/>
    <w:rsid w:val="009712B3"/>
    <w:rsid w:val="00971404"/>
    <w:rsid w:val="00971719"/>
    <w:rsid w:val="00971D26"/>
    <w:rsid w:val="00971FC5"/>
    <w:rsid w:val="0097217D"/>
    <w:rsid w:val="00972945"/>
    <w:rsid w:val="00972A19"/>
    <w:rsid w:val="00972AC2"/>
    <w:rsid w:val="00972B47"/>
    <w:rsid w:val="00972CDB"/>
    <w:rsid w:val="00972E41"/>
    <w:rsid w:val="00972F6C"/>
    <w:rsid w:val="009737D9"/>
    <w:rsid w:val="00973BF2"/>
    <w:rsid w:val="00973EDC"/>
    <w:rsid w:val="00973F68"/>
    <w:rsid w:val="009743F9"/>
    <w:rsid w:val="00974D53"/>
    <w:rsid w:val="00975007"/>
    <w:rsid w:val="0097553C"/>
    <w:rsid w:val="009755B8"/>
    <w:rsid w:val="00975EF7"/>
    <w:rsid w:val="00976219"/>
    <w:rsid w:val="00976978"/>
    <w:rsid w:val="00976D4E"/>
    <w:rsid w:val="0097769C"/>
    <w:rsid w:val="009779D0"/>
    <w:rsid w:val="00977B5A"/>
    <w:rsid w:val="009803E7"/>
    <w:rsid w:val="009805BF"/>
    <w:rsid w:val="009806A5"/>
    <w:rsid w:val="0098071A"/>
    <w:rsid w:val="00980F8F"/>
    <w:rsid w:val="00981164"/>
    <w:rsid w:val="009811A6"/>
    <w:rsid w:val="00981536"/>
    <w:rsid w:val="0098185C"/>
    <w:rsid w:val="00981EAC"/>
    <w:rsid w:val="0098218F"/>
    <w:rsid w:val="0098226E"/>
    <w:rsid w:val="009823BA"/>
    <w:rsid w:val="0098259F"/>
    <w:rsid w:val="0098263D"/>
    <w:rsid w:val="00982BAF"/>
    <w:rsid w:val="00982E3F"/>
    <w:rsid w:val="00983764"/>
    <w:rsid w:val="00983B35"/>
    <w:rsid w:val="00983BC1"/>
    <w:rsid w:val="00983F12"/>
    <w:rsid w:val="0098435F"/>
    <w:rsid w:val="0098456A"/>
    <w:rsid w:val="00984BAF"/>
    <w:rsid w:val="0098558C"/>
    <w:rsid w:val="0098603D"/>
    <w:rsid w:val="00986521"/>
    <w:rsid w:val="00986834"/>
    <w:rsid w:val="009870D7"/>
    <w:rsid w:val="00987AC9"/>
    <w:rsid w:val="00987FD4"/>
    <w:rsid w:val="00990045"/>
    <w:rsid w:val="0099154B"/>
    <w:rsid w:val="0099186D"/>
    <w:rsid w:val="00991998"/>
    <w:rsid w:val="00991D15"/>
    <w:rsid w:val="0099224F"/>
    <w:rsid w:val="009925EC"/>
    <w:rsid w:val="0099275E"/>
    <w:rsid w:val="00992B18"/>
    <w:rsid w:val="00992B9D"/>
    <w:rsid w:val="0099384A"/>
    <w:rsid w:val="00993907"/>
    <w:rsid w:val="0099398B"/>
    <w:rsid w:val="009939AF"/>
    <w:rsid w:val="00993A56"/>
    <w:rsid w:val="0099407E"/>
    <w:rsid w:val="009940F8"/>
    <w:rsid w:val="00994307"/>
    <w:rsid w:val="0099462B"/>
    <w:rsid w:val="00994726"/>
    <w:rsid w:val="00994778"/>
    <w:rsid w:val="00994B80"/>
    <w:rsid w:val="00994B97"/>
    <w:rsid w:val="00994E03"/>
    <w:rsid w:val="0099528C"/>
    <w:rsid w:val="00995310"/>
    <w:rsid w:val="0099568A"/>
    <w:rsid w:val="00995B7F"/>
    <w:rsid w:val="00995CBA"/>
    <w:rsid w:val="00995CF6"/>
    <w:rsid w:val="0099634D"/>
    <w:rsid w:val="0099637D"/>
    <w:rsid w:val="009965F0"/>
    <w:rsid w:val="00996837"/>
    <w:rsid w:val="009968D5"/>
    <w:rsid w:val="00996CA5"/>
    <w:rsid w:val="00996CD5"/>
    <w:rsid w:val="00996EBD"/>
    <w:rsid w:val="0099727E"/>
    <w:rsid w:val="00997E09"/>
    <w:rsid w:val="00997E3B"/>
    <w:rsid w:val="00997E81"/>
    <w:rsid w:val="009A0002"/>
    <w:rsid w:val="009A0038"/>
    <w:rsid w:val="009A0347"/>
    <w:rsid w:val="009A0731"/>
    <w:rsid w:val="009A11C5"/>
    <w:rsid w:val="009A11F4"/>
    <w:rsid w:val="009A1526"/>
    <w:rsid w:val="009A15F5"/>
    <w:rsid w:val="009A18F1"/>
    <w:rsid w:val="009A1BE0"/>
    <w:rsid w:val="009A1CFA"/>
    <w:rsid w:val="009A1DBF"/>
    <w:rsid w:val="009A1EAB"/>
    <w:rsid w:val="009A216A"/>
    <w:rsid w:val="009A25CD"/>
    <w:rsid w:val="009A26BC"/>
    <w:rsid w:val="009A2959"/>
    <w:rsid w:val="009A2C1E"/>
    <w:rsid w:val="009A3245"/>
    <w:rsid w:val="009A3C0B"/>
    <w:rsid w:val="009A3C1C"/>
    <w:rsid w:val="009A3C38"/>
    <w:rsid w:val="009A3DC6"/>
    <w:rsid w:val="009A3F25"/>
    <w:rsid w:val="009A407E"/>
    <w:rsid w:val="009A4102"/>
    <w:rsid w:val="009A437D"/>
    <w:rsid w:val="009A44B6"/>
    <w:rsid w:val="009A4728"/>
    <w:rsid w:val="009A47F0"/>
    <w:rsid w:val="009A4906"/>
    <w:rsid w:val="009A4F42"/>
    <w:rsid w:val="009A5414"/>
    <w:rsid w:val="009A5851"/>
    <w:rsid w:val="009A58A3"/>
    <w:rsid w:val="009A60B8"/>
    <w:rsid w:val="009A6128"/>
    <w:rsid w:val="009A66EA"/>
    <w:rsid w:val="009A68F8"/>
    <w:rsid w:val="009A6FFA"/>
    <w:rsid w:val="009A7112"/>
    <w:rsid w:val="009A75BA"/>
    <w:rsid w:val="009A7A65"/>
    <w:rsid w:val="009A7C3D"/>
    <w:rsid w:val="009A7C40"/>
    <w:rsid w:val="009B021A"/>
    <w:rsid w:val="009B0230"/>
    <w:rsid w:val="009B034E"/>
    <w:rsid w:val="009B085F"/>
    <w:rsid w:val="009B0980"/>
    <w:rsid w:val="009B120B"/>
    <w:rsid w:val="009B131C"/>
    <w:rsid w:val="009B1329"/>
    <w:rsid w:val="009B13B6"/>
    <w:rsid w:val="009B154E"/>
    <w:rsid w:val="009B1BC3"/>
    <w:rsid w:val="009B1DC5"/>
    <w:rsid w:val="009B20B4"/>
    <w:rsid w:val="009B2AC2"/>
    <w:rsid w:val="009B2BC5"/>
    <w:rsid w:val="009B3577"/>
    <w:rsid w:val="009B3703"/>
    <w:rsid w:val="009B39F1"/>
    <w:rsid w:val="009B3B86"/>
    <w:rsid w:val="009B3DB6"/>
    <w:rsid w:val="009B3E77"/>
    <w:rsid w:val="009B3FAF"/>
    <w:rsid w:val="009B4140"/>
    <w:rsid w:val="009B4195"/>
    <w:rsid w:val="009B43FE"/>
    <w:rsid w:val="009B4789"/>
    <w:rsid w:val="009B495A"/>
    <w:rsid w:val="009B5E55"/>
    <w:rsid w:val="009B62D2"/>
    <w:rsid w:val="009B641E"/>
    <w:rsid w:val="009B67D2"/>
    <w:rsid w:val="009B680F"/>
    <w:rsid w:val="009B6BBC"/>
    <w:rsid w:val="009B6CFC"/>
    <w:rsid w:val="009B6E4E"/>
    <w:rsid w:val="009B6F5C"/>
    <w:rsid w:val="009B6FF2"/>
    <w:rsid w:val="009B71E1"/>
    <w:rsid w:val="009B7AA5"/>
    <w:rsid w:val="009B7C19"/>
    <w:rsid w:val="009B7E27"/>
    <w:rsid w:val="009C0350"/>
    <w:rsid w:val="009C062D"/>
    <w:rsid w:val="009C0798"/>
    <w:rsid w:val="009C07A5"/>
    <w:rsid w:val="009C0B79"/>
    <w:rsid w:val="009C0F8B"/>
    <w:rsid w:val="009C16B5"/>
    <w:rsid w:val="009C1EDE"/>
    <w:rsid w:val="009C24C2"/>
    <w:rsid w:val="009C2638"/>
    <w:rsid w:val="009C285E"/>
    <w:rsid w:val="009C2B56"/>
    <w:rsid w:val="009C2CFF"/>
    <w:rsid w:val="009C3CF6"/>
    <w:rsid w:val="009C3D15"/>
    <w:rsid w:val="009C41A1"/>
    <w:rsid w:val="009C4A8E"/>
    <w:rsid w:val="009C4CB6"/>
    <w:rsid w:val="009C4CD3"/>
    <w:rsid w:val="009C567A"/>
    <w:rsid w:val="009C5DF0"/>
    <w:rsid w:val="009C626F"/>
    <w:rsid w:val="009C6346"/>
    <w:rsid w:val="009C63F4"/>
    <w:rsid w:val="009C64B5"/>
    <w:rsid w:val="009C65B1"/>
    <w:rsid w:val="009C65B2"/>
    <w:rsid w:val="009C66BC"/>
    <w:rsid w:val="009C6DB6"/>
    <w:rsid w:val="009C6E0A"/>
    <w:rsid w:val="009C7176"/>
    <w:rsid w:val="009C7685"/>
    <w:rsid w:val="009C7861"/>
    <w:rsid w:val="009C7D6D"/>
    <w:rsid w:val="009C7E4F"/>
    <w:rsid w:val="009C7E63"/>
    <w:rsid w:val="009C7EA5"/>
    <w:rsid w:val="009C7F1A"/>
    <w:rsid w:val="009D00F3"/>
    <w:rsid w:val="009D0350"/>
    <w:rsid w:val="009D06FB"/>
    <w:rsid w:val="009D0A0B"/>
    <w:rsid w:val="009D0BA9"/>
    <w:rsid w:val="009D13CF"/>
    <w:rsid w:val="009D15C3"/>
    <w:rsid w:val="009D166D"/>
    <w:rsid w:val="009D18D1"/>
    <w:rsid w:val="009D1F57"/>
    <w:rsid w:val="009D1F9C"/>
    <w:rsid w:val="009D21B9"/>
    <w:rsid w:val="009D2ED5"/>
    <w:rsid w:val="009D2EE4"/>
    <w:rsid w:val="009D306A"/>
    <w:rsid w:val="009D3658"/>
    <w:rsid w:val="009D3689"/>
    <w:rsid w:val="009D4236"/>
    <w:rsid w:val="009D43FA"/>
    <w:rsid w:val="009D445C"/>
    <w:rsid w:val="009D445F"/>
    <w:rsid w:val="009D46CD"/>
    <w:rsid w:val="009D4895"/>
    <w:rsid w:val="009D4B1C"/>
    <w:rsid w:val="009D4B20"/>
    <w:rsid w:val="009D4E25"/>
    <w:rsid w:val="009D4EAF"/>
    <w:rsid w:val="009D5311"/>
    <w:rsid w:val="009D553D"/>
    <w:rsid w:val="009D5608"/>
    <w:rsid w:val="009D5C2B"/>
    <w:rsid w:val="009D6367"/>
    <w:rsid w:val="009D6A73"/>
    <w:rsid w:val="009D6BAA"/>
    <w:rsid w:val="009D6FAD"/>
    <w:rsid w:val="009D7070"/>
    <w:rsid w:val="009D738F"/>
    <w:rsid w:val="009D7405"/>
    <w:rsid w:val="009D74F8"/>
    <w:rsid w:val="009D7FA1"/>
    <w:rsid w:val="009E065E"/>
    <w:rsid w:val="009E0688"/>
    <w:rsid w:val="009E0953"/>
    <w:rsid w:val="009E126F"/>
    <w:rsid w:val="009E165B"/>
    <w:rsid w:val="009E199B"/>
    <w:rsid w:val="009E1AE0"/>
    <w:rsid w:val="009E2362"/>
    <w:rsid w:val="009E2822"/>
    <w:rsid w:val="009E2938"/>
    <w:rsid w:val="009E2C7E"/>
    <w:rsid w:val="009E2F04"/>
    <w:rsid w:val="009E3121"/>
    <w:rsid w:val="009E360A"/>
    <w:rsid w:val="009E3AF2"/>
    <w:rsid w:val="009E3DDF"/>
    <w:rsid w:val="009E41C7"/>
    <w:rsid w:val="009E4256"/>
    <w:rsid w:val="009E4474"/>
    <w:rsid w:val="009E4F66"/>
    <w:rsid w:val="009E5178"/>
    <w:rsid w:val="009E5462"/>
    <w:rsid w:val="009E5536"/>
    <w:rsid w:val="009E5538"/>
    <w:rsid w:val="009E579F"/>
    <w:rsid w:val="009E58E9"/>
    <w:rsid w:val="009E66D4"/>
    <w:rsid w:val="009E6C0A"/>
    <w:rsid w:val="009E7080"/>
    <w:rsid w:val="009E708E"/>
    <w:rsid w:val="009E7783"/>
    <w:rsid w:val="009E77EC"/>
    <w:rsid w:val="009E7B8E"/>
    <w:rsid w:val="009E7DCB"/>
    <w:rsid w:val="009E7FDB"/>
    <w:rsid w:val="009F02BC"/>
    <w:rsid w:val="009F0A1A"/>
    <w:rsid w:val="009F0D5C"/>
    <w:rsid w:val="009F123A"/>
    <w:rsid w:val="009F1342"/>
    <w:rsid w:val="009F17BC"/>
    <w:rsid w:val="009F1901"/>
    <w:rsid w:val="009F1FA1"/>
    <w:rsid w:val="009F2066"/>
    <w:rsid w:val="009F29FB"/>
    <w:rsid w:val="009F2B60"/>
    <w:rsid w:val="009F2D01"/>
    <w:rsid w:val="009F2D25"/>
    <w:rsid w:val="009F309F"/>
    <w:rsid w:val="009F3126"/>
    <w:rsid w:val="009F34E2"/>
    <w:rsid w:val="009F37F7"/>
    <w:rsid w:val="009F3AFC"/>
    <w:rsid w:val="009F3B16"/>
    <w:rsid w:val="009F498F"/>
    <w:rsid w:val="009F4C1A"/>
    <w:rsid w:val="009F4EC7"/>
    <w:rsid w:val="009F5198"/>
    <w:rsid w:val="009F543A"/>
    <w:rsid w:val="009F54C2"/>
    <w:rsid w:val="009F5511"/>
    <w:rsid w:val="009F56C6"/>
    <w:rsid w:val="009F57FF"/>
    <w:rsid w:val="009F5868"/>
    <w:rsid w:val="009F5904"/>
    <w:rsid w:val="009F5E65"/>
    <w:rsid w:val="009F5EE9"/>
    <w:rsid w:val="009F5F77"/>
    <w:rsid w:val="009F6300"/>
    <w:rsid w:val="009F6627"/>
    <w:rsid w:val="009F6765"/>
    <w:rsid w:val="009F6B5C"/>
    <w:rsid w:val="009F6CE9"/>
    <w:rsid w:val="009F6D4E"/>
    <w:rsid w:val="009F7476"/>
    <w:rsid w:val="009F74A4"/>
    <w:rsid w:val="009F7850"/>
    <w:rsid w:val="009F7BFB"/>
    <w:rsid w:val="00A00186"/>
    <w:rsid w:val="00A0052A"/>
    <w:rsid w:val="00A005A0"/>
    <w:rsid w:val="00A00A03"/>
    <w:rsid w:val="00A00A0B"/>
    <w:rsid w:val="00A00BB8"/>
    <w:rsid w:val="00A012A7"/>
    <w:rsid w:val="00A012AD"/>
    <w:rsid w:val="00A0156A"/>
    <w:rsid w:val="00A018D8"/>
    <w:rsid w:val="00A01B3A"/>
    <w:rsid w:val="00A02362"/>
    <w:rsid w:val="00A02C8A"/>
    <w:rsid w:val="00A02C9A"/>
    <w:rsid w:val="00A02EF9"/>
    <w:rsid w:val="00A03017"/>
    <w:rsid w:val="00A030D2"/>
    <w:rsid w:val="00A032AC"/>
    <w:rsid w:val="00A035E3"/>
    <w:rsid w:val="00A03782"/>
    <w:rsid w:val="00A03C03"/>
    <w:rsid w:val="00A03CD2"/>
    <w:rsid w:val="00A04201"/>
    <w:rsid w:val="00A047D4"/>
    <w:rsid w:val="00A05064"/>
    <w:rsid w:val="00A05248"/>
    <w:rsid w:val="00A05E21"/>
    <w:rsid w:val="00A060AA"/>
    <w:rsid w:val="00A061AA"/>
    <w:rsid w:val="00A06278"/>
    <w:rsid w:val="00A06380"/>
    <w:rsid w:val="00A06968"/>
    <w:rsid w:val="00A0721B"/>
    <w:rsid w:val="00A07315"/>
    <w:rsid w:val="00A07351"/>
    <w:rsid w:val="00A07378"/>
    <w:rsid w:val="00A076FC"/>
    <w:rsid w:val="00A07925"/>
    <w:rsid w:val="00A07BC8"/>
    <w:rsid w:val="00A07D1C"/>
    <w:rsid w:val="00A1048A"/>
    <w:rsid w:val="00A10ED9"/>
    <w:rsid w:val="00A11154"/>
    <w:rsid w:val="00A11254"/>
    <w:rsid w:val="00A1128A"/>
    <w:rsid w:val="00A11490"/>
    <w:rsid w:val="00A1154D"/>
    <w:rsid w:val="00A117C6"/>
    <w:rsid w:val="00A11872"/>
    <w:rsid w:val="00A11D48"/>
    <w:rsid w:val="00A11E79"/>
    <w:rsid w:val="00A11FF9"/>
    <w:rsid w:val="00A123A5"/>
    <w:rsid w:val="00A1261F"/>
    <w:rsid w:val="00A130E8"/>
    <w:rsid w:val="00A132B3"/>
    <w:rsid w:val="00A1372B"/>
    <w:rsid w:val="00A13782"/>
    <w:rsid w:val="00A13826"/>
    <w:rsid w:val="00A13B93"/>
    <w:rsid w:val="00A13DF2"/>
    <w:rsid w:val="00A14956"/>
    <w:rsid w:val="00A14AC3"/>
    <w:rsid w:val="00A14BA0"/>
    <w:rsid w:val="00A14E7B"/>
    <w:rsid w:val="00A14EAF"/>
    <w:rsid w:val="00A150BE"/>
    <w:rsid w:val="00A152AB"/>
    <w:rsid w:val="00A15864"/>
    <w:rsid w:val="00A15911"/>
    <w:rsid w:val="00A1627D"/>
    <w:rsid w:val="00A16399"/>
    <w:rsid w:val="00A16527"/>
    <w:rsid w:val="00A1670D"/>
    <w:rsid w:val="00A16D52"/>
    <w:rsid w:val="00A17BCB"/>
    <w:rsid w:val="00A17F97"/>
    <w:rsid w:val="00A200E4"/>
    <w:rsid w:val="00A20BFF"/>
    <w:rsid w:val="00A20ED7"/>
    <w:rsid w:val="00A214ED"/>
    <w:rsid w:val="00A21D71"/>
    <w:rsid w:val="00A22649"/>
    <w:rsid w:val="00A2273D"/>
    <w:rsid w:val="00A2276A"/>
    <w:rsid w:val="00A229E7"/>
    <w:rsid w:val="00A22F84"/>
    <w:rsid w:val="00A236B4"/>
    <w:rsid w:val="00A23821"/>
    <w:rsid w:val="00A23E31"/>
    <w:rsid w:val="00A24106"/>
    <w:rsid w:val="00A24209"/>
    <w:rsid w:val="00A2442E"/>
    <w:rsid w:val="00A245DA"/>
    <w:rsid w:val="00A24B86"/>
    <w:rsid w:val="00A24BBC"/>
    <w:rsid w:val="00A24EDA"/>
    <w:rsid w:val="00A2509E"/>
    <w:rsid w:val="00A251C2"/>
    <w:rsid w:val="00A25394"/>
    <w:rsid w:val="00A2589E"/>
    <w:rsid w:val="00A25E4D"/>
    <w:rsid w:val="00A25F47"/>
    <w:rsid w:val="00A262DC"/>
    <w:rsid w:val="00A267EA"/>
    <w:rsid w:val="00A27C4D"/>
    <w:rsid w:val="00A27F79"/>
    <w:rsid w:val="00A3077E"/>
    <w:rsid w:val="00A30DE5"/>
    <w:rsid w:val="00A30EBC"/>
    <w:rsid w:val="00A31155"/>
    <w:rsid w:val="00A3122E"/>
    <w:rsid w:val="00A3125B"/>
    <w:rsid w:val="00A31604"/>
    <w:rsid w:val="00A316E5"/>
    <w:rsid w:val="00A31983"/>
    <w:rsid w:val="00A31F6A"/>
    <w:rsid w:val="00A3253D"/>
    <w:rsid w:val="00A32631"/>
    <w:rsid w:val="00A32701"/>
    <w:rsid w:val="00A3294D"/>
    <w:rsid w:val="00A32AC6"/>
    <w:rsid w:val="00A32E3A"/>
    <w:rsid w:val="00A32F89"/>
    <w:rsid w:val="00A33200"/>
    <w:rsid w:val="00A333E3"/>
    <w:rsid w:val="00A33717"/>
    <w:rsid w:val="00A33998"/>
    <w:rsid w:val="00A33D04"/>
    <w:rsid w:val="00A34024"/>
    <w:rsid w:val="00A34174"/>
    <w:rsid w:val="00A34307"/>
    <w:rsid w:val="00A3438D"/>
    <w:rsid w:val="00A343B2"/>
    <w:rsid w:val="00A347F9"/>
    <w:rsid w:val="00A34A44"/>
    <w:rsid w:val="00A34D1B"/>
    <w:rsid w:val="00A34FD2"/>
    <w:rsid w:val="00A353C3"/>
    <w:rsid w:val="00A35934"/>
    <w:rsid w:val="00A359B1"/>
    <w:rsid w:val="00A369C1"/>
    <w:rsid w:val="00A36DF3"/>
    <w:rsid w:val="00A37169"/>
    <w:rsid w:val="00A3740F"/>
    <w:rsid w:val="00A37462"/>
    <w:rsid w:val="00A377E7"/>
    <w:rsid w:val="00A378EB"/>
    <w:rsid w:val="00A37CFB"/>
    <w:rsid w:val="00A37D49"/>
    <w:rsid w:val="00A37D9B"/>
    <w:rsid w:val="00A37E9E"/>
    <w:rsid w:val="00A37F7B"/>
    <w:rsid w:val="00A40358"/>
    <w:rsid w:val="00A40427"/>
    <w:rsid w:val="00A40A21"/>
    <w:rsid w:val="00A41083"/>
    <w:rsid w:val="00A413E3"/>
    <w:rsid w:val="00A41495"/>
    <w:rsid w:val="00A415E9"/>
    <w:rsid w:val="00A41A02"/>
    <w:rsid w:val="00A41AC0"/>
    <w:rsid w:val="00A41B4B"/>
    <w:rsid w:val="00A41D90"/>
    <w:rsid w:val="00A428DA"/>
    <w:rsid w:val="00A42E17"/>
    <w:rsid w:val="00A42EAE"/>
    <w:rsid w:val="00A43099"/>
    <w:rsid w:val="00A43251"/>
    <w:rsid w:val="00A43732"/>
    <w:rsid w:val="00A43744"/>
    <w:rsid w:val="00A43962"/>
    <w:rsid w:val="00A43B02"/>
    <w:rsid w:val="00A43C85"/>
    <w:rsid w:val="00A4436A"/>
    <w:rsid w:val="00A4467E"/>
    <w:rsid w:val="00A448FB"/>
    <w:rsid w:val="00A44A66"/>
    <w:rsid w:val="00A44BAE"/>
    <w:rsid w:val="00A44C8C"/>
    <w:rsid w:val="00A44D0D"/>
    <w:rsid w:val="00A44F82"/>
    <w:rsid w:val="00A44FC2"/>
    <w:rsid w:val="00A451FF"/>
    <w:rsid w:val="00A452EA"/>
    <w:rsid w:val="00A456E7"/>
    <w:rsid w:val="00A458B7"/>
    <w:rsid w:val="00A45970"/>
    <w:rsid w:val="00A45DEF"/>
    <w:rsid w:val="00A45E4D"/>
    <w:rsid w:val="00A46222"/>
    <w:rsid w:val="00A46C12"/>
    <w:rsid w:val="00A46C29"/>
    <w:rsid w:val="00A46E96"/>
    <w:rsid w:val="00A47176"/>
    <w:rsid w:val="00A4751C"/>
    <w:rsid w:val="00A47B27"/>
    <w:rsid w:val="00A47C18"/>
    <w:rsid w:val="00A47F28"/>
    <w:rsid w:val="00A5036B"/>
    <w:rsid w:val="00A50565"/>
    <w:rsid w:val="00A505A6"/>
    <w:rsid w:val="00A50656"/>
    <w:rsid w:val="00A507EE"/>
    <w:rsid w:val="00A508D0"/>
    <w:rsid w:val="00A50BA3"/>
    <w:rsid w:val="00A511DC"/>
    <w:rsid w:val="00A51874"/>
    <w:rsid w:val="00A51B40"/>
    <w:rsid w:val="00A522D0"/>
    <w:rsid w:val="00A5262D"/>
    <w:rsid w:val="00A5285C"/>
    <w:rsid w:val="00A52992"/>
    <w:rsid w:val="00A52AB8"/>
    <w:rsid w:val="00A52E21"/>
    <w:rsid w:val="00A5306E"/>
    <w:rsid w:val="00A53931"/>
    <w:rsid w:val="00A53C94"/>
    <w:rsid w:val="00A53D22"/>
    <w:rsid w:val="00A540FC"/>
    <w:rsid w:val="00A54115"/>
    <w:rsid w:val="00A545B0"/>
    <w:rsid w:val="00A5460E"/>
    <w:rsid w:val="00A54720"/>
    <w:rsid w:val="00A548DD"/>
    <w:rsid w:val="00A55113"/>
    <w:rsid w:val="00A5538C"/>
    <w:rsid w:val="00A5543F"/>
    <w:rsid w:val="00A5578F"/>
    <w:rsid w:val="00A55C56"/>
    <w:rsid w:val="00A55CA8"/>
    <w:rsid w:val="00A55CFE"/>
    <w:rsid w:val="00A55D71"/>
    <w:rsid w:val="00A56237"/>
    <w:rsid w:val="00A56B0F"/>
    <w:rsid w:val="00A57431"/>
    <w:rsid w:val="00A574FB"/>
    <w:rsid w:val="00A5751D"/>
    <w:rsid w:val="00A57C26"/>
    <w:rsid w:val="00A600EF"/>
    <w:rsid w:val="00A60A85"/>
    <w:rsid w:val="00A60A86"/>
    <w:rsid w:val="00A60B3F"/>
    <w:rsid w:val="00A60C87"/>
    <w:rsid w:val="00A60DBD"/>
    <w:rsid w:val="00A60E8E"/>
    <w:rsid w:val="00A60F02"/>
    <w:rsid w:val="00A614F1"/>
    <w:rsid w:val="00A616AC"/>
    <w:rsid w:val="00A618E9"/>
    <w:rsid w:val="00A626CA"/>
    <w:rsid w:val="00A62972"/>
    <w:rsid w:val="00A63033"/>
    <w:rsid w:val="00A63670"/>
    <w:rsid w:val="00A646A2"/>
    <w:rsid w:val="00A64856"/>
    <w:rsid w:val="00A64ADB"/>
    <w:rsid w:val="00A64BED"/>
    <w:rsid w:val="00A6547E"/>
    <w:rsid w:val="00A654C9"/>
    <w:rsid w:val="00A65581"/>
    <w:rsid w:val="00A655EF"/>
    <w:rsid w:val="00A6565D"/>
    <w:rsid w:val="00A6579F"/>
    <w:rsid w:val="00A66202"/>
    <w:rsid w:val="00A67022"/>
    <w:rsid w:val="00A6796F"/>
    <w:rsid w:val="00A67E10"/>
    <w:rsid w:val="00A7002B"/>
    <w:rsid w:val="00A70201"/>
    <w:rsid w:val="00A703DF"/>
    <w:rsid w:val="00A703F9"/>
    <w:rsid w:val="00A706E0"/>
    <w:rsid w:val="00A7095E"/>
    <w:rsid w:val="00A71062"/>
    <w:rsid w:val="00A7119E"/>
    <w:rsid w:val="00A711CA"/>
    <w:rsid w:val="00A7120A"/>
    <w:rsid w:val="00A7138A"/>
    <w:rsid w:val="00A7157C"/>
    <w:rsid w:val="00A71684"/>
    <w:rsid w:val="00A71B40"/>
    <w:rsid w:val="00A71BB1"/>
    <w:rsid w:val="00A71DCD"/>
    <w:rsid w:val="00A725B6"/>
    <w:rsid w:val="00A72BA8"/>
    <w:rsid w:val="00A73567"/>
    <w:rsid w:val="00A735A1"/>
    <w:rsid w:val="00A7390F"/>
    <w:rsid w:val="00A73C5B"/>
    <w:rsid w:val="00A74025"/>
    <w:rsid w:val="00A74125"/>
    <w:rsid w:val="00A743AC"/>
    <w:rsid w:val="00A74458"/>
    <w:rsid w:val="00A745E6"/>
    <w:rsid w:val="00A745E7"/>
    <w:rsid w:val="00A7475F"/>
    <w:rsid w:val="00A74FBD"/>
    <w:rsid w:val="00A753AA"/>
    <w:rsid w:val="00A757B9"/>
    <w:rsid w:val="00A7593F"/>
    <w:rsid w:val="00A75E52"/>
    <w:rsid w:val="00A75E74"/>
    <w:rsid w:val="00A7631A"/>
    <w:rsid w:val="00A764F6"/>
    <w:rsid w:val="00A76DA7"/>
    <w:rsid w:val="00A7714A"/>
    <w:rsid w:val="00A7739A"/>
    <w:rsid w:val="00A7787E"/>
    <w:rsid w:val="00A77AD1"/>
    <w:rsid w:val="00A77D10"/>
    <w:rsid w:val="00A8089A"/>
    <w:rsid w:val="00A808AC"/>
    <w:rsid w:val="00A80CF6"/>
    <w:rsid w:val="00A81154"/>
    <w:rsid w:val="00A8156A"/>
    <w:rsid w:val="00A817C0"/>
    <w:rsid w:val="00A8184F"/>
    <w:rsid w:val="00A81A4D"/>
    <w:rsid w:val="00A82018"/>
    <w:rsid w:val="00A8267D"/>
    <w:rsid w:val="00A8277E"/>
    <w:rsid w:val="00A827DF"/>
    <w:rsid w:val="00A82B5C"/>
    <w:rsid w:val="00A82BC5"/>
    <w:rsid w:val="00A82CB0"/>
    <w:rsid w:val="00A82D07"/>
    <w:rsid w:val="00A83A32"/>
    <w:rsid w:val="00A83F76"/>
    <w:rsid w:val="00A84076"/>
    <w:rsid w:val="00A84171"/>
    <w:rsid w:val="00A8436B"/>
    <w:rsid w:val="00A844FF"/>
    <w:rsid w:val="00A84506"/>
    <w:rsid w:val="00A848D4"/>
    <w:rsid w:val="00A84AD0"/>
    <w:rsid w:val="00A84CEB"/>
    <w:rsid w:val="00A84DD4"/>
    <w:rsid w:val="00A85243"/>
    <w:rsid w:val="00A855E6"/>
    <w:rsid w:val="00A856E2"/>
    <w:rsid w:val="00A85864"/>
    <w:rsid w:val="00A8588B"/>
    <w:rsid w:val="00A85951"/>
    <w:rsid w:val="00A859B4"/>
    <w:rsid w:val="00A85C5D"/>
    <w:rsid w:val="00A86222"/>
    <w:rsid w:val="00A86329"/>
    <w:rsid w:val="00A865D7"/>
    <w:rsid w:val="00A86BC2"/>
    <w:rsid w:val="00A86D4F"/>
    <w:rsid w:val="00A86DE9"/>
    <w:rsid w:val="00A871C3"/>
    <w:rsid w:val="00A8737B"/>
    <w:rsid w:val="00A87B90"/>
    <w:rsid w:val="00A87BE7"/>
    <w:rsid w:val="00A87C4C"/>
    <w:rsid w:val="00A87EB3"/>
    <w:rsid w:val="00A90176"/>
    <w:rsid w:val="00A902C0"/>
    <w:rsid w:val="00A90318"/>
    <w:rsid w:val="00A90FC0"/>
    <w:rsid w:val="00A9108C"/>
    <w:rsid w:val="00A9108F"/>
    <w:rsid w:val="00A91513"/>
    <w:rsid w:val="00A91627"/>
    <w:rsid w:val="00A918F2"/>
    <w:rsid w:val="00A91D75"/>
    <w:rsid w:val="00A91E50"/>
    <w:rsid w:val="00A91EEF"/>
    <w:rsid w:val="00A920E8"/>
    <w:rsid w:val="00A92162"/>
    <w:rsid w:val="00A9220F"/>
    <w:rsid w:val="00A928FB"/>
    <w:rsid w:val="00A92ACE"/>
    <w:rsid w:val="00A92AD5"/>
    <w:rsid w:val="00A92D38"/>
    <w:rsid w:val="00A93262"/>
    <w:rsid w:val="00A93719"/>
    <w:rsid w:val="00A93C9A"/>
    <w:rsid w:val="00A93FCE"/>
    <w:rsid w:val="00A9403A"/>
    <w:rsid w:val="00A9413F"/>
    <w:rsid w:val="00A94204"/>
    <w:rsid w:val="00A945E2"/>
    <w:rsid w:val="00A949F1"/>
    <w:rsid w:val="00A94A5A"/>
    <w:rsid w:val="00A94D2D"/>
    <w:rsid w:val="00A95027"/>
    <w:rsid w:val="00A95218"/>
    <w:rsid w:val="00A95387"/>
    <w:rsid w:val="00A953E7"/>
    <w:rsid w:val="00A959C4"/>
    <w:rsid w:val="00A95ABF"/>
    <w:rsid w:val="00A95F4C"/>
    <w:rsid w:val="00A96500"/>
    <w:rsid w:val="00A9786E"/>
    <w:rsid w:val="00A979BF"/>
    <w:rsid w:val="00A97D85"/>
    <w:rsid w:val="00A97F82"/>
    <w:rsid w:val="00AA0089"/>
    <w:rsid w:val="00AA00FD"/>
    <w:rsid w:val="00AA0385"/>
    <w:rsid w:val="00AA07D3"/>
    <w:rsid w:val="00AA0A17"/>
    <w:rsid w:val="00AA0C85"/>
    <w:rsid w:val="00AA0DCC"/>
    <w:rsid w:val="00AA120E"/>
    <w:rsid w:val="00AA13CB"/>
    <w:rsid w:val="00AA13DC"/>
    <w:rsid w:val="00AA177B"/>
    <w:rsid w:val="00AA1A54"/>
    <w:rsid w:val="00AA21A6"/>
    <w:rsid w:val="00AA25A0"/>
    <w:rsid w:val="00AA273F"/>
    <w:rsid w:val="00AA27AC"/>
    <w:rsid w:val="00AA28F3"/>
    <w:rsid w:val="00AA2E3F"/>
    <w:rsid w:val="00AA2FED"/>
    <w:rsid w:val="00AA2FF2"/>
    <w:rsid w:val="00AA319C"/>
    <w:rsid w:val="00AA32DB"/>
    <w:rsid w:val="00AA342D"/>
    <w:rsid w:val="00AA344D"/>
    <w:rsid w:val="00AA3D3B"/>
    <w:rsid w:val="00AA4532"/>
    <w:rsid w:val="00AA4710"/>
    <w:rsid w:val="00AA4C9A"/>
    <w:rsid w:val="00AA4E40"/>
    <w:rsid w:val="00AA4E97"/>
    <w:rsid w:val="00AA512F"/>
    <w:rsid w:val="00AA5141"/>
    <w:rsid w:val="00AA5484"/>
    <w:rsid w:val="00AA58C5"/>
    <w:rsid w:val="00AA5F69"/>
    <w:rsid w:val="00AA5FC4"/>
    <w:rsid w:val="00AA65B9"/>
    <w:rsid w:val="00AA67C3"/>
    <w:rsid w:val="00AA6A73"/>
    <w:rsid w:val="00AA6BC4"/>
    <w:rsid w:val="00AA6C11"/>
    <w:rsid w:val="00AA6DAA"/>
    <w:rsid w:val="00AA7AB4"/>
    <w:rsid w:val="00AA7ADC"/>
    <w:rsid w:val="00AA7F1C"/>
    <w:rsid w:val="00AB031C"/>
    <w:rsid w:val="00AB03AC"/>
    <w:rsid w:val="00AB04EB"/>
    <w:rsid w:val="00AB0653"/>
    <w:rsid w:val="00AB06AC"/>
    <w:rsid w:val="00AB0A3B"/>
    <w:rsid w:val="00AB0B88"/>
    <w:rsid w:val="00AB1065"/>
    <w:rsid w:val="00AB128C"/>
    <w:rsid w:val="00AB142E"/>
    <w:rsid w:val="00AB1486"/>
    <w:rsid w:val="00AB1661"/>
    <w:rsid w:val="00AB16B3"/>
    <w:rsid w:val="00AB17D5"/>
    <w:rsid w:val="00AB1D21"/>
    <w:rsid w:val="00AB1DED"/>
    <w:rsid w:val="00AB1E7F"/>
    <w:rsid w:val="00AB1F33"/>
    <w:rsid w:val="00AB1F7F"/>
    <w:rsid w:val="00AB245E"/>
    <w:rsid w:val="00AB254C"/>
    <w:rsid w:val="00AB26BF"/>
    <w:rsid w:val="00AB27E0"/>
    <w:rsid w:val="00AB2863"/>
    <w:rsid w:val="00AB31D1"/>
    <w:rsid w:val="00AB36FE"/>
    <w:rsid w:val="00AB3B02"/>
    <w:rsid w:val="00AB3C63"/>
    <w:rsid w:val="00AB4118"/>
    <w:rsid w:val="00AB436C"/>
    <w:rsid w:val="00AB4427"/>
    <w:rsid w:val="00AB443F"/>
    <w:rsid w:val="00AB577E"/>
    <w:rsid w:val="00AB5980"/>
    <w:rsid w:val="00AB5D29"/>
    <w:rsid w:val="00AB5E30"/>
    <w:rsid w:val="00AB608E"/>
    <w:rsid w:val="00AB62E2"/>
    <w:rsid w:val="00AB6313"/>
    <w:rsid w:val="00AB63BC"/>
    <w:rsid w:val="00AB654F"/>
    <w:rsid w:val="00AB667A"/>
    <w:rsid w:val="00AB67BC"/>
    <w:rsid w:val="00AB6AC9"/>
    <w:rsid w:val="00AB7799"/>
    <w:rsid w:val="00AB7873"/>
    <w:rsid w:val="00AC017E"/>
    <w:rsid w:val="00AC043A"/>
    <w:rsid w:val="00AC058C"/>
    <w:rsid w:val="00AC0B20"/>
    <w:rsid w:val="00AC12B8"/>
    <w:rsid w:val="00AC1340"/>
    <w:rsid w:val="00AC1740"/>
    <w:rsid w:val="00AC17FC"/>
    <w:rsid w:val="00AC1BDA"/>
    <w:rsid w:val="00AC21BF"/>
    <w:rsid w:val="00AC26C0"/>
    <w:rsid w:val="00AC2727"/>
    <w:rsid w:val="00AC283C"/>
    <w:rsid w:val="00AC2C2C"/>
    <w:rsid w:val="00AC2FE0"/>
    <w:rsid w:val="00AC34EE"/>
    <w:rsid w:val="00AC3B19"/>
    <w:rsid w:val="00AC3D3C"/>
    <w:rsid w:val="00AC3D5A"/>
    <w:rsid w:val="00AC417B"/>
    <w:rsid w:val="00AC41FD"/>
    <w:rsid w:val="00AC46A2"/>
    <w:rsid w:val="00AC4C7A"/>
    <w:rsid w:val="00AC5922"/>
    <w:rsid w:val="00AC6080"/>
    <w:rsid w:val="00AC62A7"/>
    <w:rsid w:val="00AC6799"/>
    <w:rsid w:val="00AC743E"/>
    <w:rsid w:val="00AC776C"/>
    <w:rsid w:val="00AC7796"/>
    <w:rsid w:val="00AC79AD"/>
    <w:rsid w:val="00AC7C10"/>
    <w:rsid w:val="00AC7CC7"/>
    <w:rsid w:val="00AC7FCE"/>
    <w:rsid w:val="00AD00AC"/>
    <w:rsid w:val="00AD0AFE"/>
    <w:rsid w:val="00AD0EEC"/>
    <w:rsid w:val="00AD0FD5"/>
    <w:rsid w:val="00AD112A"/>
    <w:rsid w:val="00AD127D"/>
    <w:rsid w:val="00AD1491"/>
    <w:rsid w:val="00AD1915"/>
    <w:rsid w:val="00AD1B72"/>
    <w:rsid w:val="00AD1D4D"/>
    <w:rsid w:val="00AD205E"/>
    <w:rsid w:val="00AD208D"/>
    <w:rsid w:val="00AD2363"/>
    <w:rsid w:val="00AD3BFB"/>
    <w:rsid w:val="00AD41AA"/>
    <w:rsid w:val="00AD46C7"/>
    <w:rsid w:val="00AD4954"/>
    <w:rsid w:val="00AD4FB0"/>
    <w:rsid w:val="00AD541D"/>
    <w:rsid w:val="00AD57A4"/>
    <w:rsid w:val="00AD5B5F"/>
    <w:rsid w:val="00AD5D59"/>
    <w:rsid w:val="00AD5E7A"/>
    <w:rsid w:val="00AD6083"/>
    <w:rsid w:val="00AD641F"/>
    <w:rsid w:val="00AD692C"/>
    <w:rsid w:val="00AD6D9D"/>
    <w:rsid w:val="00AD6E68"/>
    <w:rsid w:val="00AD6FFD"/>
    <w:rsid w:val="00AD7433"/>
    <w:rsid w:val="00AD7537"/>
    <w:rsid w:val="00AD75EB"/>
    <w:rsid w:val="00AD76FC"/>
    <w:rsid w:val="00AD775D"/>
    <w:rsid w:val="00AD7B08"/>
    <w:rsid w:val="00AE038E"/>
    <w:rsid w:val="00AE0D5A"/>
    <w:rsid w:val="00AE0E04"/>
    <w:rsid w:val="00AE0FB8"/>
    <w:rsid w:val="00AE1544"/>
    <w:rsid w:val="00AE1AE3"/>
    <w:rsid w:val="00AE1D40"/>
    <w:rsid w:val="00AE267E"/>
    <w:rsid w:val="00AE28A4"/>
    <w:rsid w:val="00AE2955"/>
    <w:rsid w:val="00AE2EC5"/>
    <w:rsid w:val="00AE33EA"/>
    <w:rsid w:val="00AE35CF"/>
    <w:rsid w:val="00AE3AA3"/>
    <w:rsid w:val="00AE4174"/>
    <w:rsid w:val="00AE4180"/>
    <w:rsid w:val="00AE422E"/>
    <w:rsid w:val="00AE4AA2"/>
    <w:rsid w:val="00AE4B8B"/>
    <w:rsid w:val="00AE540B"/>
    <w:rsid w:val="00AE5530"/>
    <w:rsid w:val="00AE55DC"/>
    <w:rsid w:val="00AE5B3C"/>
    <w:rsid w:val="00AE5F6F"/>
    <w:rsid w:val="00AE5F72"/>
    <w:rsid w:val="00AE6174"/>
    <w:rsid w:val="00AE625C"/>
    <w:rsid w:val="00AE6333"/>
    <w:rsid w:val="00AE6719"/>
    <w:rsid w:val="00AE6AE1"/>
    <w:rsid w:val="00AE6AEE"/>
    <w:rsid w:val="00AE6CC5"/>
    <w:rsid w:val="00AE6FA0"/>
    <w:rsid w:val="00AE7182"/>
    <w:rsid w:val="00AE733D"/>
    <w:rsid w:val="00AF05BF"/>
    <w:rsid w:val="00AF07D5"/>
    <w:rsid w:val="00AF08E2"/>
    <w:rsid w:val="00AF103E"/>
    <w:rsid w:val="00AF1069"/>
    <w:rsid w:val="00AF1515"/>
    <w:rsid w:val="00AF163A"/>
    <w:rsid w:val="00AF1725"/>
    <w:rsid w:val="00AF1A5C"/>
    <w:rsid w:val="00AF21FE"/>
    <w:rsid w:val="00AF25B5"/>
    <w:rsid w:val="00AF25C1"/>
    <w:rsid w:val="00AF26B7"/>
    <w:rsid w:val="00AF37D1"/>
    <w:rsid w:val="00AF3925"/>
    <w:rsid w:val="00AF40D4"/>
    <w:rsid w:val="00AF4542"/>
    <w:rsid w:val="00AF46D2"/>
    <w:rsid w:val="00AF4A03"/>
    <w:rsid w:val="00AF4A0B"/>
    <w:rsid w:val="00AF510B"/>
    <w:rsid w:val="00AF5385"/>
    <w:rsid w:val="00AF5413"/>
    <w:rsid w:val="00AF5AA7"/>
    <w:rsid w:val="00AF5B0C"/>
    <w:rsid w:val="00AF5E57"/>
    <w:rsid w:val="00AF5FD6"/>
    <w:rsid w:val="00AF622D"/>
    <w:rsid w:val="00AF64B8"/>
    <w:rsid w:val="00AF69CD"/>
    <w:rsid w:val="00AF6DEA"/>
    <w:rsid w:val="00AF6EA5"/>
    <w:rsid w:val="00AF7A3F"/>
    <w:rsid w:val="00AF7F4D"/>
    <w:rsid w:val="00B003A8"/>
    <w:rsid w:val="00B00DA5"/>
    <w:rsid w:val="00B017F2"/>
    <w:rsid w:val="00B02B63"/>
    <w:rsid w:val="00B02DD2"/>
    <w:rsid w:val="00B02FF8"/>
    <w:rsid w:val="00B032DA"/>
    <w:rsid w:val="00B03352"/>
    <w:rsid w:val="00B034D9"/>
    <w:rsid w:val="00B0376F"/>
    <w:rsid w:val="00B03C1C"/>
    <w:rsid w:val="00B03C4D"/>
    <w:rsid w:val="00B03CE5"/>
    <w:rsid w:val="00B03DA6"/>
    <w:rsid w:val="00B04149"/>
    <w:rsid w:val="00B04279"/>
    <w:rsid w:val="00B043B1"/>
    <w:rsid w:val="00B04483"/>
    <w:rsid w:val="00B04634"/>
    <w:rsid w:val="00B0495B"/>
    <w:rsid w:val="00B04AAE"/>
    <w:rsid w:val="00B04E36"/>
    <w:rsid w:val="00B0532B"/>
    <w:rsid w:val="00B05487"/>
    <w:rsid w:val="00B05526"/>
    <w:rsid w:val="00B05527"/>
    <w:rsid w:val="00B058DE"/>
    <w:rsid w:val="00B05AFD"/>
    <w:rsid w:val="00B05BA8"/>
    <w:rsid w:val="00B05D5C"/>
    <w:rsid w:val="00B05D74"/>
    <w:rsid w:val="00B05E36"/>
    <w:rsid w:val="00B05E54"/>
    <w:rsid w:val="00B06BEC"/>
    <w:rsid w:val="00B076D2"/>
    <w:rsid w:val="00B07728"/>
    <w:rsid w:val="00B07748"/>
    <w:rsid w:val="00B07798"/>
    <w:rsid w:val="00B07A9B"/>
    <w:rsid w:val="00B07FAA"/>
    <w:rsid w:val="00B1014E"/>
    <w:rsid w:val="00B101D9"/>
    <w:rsid w:val="00B10206"/>
    <w:rsid w:val="00B1037C"/>
    <w:rsid w:val="00B103A7"/>
    <w:rsid w:val="00B1042E"/>
    <w:rsid w:val="00B106CC"/>
    <w:rsid w:val="00B1150F"/>
    <w:rsid w:val="00B1162F"/>
    <w:rsid w:val="00B11B2B"/>
    <w:rsid w:val="00B11FC0"/>
    <w:rsid w:val="00B123C7"/>
    <w:rsid w:val="00B124AD"/>
    <w:rsid w:val="00B128DB"/>
    <w:rsid w:val="00B1322B"/>
    <w:rsid w:val="00B13667"/>
    <w:rsid w:val="00B136B1"/>
    <w:rsid w:val="00B13787"/>
    <w:rsid w:val="00B139D6"/>
    <w:rsid w:val="00B140D1"/>
    <w:rsid w:val="00B14249"/>
    <w:rsid w:val="00B14609"/>
    <w:rsid w:val="00B146BA"/>
    <w:rsid w:val="00B14872"/>
    <w:rsid w:val="00B149CE"/>
    <w:rsid w:val="00B14B84"/>
    <w:rsid w:val="00B14BD7"/>
    <w:rsid w:val="00B14D3E"/>
    <w:rsid w:val="00B14D8E"/>
    <w:rsid w:val="00B150F5"/>
    <w:rsid w:val="00B15145"/>
    <w:rsid w:val="00B1559E"/>
    <w:rsid w:val="00B15762"/>
    <w:rsid w:val="00B15E6B"/>
    <w:rsid w:val="00B15EFF"/>
    <w:rsid w:val="00B1613D"/>
    <w:rsid w:val="00B161B6"/>
    <w:rsid w:val="00B16244"/>
    <w:rsid w:val="00B162BC"/>
    <w:rsid w:val="00B16748"/>
    <w:rsid w:val="00B16C26"/>
    <w:rsid w:val="00B16CA3"/>
    <w:rsid w:val="00B170C4"/>
    <w:rsid w:val="00B17892"/>
    <w:rsid w:val="00B179C0"/>
    <w:rsid w:val="00B17CD4"/>
    <w:rsid w:val="00B17F3F"/>
    <w:rsid w:val="00B17FB0"/>
    <w:rsid w:val="00B201CB"/>
    <w:rsid w:val="00B2026B"/>
    <w:rsid w:val="00B207AC"/>
    <w:rsid w:val="00B20A76"/>
    <w:rsid w:val="00B2128B"/>
    <w:rsid w:val="00B21408"/>
    <w:rsid w:val="00B21500"/>
    <w:rsid w:val="00B217B0"/>
    <w:rsid w:val="00B219B1"/>
    <w:rsid w:val="00B21BA9"/>
    <w:rsid w:val="00B22664"/>
    <w:rsid w:val="00B22978"/>
    <w:rsid w:val="00B2316B"/>
    <w:rsid w:val="00B2387F"/>
    <w:rsid w:val="00B23BDE"/>
    <w:rsid w:val="00B23DE9"/>
    <w:rsid w:val="00B23F07"/>
    <w:rsid w:val="00B24152"/>
    <w:rsid w:val="00B242F5"/>
    <w:rsid w:val="00B24E1D"/>
    <w:rsid w:val="00B24EAD"/>
    <w:rsid w:val="00B25771"/>
    <w:rsid w:val="00B264F5"/>
    <w:rsid w:val="00B265EE"/>
    <w:rsid w:val="00B26BE2"/>
    <w:rsid w:val="00B26CB6"/>
    <w:rsid w:val="00B278F8"/>
    <w:rsid w:val="00B27BD9"/>
    <w:rsid w:val="00B27DD5"/>
    <w:rsid w:val="00B27DE0"/>
    <w:rsid w:val="00B30301"/>
    <w:rsid w:val="00B30A8B"/>
    <w:rsid w:val="00B316C5"/>
    <w:rsid w:val="00B316CD"/>
    <w:rsid w:val="00B31757"/>
    <w:rsid w:val="00B319B2"/>
    <w:rsid w:val="00B31FA7"/>
    <w:rsid w:val="00B320DB"/>
    <w:rsid w:val="00B32BD8"/>
    <w:rsid w:val="00B32C99"/>
    <w:rsid w:val="00B32F5A"/>
    <w:rsid w:val="00B3301C"/>
    <w:rsid w:val="00B33135"/>
    <w:rsid w:val="00B332A3"/>
    <w:rsid w:val="00B33325"/>
    <w:rsid w:val="00B33421"/>
    <w:rsid w:val="00B338DB"/>
    <w:rsid w:val="00B3495A"/>
    <w:rsid w:val="00B34AE7"/>
    <w:rsid w:val="00B34C31"/>
    <w:rsid w:val="00B34E8E"/>
    <w:rsid w:val="00B35289"/>
    <w:rsid w:val="00B354A3"/>
    <w:rsid w:val="00B35E59"/>
    <w:rsid w:val="00B362B4"/>
    <w:rsid w:val="00B37393"/>
    <w:rsid w:val="00B37803"/>
    <w:rsid w:val="00B379D5"/>
    <w:rsid w:val="00B37AF7"/>
    <w:rsid w:val="00B37EED"/>
    <w:rsid w:val="00B4044C"/>
    <w:rsid w:val="00B409F9"/>
    <w:rsid w:val="00B40F3C"/>
    <w:rsid w:val="00B411BA"/>
    <w:rsid w:val="00B41CB0"/>
    <w:rsid w:val="00B42412"/>
    <w:rsid w:val="00B4260D"/>
    <w:rsid w:val="00B42C1F"/>
    <w:rsid w:val="00B42FCE"/>
    <w:rsid w:val="00B4342D"/>
    <w:rsid w:val="00B43CBA"/>
    <w:rsid w:val="00B43FC1"/>
    <w:rsid w:val="00B441FD"/>
    <w:rsid w:val="00B444E4"/>
    <w:rsid w:val="00B4480E"/>
    <w:rsid w:val="00B44B5C"/>
    <w:rsid w:val="00B44FAC"/>
    <w:rsid w:val="00B45B4B"/>
    <w:rsid w:val="00B45E12"/>
    <w:rsid w:val="00B4605C"/>
    <w:rsid w:val="00B4612B"/>
    <w:rsid w:val="00B461E2"/>
    <w:rsid w:val="00B469A3"/>
    <w:rsid w:val="00B46E3D"/>
    <w:rsid w:val="00B475FA"/>
    <w:rsid w:val="00B47975"/>
    <w:rsid w:val="00B47FB0"/>
    <w:rsid w:val="00B500E0"/>
    <w:rsid w:val="00B5028C"/>
    <w:rsid w:val="00B50AC8"/>
    <w:rsid w:val="00B510AB"/>
    <w:rsid w:val="00B51107"/>
    <w:rsid w:val="00B521EF"/>
    <w:rsid w:val="00B522B6"/>
    <w:rsid w:val="00B52410"/>
    <w:rsid w:val="00B5295E"/>
    <w:rsid w:val="00B52A3A"/>
    <w:rsid w:val="00B52C69"/>
    <w:rsid w:val="00B53536"/>
    <w:rsid w:val="00B54641"/>
    <w:rsid w:val="00B54A45"/>
    <w:rsid w:val="00B54A97"/>
    <w:rsid w:val="00B54DD8"/>
    <w:rsid w:val="00B559D1"/>
    <w:rsid w:val="00B55A92"/>
    <w:rsid w:val="00B562FA"/>
    <w:rsid w:val="00B5687C"/>
    <w:rsid w:val="00B56D13"/>
    <w:rsid w:val="00B56D1B"/>
    <w:rsid w:val="00B57282"/>
    <w:rsid w:val="00B574B2"/>
    <w:rsid w:val="00B577D0"/>
    <w:rsid w:val="00B57D2F"/>
    <w:rsid w:val="00B57ED0"/>
    <w:rsid w:val="00B600A8"/>
    <w:rsid w:val="00B6046F"/>
    <w:rsid w:val="00B608FB"/>
    <w:rsid w:val="00B61089"/>
    <w:rsid w:val="00B61382"/>
    <w:rsid w:val="00B613DA"/>
    <w:rsid w:val="00B61BF6"/>
    <w:rsid w:val="00B61CC3"/>
    <w:rsid w:val="00B61D3E"/>
    <w:rsid w:val="00B62405"/>
    <w:rsid w:val="00B62710"/>
    <w:rsid w:val="00B62C93"/>
    <w:rsid w:val="00B62DB1"/>
    <w:rsid w:val="00B63481"/>
    <w:rsid w:val="00B63717"/>
    <w:rsid w:val="00B63788"/>
    <w:rsid w:val="00B63912"/>
    <w:rsid w:val="00B63A85"/>
    <w:rsid w:val="00B63AD7"/>
    <w:rsid w:val="00B63BE7"/>
    <w:rsid w:val="00B643CA"/>
    <w:rsid w:val="00B647AB"/>
    <w:rsid w:val="00B652A2"/>
    <w:rsid w:val="00B6567F"/>
    <w:rsid w:val="00B656AC"/>
    <w:rsid w:val="00B65EC2"/>
    <w:rsid w:val="00B65F3C"/>
    <w:rsid w:val="00B66068"/>
    <w:rsid w:val="00B66078"/>
    <w:rsid w:val="00B6653E"/>
    <w:rsid w:val="00B67025"/>
    <w:rsid w:val="00B67860"/>
    <w:rsid w:val="00B67A6C"/>
    <w:rsid w:val="00B70089"/>
    <w:rsid w:val="00B70840"/>
    <w:rsid w:val="00B70A2D"/>
    <w:rsid w:val="00B70C23"/>
    <w:rsid w:val="00B70D77"/>
    <w:rsid w:val="00B70E20"/>
    <w:rsid w:val="00B71341"/>
    <w:rsid w:val="00B71521"/>
    <w:rsid w:val="00B71CCD"/>
    <w:rsid w:val="00B71DD5"/>
    <w:rsid w:val="00B71F44"/>
    <w:rsid w:val="00B721A6"/>
    <w:rsid w:val="00B721FD"/>
    <w:rsid w:val="00B72325"/>
    <w:rsid w:val="00B726EB"/>
    <w:rsid w:val="00B726F9"/>
    <w:rsid w:val="00B72723"/>
    <w:rsid w:val="00B727C2"/>
    <w:rsid w:val="00B729A6"/>
    <w:rsid w:val="00B73390"/>
    <w:rsid w:val="00B737C3"/>
    <w:rsid w:val="00B74940"/>
    <w:rsid w:val="00B74A47"/>
    <w:rsid w:val="00B74E0B"/>
    <w:rsid w:val="00B74E3A"/>
    <w:rsid w:val="00B74FC9"/>
    <w:rsid w:val="00B7513D"/>
    <w:rsid w:val="00B7531F"/>
    <w:rsid w:val="00B75458"/>
    <w:rsid w:val="00B755FF"/>
    <w:rsid w:val="00B7567C"/>
    <w:rsid w:val="00B75A1C"/>
    <w:rsid w:val="00B76070"/>
    <w:rsid w:val="00B769D0"/>
    <w:rsid w:val="00B77014"/>
    <w:rsid w:val="00B7719F"/>
    <w:rsid w:val="00B7755B"/>
    <w:rsid w:val="00B7764E"/>
    <w:rsid w:val="00B77652"/>
    <w:rsid w:val="00B77E45"/>
    <w:rsid w:val="00B77EB4"/>
    <w:rsid w:val="00B8004B"/>
    <w:rsid w:val="00B804AD"/>
    <w:rsid w:val="00B809A7"/>
    <w:rsid w:val="00B80A0F"/>
    <w:rsid w:val="00B80E01"/>
    <w:rsid w:val="00B81044"/>
    <w:rsid w:val="00B818BA"/>
    <w:rsid w:val="00B81B44"/>
    <w:rsid w:val="00B81BF2"/>
    <w:rsid w:val="00B81D7D"/>
    <w:rsid w:val="00B81DD8"/>
    <w:rsid w:val="00B81E57"/>
    <w:rsid w:val="00B82044"/>
    <w:rsid w:val="00B8218E"/>
    <w:rsid w:val="00B821DA"/>
    <w:rsid w:val="00B823F9"/>
    <w:rsid w:val="00B82480"/>
    <w:rsid w:val="00B82AE4"/>
    <w:rsid w:val="00B834FE"/>
    <w:rsid w:val="00B839CF"/>
    <w:rsid w:val="00B842E7"/>
    <w:rsid w:val="00B8478E"/>
    <w:rsid w:val="00B847D2"/>
    <w:rsid w:val="00B84897"/>
    <w:rsid w:val="00B84B67"/>
    <w:rsid w:val="00B854E1"/>
    <w:rsid w:val="00B856F8"/>
    <w:rsid w:val="00B85B48"/>
    <w:rsid w:val="00B8621A"/>
    <w:rsid w:val="00B8648C"/>
    <w:rsid w:val="00B8674F"/>
    <w:rsid w:val="00B8678D"/>
    <w:rsid w:val="00B86817"/>
    <w:rsid w:val="00B86922"/>
    <w:rsid w:val="00B86954"/>
    <w:rsid w:val="00B869D1"/>
    <w:rsid w:val="00B877DF"/>
    <w:rsid w:val="00B87ACA"/>
    <w:rsid w:val="00B902AD"/>
    <w:rsid w:val="00B902DE"/>
    <w:rsid w:val="00B904F7"/>
    <w:rsid w:val="00B90940"/>
    <w:rsid w:val="00B90D24"/>
    <w:rsid w:val="00B90E1E"/>
    <w:rsid w:val="00B9135E"/>
    <w:rsid w:val="00B913B2"/>
    <w:rsid w:val="00B91568"/>
    <w:rsid w:val="00B91A48"/>
    <w:rsid w:val="00B91BC7"/>
    <w:rsid w:val="00B91BCA"/>
    <w:rsid w:val="00B91E44"/>
    <w:rsid w:val="00B92296"/>
    <w:rsid w:val="00B929CE"/>
    <w:rsid w:val="00B92BD9"/>
    <w:rsid w:val="00B93013"/>
    <w:rsid w:val="00B93115"/>
    <w:rsid w:val="00B93190"/>
    <w:rsid w:val="00B93508"/>
    <w:rsid w:val="00B935B4"/>
    <w:rsid w:val="00B937FA"/>
    <w:rsid w:val="00B938DA"/>
    <w:rsid w:val="00B93BE8"/>
    <w:rsid w:val="00B93F67"/>
    <w:rsid w:val="00B94403"/>
    <w:rsid w:val="00B9449B"/>
    <w:rsid w:val="00B9543D"/>
    <w:rsid w:val="00B95AC9"/>
    <w:rsid w:val="00B95C48"/>
    <w:rsid w:val="00B960EC"/>
    <w:rsid w:val="00B96209"/>
    <w:rsid w:val="00B9639B"/>
    <w:rsid w:val="00B96721"/>
    <w:rsid w:val="00B96776"/>
    <w:rsid w:val="00B96E3E"/>
    <w:rsid w:val="00B970A8"/>
    <w:rsid w:val="00B971C0"/>
    <w:rsid w:val="00B975C8"/>
    <w:rsid w:val="00B97861"/>
    <w:rsid w:val="00B978D5"/>
    <w:rsid w:val="00B97960"/>
    <w:rsid w:val="00B97B23"/>
    <w:rsid w:val="00B97B6D"/>
    <w:rsid w:val="00B97C61"/>
    <w:rsid w:val="00BA02C9"/>
    <w:rsid w:val="00BA0483"/>
    <w:rsid w:val="00BA0662"/>
    <w:rsid w:val="00BA06E2"/>
    <w:rsid w:val="00BA093C"/>
    <w:rsid w:val="00BA10EA"/>
    <w:rsid w:val="00BA1A26"/>
    <w:rsid w:val="00BA1BA8"/>
    <w:rsid w:val="00BA1D76"/>
    <w:rsid w:val="00BA22E5"/>
    <w:rsid w:val="00BA2424"/>
    <w:rsid w:val="00BA2D56"/>
    <w:rsid w:val="00BA2F70"/>
    <w:rsid w:val="00BA2FE7"/>
    <w:rsid w:val="00BA3097"/>
    <w:rsid w:val="00BA3969"/>
    <w:rsid w:val="00BA3D02"/>
    <w:rsid w:val="00BA3E26"/>
    <w:rsid w:val="00BA4575"/>
    <w:rsid w:val="00BA4611"/>
    <w:rsid w:val="00BA4764"/>
    <w:rsid w:val="00BA477B"/>
    <w:rsid w:val="00BA4CCD"/>
    <w:rsid w:val="00BA4DDB"/>
    <w:rsid w:val="00BA4E88"/>
    <w:rsid w:val="00BA5102"/>
    <w:rsid w:val="00BA5346"/>
    <w:rsid w:val="00BA5658"/>
    <w:rsid w:val="00BA5A42"/>
    <w:rsid w:val="00BA5DA1"/>
    <w:rsid w:val="00BA5DD4"/>
    <w:rsid w:val="00BA6095"/>
    <w:rsid w:val="00BA62C7"/>
    <w:rsid w:val="00BA66A4"/>
    <w:rsid w:val="00BA6833"/>
    <w:rsid w:val="00BA6BE1"/>
    <w:rsid w:val="00BA6EE6"/>
    <w:rsid w:val="00BA7249"/>
    <w:rsid w:val="00BA7447"/>
    <w:rsid w:val="00BA78B8"/>
    <w:rsid w:val="00BA7A7E"/>
    <w:rsid w:val="00BA7C2A"/>
    <w:rsid w:val="00BB0117"/>
    <w:rsid w:val="00BB0822"/>
    <w:rsid w:val="00BB0A3A"/>
    <w:rsid w:val="00BB121D"/>
    <w:rsid w:val="00BB1322"/>
    <w:rsid w:val="00BB1814"/>
    <w:rsid w:val="00BB1A42"/>
    <w:rsid w:val="00BB1BBA"/>
    <w:rsid w:val="00BB1E94"/>
    <w:rsid w:val="00BB23B3"/>
    <w:rsid w:val="00BB2C36"/>
    <w:rsid w:val="00BB37F7"/>
    <w:rsid w:val="00BB3E2F"/>
    <w:rsid w:val="00BB4061"/>
    <w:rsid w:val="00BB428D"/>
    <w:rsid w:val="00BB4866"/>
    <w:rsid w:val="00BB499B"/>
    <w:rsid w:val="00BB5761"/>
    <w:rsid w:val="00BB61F7"/>
    <w:rsid w:val="00BB6222"/>
    <w:rsid w:val="00BB6229"/>
    <w:rsid w:val="00BB62EF"/>
    <w:rsid w:val="00BB650B"/>
    <w:rsid w:val="00BB67DF"/>
    <w:rsid w:val="00BB697C"/>
    <w:rsid w:val="00BB6982"/>
    <w:rsid w:val="00BB6A06"/>
    <w:rsid w:val="00BB6AE1"/>
    <w:rsid w:val="00BB6B37"/>
    <w:rsid w:val="00BB7191"/>
    <w:rsid w:val="00BB7515"/>
    <w:rsid w:val="00BC0335"/>
    <w:rsid w:val="00BC07CD"/>
    <w:rsid w:val="00BC0DF8"/>
    <w:rsid w:val="00BC126A"/>
    <w:rsid w:val="00BC12B9"/>
    <w:rsid w:val="00BC1443"/>
    <w:rsid w:val="00BC1534"/>
    <w:rsid w:val="00BC1A1C"/>
    <w:rsid w:val="00BC1F8A"/>
    <w:rsid w:val="00BC2162"/>
    <w:rsid w:val="00BC25B2"/>
    <w:rsid w:val="00BC2604"/>
    <w:rsid w:val="00BC2D13"/>
    <w:rsid w:val="00BC2F17"/>
    <w:rsid w:val="00BC319E"/>
    <w:rsid w:val="00BC36C7"/>
    <w:rsid w:val="00BC3A13"/>
    <w:rsid w:val="00BC3AC1"/>
    <w:rsid w:val="00BC3BBD"/>
    <w:rsid w:val="00BC3F19"/>
    <w:rsid w:val="00BC494D"/>
    <w:rsid w:val="00BC4ADD"/>
    <w:rsid w:val="00BC5005"/>
    <w:rsid w:val="00BC515B"/>
    <w:rsid w:val="00BC542D"/>
    <w:rsid w:val="00BC5543"/>
    <w:rsid w:val="00BC570A"/>
    <w:rsid w:val="00BC585F"/>
    <w:rsid w:val="00BC58C3"/>
    <w:rsid w:val="00BC596B"/>
    <w:rsid w:val="00BC60DE"/>
    <w:rsid w:val="00BC63C7"/>
    <w:rsid w:val="00BC6B4C"/>
    <w:rsid w:val="00BC7215"/>
    <w:rsid w:val="00BC7382"/>
    <w:rsid w:val="00BC76DE"/>
    <w:rsid w:val="00BD0C18"/>
    <w:rsid w:val="00BD0C36"/>
    <w:rsid w:val="00BD16E7"/>
    <w:rsid w:val="00BD174B"/>
    <w:rsid w:val="00BD1784"/>
    <w:rsid w:val="00BD1A03"/>
    <w:rsid w:val="00BD1B0A"/>
    <w:rsid w:val="00BD1E10"/>
    <w:rsid w:val="00BD1EB6"/>
    <w:rsid w:val="00BD2071"/>
    <w:rsid w:val="00BD287B"/>
    <w:rsid w:val="00BD2B13"/>
    <w:rsid w:val="00BD2B48"/>
    <w:rsid w:val="00BD2B88"/>
    <w:rsid w:val="00BD35C1"/>
    <w:rsid w:val="00BD38CB"/>
    <w:rsid w:val="00BD4078"/>
    <w:rsid w:val="00BD419C"/>
    <w:rsid w:val="00BD4225"/>
    <w:rsid w:val="00BD48C9"/>
    <w:rsid w:val="00BD4A52"/>
    <w:rsid w:val="00BD4E43"/>
    <w:rsid w:val="00BD50FC"/>
    <w:rsid w:val="00BD5154"/>
    <w:rsid w:val="00BD52BC"/>
    <w:rsid w:val="00BD5737"/>
    <w:rsid w:val="00BD5783"/>
    <w:rsid w:val="00BD5ED8"/>
    <w:rsid w:val="00BD5F89"/>
    <w:rsid w:val="00BD7025"/>
    <w:rsid w:val="00BD7134"/>
    <w:rsid w:val="00BE0565"/>
    <w:rsid w:val="00BE086C"/>
    <w:rsid w:val="00BE092E"/>
    <w:rsid w:val="00BE0A73"/>
    <w:rsid w:val="00BE0D86"/>
    <w:rsid w:val="00BE17F9"/>
    <w:rsid w:val="00BE195E"/>
    <w:rsid w:val="00BE1BA4"/>
    <w:rsid w:val="00BE1F06"/>
    <w:rsid w:val="00BE2137"/>
    <w:rsid w:val="00BE2379"/>
    <w:rsid w:val="00BE25C7"/>
    <w:rsid w:val="00BE269A"/>
    <w:rsid w:val="00BE2C5B"/>
    <w:rsid w:val="00BE32CD"/>
    <w:rsid w:val="00BE338A"/>
    <w:rsid w:val="00BE36A1"/>
    <w:rsid w:val="00BE370B"/>
    <w:rsid w:val="00BE3B5A"/>
    <w:rsid w:val="00BE3E6A"/>
    <w:rsid w:val="00BE3E9C"/>
    <w:rsid w:val="00BE417C"/>
    <w:rsid w:val="00BE4476"/>
    <w:rsid w:val="00BE47BD"/>
    <w:rsid w:val="00BE4B8F"/>
    <w:rsid w:val="00BE54E1"/>
    <w:rsid w:val="00BE5590"/>
    <w:rsid w:val="00BE55D6"/>
    <w:rsid w:val="00BE5605"/>
    <w:rsid w:val="00BE5626"/>
    <w:rsid w:val="00BE5675"/>
    <w:rsid w:val="00BE5844"/>
    <w:rsid w:val="00BE5ACE"/>
    <w:rsid w:val="00BE5CA5"/>
    <w:rsid w:val="00BE65A7"/>
    <w:rsid w:val="00BE6D8C"/>
    <w:rsid w:val="00BE723B"/>
    <w:rsid w:val="00BE7907"/>
    <w:rsid w:val="00BE7E7C"/>
    <w:rsid w:val="00BF0296"/>
    <w:rsid w:val="00BF03D3"/>
    <w:rsid w:val="00BF06E5"/>
    <w:rsid w:val="00BF09D9"/>
    <w:rsid w:val="00BF13E5"/>
    <w:rsid w:val="00BF19EC"/>
    <w:rsid w:val="00BF1B1C"/>
    <w:rsid w:val="00BF1D0F"/>
    <w:rsid w:val="00BF1F2C"/>
    <w:rsid w:val="00BF223A"/>
    <w:rsid w:val="00BF22F4"/>
    <w:rsid w:val="00BF2354"/>
    <w:rsid w:val="00BF25FB"/>
    <w:rsid w:val="00BF26C8"/>
    <w:rsid w:val="00BF289C"/>
    <w:rsid w:val="00BF2921"/>
    <w:rsid w:val="00BF3013"/>
    <w:rsid w:val="00BF304C"/>
    <w:rsid w:val="00BF407C"/>
    <w:rsid w:val="00BF431E"/>
    <w:rsid w:val="00BF47AA"/>
    <w:rsid w:val="00BF4B14"/>
    <w:rsid w:val="00BF4D64"/>
    <w:rsid w:val="00BF4E46"/>
    <w:rsid w:val="00BF4E84"/>
    <w:rsid w:val="00BF5056"/>
    <w:rsid w:val="00BF533A"/>
    <w:rsid w:val="00BF6698"/>
    <w:rsid w:val="00BF6931"/>
    <w:rsid w:val="00BF6F50"/>
    <w:rsid w:val="00BF7280"/>
    <w:rsid w:val="00BF7724"/>
    <w:rsid w:val="00BF7DB4"/>
    <w:rsid w:val="00BF7DBC"/>
    <w:rsid w:val="00C00338"/>
    <w:rsid w:val="00C00348"/>
    <w:rsid w:val="00C00358"/>
    <w:rsid w:val="00C007FE"/>
    <w:rsid w:val="00C00AD6"/>
    <w:rsid w:val="00C00D52"/>
    <w:rsid w:val="00C01641"/>
    <w:rsid w:val="00C0167D"/>
    <w:rsid w:val="00C01BE8"/>
    <w:rsid w:val="00C01CEF"/>
    <w:rsid w:val="00C02132"/>
    <w:rsid w:val="00C02268"/>
    <w:rsid w:val="00C024F2"/>
    <w:rsid w:val="00C025DB"/>
    <w:rsid w:val="00C02614"/>
    <w:rsid w:val="00C028E1"/>
    <w:rsid w:val="00C02A63"/>
    <w:rsid w:val="00C02AA4"/>
    <w:rsid w:val="00C02DC4"/>
    <w:rsid w:val="00C03EFF"/>
    <w:rsid w:val="00C045D3"/>
    <w:rsid w:val="00C0466E"/>
    <w:rsid w:val="00C0488E"/>
    <w:rsid w:val="00C048B0"/>
    <w:rsid w:val="00C04959"/>
    <w:rsid w:val="00C04A3C"/>
    <w:rsid w:val="00C04BD4"/>
    <w:rsid w:val="00C0505C"/>
    <w:rsid w:val="00C050CC"/>
    <w:rsid w:val="00C0511E"/>
    <w:rsid w:val="00C052D2"/>
    <w:rsid w:val="00C056FF"/>
    <w:rsid w:val="00C05A0B"/>
    <w:rsid w:val="00C06274"/>
    <w:rsid w:val="00C06BDA"/>
    <w:rsid w:val="00C06EF3"/>
    <w:rsid w:val="00C070D4"/>
    <w:rsid w:val="00C073D9"/>
    <w:rsid w:val="00C0759E"/>
    <w:rsid w:val="00C07C66"/>
    <w:rsid w:val="00C10079"/>
    <w:rsid w:val="00C102FC"/>
    <w:rsid w:val="00C1049A"/>
    <w:rsid w:val="00C105D0"/>
    <w:rsid w:val="00C10D24"/>
    <w:rsid w:val="00C11402"/>
    <w:rsid w:val="00C115C0"/>
    <w:rsid w:val="00C1189A"/>
    <w:rsid w:val="00C123D0"/>
    <w:rsid w:val="00C123E6"/>
    <w:rsid w:val="00C126CC"/>
    <w:rsid w:val="00C12B62"/>
    <w:rsid w:val="00C12DA8"/>
    <w:rsid w:val="00C12F51"/>
    <w:rsid w:val="00C13460"/>
    <w:rsid w:val="00C13A6B"/>
    <w:rsid w:val="00C13DEE"/>
    <w:rsid w:val="00C13F26"/>
    <w:rsid w:val="00C140C6"/>
    <w:rsid w:val="00C1465E"/>
    <w:rsid w:val="00C146EC"/>
    <w:rsid w:val="00C14748"/>
    <w:rsid w:val="00C14787"/>
    <w:rsid w:val="00C151E4"/>
    <w:rsid w:val="00C15225"/>
    <w:rsid w:val="00C15342"/>
    <w:rsid w:val="00C15445"/>
    <w:rsid w:val="00C15DD3"/>
    <w:rsid w:val="00C16378"/>
    <w:rsid w:val="00C164A3"/>
    <w:rsid w:val="00C164AA"/>
    <w:rsid w:val="00C165A4"/>
    <w:rsid w:val="00C165FB"/>
    <w:rsid w:val="00C168F4"/>
    <w:rsid w:val="00C16B79"/>
    <w:rsid w:val="00C16B7A"/>
    <w:rsid w:val="00C16CA4"/>
    <w:rsid w:val="00C16EBD"/>
    <w:rsid w:val="00C16EF1"/>
    <w:rsid w:val="00C1707F"/>
    <w:rsid w:val="00C173B6"/>
    <w:rsid w:val="00C17790"/>
    <w:rsid w:val="00C17D8B"/>
    <w:rsid w:val="00C20202"/>
    <w:rsid w:val="00C203B2"/>
    <w:rsid w:val="00C20A9F"/>
    <w:rsid w:val="00C20B44"/>
    <w:rsid w:val="00C2143A"/>
    <w:rsid w:val="00C2147E"/>
    <w:rsid w:val="00C215DF"/>
    <w:rsid w:val="00C2173E"/>
    <w:rsid w:val="00C217E9"/>
    <w:rsid w:val="00C219CD"/>
    <w:rsid w:val="00C21CEC"/>
    <w:rsid w:val="00C21F78"/>
    <w:rsid w:val="00C220E5"/>
    <w:rsid w:val="00C2210A"/>
    <w:rsid w:val="00C22141"/>
    <w:rsid w:val="00C2264D"/>
    <w:rsid w:val="00C22E0F"/>
    <w:rsid w:val="00C22F99"/>
    <w:rsid w:val="00C231C0"/>
    <w:rsid w:val="00C23217"/>
    <w:rsid w:val="00C23284"/>
    <w:rsid w:val="00C23648"/>
    <w:rsid w:val="00C237E4"/>
    <w:rsid w:val="00C23937"/>
    <w:rsid w:val="00C23B99"/>
    <w:rsid w:val="00C23D05"/>
    <w:rsid w:val="00C23D2E"/>
    <w:rsid w:val="00C23D4C"/>
    <w:rsid w:val="00C23D76"/>
    <w:rsid w:val="00C23F21"/>
    <w:rsid w:val="00C243C9"/>
    <w:rsid w:val="00C2457F"/>
    <w:rsid w:val="00C24F7A"/>
    <w:rsid w:val="00C25101"/>
    <w:rsid w:val="00C251CE"/>
    <w:rsid w:val="00C251E9"/>
    <w:rsid w:val="00C2534F"/>
    <w:rsid w:val="00C25419"/>
    <w:rsid w:val="00C259CD"/>
    <w:rsid w:val="00C25CA9"/>
    <w:rsid w:val="00C25D51"/>
    <w:rsid w:val="00C2601C"/>
    <w:rsid w:val="00C263CD"/>
    <w:rsid w:val="00C26F01"/>
    <w:rsid w:val="00C271BE"/>
    <w:rsid w:val="00C276D6"/>
    <w:rsid w:val="00C278FF"/>
    <w:rsid w:val="00C27A1A"/>
    <w:rsid w:val="00C27B9B"/>
    <w:rsid w:val="00C27DBF"/>
    <w:rsid w:val="00C27EB6"/>
    <w:rsid w:val="00C30075"/>
    <w:rsid w:val="00C305AE"/>
    <w:rsid w:val="00C31001"/>
    <w:rsid w:val="00C3116D"/>
    <w:rsid w:val="00C31502"/>
    <w:rsid w:val="00C31537"/>
    <w:rsid w:val="00C315DC"/>
    <w:rsid w:val="00C317EF"/>
    <w:rsid w:val="00C31AC3"/>
    <w:rsid w:val="00C32456"/>
    <w:rsid w:val="00C324A5"/>
    <w:rsid w:val="00C32819"/>
    <w:rsid w:val="00C32841"/>
    <w:rsid w:val="00C328DD"/>
    <w:rsid w:val="00C33464"/>
    <w:rsid w:val="00C33994"/>
    <w:rsid w:val="00C33A9B"/>
    <w:rsid w:val="00C33AD5"/>
    <w:rsid w:val="00C33B62"/>
    <w:rsid w:val="00C33C1F"/>
    <w:rsid w:val="00C33F5F"/>
    <w:rsid w:val="00C34270"/>
    <w:rsid w:val="00C3464D"/>
    <w:rsid w:val="00C349F8"/>
    <w:rsid w:val="00C35927"/>
    <w:rsid w:val="00C35DB6"/>
    <w:rsid w:val="00C36812"/>
    <w:rsid w:val="00C376E9"/>
    <w:rsid w:val="00C37F0D"/>
    <w:rsid w:val="00C400D7"/>
    <w:rsid w:val="00C403AE"/>
    <w:rsid w:val="00C40644"/>
    <w:rsid w:val="00C40C82"/>
    <w:rsid w:val="00C40CE4"/>
    <w:rsid w:val="00C40D34"/>
    <w:rsid w:val="00C40DEB"/>
    <w:rsid w:val="00C41233"/>
    <w:rsid w:val="00C412E9"/>
    <w:rsid w:val="00C417FA"/>
    <w:rsid w:val="00C4189D"/>
    <w:rsid w:val="00C41EA8"/>
    <w:rsid w:val="00C41F16"/>
    <w:rsid w:val="00C41F2A"/>
    <w:rsid w:val="00C41FA9"/>
    <w:rsid w:val="00C421E4"/>
    <w:rsid w:val="00C429D8"/>
    <w:rsid w:val="00C42FD4"/>
    <w:rsid w:val="00C43B1E"/>
    <w:rsid w:val="00C43C9F"/>
    <w:rsid w:val="00C43F82"/>
    <w:rsid w:val="00C44080"/>
    <w:rsid w:val="00C4414A"/>
    <w:rsid w:val="00C44235"/>
    <w:rsid w:val="00C44583"/>
    <w:rsid w:val="00C44837"/>
    <w:rsid w:val="00C454AB"/>
    <w:rsid w:val="00C454E6"/>
    <w:rsid w:val="00C45508"/>
    <w:rsid w:val="00C45510"/>
    <w:rsid w:val="00C45DC6"/>
    <w:rsid w:val="00C463C2"/>
    <w:rsid w:val="00C46721"/>
    <w:rsid w:val="00C46C82"/>
    <w:rsid w:val="00C472C3"/>
    <w:rsid w:val="00C476A1"/>
    <w:rsid w:val="00C4773A"/>
    <w:rsid w:val="00C47B87"/>
    <w:rsid w:val="00C503B7"/>
    <w:rsid w:val="00C5062A"/>
    <w:rsid w:val="00C50C36"/>
    <w:rsid w:val="00C515AA"/>
    <w:rsid w:val="00C51B78"/>
    <w:rsid w:val="00C51D57"/>
    <w:rsid w:val="00C52486"/>
    <w:rsid w:val="00C52541"/>
    <w:rsid w:val="00C52638"/>
    <w:rsid w:val="00C52688"/>
    <w:rsid w:val="00C52793"/>
    <w:rsid w:val="00C52EA3"/>
    <w:rsid w:val="00C52F49"/>
    <w:rsid w:val="00C52F6D"/>
    <w:rsid w:val="00C52F85"/>
    <w:rsid w:val="00C530B9"/>
    <w:rsid w:val="00C53AE1"/>
    <w:rsid w:val="00C53C04"/>
    <w:rsid w:val="00C53F79"/>
    <w:rsid w:val="00C54528"/>
    <w:rsid w:val="00C5481D"/>
    <w:rsid w:val="00C54D77"/>
    <w:rsid w:val="00C550C2"/>
    <w:rsid w:val="00C5572A"/>
    <w:rsid w:val="00C55A59"/>
    <w:rsid w:val="00C55BD6"/>
    <w:rsid w:val="00C55C30"/>
    <w:rsid w:val="00C55DF0"/>
    <w:rsid w:val="00C56287"/>
    <w:rsid w:val="00C56807"/>
    <w:rsid w:val="00C5698C"/>
    <w:rsid w:val="00C56BBB"/>
    <w:rsid w:val="00C57419"/>
    <w:rsid w:val="00C57475"/>
    <w:rsid w:val="00C57749"/>
    <w:rsid w:val="00C5790E"/>
    <w:rsid w:val="00C57A1E"/>
    <w:rsid w:val="00C57E7D"/>
    <w:rsid w:val="00C6018C"/>
    <w:rsid w:val="00C60B92"/>
    <w:rsid w:val="00C60DF7"/>
    <w:rsid w:val="00C613C2"/>
    <w:rsid w:val="00C614FD"/>
    <w:rsid w:val="00C61556"/>
    <w:rsid w:val="00C61766"/>
    <w:rsid w:val="00C61CE9"/>
    <w:rsid w:val="00C6217D"/>
    <w:rsid w:val="00C6230D"/>
    <w:rsid w:val="00C624BB"/>
    <w:rsid w:val="00C624FF"/>
    <w:rsid w:val="00C629F1"/>
    <w:rsid w:val="00C62AA7"/>
    <w:rsid w:val="00C62F25"/>
    <w:rsid w:val="00C62F3A"/>
    <w:rsid w:val="00C63218"/>
    <w:rsid w:val="00C63390"/>
    <w:rsid w:val="00C633A4"/>
    <w:rsid w:val="00C63779"/>
    <w:rsid w:val="00C639A3"/>
    <w:rsid w:val="00C63D11"/>
    <w:rsid w:val="00C63D80"/>
    <w:rsid w:val="00C63EFC"/>
    <w:rsid w:val="00C6458E"/>
    <w:rsid w:val="00C645A4"/>
    <w:rsid w:val="00C647E6"/>
    <w:rsid w:val="00C64A6D"/>
    <w:rsid w:val="00C64B7C"/>
    <w:rsid w:val="00C64CEA"/>
    <w:rsid w:val="00C64E98"/>
    <w:rsid w:val="00C65035"/>
    <w:rsid w:val="00C650A1"/>
    <w:rsid w:val="00C65512"/>
    <w:rsid w:val="00C65579"/>
    <w:rsid w:val="00C65B10"/>
    <w:rsid w:val="00C66553"/>
    <w:rsid w:val="00C66687"/>
    <w:rsid w:val="00C66A4A"/>
    <w:rsid w:val="00C66B06"/>
    <w:rsid w:val="00C67280"/>
    <w:rsid w:val="00C6766C"/>
    <w:rsid w:val="00C7024E"/>
    <w:rsid w:val="00C706D1"/>
    <w:rsid w:val="00C70A4A"/>
    <w:rsid w:val="00C70AD2"/>
    <w:rsid w:val="00C70B55"/>
    <w:rsid w:val="00C712AE"/>
    <w:rsid w:val="00C71867"/>
    <w:rsid w:val="00C71A51"/>
    <w:rsid w:val="00C71DEF"/>
    <w:rsid w:val="00C72000"/>
    <w:rsid w:val="00C72158"/>
    <w:rsid w:val="00C722C1"/>
    <w:rsid w:val="00C727E6"/>
    <w:rsid w:val="00C72A1C"/>
    <w:rsid w:val="00C72C3F"/>
    <w:rsid w:val="00C73456"/>
    <w:rsid w:val="00C73924"/>
    <w:rsid w:val="00C73D0E"/>
    <w:rsid w:val="00C73E39"/>
    <w:rsid w:val="00C73F07"/>
    <w:rsid w:val="00C74523"/>
    <w:rsid w:val="00C74609"/>
    <w:rsid w:val="00C749A2"/>
    <w:rsid w:val="00C74CD4"/>
    <w:rsid w:val="00C74CFB"/>
    <w:rsid w:val="00C74D90"/>
    <w:rsid w:val="00C750C5"/>
    <w:rsid w:val="00C752E4"/>
    <w:rsid w:val="00C75612"/>
    <w:rsid w:val="00C75A90"/>
    <w:rsid w:val="00C75B41"/>
    <w:rsid w:val="00C75BE5"/>
    <w:rsid w:val="00C75DA0"/>
    <w:rsid w:val="00C75F26"/>
    <w:rsid w:val="00C760F2"/>
    <w:rsid w:val="00C76916"/>
    <w:rsid w:val="00C76DF6"/>
    <w:rsid w:val="00C76EE3"/>
    <w:rsid w:val="00C771D2"/>
    <w:rsid w:val="00C771D3"/>
    <w:rsid w:val="00C77641"/>
    <w:rsid w:val="00C77751"/>
    <w:rsid w:val="00C77A6A"/>
    <w:rsid w:val="00C77FCB"/>
    <w:rsid w:val="00C80789"/>
    <w:rsid w:val="00C809D4"/>
    <w:rsid w:val="00C80B69"/>
    <w:rsid w:val="00C80D0E"/>
    <w:rsid w:val="00C81278"/>
    <w:rsid w:val="00C812FB"/>
    <w:rsid w:val="00C81BF6"/>
    <w:rsid w:val="00C823DA"/>
    <w:rsid w:val="00C82962"/>
    <w:rsid w:val="00C82981"/>
    <w:rsid w:val="00C82B1E"/>
    <w:rsid w:val="00C82CE6"/>
    <w:rsid w:val="00C82F19"/>
    <w:rsid w:val="00C83266"/>
    <w:rsid w:val="00C8334D"/>
    <w:rsid w:val="00C83372"/>
    <w:rsid w:val="00C83AB0"/>
    <w:rsid w:val="00C83B23"/>
    <w:rsid w:val="00C84649"/>
    <w:rsid w:val="00C849F2"/>
    <w:rsid w:val="00C84EB4"/>
    <w:rsid w:val="00C851A0"/>
    <w:rsid w:val="00C8543F"/>
    <w:rsid w:val="00C85A9F"/>
    <w:rsid w:val="00C85CBF"/>
    <w:rsid w:val="00C85F10"/>
    <w:rsid w:val="00C85FA6"/>
    <w:rsid w:val="00C86592"/>
    <w:rsid w:val="00C86DE5"/>
    <w:rsid w:val="00C86E90"/>
    <w:rsid w:val="00C86F07"/>
    <w:rsid w:val="00C876DC"/>
    <w:rsid w:val="00C878D6"/>
    <w:rsid w:val="00C87F06"/>
    <w:rsid w:val="00C90363"/>
    <w:rsid w:val="00C90547"/>
    <w:rsid w:val="00C90666"/>
    <w:rsid w:val="00C908FB"/>
    <w:rsid w:val="00C90BEF"/>
    <w:rsid w:val="00C90F5C"/>
    <w:rsid w:val="00C90FE7"/>
    <w:rsid w:val="00C9102A"/>
    <w:rsid w:val="00C91B43"/>
    <w:rsid w:val="00C91D6B"/>
    <w:rsid w:val="00C91EDC"/>
    <w:rsid w:val="00C92144"/>
    <w:rsid w:val="00C925DF"/>
    <w:rsid w:val="00C925FF"/>
    <w:rsid w:val="00C92696"/>
    <w:rsid w:val="00C926C5"/>
    <w:rsid w:val="00C92D70"/>
    <w:rsid w:val="00C930DA"/>
    <w:rsid w:val="00C93DD3"/>
    <w:rsid w:val="00C9405E"/>
    <w:rsid w:val="00C942C8"/>
    <w:rsid w:val="00C946F9"/>
    <w:rsid w:val="00C948C3"/>
    <w:rsid w:val="00C95086"/>
    <w:rsid w:val="00C952FB"/>
    <w:rsid w:val="00C95562"/>
    <w:rsid w:val="00C95770"/>
    <w:rsid w:val="00C95B7F"/>
    <w:rsid w:val="00C95C17"/>
    <w:rsid w:val="00C95ED8"/>
    <w:rsid w:val="00C9639C"/>
    <w:rsid w:val="00C96737"/>
    <w:rsid w:val="00C97455"/>
    <w:rsid w:val="00C97566"/>
    <w:rsid w:val="00CA0DCD"/>
    <w:rsid w:val="00CA11A3"/>
    <w:rsid w:val="00CA1387"/>
    <w:rsid w:val="00CA1B62"/>
    <w:rsid w:val="00CA1D48"/>
    <w:rsid w:val="00CA1E38"/>
    <w:rsid w:val="00CA1F26"/>
    <w:rsid w:val="00CA1F30"/>
    <w:rsid w:val="00CA284B"/>
    <w:rsid w:val="00CA2BC4"/>
    <w:rsid w:val="00CA2D7C"/>
    <w:rsid w:val="00CA2DB3"/>
    <w:rsid w:val="00CA308D"/>
    <w:rsid w:val="00CA336F"/>
    <w:rsid w:val="00CA3524"/>
    <w:rsid w:val="00CA389E"/>
    <w:rsid w:val="00CA3BCE"/>
    <w:rsid w:val="00CA3D18"/>
    <w:rsid w:val="00CA3E36"/>
    <w:rsid w:val="00CA412A"/>
    <w:rsid w:val="00CA416B"/>
    <w:rsid w:val="00CA4782"/>
    <w:rsid w:val="00CA47A1"/>
    <w:rsid w:val="00CA4CD8"/>
    <w:rsid w:val="00CA4FB1"/>
    <w:rsid w:val="00CA51A1"/>
    <w:rsid w:val="00CA51BB"/>
    <w:rsid w:val="00CA5407"/>
    <w:rsid w:val="00CA5439"/>
    <w:rsid w:val="00CA54CE"/>
    <w:rsid w:val="00CA64B4"/>
    <w:rsid w:val="00CA6613"/>
    <w:rsid w:val="00CA675C"/>
    <w:rsid w:val="00CA688C"/>
    <w:rsid w:val="00CA6C54"/>
    <w:rsid w:val="00CA6DA9"/>
    <w:rsid w:val="00CA6E7E"/>
    <w:rsid w:val="00CA7019"/>
    <w:rsid w:val="00CA72FF"/>
    <w:rsid w:val="00CA735A"/>
    <w:rsid w:val="00CA77B7"/>
    <w:rsid w:val="00CA7C14"/>
    <w:rsid w:val="00CB0661"/>
    <w:rsid w:val="00CB0811"/>
    <w:rsid w:val="00CB0CCD"/>
    <w:rsid w:val="00CB0D68"/>
    <w:rsid w:val="00CB1212"/>
    <w:rsid w:val="00CB1351"/>
    <w:rsid w:val="00CB17BB"/>
    <w:rsid w:val="00CB2062"/>
    <w:rsid w:val="00CB2155"/>
    <w:rsid w:val="00CB21F3"/>
    <w:rsid w:val="00CB2DD7"/>
    <w:rsid w:val="00CB2EA5"/>
    <w:rsid w:val="00CB2FB0"/>
    <w:rsid w:val="00CB30AC"/>
    <w:rsid w:val="00CB32D0"/>
    <w:rsid w:val="00CB332D"/>
    <w:rsid w:val="00CB338D"/>
    <w:rsid w:val="00CB33A5"/>
    <w:rsid w:val="00CB37CB"/>
    <w:rsid w:val="00CB38B7"/>
    <w:rsid w:val="00CB42E3"/>
    <w:rsid w:val="00CB4578"/>
    <w:rsid w:val="00CB4932"/>
    <w:rsid w:val="00CB50E6"/>
    <w:rsid w:val="00CB5375"/>
    <w:rsid w:val="00CB55AB"/>
    <w:rsid w:val="00CB596B"/>
    <w:rsid w:val="00CB5C62"/>
    <w:rsid w:val="00CB5DB1"/>
    <w:rsid w:val="00CB6054"/>
    <w:rsid w:val="00CB6059"/>
    <w:rsid w:val="00CB633B"/>
    <w:rsid w:val="00CB64F2"/>
    <w:rsid w:val="00CB6645"/>
    <w:rsid w:val="00CB6CA7"/>
    <w:rsid w:val="00CB6DBF"/>
    <w:rsid w:val="00CB6F06"/>
    <w:rsid w:val="00CB719A"/>
    <w:rsid w:val="00CB754F"/>
    <w:rsid w:val="00CB77B4"/>
    <w:rsid w:val="00CB7B89"/>
    <w:rsid w:val="00CC0254"/>
    <w:rsid w:val="00CC04AB"/>
    <w:rsid w:val="00CC0B4D"/>
    <w:rsid w:val="00CC0EF6"/>
    <w:rsid w:val="00CC1A69"/>
    <w:rsid w:val="00CC1D96"/>
    <w:rsid w:val="00CC22DA"/>
    <w:rsid w:val="00CC2680"/>
    <w:rsid w:val="00CC2726"/>
    <w:rsid w:val="00CC2CF4"/>
    <w:rsid w:val="00CC30E9"/>
    <w:rsid w:val="00CC3839"/>
    <w:rsid w:val="00CC3854"/>
    <w:rsid w:val="00CC3BFA"/>
    <w:rsid w:val="00CC3FB7"/>
    <w:rsid w:val="00CC4C0D"/>
    <w:rsid w:val="00CC50B1"/>
    <w:rsid w:val="00CC51CB"/>
    <w:rsid w:val="00CC53B2"/>
    <w:rsid w:val="00CC549B"/>
    <w:rsid w:val="00CC595C"/>
    <w:rsid w:val="00CC598C"/>
    <w:rsid w:val="00CC59DA"/>
    <w:rsid w:val="00CC5C6A"/>
    <w:rsid w:val="00CC5D1D"/>
    <w:rsid w:val="00CC62B7"/>
    <w:rsid w:val="00CC6586"/>
    <w:rsid w:val="00CC6926"/>
    <w:rsid w:val="00CC6AA3"/>
    <w:rsid w:val="00CC6B95"/>
    <w:rsid w:val="00CC7E5B"/>
    <w:rsid w:val="00CD0478"/>
    <w:rsid w:val="00CD05BB"/>
    <w:rsid w:val="00CD0948"/>
    <w:rsid w:val="00CD13A0"/>
    <w:rsid w:val="00CD1441"/>
    <w:rsid w:val="00CD15C0"/>
    <w:rsid w:val="00CD15F2"/>
    <w:rsid w:val="00CD161D"/>
    <w:rsid w:val="00CD16AD"/>
    <w:rsid w:val="00CD1A1B"/>
    <w:rsid w:val="00CD1F53"/>
    <w:rsid w:val="00CD26CA"/>
    <w:rsid w:val="00CD2B5D"/>
    <w:rsid w:val="00CD2C48"/>
    <w:rsid w:val="00CD2F74"/>
    <w:rsid w:val="00CD3078"/>
    <w:rsid w:val="00CD3390"/>
    <w:rsid w:val="00CD33AC"/>
    <w:rsid w:val="00CD368C"/>
    <w:rsid w:val="00CD398D"/>
    <w:rsid w:val="00CD3CCC"/>
    <w:rsid w:val="00CD42FA"/>
    <w:rsid w:val="00CD4958"/>
    <w:rsid w:val="00CD4B3F"/>
    <w:rsid w:val="00CD50C6"/>
    <w:rsid w:val="00CD50F8"/>
    <w:rsid w:val="00CD51A6"/>
    <w:rsid w:val="00CD53E9"/>
    <w:rsid w:val="00CD56C9"/>
    <w:rsid w:val="00CD5FB7"/>
    <w:rsid w:val="00CD6048"/>
    <w:rsid w:val="00CD633A"/>
    <w:rsid w:val="00CD6695"/>
    <w:rsid w:val="00CD66AF"/>
    <w:rsid w:val="00CD66F7"/>
    <w:rsid w:val="00CD698F"/>
    <w:rsid w:val="00CD6D97"/>
    <w:rsid w:val="00CD6DFA"/>
    <w:rsid w:val="00CD6F7B"/>
    <w:rsid w:val="00CD7364"/>
    <w:rsid w:val="00CD737E"/>
    <w:rsid w:val="00CD738A"/>
    <w:rsid w:val="00CD739B"/>
    <w:rsid w:val="00CD7636"/>
    <w:rsid w:val="00CD7A33"/>
    <w:rsid w:val="00CD7A37"/>
    <w:rsid w:val="00CE01FE"/>
    <w:rsid w:val="00CE028A"/>
    <w:rsid w:val="00CE07EB"/>
    <w:rsid w:val="00CE09A6"/>
    <w:rsid w:val="00CE0CA7"/>
    <w:rsid w:val="00CE0D54"/>
    <w:rsid w:val="00CE0DDD"/>
    <w:rsid w:val="00CE0F36"/>
    <w:rsid w:val="00CE14D2"/>
    <w:rsid w:val="00CE196C"/>
    <w:rsid w:val="00CE1F17"/>
    <w:rsid w:val="00CE1F87"/>
    <w:rsid w:val="00CE2434"/>
    <w:rsid w:val="00CE2A1B"/>
    <w:rsid w:val="00CE2A58"/>
    <w:rsid w:val="00CE2ACD"/>
    <w:rsid w:val="00CE2B37"/>
    <w:rsid w:val="00CE3A7E"/>
    <w:rsid w:val="00CE3C5B"/>
    <w:rsid w:val="00CE3CD0"/>
    <w:rsid w:val="00CE44FC"/>
    <w:rsid w:val="00CE4811"/>
    <w:rsid w:val="00CE4D93"/>
    <w:rsid w:val="00CE4F32"/>
    <w:rsid w:val="00CE51CD"/>
    <w:rsid w:val="00CE66D9"/>
    <w:rsid w:val="00CE66F9"/>
    <w:rsid w:val="00CE6843"/>
    <w:rsid w:val="00CE68C8"/>
    <w:rsid w:val="00CE6A4A"/>
    <w:rsid w:val="00CE6A89"/>
    <w:rsid w:val="00CE6D28"/>
    <w:rsid w:val="00CE6EF7"/>
    <w:rsid w:val="00CE725D"/>
    <w:rsid w:val="00CE72A9"/>
    <w:rsid w:val="00CE736C"/>
    <w:rsid w:val="00CE78B6"/>
    <w:rsid w:val="00CE7AB0"/>
    <w:rsid w:val="00CE7B0B"/>
    <w:rsid w:val="00CE7D26"/>
    <w:rsid w:val="00CE7FD8"/>
    <w:rsid w:val="00CF024B"/>
    <w:rsid w:val="00CF033C"/>
    <w:rsid w:val="00CF0D04"/>
    <w:rsid w:val="00CF0F02"/>
    <w:rsid w:val="00CF108C"/>
    <w:rsid w:val="00CF119F"/>
    <w:rsid w:val="00CF1508"/>
    <w:rsid w:val="00CF17B1"/>
    <w:rsid w:val="00CF17F2"/>
    <w:rsid w:val="00CF1878"/>
    <w:rsid w:val="00CF1B17"/>
    <w:rsid w:val="00CF1B50"/>
    <w:rsid w:val="00CF1D52"/>
    <w:rsid w:val="00CF1ECD"/>
    <w:rsid w:val="00CF24EE"/>
    <w:rsid w:val="00CF2535"/>
    <w:rsid w:val="00CF27C0"/>
    <w:rsid w:val="00CF2AA6"/>
    <w:rsid w:val="00CF2B04"/>
    <w:rsid w:val="00CF2B5A"/>
    <w:rsid w:val="00CF2E5A"/>
    <w:rsid w:val="00CF3260"/>
    <w:rsid w:val="00CF3388"/>
    <w:rsid w:val="00CF33E2"/>
    <w:rsid w:val="00CF3A51"/>
    <w:rsid w:val="00CF3B80"/>
    <w:rsid w:val="00CF3CB3"/>
    <w:rsid w:val="00CF3F29"/>
    <w:rsid w:val="00CF4432"/>
    <w:rsid w:val="00CF4AA4"/>
    <w:rsid w:val="00CF52D1"/>
    <w:rsid w:val="00CF5BB2"/>
    <w:rsid w:val="00CF5F0D"/>
    <w:rsid w:val="00CF63C8"/>
    <w:rsid w:val="00CF6504"/>
    <w:rsid w:val="00CF6555"/>
    <w:rsid w:val="00CF66F8"/>
    <w:rsid w:val="00CF6896"/>
    <w:rsid w:val="00CF6CF5"/>
    <w:rsid w:val="00CF6E95"/>
    <w:rsid w:val="00CF73BE"/>
    <w:rsid w:val="00CF7555"/>
    <w:rsid w:val="00CF7DB2"/>
    <w:rsid w:val="00CF7E90"/>
    <w:rsid w:val="00D0046B"/>
    <w:rsid w:val="00D0057D"/>
    <w:rsid w:val="00D00980"/>
    <w:rsid w:val="00D00CCA"/>
    <w:rsid w:val="00D00E63"/>
    <w:rsid w:val="00D01418"/>
    <w:rsid w:val="00D0143E"/>
    <w:rsid w:val="00D016A4"/>
    <w:rsid w:val="00D0181A"/>
    <w:rsid w:val="00D0191A"/>
    <w:rsid w:val="00D022A0"/>
    <w:rsid w:val="00D02624"/>
    <w:rsid w:val="00D026E7"/>
    <w:rsid w:val="00D028DD"/>
    <w:rsid w:val="00D02BDD"/>
    <w:rsid w:val="00D02EED"/>
    <w:rsid w:val="00D03422"/>
    <w:rsid w:val="00D03447"/>
    <w:rsid w:val="00D034AF"/>
    <w:rsid w:val="00D0358B"/>
    <w:rsid w:val="00D039EF"/>
    <w:rsid w:val="00D03D99"/>
    <w:rsid w:val="00D0403E"/>
    <w:rsid w:val="00D0416E"/>
    <w:rsid w:val="00D041D4"/>
    <w:rsid w:val="00D044AA"/>
    <w:rsid w:val="00D04848"/>
    <w:rsid w:val="00D04921"/>
    <w:rsid w:val="00D04BDD"/>
    <w:rsid w:val="00D05195"/>
    <w:rsid w:val="00D053CD"/>
    <w:rsid w:val="00D054D9"/>
    <w:rsid w:val="00D0551A"/>
    <w:rsid w:val="00D055DA"/>
    <w:rsid w:val="00D0588F"/>
    <w:rsid w:val="00D05DB0"/>
    <w:rsid w:val="00D05E58"/>
    <w:rsid w:val="00D06376"/>
    <w:rsid w:val="00D066F0"/>
    <w:rsid w:val="00D06C6D"/>
    <w:rsid w:val="00D07689"/>
    <w:rsid w:val="00D07986"/>
    <w:rsid w:val="00D10045"/>
    <w:rsid w:val="00D1049C"/>
    <w:rsid w:val="00D10950"/>
    <w:rsid w:val="00D11B41"/>
    <w:rsid w:val="00D11C53"/>
    <w:rsid w:val="00D11C69"/>
    <w:rsid w:val="00D11D36"/>
    <w:rsid w:val="00D11DCE"/>
    <w:rsid w:val="00D1234D"/>
    <w:rsid w:val="00D1241A"/>
    <w:rsid w:val="00D12797"/>
    <w:rsid w:val="00D1296C"/>
    <w:rsid w:val="00D12AF1"/>
    <w:rsid w:val="00D13097"/>
    <w:rsid w:val="00D13BDE"/>
    <w:rsid w:val="00D13C79"/>
    <w:rsid w:val="00D13D05"/>
    <w:rsid w:val="00D13D12"/>
    <w:rsid w:val="00D1408B"/>
    <w:rsid w:val="00D140B8"/>
    <w:rsid w:val="00D1437D"/>
    <w:rsid w:val="00D1450A"/>
    <w:rsid w:val="00D14965"/>
    <w:rsid w:val="00D153B3"/>
    <w:rsid w:val="00D153F7"/>
    <w:rsid w:val="00D1542E"/>
    <w:rsid w:val="00D15E03"/>
    <w:rsid w:val="00D15E91"/>
    <w:rsid w:val="00D160B4"/>
    <w:rsid w:val="00D16338"/>
    <w:rsid w:val="00D1663C"/>
    <w:rsid w:val="00D1666A"/>
    <w:rsid w:val="00D16672"/>
    <w:rsid w:val="00D166B3"/>
    <w:rsid w:val="00D16A8E"/>
    <w:rsid w:val="00D16EF2"/>
    <w:rsid w:val="00D16F31"/>
    <w:rsid w:val="00D17243"/>
    <w:rsid w:val="00D173E7"/>
    <w:rsid w:val="00D1768B"/>
    <w:rsid w:val="00D17837"/>
    <w:rsid w:val="00D1787D"/>
    <w:rsid w:val="00D179A3"/>
    <w:rsid w:val="00D17F6A"/>
    <w:rsid w:val="00D2046F"/>
    <w:rsid w:val="00D205F8"/>
    <w:rsid w:val="00D2066E"/>
    <w:rsid w:val="00D20746"/>
    <w:rsid w:val="00D209F1"/>
    <w:rsid w:val="00D20A01"/>
    <w:rsid w:val="00D20B78"/>
    <w:rsid w:val="00D2115E"/>
    <w:rsid w:val="00D21414"/>
    <w:rsid w:val="00D22239"/>
    <w:rsid w:val="00D224A2"/>
    <w:rsid w:val="00D22D1C"/>
    <w:rsid w:val="00D22D2A"/>
    <w:rsid w:val="00D22D85"/>
    <w:rsid w:val="00D22DB3"/>
    <w:rsid w:val="00D22DC3"/>
    <w:rsid w:val="00D22E57"/>
    <w:rsid w:val="00D23965"/>
    <w:rsid w:val="00D23973"/>
    <w:rsid w:val="00D23E2D"/>
    <w:rsid w:val="00D24826"/>
    <w:rsid w:val="00D25514"/>
    <w:rsid w:val="00D2552A"/>
    <w:rsid w:val="00D258A4"/>
    <w:rsid w:val="00D25FB3"/>
    <w:rsid w:val="00D262A6"/>
    <w:rsid w:val="00D2636F"/>
    <w:rsid w:val="00D26729"/>
    <w:rsid w:val="00D268D5"/>
    <w:rsid w:val="00D26B28"/>
    <w:rsid w:val="00D26ECC"/>
    <w:rsid w:val="00D27110"/>
    <w:rsid w:val="00D27495"/>
    <w:rsid w:val="00D27893"/>
    <w:rsid w:val="00D30065"/>
    <w:rsid w:val="00D3033E"/>
    <w:rsid w:val="00D30B9A"/>
    <w:rsid w:val="00D30C6A"/>
    <w:rsid w:val="00D30C8E"/>
    <w:rsid w:val="00D30D84"/>
    <w:rsid w:val="00D30E61"/>
    <w:rsid w:val="00D3128B"/>
    <w:rsid w:val="00D314A0"/>
    <w:rsid w:val="00D31593"/>
    <w:rsid w:val="00D317DD"/>
    <w:rsid w:val="00D31C1F"/>
    <w:rsid w:val="00D31C89"/>
    <w:rsid w:val="00D32347"/>
    <w:rsid w:val="00D324F5"/>
    <w:rsid w:val="00D326FD"/>
    <w:rsid w:val="00D32C81"/>
    <w:rsid w:val="00D333E7"/>
    <w:rsid w:val="00D3340C"/>
    <w:rsid w:val="00D33B78"/>
    <w:rsid w:val="00D33D9A"/>
    <w:rsid w:val="00D34063"/>
    <w:rsid w:val="00D34AB0"/>
    <w:rsid w:val="00D34BF6"/>
    <w:rsid w:val="00D34DC6"/>
    <w:rsid w:val="00D356F6"/>
    <w:rsid w:val="00D358D8"/>
    <w:rsid w:val="00D35D72"/>
    <w:rsid w:val="00D35DA6"/>
    <w:rsid w:val="00D35F49"/>
    <w:rsid w:val="00D3605C"/>
    <w:rsid w:val="00D361CD"/>
    <w:rsid w:val="00D36530"/>
    <w:rsid w:val="00D367AD"/>
    <w:rsid w:val="00D36B67"/>
    <w:rsid w:val="00D375F8"/>
    <w:rsid w:val="00D37880"/>
    <w:rsid w:val="00D379C1"/>
    <w:rsid w:val="00D4054B"/>
    <w:rsid w:val="00D4067A"/>
    <w:rsid w:val="00D407EC"/>
    <w:rsid w:val="00D40A02"/>
    <w:rsid w:val="00D40E05"/>
    <w:rsid w:val="00D40F81"/>
    <w:rsid w:val="00D41C18"/>
    <w:rsid w:val="00D42BF6"/>
    <w:rsid w:val="00D42C6A"/>
    <w:rsid w:val="00D42E1B"/>
    <w:rsid w:val="00D433FB"/>
    <w:rsid w:val="00D4341C"/>
    <w:rsid w:val="00D43442"/>
    <w:rsid w:val="00D43464"/>
    <w:rsid w:val="00D43626"/>
    <w:rsid w:val="00D43671"/>
    <w:rsid w:val="00D43C3F"/>
    <w:rsid w:val="00D44433"/>
    <w:rsid w:val="00D447ED"/>
    <w:rsid w:val="00D44C48"/>
    <w:rsid w:val="00D44E07"/>
    <w:rsid w:val="00D44E49"/>
    <w:rsid w:val="00D44EB8"/>
    <w:rsid w:val="00D44F01"/>
    <w:rsid w:val="00D44F87"/>
    <w:rsid w:val="00D450F8"/>
    <w:rsid w:val="00D45344"/>
    <w:rsid w:val="00D4537B"/>
    <w:rsid w:val="00D45438"/>
    <w:rsid w:val="00D454BB"/>
    <w:rsid w:val="00D45AFD"/>
    <w:rsid w:val="00D4624B"/>
    <w:rsid w:val="00D462C5"/>
    <w:rsid w:val="00D46918"/>
    <w:rsid w:val="00D47154"/>
    <w:rsid w:val="00D47AE8"/>
    <w:rsid w:val="00D47B96"/>
    <w:rsid w:val="00D47CAE"/>
    <w:rsid w:val="00D47D92"/>
    <w:rsid w:val="00D500A7"/>
    <w:rsid w:val="00D5034C"/>
    <w:rsid w:val="00D5063D"/>
    <w:rsid w:val="00D507D5"/>
    <w:rsid w:val="00D50944"/>
    <w:rsid w:val="00D50AF5"/>
    <w:rsid w:val="00D50B82"/>
    <w:rsid w:val="00D50C45"/>
    <w:rsid w:val="00D50CDE"/>
    <w:rsid w:val="00D5125A"/>
    <w:rsid w:val="00D5128A"/>
    <w:rsid w:val="00D51762"/>
    <w:rsid w:val="00D5182C"/>
    <w:rsid w:val="00D51C99"/>
    <w:rsid w:val="00D52851"/>
    <w:rsid w:val="00D52852"/>
    <w:rsid w:val="00D52935"/>
    <w:rsid w:val="00D52A7F"/>
    <w:rsid w:val="00D52E55"/>
    <w:rsid w:val="00D53351"/>
    <w:rsid w:val="00D53840"/>
    <w:rsid w:val="00D538FA"/>
    <w:rsid w:val="00D53BA4"/>
    <w:rsid w:val="00D53D73"/>
    <w:rsid w:val="00D543C0"/>
    <w:rsid w:val="00D54EFB"/>
    <w:rsid w:val="00D55844"/>
    <w:rsid w:val="00D55858"/>
    <w:rsid w:val="00D561BA"/>
    <w:rsid w:val="00D561E1"/>
    <w:rsid w:val="00D5663B"/>
    <w:rsid w:val="00D569BA"/>
    <w:rsid w:val="00D56D5C"/>
    <w:rsid w:val="00D56DF2"/>
    <w:rsid w:val="00D572DA"/>
    <w:rsid w:val="00D576FF"/>
    <w:rsid w:val="00D577E3"/>
    <w:rsid w:val="00D57FF0"/>
    <w:rsid w:val="00D60A4D"/>
    <w:rsid w:val="00D60AE0"/>
    <w:rsid w:val="00D60C76"/>
    <w:rsid w:val="00D60EF5"/>
    <w:rsid w:val="00D61164"/>
    <w:rsid w:val="00D61954"/>
    <w:rsid w:val="00D61D0F"/>
    <w:rsid w:val="00D6211F"/>
    <w:rsid w:val="00D62196"/>
    <w:rsid w:val="00D629F2"/>
    <w:rsid w:val="00D62F8E"/>
    <w:rsid w:val="00D630E6"/>
    <w:rsid w:val="00D634E1"/>
    <w:rsid w:val="00D636BD"/>
    <w:rsid w:val="00D6394E"/>
    <w:rsid w:val="00D63C23"/>
    <w:rsid w:val="00D63F1B"/>
    <w:rsid w:val="00D64089"/>
    <w:rsid w:val="00D642DD"/>
    <w:rsid w:val="00D6438F"/>
    <w:rsid w:val="00D64811"/>
    <w:rsid w:val="00D64A1D"/>
    <w:rsid w:val="00D64CBC"/>
    <w:rsid w:val="00D64E81"/>
    <w:rsid w:val="00D64F2F"/>
    <w:rsid w:val="00D64F5B"/>
    <w:rsid w:val="00D651E5"/>
    <w:rsid w:val="00D65D1C"/>
    <w:rsid w:val="00D6600A"/>
    <w:rsid w:val="00D660C3"/>
    <w:rsid w:val="00D661C8"/>
    <w:rsid w:val="00D66305"/>
    <w:rsid w:val="00D66950"/>
    <w:rsid w:val="00D67701"/>
    <w:rsid w:val="00D677FE"/>
    <w:rsid w:val="00D67AF8"/>
    <w:rsid w:val="00D67BBA"/>
    <w:rsid w:val="00D7045F"/>
    <w:rsid w:val="00D7064F"/>
    <w:rsid w:val="00D7069A"/>
    <w:rsid w:val="00D70703"/>
    <w:rsid w:val="00D70C70"/>
    <w:rsid w:val="00D714D4"/>
    <w:rsid w:val="00D719C3"/>
    <w:rsid w:val="00D71AFC"/>
    <w:rsid w:val="00D71FEB"/>
    <w:rsid w:val="00D724B1"/>
    <w:rsid w:val="00D725BF"/>
    <w:rsid w:val="00D729E9"/>
    <w:rsid w:val="00D730E4"/>
    <w:rsid w:val="00D7340C"/>
    <w:rsid w:val="00D73B98"/>
    <w:rsid w:val="00D73C2F"/>
    <w:rsid w:val="00D748BE"/>
    <w:rsid w:val="00D74A88"/>
    <w:rsid w:val="00D74D6D"/>
    <w:rsid w:val="00D7502D"/>
    <w:rsid w:val="00D7543B"/>
    <w:rsid w:val="00D75698"/>
    <w:rsid w:val="00D759A8"/>
    <w:rsid w:val="00D75B54"/>
    <w:rsid w:val="00D75C08"/>
    <w:rsid w:val="00D75E47"/>
    <w:rsid w:val="00D75F1C"/>
    <w:rsid w:val="00D767B0"/>
    <w:rsid w:val="00D76E4B"/>
    <w:rsid w:val="00D76E74"/>
    <w:rsid w:val="00D77109"/>
    <w:rsid w:val="00D77182"/>
    <w:rsid w:val="00D77373"/>
    <w:rsid w:val="00D7774C"/>
    <w:rsid w:val="00D778BA"/>
    <w:rsid w:val="00D77E5A"/>
    <w:rsid w:val="00D77F46"/>
    <w:rsid w:val="00D77FFB"/>
    <w:rsid w:val="00D80266"/>
    <w:rsid w:val="00D8059B"/>
    <w:rsid w:val="00D80623"/>
    <w:rsid w:val="00D81138"/>
    <w:rsid w:val="00D816D9"/>
    <w:rsid w:val="00D82087"/>
    <w:rsid w:val="00D82BF8"/>
    <w:rsid w:val="00D82C25"/>
    <w:rsid w:val="00D8329C"/>
    <w:rsid w:val="00D833A5"/>
    <w:rsid w:val="00D84002"/>
    <w:rsid w:val="00D843F4"/>
    <w:rsid w:val="00D84A3B"/>
    <w:rsid w:val="00D84E1A"/>
    <w:rsid w:val="00D8509C"/>
    <w:rsid w:val="00D850D7"/>
    <w:rsid w:val="00D850DE"/>
    <w:rsid w:val="00D85733"/>
    <w:rsid w:val="00D857E5"/>
    <w:rsid w:val="00D85868"/>
    <w:rsid w:val="00D85884"/>
    <w:rsid w:val="00D85958"/>
    <w:rsid w:val="00D859C1"/>
    <w:rsid w:val="00D85B75"/>
    <w:rsid w:val="00D85DDD"/>
    <w:rsid w:val="00D85E4D"/>
    <w:rsid w:val="00D86028"/>
    <w:rsid w:val="00D87200"/>
    <w:rsid w:val="00D87354"/>
    <w:rsid w:val="00D875AF"/>
    <w:rsid w:val="00D87776"/>
    <w:rsid w:val="00D87DCA"/>
    <w:rsid w:val="00D87DE0"/>
    <w:rsid w:val="00D90589"/>
    <w:rsid w:val="00D9088D"/>
    <w:rsid w:val="00D9117A"/>
    <w:rsid w:val="00D915BC"/>
    <w:rsid w:val="00D916B6"/>
    <w:rsid w:val="00D9235E"/>
    <w:rsid w:val="00D924B3"/>
    <w:rsid w:val="00D93214"/>
    <w:rsid w:val="00D9351C"/>
    <w:rsid w:val="00D93848"/>
    <w:rsid w:val="00D9395E"/>
    <w:rsid w:val="00D93BDB"/>
    <w:rsid w:val="00D93CC4"/>
    <w:rsid w:val="00D93D09"/>
    <w:rsid w:val="00D93EC9"/>
    <w:rsid w:val="00D94096"/>
    <w:rsid w:val="00D94BC7"/>
    <w:rsid w:val="00D94D1D"/>
    <w:rsid w:val="00D95133"/>
    <w:rsid w:val="00D95311"/>
    <w:rsid w:val="00D953AD"/>
    <w:rsid w:val="00D95489"/>
    <w:rsid w:val="00D9552E"/>
    <w:rsid w:val="00D9553E"/>
    <w:rsid w:val="00D95A6B"/>
    <w:rsid w:val="00D95B7C"/>
    <w:rsid w:val="00D95C5A"/>
    <w:rsid w:val="00D9612F"/>
    <w:rsid w:val="00D96448"/>
    <w:rsid w:val="00D96E0B"/>
    <w:rsid w:val="00D96F0B"/>
    <w:rsid w:val="00D97246"/>
    <w:rsid w:val="00D97277"/>
    <w:rsid w:val="00D97326"/>
    <w:rsid w:val="00D9741E"/>
    <w:rsid w:val="00D97515"/>
    <w:rsid w:val="00D97581"/>
    <w:rsid w:val="00D9775E"/>
    <w:rsid w:val="00D97884"/>
    <w:rsid w:val="00D97A7B"/>
    <w:rsid w:val="00D97D5F"/>
    <w:rsid w:val="00DA0938"/>
    <w:rsid w:val="00DA0D46"/>
    <w:rsid w:val="00DA0E13"/>
    <w:rsid w:val="00DA1176"/>
    <w:rsid w:val="00DA125A"/>
    <w:rsid w:val="00DA18F1"/>
    <w:rsid w:val="00DA1CFB"/>
    <w:rsid w:val="00DA2082"/>
    <w:rsid w:val="00DA2633"/>
    <w:rsid w:val="00DA264C"/>
    <w:rsid w:val="00DA26E2"/>
    <w:rsid w:val="00DA2BD4"/>
    <w:rsid w:val="00DA2EB0"/>
    <w:rsid w:val="00DA33F3"/>
    <w:rsid w:val="00DA3B17"/>
    <w:rsid w:val="00DA40DB"/>
    <w:rsid w:val="00DA43B5"/>
    <w:rsid w:val="00DA4975"/>
    <w:rsid w:val="00DA5638"/>
    <w:rsid w:val="00DA5E2C"/>
    <w:rsid w:val="00DA5F5F"/>
    <w:rsid w:val="00DA6183"/>
    <w:rsid w:val="00DA6561"/>
    <w:rsid w:val="00DA6CD8"/>
    <w:rsid w:val="00DA6D11"/>
    <w:rsid w:val="00DA7103"/>
    <w:rsid w:val="00DA731D"/>
    <w:rsid w:val="00DA7562"/>
    <w:rsid w:val="00DA7C6B"/>
    <w:rsid w:val="00DB0051"/>
    <w:rsid w:val="00DB026C"/>
    <w:rsid w:val="00DB0483"/>
    <w:rsid w:val="00DB05B1"/>
    <w:rsid w:val="00DB065B"/>
    <w:rsid w:val="00DB07A2"/>
    <w:rsid w:val="00DB0B40"/>
    <w:rsid w:val="00DB11F9"/>
    <w:rsid w:val="00DB12AB"/>
    <w:rsid w:val="00DB16F2"/>
    <w:rsid w:val="00DB1B62"/>
    <w:rsid w:val="00DB1E16"/>
    <w:rsid w:val="00DB1EAE"/>
    <w:rsid w:val="00DB1FBB"/>
    <w:rsid w:val="00DB201E"/>
    <w:rsid w:val="00DB23A7"/>
    <w:rsid w:val="00DB26FE"/>
    <w:rsid w:val="00DB288E"/>
    <w:rsid w:val="00DB28C2"/>
    <w:rsid w:val="00DB28FD"/>
    <w:rsid w:val="00DB2EA7"/>
    <w:rsid w:val="00DB2FC7"/>
    <w:rsid w:val="00DB305F"/>
    <w:rsid w:val="00DB31EB"/>
    <w:rsid w:val="00DB36F2"/>
    <w:rsid w:val="00DB3953"/>
    <w:rsid w:val="00DB3FF0"/>
    <w:rsid w:val="00DB44E1"/>
    <w:rsid w:val="00DB4859"/>
    <w:rsid w:val="00DB4868"/>
    <w:rsid w:val="00DB517A"/>
    <w:rsid w:val="00DB51E4"/>
    <w:rsid w:val="00DB5BEB"/>
    <w:rsid w:val="00DB5CC5"/>
    <w:rsid w:val="00DB5E50"/>
    <w:rsid w:val="00DB61E0"/>
    <w:rsid w:val="00DB64A1"/>
    <w:rsid w:val="00DB6546"/>
    <w:rsid w:val="00DB693E"/>
    <w:rsid w:val="00DB6E39"/>
    <w:rsid w:val="00DB6F7E"/>
    <w:rsid w:val="00DB6F9D"/>
    <w:rsid w:val="00DB744A"/>
    <w:rsid w:val="00DB7460"/>
    <w:rsid w:val="00DB7B37"/>
    <w:rsid w:val="00DB7C64"/>
    <w:rsid w:val="00DB7FEF"/>
    <w:rsid w:val="00DC0AA0"/>
    <w:rsid w:val="00DC0D31"/>
    <w:rsid w:val="00DC1222"/>
    <w:rsid w:val="00DC123A"/>
    <w:rsid w:val="00DC12C1"/>
    <w:rsid w:val="00DC13B3"/>
    <w:rsid w:val="00DC1426"/>
    <w:rsid w:val="00DC17EF"/>
    <w:rsid w:val="00DC1E16"/>
    <w:rsid w:val="00DC22C8"/>
    <w:rsid w:val="00DC2954"/>
    <w:rsid w:val="00DC30D9"/>
    <w:rsid w:val="00DC310A"/>
    <w:rsid w:val="00DC35A4"/>
    <w:rsid w:val="00DC35EB"/>
    <w:rsid w:val="00DC389F"/>
    <w:rsid w:val="00DC4033"/>
    <w:rsid w:val="00DC43FF"/>
    <w:rsid w:val="00DC445E"/>
    <w:rsid w:val="00DC464A"/>
    <w:rsid w:val="00DC4757"/>
    <w:rsid w:val="00DC5038"/>
    <w:rsid w:val="00DC5548"/>
    <w:rsid w:val="00DC590E"/>
    <w:rsid w:val="00DC5994"/>
    <w:rsid w:val="00DC5A2B"/>
    <w:rsid w:val="00DC61CB"/>
    <w:rsid w:val="00DC6366"/>
    <w:rsid w:val="00DC65B9"/>
    <w:rsid w:val="00DC67BD"/>
    <w:rsid w:val="00DC67CB"/>
    <w:rsid w:val="00DC6A0B"/>
    <w:rsid w:val="00DC71F3"/>
    <w:rsid w:val="00DC7277"/>
    <w:rsid w:val="00DC75B7"/>
    <w:rsid w:val="00DC76AE"/>
    <w:rsid w:val="00DC79C8"/>
    <w:rsid w:val="00DC7AE9"/>
    <w:rsid w:val="00DD03D6"/>
    <w:rsid w:val="00DD05E5"/>
    <w:rsid w:val="00DD0691"/>
    <w:rsid w:val="00DD08CF"/>
    <w:rsid w:val="00DD0B9E"/>
    <w:rsid w:val="00DD0C9B"/>
    <w:rsid w:val="00DD0E8C"/>
    <w:rsid w:val="00DD1549"/>
    <w:rsid w:val="00DD1658"/>
    <w:rsid w:val="00DD18CB"/>
    <w:rsid w:val="00DD19F8"/>
    <w:rsid w:val="00DD1DB0"/>
    <w:rsid w:val="00DD1E17"/>
    <w:rsid w:val="00DD1F72"/>
    <w:rsid w:val="00DD258C"/>
    <w:rsid w:val="00DD2652"/>
    <w:rsid w:val="00DD27EA"/>
    <w:rsid w:val="00DD2B22"/>
    <w:rsid w:val="00DD2C52"/>
    <w:rsid w:val="00DD2FB2"/>
    <w:rsid w:val="00DD302E"/>
    <w:rsid w:val="00DD36DC"/>
    <w:rsid w:val="00DD36DE"/>
    <w:rsid w:val="00DD3C5B"/>
    <w:rsid w:val="00DD41D2"/>
    <w:rsid w:val="00DD4963"/>
    <w:rsid w:val="00DD49E8"/>
    <w:rsid w:val="00DD4A4E"/>
    <w:rsid w:val="00DD4BF5"/>
    <w:rsid w:val="00DD55EB"/>
    <w:rsid w:val="00DD5AA6"/>
    <w:rsid w:val="00DD5AB2"/>
    <w:rsid w:val="00DD624D"/>
    <w:rsid w:val="00DD62F1"/>
    <w:rsid w:val="00DD6415"/>
    <w:rsid w:val="00DD647D"/>
    <w:rsid w:val="00DD65F1"/>
    <w:rsid w:val="00DD66D3"/>
    <w:rsid w:val="00DD67F4"/>
    <w:rsid w:val="00DD6830"/>
    <w:rsid w:val="00DD6C39"/>
    <w:rsid w:val="00DD7078"/>
    <w:rsid w:val="00DD70C8"/>
    <w:rsid w:val="00DD70E9"/>
    <w:rsid w:val="00DD722E"/>
    <w:rsid w:val="00DD78D9"/>
    <w:rsid w:val="00DD7B70"/>
    <w:rsid w:val="00DD7E6C"/>
    <w:rsid w:val="00DD7ED7"/>
    <w:rsid w:val="00DE00C8"/>
    <w:rsid w:val="00DE01E1"/>
    <w:rsid w:val="00DE037E"/>
    <w:rsid w:val="00DE0B0A"/>
    <w:rsid w:val="00DE0C77"/>
    <w:rsid w:val="00DE0E45"/>
    <w:rsid w:val="00DE0E4A"/>
    <w:rsid w:val="00DE1645"/>
    <w:rsid w:val="00DE167F"/>
    <w:rsid w:val="00DE20DA"/>
    <w:rsid w:val="00DE2691"/>
    <w:rsid w:val="00DE2AFF"/>
    <w:rsid w:val="00DE2DD3"/>
    <w:rsid w:val="00DE396D"/>
    <w:rsid w:val="00DE3CAF"/>
    <w:rsid w:val="00DE3FBE"/>
    <w:rsid w:val="00DE4105"/>
    <w:rsid w:val="00DE412A"/>
    <w:rsid w:val="00DE4861"/>
    <w:rsid w:val="00DE490A"/>
    <w:rsid w:val="00DE4987"/>
    <w:rsid w:val="00DE548F"/>
    <w:rsid w:val="00DE599B"/>
    <w:rsid w:val="00DE5D11"/>
    <w:rsid w:val="00DE5F5B"/>
    <w:rsid w:val="00DE62CB"/>
    <w:rsid w:val="00DE6629"/>
    <w:rsid w:val="00DE7183"/>
    <w:rsid w:val="00DE7359"/>
    <w:rsid w:val="00DF00A6"/>
    <w:rsid w:val="00DF087F"/>
    <w:rsid w:val="00DF08E9"/>
    <w:rsid w:val="00DF0A6F"/>
    <w:rsid w:val="00DF1121"/>
    <w:rsid w:val="00DF1618"/>
    <w:rsid w:val="00DF16B2"/>
    <w:rsid w:val="00DF1815"/>
    <w:rsid w:val="00DF1975"/>
    <w:rsid w:val="00DF25E2"/>
    <w:rsid w:val="00DF27CE"/>
    <w:rsid w:val="00DF2A30"/>
    <w:rsid w:val="00DF2B46"/>
    <w:rsid w:val="00DF2BFF"/>
    <w:rsid w:val="00DF2F56"/>
    <w:rsid w:val="00DF30B9"/>
    <w:rsid w:val="00DF36E8"/>
    <w:rsid w:val="00DF3735"/>
    <w:rsid w:val="00DF3FEA"/>
    <w:rsid w:val="00DF4564"/>
    <w:rsid w:val="00DF45FF"/>
    <w:rsid w:val="00DF4AEB"/>
    <w:rsid w:val="00DF4FC5"/>
    <w:rsid w:val="00DF5221"/>
    <w:rsid w:val="00DF52D1"/>
    <w:rsid w:val="00DF53F9"/>
    <w:rsid w:val="00DF5423"/>
    <w:rsid w:val="00DF545F"/>
    <w:rsid w:val="00DF55FB"/>
    <w:rsid w:val="00DF5706"/>
    <w:rsid w:val="00DF5E53"/>
    <w:rsid w:val="00DF6FDA"/>
    <w:rsid w:val="00DF7594"/>
    <w:rsid w:val="00DF7CAA"/>
    <w:rsid w:val="00DF7ED7"/>
    <w:rsid w:val="00DF7EDD"/>
    <w:rsid w:val="00E00593"/>
    <w:rsid w:val="00E00B17"/>
    <w:rsid w:val="00E014CC"/>
    <w:rsid w:val="00E0156A"/>
    <w:rsid w:val="00E01813"/>
    <w:rsid w:val="00E01F88"/>
    <w:rsid w:val="00E02064"/>
    <w:rsid w:val="00E02796"/>
    <w:rsid w:val="00E03098"/>
    <w:rsid w:val="00E032A8"/>
    <w:rsid w:val="00E0336E"/>
    <w:rsid w:val="00E03637"/>
    <w:rsid w:val="00E038C5"/>
    <w:rsid w:val="00E0392F"/>
    <w:rsid w:val="00E039CE"/>
    <w:rsid w:val="00E039ED"/>
    <w:rsid w:val="00E03FE5"/>
    <w:rsid w:val="00E040F5"/>
    <w:rsid w:val="00E0446E"/>
    <w:rsid w:val="00E045A4"/>
    <w:rsid w:val="00E049EE"/>
    <w:rsid w:val="00E05664"/>
    <w:rsid w:val="00E0566D"/>
    <w:rsid w:val="00E060F8"/>
    <w:rsid w:val="00E06287"/>
    <w:rsid w:val="00E06895"/>
    <w:rsid w:val="00E068FB"/>
    <w:rsid w:val="00E06BAE"/>
    <w:rsid w:val="00E06EA5"/>
    <w:rsid w:val="00E0728E"/>
    <w:rsid w:val="00E073CE"/>
    <w:rsid w:val="00E076C1"/>
    <w:rsid w:val="00E07AA3"/>
    <w:rsid w:val="00E07AD1"/>
    <w:rsid w:val="00E07E7C"/>
    <w:rsid w:val="00E10044"/>
    <w:rsid w:val="00E101F5"/>
    <w:rsid w:val="00E10C2F"/>
    <w:rsid w:val="00E10F37"/>
    <w:rsid w:val="00E10F4E"/>
    <w:rsid w:val="00E1141A"/>
    <w:rsid w:val="00E11531"/>
    <w:rsid w:val="00E1181F"/>
    <w:rsid w:val="00E11CE7"/>
    <w:rsid w:val="00E11E97"/>
    <w:rsid w:val="00E12524"/>
    <w:rsid w:val="00E1265B"/>
    <w:rsid w:val="00E126AE"/>
    <w:rsid w:val="00E1274D"/>
    <w:rsid w:val="00E127BA"/>
    <w:rsid w:val="00E12BD4"/>
    <w:rsid w:val="00E12C60"/>
    <w:rsid w:val="00E12DF1"/>
    <w:rsid w:val="00E136FA"/>
    <w:rsid w:val="00E13732"/>
    <w:rsid w:val="00E1386C"/>
    <w:rsid w:val="00E13B1D"/>
    <w:rsid w:val="00E13F3F"/>
    <w:rsid w:val="00E142E7"/>
    <w:rsid w:val="00E14370"/>
    <w:rsid w:val="00E145AE"/>
    <w:rsid w:val="00E151C8"/>
    <w:rsid w:val="00E15428"/>
    <w:rsid w:val="00E15731"/>
    <w:rsid w:val="00E15934"/>
    <w:rsid w:val="00E15A2E"/>
    <w:rsid w:val="00E15C3E"/>
    <w:rsid w:val="00E16033"/>
    <w:rsid w:val="00E16602"/>
    <w:rsid w:val="00E1687A"/>
    <w:rsid w:val="00E16CA1"/>
    <w:rsid w:val="00E1774F"/>
    <w:rsid w:val="00E17B13"/>
    <w:rsid w:val="00E17C8A"/>
    <w:rsid w:val="00E201AE"/>
    <w:rsid w:val="00E207DA"/>
    <w:rsid w:val="00E20B41"/>
    <w:rsid w:val="00E20E10"/>
    <w:rsid w:val="00E211C8"/>
    <w:rsid w:val="00E21333"/>
    <w:rsid w:val="00E217F7"/>
    <w:rsid w:val="00E21B04"/>
    <w:rsid w:val="00E220BD"/>
    <w:rsid w:val="00E22853"/>
    <w:rsid w:val="00E228E4"/>
    <w:rsid w:val="00E23163"/>
    <w:rsid w:val="00E232A4"/>
    <w:rsid w:val="00E23828"/>
    <w:rsid w:val="00E2398C"/>
    <w:rsid w:val="00E23E1F"/>
    <w:rsid w:val="00E24250"/>
    <w:rsid w:val="00E24583"/>
    <w:rsid w:val="00E247AA"/>
    <w:rsid w:val="00E24D3B"/>
    <w:rsid w:val="00E24DA2"/>
    <w:rsid w:val="00E2501F"/>
    <w:rsid w:val="00E255DE"/>
    <w:rsid w:val="00E25AB6"/>
    <w:rsid w:val="00E25C89"/>
    <w:rsid w:val="00E25DC7"/>
    <w:rsid w:val="00E2620B"/>
    <w:rsid w:val="00E26472"/>
    <w:rsid w:val="00E2681A"/>
    <w:rsid w:val="00E268BF"/>
    <w:rsid w:val="00E26A77"/>
    <w:rsid w:val="00E271A1"/>
    <w:rsid w:val="00E27244"/>
    <w:rsid w:val="00E2760A"/>
    <w:rsid w:val="00E27826"/>
    <w:rsid w:val="00E27932"/>
    <w:rsid w:val="00E27D1F"/>
    <w:rsid w:val="00E30330"/>
    <w:rsid w:val="00E30528"/>
    <w:rsid w:val="00E30BBF"/>
    <w:rsid w:val="00E30E5B"/>
    <w:rsid w:val="00E31171"/>
    <w:rsid w:val="00E311EB"/>
    <w:rsid w:val="00E31416"/>
    <w:rsid w:val="00E3197F"/>
    <w:rsid w:val="00E31C95"/>
    <w:rsid w:val="00E31D26"/>
    <w:rsid w:val="00E322E9"/>
    <w:rsid w:val="00E3260B"/>
    <w:rsid w:val="00E32A26"/>
    <w:rsid w:val="00E32B63"/>
    <w:rsid w:val="00E33197"/>
    <w:rsid w:val="00E332A9"/>
    <w:rsid w:val="00E33744"/>
    <w:rsid w:val="00E33B7A"/>
    <w:rsid w:val="00E3408A"/>
    <w:rsid w:val="00E34916"/>
    <w:rsid w:val="00E34A75"/>
    <w:rsid w:val="00E35A99"/>
    <w:rsid w:val="00E35E2A"/>
    <w:rsid w:val="00E362AA"/>
    <w:rsid w:val="00E36A31"/>
    <w:rsid w:val="00E36D30"/>
    <w:rsid w:val="00E36E81"/>
    <w:rsid w:val="00E36F8D"/>
    <w:rsid w:val="00E373C9"/>
    <w:rsid w:val="00E374B2"/>
    <w:rsid w:val="00E378DB"/>
    <w:rsid w:val="00E37A2F"/>
    <w:rsid w:val="00E37DD3"/>
    <w:rsid w:val="00E401E8"/>
    <w:rsid w:val="00E40393"/>
    <w:rsid w:val="00E40800"/>
    <w:rsid w:val="00E4087B"/>
    <w:rsid w:val="00E409A6"/>
    <w:rsid w:val="00E40A92"/>
    <w:rsid w:val="00E413C8"/>
    <w:rsid w:val="00E415DC"/>
    <w:rsid w:val="00E416CA"/>
    <w:rsid w:val="00E4180C"/>
    <w:rsid w:val="00E41960"/>
    <w:rsid w:val="00E41B57"/>
    <w:rsid w:val="00E42BA2"/>
    <w:rsid w:val="00E42D2B"/>
    <w:rsid w:val="00E4316C"/>
    <w:rsid w:val="00E433D5"/>
    <w:rsid w:val="00E44746"/>
    <w:rsid w:val="00E451F3"/>
    <w:rsid w:val="00E456DE"/>
    <w:rsid w:val="00E46329"/>
    <w:rsid w:val="00E4668F"/>
    <w:rsid w:val="00E468E6"/>
    <w:rsid w:val="00E46A3F"/>
    <w:rsid w:val="00E46A8F"/>
    <w:rsid w:val="00E46ABC"/>
    <w:rsid w:val="00E4703E"/>
    <w:rsid w:val="00E47995"/>
    <w:rsid w:val="00E47E19"/>
    <w:rsid w:val="00E50427"/>
    <w:rsid w:val="00E50729"/>
    <w:rsid w:val="00E508DA"/>
    <w:rsid w:val="00E50C20"/>
    <w:rsid w:val="00E50EBC"/>
    <w:rsid w:val="00E51814"/>
    <w:rsid w:val="00E51C0B"/>
    <w:rsid w:val="00E51C19"/>
    <w:rsid w:val="00E51D20"/>
    <w:rsid w:val="00E5251B"/>
    <w:rsid w:val="00E52649"/>
    <w:rsid w:val="00E52952"/>
    <w:rsid w:val="00E52A3B"/>
    <w:rsid w:val="00E53099"/>
    <w:rsid w:val="00E5340E"/>
    <w:rsid w:val="00E53458"/>
    <w:rsid w:val="00E53B3C"/>
    <w:rsid w:val="00E53CE4"/>
    <w:rsid w:val="00E53F96"/>
    <w:rsid w:val="00E55174"/>
    <w:rsid w:val="00E55863"/>
    <w:rsid w:val="00E55919"/>
    <w:rsid w:val="00E55C18"/>
    <w:rsid w:val="00E55EF1"/>
    <w:rsid w:val="00E55F5F"/>
    <w:rsid w:val="00E5621B"/>
    <w:rsid w:val="00E56EE3"/>
    <w:rsid w:val="00E57277"/>
    <w:rsid w:val="00E576FE"/>
    <w:rsid w:val="00E579E3"/>
    <w:rsid w:val="00E57AFB"/>
    <w:rsid w:val="00E601FF"/>
    <w:rsid w:val="00E606F0"/>
    <w:rsid w:val="00E607FA"/>
    <w:rsid w:val="00E60853"/>
    <w:rsid w:val="00E60AB9"/>
    <w:rsid w:val="00E60E4F"/>
    <w:rsid w:val="00E614C5"/>
    <w:rsid w:val="00E61C67"/>
    <w:rsid w:val="00E62203"/>
    <w:rsid w:val="00E62396"/>
    <w:rsid w:val="00E623CC"/>
    <w:rsid w:val="00E62579"/>
    <w:rsid w:val="00E62812"/>
    <w:rsid w:val="00E62991"/>
    <w:rsid w:val="00E62F73"/>
    <w:rsid w:val="00E6310C"/>
    <w:rsid w:val="00E635D3"/>
    <w:rsid w:val="00E6383B"/>
    <w:rsid w:val="00E63B3D"/>
    <w:rsid w:val="00E63EF4"/>
    <w:rsid w:val="00E6493F"/>
    <w:rsid w:val="00E64A83"/>
    <w:rsid w:val="00E64BAE"/>
    <w:rsid w:val="00E64CBE"/>
    <w:rsid w:val="00E654FA"/>
    <w:rsid w:val="00E65677"/>
    <w:rsid w:val="00E65CC1"/>
    <w:rsid w:val="00E65D7F"/>
    <w:rsid w:val="00E6614B"/>
    <w:rsid w:val="00E66499"/>
    <w:rsid w:val="00E665D9"/>
    <w:rsid w:val="00E667DD"/>
    <w:rsid w:val="00E66879"/>
    <w:rsid w:val="00E66AC2"/>
    <w:rsid w:val="00E6703B"/>
    <w:rsid w:val="00E67299"/>
    <w:rsid w:val="00E6729E"/>
    <w:rsid w:val="00E67444"/>
    <w:rsid w:val="00E67A48"/>
    <w:rsid w:val="00E67FB7"/>
    <w:rsid w:val="00E701BA"/>
    <w:rsid w:val="00E701CE"/>
    <w:rsid w:val="00E704DE"/>
    <w:rsid w:val="00E7051A"/>
    <w:rsid w:val="00E70614"/>
    <w:rsid w:val="00E70790"/>
    <w:rsid w:val="00E708E9"/>
    <w:rsid w:val="00E70C25"/>
    <w:rsid w:val="00E70C8D"/>
    <w:rsid w:val="00E70E5B"/>
    <w:rsid w:val="00E71093"/>
    <w:rsid w:val="00E71146"/>
    <w:rsid w:val="00E713BC"/>
    <w:rsid w:val="00E71CC6"/>
    <w:rsid w:val="00E720E9"/>
    <w:rsid w:val="00E72691"/>
    <w:rsid w:val="00E7297A"/>
    <w:rsid w:val="00E72AD6"/>
    <w:rsid w:val="00E72CA8"/>
    <w:rsid w:val="00E72D8B"/>
    <w:rsid w:val="00E73261"/>
    <w:rsid w:val="00E7334D"/>
    <w:rsid w:val="00E73475"/>
    <w:rsid w:val="00E738EA"/>
    <w:rsid w:val="00E740A2"/>
    <w:rsid w:val="00E7439F"/>
    <w:rsid w:val="00E74700"/>
    <w:rsid w:val="00E748E7"/>
    <w:rsid w:val="00E74C36"/>
    <w:rsid w:val="00E74FC5"/>
    <w:rsid w:val="00E75283"/>
    <w:rsid w:val="00E75962"/>
    <w:rsid w:val="00E75C13"/>
    <w:rsid w:val="00E765E5"/>
    <w:rsid w:val="00E76A36"/>
    <w:rsid w:val="00E76AE9"/>
    <w:rsid w:val="00E76CEB"/>
    <w:rsid w:val="00E775B2"/>
    <w:rsid w:val="00E7767B"/>
    <w:rsid w:val="00E7786F"/>
    <w:rsid w:val="00E77B36"/>
    <w:rsid w:val="00E77BBE"/>
    <w:rsid w:val="00E77C35"/>
    <w:rsid w:val="00E77D82"/>
    <w:rsid w:val="00E77FF7"/>
    <w:rsid w:val="00E80108"/>
    <w:rsid w:val="00E8070E"/>
    <w:rsid w:val="00E80F20"/>
    <w:rsid w:val="00E8104D"/>
    <w:rsid w:val="00E8119B"/>
    <w:rsid w:val="00E8129A"/>
    <w:rsid w:val="00E814DC"/>
    <w:rsid w:val="00E8152B"/>
    <w:rsid w:val="00E81793"/>
    <w:rsid w:val="00E81A96"/>
    <w:rsid w:val="00E81AF2"/>
    <w:rsid w:val="00E81B39"/>
    <w:rsid w:val="00E81BBB"/>
    <w:rsid w:val="00E81F55"/>
    <w:rsid w:val="00E82599"/>
    <w:rsid w:val="00E82BAE"/>
    <w:rsid w:val="00E82C1C"/>
    <w:rsid w:val="00E83543"/>
    <w:rsid w:val="00E836DA"/>
    <w:rsid w:val="00E83930"/>
    <w:rsid w:val="00E83999"/>
    <w:rsid w:val="00E83C58"/>
    <w:rsid w:val="00E83F26"/>
    <w:rsid w:val="00E83FCE"/>
    <w:rsid w:val="00E8403D"/>
    <w:rsid w:val="00E84066"/>
    <w:rsid w:val="00E84424"/>
    <w:rsid w:val="00E84766"/>
    <w:rsid w:val="00E851EC"/>
    <w:rsid w:val="00E855E7"/>
    <w:rsid w:val="00E867E2"/>
    <w:rsid w:val="00E8695D"/>
    <w:rsid w:val="00E86AF1"/>
    <w:rsid w:val="00E86B67"/>
    <w:rsid w:val="00E86D74"/>
    <w:rsid w:val="00E86EC5"/>
    <w:rsid w:val="00E8741F"/>
    <w:rsid w:val="00E87A76"/>
    <w:rsid w:val="00E87F82"/>
    <w:rsid w:val="00E8EFED"/>
    <w:rsid w:val="00E9024E"/>
    <w:rsid w:val="00E9045A"/>
    <w:rsid w:val="00E90BA1"/>
    <w:rsid w:val="00E90D62"/>
    <w:rsid w:val="00E90E39"/>
    <w:rsid w:val="00E91302"/>
    <w:rsid w:val="00E914B7"/>
    <w:rsid w:val="00E91521"/>
    <w:rsid w:val="00E91723"/>
    <w:rsid w:val="00E91CDD"/>
    <w:rsid w:val="00E91E27"/>
    <w:rsid w:val="00E91F9E"/>
    <w:rsid w:val="00E920CB"/>
    <w:rsid w:val="00E92925"/>
    <w:rsid w:val="00E92938"/>
    <w:rsid w:val="00E92E98"/>
    <w:rsid w:val="00E92FDC"/>
    <w:rsid w:val="00E9328E"/>
    <w:rsid w:val="00E9336F"/>
    <w:rsid w:val="00E9339E"/>
    <w:rsid w:val="00E933F2"/>
    <w:rsid w:val="00E93659"/>
    <w:rsid w:val="00E93BBD"/>
    <w:rsid w:val="00E94373"/>
    <w:rsid w:val="00E94422"/>
    <w:rsid w:val="00E944DD"/>
    <w:rsid w:val="00E9485D"/>
    <w:rsid w:val="00E94D19"/>
    <w:rsid w:val="00E9555E"/>
    <w:rsid w:val="00E95911"/>
    <w:rsid w:val="00E960A4"/>
    <w:rsid w:val="00E961EE"/>
    <w:rsid w:val="00E965D7"/>
    <w:rsid w:val="00E9688C"/>
    <w:rsid w:val="00E9692B"/>
    <w:rsid w:val="00E96D77"/>
    <w:rsid w:val="00E96E34"/>
    <w:rsid w:val="00E974C8"/>
    <w:rsid w:val="00E97E8E"/>
    <w:rsid w:val="00EA004D"/>
    <w:rsid w:val="00EA02B3"/>
    <w:rsid w:val="00EA0651"/>
    <w:rsid w:val="00EA0DF0"/>
    <w:rsid w:val="00EA12BF"/>
    <w:rsid w:val="00EA16AF"/>
    <w:rsid w:val="00EA182C"/>
    <w:rsid w:val="00EA1D1F"/>
    <w:rsid w:val="00EA1E64"/>
    <w:rsid w:val="00EA2480"/>
    <w:rsid w:val="00EA2531"/>
    <w:rsid w:val="00EA26D6"/>
    <w:rsid w:val="00EA27A7"/>
    <w:rsid w:val="00EA2E92"/>
    <w:rsid w:val="00EA2EF9"/>
    <w:rsid w:val="00EA322A"/>
    <w:rsid w:val="00EA33EE"/>
    <w:rsid w:val="00EA3B28"/>
    <w:rsid w:val="00EA3BBA"/>
    <w:rsid w:val="00EA3E0A"/>
    <w:rsid w:val="00EA3ED6"/>
    <w:rsid w:val="00EA4125"/>
    <w:rsid w:val="00EA417A"/>
    <w:rsid w:val="00EA4526"/>
    <w:rsid w:val="00EA47B3"/>
    <w:rsid w:val="00EA48BD"/>
    <w:rsid w:val="00EA5386"/>
    <w:rsid w:val="00EA5B2A"/>
    <w:rsid w:val="00EA5C8E"/>
    <w:rsid w:val="00EA5DDD"/>
    <w:rsid w:val="00EA5FBA"/>
    <w:rsid w:val="00EA64A9"/>
    <w:rsid w:val="00EA6546"/>
    <w:rsid w:val="00EA691B"/>
    <w:rsid w:val="00EA6939"/>
    <w:rsid w:val="00EA693F"/>
    <w:rsid w:val="00EA6BDA"/>
    <w:rsid w:val="00EA70B0"/>
    <w:rsid w:val="00EA7192"/>
    <w:rsid w:val="00EA72CA"/>
    <w:rsid w:val="00EA734E"/>
    <w:rsid w:val="00EA7668"/>
    <w:rsid w:val="00EA7BC1"/>
    <w:rsid w:val="00EA7C44"/>
    <w:rsid w:val="00EA7F4B"/>
    <w:rsid w:val="00EB01D8"/>
    <w:rsid w:val="00EB04C1"/>
    <w:rsid w:val="00EB0993"/>
    <w:rsid w:val="00EB1314"/>
    <w:rsid w:val="00EB1BB6"/>
    <w:rsid w:val="00EB1EC8"/>
    <w:rsid w:val="00EB1F0C"/>
    <w:rsid w:val="00EB22BB"/>
    <w:rsid w:val="00EB22F3"/>
    <w:rsid w:val="00EB2360"/>
    <w:rsid w:val="00EB25C1"/>
    <w:rsid w:val="00EB2A43"/>
    <w:rsid w:val="00EB2A4F"/>
    <w:rsid w:val="00EB2E5A"/>
    <w:rsid w:val="00EB2F19"/>
    <w:rsid w:val="00EB31EB"/>
    <w:rsid w:val="00EB4286"/>
    <w:rsid w:val="00EB57A4"/>
    <w:rsid w:val="00EB5D3B"/>
    <w:rsid w:val="00EB66F9"/>
    <w:rsid w:val="00EB6A56"/>
    <w:rsid w:val="00EB6C7D"/>
    <w:rsid w:val="00EB7069"/>
    <w:rsid w:val="00EB723C"/>
    <w:rsid w:val="00EB7407"/>
    <w:rsid w:val="00EB7698"/>
    <w:rsid w:val="00EB778D"/>
    <w:rsid w:val="00EB77AA"/>
    <w:rsid w:val="00EB795B"/>
    <w:rsid w:val="00EB7A9A"/>
    <w:rsid w:val="00EB7C05"/>
    <w:rsid w:val="00EB7C66"/>
    <w:rsid w:val="00EB7CD1"/>
    <w:rsid w:val="00EC026A"/>
    <w:rsid w:val="00EC034A"/>
    <w:rsid w:val="00EC055E"/>
    <w:rsid w:val="00EC070C"/>
    <w:rsid w:val="00EC07C1"/>
    <w:rsid w:val="00EC0E64"/>
    <w:rsid w:val="00EC201D"/>
    <w:rsid w:val="00EC228B"/>
    <w:rsid w:val="00EC2345"/>
    <w:rsid w:val="00EC2598"/>
    <w:rsid w:val="00EC28F8"/>
    <w:rsid w:val="00EC2AF0"/>
    <w:rsid w:val="00EC30EA"/>
    <w:rsid w:val="00EC3433"/>
    <w:rsid w:val="00EC35FA"/>
    <w:rsid w:val="00EC3D0C"/>
    <w:rsid w:val="00EC4268"/>
    <w:rsid w:val="00EC4AF8"/>
    <w:rsid w:val="00EC4EA3"/>
    <w:rsid w:val="00EC50DA"/>
    <w:rsid w:val="00EC5292"/>
    <w:rsid w:val="00EC5970"/>
    <w:rsid w:val="00EC5C2D"/>
    <w:rsid w:val="00EC5C63"/>
    <w:rsid w:val="00EC642D"/>
    <w:rsid w:val="00EC64C0"/>
    <w:rsid w:val="00EC654D"/>
    <w:rsid w:val="00EC65F8"/>
    <w:rsid w:val="00EC66B2"/>
    <w:rsid w:val="00EC69E7"/>
    <w:rsid w:val="00EC7784"/>
    <w:rsid w:val="00EC77BF"/>
    <w:rsid w:val="00EC7942"/>
    <w:rsid w:val="00EC7E78"/>
    <w:rsid w:val="00EC7F23"/>
    <w:rsid w:val="00ED0279"/>
    <w:rsid w:val="00ED1016"/>
    <w:rsid w:val="00ED1174"/>
    <w:rsid w:val="00ED11A7"/>
    <w:rsid w:val="00ED11EA"/>
    <w:rsid w:val="00ED1203"/>
    <w:rsid w:val="00ED1B29"/>
    <w:rsid w:val="00ED1C6B"/>
    <w:rsid w:val="00ED207A"/>
    <w:rsid w:val="00ED212C"/>
    <w:rsid w:val="00ED2A1C"/>
    <w:rsid w:val="00ED2B3D"/>
    <w:rsid w:val="00ED2D0E"/>
    <w:rsid w:val="00ED3094"/>
    <w:rsid w:val="00ED39EF"/>
    <w:rsid w:val="00ED3A0F"/>
    <w:rsid w:val="00ED3F09"/>
    <w:rsid w:val="00ED47FC"/>
    <w:rsid w:val="00ED4B86"/>
    <w:rsid w:val="00ED4E45"/>
    <w:rsid w:val="00ED503B"/>
    <w:rsid w:val="00ED559B"/>
    <w:rsid w:val="00ED5DD0"/>
    <w:rsid w:val="00ED61E5"/>
    <w:rsid w:val="00ED622F"/>
    <w:rsid w:val="00ED6385"/>
    <w:rsid w:val="00ED656F"/>
    <w:rsid w:val="00ED79D0"/>
    <w:rsid w:val="00ED7C32"/>
    <w:rsid w:val="00ED7C7D"/>
    <w:rsid w:val="00ED7C89"/>
    <w:rsid w:val="00EE01E0"/>
    <w:rsid w:val="00EE04A8"/>
    <w:rsid w:val="00EE0874"/>
    <w:rsid w:val="00EE09A8"/>
    <w:rsid w:val="00EE0E26"/>
    <w:rsid w:val="00EE1467"/>
    <w:rsid w:val="00EE1CFE"/>
    <w:rsid w:val="00EE239D"/>
    <w:rsid w:val="00EE2656"/>
    <w:rsid w:val="00EE2894"/>
    <w:rsid w:val="00EE2A65"/>
    <w:rsid w:val="00EE2ABB"/>
    <w:rsid w:val="00EE2CC4"/>
    <w:rsid w:val="00EE2D0B"/>
    <w:rsid w:val="00EE31AE"/>
    <w:rsid w:val="00EE35E7"/>
    <w:rsid w:val="00EE3A44"/>
    <w:rsid w:val="00EE3FEE"/>
    <w:rsid w:val="00EE48DD"/>
    <w:rsid w:val="00EE4915"/>
    <w:rsid w:val="00EE4936"/>
    <w:rsid w:val="00EE49EA"/>
    <w:rsid w:val="00EE4CFC"/>
    <w:rsid w:val="00EE5330"/>
    <w:rsid w:val="00EE544A"/>
    <w:rsid w:val="00EE58A8"/>
    <w:rsid w:val="00EE5A9B"/>
    <w:rsid w:val="00EE5C1A"/>
    <w:rsid w:val="00EE5DD8"/>
    <w:rsid w:val="00EE5E5D"/>
    <w:rsid w:val="00EE5EA7"/>
    <w:rsid w:val="00EE5FB4"/>
    <w:rsid w:val="00EE6EBA"/>
    <w:rsid w:val="00EE7002"/>
    <w:rsid w:val="00EE73AA"/>
    <w:rsid w:val="00EE7522"/>
    <w:rsid w:val="00EE75AE"/>
    <w:rsid w:val="00EE76AE"/>
    <w:rsid w:val="00EE7885"/>
    <w:rsid w:val="00EE79BD"/>
    <w:rsid w:val="00EF00BF"/>
    <w:rsid w:val="00EF03D5"/>
    <w:rsid w:val="00EF0B52"/>
    <w:rsid w:val="00EF0C6C"/>
    <w:rsid w:val="00EF11DC"/>
    <w:rsid w:val="00EF1489"/>
    <w:rsid w:val="00EF19B3"/>
    <w:rsid w:val="00EF1E77"/>
    <w:rsid w:val="00EF237C"/>
    <w:rsid w:val="00EF2D23"/>
    <w:rsid w:val="00EF2EF0"/>
    <w:rsid w:val="00EF2F9E"/>
    <w:rsid w:val="00EF32B9"/>
    <w:rsid w:val="00EF3690"/>
    <w:rsid w:val="00EF3E13"/>
    <w:rsid w:val="00EF3E4D"/>
    <w:rsid w:val="00EF43C7"/>
    <w:rsid w:val="00EF43F3"/>
    <w:rsid w:val="00EF477F"/>
    <w:rsid w:val="00EF4E8F"/>
    <w:rsid w:val="00EF554E"/>
    <w:rsid w:val="00EF60E3"/>
    <w:rsid w:val="00EF61B8"/>
    <w:rsid w:val="00EF62E0"/>
    <w:rsid w:val="00EF674F"/>
    <w:rsid w:val="00EF6E6F"/>
    <w:rsid w:val="00EF7038"/>
    <w:rsid w:val="00EF7277"/>
    <w:rsid w:val="00EF75A4"/>
    <w:rsid w:val="00EF7AC4"/>
    <w:rsid w:val="00EF7E21"/>
    <w:rsid w:val="00F0002D"/>
    <w:rsid w:val="00F00615"/>
    <w:rsid w:val="00F00616"/>
    <w:rsid w:val="00F00778"/>
    <w:rsid w:val="00F0086E"/>
    <w:rsid w:val="00F00B32"/>
    <w:rsid w:val="00F00C34"/>
    <w:rsid w:val="00F00E6A"/>
    <w:rsid w:val="00F015CD"/>
    <w:rsid w:val="00F01DB2"/>
    <w:rsid w:val="00F020C7"/>
    <w:rsid w:val="00F02227"/>
    <w:rsid w:val="00F0256E"/>
    <w:rsid w:val="00F02B48"/>
    <w:rsid w:val="00F03099"/>
    <w:rsid w:val="00F0346F"/>
    <w:rsid w:val="00F03475"/>
    <w:rsid w:val="00F035A8"/>
    <w:rsid w:val="00F035DA"/>
    <w:rsid w:val="00F03934"/>
    <w:rsid w:val="00F03B4A"/>
    <w:rsid w:val="00F03F22"/>
    <w:rsid w:val="00F04102"/>
    <w:rsid w:val="00F0418B"/>
    <w:rsid w:val="00F04484"/>
    <w:rsid w:val="00F0449E"/>
    <w:rsid w:val="00F0456F"/>
    <w:rsid w:val="00F04626"/>
    <w:rsid w:val="00F04708"/>
    <w:rsid w:val="00F04E2B"/>
    <w:rsid w:val="00F054AA"/>
    <w:rsid w:val="00F05AC6"/>
    <w:rsid w:val="00F0609E"/>
    <w:rsid w:val="00F06269"/>
    <w:rsid w:val="00F0626F"/>
    <w:rsid w:val="00F066BE"/>
    <w:rsid w:val="00F06772"/>
    <w:rsid w:val="00F0691A"/>
    <w:rsid w:val="00F06933"/>
    <w:rsid w:val="00F06AB1"/>
    <w:rsid w:val="00F07414"/>
    <w:rsid w:val="00F074B0"/>
    <w:rsid w:val="00F07932"/>
    <w:rsid w:val="00F07C09"/>
    <w:rsid w:val="00F07ECC"/>
    <w:rsid w:val="00F106FA"/>
    <w:rsid w:val="00F10C4C"/>
    <w:rsid w:val="00F10E00"/>
    <w:rsid w:val="00F112CA"/>
    <w:rsid w:val="00F1167B"/>
    <w:rsid w:val="00F11883"/>
    <w:rsid w:val="00F119C7"/>
    <w:rsid w:val="00F11CF2"/>
    <w:rsid w:val="00F128C9"/>
    <w:rsid w:val="00F12AD7"/>
    <w:rsid w:val="00F12BC9"/>
    <w:rsid w:val="00F12D04"/>
    <w:rsid w:val="00F13167"/>
    <w:rsid w:val="00F13416"/>
    <w:rsid w:val="00F1392C"/>
    <w:rsid w:val="00F13F4C"/>
    <w:rsid w:val="00F13FB5"/>
    <w:rsid w:val="00F145CD"/>
    <w:rsid w:val="00F15030"/>
    <w:rsid w:val="00F1519D"/>
    <w:rsid w:val="00F1533B"/>
    <w:rsid w:val="00F15422"/>
    <w:rsid w:val="00F15538"/>
    <w:rsid w:val="00F1568C"/>
    <w:rsid w:val="00F158B3"/>
    <w:rsid w:val="00F15C09"/>
    <w:rsid w:val="00F15E5F"/>
    <w:rsid w:val="00F15F53"/>
    <w:rsid w:val="00F1612E"/>
    <w:rsid w:val="00F161B7"/>
    <w:rsid w:val="00F16B84"/>
    <w:rsid w:val="00F1764F"/>
    <w:rsid w:val="00F1779E"/>
    <w:rsid w:val="00F178C9"/>
    <w:rsid w:val="00F17C71"/>
    <w:rsid w:val="00F17D55"/>
    <w:rsid w:val="00F20AA3"/>
    <w:rsid w:val="00F20E8D"/>
    <w:rsid w:val="00F20F03"/>
    <w:rsid w:val="00F2115B"/>
    <w:rsid w:val="00F211B8"/>
    <w:rsid w:val="00F215D7"/>
    <w:rsid w:val="00F21739"/>
    <w:rsid w:val="00F217E4"/>
    <w:rsid w:val="00F21980"/>
    <w:rsid w:val="00F21E01"/>
    <w:rsid w:val="00F224DF"/>
    <w:rsid w:val="00F22C64"/>
    <w:rsid w:val="00F23009"/>
    <w:rsid w:val="00F23517"/>
    <w:rsid w:val="00F237C9"/>
    <w:rsid w:val="00F23874"/>
    <w:rsid w:val="00F23B36"/>
    <w:rsid w:val="00F23B9A"/>
    <w:rsid w:val="00F23C19"/>
    <w:rsid w:val="00F23C27"/>
    <w:rsid w:val="00F23CB6"/>
    <w:rsid w:val="00F240BA"/>
    <w:rsid w:val="00F245D7"/>
    <w:rsid w:val="00F248FF"/>
    <w:rsid w:val="00F24E9C"/>
    <w:rsid w:val="00F24EFD"/>
    <w:rsid w:val="00F2562C"/>
    <w:rsid w:val="00F25816"/>
    <w:rsid w:val="00F25C2B"/>
    <w:rsid w:val="00F260B6"/>
    <w:rsid w:val="00F26184"/>
    <w:rsid w:val="00F2625F"/>
    <w:rsid w:val="00F26545"/>
    <w:rsid w:val="00F26C1F"/>
    <w:rsid w:val="00F26C2D"/>
    <w:rsid w:val="00F26EFC"/>
    <w:rsid w:val="00F27105"/>
    <w:rsid w:val="00F275F6"/>
    <w:rsid w:val="00F27F64"/>
    <w:rsid w:val="00F27FA5"/>
    <w:rsid w:val="00F30226"/>
    <w:rsid w:val="00F303FD"/>
    <w:rsid w:val="00F30935"/>
    <w:rsid w:val="00F30944"/>
    <w:rsid w:val="00F309FE"/>
    <w:rsid w:val="00F30B79"/>
    <w:rsid w:val="00F30C94"/>
    <w:rsid w:val="00F30CA2"/>
    <w:rsid w:val="00F316A8"/>
    <w:rsid w:val="00F318A6"/>
    <w:rsid w:val="00F31C18"/>
    <w:rsid w:val="00F31C84"/>
    <w:rsid w:val="00F31DBF"/>
    <w:rsid w:val="00F31EEE"/>
    <w:rsid w:val="00F31F52"/>
    <w:rsid w:val="00F31FFE"/>
    <w:rsid w:val="00F3280E"/>
    <w:rsid w:val="00F32856"/>
    <w:rsid w:val="00F32B11"/>
    <w:rsid w:val="00F32BF1"/>
    <w:rsid w:val="00F32C0F"/>
    <w:rsid w:val="00F32F88"/>
    <w:rsid w:val="00F3311D"/>
    <w:rsid w:val="00F3349E"/>
    <w:rsid w:val="00F33984"/>
    <w:rsid w:val="00F339A7"/>
    <w:rsid w:val="00F33A9E"/>
    <w:rsid w:val="00F340BD"/>
    <w:rsid w:val="00F34A41"/>
    <w:rsid w:val="00F34D62"/>
    <w:rsid w:val="00F34DE6"/>
    <w:rsid w:val="00F34FDD"/>
    <w:rsid w:val="00F35090"/>
    <w:rsid w:val="00F354D6"/>
    <w:rsid w:val="00F36039"/>
    <w:rsid w:val="00F36691"/>
    <w:rsid w:val="00F36AA8"/>
    <w:rsid w:val="00F37059"/>
    <w:rsid w:val="00F37109"/>
    <w:rsid w:val="00F37827"/>
    <w:rsid w:val="00F37D10"/>
    <w:rsid w:val="00F40214"/>
    <w:rsid w:val="00F4060B"/>
    <w:rsid w:val="00F40867"/>
    <w:rsid w:val="00F40985"/>
    <w:rsid w:val="00F416F6"/>
    <w:rsid w:val="00F41CF1"/>
    <w:rsid w:val="00F41F55"/>
    <w:rsid w:val="00F41FD0"/>
    <w:rsid w:val="00F4239A"/>
    <w:rsid w:val="00F42443"/>
    <w:rsid w:val="00F426F6"/>
    <w:rsid w:val="00F42CBE"/>
    <w:rsid w:val="00F42D68"/>
    <w:rsid w:val="00F42FC6"/>
    <w:rsid w:val="00F43269"/>
    <w:rsid w:val="00F445EA"/>
    <w:rsid w:val="00F44C4A"/>
    <w:rsid w:val="00F44CB1"/>
    <w:rsid w:val="00F4529E"/>
    <w:rsid w:val="00F45419"/>
    <w:rsid w:val="00F4576A"/>
    <w:rsid w:val="00F45FEC"/>
    <w:rsid w:val="00F46189"/>
    <w:rsid w:val="00F46270"/>
    <w:rsid w:val="00F4640A"/>
    <w:rsid w:val="00F46B8C"/>
    <w:rsid w:val="00F46BD3"/>
    <w:rsid w:val="00F46FC8"/>
    <w:rsid w:val="00F47278"/>
    <w:rsid w:val="00F472D3"/>
    <w:rsid w:val="00F474E4"/>
    <w:rsid w:val="00F47D0A"/>
    <w:rsid w:val="00F47EAA"/>
    <w:rsid w:val="00F5034A"/>
    <w:rsid w:val="00F5082F"/>
    <w:rsid w:val="00F50D1D"/>
    <w:rsid w:val="00F50E9D"/>
    <w:rsid w:val="00F50EF7"/>
    <w:rsid w:val="00F5119D"/>
    <w:rsid w:val="00F51281"/>
    <w:rsid w:val="00F515C4"/>
    <w:rsid w:val="00F515CD"/>
    <w:rsid w:val="00F5169A"/>
    <w:rsid w:val="00F51782"/>
    <w:rsid w:val="00F51AE6"/>
    <w:rsid w:val="00F51B9C"/>
    <w:rsid w:val="00F51DA6"/>
    <w:rsid w:val="00F52007"/>
    <w:rsid w:val="00F52492"/>
    <w:rsid w:val="00F52817"/>
    <w:rsid w:val="00F52AF6"/>
    <w:rsid w:val="00F52B1A"/>
    <w:rsid w:val="00F52B57"/>
    <w:rsid w:val="00F52EB0"/>
    <w:rsid w:val="00F52F02"/>
    <w:rsid w:val="00F5302D"/>
    <w:rsid w:val="00F533D6"/>
    <w:rsid w:val="00F53872"/>
    <w:rsid w:val="00F53E5D"/>
    <w:rsid w:val="00F53FC6"/>
    <w:rsid w:val="00F542AA"/>
    <w:rsid w:val="00F54936"/>
    <w:rsid w:val="00F54A60"/>
    <w:rsid w:val="00F55423"/>
    <w:rsid w:val="00F557A2"/>
    <w:rsid w:val="00F55B98"/>
    <w:rsid w:val="00F55BDB"/>
    <w:rsid w:val="00F55D13"/>
    <w:rsid w:val="00F55E0F"/>
    <w:rsid w:val="00F55F08"/>
    <w:rsid w:val="00F56567"/>
    <w:rsid w:val="00F56FEE"/>
    <w:rsid w:val="00F60332"/>
    <w:rsid w:val="00F60CEA"/>
    <w:rsid w:val="00F61791"/>
    <w:rsid w:val="00F61880"/>
    <w:rsid w:val="00F61B86"/>
    <w:rsid w:val="00F61C0A"/>
    <w:rsid w:val="00F61D1D"/>
    <w:rsid w:val="00F628FB"/>
    <w:rsid w:val="00F63534"/>
    <w:rsid w:val="00F635F8"/>
    <w:rsid w:val="00F63824"/>
    <w:rsid w:val="00F63A96"/>
    <w:rsid w:val="00F63FCF"/>
    <w:rsid w:val="00F6455A"/>
    <w:rsid w:val="00F64A76"/>
    <w:rsid w:val="00F64C06"/>
    <w:rsid w:val="00F64F30"/>
    <w:rsid w:val="00F651CA"/>
    <w:rsid w:val="00F653C7"/>
    <w:rsid w:val="00F65601"/>
    <w:rsid w:val="00F65C9F"/>
    <w:rsid w:val="00F65F79"/>
    <w:rsid w:val="00F66253"/>
    <w:rsid w:val="00F66394"/>
    <w:rsid w:val="00F663E5"/>
    <w:rsid w:val="00F66700"/>
    <w:rsid w:val="00F66750"/>
    <w:rsid w:val="00F66E01"/>
    <w:rsid w:val="00F66E63"/>
    <w:rsid w:val="00F67037"/>
    <w:rsid w:val="00F670ED"/>
    <w:rsid w:val="00F67B83"/>
    <w:rsid w:val="00F67EFB"/>
    <w:rsid w:val="00F67F99"/>
    <w:rsid w:val="00F7009B"/>
    <w:rsid w:val="00F7019F"/>
    <w:rsid w:val="00F7020E"/>
    <w:rsid w:val="00F71054"/>
    <w:rsid w:val="00F712FC"/>
    <w:rsid w:val="00F71ADA"/>
    <w:rsid w:val="00F71B0D"/>
    <w:rsid w:val="00F71D03"/>
    <w:rsid w:val="00F720FE"/>
    <w:rsid w:val="00F72117"/>
    <w:rsid w:val="00F7273E"/>
    <w:rsid w:val="00F73359"/>
    <w:rsid w:val="00F7388E"/>
    <w:rsid w:val="00F743A2"/>
    <w:rsid w:val="00F7471C"/>
    <w:rsid w:val="00F747FD"/>
    <w:rsid w:val="00F74A41"/>
    <w:rsid w:val="00F74A7F"/>
    <w:rsid w:val="00F74C35"/>
    <w:rsid w:val="00F751B4"/>
    <w:rsid w:val="00F757AD"/>
    <w:rsid w:val="00F75A29"/>
    <w:rsid w:val="00F75E5F"/>
    <w:rsid w:val="00F75E81"/>
    <w:rsid w:val="00F7629D"/>
    <w:rsid w:val="00F767A0"/>
    <w:rsid w:val="00F7692D"/>
    <w:rsid w:val="00F76942"/>
    <w:rsid w:val="00F76A24"/>
    <w:rsid w:val="00F76BC1"/>
    <w:rsid w:val="00F772BC"/>
    <w:rsid w:val="00F7734B"/>
    <w:rsid w:val="00F77826"/>
    <w:rsid w:val="00F778B9"/>
    <w:rsid w:val="00F77DB0"/>
    <w:rsid w:val="00F77F91"/>
    <w:rsid w:val="00F80025"/>
    <w:rsid w:val="00F803AC"/>
    <w:rsid w:val="00F80524"/>
    <w:rsid w:val="00F81353"/>
    <w:rsid w:val="00F81AEF"/>
    <w:rsid w:val="00F81FE8"/>
    <w:rsid w:val="00F821ED"/>
    <w:rsid w:val="00F823EF"/>
    <w:rsid w:val="00F82A06"/>
    <w:rsid w:val="00F82A16"/>
    <w:rsid w:val="00F83F87"/>
    <w:rsid w:val="00F84384"/>
    <w:rsid w:val="00F8458E"/>
    <w:rsid w:val="00F84642"/>
    <w:rsid w:val="00F84AD1"/>
    <w:rsid w:val="00F84B55"/>
    <w:rsid w:val="00F84E32"/>
    <w:rsid w:val="00F851A3"/>
    <w:rsid w:val="00F856BB"/>
    <w:rsid w:val="00F857A4"/>
    <w:rsid w:val="00F85916"/>
    <w:rsid w:val="00F85A31"/>
    <w:rsid w:val="00F85D91"/>
    <w:rsid w:val="00F8614D"/>
    <w:rsid w:val="00F865D7"/>
    <w:rsid w:val="00F86855"/>
    <w:rsid w:val="00F86B35"/>
    <w:rsid w:val="00F86F60"/>
    <w:rsid w:val="00F87382"/>
    <w:rsid w:val="00F874DE"/>
    <w:rsid w:val="00F876B4"/>
    <w:rsid w:val="00F87CD1"/>
    <w:rsid w:val="00F87CD4"/>
    <w:rsid w:val="00F87DCB"/>
    <w:rsid w:val="00F8CB38"/>
    <w:rsid w:val="00F90012"/>
    <w:rsid w:val="00F904A6"/>
    <w:rsid w:val="00F90555"/>
    <w:rsid w:val="00F90865"/>
    <w:rsid w:val="00F90940"/>
    <w:rsid w:val="00F90948"/>
    <w:rsid w:val="00F90A31"/>
    <w:rsid w:val="00F90FD3"/>
    <w:rsid w:val="00F91123"/>
    <w:rsid w:val="00F914F4"/>
    <w:rsid w:val="00F91DFD"/>
    <w:rsid w:val="00F91F6D"/>
    <w:rsid w:val="00F928E5"/>
    <w:rsid w:val="00F92AF7"/>
    <w:rsid w:val="00F92F7B"/>
    <w:rsid w:val="00F93000"/>
    <w:rsid w:val="00F932A7"/>
    <w:rsid w:val="00F93457"/>
    <w:rsid w:val="00F93DDD"/>
    <w:rsid w:val="00F93E1F"/>
    <w:rsid w:val="00F93E4D"/>
    <w:rsid w:val="00F940AD"/>
    <w:rsid w:val="00F9443E"/>
    <w:rsid w:val="00F94460"/>
    <w:rsid w:val="00F94627"/>
    <w:rsid w:val="00F95054"/>
    <w:rsid w:val="00F95803"/>
    <w:rsid w:val="00F95A76"/>
    <w:rsid w:val="00F95B27"/>
    <w:rsid w:val="00F95C2A"/>
    <w:rsid w:val="00F95D42"/>
    <w:rsid w:val="00F95E13"/>
    <w:rsid w:val="00F9632A"/>
    <w:rsid w:val="00F969CC"/>
    <w:rsid w:val="00F96C88"/>
    <w:rsid w:val="00F96EFA"/>
    <w:rsid w:val="00F96F34"/>
    <w:rsid w:val="00F97454"/>
    <w:rsid w:val="00F97528"/>
    <w:rsid w:val="00F9788C"/>
    <w:rsid w:val="00F97B69"/>
    <w:rsid w:val="00F97B84"/>
    <w:rsid w:val="00F97E64"/>
    <w:rsid w:val="00FA0009"/>
    <w:rsid w:val="00FA0171"/>
    <w:rsid w:val="00FA01C4"/>
    <w:rsid w:val="00FA10EF"/>
    <w:rsid w:val="00FA10F4"/>
    <w:rsid w:val="00FA18CD"/>
    <w:rsid w:val="00FA1CD8"/>
    <w:rsid w:val="00FA2145"/>
    <w:rsid w:val="00FA225C"/>
    <w:rsid w:val="00FA25C6"/>
    <w:rsid w:val="00FA3677"/>
    <w:rsid w:val="00FA3873"/>
    <w:rsid w:val="00FA3D8C"/>
    <w:rsid w:val="00FA402B"/>
    <w:rsid w:val="00FA4282"/>
    <w:rsid w:val="00FA4544"/>
    <w:rsid w:val="00FA4780"/>
    <w:rsid w:val="00FA4985"/>
    <w:rsid w:val="00FA49EB"/>
    <w:rsid w:val="00FA4EDF"/>
    <w:rsid w:val="00FA4F95"/>
    <w:rsid w:val="00FA513F"/>
    <w:rsid w:val="00FA5DC3"/>
    <w:rsid w:val="00FA5DCD"/>
    <w:rsid w:val="00FA614C"/>
    <w:rsid w:val="00FA6379"/>
    <w:rsid w:val="00FA6489"/>
    <w:rsid w:val="00FA6561"/>
    <w:rsid w:val="00FA679A"/>
    <w:rsid w:val="00FA6A6C"/>
    <w:rsid w:val="00FA6B14"/>
    <w:rsid w:val="00FA6B66"/>
    <w:rsid w:val="00FA6EC3"/>
    <w:rsid w:val="00FA72B8"/>
    <w:rsid w:val="00FA7EB8"/>
    <w:rsid w:val="00FB0316"/>
    <w:rsid w:val="00FB05DA"/>
    <w:rsid w:val="00FB07A8"/>
    <w:rsid w:val="00FB19D7"/>
    <w:rsid w:val="00FB1B0A"/>
    <w:rsid w:val="00FB1CC2"/>
    <w:rsid w:val="00FB1D54"/>
    <w:rsid w:val="00FB1DDF"/>
    <w:rsid w:val="00FB1FD3"/>
    <w:rsid w:val="00FB2201"/>
    <w:rsid w:val="00FB229C"/>
    <w:rsid w:val="00FB2675"/>
    <w:rsid w:val="00FB2A2B"/>
    <w:rsid w:val="00FB2C24"/>
    <w:rsid w:val="00FB2CB7"/>
    <w:rsid w:val="00FB2CD5"/>
    <w:rsid w:val="00FB2F04"/>
    <w:rsid w:val="00FB2F19"/>
    <w:rsid w:val="00FB348C"/>
    <w:rsid w:val="00FB37EF"/>
    <w:rsid w:val="00FB3CA3"/>
    <w:rsid w:val="00FB3D11"/>
    <w:rsid w:val="00FB3DCC"/>
    <w:rsid w:val="00FB3F5B"/>
    <w:rsid w:val="00FB4046"/>
    <w:rsid w:val="00FB4921"/>
    <w:rsid w:val="00FB4BAA"/>
    <w:rsid w:val="00FB4CE3"/>
    <w:rsid w:val="00FB5371"/>
    <w:rsid w:val="00FB59FA"/>
    <w:rsid w:val="00FB5E74"/>
    <w:rsid w:val="00FB61B2"/>
    <w:rsid w:val="00FB6AAF"/>
    <w:rsid w:val="00FB6B90"/>
    <w:rsid w:val="00FB6BB2"/>
    <w:rsid w:val="00FB6BC2"/>
    <w:rsid w:val="00FB72DC"/>
    <w:rsid w:val="00FB72EE"/>
    <w:rsid w:val="00FB75C6"/>
    <w:rsid w:val="00FB7923"/>
    <w:rsid w:val="00FB7D34"/>
    <w:rsid w:val="00FC0547"/>
    <w:rsid w:val="00FC0D0E"/>
    <w:rsid w:val="00FC0D7B"/>
    <w:rsid w:val="00FC10FD"/>
    <w:rsid w:val="00FC1180"/>
    <w:rsid w:val="00FC15A2"/>
    <w:rsid w:val="00FC1EB6"/>
    <w:rsid w:val="00FC1FA6"/>
    <w:rsid w:val="00FC2117"/>
    <w:rsid w:val="00FC2CD8"/>
    <w:rsid w:val="00FC2D22"/>
    <w:rsid w:val="00FC2D5F"/>
    <w:rsid w:val="00FC2DD5"/>
    <w:rsid w:val="00FC2E1F"/>
    <w:rsid w:val="00FC2E8E"/>
    <w:rsid w:val="00FC31B7"/>
    <w:rsid w:val="00FC3322"/>
    <w:rsid w:val="00FC335A"/>
    <w:rsid w:val="00FC33C7"/>
    <w:rsid w:val="00FC375F"/>
    <w:rsid w:val="00FC39F6"/>
    <w:rsid w:val="00FC3ACE"/>
    <w:rsid w:val="00FC3E8A"/>
    <w:rsid w:val="00FC41F3"/>
    <w:rsid w:val="00FC43CF"/>
    <w:rsid w:val="00FC452B"/>
    <w:rsid w:val="00FC486E"/>
    <w:rsid w:val="00FC5040"/>
    <w:rsid w:val="00FC5372"/>
    <w:rsid w:val="00FC54A2"/>
    <w:rsid w:val="00FC54E3"/>
    <w:rsid w:val="00FC55C7"/>
    <w:rsid w:val="00FC5716"/>
    <w:rsid w:val="00FC577B"/>
    <w:rsid w:val="00FC595C"/>
    <w:rsid w:val="00FC5EB2"/>
    <w:rsid w:val="00FC6159"/>
    <w:rsid w:val="00FC661C"/>
    <w:rsid w:val="00FC75C3"/>
    <w:rsid w:val="00FC782E"/>
    <w:rsid w:val="00FC7BFD"/>
    <w:rsid w:val="00FD0454"/>
    <w:rsid w:val="00FD09BA"/>
    <w:rsid w:val="00FD0B00"/>
    <w:rsid w:val="00FD1108"/>
    <w:rsid w:val="00FD18D3"/>
    <w:rsid w:val="00FD1DAE"/>
    <w:rsid w:val="00FD2093"/>
    <w:rsid w:val="00FD24E9"/>
    <w:rsid w:val="00FD24EF"/>
    <w:rsid w:val="00FD25B7"/>
    <w:rsid w:val="00FD2809"/>
    <w:rsid w:val="00FD280B"/>
    <w:rsid w:val="00FD2983"/>
    <w:rsid w:val="00FD2EDD"/>
    <w:rsid w:val="00FD31AA"/>
    <w:rsid w:val="00FD33A7"/>
    <w:rsid w:val="00FD3414"/>
    <w:rsid w:val="00FD359C"/>
    <w:rsid w:val="00FD37A5"/>
    <w:rsid w:val="00FD37F9"/>
    <w:rsid w:val="00FD3EFD"/>
    <w:rsid w:val="00FD40E8"/>
    <w:rsid w:val="00FD43A1"/>
    <w:rsid w:val="00FD44ED"/>
    <w:rsid w:val="00FD4AA4"/>
    <w:rsid w:val="00FD4B50"/>
    <w:rsid w:val="00FD505B"/>
    <w:rsid w:val="00FD5079"/>
    <w:rsid w:val="00FD531B"/>
    <w:rsid w:val="00FD57B0"/>
    <w:rsid w:val="00FD5946"/>
    <w:rsid w:val="00FD5B03"/>
    <w:rsid w:val="00FD5B63"/>
    <w:rsid w:val="00FD5DC9"/>
    <w:rsid w:val="00FD603A"/>
    <w:rsid w:val="00FD651A"/>
    <w:rsid w:val="00FD6A48"/>
    <w:rsid w:val="00FD6C3C"/>
    <w:rsid w:val="00FD6E70"/>
    <w:rsid w:val="00FD6EF0"/>
    <w:rsid w:val="00FD703A"/>
    <w:rsid w:val="00FD7182"/>
    <w:rsid w:val="00FD7336"/>
    <w:rsid w:val="00FD73B0"/>
    <w:rsid w:val="00FD7C80"/>
    <w:rsid w:val="00FE000B"/>
    <w:rsid w:val="00FE0627"/>
    <w:rsid w:val="00FE1287"/>
    <w:rsid w:val="00FE17DA"/>
    <w:rsid w:val="00FE1BCD"/>
    <w:rsid w:val="00FE205C"/>
    <w:rsid w:val="00FE2605"/>
    <w:rsid w:val="00FE2634"/>
    <w:rsid w:val="00FE30B8"/>
    <w:rsid w:val="00FE30F8"/>
    <w:rsid w:val="00FE314C"/>
    <w:rsid w:val="00FE320A"/>
    <w:rsid w:val="00FE342E"/>
    <w:rsid w:val="00FE349D"/>
    <w:rsid w:val="00FE3777"/>
    <w:rsid w:val="00FE42EE"/>
    <w:rsid w:val="00FE4929"/>
    <w:rsid w:val="00FE497B"/>
    <w:rsid w:val="00FE4B11"/>
    <w:rsid w:val="00FE4C8A"/>
    <w:rsid w:val="00FE511A"/>
    <w:rsid w:val="00FE5D62"/>
    <w:rsid w:val="00FE5E3F"/>
    <w:rsid w:val="00FE6359"/>
    <w:rsid w:val="00FE688C"/>
    <w:rsid w:val="00FE6B14"/>
    <w:rsid w:val="00FE6B53"/>
    <w:rsid w:val="00FE6C60"/>
    <w:rsid w:val="00FE6C68"/>
    <w:rsid w:val="00FE724C"/>
    <w:rsid w:val="00FE7335"/>
    <w:rsid w:val="00FE7652"/>
    <w:rsid w:val="00FE76F1"/>
    <w:rsid w:val="00FE7A1E"/>
    <w:rsid w:val="00FE7B47"/>
    <w:rsid w:val="00FE7F35"/>
    <w:rsid w:val="00FF00E8"/>
    <w:rsid w:val="00FF06C1"/>
    <w:rsid w:val="00FF0D9C"/>
    <w:rsid w:val="00FF0FE5"/>
    <w:rsid w:val="00FF10CF"/>
    <w:rsid w:val="00FF13DF"/>
    <w:rsid w:val="00FF13FF"/>
    <w:rsid w:val="00FF1FDA"/>
    <w:rsid w:val="00FF2F61"/>
    <w:rsid w:val="00FF3D61"/>
    <w:rsid w:val="00FF3F82"/>
    <w:rsid w:val="00FF3FCC"/>
    <w:rsid w:val="00FF3FD6"/>
    <w:rsid w:val="00FF4118"/>
    <w:rsid w:val="00FF42B2"/>
    <w:rsid w:val="00FF4357"/>
    <w:rsid w:val="00FF4510"/>
    <w:rsid w:val="00FF4539"/>
    <w:rsid w:val="00FF50C3"/>
    <w:rsid w:val="00FF5945"/>
    <w:rsid w:val="00FF5B3D"/>
    <w:rsid w:val="00FF5CDC"/>
    <w:rsid w:val="00FF608B"/>
    <w:rsid w:val="00FF6247"/>
    <w:rsid w:val="00FF654E"/>
    <w:rsid w:val="00FF67ED"/>
    <w:rsid w:val="00FF6AFD"/>
    <w:rsid w:val="00FF6C5E"/>
    <w:rsid w:val="00FF711B"/>
    <w:rsid w:val="00FF75A0"/>
    <w:rsid w:val="00FF77E2"/>
    <w:rsid w:val="00FF7E35"/>
    <w:rsid w:val="00FF7FF5"/>
    <w:rsid w:val="01B120F1"/>
    <w:rsid w:val="0210F005"/>
    <w:rsid w:val="02295A19"/>
    <w:rsid w:val="0380CB80"/>
    <w:rsid w:val="05372D6B"/>
    <w:rsid w:val="0656DED7"/>
    <w:rsid w:val="0660CAEE"/>
    <w:rsid w:val="06CC9DF8"/>
    <w:rsid w:val="072C62AA"/>
    <w:rsid w:val="074DFEC0"/>
    <w:rsid w:val="0844BB49"/>
    <w:rsid w:val="084D0429"/>
    <w:rsid w:val="0861EFB2"/>
    <w:rsid w:val="088AEFAB"/>
    <w:rsid w:val="0A208654"/>
    <w:rsid w:val="0A8109FD"/>
    <w:rsid w:val="0A8EEB88"/>
    <w:rsid w:val="0A93E16C"/>
    <w:rsid w:val="0B6FEAEA"/>
    <w:rsid w:val="0B8A1420"/>
    <w:rsid w:val="0CBAB83F"/>
    <w:rsid w:val="0D89FC9A"/>
    <w:rsid w:val="0F75B7E7"/>
    <w:rsid w:val="1048497C"/>
    <w:rsid w:val="10E620C7"/>
    <w:rsid w:val="10E88281"/>
    <w:rsid w:val="1116F2C4"/>
    <w:rsid w:val="11A45078"/>
    <w:rsid w:val="120B0EEE"/>
    <w:rsid w:val="12FCAC09"/>
    <w:rsid w:val="13E39849"/>
    <w:rsid w:val="13E91248"/>
    <w:rsid w:val="14B605D5"/>
    <w:rsid w:val="14B96B53"/>
    <w:rsid w:val="14DD963F"/>
    <w:rsid w:val="14ED9462"/>
    <w:rsid w:val="15E21C86"/>
    <w:rsid w:val="1613ED2D"/>
    <w:rsid w:val="162CA891"/>
    <w:rsid w:val="16C8C237"/>
    <w:rsid w:val="16F25384"/>
    <w:rsid w:val="17F84821"/>
    <w:rsid w:val="18C7CB49"/>
    <w:rsid w:val="18F217BA"/>
    <w:rsid w:val="190D1EE8"/>
    <w:rsid w:val="19CBC3E5"/>
    <w:rsid w:val="19D97897"/>
    <w:rsid w:val="19F05E08"/>
    <w:rsid w:val="1A3AAEA7"/>
    <w:rsid w:val="1AF9A2F0"/>
    <w:rsid w:val="1BC5F016"/>
    <w:rsid w:val="1C2947DE"/>
    <w:rsid w:val="1C92D270"/>
    <w:rsid w:val="1D93B565"/>
    <w:rsid w:val="1DDC58F7"/>
    <w:rsid w:val="1E400157"/>
    <w:rsid w:val="1F9AF227"/>
    <w:rsid w:val="20EC8112"/>
    <w:rsid w:val="21171437"/>
    <w:rsid w:val="216F2C73"/>
    <w:rsid w:val="21869FA1"/>
    <w:rsid w:val="220D2A64"/>
    <w:rsid w:val="2230FBA8"/>
    <w:rsid w:val="22316910"/>
    <w:rsid w:val="2272C6D9"/>
    <w:rsid w:val="22EF54F3"/>
    <w:rsid w:val="23242019"/>
    <w:rsid w:val="25C0C82A"/>
    <w:rsid w:val="25EA3812"/>
    <w:rsid w:val="263FF460"/>
    <w:rsid w:val="264A7D49"/>
    <w:rsid w:val="26DB23ED"/>
    <w:rsid w:val="2718FBBB"/>
    <w:rsid w:val="2778567B"/>
    <w:rsid w:val="27B787A5"/>
    <w:rsid w:val="282508AB"/>
    <w:rsid w:val="28B0C6D6"/>
    <w:rsid w:val="2A6BF20B"/>
    <w:rsid w:val="2A808937"/>
    <w:rsid w:val="2B0D02F5"/>
    <w:rsid w:val="2B338E31"/>
    <w:rsid w:val="2B6437B9"/>
    <w:rsid w:val="2C157490"/>
    <w:rsid w:val="2CBF0736"/>
    <w:rsid w:val="2D54B7AC"/>
    <w:rsid w:val="2E0BA346"/>
    <w:rsid w:val="2E66DAD5"/>
    <w:rsid w:val="2EE2BF5D"/>
    <w:rsid w:val="301C1FBD"/>
    <w:rsid w:val="318A0A74"/>
    <w:rsid w:val="32492B60"/>
    <w:rsid w:val="326A093D"/>
    <w:rsid w:val="328CED41"/>
    <w:rsid w:val="32AB3811"/>
    <w:rsid w:val="32DABE03"/>
    <w:rsid w:val="33A0818C"/>
    <w:rsid w:val="33E902D6"/>
    <w:rsid w:val="352928CF"/>
    <w:rsid w:val="35310535"/>
    <w:rsid w:val="362702DE"/>
    <w:rsid w:val="366D238B"/>
    <w:rsid w:val="3698A781"/>
    <w:rsid w:val="37B592AF"/>
    <w:rsid w:val="3A9BEE00"/>
    <w:rsid w:val="3B2F2D02"/>
    <w:rsid w:val="3B3A3518"/>
    <w:rsid w:val="3BB21A1A"/>
    <w:rsid w:val="3C431ECF"/>
    <w:rsid w:val="3CBD16BB"/>
    <w:rsid w:val="3CD885A3"/>
    <w:rsid w:val="3CE944E9"/>
    <w:rsid w:val="3CF17E54"/>
    <w:rsid w:val="3D1249AF"/>
    <w:rsid w:val="3D57562B"/>
    <w:rsid w:val="3DC91C76"/>
    <w:rsid w:val="3DEC54D8"/>
    <w:rsid w:val="3E7CA54A"/>
    <w:rsid w:val="3EA75E26"/>
    <w:rsid w:val="4097273C"/>
    <w:rsid w:val="40CE8F51"/>
    <w:rsid w:val="4443A821"/>
    <w:rsid w:val="460FC675"/>
    <w:rsid w:val="461B8141"/>
    <w:rsid w:val="46C7601B"/>
    <w:rsid w:val="4719E8EE"/>
    <w:rsid w:val="47545B3E"/>
    <w:rsid w:val="476D1DB0"/>
    <w:rsid w:val="48B63760"/>
    <w:rsid w:val="495376EB"/>
    <w:rsid w:val="4A9B5181"/>
    <w:rsid w:val="4A9FA369"/>
    <w:rsid w:val="4B27B880"/>
    <w:rsid w:val="4BF42671"/>
    <w:rsid w:val="4CCD3067"/>
    <w:rsid w:val="4D017D66"/>
    <w:rsid w:val="4D10D2DC"/>
    <w:rsid w:val="4D6D306A"/>
    <w:rsid w:val="4E53D676"/>
    <w:rsid w:val="4EDBC902"/>
    <w:rsid w:val="4EF36561"/>
    <w:rsid w:val="4F2E3B51"/>
    <w:rsid w:val="4F433E0E"/>
    <w:rsid w:val="4F9A10B2"/>
    <w:rsid w:val="4FA4A798"/>
    <w:rsid w:val="4FAF5FBE"/>
    <w:rsid w:val="4FBF6863"/>
    <w:rsid w:val="5050270A"/>
    <w:rsid w:val="50675F9E"/>
    <w:rsid w:val="50B54840"/>
    <w:rsid w:val="50D77079"/>
    <w:rsid w:val="50E00ABB"/>
    <w:rsid w:val="51F86B7B"/>
    <w:rsid w:val="52A705D6"/>
    <w:rsid w:val="5322363C"/>
    <w:rsid w:val="5347EB2C"/>
    <w:rsid w:val="53BB7C55"/>
    <w:rsid w:val="53CEFAB6"/>
    <w:rsid w:val="543E3324"/>
    <w:rsid w:val="546D70E0"/>
    <w:rsid w:val="547A3377"/>
    <w:rsid w:val="54E2B53B"/>
    <w:rsid w:val="54F2C11B"/>
    <w:rsid w:val="5647BD64"/>
    <w:rsid w:val="569B4DE6"/>
    <w:rsid w:val="5722DB82"/>
    <w:rsid w:val="5748CCA7"/>
    <w:rsid w:val="5771599C"/>
    <w:rsid w:val="58632646"/>
    <w:rsid w:val="58C69E02"/>
    <w:rsid w:val="593A237F"/>
    <w:rsid w:val="5988DF5B"/>
    <w:rsid w:val="5994E63B"/>
    <w:rsid w:val="5A10CBA0"/>
    <w:rsid w:val="5AB200D0"/>
    <w:rsid w:val="5C8FAD2A"/>
    <w:rsid w:val="5CA2410A"/>
    <w:rsid w:val="5D703683"/>
    <w:rsid w:val="5DA32D79"/>
    <w:rsid w:val="5DA5FCE9"/>
    <w:rsid w:val="5DA713FB"/>
    <w:rsid w:val="5E180C58"/>
    <w:rsid w:val="5FEBA3A1"/>
    <w:rsid w:val="604EDCD6"/>
    <w:rsid w:val="609C17E5"/>
    <w:rsid w:val="61B01CF9"/>
    <w:rsid w:val="620F956B"/>
    <w:rsid w:val="6249C991"/>
    <w:rsid w:val="626B1B09"/>
    <w:rsid w:val="62748261"/>
    <w:rsid w:val="62963BD6"/>
    <w:rsid w:val="62E55A59"/>
    <w:rsid w:val="62F7E0E0"/>
    <w:rsid w:val="637301A4"/>
    <w:rsid w:val="63C2C204"/>
    <w:rsid w:val="63CB4FDD"/>
    <w:rsid w:val="648D229E"/>
    <w:rsid w:val="64B125AF"/>
    <w:rsid w:val="64EFE07A"/>
    <w:rsid w:val="6574DB60"/>
    <w:rsid w:val="65A05055"/>
    <w:rsid w:val="65BABA3F"/>
    <w:rsid w:val="65F667F7"/>
    <w:rsid w:val="670E04C8"/>
    <w:rsid w:val="678B6D68"/>
    <w:rsid w:val="68E6D25C"/>
    <w:rsid w:val="6A199E9C"/>
    <w:rsid w:val="6A751DB3"/>
    <w:rsid w:val="6B0400FD"/>
    <w:rsid w:val="6CC95FFF"/>
    <w:rsid w:val="6D0C73A3"/>
    <w:rsid w:val="6D91390A"/>
    <w:rsid w:val="6E53375D"/>
    <w:rsid w:val="6FE0B9E9"/>
    <w:rsid w:val="70FE1B8F"/>
    <w:rsid w:val="716F3A5B"/>
    <w:rsid w:val="717F1B98"/>
    <w:rsid w:val="71A33252"/>
    <w:rsid w:val="72C5AFFA"/>
    <w:rsid w:val="7424CEBE"/>
    <w:rsid w:val="7430664B"/>
    <w:rsid w:val="749FF883"/>
    <w:rsid w:val="7560D639"/>
    <w:rsid w:val="767AF5B7"/>
    <w:rsid w:val="7687A58A"/>
    <w:rsid w:val="76E96C97"/>
    <w:rsid w:val="771B6488"/>
    <w:rsid w:val="7897C8A6"/>
    <w:rsid w:val="792B2883"/>
    <w:rsid w:val="79FDCD8E"/>
    <w:rsid w:val="7A23C490"/>
    <w:rsid w:val="7A287E93"/>
    <w:rsid w:val="7A78D58E"/>
    <w:rsid w:val="7AC093DA"/>
    <w:rsid w:val="7B084582"/>
    <w:rsid w:val="7BBB8065"/>
    <w:rsid w:val="7C656397"/>
    <w:rsid w:val="7C943006"/>
    <w:rsid w:val="7CF4687D"/>
    <w:rsid w:val="7F5FE4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4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lsdException w:name="header" w:semiHidden="1" w:unhideWhenUsed="1"/>
    <w:lsdException w:name="footer" w:semiHidden="1" w:uiPriority="99"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uiPriority="99"/>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F73359"/>
  </w:style>
  <w:style w:type="paragraph" w:styleId="Heading1">
    <w:name w:val="heading 1"/>
    <w:basedOn w:val="HeadingBase"/>
    <w:next w:val="Normal"/>
    <w:qFormat/>
    <w:rsid w:val="00024831"/>
    <w:pPr>
      <w:keepNext/>
      <w:spacing w:before="600" w:after="360"/>
      <w:outlineLvl w:val="0"/>
    </w:pPr>
    <w:rPr>
      <w:rFonts w:cs="Arial"/>
      <w:color w:val="142147"/>
      <w:kern w:val="32"/>
      <w:sz w:val="56"/>
      <w:szCs w:val="36"/>
    </w:rPr>
  </w:style>
  <w:style w:type="paragraph" w:styleId="Heading2">
    <w:name w:val="heading 2"/>
    <w:basedOn w:val="Normal"/>
    <w:next w:val="Normal"/>
    <w:qFormat/>
    <w:rsid w:val="003827E3"/>
    <w:pPr>
      <w:keepNext/>
      <w:spacing w:before="480" w:after="240"/>
      <w:outlineLvl w:val="1"/>
    </w:pPr>
    <w:rPr>
      <w:rFonts w:ascii="Georgia" w:hAnsi="Georgia" w:cs="Arial"/>
      <w:iCs/>
      <w:color w:val="701F4C"/>
      <w:kern w:val="32"/>
      <w:sz w:val="40"/>
      <w:szCs w:val="28"/>
      <w14:numForm w14:val="lining"/>
      <w14:numSpacing w14:val="proportional"/>
    </w:rPr>
  </w:style>
  <w:style w:type="paragraph" w:styleId="Heading3">
    <w:name w:val="heading 3"/>
    <w:basedOn w:val="Normal"/>
    <w:next w:val="Normal"/>
    <w:qFormat/>
    <w:rsid w:val="003827E3"/>
    <w:pPr>
      <w:keepNext/>
      <w:spacing w:before="320"/>
      <w:outlineLvl w:val="2"/>
    </w:pPr>
    <w:rPr>
      <w:rFonts w:ascii="Georgia" w:hAnsi="Georgia" w:cs="Arial"/>
      <w:color w:val="432B73"/>
      <w:kern w:val="32"/>
      <w:sz w:val="34"/>
      <w:szCs w:val="26"/>
      <w14:numForm w14:val="lining"/>
      <w14:numSpacing w14:val="proportional"/>
    </w:rPr>
  </w:style>
  <w:style w:type="paragraph" w:styleId="Heading4">
    <w:name w:val="heading 4"/>
    <w:basedOn w:val="Normal"/>
    <w:next w:val="Normal"/>
    <w:qFormat/>
    <w:rsid w:val="003827E3"/>
    <w:pPr>
      <w:keepNext/>
      <w:spacing w:before="280" w:after="60"/>
      <w:outlineLvl w:val="3"/>
    </w:pPr>
    <w:rPr>
      <w:rFonts w:ascii="Georgia" w:hAnsi="Georgia" w:cs="Arial"/>
      <w:kern w:val="32"/>
      <w:sz w:val="28"/>
      <w:szCs w:val="26"/>
      <w14:numForm w14:val="lining"/>
      <w14:numSpacing w14:val="proportional"/>
    </w:rPr>
  </w:style>
  <w:style w:type="paragraph" w:styleId="Heading5">
    <w:name w:val="heading 5"/>
    <w:basedOn w:val="Normal"/>
    <w:next w:val="Normal"/>
    <w:qFormat/>
    <w:rsid w:val="003827E3"/>
    <w:pPr>
      <w:keepNext/>
      <w:spacing w:before="240" w:after="0" w:line="276" w:lineRule="auto"/>
      <w:outlineLvl w:val="4"/>
    </w:pPr>
    <w:rPr>
      <w:rFonts w:ascii="Georgia" w:hAnsi="Georgia" w:cs="Arial"/>
      <w:iCs/>
      <w:color w:val="595959"/>
      <w:kern w:val="32"/>
      <w:sz w:val="25"/>
      <w:szCs w:val="36"/>
      <w14:numForm w14:val="lining"/>
      <w14:numSpacing w14:val="proportional"/>
    </w:rPr>
  </w:style>
  <w:style w:type="paragraph" w:styleId="Heading6">
    <w:name w:val="heading 6"/>
    <w:basedOn w:val="Normal"/>
    <w:next w:val="Normal"/>
    <w:qFormat/>
    <w:rsid w:val="001B4096"/>
    <w:pPr>
      <w:keepNext/>
      <w:spacing w:after="0" w:line="276" w:lineRule="auto"/>
      <w:outlineLvl w:val="5"/>
    </w:pPr>
    <w:rPr>
      <w:rFonts w:cs="Arial"/>
      <w:b/>
      <w:color w:val="000000"/>
      <w:kern w:val="32"/>
      <w:sz w:val="25"/>
      <w14:numForm w14:val="lining"/>
      <w14:numSpacing w14:val="proportional"/>
    </w:rPr>
  </w:style>
  <w:style w:type="paragraph" w:styleId="Heading7">
    <w:name w:val="heading 7"/>
    <w:basedOn w:val="HeadingBase"/>
    <w:next w:val="Normal"/>
    <w:link w:val="Heading7Char"/>
    <w:qFormat/>
    <w:rsid w:val="001B4096"/>
    <w:pPr>
      <w:outlineLvl w:val="6"/>
    </w:pPr>
    <w:rPr>
      <w:rFonts w:asciiTheme="minorHAnsi" w:hAnsiTheme="minorHAnsi"/>
      <w:b/>
      <w:color w:val="000000" w:themeColor="text1"/>
      <w:sz w:val="23"/>
      <w:szCs w:val="24"/>
    </w:rPr>
  </w:style>
  <w:style w:type="paragraph" w:styleId="Heading8">
    <w:name w:val="heading 8"/>
    <w:basedOn w:val="HeadingBase"/>
    <w:next w:val="Normal"/>
    <w:qFormat/>
    <w:rsid w:val="001B4096"/>
    <w:pPr>
      <w:outlineLvl w:val="7"/>
    </w:pPr>
    <w:rPr>
      <w:rFonts w:asciiTheme="minorHAnsi" w:hAnsiTheme="minorHAnsi"/>
      <w:b/>
      <w:iCs/>
      <w:color w:val="5F5F5F" w:themeColor="text2"/>
      <w:sz w:val="22"/>
      <w:szCs w:val="24"/>
    </w:rPr>
  </w:style>
  <w:style w:type="paragraph" w:styleId="Heading9">
    <w:name w:val="heading 9"/>
    <w:basedOn w:val="HeadingBase"/>
    <w:next w:val="Normal"/>
    <w:qFormat/>
    <w:rsid w:val="001B4096"/>
    <w:pPr>
      <w:outlineLvl w:val="8"/>
    </w:pPr>
    <w:rPr>
      <w:rFonts w:asciiTheme="minorHAnsi" w:hAnsiTheme="minorHAnsi" w:cs="Arial"/>
      <w:i/>
      <w:color w:val="5F5F5F"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semiHidden/>
    <w:rsid w:val="00024831"/>
    <w:rPr>
      <w:rFonts w:ascii="Georgia" w:hAnsi="Georgia"/>
      <w:color w:val="142147" w:themeColor="accent1"/>
      <w:sz w:val="64"/>
      <w14:numForm w14:val="lining"/>
      <w14:numSpacing w14:val="proportional"/>
    </w:rPr>
  </w:style>
  <w:style w:type="paragraph" w:customStyle="1" w:styleId="SingleParagraph">
    <w:name w:val="Single Paragraph"/>
    <w:basedOn w:val="Normal"/>
    <w:link w:val="SingleParagraphChar"/>
    <w:rsid w:val="00894823"/>
    <w:pPr>
      <w:spacing w:after="0"/>
    </w:pPr>
  </w:style>
  <w:style w:type="character" w:styleId="Hyperlink">
    <w:name w:val="Hyperlink"/>
    <w:basedOn w:val="DefaultParagraphFont"/>
    <w:rsid w:val="007F40E3"/>
    <w:rPr>
      <w:color w:val="2B4798" w:themeColor="accent1" w:themeTint="BF"/>
      <w:u w:val="single"/>
    </w:rPr>
  </w:style>
  <w:style w:type="paragraph" w:customStyle="1" w:styleId="Non-ChapterHeading">
    <w:name w:val="Non-Chapter Heading"/>
    <w:basedOn w:val="HeadingBase"/>
    <w:next w:val="Normal"/>
    <w:rsid w:val="00CE4811"/>
    <w:pPr>
      <w:pageBreakBefore/>
      <w:spacing w:before="360" w:after="360"/>
    </w:pPr>
    <w:rPr>
      <w:i/>
      <w:sz w:val="56"/>
      <w:szCs w:val="38"/>
    </w:rPr>
  </w:style>
  <w:style w:type="character" w:styleId="PageNumber">
    <w:name w:val="page number"/>
    <w:basedOn w:val="DefaultParagraphFont"/>
    <w:semiHidden/>
    <w:rsid w:val="00894823"/>
    <w:rPr>
      <w:rFonts w:ascii="Arial" w:hAnsi="Arial"/>
      <w:sz w:val="18"/>
    </w:rPr>
  </w:style>
  <w:style w:type="paragraph" w:styleId="EndnoteText">
    <w:name w:val="endnote text"/>
    <w:basedOn w:val="Normal"/>
    <w:link w:val="EndnoteTextChar"/>
    <w:unhideWhenUsed/>
    <w:rsid w:val="00DA5F5F"/>
    <w:pPr>
      <w:spacing w:before="0" w:after="0"/>
    </w:pPr>
    <w:rPr>
      <w:sz w:val="20"/>
      <w:szCs w:val="20"/>
    </w:rPr>
  </w:style>
  <w:style w:type="paragraph" w:customStyle="1" w:styleId="Bullet">
    <w:name w:val="Bullet"/>
    <w:basedOn w:val="Normal"/>
    <w:link w:val="BulletChar"/>
    <w:rsid w:val="00EF1489"/>
    <w:pPr>
      <w:numPr>
        <w:numId w:val="21"/>
      </w:numPr>
      <w:tabs>
        <w:tab w:val="left" w:pos="567"/>
      </w:tabs>
    </w:pPr>
  </w:style>
  <w:style w:type="paragraph" w:customStyle="1" w:styleId="Dash">
    <w:name w:val="Dash"/>
    <w:basedOn w:val="Normal"/>
    <w:link w:val="DashChar"/>
    <w:rsid w:val="00B97960"/>
    <w:pPr>
      <w:numPr>
        <w:ilvl w:val="1"/>
        <w:numId w:val="21"/>
      </w:numPr>
      <w:tabs>
        <w:tab w:val="left" w:pos="1134"/>
      </w:tabs>
    </w:pPr>
  </w:style>
  <w:style w:type="paragraph" w:customStyle="1" w:styleId="DoubleDot">
    <w:name w:val="Double Dot"/>
    <w:basedOn w:val="Normal"/>
    <w:rsid w:val="00B97960"/>
    <w:pPr>
      <w:numPr>
        <w:ilvl w:val="2"/>
        <w:numId w:val="21"/>
      </w:numPr>
      <w:tabs>
        <w:tab w:val="left" w:pos="1701"/>
      </w:tabs>
    </w:pPr>
  </w:style>
  <w:style w:type="paragraph" w:customStyle="1" w:styleId="NumberedList1">
    <w:name w:val="Numbered List 1"/>
    <w:basedOn w:val="Normal"/>
    <w:rsid w:val="00CA2DB3"/>
  </w:style>
  <w:style w:type="paragraph" w:customStyle="1" w:styleId="NumberedList11">
    <w:name w:val="Numbered List 1.1"/>
    <w:basedOn w:val="Normal"/>
    <w:rsid w:val="00CA2DB3"/>
  </w:style>
  <w:style w:type="paragraph" w:customStyle="1" w:styleId="NumberedList111">
    <w:name w:val="Numbered List 1.1.1"/>
    <w:basedOn w:val="Normal"/>
    <w:rsid w:val="00CA2DB3"/>
  </w:style>
  <w:style w:type="paragraph" w:customStyle="1" w:styleId="AlphaParagraph">
    <w:name w:val="Alpha Paragraph"/>
    <w:basedOn w:val="Normal"/>
    <w:unhideWhenUsed/>
    <w:rsid w:val="000E775B"/>
    <w:pPr>
      <w:numPr>
        <w:numId w:val="2"/>
      </w:numPr>
    </w:pPr>
  </w:style>
  <w:style w:type="paragraph" w:customStyle="1" w:styleId="AppendixHeading">
    <w:name w:val="Appendix Heading"/>
    <w:basedOn w:val="Heading1"/>
    <w:next w:val="Normal"/>
    <w:rsid w:val="00DA5F5F"/>
    <w:rPr>
      <w:sz w:val="38"/>
      <w:szCs w:val="38"/>
    </w:rPr>
  </w:style>
  <w:style w:type="paragraph" w:customStyle="1" w:styleId="BoxHeading1">
    <w:name w:val="Box Heading 1"/>
    <w:basedOn w:val="HeadingBase"/>
    <w:next w:val="BoxText"/>
    <w:rsid w:val="00EB01D8"/>
    <w:pPr>
      <w:spacing w:after="80"/>
    </w:pPr>
    <w:rPr>
      <w:i/>
      <w:color w:val="auto"/>
      <w:sz w:val="28"/>
    </w:rPr>
  </w:style>
  <w:style w:type="paragraph" w:customStyle="1" w:styleId="BoxText">
    <w:name w:val="Box Text"/>
    <w:basedOn w:val="Normal"/>
    <w:rsid w:val="00EF1489"/>
  </w:style>
  <w:style w:type="paragraph" w:customStyle="1" w:styleId="NumberedParagraph111">
    <w:name w:val="Numbered Paragraph 1.1.1"/>
    <w:basedOn w:val="NumberedParagraph11"/>
    <w:qFormat/>
    <w:rsid w:val="008808CB"/>
    <w:pPr>
      <w:numPr>
        <w:ilvl w:val="2"/>
      </w:numPr>
    </w:pPr>
  </w:style>
  <w:style w:type="paragraph" w:customStyle="1" w:styleId="Notealpha">
    <w:name w:val="Note alpha"/>
    <w:basedOn w:val="Note"/>
    <w:rsid w:val="00270BDD"/>
    <w:pPr>
      <w:numPr>
        <w:numId w:val="3"/>
      </w:numPr>
      <w:spacing w:after="120"/>
      <w:ind w:left="709" w:hanging="709"/>
    </w:pPr>
    <w:rPr>
      <w:szCs w:val="16"/>
    </w:rPr>
  </w:style>
  <w:style w:type="paragraph" w:customStyle="1" w:styleId="ChartGraphic">
    <w:name w:val="Chart Graphic"/>
    <w:basedOn w:val="Normal"/>
    <w:next w:val="Normal"/>
    <w:rsid w:val="00894823"/>
    <w:pPr>
      <w:spacing w:after="20"/>
      <w:jc w:val="center"/>
    </w:pPr>
  </w:style>
  <w:style w:type="paragraph" w:customStyle="1" w:styleId="ChartHeading1">
    <w:name w:val="Chart Heading 1"/>
    <w:basedOn w:val="Normal"/>
    <w:next w:val="ChartGraphic"/>
    <w:rsid w:val="00CA2DB3"/>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Note">
    <w:name w:val="Note"/>
    <w:basedOn w:val="Normal"/>
    <w:next w:val="Normal"/>
    <w:rsid w:val="00024831"/>
    <w:pPr>
      <w:spacing w:before="40" w:after="60"/>
      <w:ind w:left="709" w:hanging="709"/>
      <w:contextualSpacing/>
      <w:jc w:val="both"/>
    </w:pPr>
    <w:rPr>
      <w:rFonts w:asciiTheme="minorHAnsi" w:hAnsiTheme="minorHAnsi"/>
      <w:sz w:val="18"/>
    </w:rPr>
  </w:style>
  <w:style w:type="paragraph" w:customStyle="1" w:styleId="ChartHeading2">
    <w:name w:val="Chart Heading 2"/>
    <w:basedOn w:val="Normal"/>
    <w:next w:val="ChartGraphic"/>
    <w:rsid w:val="001B4096"/>
    <w:pPr>
      <w:keepNext/>
      <w:spacing w:before="60"/>
    </w:pPr>
    <w:rPr>
      <w:rFonts w:asciiTheme="minorHAnsi" w:hAnsiTheme="minorHAnsi"/>
      <w:b/>
      <w:bCs/>
      <w:color w:val="142147"/>
      <w:szCs w:val="20"/>
    </w:rPr>
  </w:style>
  <w:style w:type="paragraph" w:customStyle="1" w:styleId="Classification">
    <w:name w:val="Classification"/>
    <w:basedOn w:val="HeadingBase"/>
    <w:next w:val="Footer"/>
    <w:unhideWhenUsed/>
    <w:rsid w:val="00894823"/>
    <w:pPr>
      <w:jc w:val="center"/>
    </w:pPr>
    <w:rPr>
      <w:b/>
      <w:smallCaps/>
    </w:rPr>
  </w:style>
  <w:style w:type="paragraph" w:styleId="Footer">
    <w:name w:val="footer"/>
    <w:basedOn w:val="HeadingBase"/>
    <w:link w:val="FooterChar"/>
    <w:uiPriority w:val="99"/>
    <w:rsid w:val="00AA5FC4"/>
    <w:pPr>
      <w:tabs>
        <w:tab w:val="left" w:pos="0"/>
        <w:tab w:val="right" w:pos="9639"/>
      </w:tabs>
      <w:jc w:val="center"/>
    </w:pPr>
    <w:rPr>
      <w:color w:val="701F4D" w:themeColor="accent2"/>
      <w:sz w:val="22"/>
    </w:rPr>
  </w:style>
  <w:style w:type="paragraph" w:customStyle="1" w:styleId="ContentsHeading">
    <w:name w:val="Contents Heading"/>
    <w:basedOn w:val="HeadingBase"/>
    <w:next w:val="Normal"/>
    <w:rsid w:val="00AE3AA3"/>
    <w:pPr>
      <w:spacing w:before="360" w:after="600"/>
      <w:outlineLvl w:val="0"/>
    </w:pPr>
    <w:rPr>
      <w:i/>
      <w:sz w:val="56"/>
      <w:szCs w:val="38"/>
    </w:rPr>
  </w:style>
  <w:style w:type="paragraph" w:customStyle="1" w:styleId="CoverTitleMain">
    <w:name w:val="Cover Title Main"/>
    <w:basedOn w:val="HeadingBase"/>
    <w:next w:val="Normal"/>
    <w:rsid w:val="00AE3AA3"/>
    <w:pPr>
      <w:spacing w:before="9600" w:after="240"/>
      <w:ind w:right="2268"/>
      <w:contextualSpacing/>
      <w:outlineLvl w:val="0"/>
    </w:pPr>
    <w:rPr>
      <w:kern w:val="32"/>
      <w:sz w:val="68"/>
      <w:szCs w:val="52"/>
    </w:rPr>
  </w:style>
  <w:style w:type="paragraph" w:customStyle="1" w:styleId="CoverTitleSub">
    <w:name w:val="Cover Title Sub"/>
    <w:basedOn w:val="HeadingBase"/>
    <w:rsid w:val="00676D8C"/>
    <w:pPr>
      <w:spacing w:after="600"/>
      <w:contextualSpacing/>
    </w:pPr>
    <w:rPr>
      <w:sz w:val="36"/>
      <w:szCs w:val="36"/>
    </w:rPr>
  </w:style>
  <w:style w:type="paragraph" w:customStyle="1" w:styleId="FooterCentered">
    <w:name w:val="Footer Centered"/>
    <w:basedOn w:val="Footer"/>
    <w:semiHidden/>
    <w:rsid w:val="00894823"/>
  </w:style>
  <w:style w:type="paragraph" w:customStyle="1" w:styleId="FooterEven">
    <w:name w:val="Footer Even"/>
    <w:basedOn w:val="Footer"/>
    <w:rsid w:val="00894823"/>
  </w:style>
  <w:style w:type="paragraph" w:customStyle="1" w:styleId="FooterOdd">
    <w:name w:val="Footer Odd"/>
    <w:basedOn w:val="Footer"/>
    <w:rsid w:val="00894823"/>
    <w:pPr>
      <w:jc w:val="right"/>
    </w:pPr>
  </w:style>
  <w:style w:type="character" w:customStyle="1" w:styleId="FramedFooter">
    <w:name w:val="Framed Footer"/>
    <w:semiHidden/>
    <w:rsid w:val="00894823"/>
    <w:rPr>
      <w:rFonts w:ascii="Arial" w:hAnsi="Arial"/>
      <w:color w:val="000080"/>
      <w:sz w:val="18"/>
      <w:szCs w:val="18"/>
    </w:rPr>
  </w:style>
  <w:style w:type="character" w:customStyle="1" w:styleId="FramedHeader">
    <w:name w:val="Framed Header"/>
    <w:basedOn w:val="DefaultParagraphFont"/>
    <w:semiHidden/>
    <w:rsid w:val="00894823"/>
    <w:rPr>
      <w:rFonts w:ascii="Arial" w:hAnsi="Arial"/>
      <w:dstrike w:val="0"/>
      <w:color w:val="000080"/>
      <w:sz w:val="18"/>
      <w:szCs w:val="18"/>
      <w:vertAlign w:val="baseline"/>
    </w:rPr>
  </w:style>
  <w:style w:type="paragraph" w:styleId="Header">
    <w:name w:val="header"/>
    <w:basedOn w:val="HeadingBase"/>
    <w:unhideWhenUsed/>
    <w:rsid w:val="005E0DC1"/>
    <w:rPr>
      <w:sz w:val="22"/>
    </w:rPr>
  </w:style>
  <w:style w:type="paragraph" w:customStyle="1" w:styleId="HeaderEven">
    <w:name w:val="Header Even"/>
    <w:basedOn w:val="Header"/>
    <w:rsid w:val="005E0DC1"/>
    <w:pPr>
      <w:jc w:val="right"/>
    </w:pPr>
  </w:style>
  <w:style w:type="paragraph" w:customStyle="1" w:styleId="HeaderOdd">
    <w:name w:val="Header Odd"/>
    <w:basedOn w:val="Header"/>
    <w:rsid w:val="006662CE"/>
  </w:style>
  <w:style w:type="paragraph" w:styleId="NormalIndent">
    <w:name w:val="Normal Indent"/>
    <w:basedOn w:val="Normal"/>
    <w:rsid w:val="00674619"/>
    <w:pPr>
      <w:ind w:left="567"/>
    </w:pPr>
  </w:style>
  <w:style w:type="paragraph" w:styleId="IntenseQuote">
    <w:name w:val="Intense Quote"/>
    <w:basedOn w:val="Normal"/>
    <w:next w:val="Normal"/>
    <w:link w:val="IntenseQuoteChar"/>
    <w:unhideWhenUsed/>
    <w:qFormat/>
    <w:rsid w:val="00B05D5C"/>
    <w:pPr>
      <w:pBdr>
        <w:top w:val="single" w:sz="4" w:space="10" w:color="142147" w:themeColor="accent1"/>
        <w:bottom w:val="single" w:sz="4" w:space="10" w:color="142147" w:themeColor="accent1"/>
      </w:pBdr>
      <w:spacing w:before="360" w:after="360"/>
      <w:ind w:left="862" w:right="862"/>
      <w:jc w:val="center"/>
    </w:pPr>
    <w:rPr>
      <w:rFonts w:asciiTheme="majorHAnsi" w:hAnsiTheme="majorHAnsi"/>
      <w:i/>
      <w:iCs/>
      <w:color w:val="142147" w:themeColor="accent1"/>
    </w:rPr>
  </w:style>
  <w:style w:type="character" w:customStyle="1" w:styleId="IntenseQuoteChar">
    <w:name w:val="Intense Quote Char"/>
    <w:basedOn w:val="DefaultParagraphFont"/>
    <w:link w:val="IntenseQuote"/>
    <w:rsid w:val="00B05D5C"/>
    <w:rPr>
      <w:rFonts w:asciiTheme="majorHAnsi" w:hAnsiTheme="majorHAnsi"/>
      <w:i/>
      <w:iCs/>
      <w:color w:val="142147" w:themeColor="accent1"/>
    </w:rPr>
  </w:style>
  <w:style w:type="table" w:styleId="ListTable4-Accent1">
    <w:name w:val="List Table 4 Accent 1"/>
    <w:basedOn w:val="TableNormal"/>
    <w:uiPriority w:val="49"/>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tcBorders>
        <w:shd w:val="clear" w:color="auto" w:fill="142147" w:themeFill="accent1"/>
      </w:tcPr>
    </w:tblStylePr>
    <w:tblStylePr w:type="lastRow">
      <w:rPr>
        <w:b w:val="0"/>
        <w:bCs/>
      </w:rPr>
      <w:tblPr/>
      <w:tcPr>
        <w:tcBorders>
          <w:top w:val="double" w:sz="4" w:space="0" w:color="3A5EC7" w:themeColor="accent1" w:themeTint="99"/>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paragraph" w:customStyle="1" w:styleId="TableHeaderCellCentred">
    <w:name w:val="Table Header Cell Centred"/>
    <w:basedOn w:val="TableHeaderCellLeft"/>
    <w:rsid w:val="000650A2"/>
    <w:pPr>
      <w:jc w:val="center"/>
    </w:pPr>
    <w:rPr>
      <w:rFonts w:asciiTheme="minorHAnsi" w:hAnsiTheme="minorHAnsi"/>
    </w:rPr>
  </w:style>
  <w:style w:type="paragraph" w:customStyle="1" w:styleId="TableHeaderCellLeft">
    <w:name w:val="Table Header Cell Left"/>
    <w:basedOn w:val="Normal"/>
    <w:rsid w:val="005B3BCC"/>
    <w:pPr>
      <w:spacing w:before="60" w:after="60"/>
    </w:pPr>
    <w:rPr>
      <w:rFonts w:asciiTheme="majorHAnsi" w:hAnsiTheme="majorHAnsi"/>
      <w:sz w:val="20"/>
      <w:szCs w:val="18"/>
    </w:rPr>
  </w:style>
  <w:style w:type="paragraph" w:customStyle="1" w:styleId="TableHeaderCellRight">
    <w:name w:val="Table Header Cell Right"/>
    <w:basedOn w:val="TableHeaderCellLeft"/>
    <w:rsid w:val="000650A2"/>
    <w:pPr>
      <w:jc w:val="right"/>
    </w:pPr>
  </w:style>
  <w:style w:type="paragraph" w:customStyle="1" w:styleId="TableGraphic">
    <w:name w:val="Table Graphic"/>
    <w:basedOn w:val="HeadingBase"/>
    <w:next w:val="Normal"/>
    <w:uiPriority w:val="99"/>
    <w:semiHidden/>
    <w:rsid w:val="00894823"/>
    <w:pPr>
      <w:spacing w:after="40"/>
      <w:ind w:right="-113"/>
    </w:pPr>
  </w:style>
  <w:style w:type="paragraph" w:customStyle="1" w:styleId="TableHeading1">
    <w:name w:val="Table Heading 1"/>
    <w:basedOn w:val="Normal"/>
    <w:next w:val="TableGraphic"/>
    <w:rsid w:val="00CA2DB3"/>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TableHeading1continued">
    <w:name w:val="Table Heading 1 continued"/>
    <w:basedOn w:val="TableHeading1"/>
    <w:next w:val="TableGraphic"/>
    <w:rsid w:val="00F93E1F"/>
    <w:pPr>
      <w:spacing w:after="20"/>
    </w:pPr>
  </w:style>
  <w:style w:type="paragraph" w:customStyle="1" w:styleId="TableHeading2">
    <w:name w:val="Table Heading 2"/>
    <w:basedOn w:val="Normal"/>
    <w:next w:val="TableGraphic"/>
    <w:rsid w:val="001B4096"/>
    <w:pPr>
      <w:keepNext/>
      <w:spacing w:before="60"/>
    </w:pPr>
    <w:rPr>
      <w:rFonts w:asciiTheme="minorHAnsi" w:hAnsiTheme="minorHAnsi"/>
      <w:b/>
      <w:color w:val="142147"/>
      <w:szCs w:val="20"/>
    </w:rPr>
  </w:style>
  <w:style w:type="paragraph" w:customStyle="1" w:styleId="TableBodyCellCentered">
    <w:name w:val="Table Body Cell Centered"/>
    <w:basedOn w:val="Normal"/>
    <w:rsid w:val="00F93E1F"/>
    <w:pPr>
      <w:spacing w:before="0"/>
      <w:jc w:val="center"/>
    </w:pPr>
    <w:rPr>
      <w:rFonts w:asciiTheme="minorHAnsi" w:hAnsiTheme="minorHAnsi"/>
      <w:color w:val="000000"/>
      <w:szCs w:val="18"/>
    </w:rPr>
  </w:style>
  <w:style w:type="paragraph" w:customStyle="1" w:styleId="TableBodyCellLeftIndented">
    <w:name w:val="Table Body Cell Left Indented"/>
    <w:basedOn w:val="Normal"/>
    <w:rsid w:val="00F93E1F"/>
    <w:pPr>
      <w:spacing w:before="0"/>
      <w:ind w:left="284"/>
    </w:pPr>
    <w:rPr>
      <w:rFonts w:asciiTheme="minorHAnsi" w:hAnsiTheme="minorHAnsi"/>
      <w:color w:val="000000"/>
      <w:szCs w:val="18"/>
    </w:rPr>
  </w:style>
  <w:style w:type="paragraph" w:customStyle="1" w:styleId="TableBodyCellLeft">
    <w:name w:val="Table Body Cell Left"/>
    <w:basedOn w:val="Normal"/>
    <w:rsid w:val="005B3BCC"/>
    <w:pPr>
      <w:spacing w:before="20" w:after="20"/>
    </w:pPr>
    <w:rPr>
      <w:rFonts w:asciiTheme="minorHAnsi" w:hAnsiTheme="minorHAnsi"/>
      <w:sz w:val="20"/>
      <w:szCs w:val="18"/>
    </w:rPr>
  </w:style>
  <w:style w:type="paragraph" w:customStyle="1" w:styleId="TableBodyCellRight">
    <w:name w:val="Table Body Cell Right"/>
    <w:basedOn w:val="Normal"/>
    <w:rsid w:val="00F93E1F"/>
    <w:pPr>
      <w:spacing w:before="0"/>
      <w:jc w:val="right"/>
    </w:pPr>
    <w:rPr>
      <w:rFonts w:asciiTheme="minorHAnsi" w:hAnsiTheme="minorHAnsi"/>
      <w:color w:val="000000"/>
      <w:szCs w:val="18"/>
    </w:rPr>
  </w:style>
  <w:style w:type="paragraph" w:styleId="TOC1">
    <w:name w:val="toc 1"/>
    <w:basedOn w:val="HeadingBase"/>
    <w:next w:val="Normal"/>
    <w:uiPriority w:val="39"/>
    <w:rsid w:val="00EE3FEE"/>
    <w:pPr>
      <w:tabs>
        <w:tab w:val="right" w:leader="dot" w:pos="9639"/>
      </w:tabs>
      <w:ind w:right="1134"/>
    </w:pPr>
    <w:rPr>
      <w:sz w:val="24"/>
    </w:rPr>
  </w:style>
  <w:style w:type="paragraph" w:styleId="TOC2">
    <w:name w:val="toc 2"/>
    <w:basedOn w:val="Normal"/>
    <w:next w:val="Normal"/>
    <w:uiPriority w:val="39"/>
    <w:rsid w:val="00EE3FEE"/>
    <w:pPr>
      <w:tabs>
        <w:tab w:val="right" w:leader="dot" w:pos="9639"/>
      </w:tabs>
      <w:spacing w:before="60" w:after="60"/>
      <w:ind w:right="1134"/>
    </w:pPr>
    <w:rPr>
      <w:rFonts w:ascii="Arial" w:hAnsi="Arial"/>
      <w:color w:val="701F4D" w:themeColor="accent2"/>
      <w:sz w:val="20"/>
      <w:szCs w:val="20"/>
    </w:rPr>
  </w:style>
  <w:style w:type="paragraph" w:styleId="TOC3">
    <w:name w:val="toc 3"/>
    <w:basedOn w:val="Normal"/>
    <w:next w:val="Normal"/>
    <w:rsid w:val="00894823"/>
    <w:pPr>
      <w:tabs>
        <w:tab w:val="right" w:pos="7700"/>
      </w:tabs>
      <w:spacing w:before="20" w:after="0"/>
      <w:ind w:left="284" w:right="851"/>
    </w:pPr>
  </w:style>
  <w:style w:type="paragraph" w:styleId="TOC4">
    <w:name w:val="toc 4"/>
    <w:basedOn w:val="Normal"/>
    <w:next w:val="Normal"/>
    <w:unhideWhenUsed/>
    <w:rsid w:val="00894823"/>
    <w:pPr>
      <w:tabs>
        <w:tab w:val="right" w:pos="7700"/>
      </w:tabs>
      <w:spacing w:after="0"/>
      <w:ind w:left="284" w:right="851"/>
    </w:pPr>
  </w:style>
  <w:style w:type="table" w:styleId="GridTable1Light-Accent2">
    <w:name w:val="Grid Table 1 Light Accent 2"/>
    <w:basedOn w:val="TableNormal"/>
    <w:uiPriority w:val="46"/>
    <w:rsid w:val="008127A1"/>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2" w:space="0" w:color="701F4D" w:themeColor="accent2"/>
        </w:tcBorders>
      </w:tcPr>
    </w:tblStylePr>
    <w:tblStylePr w:type="firstCol">
      <w:rPr>
        <w:b w:val="0"/>
        <w:bCs/>
      </w:rPr>
    </w:tblStylePr>
    <w:tblStylePr w:type="lastCol">
      <w:rPr>
        <w:b w:val="0"/>
        <w:bCs/>
      </w:rPr>
    </w:tblStylePr>
  </w:style>
  <w:style w:type="paragraph" w:customStyle="1" w:styleId="NumberedParagraph1">
    <w:name w:val="Numbered Paragraph 1"/>
    <w:basedOn w:val="Normal"/>
    <w:rsid w:val="00080B28"/>
    <w:pPr>
      <w:numPr>
        <w:numId w:val="6"/>
      </w:numPr>
    </w:pPr>
  </w:style>
  <w:style w:type="paragraph" w:customStyle="1" w:styleId="BoxBullet">
    <w:name w:val="Box Bullet"/>
    <w:basedOn w:val="Bullet"/>
    <w:rsid w:val="00EF1489"/>
    <w:pPr>
      <w:numPr>
        <w:numId w:val="4"/>
      </w:numPr>
      <w:spacing w:before="60" w:after="60"/>
    </w:pPr>
  </w:style>
  <w:style w:type="paragraph" w:customStyle="1" w:styleId="BoxDash">
    <w:name w:val="Box Dash"/>
    <w:basedOn w:val="BoxBullet"/>
    <w:rsid w:val="000E775B"/>
    <w:pPr>
      <w:numPr>
        <w:ilvl w:val="1"/>
      </w:numPr>
      <w:tabs>
        <w:tab w:val="left" w:pos="1134"/>
      </w:tabs>
    </w:pPr>
  </w:style>
  <w:style w:type="paragraph" w:customStyle="1" w:styleId="BoxDoubleDot">
    <w:name w:val="Box Double Dot"/>
    <w:basedOn w:val="BoxDash"/>
    <w:rsid w:val="00257FED"/>
    <w:pPr>
      <w:numPr>
        <w:ilvl w:val="2"/>
      </w:numPr>
    </w:pPr>
  </w:style>
  <w:style w:type="character" w:customStyle="1" w:styleId="EndnoteTextChar">
    <w:name w:val="Endnote Text Char"/>
    <w:basedOn w:val="DefaultParagraphFont"/>
    <w:link w:val="EndnoteText"/>
    <w:rsid w:val="00B05D5C"/>
    <w:rPr>
      <w:sz w:val="20"/>
      <w:szCs w:val="20"/>
    </w:rPr>
  </w:style>
  <w:style w:type="paragraph" w:styleId="List2">
    <w:name w:val="List 2"/>
    <w:basedOn w:val="Normal"/>
    <w:semiHidden/>
    <w:rsid w:val="00DA5F5F"/>
    <w:pPr>
      <w:ind w:left="566" w:hanging="283"/>
      <w:contextualSpacing/>
    </w:pPr>
  </w:style>
  <w:style w:type="paragraph" w:customStyle="1" w:styleId="CoverDate">
    <w:name w:val="Cover Date"/>
    <w:basedOn w:val="CoverTitleSub"/>
    <w:rsid w:val="00912467"/>
  </w:style>
  <w:style w:type="character" w:styleId="FootnoteReference">
    <w:name w:val="footnote reference"/>
    <w:basedOn w:val="DefaultParagraphFont"/>
    <w:unhideWhenUsed/>
    <w:rsid w:val="00894823"/>
    <w:rPr>
      <w:sz w:val="20"/>
      <w:szCs w:val="20"/>
      <w:vertAlign w:val="superscript"/>
    </w:rPr>
  </w:style>
  <w:style w:type="paragraph" w:styleId="FootnoteText">
    <w:name w:val="footnote text"/>
    <w:basedOn w:val="Normal"/>
    <w:unhideWhenUsed/>
    <w:rsid w:val="00D3340C"/>
    <w:pPr>
      <w:tabs>
        <w:tab w:val="left" w:pos="567"/>
      </w:tabs>
      <w:spacing w:after="0"/>
      <w:ind w:left="567" w:hanging="567"/>
    </w:pPr>
    <w:rPr>
      <w:sz w:val="18"/>
      <w:szCs w:val="18"/>
    </w:rPr>
  </w:style>
  <w:style w:type="table" w:styleId="TableContemporary">
    <w:name w:val="Table Contemporary"/>
    <w:basedOn w:val="TableNormal"/>
    <w:rsid w:val="002B32D6"/>
    <w:pPr>
      <w:spacing w:after="240" w:line="300" w:lineRule="exact"/>
      <w:jc w:val="both"/>
    </w:pPr>
    <w:tblPr>
      <w:tblStyleRowBandSize w:val="1"/>
      <w:tblBorders>
        <w:insideH w:val="single" w:sz="18" w:space="0" w:color="FFFFFF"/>
        <w:insideV w:val="single" w:sz="18" w:space="0" w:color="FFFFFF"/>
      </w:tblBorders>
    </w:tblPr>
    <w:tblStylePr w:type="firstRow">
      <w:rPr>
        <w:b w:val="0"/>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Graphic">
    <w:name w:val="Graphic"/>
    <w:basedOn w:val="Normal"/>
    <w:semiHidden/>
    <w:rsid w:val="00894823"/>
    <w:pPr>
      <w:spacing w:after="0"/>
      <w:jc w:val="center"/>
    </w:pPr>
  </w:style>
  <w:style w:type="character" w:styleId="EndnoteReference">
    <w:name w:val="endnote reference"/>
    <w:basedOn w:val="DefaultParagraphFont"/>
    <w:unhideWhenUsed/>
    <w:rsid w:val="00DA5F5F"/>
    <w:rPr>
      <w:vertAlign w:val="superscript"/>
    </w:rPr>
  </w:style>
  <w:style w:type="table" w:styleId="PlainTable5">
    <w:name w:val="Plain Table 5"/>
    <w:basedOn w:val="TableNormal"/>
    <w:uiPriority w:val="45"/>
    <w:rsid w:val="002B32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32D6"/>
    <w:tblPr>
      <w:tblStyleRowBandSize w:val="1"/>
      <w:tblStyleColBandSize w:val="1"/>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semiHidden/>
    <w:qFormat/>
    <w:rsid w:val="00F15422"/>
    <w:rPr>
      <w:b/>
      <w:i/>
      <w:iCs/>
      <w:color w:val="auto"/>
    </w:rPr>
  </w:style>
  <w:style w:type="paragraph" w:customStyle="1" w:styleId="Romannumeral">
    <w:name w:val="Roman numeral"/>
    <w:basedOn w:val="Normal"/>
    <w:uiPriority w:val="1"/>
    <w:unhideWhenUsed/>
    <w:rsid w:val="00D3340C"/>
    <w:pPr>
      <w:numPr>
        <w:numId w:val="5"/>
      </w:numPr>
    </w:pPr>
  </w:style>
  <w:style w:type="paragraph" w:styleId="BalloonText">
    <w:name w:val="Balloon Text"/>
    <w:basedOn w:val="Normal"/>
    <w:link w:val="BalloonTextChar"/>
    <w:semiHidden/>
    <w:rsid w:val="00E83F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05D5C"/>
    <w:rPr>
      <w:rFonts w:ascii="Tahoma" w:hAnsi="Tahoma" w:cs="Tahoma"/>
      <w:sz w:val="16"/>
      <w:szCs w:val="16"/>
    </w:rPr>
  </w:style>
  <w:style w:type="table" w:styleId="TableGrid">
    <w:name w:val="Table Grid"/>
    <w:basedOn w:val="TableNormal"/>
    <w:uiPriority w:val="59"/>
    <w:rsid w:val="00A6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B32D6"/>
    <w:tblPr>
      <w:tblStyleRowBandSize w:val="1"/>
      <w:tblStyleColBandSize w:val="1"/>
    </w:tblPr>
    <w:tblStylePr w:type="firstRow">
      <w:rPr>
        <w:b w:val="0"/>
        <w:bCs/>
        <w:caps/>
      </w:rPr>
      <w:tblPr/>
      <w:tcPr>
        <w:tcBorders>
          <w:bottom w:val="single" w:sz="4" w:space="0" w:color="7F7F7F" w:themeColor="text1" w:themeTint="80"/>
        </w:tcBorders>
      </w:tcPr>
    </w:tblStylePr>
    <w:tblStylePr w:type="lastRow">
      <w:rPr>
        <w:b w:val="0"/>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val="0"/>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Paragraph11">
    <w:name w:val="Numbered Paragraph 1.1"/>
    <w:basedOn w:val="Bullet"/>
    <w:qFormat/>
    <w:rsid w:val="00080B28"/>
    <w:pPr>
      <w:numPr>
        <w:ilvl w:val="1"/>
        <w:numId w:val="6"/>
      </w:numPr>
    </w:pPr>
  </w:style>
  <w:style w:type="paragraph" w:customStyle="1" w:styleId="NumberedParagraphalpha">
    <w:name w:val="Numbered Paragraph alpha"/>
    <w:basedOn w:val="Dash"/>
    <w:qFormat/>
    <w:rsid w:val="005849A7"/>
    <w:pPr>
      <w:numPr>
        <w:ilvl w:val="3"/>
        <w:numId w:val="6"/>
      </w:numPr>
    </w:pPr>
  </w:style>
  <w:style w:type="paragraph" w:customStyle="1" w:styleId="NumberedParagraphnumbers">
    <w:name w:val="Numbered Paragraph numbers"/>
    <w:basedOn w:val="DoubleDot"/>
    <w:qFormat/>
    <w:rsid w:val="005849A7"/>
    <w:pPr>
      <w:numPr>
        <w:ilvl w:val="4"/>
        <w:numId w:val="6"/>
      </w:numPr>
    </w:pPr>
  </w:style>
  <w:style w:type="paragraph" w:customStyle="1" w:styleId="NumberedParagraphroman">
    <w:name w:val="Numbered Paragraph roman"/>
    <w:basedOn w:val="Normal"/>
    <w:qFormat/>
    <w:rsid w:val="000E775B"/>
    <w:pPr>
      <w:numPr>
        <w:ilvl w:val="5"/>
        <w:numId w:val="6"/>
      </w:numPr>
      <w:tabs>
        <w:tab w:val="left" w:pos="2268"/>
      </w:tabs>
    </w:pPr>
  </w:style>
  <w:style w:type="table" w:styleId="PlainTable2">
    <w:name w:val="Plain Table 2"/>
    <w:basedOn w:val="TableNormal"/>
    <w:uiPriority w:val="42"/>
    <w:rsid w:val="002B32D6"/>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B32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2" w:space="0" w:color="666666" w:themeColor="text1" w:themeTint="99"/>
        </w:tcBorders>
      </w:tcPr>
    </w:tblStylePr>
    <w:tblStylePr w:type="firstCol">
      <w:rPr>
        <w:b w:val="0"/>
        <w:bCs/>
      </w:rPr>
    </w:tblStylePr>
    <w:tblStylePr w:type="lastCol">
      <w:rPr>
        <w:b w:val="0"/>
        <w:bCs/>
      </w:rPr>
    </w:tblStylePr>
  </w:style>
  <w:style w:type="table" w:styleId="GridTable1Light-Accent1">
    <w:name w:val="Grid Table 1 Light Accent 1"/>
    <w:basedOn w:val="TableNormal"/>
    <w:uiPriority w:val="46"/>
    <w:rsid w:val="008127A1"/>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142147" w:themeColor="accent1"/>
        </w:tcBorders>
      </w:tcPr>
    </w:tblStylePr>
    <w:tblStylePr w:type="lastRow">
      <w:rPr>
        <w:b w:val="0"/>
        <w:bCs/>
      </w:rPr>
      <w:tblPr/>
      <w:tcPr>
        <w:tcBorders>
          <w:top w:val="double" w:sz="2" w:space="0" w:color="142147" w:themeColor="accent1"/>
        </w:tcBorders>
      </w:tcPr>
    </w:tblStylePr>
    <w:tblStylePr w:type="firstCol">
      <w:rPr>
        <w:b w:val="0"/>
        <w:bCs/>
      </w:rPr>
    </w:tblStylePr>
    <w:tblStylePr w:type="lastCol">
      <w:rPr>
        <w:b w:val="0"/>
        <w:bCs/>
      </w:rPr>
    </w:tblStylePr>
  </w:style>
  <w:style w:type="paragraph" w:styleId="ListParagraph">
    <w:name w:val="List Paragraph"/>
    <w:basedOn w:val="Normal"/>
    <w:uiPriority w:val="34"/>
    <w:semiHidden/>
    <w:qFormat/>
    <w:rsid w:val="00174E54"/>
    <w:pPr>
      <w:ind w:left="720"/>
      <w:contextualSpacing/>
    </w:pPr>
  </w:style>
  <w:style w:type="paragraph" w:styleId="Quote">
    <w:name w:val="Quote"/>
    <w:basedOn w:val="Normal"/>
    <w:next w:val="Normal"/>
    <w:link w:val="QuoteChar"/>
    <w:qFormat/>
    <w:rsid w:val="00385635"/>
    <w:rPr>
      <w:i/>
      <w:iCs/>
      <w:color w:val="000000" w:themeColor="text1"/>
    </w:rPr>
  </w:style>
  <w:style w:type="character" w:customStyle="1" w:styleId="QuoteChar">
    <w:name w:val="Quote Char"/>
    <w:basedOn w:val="DefaultParagraphFont"/>
    <w:link w:val="Quote"/>
    <w:rsid w:val="00B05D5C"/>
    <w:rPr>
      <w:i/>
      <w:iCs/>
      <w:color w:val="000000" w:themeColor="text1"/>
    </w:rPr>
  </w:style>
  <w:style w:type="character" w:styleId="FollowedHyperlink">
    <w:name w:val="FollowedHyperlink"/>
    <w:basedOn w:val="DefaultParagraphFont"/>
    <w:semiHidden/>
    <w:rsid w:val="00FC2CD8"/>
    <w:rPr>
      <w:color w:val="844D9E" w:themeColor="followedHyperlink"/>
      <w:u w:val="single"/>
    </w:rPr>
  </w:style>
  <w:style w:type="numbering" w:customStyle="1" w:styleId="ChartandTableFootnoteAlphaList">
    <w:name w:val="ChartandTableFootnoteAlphaList"/>
    <w:uiPriority w:val="99"/>
    <w:rsid w:val="007D0FA4"/>
    <w:pPr>
      <w:numPr>
        <w:numId w:val="7"/>
      </w:numPr>
    </w:pPr>
  </w:style>
  <w:style w:type="table" w:styleId="PlainTable1">
    <w:name w:val="Plain Table 1"/>
    <w:basedOn w:val="TableNormal"/>
    <w:uiPriority w:val="41"/>
    <w:rsid w:val="002B32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3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8127A1"/>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bCs/>
      </w:rPr>
      <w:tblPr/>
      <w:tcPr>
        <w:tcBorders>
          <w:bottom w:val="single" w:sz="12" w:space="0" w:color="D4C2A8" w:themeColor="accent3"/>
        </w:tcBorders>
      </w:tcPr>
    </w:tblStylePr>
    <w:tblStylePr w:type="lastRow">
      <w:rPr>
        <w:b/>
        <w:bCs/>
      </w:rPr>
      <w:tblPr/>
      <w:tcPr>
        <w:tcBorders>
          <w:top w:val="double" w:sz="2" w:space="0" w:color="D4C2A8" w:themeColor="accent3"/>
        </w:tcBorders>
      </w:tcPr>
    </w:tblStylePr>
    <w:tblStylePr w:type="firstCol">
      <w:rPr>
        <w:b/>
        <w:bCs/>
      </w:rPr>
    </w:tblStylePr>
    <w:tblStylePr w:type="lastCol">
      <w:rPr>
        <w:b/>
        <w:bCs/>
      </w:rPr>
    </w:tblStylePr>
  </w:style>
  <w:style w:type="table" w:styleId="GridTable2">
    <w:name w:val="Grid Table 2"/>
    <w:basedOn w:val="TableNormal"/>
    <w:uiPriority w:val="47"/>
    <w:rsid w:val="00207A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207A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7AC9"/>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insideV w:val="nil"/>
        </w:tcBorders>
        <w:shd w:val="clear" w:color="auto" w:fill="142147" w:themeFill="accent1"/>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4-Accent2">
    <w:name w:val="Grid Table 4 Accent 2"/>
    <w:basedOn w:val="TableNormal"/>
    <w:uiPriority w:val="49"/>
    <w:rsid w:val="00207AC9"/>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insideV w:val="nil"/>
        </w:tcBorders>
        <w:shd w:val="clear" w:color="auto" w:fill="701F4D" w:themeFill="accent2"/>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4-Accent3">
    <w:name w:val="Grid Table 4 Accent 3"/>
    <w:basedOn w:val="TableNormal"/>
    <w:uiPriority w:val="49"/>
    <w:rsid w:val="00207AC9"/>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insideV w:val="nil"/>
        </w:tcBorders>
        <w:shd w:val="clear" w:color="auto" w:fill="D4C2A8" w:themeFill="accent3"/>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4-Accent4">
    <w:name w:val="Grid Table 4 Accent 4"/>
    <w:basedOn w:val="TableNormal"/>
    <w:uiPriority w:val="49"/>
    <w:rsid w:val="00207AC9"/>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color w:val="000000" w:themeColor="text1"/>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insideV w:val="nil"/>
        </w:tcBorders>
        <w:shd w:val="clear" w:color="auto" w:fill="432B73" w:themeFill="accent4"/>
      </w:tcPr>
    </w:tblStylePr>
    <w:tblStylePr w:type="lastRow">
      <w:rPr>
        <w:b w:val="0"/>
        <w:bCs/>
      </w:rPr>
      <w:tblPr/>
      <w:tcPr>
        <w:tcBorders>
          <w:top w:val="double" w:sz="4" w:space="0" w:color="432B73" w:themeColor="accent4"/>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4-Accent5">
    <w:name w:val="Grid Table 4 Accent 5"/>
    <w:basedOn w:val="TableNormal"/>
    <w:uiPriority w:val="49"/>
    <w:rsid w:val="00207AC9"/>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color w:val="000000" w:themeColor="text1"/>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insideV w:val="nil"/>
        </w:tcBorders>
        <w:shd w:val="clear" w:color="auto" w:fill="65ACDC" w:themeFill="accent5"/>
      </w:tcPr>
    </w:tblStylePr>
    <w:tblStylePr w:type="lastRow">
      <w:rPr>
        <w:b w:val="0"/>
        <w:bCs/>
      </w:rPr>
      <w:tblPr/>
      <w:tcPr>
        <w:tcBorders>
          <w:top w:val="double" w:sz="4" w:space="0" w:color="65ACDC" w:themeColor="accent5"/>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4-Accent6">
    <w:name w:val="Grid Table 4 Accent 6"/>
    <w:basedOn w:val="TableNormal"/>
    <w:uiPriority w:val="49"/>
    <w:rsid w:val="00207AC9"/>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insideV w:val="nil"/>
        </w:tcBorders>
        <w:shd w:val="clear" w:color="auto" w:fill="A2A0D5" w:themeFill="accent6"/>
      </w:tcPr>
    </w:tblStylePr>
    <w:tblStylePr w:type="lastRow">
      <w:rPr>
        <w:b w:val="0"/>
        <w:bCs/>
      </w:rPr>
      <w:tblPr/>
      <w:tcPr>
        <w:tcBorders>
          <w:top w:val="double" w:sz="4" w:space="0" w:color="A2A0D5" w:themeColor="accent6"/>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GridTable5Dark">
    <w:name w:val="Grid Table 5 Dark"/>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C9EC"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147" w:themeFill="accen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147"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147" w:themeFill="accen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147" w:themeFill="accent1"/>
      </w:tcPr>
    </w:tblStylePr>
    <w:tblStylePr w:type="band1Vert">
      <w:tblPr/>
      <w:tcPr>
        <w:shd w:val="clear" w:color="auto" w:fill="7C94DA" w:themeFill="accent1" w:themeFillTint="66"/>
      </w:tcPr>
    </w:tblStylePr>
    <w:tblStylePr w:type="band1Horz">
      <w:tblPr/>
      <w:tcPr>
        <w:shd w:val="clear" w:color="auto" w:fill="7C94DA" w:themeFill="accent1" w:themeFillTint="66"/>
      </w:tcPr>
    </w:tblStylePr>
  </w:style>
  <w:style w:type="table" w:styleId="GridTable5Dark-Accent2">
    <w:name w:val="Grid Table 5 Dark Accent 2"/>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5DC" w:themeFill="accent2"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1F4D" w:themeFill="accent2"/>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1F4D" w:themeFill="accent2"/>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1F4D" w:themeFill="accent2"/>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1F4D" w:themeFill="accent2"/>
      </w:tcPr>
    </w:tblStylePr>
    <w:tblStylePr w:type="band1Vert">
      <w:tblPr/>
      <w:tcPr>
        <w:shd w:val="clear" w:color="auto" w:fill="DF8BBA" w:themeFill="accent2" w:themeFillTint="66"/>
      </w:tcPr>
    </w:tblStylePr>
    <w:tblStylePr w:type="band1Horz">
      <w:tblPr/>
      <w:tcPr>
        <w:shd w:val="clear" w:color="auto" w:fill="DF8BBA" w:themeFill="accent2" w:themeFillTint="66"/>
      </w:tcPr>
    </w:tblStylePr>
  </w:style>
  <w:style w:type="table" w:styleId="GridTable5Dark-Accent3">
    <w:name w:val="Grid Table 5 Dark Accent 3"/>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2ED" w:themeFill="accent3"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2A8" w:themeFill="accent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 w:type="table" w:styleId="GridTable5Dark-Accent4">
    <w:name w:val="Grid Table 5 Dark Accent 4"/>
    <w:basedOn w:val="TableNormal"/>
    <w:uiPriority w:val="50"/>
    <w:rsid w:val="00207A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BEB" w:themeFill="accent4"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2B73" w:themeFill="accent4"/>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2B73" w:themeFill="accent4"/>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2B73" w:themeFill="accent4"/>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2B73" w:themeFill="accent4"/>
      </w:tcPr>
    </w:tblStylePr>
    <w:tblStylePr w:type="band1Vert">
      <w:tblPr/>
      <w:tcPr>
        <w:shd w:val="clear" w:color="auto" w:fill="AD98D8" w:themeFill="accent4" w:themeFillTint="66"/>
      </w:tcPr>
    </w:tblStylePr>
    <w:tblStylePr w:type="band1Horz">
      <w:tblPr/>
      <w:tcPr>
        <w:shd w:val="clear" w:color="auto" w:fill="AD98D8" w:themeFill="accent4" w:themeFillTint="66"/>
      </w:tcPr>
    </w:tblStylePr>
  </w:style>
  <w:style w:type="table" w:styleId="GridTable5Dark-Accent5">
    <w:name w:val="Grid Table 5 Dark Accent 5"/>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EF8" w:themeFill="accent5"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ACDC" w:themeFill="accent5"/>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ACDC" w:themeFill="accent5"/>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ACDC" w:themeFill="accent5"/>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ACDC" w:themeFill="accent5"/>
      </w:tcPr>
    </w:tblStylePr>
    <w:tblStylePr w:type="band1Vert">
      <w:tblPr/>
      <w:tcPr>
        <w:shd w:val="clear" w:color="auto" w:fill="C1DDF1" w:themeFill="accent5" w:themeFillTint="66"/>
      </w:tcPr>
    </w:tblStylePr>
    <w:tblStylePr w:type="band1Horz">
      <w:tblPr/>
      <w:tcPr>
        <w:shd w:val="clear" w:color="auto" w:fill="C1DDF1" w:themeFill="accent5" w:themeFillTint="66"/>
      </w:tcPr>
    </w:tblStylePr>
  </w:style>
  <w:style w:type="table" w:styleId="GridTable5Dark-Accent6">
    <w:name w:val="Grid Table 5 Dark Accent 6"/>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F6" w:themeFill="accent6"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0D5" w:themeFill="accent6"/>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0D5" w:themeFill="accent6"/>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0D5" w:themeFill="accent6"/>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0D5" w:themeFill="accent6"/>
      </w:tcPr>
    </w:tblStylePr>
    <w:tblStylePr w:type="band1Vert">
      <w:tblPr/>
      <w:tcPr>
        <w:shd w:val="clear" w:color="auto" w:fill="D9D8EE" w:themeFill="accent6" w:themeFillTint="66"/>
      </w:tcPr>
    </w:tblStylePr>
    <w:tblStylePr w:type="band1Horz">
      <w:tblPr/>
      <w:tcPr>
        <w:shd w:val="clear" w:color="auto" w:fill="D9D8EE" w:themeFill="accent6" w:themeFillTint="66"/>
      </w:tcPr>
    </w:tblStylePr>
  </w:style>
  <w:style w:type="table" w:styleId="GridTable6Colorful">
    <w:name w:val="Grid Table 6 Colorful"/>
    <w:basedOn w:val="TableNormal"/>
    <w:uiPriority w:val="51"/>
    <w:rsid w:val="00425C90"/>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5C90"/>
    <w:rPr>
      <w:color w:val="0F1835" w:themeColor="accent1" w:themeShade="BF"/>
    </w:rPr>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auto"/>
        </w:tcBorders>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6Colorful-Accent2">
    <w:name w:val="Grid Table 6 Colorful Accent 2"/>
    <w:basedOn w:val="TableNormal"/>
    <w:uiPriority w:val="51"/>
    <w:rsid w:val="00425C90"/>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6Colorful-Accent3">
    <w:name w:val="Grid Table 6 Colorful Accent 3"/>
    <w:basedOn w:val="TableNormal"/>
    <w:uiPriority w:val="51"/>
    <w:rsid w:val="00425C90"/>
    <w:rPr>
      <w:color w:val="B49468" w:themeColor="accent3" w:themeShade="BF"/>
    </w:rPr>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rPr>
      <w:tblPr/>
      <w:tcPr>
        <w:tcBorders>
          <w:bottom w:val="single" w:sz="12" w:space="0" w:color="D4C2A8" w:themeColor="accent3"/>
        </w:tcBorders>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6Colorful-Accent4">
    <w:name w:val="Grid Table 6 Colorful Accent 4"/>
    <w:basedOn w:val="TableNormal"/>
    <w:uiPriority w:val="51"/>
    <w:rsid w:val="00425C90"/>
    <w:rPr>
      <w:color w:val="D4C2A8" w:themeColor="accent3"/>
    </w:rPr>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rPr>
      <w:tblPr/>
      <w:tcPr>
        <w:tcBorders>
          <w:bottom w:val="single" w:sz="12" w:space="0" w:color="8565C5" w:themeColor="accent4" w:themeTint="99"/>
        </w:tcBorders>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color w:val="D4C2A8" w:themeColor="accent3"/>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6Colorful-Accent5">
    <w:name w:val="Grid Table 6 Colorful Accent 5"/>
    <w:basedOn w:val="TableNormal"/>
    <w:uiPriority w:val="51"/>
    <w:rsid w:val="00425C90"/>
    <w:rPr>
      <w:color w:val="142147" w:themeColor="accent1"/>
    </w:rPr>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rPr>
      <w:tblPr/>
      <w:tcPr>
        <w:tcBorders>
          <w:bottom w:val="single" w:sz="12" w:space="0" w:color="A2CDEA" w:themeColor="accent5" w:themeTint="99"/>
        </w:tcBorders>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6Colorful-Accent6">
    <w:name w:val="Grid Table 6 Colorful Accent 6"/>
    <w:basedOn w:val="TableNormal"/>
    <w:uiPriority w:val="51"/>
    <w:rsid w:val="00425C90"/>
    <w:rPr>
      <w:color w:val="701F4D" w:themeColor="accent2"/>
    </w:rPr>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rPr>
      <w:tblPr/>
      <w:tcPr>
        <w:tcBorders>
          <w:bottom w:val="single" w:sz="12" w:space="0" w:color="C6C5E5" w:themeColor="accent6" w:themeTint="99"/>
        </w:tcBorders>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4">
    <w:name w:val="List Table 4"/>
    <w:basedOn w:val="TableNormal"/>
    <w:uiPriority w:val="49"/>
    <w:rsid w:val="00425C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2A15DE"/>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tcBorders>
        <w:shd w:val="clear" w:color="auto" w:fill="701F4D" w:themeFill="accent2"/>
      </w:tcPr>
    </w:tblStylePr>
    <w:tblStylePr w:type="lastRow">
      <w:rPr>
        <w:b w:val="0"/>
        <w:bCs/>
      </w:rPr>
      <w:tblPr/>
      <w:tcPr>
        <w:tcBorders>
          <w:top w:val="double" w:sz="4" w:space="0" w:color="CF5298" w:themeColor="accent2" w:themeTint="99"/>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ListTable4-Accent3">
    <w:name w:val="List Table 4 Accent 3"/>
    <w:basedOn w:val="TableNormal"/>
    <w:uiPriority w:val="49"/>
    <w:rsid w:val="002A15DE"/>
    <w:tblPr>
      <w:tblStyleRowBandSize w:val="1"/>
      <w:tblStyleColBandSize w:val="1"/>
      <w:tblBorders>
        <w:top w:val="single" w:sz="4" w:space="0" w:color="E5DACA" w:themeColor="accent3" w:themeTint="99"/>
        <w:left w:val="single" w:sz="4" w:space="0" w:color="E5DACA" w:themeColor="accent3" w:themeTint="99"/>
        <w:bottom w:val="single" w:sz="4" w:space="0" w:color="E5DACA" w:themeColor="accent3" w:themeTint="99"/>
        <w:right w:val="single" w:sz="4" w:space="0" w:color="E5DACA" w:themeColor="accent3" w:themeTint="99"/>
        <w:insideH w:val="single" w:sz="4" w:space="0" w:color="E5DACA" w:themeColor="accent3" w:themeTint="99"/>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tcBorders>
        <w:shd w:val="clear" w:color="auto" w:fill="D4C2A8" w:themeFill="accent3"/>
      </w:tcPr>
    </w:tblStylePr>
    <w:tblStylePr w:type="lastRow">
      <w:rPr>
        <w:b w:val="0"/>
        <w:bCs/>
      </w:rPr>
      <w:tblPr/>
      <w:tcPr>
        <w:tcBorders>
          <w:top w:val="double" w:sz="4" w:space="0" w:color="E5DACA" w:themeColor="accent3" w:themeTint="99"/>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ListTable4-Accent4">
    <w:name w:val="List Table 4 Accent 4"/>
    <w:basedOn w:val="TableNormal"/>
    <w:uiPriority w:val="49"/>
    <w:rsid w:val="002A15DE"/>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tblBorders>
    </w:tblPr>
    <w:tblStylePr w:type="firstRow">
      <w:rPr>
        <w:b w:val="0"/>
        <w:bCs/>
        <w:color w:val="auto"/>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tcBorders>
        <w:shd w:val="clear" w:color="auto" w:fill="432B73" w:themeFill="accent4"/>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ListTable4-Accent5">
    <w:name w:val="List Table 4 Accent 5"/>
    <w:basedOn w:val="TableNormal"/>
    <w:uiPriority w:val="49"/>
    <w:rsid w:val="002A15DE"/>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tblBorders>
    </w:tblPr>
    <w:tblStylePr w:type="firstRow">
      <w:rPr>
        <w:b w:val="0"/>
        <w:bCs/>
        <w:color w:val="auto"/>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tcBorders>
        <w:shd w:val="clear" w:color="auto" w:fill="65ACDC" w:themeFill="accent5"/>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ListTable4-Accent6">
    <w:name w:val="List Table 4 Accent 6"/>
    <w:basedOn w:val="TableNormal"/>
    <w:uiPriority w:val="49"/>
    <w:rsid w:val="002A15DE"/>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tcBorders>
        <w:shd w:val="clear" w:color="auto" w:fill="A2A0D5" w:themeFill="accent6"/>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3-Accent6">
    <w:name w:val="List Table 3 Accent 6"/>
    <w:basedOn w:val="TableNormal"/>
    <w:uiPriority w:val="48"/>
    <w:rsid w:val="002A15DE"/>
    <w:tblPr>
      <w:tblStyleRowBandSize w:val="1"/>
      <w:tblStyleColBandSize w:val="1"/>
      <w:tblBorders>
        <w:top w:val="single" w:sz="4" w:space="0" w:color="A2A0D5" w:themeColor="accent6"/>
        <w:left w:val="single" w:sz="4" w:space="0" w:color="A2A0D5" w:themeColor="accent6"/>
        <w:bottom w:val="single" w:sz="4" w:space="0" w:color="A2A0D5" w:themeColor="accent6"/>
        <w:right w:val="single" w:sz="4" w:space="0" w:color="A2A0D5" w:themeColor="accent6"/>
      </w:tblBorders>
    </w:tblPr>
    <w:tblStylePr w:type="firstRow">
      <w:rPr>
        <w:b w:val="0"/>
        <w:bCs/>
        <w:color w:val="auto"/>
      </w:rPr>
      <w:tblPr/>
      <w:tcPr>
        <w:shd w:val="clear" w:color="auto" w:fill="A2A0D5" w:themeFill="accent6"/>
      </w:tcPr>
    </w:tblStylePr>
    <w:tblStylePr w:type="lastRow">
      <w:rPr>
        <w:b/>
        <w:bCs/>
      </w:rPr>
      <w:tblPr/>
      <w:tcPr>
        <w:tcBorders>
          <w:top w:val="double" w:sz="4" w:space="0" w:color="A2A0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0D5" w:themeColor="accent6"/>
          <w:right w:val="single" w:sz="4" w:space="0" w:color="A2A0D5" w:themeColor="accent6"/>
        </w:tcBorders>
      </w:tcPr>
    </w:tblStylePr>
    <w:tblStylePr w:type="band1Horz">
      <w:tblPr/>
      <w:tcPr>
        <w:tcBorders>
          <w:top w:val="single" w:sz="4" w:space="0" w:color="A2A0D5" w:themeColor="accent6"/>
          <w:bottom w:val="single" w:sz="4" w:space="0" w:color="A2A0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0D5" w:themeColor="accent6"/>
          <w:left w:val="nil"/>
        </w:tcBorders>
      </w:tcPr>
    </w:tblStylePr>
    <w:tblStylePr w:type="swCell">
      <w:tblPr/>
      <w:tcPr>
        <w:tcBorders>
          <w:top w:val="double" w:sz="4" w:space="0" w:color="A2A0D5" w:themeColor="accent6"/>
          <w:right w:val="nil"/>
        </w:tcBorders>
      </w:tcPr>
    </w:tblStylePr>
  </w:style>
  <w:style w:type="table" w:styleId="ListTable3-Accent5">
    <w:name w:val="List Table 3 Accent 5"/>
    <w:basedOn w:val="TableNormal"/>
    <w:uiPriority w:val="48"/>
    <w:rsid w:val="002A15DE"/>
    <w:tblPr>
      <w:tblStyleRowBandSize w:val="1"/>
      <w:tblStyleColBandSize w:val="1"/>
      <w:tblBorders>
        <w:top w:val="single" w:sz="4" w:space="0" w:color="65ACDC" w:themeColor="accent5"/>
        <w:left w:val="single" w:sz="4" w:space="0" w:color="65ACDC" w:themeColor="accent5"/>
        <w:bottom w:val="single" w:sz="4" w:space="0" w:color="65ACDC" w:themeColor="accent5"/>
        <w:right w:val="single" w:sz="4" w:space="0" w:color="65ACDC" w:themeColor="accent5"/>
      </w:tblBorders>
    </w:tblPr>
    <w:tblStylePr w:type="firstRow">
      <w:rPr>
        <w:b w:val="0"/>
        <w:bCs/>
        <w:color w:val="auto"/>
      </w:rPr>
      <w:tblPr/>
      <w:tcPr>
        <w:shd w:val="clear" w:color="auto" w:fill="65ACDC" w:themeFill="accent5"/>
      </w:tcPr>
    </w:tblStylePr>
    <w:tblStylePr w:type="lastRow">
      <w:rPr>
        <w:b/>
        <w:bCs/>
      </w:rPr>
      <w:tblPr/>
      <w:tcPr>
        <w:tcBorders>
          <w:top w:val="double" w:sz="4" w:space="0" w:color="65AC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ACDC" w:themeColor="accent5"/>
          <w:right w:val="single" w:sz="4" w:space="0" w:color="65ACDC" w:themeColor="accent5"/>
        </w:tcBorders>
      </w:tcPr>
    </w:tblStylePr>
    <w:tblStylePr w:type="band1Horz">
      <w:tblPr/>
      <w:tcPr>
        <w:tcBorders>
          <w:top w:val="single" w:sz="4" w:space="0" w:color="65ACDC" w:themeColor="accent5"/>
          <w:bottom w:val="single" w:sz="4" w:space="0" w:color="65AC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ACDC" w:themeColor="accent5"/>
          <w:left w:val="nil"/>
        </w:tcBorders>
      </w:tcPr>
    </w:tblStylePr>
    <w:tblStylePr w:type="swCell">
      <w:tblPr/>
      <w:tcPr>
        <w:tcBorders>
          <w:top w:val="double" w:sz="4" w:space="0" w:color="65ACDC" w:themeColor="accent5"/>
          <w:right w:val="nil"/>
        </w:tcBorders>
      </w:tcPr>
    </w:tblStylePr>
  </w:style>
  <w:style w:type="table" w:styleId="ListTable3-Accent4">
    <w:name w:val="List Table 3 Accent 4"/>
    <w:basedOn w:val="TableNormal"/>
    <w:uiPriority w:val="48"/>
    <w:rsid w:val="002A15DE"/>
    <w:tblPr>
      <w:tblStyleRowBandSize w:val="1"/>
      <w:tblStyleColBandSize w:val="1"/>
      <w:tblBorders>
        <w:top w:val="single" w:sz="4" w:space="0" w:color="432B73" w:themeColor="accent4"/>
        <w:left w:val="single" w:sz="4" w:space="0" w:color="432B73" w:themeColor="accent4"/>
        <w:bottom w:val="single" w:sz="4" w:space="0" w:color="432B73" w:themeColor="accent4"/>
        <w:right w:val="single" w:sz="4" w:space="0" w:color="432B73" w:themeColor="accent4"/>
      </w:tblBorders>
    </w:tblPr>
    <w:tblStylePr w:type="firstRow">
      <w:rPr>
        <w:b w:val="0"/>
        <w:bCs/>
        <w:color w:val="auto"/>
      </w:rPr>
      <w:tblPr/>
      <w:tcPr>
        <w:shd w:val="clear" w:color="auto" w:fill="432B73" w:themeFill="accent4"/>
      </w:tcPr>
    </w:tblStylePr>
    <w:tblStylePr w:type="lastRow">
      <w:rPr>
        <w:b/>
        <w:bCs/>
      </w:rPr>
      <w:tblPr/>
      <w:tcPr>
        <w:tcBorders>
          <w:top w:val="double" w:sz="4" w:space="0" w:color="432B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2B73" w:themeColor="accent4"/>
          <w:right w:val="single" w:sz="4" w:space="0" w:color="432B73" w:themeColor="accent4"/>
        </w:tcBorders>
      </w:tcPr>
    </w:tblStylePr>
    <w:tblStylePr w:type="band1Horz">
      <w:tblPr/>
      <w:tcPr>
        <w:tcBorders>
          <w:top w:val="single" w:sz="4" w:space="0" w:color="432B73" w:themeColor="accent4"/>
          <w:bottom w:val="single" w:sz="4" w:space="0" w:color="432B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2B73" w:themeColor="accent4"/>
          <w:left w:val="nil"/>
        </w:tcBorders>
      </w:tcPr>
    </w:tblStylePr>
    <w:tblStylePr w:type="swCell">
      <w:tblPr/>
      <w:tcPr>
        <w:tcBorders>
          <w:top w:val="double" w:sz="4" w:space="0" w:color="432B73" w:themeColor="accent4"/>
          <w:right w:val="nil"/>
        </w:tcBorders>
      </w:tcPr>
    </w:tblStylePr>
  </w:style>
  <w:style w:type="table" w:styleId="ListTable3-Accent3">
    <w:name w:val="List Table 3 Accent 3"/>
    <w:basedOn w:val="TableNormal"/>
    <w:uiPriority w:val="48"/>
    <w:rsid w:val="002A15DE"/>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tblBorders>
    </w:tblPr>
    <w:tblStylePr w:type="firstRow">
      <w:rPr>
        <w:b w:val="0"/>
        <w:bCs/>
        <w:color w:val="FFFFFF" w:themeColor="background1"/>
      </w:rPr>
      <w:tblPr/>
      <w:tcPr>
        <w:shd w:val="clear" w:color="auto" w:fill="D4C2A8" w:themeFill="accent3"/>
      </w:tcPr>
    </w:tblStylePr>
    <w:tblStylePr w:type="lastRow">
      <w:rPr>
        <w:b/>
        <w:bCs/>
      </w:rPr>
      <w:tblPr/>
      <w:tcPr>
        <w:tcBorders>
          <w:top w:val="double" w:sz="4" w:space="0" w:color="D4C2A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2A8" w:themeColor="accent3"/>
          <w:right w:val="single" w:sz="4" w:space="0" w:color="D4C2A8" w:themeColor="accent3"/>
        </w:tcBorders>
      </w:tcPr>
    </w:tblStylePr>
    <w:tblStylePr w:type="band1Horz">
      <w:tblPr/>
      <w:tcPr>
        <w:tcBorders>
          <w:top w:val="single" w:sz="4" w:space="0" w:color="D4C2A8" w:themeColor="accent3"/>
          <w:bottom w:val="single" w:sz="4" w:space="0" w:color="D4C2A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2A8" w:themeColor="accent3"/>
          <w:left w:val="nil"/>
        </w:tcBorders>
      </w:tcPr>
    </w:tblStylePr>
    <w:tblStylePr w:type="swCell">
      <w:tblPr/>
      <w:tcPr>
        <w:tcBorders>
          <w:top w:val="double" w:sz="4" w:space="0" w:color="D4C2A8" w:themeColor="accent3"/>
          <w:right w:val="nil"/>
        </w:tcBorders>
      </w:tcPr>
    </w:tblStylePr>
  </w:style>
  <w:style w:type="table" w:styleId="ListTable3-Accent2">
    <w:name w:val="List Table 3 Accent 2"/>
    <w:basedOn w:val="TableNormal"/>
    <w:uiPriority w:val="48"/>
    <w:rsid w:val="002A15DE"/>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tblBorders>
    </w:tblPr>
    <w:tblStylePr w:type="firstRow">
      <w:rPr>
        <w:b w:val="0"/>
        <w:bCs/>
        <w:color w:val="FFFFFF" w:themeColor="background1"/>
      </w:rPr>
      <w:tblPr/>
      <w:tcPr>
        <w:shd w:val="clear" w:color="auto" w:fill="701F4D" w:themeFill="accent2"/>
      </w:tcPr>
    </w:tblStylePr>
    <w:tblStylePr w:type="lastRow">
      <w:rPr>
        <w:b/>
        <w:bCs/>
      </w:rPr>
      <w:tblPr/>
      <w:tcPr>
        <w:tcBorders>
          <w:top w:val="double" w:sz="4" w:space="0" w:color="701F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1F4D" w:themeColor="accent2"/>
          <w:right w:val="single" w:sz="4" w:space="0" w:color="701F4D" w:themeColor="accent2"/>
        </w:tcBorders>
      </w:tcPr>
    </w:tblStylePr>
    <w:tblStylePr w:type="band1Horz">
      <w:tblPr/>
      <w:tcPr>
        <w:tcBorders>
          <w:top w:val="single" w:sz="4" w:space="0" w:color="701F4D" w:themeColor="accent2"/>
          <w:bottom w:val="single" w:sz="4" w:space="0" w:color="701F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1F4D" w:themeColor="accent2"/>
          <w:left w:val="nil"/>
        </w:tcBorders>
      </w:tcPr>
    </w:tblStylePr>
    <w:tblStylePr w:type="swCell">
      <w:tblPr/>
      <w:tcPr>
        <w:tcBorders>
          <w:top w:val="double" w:sz="4" w:space="0" w:color="701F4D" w:themeColor="accent2"/>
          <w:right w:val="nil"/>
        </w:tcBorders>
      </w:tcPr>
    </w:tblStylePr>
  </w:style>
  <w:style w:type="table" w:styleId="ListTable3-Accent1">
    <w:name w:val="List Table 3 Accent 1"/>
    <w:basedOn w:val="TableNormal"/>
    <w:uiPriority w:val="48"/>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tblBorders>
    </w:tblPr>
    <w:tblStylePr w:type="firstRow">
      <w:rPr>
        <w:b w:val="0"/>
        <w:bCs/>
        <w:color w:val="FFFFFF" w:themeColor="background1"/>
      </w:rPr>
      <w:tblPr/>
      <w:tcPr>
        <w:shd w:val="clear" w:color="auto" w:fill="142147" w:themeFill="accent1"/>
      </w:tcPr>
    </w:tblStylePr>
    <w:tblStylePr w:type="lastRow">
      <w:rPr>
        <w:b/>
        <w:bCs/>
      </w:rPr>
      <w:tblPr/>
      <w:tcPr>
        <w:tcBorders>
          <w:top w:val="double" w:sz="4" w:space="0" w:color="1421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2147" w:themeColor="accent1"/>
          <w:right w:val="single" w:sz="4" w:space="0" w:color="142147" w:themeColor="accent1"/>
        </w:tcBorders>
      </w:tcPr>
    </w:tblStylePr>
    <w:tblStylePr w:type="band1Horz">
      <w:tblPr/>
      <w:tcPr>
        <w:tcBorders>
          <w:top w:val="single" w:sz="4" w:space="0" w:color="142147" w:themeColor="accent1"/>
          <w:bottom w:val="single" w:sz="4" w:space="0" w:color="1421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2147" w:themeColor="accent1"/>
          <w:left w:val="nil"/>
        </w:tcBorders>
      </w:tcPr>
    </w:tblStylePr>
    <w:tblStylePr w:type="swCell">
      <w:tblPr/>
      <w:tcPr>
        <w:tcBorders>
          <w:top w:val="double" w:sz="4" w:space="0" w:color="142147" w:themeColor="accent1"/>
          <w:right w:val="nil"/>
        </w:tcBorders>
      </w:tcPr>
    </w:tblStylePr>
  </w:style>
  <w:style w:type="table" w:styleId="ListTable3">
    <w:name w:val="List Table 3"/>
    <w:basedOn w:val="TableNormal"/>
    <w:uiPriority w:val="48"/>
    <w:rsid w:val="002A15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val="0"/>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3">
    <w:name w:val="List 3"/>
    <w:basedOn w:val="Normal"/>
    <w:semiHidden/>
    <w:rsid w:val="00DA5F5F"/>
    <w:pPr>
      <w:ind w:left="849" w:hanging="283"/>
      <w:contextualSpacing/>
    </w:pPr>
  </w:style>
  <w:style w:type="paragraph" w:styleId="List4">
    <w:name w:val="List 4"/>
    <w:basedOn w:val="Normal"/>
    <w:semiHidden/>
    <w:rsid w:val="00DA5F5F"/>
    <w:pPr>
      <w:ind w:left="1132" w:hanging="283"/>
      <w:contextualSpacing/>
    </w:pPr>
  </w:style>
  <w:style w:type="paragraph" w:styleId="List5">
    <w:name w:val="List 5"/>
    <w:basedOn w:val="Normal"/>
    <w:semiHidden/>
    <w:rsid w:val="00DA5F5F"/>
    <w:pPr>
      <w:ind w:left="1415" w:hanging="283"/>
      <w:contextualSpacing/>
    </w:pPr>
  </w:style>
  <w:style w:type="paragraph" w:styleId="List">
    <w:name w:val="List"/>
    <w:basedOn w:val="Normal"/>
    <w:semiHidden/>
    <w:rsid w:val="00DA5F5F"/>
    <w:pPr>
      <w:ind w:left="283" w:hanging="283"/>
      <w:contextualSpacing/>
    </w:pPr>
  </w:style>
  <w:style w:type="paragraph" w:styleId="ListBullet">
    <w:name w:val="List Bullet"/>
    <w:basedOn w:val="Normal"/>
    <w:semiHidden/>
    <w:rsid w:val="00DA5F5F"/>
    <w:pPr>
      <w:numPr>
        <w:numId w:val="9"/>
      </w:numPr>
      <w:contextualSpacing/>
    </w:pPr>
  </w:style>
  <w:style w:type="paragraph" w:styleId="ListBullet2">
    <w:name w:val="List Bullet 2"/>
    <w:basedOn w:val="Normal"/>
    <w:semiHidden/>
    <w:rsid w:val="00DA5F5F"/>
    <w:pPr>
      <w:numPr>
        <w:numId w:val="10"/>
      </w:numPr>
      <w:contextualSpacing/>
    </w:pPr>
  </w:style>
  <w:style w:type="paragraph" w:styleId="ListBullet3">
    <w:name w:val="List Bullet 3"/>
    <w:basedOn w:val="Normal"/>
    <w:semiHidden/>
    <w:rsid w:val="00DA5F5F"/>
    <w:pPr>
      <w:numPr>
        <w:numId w:val="11"/>
      </w:numPr>
      <w:contextualSpacing/>
    </w:pPr>
  </w:style>
  <w:style w:type="paragraph" w:styleId="ListBullet4">
    <w:name w:val="List Bullet 4"/>
    <w:basedOn w:val="Normal"/>
    <w:semiHidden/>
    <w:rsid w:val="00DA5F5F"/>
    <w:pPr>
      <w:numPr>
        <w:numId w:val="12"/>
      </w:numPr>
      <w:contextualSpacing/>
    </w:pPr>
  </w:style>
  <w:style w:type="paragraph" w:styleId="ListBullet5">
    <w:name w:val="List Bullet 5"/>
    <w:basedOn w:val="Normal"/>
    <w:semiHidden/>
    <w:rsid w:val="00DA5F5F"/>
    <w:pPr>
      <w:numPr>
        <w:numId w:val="13"/>
      </w:numPr>
      <w:contextualSpacing/>
    </w:pPr>
  </w:style>
  <w:style w:type="paragraph" w:styleId="ListContinue">
    <w:name w:val="List Continue"/>
    <w:basedOn w:val="Normal"/>
    <w:semiHidden/>
    <w:rsid w:val="00DA5F5F"/>
    <w:pPr>
      <w:ind w:left="283"/>
      <w:contextualSpacing/>
    </w:pPr>
  </w:style>
  <w:style w:type="paragraph" w:styleId="ListContinue2">
    <w:name w:val="List Continue 2"/>
    <w:basedOn w:val="Normal"/>
    <w:semiHidden/>
    <w:rsid w:val="00DA5F5F"/>
    <w:pPr>
      <w:ind w:left="566"/>
      <w:contextualSpacing/>
    </w:pPr>
  </w:style>
  <w:style w:type="paragraph" w:styleId="ListContinue3">
    <w:name w:val="List Continue 3"/>
    <w:basedOn w:val="Normal"/>
    <w:semiHidden/>
    <w:rsid w:val="00DA5F5F"/>
    <w:pPr>
      <w:ind w:left="849"/>
      <w:contextualSpacing/>
    </w:pPr>
  </w:style>
  <w:style w:type="paragraph" w:styleId="ListContinue4">
    <w:name w:val="List Continue 4"/>
    <w:basedOn w:val="Normal"/>
    <w:semiHidden/>
    <w:rsid w:val="00DA5F5F"/>
    <w:pPr>
      <w:ind w:left="1132"/>
      <w:contextualSpacing/>
    </w:pPr>
  </w:style>
  <w:style w:type="paragraph" w:styleId="ListContinue5">
    <w:name w:val="List Continue 5"/>
    <w:basedOn w:val="Normal"/>
    <w:semiHidden/>
    <w:rsid w:val="00DA5F5F"/>
    <w:pPr>
      <w:ind w:left="1415"/>
      <w:contextualSpacing/>
    </w:pPr>
  </w:style>
  <w:style w:type="paragraph" w:styleId="ListNumber">
    <w:name w:val="List Number"/>
    <w:basedOn w:val="Normal"/>
    <w:semiHidden/>
    <w:rsid w:val="00DA5F5F"/>
    <w:pPr>
      <w:numPr>
        <w:numId w:val="14"/>
      </w:numPr>
      <w:contextualSpacing/>
    </w:pPr>
  </w:style>
  <w:style w:type="paragraph" w:styleId="ListNumber2">
    <w:name w:val="List Number 2"/>
    <w:basedOn w:val="Normal"/>
    <w:semiHidden/>
    <w:rsid w:val="00DA5F5F"/>
    <w:pPr>
      <w:numPr>
        <w:numId w:val="15"/>
      </w:numPr>
      <w:contextualSpacing/>
    </w:pPr>
  </w:style>
  <w:style w:type="paragraph" w:styleId="ListNumber3">
    <w:name w:val="List Number 3"/>
    <w:basedOn w:val="Normal"/>
    <w:semiHidden/>
    <w:rsid w:val="00DA5F5F"/>
    <w:pPr>
      <w:numPr>
        <w:numId w:val="16"/>
      </w:numPr>
      <w:contextualSpacing/>
    </w:pPr>
  </w:style>
  <w:style w:type="paragraph" w:styleId="ListNumber4">
    <w:name w:val="List Number 4"/>
    <w:basedOn w:val="Normal"/>
    <w:semiHidden/>
    <w:rsid w:val="00DA5F5F"/>
    <w:pPr>
      <w:numPr>
        <w:numId w:val="17"/>
      </w:numPr>
      <w:contextualSpacing/>
    </w:pPr>
  </w:style>
  <w:style w:type="paragraph" w:styleId="ListNumber5">
    <w:name w:val="List Number 5"/>
    <w:basedOn w:val="Normal"/>
    <w:semiHidden/>
    <w:rsid w:val="00DA5F5F"/>
    <w:pPr>
      <w:numPr>
        <w:numId w:val="18"/>
      </w:numPr>
      <w:contextualSpacing/>
    </w:pPr>
  </w:style>
  <w:style w:type="paragraph" w:styleId="MacroText">
    <w:name w:val="macro"/>
    <w:link w:val="MacroTextChar"/>
    <w:semiHidden/>
    <w:rsid w:val="00DA5F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B05D5C"/>
    <w:rPr>
      <w:rFonts w:ascii="Consolas" w:hAnsi="Consolas"/>
      <w:sz w:val="20"/>
      <w:szCs w:val="20"/>
    </w:rPr>
  </w:style>
  <w:style w:type="paragraph" w:styleId="BlockText">
    <w:name w:val="Block Text"/>
    <w:basedOn w:val="Normal"/>
    <w:semiHidden/>
    <w:rsid w:val="00DA5F5F"/>
    <w:pPr>
      <w:pBdr>
        <w:top w:val="single" w:sz="2" w:space="10" w:color="142147" w:themeColor="accent1"/>
        <w:left w:val="single" w:sz="2" w:space="10" w:color="142147" w:themeColor="accent1"/>
        <w:bottom w:val="single" w:sz="2" w:space="10" w:color="142147" w:themeColor="accent1"/>
        <w:right w:val="single" w:sz="2" w:space="10" w:color="142147" w:themeColor="accent1"/>
      </w:pBdr>
      <w:ind w:left="1152" w:right="1152"/>
    </w:pPr>
    <w:rPr>
      <w:rFonts w:asciiTheme="minorHAnsi" w:eastAsiaTheme="minorEastAsia" w:hAnsiTheme="minorHAnsi" w:cstheme="minorBidi"/>
      <w:i/>
      <w:iCs/>
      <w:color w:val="142147" w:themeColor="accent1"/>
    </w:rPr>
  </w:style>
  <w:style w:type="paragraph" w:styleId="Caption">
    <w:name w:val="caption"/>
    <w:basedOn w:val="Normal"/>
    <w:next w:val="Normal"/>
    <w:unhideWhenUsed/>
    <w:qFormat/>
    <w:rsid w:val="00DA5F5F"/>
    <w:pPr>
      <w:spacing w:before="0" w:after="200"/>
    </w:pPr>
    <w:rPr>
      <w:i/>
      <w:iCs/>
      <w:color w:val="5F5F5F" w:themeColor="text2"/>
      <w:sz w:val="18"/>
      <w:szCs w:val="18"/>
    </w:rPr>
  </w:style>
  <w:style w:type="paragraph" w:styleId="BodyText2">
    <w:name w:val="Body Text 2"/>
    <w:basedOn w:val="Normal"/>
    <w:link w:val="BodyText2Char"/>
    <w:semiHidden/>
    <w:rsid w:val="00DA5F5F"/>
    <w:pPr>
      <w:spacing w:line="480" w:lineRule="auto"/>
    </w:pPr>
  </w:style>
  <w:style w:type="character" w:customStyle="1" w:styleId="BodyText2Char">
    <w:name w:val="Body Text 2 Char"/>
    <w:basedOn w:val="DefaultParagraphFont"/>
    <w:link w:val="BodyText2"/>
    <w:semiHidden/>
    <w:rsid w:val="00B05D5C"/>
  </w:style>
  <w:style w:type="paragraph" w:styleId="BodyText3">
    <w:name w:val="Body Text 3"/>
    <w:basedOn w:val="Normal"/>
    <w:link w:val="BodyText3Char"/>
    <w:semiHidden/>
    <w:rsid w:val="00DA5F5F"/>
    <w:rPr>
      <w:sz w:val="16"/>
      <w:szCs w:val="16"/>
    </w:rPr>
  </w:style>
  <w:style w:type="character" w:customStyle="1" w:styleId="BodyText3Char">
    <w:name w:val="Body Text 3 Char"/>
    <w:basedOn w:val="DefaultParagraphFont"/>
    <w:link w:val="BodyText3"/>
    <w:semiHidden/>
    <w:rsid w:val="00B05D5C"/>
    <w:rPr>
      <w:sz w:val="16"/>
      <w:szCs w:val="16"/>
    </w:rPr>
  </w:style>
  <w:style w:type="paragraph" w:customStyle="1" w:styleId="KeyPointsHeading">
    <w:name w:val="Key Points Heading"/>
    <w:basedOn w:val="BoxHeading1"/>
    <w:qFormat/>
    <w:rsid w:val="00B7531F"/>
    <w:rPr>
      <w:rFonts w:ascii="Arial Bold" w:hAnsi="Arial Bold"/>
      <w:b/>
      <w:i w:val="0"/>
      <w:caps/>
      <w:color w:val="404040"/>
      <w:sz w:val="24"/>
    </w:rPr>
  </w:style>
  <w:style w:type="paragraph" w:styleId="Index1">
    <w:name w:val="index 1"/>
    <w:basedOn w:val="Normal"/>
    <w:next w:val="Normal"/>
    <w:autoRedefine/>
    <w:semiHidden/>
    <w:rsid w:val="00225987"/>
    <w:pPr>
      <w:spacing w:before="0" w:after="0"/>
      <w:ind w:left="220" w:hanging="220"/>
    </w:pPr>
  </w:style>
  <w:style w:type="paragraph" w:customStyle="1" w:styleId="TableTextLeft">
    <w:name w:val="Table Text Left"/>
    <w:basedOn w:val="Normal"/>
    <w:rsid w:val="00B7531F"/>
    <w:pPr>
      <w:spacing w:before="30" w:after="80"/>
    </w:pPr>
    <w:rPr>
      <w:rFonts w:asciiTheme="minorHAnsi" w:hAnsiTheme="minorHAnsi"/>
      <w:color w:val="000000"/>
      <w:szCs w:val="18"/>
    </w:rPr>
  </w:style>
  <w:style w:type="paragraph" w:customStyle="1" w:styleId="TableColumnHeadingLeft">
    <w:name w:val="Table Column Heading Left"/>
    <w:basedOn w:val="Normal"/>
    <w:rsid w:val="00B7531F"/>
    <w:pPr>
      <w:spacing w:before="60" w:after="60"/>
    </w:pPr>
    <w:rPr>
      <w:rFonts w:asciiTheme="minorHAnsi" w:hAnsiTheme="minorHAnsi"/>
      <w:color w:val="FFFFFF" w:themeColor="background1"/>
      <w:szCs w:val="18"/>
    </w:rPr>
  </w:style>
  <w:style w:type="paragraph" w:customStyle="1" w:styleId="BoxHeading2">
    <w:name w:val="Box Heading 2"/>
    <w:basedOn w:val="BoxHeading1"/>
    <w:next w:val="BoxText"/>
    <w:qFormat/>
    <w:rsid w:val="00EB01D8"/>
    <w:rPr>
      <w:i w:val="0"/>
      <w:iCs/>
      <w:sz w:val="24"/>
      <w:szCs w:val="20"/>
    </w:rPr>
  </w:style>
  <w:style w:type="character" w:customStyle="1" w:styleId="FooterChar">
    <w:name w:val="Footer Char"/>
    <w:basedOn w:val="DefaultParagraphFont"/>
    <w:link w:val="Footer"/>
    <w:uiPriority w:val="99"/>
    <w:rsid w:val="00AA5FC4"/>
    <w:rPr>
      <w:rFonts w:ascii="Georgia" w:hAnsi="Georgia"/>
      <w:color w:val="701F4D" w:themeColor="accent2"/>
      <w14:numForm w14:val="lining"/>
      <w14:numSpacing w14:val="proportional"/>
    </w:rPr>
  </w:style>
  <w:style w:type="table" w:customStyle="1" w:styleId="Style1">
    <w:name w:val="Style1"/>
    <w:basedOn w:val="TableNormal"/>
    <w:uiPriority w:val="99"/>
    <w:rsid w:val="007A7F4D"/>
    <w:pPr>
      <w:spacing w:before="0" w:after="0"/>
    </w:pPr>
    <w:tblPr/>
    <w:tblStylePr w:type="firstRow">
      <w:tblPr/>
      <w:tcPr>
        <w:shd w:val="clear" w:color="auto" w:fill="142147" w:themeFill="accent1"/>
      </w:tcPr>
    </w:tblStylePr>
    <w:tblStylePr w:type="firstCol">
      <w:tblPr/>
      <w:tcPr>
        <w:shd w:val="clear" w:color="auto" w:fill="142147" w:themeFill="accent1"/>
      </w:tcPr>
    </w:tblStylePr>
  </w:style>
  <w:style w:type="character" w:styleId="UnresolvedMention">
    <w:name w:val="Unresolved Mention"/>
    <w:basedOn w:val="DefaultParagraphFont"/>
    <w:uiPriority w:val="99"/>
    <w:semiHidden/>
    <w:rsid w:val="00CB0811"/>
    <w:rPr>
      <w:color w:val="605E5C"/>
      <w:shd w:val="clear" w:color="auto" w:fill="E1DFDD"/>
    </w:rPr>
  </w:style>
  <w:style w:type="character" w:styleId="Emphasis">
    <w:name w:val="Emphasis"/>
    <w:basedOn w:val="DefaultParagraphFont"/>
    <w:uiPriority w:val="20"/>
    <w:rsid w:val="00F73359"/>
    <w:rPr>
      <w:i/>
      <w:iCs/>
    </w:rPr>
  </w:style>
  <w:style w:type="character" w:styleId="Strong">
    <w:name w:val="Strong"/>
    <w:basedOn w:val="DefaultParagraphFont"/>
    <w:qFormat/>
    <w:rsid w:val="00F73359"/>
    <w:rPr>
      <w:b/>
      <w:bCs/>
    </w:rPr>
  </w:style>
  <w:style w:type="paragraph" w:customStyle="1" w:styleId="OutlineNumbered1">
    <w:name w:val="Outline Numbered 1"/>
    <w:basedOn w:val="Normal"/>
    <w:link w:val="OutlineNumbered1Char"/>
    <w:rsid w:val="00BB4866"/>
    <w:pPr>
      <w:numPr>
        <w:numId w:val="1"/>
      </w:numPr>
      <w:tabs>
        <w:tab w:val="num" w:pos="567"/>
      </w:tabs>
      <w:spacing w:before="0" w:after="240" w:line="260" w:lineRule="exact"/>
      <w:jc w:val="both"/>
    </w:pPr>
    <w:rPr>
      <w:rFonts w:ascii="Book Antiqua" w:hAnsi="Book Antiqua"/>
      <w:color w:val="000000"/>
      <w:szCs w:val="20"/>
    </w:rPr>
  </w:style>
  <w:style w:type="character" w:customStyle="1" w:styleId="BulletChar">
    <w:name w:val="Bullet Char"/>
    <w:basedOn w:val="DefaultParagraphFont"/>
    <w:link w:val="Bullet"/>
    <w:locked/>
    <w:rsid w:val="00BB4866"/>
  </w:style>
  <w:style w:type="character" w:customStyle="1" w:styleId="OutlineNumbered1Char">
    <w:name w:val="Outline Numbered 1 Char"/>
    <w:basedOn w:val="DefaultParagraphFont"/>
    <w:link w:val="OutlineNumbered1"/>
    <w:locked/>
    <w:rsid w:val="00BB4866"/>
    <w:rPr>
      <w:rFonts w:ascii="Book Antiqua" w:hAnsi="Book Antiqua"/>
      <w:color w:val="000000"/>
      <w:szCs w:val="20"/>
    </w:rPr>
  </w:style>
  <w:style w:type="character" w:styleId="CommentReference">
    <w:name w:val="annotation reference"/>
    <w:basedOn w:val="DefaultParagraphFont"/>
    <w:uiPriority w:val="99"/>
    <w:rsid w:val="00BB4866"/>
    <w:rPr>
      <w:rFonts w:cs="Times New Roman"/>
      <w:sz w:val="16"/>
      <w:szCs w:val="16"/>
    </w:rPr>
  </w:style>
  <w:style w:type="paragraph" w:styleId="CommentText">
    <w:name w:val="annotation text"/>
    <w:basedOn w:val="Normal"/>
    <w:link w:val="CommentTextChar"/>
    <w:uiPriority w:val="99"/>
    <w:rsid w:val="00BB4866"/>
    <w:pPr>
      <w:spacing w:before="0" w:after="240"/>
      <w:jc w:val="both"/>
    </w:pPr>
    <w:rPr>
      <w:rFonts w:ascii="Book Antiqua" w:hAnsi="Book Antiqua"/>
      <w:color w:val="000000"/>
      <w:sz w:val="20"/>
      <w:szCs w:val="20"/>
    </w:rPr>
  </w:style>
  <w:style w:type="character" w:customStyle="1" w:styleId="CommentTextChar">
    <w:name w:val="Comment Text Char"/>
    <w:basedOn w:val="DefaultParagraphFont"/>
    <w:link w:val="CommentText"/>
    <w:uiPriority w:val="99"/>
    <w:rsid w:val="00BB4866"/>
    <w:rPr>
      <w:rFonts w:ascii="Book Antiqua" w:hAnsi="Book Antiqua"/>
      <w:color w:val="000000"/>
      <w:sz w:val="20"/>
      <w:szCs w:val="20"/>
    </w:rPr>
  </w:style>
  <w:style w:type="paragraph" w:styleId="CommentSubject">
    <w:name w:val="annotation subject"/>
    <w:basedOn w:val="CommentText"/>
    <w:next w:val="CommentText"/>
    <w:link w:val="CommentSubjectChar"/>
    <w:semiHidden/>
    <w:rsid w:val="007C0F01"/>
    <w:pPr>
      <w:spacing w:before="120" w:after="120"/>
      <w:jc w:val="left"/>
    </w:pPr>
    <w:rPr>
      <w:rFonts w:ascii="Calibri" w:hAnsi="Calibri"/>
      <w:b/>
      <w:bCs/>
      <w:color w:val="auto"/>
    </w:rPr>
  </w:style>
  <w:style w:type="character" w:customStyle="1" w:styleId="CommentSubjectChar">
    <w:name w:val="Comment Subject Char"/>
    <w:basedOn w:val="CommentTextChar"/>
    <w:link w:val="CommentSubject"/>
    <w:semiHidden/>
    <w:rsid w:val="007C0F01"/>
    <w:rPr>
      <w:rFonts w:ascii="Book Antiqua" w:hAnsi="Book Antiqua"/>
      <w:b/>
      <w:bCs/>
      <w:color w:val="000000"/>
      <w:sz w:val="20"/>
      <w:szCs w:val="20"/>
    </w:rPr>
  </w:style>
  <w:style w:type="numbering" w:customStyle="1" w:styleId="Outlinenumbering">
    <w:name w:val="Outline numbering"/>
    <w:rsid w:val="008C26F7"/>
    <w:pPr>
      <w:numPr>
        <w:numId w:val="19"/>
      </w:numPr>
    </w:pPr>
  </w:style>
  <w:style w:type="character" w:customStyle="1" w:styleId="SingleParagraphChar">
    <w:name w:val="Single Paragraph Char"/>
    <w:basedOn w:val="DefaultParagraphFont"/>
    <w:link w:val="SingleParagraph"/>
    <w:locked/>
    <w:rsid w:val="009939AF"/>
  </w:style>
  <w:style w:type="paragraph" w:customStyle="1" w:styleId="RecommendationText">
    <w:name w:val="Recommendation Text"/>
    <w:basedOn w:val="Normal"/>
    <w:rsid w:val="00CC5D1D"/>
    <w:pPr>
      <w:spacing w:before="0" w:after="240" w:line="260" w:lineRule="exact"/>
      <w:jc w:val="both"/>
    </w:pPr>
    <w:rPr>
      <w:rFonts w:ascii="Book Antiqua" w:hAnsi="Book Antiqua"/>
      <w:color w:val="000000"/>
      <w:szCs w:val="20"/>
    </w:rPr>
  </w:style>
  <w:style w:type="paragraph" w:customStyle="1" w:styleId="OutlineNumbered2">
    <w:name w:val="Outline Numbered 2"/>
    <w:basedOn w:val="Normal"/>
    <w:link w:val="OutlineNumbered2Char"/>
    <w:rsid w:val="00CC5D1D"/>
    <w:pPr>
      <w:numPr>
        <w:ilvl w:val="1"/>
        <w:numId w:val="1"/>
      </w:numPr>
      <w:spacing w:before="0" w:after="240" w:line="260" w:lineRule="exact"/>
      <w:jc w:val="both"/>
    </w:pPr>
    <w:rPr>
      <w:rFonts w:asciiTheme="minorHAnsi" w:hAnsiTheme="minorHAnsi" w:cstheme="minorHAnsi"/>
      <w:color w:val="FFFFFF" w:themeColor="background1"/>
    </w:rPr>
  </w:style>
  <w:style w:type="character" w:customStyle="1" w:styleId="DashChar">
    <w:name w:val="Dash Char"/>
    <w:basedOn w:val="DefaultParagraphFont"/>
    <w:link w:val="Dash"/>
    <w:rsid w:val="00CC5D1D"/>
  </w:style>
  <w:style w:type="character" w:customStyle="1" w:styleId="OutlineNumbered2Char">
    <w:name w:val="Outline Numbered 2 Char"/>
    <w:basedOn w:val="DashChar"/>
    <w:link w:val="OutlineNumbered2"/>
    <w:rsid w:val="00CC5D1D"/>
    <w:rPr>
      <w:rFonts w:asciiTheme="minorHAnsi" w:hAnsiTheme="minorHAnsi" w:cstheme="minorHAnsi"/>
      <w:color w:val="FFFFFF" w:themeColor="background1"/>
    </w:rPr>
  </w:style>
  <w:style w:type="paragraph" w:customStyle="1" w:styleId="OutlineNumbered3">
    <w:name w:val="Outline Numbered 3"/>
    <w:basedOn w:val="Normal"/>
    <w:link w:val="OutlineNumbered3Char"/>
    <w:rsid w:val="00CC5D1D"/>
    <w:pPr>
      <w:numPr>
        <w:ilvl w:val="2"/>
        <w:numId w:val="1"/>
      </w:numPr>
      <w:spacing w:before="0" w:after="240" w:line="260" w:lineRule="exact"/>
      <w:jc w:val="both"/>
    </w:pPr>
    <w:rPr>
      <w:rFonts w:asciiTheme="minorHAnsi" w:hAnsiTheme="minorHAnsi" w:cstheme="minorHAnsi"/>
      <w:color w:val="FFFFFF" w:themeColor="background1"/>
    </w:rPr>
  </w:style>
  <w:style w:type="character" w:customStyle="1" w:styleId="OutlineNumbered3Char">
    <w:name w:val="Outline Numbered 3 Char"/>
    <w:basedOn w:val="DashChar"/>
    <w:link w:val="OutlineNumbered3"/>
    <w:rsid w:val="00CC5D1D"/>
    <w:rPr>
      <w:rFonts w:asciiTheme="minorHAnsi" w:hAnsiTheme="minorHAnsi" w:cstheme="minorHAnsi"/>
      <w:color w:val="FFFFFF" w:themeColor="background1"/>
    </w:rPr>
  </w:style>
  <w:style w:type="character" w:customStyle="1" w:styleId="Heading7Char">
    <w:name w:val="Heading 7 Char"/>
    <w:basedOn w:val="DefaultParagraphFont"/>
    <w:link w:val="Heading7"/>
    <w:locked/>
    <w:rsid w:val="00416EF9"/>
    <w:rPr>
      <w:rFonts w:asciiTheme="minorHAnsi" w:hAnsiTheme="minorHAnsi"/>
      <w:b/>
      <w:color w:val="000000" w:themeColor="text1"/>
      <w:sz w:val="23"/>
      <w:szCs w:val="24"/>
      <w14:numForm w14:val="lining"/>
      <w14:numSpacing w14:val="proportional"/>
    </w:rPr>
  </w:style>
  <w:style w:type="paragraph" w:customStyle="1" w:styleId="Casestudybullet">
    <w:name w:val="Case study bullet"/>
    <w:basedOn w:val="Normal"/>
    <w:qFormat/>
    <w:rsid w:val="00416EF9"/>
    <w:pPr>
      <w:tabs>
        <w:tab w:val="num" w:pos="283"/>
      </w:tabs>
      <w:spacing w:before="0"/>
      <w:ind w:left="284" w:hanging="284"/>
      <w:jc w:val="both"/>
    </w:pPr>
    <w:rPr>
      <w:rFonts w:ascii="Book Antiqua" w:hAnsi="Book Antiqua"/>
      <w:color w:val="000000" w:themeColor="text1"/>
      <w:szCs w:val="20"/>
    </w:rPr>
  </w:style>
  <w:style w:type="paragraph" w:styleId="Revision">
    <w:name w:val="Revision"/>
    <w:hidden/>
    <w:uiPriority w:val="99"/>
    <w:semiHidden/>
    <w:rsid w:val="00D30D84"/>
    <w:pPr>
      <w:spacing w:before="0" w:after="0"/>
    </w:pPr>
  </w:style>
  <w:style w:type="table" w:styleId="ListTable2-Accent2">
    <w:name w:val="List Table 2 Accent 2"/>
    <w:basedOn w:val="TableNormal"/>
    <w:uiPriority w:val="47"/>
    <w:rsid w:val="00D767B0"/>
    <w:pPr>
      <w:spacing w:after="0"/>
    </w:pPr>
    <w:tblPr>
      <w:tblStyleRowBandSize w:val="1"/>
      <w:tblStyleColBandSize w:val="1"/>
      <w:tblBorders>
        <w:top w:val="single" w:sz="4" w:space="0" w:color="CF5298" w:themeColor="accent2" w:themeTint="99"/>
        <w:bottom w:val="single" w:sz="4" w:space="0" w:color="CF5298" w:themeColor="accent2" w:themeTint="99"/>
        <w:insideH w:val="single" w:sz="4" w:space="0" w:color="CF529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character" w:customStyle="1" w:styleId="cf01">
    <w:name w:val="cf01"/>
    <w:basedOn w:val="DefaultParagraphFont"/>
    <w:rsid w:val="00EC07C1"/>
    <w:rPr>
      <w:rFonts w:ascii="Segoe UI" w:hAnsi="Segoe UI" w:cs="Segoe UI" w:hint="default"/>
      <w:sz w:val="18"/>
      <w:szCs w:val="18"/>
    </w:rPr>
  </w:style>
  <w:style w:type="character" w:styleId="Mention">
    <w:name w:val="Mention"/>
    <w:basedOn w:val="DefaultParagraphFont"/>
    <w:uiPriority w:val="99"/>
    <w:semiHidden/>
    <w:rsid w:val="00EC07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1061">
      <w:bodyDiv w:val="1"/>
      <w:marLeft w:val="0"/>
      <w:marRight w:val="0"/>
      <w:marTop w:val="0"/>
      <w:marBottom w:val="0"/>
      <w:divBdr>
        <w:top w:val="none" w:sz="0" w:space="0" w:color="auto"/>
        <w:left w:val="none" w:sz="0" w:space="0" w:color="auto"/>
        <w:bottom w:val="none" w:sz="0" w:space="0" w:color="auto"/>
        <w:right w:val="none" w:sz="0" w:space="0" w:color="auto"/>
      </w:divBdr>
    </w:div>
    <w:div w:id="100103678">
      <w:bodyDiv w:val="1"/>
      <w:marLeft w:val="0"/>
      <w:marRight w:val="0"/>
      <w:marTop w:val="0"/>
      <w:marBottom w:val="0"/>
      <w:divBdr>
        <w:top w:val="none" w:sz="0" w:space="0" w:color="auto"/>
        <w:left w:val="none" w:sz="0" w:space="0" w:color="auto"/>
        <w:bottom w:val="none" w:sz="0" w:space="0" w:color="auto"/>
        <w:right w:val="none" w:sz="0" w:space="0" w:color="auto"/>
      </w:divBdr>
    </w:div>
    <w:div w:id="113449625">
      <w:bodyDiv w:val="1"/>
      <w:marLeft w:val="0"/>
      <w:marRight w:val="0"/>
      <w:marTop w:val="0"/>
      <w:marBottom w:val="0"/>
      <w:divBdr>
        <w:top w:val="none" w:sz="0" w:space="0" w:color="auto"/>
        <w:left w:val="none" w:sz="0" w:space="0" w:color="auto"/>
        <w:bottom w:val="none" w:sz="0" w:space="0" w:color="auto"/>
        <w:right w:val="none" w:sz="0" w:space="0" w:color="auto"/>
      </w:divBdr>
      <w:divsChild>
        <w:div w:id="752816836">
          <w:marLeft w:val="0"/>
          <w:marRight w:val="0"/>
          <w:marTop w:val="0"/>
          <w:marBottom w:val="0"/>
          <w:divBdr>
            <w:top w:val="none" w:sz="0" w:space="0" w:color="auto"/>
            <w:left w:val="none" w:sz="0" w:space="0" w:color="auto"/>
            <w:bottom w:val="none" w:sz="0" w:space="0" w:color="auto"/>
            <w:right w:val="none" w:sz="0" w:space="0" w:color="auto"/>
          </w:divBdr>
        </w:div>
        <w:div w:id="1769504034">
          <w:marLeft w:val="0"/>
          <w:marRight w:val="0"/>
          <w:marTop w:val="0"/>
          <w:marBottom w:val="0"/>
          <w:divBdr>
            <w:top w:val="none" w:sz="0" w:space="0" w:color="auto"/>
            <w:left w:val="none" w:sz="0" w:space="0" w:color="auto"/>
            <w:bottom w:val="none" w:sz="0" w:space="0" w:color="auto"/>
            <w:right w:val="none" w:sz="0" w:space="0" w:color="auto"/>
          </w:divBdr>
        </w:div>
      </w:divsChild>
    </w:div>
    <w:div w:id="170486984">
      <w:bodyDiv w:val="1"/>
      <w:marLeft w:val="0"/>
      <w:marRight w:val="0"/>
      <w:marTop w:val="0"/>
      <w:marBottom w:val="0"/>
      <w:divBdr>
        <w:top w:val="none" w:sz="0" w:space="0" w:color="auto"/>
        <w:left w:val="none" w:sz="0" w:space="0" w:color="auto"/>
        <w:bottom w:val="none" w:sz="0" w:space="0" w:color="auto"/>
        <w:right w:val="none" w:sz="0" w:space="0" w:color="auto"/>
      </w:divBdr>
      <w:divsChild>
        <w:div w:id="1370379240">
          <w:marLeft w:val="0"/>
          <w:marRight w:val="0"/>
          <w:marTop w:val="0"/>
          <w:marBottom w:val="0"/>
          <w:divBdr>
            <w:top w:val="none" w:sz="0" w:space="0" w:color="auto"/>
            <w:left w:val="none" w:sz="0" w:space="0" w:color="auto"/>
            <w:bottom w:val="none" w:sz="0" w:space="0" w:color="auto"/>
            <w:right w:val="none" w:sz="0" w:space="0" w:color="auto"/>
          </w:divBdr>
        </w:div>
        <w:div w:id="1471558098">
          <w:marLeft w:val="0"/>
          <w:marRight w:val="0"/>
          <w:marTop w:val="0"/>
          <w:marBottom w:val="0"/>
          <w:divBdr>
            <w:top w:val="none" w:sz="0" w:space="0" w:color="auto"/>
            <w:left w:val="none" w:sz="0" w:space="0" w:color="auto"/>
            <w:bottom w:val="none" w:sz="0" w:space="0" w:color="auto"/>
            <w:right w:val="none" w:sz="0" w:space="0" w:color="auto"/>
          </w:divBdr>
        </w:div>
      </w:divsChild>
    </w:div>
    <w:div w:id="216010365">
      <w:bodyDiv w:val="1"/>
      <w:marLeft w:val="0"/>
      <w:marRight w:val="0"/>
      <w:marTop w:val="0"/>
      <w:marBottom w:val="0"/>
      <w:divBdr>
        <w:top w:val="none" w:sz="0" w:space="0" w:color="auto"/>
        <w:left w:val="none" w:sz="0" w:space="0" w:color="auto"/>
        <w:bottom w:val="none" w:sz="0" w:space="0" w:color="auto"/>
        <w:right w:val="none" w:sz="0" w:space="0" w:color="auto"/>
      </w:divBdr>
    </w:div>
    <w:div w:id="227155864">
      <w:bodyDiv w:val="1"/>
      <w:marLeft w:val="0"/>
      <w:marRight w:val="0"/>
      <w:marTop w:val="0"/>
      <w:marBottom w:val="0"/>
      <w:divBdr>
        <w:top w:val="none" w:sz="0" w:space="0" w:color="auto"/>
        <w:left w:val="none" w:sz="0" w:space="0" w:color="auto"/>
        <w:bottom w:val="none" w:sz="0" w:space="0" w:color="auto"/>
        <w:right w:val="none" w:sz="0" w:space="0" w:color="auto"/>
      </w:divBdr>
    </w:div>
    <w:div w:id="271789971">
      <w:bodyDiv w:val="1"/>
      <w:marLeft w:val="0"/>
      <w:marRight w:val="0"/>
      <w:marTop w:val="0"/>
      <w:marBottom w:val="0"/>
      <w:divBdr>
        <w:top w:val="none" w:sz="0" w:space="0" w:color="auto"/>
        <w:left w:val="none" w:sz="0" w:space="0" w:color="auto"/>
        <w:bottom w:val="none" w:sz="0" w:space="0" w:color="auto"/>
        <w:right w:val="none" w:sz="0" w:space="0" w:color="auto"/>
      </w:divBdr>
    </w:div>
    <w:div w:id="284966683">
      <w:bodyDiv w:val="1"/>
      <w:marLeft w:val="0"/>
      <w:marRight w:val="0"/>
      <w:marTop w:val="0"/>
      <w:marBottom w:val="0"/>
      <w:divBdr>
        <w:top w:val="none" w:sz="0" w:space="0" w:color="auto"/>
        <w:left w:val="none" w:sz="0" w:space="0" w:color="auto"/>
        <w:bottom w:val="none" w:sz="0" w:space="0" w:color="auto"/>
        <w:right w:val="none" w:sz="0" w:space="0" w:color="auto"/>
      </w:divBdr>
      <w:divsChild>
        <w:div w:id="321272917">
          <w:marLeft w:val="0"/>
          <w:marRight w:val="0"/>
          <w:marTop w:val="0"/>
          <w:marBottom w:val="0"/>
          <w:divBdr>
            <w:top w:val="none" w:sz="0" w:space="0" w:color="auto"/>
            <w:left w:val="none" w:sz="0" w:space="0" w:color="auto"/>
            <w:bottom w:val="none" w:sz="0" w:space="0" w:color="auto"/>
            <w:right w:val="none" w:sz="0" w:space="0" w:color="auto"/>
          </w:divBdr>
        </w:div>
        <w:div w:id="459497442">
          <w:marLeft w:val="0"/>
          <w:marRight w:val="0"/>
          <w:marTop w:val="0"/>
          <w:marBottom w:val="0"/>
          <w:divBdr>
            <w:top w:val="none" w:sz="0" w:space="0" w:color="auto"/>
            <w:left w:val="none" w:sz="0" w:space="0" w:color="auto"/>
            <w:bottom w:val="none" w:sz="0" w:space="0" w:color="auto"/>
            <w:right w:val="none" w:sz="0" w:space="0" w:color="auto"/>
          </w:divBdr>
        </w:div>
        <w:div w:id="2064211098">
          <w:marLeft w:val="0"/>
          <w:marRight w:val="0"/>
          <w:marTop w:val="0"/>
          <w:marBottom w:val="0"/>
          <w:divBdr>
            <w:top w:val="none" w:sz="0" w:space="0" w:color="auto"/>
            <w:left w:val="none" w:sz="0" w:space="0" w:color="auto"/>
            <w:bottom w:val="none" w:sz="0" w:space="0" w:color="auto"/>
            <w:right w:val="none" w:sz="0" w:space="0" w:color="auto"/>
          </w:divBdr>
        </w:div>
      </w:divsChild>
    </w:div>
    <w:div w:id="314064546">
      <w:bodyDiv w:val="1"/>
      <w:marLeft w:val="0"/>
      <w:marRight w:val="0"/>
      <w:marTop w:val="0"/>
      <w:marBottom w:val="0"/>
      <w:divBdr>
        <w:top w:val="none" w:sz="0" w:space="0" w:color="auto"/>
        <w:left w:val="none" w:sz="0" w:space="0" w:color="auto"/>
        <w:bottom w:val="none" w:sz="0" w:space="0" w:color="auto"/>
        <w:right w:val="none" w:sz="0" w:space="0" w:color="auto"/>
      </w:divBdr>
    </w:div>
    <w:div w:id="334966478">
      <w:bodyDiv w:val="1"/>
      <w:marLeft w:val="0"/>
      <w:marRight w:val="0"/>
      <w:marTop w:val="0"/>
      <w:marBottom w:val="0"/>
      <w:divBdr>
        <w:top w:val="none" w:sz="0" w:space="0" w:color="auto"/>
        <w:left w:val="none" w:sz="0" w:space="0" w:color="auto"/>
        <w:bottom w:val="none" w:sz="0" w:space="0" w:color="auto"/>
        <w:right w:val="none" w:sz="0" w:space="0" w:color="auto"/>
      </w:divBdr>
    </w:div>
    <w:div w:id="350183340">
      <w:bodyDiv w:val="1"/>
      <w:marLeft w:val="0"/>
      <w:marRight w:val="0"/>
      <w:marTop w:val="0"/>
      <w:marBottom w:val="0"/>
      <w:divBdr>
        <w:top w:val="none" w:sz="0" w:space="0" w:color="auto"/>
        <w:left w:val="none" w:sz="0" w:space="0" w:color="auto"/>
        <w:bottom w:val="none" w:sz="0" w:space="0" w:color="auto"/>
        <w:right w:val="none" w:sz="0" w:space="0" w:color="auto"/>
      </w:divBdr>
    </w:div>
    <w:div w:id="367532830">
      <w:bodyDiv w:val="1"/>
      <w:marLeft w:val="0"/>
      <w:marRight w:val="0"/>
      <w:marTop w:val="0"/>
      <w:marBottom w:val="0"/>
      <w:divBdr>
        <w:top w:val="none" w:sz="0" w:space="0" w:color="auto"/>
        <w:left w:val="none" w:sz="0" w:space="0" w:color="auto"/>
        <w:bottom w:val="none" w:sz="0" w:space="0" w:color="auto"/>
        <w:right w:val="none" w:sz="0" w:space="0" w:color="auto"/>
      </w:divBdr>
      <w:divsChild>
        <w:div w:id="899292930">
          <w:marLeft w:val="0"/>
          <w:marRight w:val="0"/>
          <w:marTop w:val="0"/>
          <w:marBottom w:val="0"/>
          <w:divBdr>
            <w:top w:val="none" w:sz="0" w:space="0" w:color="auto"/>
            <w:left w:val="none" w:sz="0" w:space="0" w:color="auto"/>
            <w:bottom w:val="none" w:sz="0" w:space="0" w:color="auto"/>
            <w:right w:val="none" w:sz="0" w:space="0" w:color="auto"/>
          </w:divBdr>
        </w:div>
        <w:div w:id="1156414851">
          <w:marLeft w:val="0"/>
          <w:marRight w:val="0"/>
          <w:marTop w:val="0"/>
          <w:marBottom w:val="0"/>
          <w:divBdr>
            <w:top w:val="none" w:sz="0" w:space="0" w:color="auto"/>
            <w:left w:val="none" w:sz="0" w:space="0" w:color="auto"/>
            <w:bottom w:val="none" w:sz="0" w:space="0" w:color="auto"/>
            <w:right w:val="none" w:sz="0" w:space="0" w:color="auto"/>
          </w:divBdr>
        </w:div>
        <w:div w:id="1659269143">
          <w:marLeft w:val="0"/>
          <w:marRight w:val="0"/>
          <w:marTop w:val="0"/>
          <w:marBottom w:val="0"/>
          <w:divBdr>
            <w:top w:val="none" w:sz="0" w:space="0" w:color="auto"/>
            <w:left w:val="none" w:sz="0" w:space="0" w:color="auto"/>
            <w:bottom w:val="none" w:sz="0" w:space="0" w:color="auto"/>
            <w:right w:val="none" w:sz="0" w:space="0" w:color="auto"/>
          </w:divBdr>
        </w:div>
      </w:divsChild>
    </w:div>
    <w:div w:id="562059881">
      <w:bodyDiv w:val="1"/>
      <w:marLeft w:val="0"/>
      <w:marRight w:val="0"/>
      <w:marTop w:val="0"/>
      <w:marBottom w:val="0"/>
      <w:divBdr>
        <w:top w:val="none" w:sz="0" w:space="0" w:color="auto"/>
        <w:left w:val="none" w:sz="0" w:space="0" w:color="auto"/>
        <w:bottom w:val="none" w:sz="0" w:space="0" w:color="auto"/>
        <w:right w:val="none" w:sz="0" w:space="0" w:color="auto"/>
      </w:divBdr>
    </w:div>
    <w:div w:id="673848380">
      <w:bodyDiv w:val="1"/>
      <w:marLeft w:val="0"/>
      <w:marRight w:val="0"/>
      <w:marTop w:val="0"/>
      <w:marBottom w:val="0"/>
      <w:divBdr>
        <w:top w:val="none" w:sz="0" w:space="0" w:color="auto"/>
        <w:left w:val="none" w:sz="0" w:space="0" w:color="auto"/>
        <w:bottom w:val="none" w:sz="0" w:space="0" w:color="auto"/>
        <w:right w:val="none" w:sz="0" w:space="0" w:color="auto"/>
      </w:divBdr>
    </w:div>
    <w:div w:id="859587333">
      <w:bodyDiv w:val="1"/>
      <w:marLeft w:val="0"/>
      <w:marRight w:val="0"/>
      <w:marTop w:val="0"/>
      <w:marBottom w:val="0"/>
      <w:divBdr>
        <w:top w:val="none" w:sz="0" w:space="0" w:color="auto"/>
        <w:left w:val="none" w:sz="0" w:space="0" w:color="auto"/>
        <w:bottom w:val="none" w:sz="0" w:space="0" w:color="auto"/>
        <w:right w:val="none" w:sz="0" w:space="0" w:color="auto"/>
      </w:divBdr>
    </w:div>
    <w:div w:id="1048409140">
      <w:bodyDiv w:val="1"/>
      <w:marLeft w:val="0"/>
      <w:marRight w:val="0"/>
      <w:marTop w:val="0"/>
      <w:marBottom w:val="0"/>
      <w:divBdr>
        <w:top w:val="none" w:sz="0" w:space="0" w:color="auto"/>
        <w:left w:val="none" w:sz="0" w:space="0" w:color="auto"/>
        <w:bottom w:val="none" w:sz="0" w:space="0" w:color="auto"/>
        <w:right w:val="none" w:sz="0" w:space="0" w:color="auto"/>
      </w:divBdr>
    </w:div>
    <w:div w:id="1275868788">
      <w:bodyDiv w:val="1"/>
      <w:marLeft w:val="0"/>
      <w:marRight w:val="0"/>
      <w:marTop w:val="0"/>
      <w:marBottom w:val="0"/>
      <w:divBdr>
        <w:top w:val="none" w:sz="0" w:space="0" w:color="auto"/>
        <w:left w:val="none" w:sz="0" w:space="0" w:color="auto"/>
        <w:bottom w:val="none" w:sz="0" w:space="0" w:color="auto"/>
        <w:right w:val="none" w:sz="0" w:space="0" w:color="auto"/>
      </w:divBdr>
    </w:div>
    <w:div w:id="1435127737">
      <w:bodyDiv w:val="1"/>
      <w:marLeft w:val="0"/>
      <w:marRight w:val="0"/>
      <w:marTop w:val="0"/>
      <w:marBottom w:val="0"/>
      <w:divBdr>
        <w:top w:val="none" w:sz="0" w:space="0" w:color="auto"/>
        <w:left w:val="none" w:sz="0" w:space="0" w:color="auto"/>
        <w:bottom w:val="none" w:sz="0" w:space="0" w:color="auto"/>
        <w:right w:val="none" w:sz="0" w:space="0" w:color="auto"/>
      </w:divBdr>
    </w:div>
    <w:div w:id="1497529551">
      <w:bodyDiv w:val="1"/>
      <w:marLeft w:val="0"/>
      <w:marRight w:val="0"/>
      <w:marTop w:val="0"/>
      <w:marBottom w:val="0"/>
      <w:divBdr>
        <w:top w:val="none" w:sz="0" w:space="0" w:color="auto"/>
        <w:left w:val="none" w:sz="0" w:space="0" w:color="auto"/>
        <w:bottom w:val="none" w:sz="0" w:space="0" w:color="auto"/>
        <w:right w:val="none" w:sz="0" w:space="0" w:color="auto"/>
      </w:divBdr>
    </w:div>
    <w:div w:id="1532451062">
      <w:bodyDiv w:val="1"/>
      <w:marLeft w:val="0"/>
      <w:marRight w:val="0"/>
      <w:marTop w:val="0"/>
      <w:marBottom w:val="0"/>
      <w:divBdr>
        <w:top w:val="none" w:sz="0" w:space="0" w:color="auto"/>
        <w:left w:val="none" w:sz="0" w:space="0" w:color="auto"/>
        <w:bottom w:val="none" w:sz="0" w:space="0" w:color="auto"/>
        <w:right w:val="none" w:sz="0" w:space="0" w:color="auto"/>
      </w:divBdr>
    </w:div>
    <w:div w:id="1538278282">
      <w:bodyDiv w:val="1"/>
      <w:marLeft w:val="0"/>
      <w:marRight w:val="0"/>
      <w:marTop w:val="0"/>
      <w:marBottom w:val="0"/>
      <w:divBdr>
        <w:top w:val="none" w:sz="0" w:space="0" w:color="auto"/>
        <w:left w:val="none" w:sz="0" w:space="0" w:color="auto"/>
        <w:bottom w:val="none" w:sz="0" w:space="0" w:color="auto"/>
        <w:right w:val="none" w:sz="0" w:space="0" w:color="auto"/>
      </w:divBdr>
    </w:div>
    <w:div w:id="1628974315">
      <w:bodyDiv w:val="1"/>
      <w:marLeft w:val="0"/>
      <w:marRight w:val="0"/>
      <w:marTop w:val="0"/>
      <w:marBottom w:val="0"/>
      <w:divBdr>
        <w:top w:val="none" w:sz="0" w:space="0" w:color="auto"/>
        <w:left w:val="none" w:sz="0" w:space="0" w:color="auto"/>
        <w:bottom w:val="none" w:sz="0" w:space="0" w:color="auto"/>
        <w:right w:val="none" w:sz="0" w:space="0" w:color="auto"/>
      </w:divBdr>
    </w:div>
    <w:div w:id="1659112050">
      <w:bodyDiv w:val="1"/>
      <w:marLeft w:val="0"/>
      <w:marRight w:val="0"/>
      <w:marTop w:val="0"/>
      <w:marBottom w:val="0"/>
      <w:divBdr>
        <w:top w:val="none" w:sz="0" w:space="0" w:color="auto"/>
        <w:left w:val="none" w:sz="0" w:space="0" w:color="auto"/>
        <w:bottom w:val="none" w:sz="0" w:space="0" w:color="auto"/>
        <w:right w:val="none" w:sz="0" w:space="0" w:color="auto"/>
      </w:divBdr>
    </w:div>
    <w:div w:id="1742288604">
      <w:bodyDiv w:val="1"/>
      <w:marLeft w:val="0"/>
      <w:marRight w:val="0"/>
      <w:marTop w:val="0"/>
      <w:marBottom w:val="0"/>
      <w:divBdr>
        <w:top w:val="none" w:sz="0" w:space="0" w:color="auto"/>
        <w:left w:val="none" w:sz="0" w:space="0" w:color="auto"/>
        <w:bottom w:val="none" w:sz="0" w:space="0" w:color="auto"/>
        <w:right w:val="none" w:sz="0" w:space="0" w:color="auto"/>
      </w:divBdr>
    </w:div>
    <w:div w:id="1886065953">
      <w:bodyDiv w:val="1"/>
      <w:marLeft w:val="0"/>
      <w:marRight w:val="0"/>
      <w:marTop w:val="0"/>
      <w:marBottom w:val="0"/>
      <w:divBdr>
        <w:top w:val="none" w:sz="0" w:space="0" w:color="auto"/>
        <w:left w:val="none" w:sz="0" w:space="0" w:color="auto"/>
        <w:bottom w:val="none" w:sz="0" w:space="0" w:color="auto"/>
        <w:right w:val="none" w:sz="0" w:space="0" w:color="auto"/>
      </w:divBdr>
    </w:div>
    <w:div w:id="1965383287">
      <w:bodyDiv w:val="1"/>
      <w:marLeft w:val="0"/>
      <w:marRight w:val="0"/>
      <w:marTop w:val="0"/>
      <w:marBottom w:val="0"/>
      <w:divBdr>
        <w:top w:val="none" w:sz="0" w:space="0" w:color="auto"/>
        <w:left w:val="none" w:sz="0" w:space="0" w:color="auto"/>
        <w:bottom w:val="none" w:sz="0" w:space="0" w:color="auto"/>
        <w:right w:val="none" w:sz="0" w:space="0" w:color="auto"/>
      </w:divBdr>
    </w:div>
    <w:div w:id="2011908209">
      <w:bodyDiv w:val="1"/>
      <w:marLeft w:val="0"/>
      <w:marRight w:val="0"/>
      <w:marTop w:val="0"/>
      <w:marBottom w:val="0"/>
      <w:divBdr>
        <w:top w:val="none" w:sz="0" w:space="0" w:color="auto"/>
        <w:left w:val="none" w:sz="0" w:space="0" w:color="auto"/>
        <w:bottom w:val="none" w:sz="0" w:space="0" w:color="auto"/>
        <w:right w:val="none" w:sz="0" w:space="0" w:color="auto"/>
      </w:divBdr>
    </w:div>
    <w:div w:id="20242813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s://taxboard.gov.au/current-activities/voluntary-tax-transparency-code" TargetMode="External"/><Relationship Id="rId21" Type="http://schemas.openxmlformats.org/officeDocument/2006/relationships/header" Target="header5.xml"/><Relationship Id="rId42" Type="http://schemas.openxmlformats.org/officeDocument/2006/relationships/image" Target="media/image15.png"/><Relationship Id="rId47" Type="http://schemas.openxmlformats.org/officeDocument/2006/relationships/image" Target="media/image20.svg"/><Relationship Id="rId63" Type="http://schemas.openxmlformats.org/officeDocument/2006/relationships/diagramQuickStyle" Target="diagrams/quickStyle3.xml"/><Relationship Id="rId6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https://www.ato.gov.au/businesses-and-organisations/corporate-tax-measures-and-assurance/large-business/corporate-tax-transparency/voluntary-tax-transparency-code" TargetMode="Externa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5.png"/><Relationship Id="rId37" Type="http://schemas.openxmlformats.org/officeDocument/2006/relationships/image" Target="media/image10.svg"/><Relationship Id="rId40" Type="http://schemas.openxmlformats.org/officeDocument/2006/relationships/image" Target="media/image13.png"/><Relationship Id="rId45" Type="http://schemas.openxmlformats.org/officeDocument/2006/relationships/image" Target="media/image18.svg"/><Relationship Id="rId53" Type="http://schemas.microsoft.com/office/2007/relationships/diagramDrawing" Target="diagrams/drawing1.xml"/><Relationship Id="rId58" Type="http://schemas.openxmlformats.org/officeDocument/2006/relationships/diagramColors" Target="diagrams/colors2.xml"/><Relationship Id="rId66"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diagramData" Target="diagrams/data3.xml"/><Relationship Id="rId19" Type="http://schemas.openxmlformats.org/officeDocument/2006/relationships/hyperlink" Target="mailto:media@treasury.gov.au" TargetMode="External"/><Relationship Id="rId14" Type="http://schemas.openxmlformats.org/officeDocument/2006/relationships/hyperlink" Target="https://creativecommons.org/licenses/by/4.0/" TargetMode="External"/><Relationship Id="rId22" Type="http://schemas.openxmlformats.org/officeDocument/2006/relationships/footer" Target="footer4.xml"/><Relationship Id="rId27" Type="http://schemas.openxmlformats.org/officeDocument/2006/relationships/hyperlink" Target="mailto:taxboard@treasury.gov.au" TargetMode="External"/><Relationship Id="rId30" Type="http://schemas.openxmlformats.org/officeDocument/2006/relationships/image" Target="media/image3.png"/><Relationship Id="rId35" Type="http://schemas.openxmlformats.org/officeDocument/2006/relationships/image" Target="media/image8.jpeg"/><Relationship Id="rId43" Type="http://schemas.openxmlformats.org/officeDocument/2006/relationships/image" Target="media/image16.svg"/><Relationship Id="rId48" Type="http://schemas.openxmlformats.org/officeDocument/2006/relationships/image" Target="media/image21.png"/><Relationship Id="rId56" Type="http://schemas.openxmlformats.org/officeDocument/2006/relationships/diagramLayout" Target="diagrams/layout2.xml"/><Relationship Id="rId64" Type="http://schemas.openxmlformats.org/officeDocument/2006/relationships/diagramColors" Target="diagrams/colors3.xml"/><Relationship Id="rId69" Type="http://schemas.openxmlformats.org/officeDocument/2006/relationships/footer" Target="footer8.xml"/><Relationship Id="rId8" Type="http://schemas.openxmlformats.org/officeDocument/2006/relationships/header" Target="header1.xml"/><Relationship Id="rId51" Type="http://schemas.openxmlformats.org/officeDocument/2006/relationships/diagramQuickStyle" Target="diagrams/quickStyle1.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5" Type="http://schemas.openxmlformats.org/officeDocument/2006/relationships/footer" Target="footer6.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microsoft.com/office/2007/relationships/diagramDrawing" Target="diagrams/drawing2.xml"/><Relationship Id="rId67" Type="http://schemas.openxmlformats.org/officeDocument/2006/relationships/header" Target="header8.xml"/><Relationship Id="rId20" Type="http://schemas.openxmlformats.org/officeDocument/2006/relationships/header" Target="header4.xml"/><Relationship Id="rId41" Type="http://schemas.openxmlformats.org/officeDocument/2006/relationships/image" Target="media/image14.svg"/><Relationship Id="rId54" Type="http://schemas.openxmlformats.org/officeDocument/2006/relationships/image" Target="media/image22.png"/><Relationship Id="rId62" Type="http://schemas.openxmlformats.org/officeDocument/2006/relationships/diagramLayout" Target="diagrams/layout3.xml"/><Relationship Id="rId7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eativecommons.org/licenses/by/4.0/legalcode" TargetMode="External"/><Relationship Id="rId23" Type="http://schemas.openxmlformats.org/officeDocument/2006/relationships/footer" Target="footer5.xml"/><Relationship Id="rId28" Type="http://schemas.openxmlformats.org/officeDocument/2006/relationships/hyperlink" Target="mailto:ttc@ato.gov.au" TargetMode="External"/><Relationship Id="rId36" Type="http://schemas.openxmlformats.org/officeDocument/2006/relationships/image" Target="media/image9.png"/><Relationship Id="rId49" Type="http://schemas.openxmlformats.org/officeDocument/2006/relationships/diagramData" Target="diagrams/data1.xml"/><Relationship Id="rId57" Type="http://schemas.openxmlformats.org/officeDocument/2006/relationships/diagramQuickStyle" Target="diagrams/quickStyle2.xml"/><Relationship Id="rId10"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diagramColors" Target="diagrams/colors1.xml"/><Relationship Id="rId60" Type="http://schemas.openxmlformats.org/officeDocument/2006/relationships/image" Target="media/image23.png"/><Relationship Id="rId65" Type="http://schemas.microsoft.com/office/2007/relationships/diagramDrawing" Target="diagrams/drawing3.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39" Type="http://schemas.openxmlformats.org/officeDocument/2006/relationships/image" Target="media/image12.svg"/><Relationship Id="rId34" Type="http://schemas.openxmlformats.org/officeDocument/2006/relationships/image" Target="media/image7.svg"/><Relationship Id="rId50" Type="http://schemas.openxmlformats.org/officeDocument/2006/relationships/diagramLayout" Target="diagrams/layout1.xml"/><Relationship Id="rId55" Type="http://schemas.openxmlformats.org/officeDocument/2006/relationships/diagramData" Target="diagrams/data2.xml"/><Relationship Id="rId7" Type="http://schemas.openxmlformats.org/officeDocument/2006/relationships/image" Target="media/image1.png"/><Relationship Id="rId71"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aasb.gov.au/admin/file/content106/c2/TaxTransparency_sub_1_EY.pdf" TargetMode="External"/><Relationship Id="rId2" Type="http://schemas.openxmlformats.org/officeDocument/2006/relationships/hyperlink" Target="https://www.aasb.gov.au/admin/file/content106/c2/TaxTransparency_sub_1_EY.pdf" TargetMode="External"/><Relationship Id="rId1" Type="http://schemas.openxmlformats.org/officeDocument/2006/relationships/hyperlink" Target="https://www.aasb.gov.au/admin/file/content106/c2/TaxTransparency_sub_1_EY.pdf" TargetMode="External"/><Relationship Id="rId6" Type="http://schemas.openxmlformats.org/officeDocument/2006/relationships/hyperlink" Target="https://www.aasb.gov.au/admin/file/content106/c2/TaxTransparency_sub_1_EY.pdf" TargetMode="External"/><Relationship Id="rId5" Type="http://schemas.openxmlformats.org/officeDocument/2006/relationships/hyperlink" Target="https://www.aasb.gov.au/admin/file/content106/c2/TaxTransparency_sub_1_EY.pdf" TargetMode="External"/><Relationship Id="rId4" Type="http://schemas.openxmlformats.org/officeDocument/2006/relationships/hyperlink" Target="https://www.aasb.gov.au/admin/file/content106/c2/TaxTransparency_sub_1_EY.pdf"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24.png"/></Relationships>
</file>

<file path=word/_rels/header8.xml.rels><?xml version="1.0" encoding="UTF-8" standalone="yes"?>
<Relationships xmlns="http://schemas.openxmlformats.org/package/2006/relationships"><Relationship Id="rId1" Type="http://schemas.openxmlformats.org/officeDocument/2006/relationships/image" Target="media/image2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0796D2-1373-477E-95DE-AC028D6AAE11}" type="doc">
      <dgm:prSet loTypeId="urn:microsoft.com/office/officeart/2005/8/layout/pyramid1" loCatId="pyramid" qsTypeId="urn:microsoft.com/office/officeart/2005/8/quickstyle/simple1" qsCatId="simple" csTypeId="urn:microsoft.com/office/officeart/2005/8/colors/accent1_2" csCatId="accent1" phldr="1"/>
      <dgm:spPr/>
    </dgm:pt>
    <dgm:pt modelId="{A4D1EF47-6626-4A39-85A8-7463E4FF9EE9}">
      <dgm:prSet phldrT="[Text]" custT="1"/>
      <dgm:spPr>
        <a:ln>
          <a:noFill/>
        </a:ln>
      </dgm:spPr>
      <dgm:t>
        <a:bodyPr/>
        <a:lstStyle/>
        <a:p>
          <a:r>
            <a:rPr lang="en-AU" sz="1000">
              <a:solidFill>
                <a:schemeClr val="bg1"/>
              </a:solidFill>
            </a:rPr>
            <a:t>JAS Ltd Board</a:t>
          </a:r>
        </a:p>
      </dgm:t>
    </dgm:pt>
    <dgm:pt modelId="{B574F948-C027-4AC2-B3B1-13D25AB87E33}" type="parTrans" cxnId="{5DF5C7BF-A5D5-40DC-8F5B-080867757659}">
      <dgm:prSet/>
      <dgm:spPr/>
      <dgm:t>
        <a:bodyPr/>
        <a:lstStyle/>
        <a:p>
          <a:endParaRPr lang="en-AU" sz="1000"/>
        </a:p>
      </dgm:t>
    </dgm:pt>
    <dgm:pt modelId="{A68F9931-38F5-410F-852E-2280CE287D7C}" type="sibTrans" cxnId="{5DF5C7BF-A5D5-40DC-8F5B-080867757659}">
      <dgm:prSet/>
      <dgm:spPr/>
      <dgm:t>
        <a:bodyPr/>
        <a:lstStyle/>
        <a:p>
          <a:endParaRPr lang="en-AU" sz="1000"/>
        </a:p>
      </dgm:t>
    </dgm:pt>
    <dgm:pt modelId="{383F1C15-A75F-4ED7-84A9-32B4FDF0895A}">
      <dgm:prSet phldrT="[Text]" custT="1"/>
      <dgm:spPr>
        <a:solidFill>
          <a:srgbClr val="1F346F"/>
        </a:solidFill>
      </dgm:spPr>
      <dgm:t>
        <a:bodyPr/>
        <a:lstStyle/>
        <a:p>
          <a:r>
            <a:rPr lang="en-AU" sz="1000">
              <a:solidFill>
                <a:schemeClr val="bg1"/>
              </a:solidFill>
            </a:rPr>
            <a:t>Audit and Risk Committee </a:t>
          </a:r>
        </a:p>
      </dgm:t>
    </dgm:pt>
    <dgm:pt modelId="{280BAD71-F80C-4B92-9748-B39A7B74E3F5}" type="parTrans" cxnId="{8462A096-BAB4-412B-95C7-9CFF03B0B8CE}">
      <dgm:prSet/>
      <dgm:spPr/>
      <dgm:t>
        <a:bodyPr/>
        <a:lstStyle/>
        <a:p>
          <a:endParaRPr lang="en-AU" sz="1000"/>
        </a:p>
      </dgm:t>
    </dgm:pt>
    <dgm:pt modelId="{32E5742F-C646-4F11-AB91-C05B5EE652D4}" type="sibTrans" cxnId="{8462A096-BAB4-412B-95C7-9CFF03B0B8CE}">
      <dgm:prSet/>
      <dgm:spPr/>
      <dgm:t>
        <a:bodyPr/>
        <a:lstStyle/>
        <a:p>
          <a:endParaRPr lang="en-AU" sz="1000"/>
        </a:p>
      </dgm:t>
    </dgm:pt>
    <dgm:pt modelId="{045FC64F-FE20-452E-9659-513A810809A8}">
      <dgm:prSet phldrT="[Text]" custT="1"/>
      <dgm:spPr>
        <a:solidFill>
          <a:srgbClr val="2C499C"/>
        </a:solidFill>
      </dgm:spPr>
      <dgm:t>
        <a:bodyPr/>
        <a:lstStyle/>
        <a:p>
          <a:r>
            <a:rPr lang="en-AU" sz="1000">
              <a:solidFill>
                <a:schemeClr val="bg1"/>
              </a:solidFill>
            </a:rPr>
            <a:t>Chief Financial Officer </a:t>
          </a:r>
        </a:p>
      </dgm:t>
    </dgm:pt>
    <dgm:pt modelId="{6167F170-DFF3-40FC-A74D-326C8C8B4A05}" type="parTrans" cxnId="{37F7E195-638B-4368-AFF3-5FC3B1132919}">
      <dgm:prSet/>
      <dgm:spPr/>
      <dgm:t>
        <a:bodyPr/>
        <a:lstStyle/>
        <a:p>
          <a:endParaRPr lang="en-AU" sz="1000"/>
        </a:p>
      </dgm:t>
    </dgm:pt>
    <dgm:pt modelId="{90EF98CA-AB9B-4A85-BA2E-22F6F9045B39}" type="sibTrans" cxnId="{37F7E195-638B-4368-AFF3-5FC3B1132919}">
      <dgm:prSet/>
      <dgm:spPr/>
      <dgm:t>
        <a:bodyPr/>
        <a:lstStyle/>
        <a:p>
          <a:endParaRPr lang="en-AU" sz="1000"/>
        </a:p>
      </dgm:t>
    </dgm:pt>
    <dgm:pt modelId="{F34ACE33-E373-4A3D-A7A7-1CF110A56860}">
      <dgm:prSet phldrT="[Text]" custT="1"/>
      <dgm:spPr>
        <a:solidFill>
          <a:srgbClr val="395EC7"/>
        </a:solidFill>
      </dgm:spPr>
      <dgm:t>
        <a:bodyPr/>
        <a:lstStyle/>
        <a:p>
          <a:r>
            <a:rPr lang="en-AU" sz="1000">
              <a:solidFill>
                <a:schemeClr val="bg1"/>
              </a:solidFill>
            </a:rPr>
            <a:t>Executive General Manager, Finance Gorup</a:t>
          </a:r>
        </a:p>
      </dgm:t>
    </dgm:pt>
    <dgm:pt modelId="{E40269E2-5B60-4401-942D-5060FC5F9002}" type="parTrans" cxnId="{D9945953-8DE9-43C2-B9C6-C8B7D36AED94}">
      <dgm:prSet/>
      <dgm:spPr/>
      <dgm:t>
        <a:bodyPr/>
        <a:lstStyle/>
        <a:p>
          <a:endParaRPr lang="en-AU" sz="1000"/>
        </a:p>
      </dgm:t>
    </dgm:pt>
    <dgm:pt modelId="{CFCEC97F-3AD2-42B1-AB6D-9642220067ED}" type="sibTrans" cxnId="{D9945953-8DE9-43C2-B9C6-C8B7D36AED94}">
      <dgm:prSet/>
      <dgm:spPr/>
      <dgm:t>
        <a:bodyPr/>
        <a:lstStyle/>
        <a:p>
          <a:endParaRPr lang="en-AU" sz="1000"/>
        </a:p>
      </dgm:t>
    </dgm:pt>
    <dgm:pt modelId="{7D7AFE00-7E14-40A7-B26B-A1A3EC29D318}">
      <dgm:prSet phldrT="[Text]" custT="1"/>
      <dgm:spPr>
        <a:solidFill>
          <a:srgbClr val="738DD7"/>
        </a:solidFill>
      </dgm:spPr>
      <dgm:t>
        <a:bodyPr/>
        <a:lstStyle/>
        <a:p>
          <a:r>
            <a:rPr lang="en-AU" sz="1000">
              <a:solidFill>
                <a:schemeClr val="bg1"/>
              </a:solidFill>
            </a:rPr>
            <a:t>JAS Ltd Group Tax Manager </a:t>
          </a:r>
        </a:p>
      </dgm:t>
    </dgm:pt>
    <dgm:pt modelId="{D83B519C-E888-4F99-90D8-CDDF66E9BCA6}" type="parTrans" cxnId="{5E39D4C4-880D-415E-A6A8-5DC37E961AFF}">
      <dgm:prSet/>
      <dgm:spPr/>
      <dgm:t>
        <a:bodyPr/>
        <a:lstStyle/>
        <a:p>
          <a:endParaRPr lang="en-AU" sz="1000"/>
        </a:p>
      </dgm:t>
    </dgm:pt>
    <dgm:pt modelId="{01AC504D-1962-406C-B5C7-993D96254E77}" type="sibTrans" cxnId="{5E39D4C4-880D-415E-A6A8-5DC37E961AFF}">
      <dgm:prSet/>
      <dgm:spPr/>
      <dgm:t>
        <a:bodyPr/>
        <a:lstStyle/>
        <a:p>
          <a:endParaRPr lang="en-AU" sz="1000"/>
        </a:p>
      </dgm:t>
    </dgm:pt>
    <dgm:pt modelId="{9C612211-042E-4193-A21A-FC5D7A577DB0}">
      <dgm:prSet phldrT="[Text]" custT="1"/>
      <dgm:spPr>
        <a:solidFill>
          <a:srgbClr val="B4C2EA"/>
        </a:solidFill>
      </dgm:spPr>
      <dgm:t>
        <a:bodyPr/>
        <a:lstStyle/>
        <a:p>
          <a:r>
            <a:rPr lang="en-AU" sz="1000">
              <a:solidFill>
                <a:schemeClr val="bg1"/>
              </a:solidFill>
            </a:rPr>
            <a:t>Tax Business Unit</a:t>
          </a:r>
        </a:p>
      </dgm:t>
    </dgm:pt>
    <dgm:pt modelId="{C299E5F7-C68A-45A1-99E4-23499EC84FF2}" type="parTrans" cxnId="{46F187EA-E0A0-4E86-911E-3AB70BF2A6E5}">
      <dgm:prSet/>
      <dgm:spPr/>
      <dgm:t>
        <a:bodyPr/>
        <a:lstStyle/>
        <a:p>
          <a:endParaRPr lang="en-AU" sz="1000"/>
        </a:p>
      </dgm:t>
    </dgm:pt>
    <dgm:pt modelId="{43B9B8D3-6BF8-4EF1-A69F-C20392A7A5A6}" type="sibTrans" cxnId="{46F187EA-E0A0-4E86-911E-3AB70BF2A6E5}">
      <dgm:prSet/>
      <dgm:spPr/>
      <dgm:t>
        <a:bodyPr/>
        <a:lstStyle/>
        <a:p>
          <a:endParaRPr lang="en-AU" sz="1000"/>
        </a:p>
      </dgm:t>
    </dgm:pt>
    <dgm:pt modelId="{B09A364C-82EC-40DE-8EB2-77FFF835CD33}">
      <dgm:prSet phldrT="[Text]" custT="1"/>
      <dgm:spPr/>
      <dgm:t>
        <a:bodyPr/>
        <a:lstStyle/>
        <a:p>
          <a:endParaRPr lang="en-AU" sz="1000">
            <a:solidFill>
              <a:schemeClr val="bg1"/>
            </a:solidFill>
          </a:endParaRPr>
        </a:p>
      </dgm:t>
    </dgm:pt>
    <dgm:pt modelId="{E7F310A9-774C-4DD9-8DAB-65CBBC06E8D6}" type="parTrans" cxnId="{320304F4-72FB-4A08-91C8-A0E39498D0C7}">
      <dgm:prSet/>
      <dgm:spPr/>
      <dgm:t>
        <a:bodyPr/>
        <a:lstStyle/>
        <a:p>
          <a:endParaRPr lang="en-AU" sz="1000"/>
        </a:p>
      </dgm:t>
    </dgm:pt>
    <dgm:pt modelId="{6AEB120D-FD68-46AB-91D0-C87060572DC5}" type="sibTrans" cxnId="{320304F4-72FB-4A08-91C8-A0E39498D0C7}">
      <dgm:prSet/>
      <dgm:spPr/>
      <dgm:t>
        <a:bodyPr/>
        <a:lstStyle/>
        <a:p>
          <a:endParaRPr lang="en-AU" sz="1000"/>
        </a:p>
      </dgm:t>
    </dgm:pt>
    <dgm:pt modelId="{D8298592-666C-44CF-8D8B-59C7AF0E2042}" type="pres">
      <dgm:prSet presAssocID="{4B0796D2-1373-477E-95DE-AC028D6AAE11}" presName="Name0" presStyleCnt="0">
        <dgm:presLayoutVars>
          <dgm:dir/>
          <dgm:animLvl val="lvl"/>
          <dgm:resizeHandles val="exact"/>
        </dgm:presLayoutVars>
      </dgm:prSet>
      <dgm:spPr/>
    </dgm:pt>
    <dgm:pt modelId="{0F767810-D6CB-468D-912F-281946E2EA43}" type="pres">
      <dgm:prSet presAssocID="{B09A364C-82EC-40DE-8EB2-77FFF835CD33}" presName="Name8" presStyleCnt="0"/>
      <dgm:spPr/>
    </dgm:pt>
    <dgm:pt modelId="{A92DBA8A-5E3C-41A4-9A96-8235CE8833C5}" type="pres">
      <dgm:prSet presAssocID="{B09A364C-82EC-40DE-8EB2-77FFF835CD33}" presName="level" presStyleLbl="node1" presStyleIdx="0" presStyleCnt="7" custScaleX="105934">
        <dgm:presLayoutVars>
          <dgm:chMax val="1"/>
          <dgm:bulletEnabled val="1"/>
        </dgm:presLayoutVars>
      </dgm:prSet>
      <dgm:spPr/>
    </dgm:pt>
    <dgm:pt modelId="{36CE00B7-EE96-449F-A5B9-C776EF649691}" type="pres">
      <dgm:prSet presAssocID="{B09A364C-82EC-40DE-8EB2-77FFF835CD33}" presName="levelTx" presStyleLbl="revTx" presStyleIdx="0" presStyleCnt="0">
        <dgm:presLayoutVars>
          <dgm:chMax val="1"/>
          <dgm:bulletEnabled val="1"/>
        </dgm:presLayoutVars>
      </dgm:prSet>
      <dgm:spPr/>
    </dgm:pt>
    <dgm:pt modelId="{147AA5B7-6A93-4D44-B52F-B7070C3A6B55}" type="pres">
      <dgm:prSet presAssocID="{A4D1EF47-6626-4A39-85A8-7463E4FF9EE9}" presName="Name8" presStyleCnt="0"/>
      <dgm:spPr/>
    </dgm:pt>
    <dgm:pt modelId="{2D92CA01-4569-44BA-86EA-79D170259D20}" type="pres">
      <dgm:prSet presAssocID="{A4D1EF47-6626-4A39-85A8-7463E4FF9EE9}" presName="level" presStyleLbl="node1" presStyleIdx="1" presStyleCnt="7">
        <dgm:presLayoutVars>
          <dgm:chMax val="1"/>
          <dgm:bulletEnabled val="1"/>
        </dgm:presLayoutVars>
      </dgm:prSet>
      <dgm:spPr/>
    </dgm:pt>
    <dgm:pt modelId="{590B8C59-7A48-40C0-BB34-58684E727339}" type="pres">
      <dgm:prSet presAssocID="{A4D1EF47-6626-4A39-85A8-7463E4FF9EE9}" presName="levelTx" presStyleLbl="revTx" presStyleIdx="0" presStyleCnt="0">
        <dgm:presLayoutVars>
          <dgm:chMax val="1"/>
          <dgm:bulletEnabled val="1"/>
        </dgm:presLayoutVars>
      </dgm:prSet>
      <dgm:spPr/>
    </dgm:pt>
    <dgm:pt modelId="{5C8025CC-A956-4849-8661-602AD6EB2225}" type="pres">
      <dgm:prSet presAssocID="{383F1C15-A75F-4ED7-84A9-32B4FDF0895A}" presName="Name8" presStyleCnt="0"/>
      <dgm:spPr/>
    </dgm:pt>
    <dgm:pt modelId="{7F289631-2DA8-4C93-AE6D-D694D43DBC97}" type="pres">
      <dgm:prSet presAssocID="{383F1C15-A75F-4ED7-84A9-32B4FDF0895A}" presName="level" presStyleLbl="node1" presStyleIdx="2" presStyleCnt="7">
        <dgm:presLayoutVars>
          <dgm:chMax val="1"/>
          <dgm:bulletEnabled val="1"/>
        </dgm:presLayoutVars>
      </dgm:prSet>
      <dgm:spPr/>
    </dgm:pt>
    <dgm:pt modelId="{A222A788-4DD7-48D3-A17A-376887E243F1}" type="pres">
      <dgm:prSet presAssocID="{383F1C15-A75F-4ED7-84A9-32B4FDF0895A}" presName="levelTx" presStyleLbl="revTx" presStyleIdx="0" presStyleCnt="0">
        <dgm:presLayoutVars>
          <dgm:chMax val="1"/>
          <dgm:bulletEnabled val="1"/>
        </dgm:presLayoutVars>
      </dgm:prSet>
      <dgm:spPr/>
    </dgm:pt>
    <dgm:pt modelId="{FE6208E3-ABFB-45F6-8507-286C44F9D2EC}" type="pres">
      <dgm:prSet presAssocID="{045FC64F-FE20-452E-9659-513A810809A8}" presName="Name8" presStyleCnt="0"/>
      <dgm:spPr/>
    </dgm:pt>
    <dgm:pt modelId="{FC2F0E19-C806-4A5A-8300-D36FF670ADAD}" type="pres">
      <dgm:prSet presAssocID="{045FC64F-FE20-452E-9659-513A810809A8}" presName="level" presStyleLbl="node1" presStyleIdx="3" presStyleCnt="7">
        <dgm:presLayoutVars>
          <dgm:chMax val="1"/>
          <dgm:bulletEnabled val="1"/>
        </dgm:presLayoutVars>
      </dgm:prSet>
      <dgm:spPr/>
    </dgm:pt>
    <dgm:pt modelId="{B0AEF96C-C5C3-4774-B791-90D458425D97}" type="pres">
      <dgm:prSet presAssocID="{045FC64F-FE20-452E-9659-513A810809A8}" presName="levelTx" presStyleLbl="revTx" presStyleIdx="0" presStyleCnt="0">
        <dgm:presLayoutVars>
          <dgm:chMax val="1"/>
          <dgm:bulletEnabled val="1"/>
        </dgm:presLayoutVars>
      </dgm:prSet>
      <dgm:spPr/>
    </dgm:pt>
    <dgm:pt modelId="{0B325424-0081-468E-A504-F6A1633214AD}" type="pres">
      <dgm:prSet presAssocID="{F34ACE33-E373-4A3D-A7A7-1CF110A56860}" presName="Name8" presStyleCnt="0"/>
      <dgm:spPr/>
    </dgm:pt>
    <dgm:pt modelId="{E11C4073-41CD-4844-B361-D29A72E8675D}" type="pres">
      <dgm:prSet presAssocID="{F34ACE33-E373-4A3D-A7A7-1CF110A56860}" presName="level" presStyleLbl="node1" presStyleIdx="4" presStyleCnt="7">
        <dgm:presLayoutVars>
          <dgm:chMax val="1"/>
          <dgm:bulletEnabled val="1"/>
        </dgm:presLayoutVars>
      </dgm:prSet>
      <dgm:spPr/>
    </dgm:pt>
    <dgm:pt modelId="{2ECA5F0B-2648-46A5-BDDD-E4F32E43F925}" type="pres">
      <dgm:prSet presAssocID="{F34ACE33-E373-4A3D-A7A7-1CF110A56860}" presName="levelTx" presStyleLbl="revTx" presStyleIdx="0" presStyleCnt="0">
        <dgm:presLayoutVars>
          <dgm:chMax val="1"/>
          <dgm:bulletEnabled val="1"/>
        </dgm:presLayoutVars>
      </dgm:prSet>
      <dgm:spPr/>
    </dgm:pt>
    <dgm:pt modelId="{30617392-2CC7-49BA-920D-36E585B835C5}" type="pres">
      <dgm:prSet presAssocID="{7D7AFE00-7E14-40A7-B26B-A1A3EC29D318}" presName="Name8" presStyleCnt="0"/>
      <dgm:spPr/>
    </dgm:pt>
    <dgm:pt modelId="{C0CA973F-CAEC-44CE-AADC-AB8B43569C76}" type="pres">
      <dgm:prSet presAssocID="{7D7AFE00-7E14-40A7-B26B-A1A3EC29D318}" presName="level" presStyleLbl="node1" presStyleIdx="5" presStyleCnt="7">
        <dgm:presLayoutVars>
          <dgm:chMax val="1"/>
          <dgm:bulletEnabled val="1"/>
        </dgm:presLayoutVars>
      </dgm:prSet>
      <dgm:spPr/>
    </dgm:pt>
    <dgm:pt modelId="{27470F53-01C1-4C3E-8068-65496D9E0AA7}" type="pres">
      <dgm:prSet presAssocID="{7D7AFE00-7E14-40A7-B26B-A1A3EC29D318}" presName="levelTx" presStyleLbl="revTx" presStyleIdx="0" presStyleCnt="0">
        <dgm:presLayoutVars>
          <dgm:chMax val="1"/>
          <dgm:bulletEnabled val="1"/>
        </dgm:presLayoutVars>
      </dgm:prSet>
      <dgm:spPr/>
    </dgm:pt>
    <dgm:pt modelId="{C91A4894-C7C3-4431-8824-3E94E86B7D2E}" type="pres">
      <dgm:prSet presAssocID="{9C612211-042E-4193-A21A-FC5D7A577DB0}" presName="Name8" presStyleCnt="0"/>
      <dgm:spPr/>
    </dgm:pt>
    <dgm:pt modelId="{4C5EA17A-7C60-4317-BCDF-8D3DC596538E}" type="pres">
      <dgm:prSet presAssocID="{9C612211-042E-4193-A21A-FC5D7A577DB0}" presName="level" presStyleLbl="node1" presStyleIdx="6" presStyleCnt="7" custLinFactY="15884" custLinFactNeighborX="7120" custLinFactNeighborY="100000">
        <dgm:presLayoutVars>
          <dgm:chMax val="1"/>
          <dgm:bulletEnabled val="1"/>
        </dgm:presLayoutVars>
      </dgm:prSet>
      <dgm:spPr/>
    </dgm:pt>
    <dgm:pt modelId="{57555C49-15D5-41EC-94FA-06AE48DEEFF1}" type="pres">
      <dgm:prSet presAssocID="{9C612211-042E-4193-A21A-FC5D7A577DB0}" presName="levelTx" presStyleLbl="revTx" presStyleIdx="0" presStyleCnt="0">
        <dgm:presLayoutVars>
          <dgm:chMax val="1"/>
          <dgm:bulletEnabled val="1"/>
        </dgm:presLayoutVars>
      </dgm:prSet>
      <dgm:spPr/>
    </dgm:pt>
  </dgm:ptLst>
  <dgm:cxnLst>
    <dgm:cxn modelId="{1923160C-9622-42F8-9D6E-D1E8D7A32C47}" type="presOf" srcId="{383F1C15-A75F-4ED7-84A9-32B4FDF0895A}" destId="{7F289631-2DA8-4C93-AE6D-D694D43DBC97}" srcOrd="0" destOrd="0" presId="urn:microsoft.com/office/officeart/2005/8/layout/pyramid1"/>
    <dgm:cxn modelId="{0E3E3426-89C4-4D92-A24B-271B0E0FD6DB}" type="presOf" srcId="{F34ACE33-E373-4A3D-A7A7-1CF110A56860}" destId="{2ECA5F0B-2648-46A5-BDDD-E4F32E43F925}" srcOrd="1" destOrd="0" presId="urn:microsoft.com/office/officeart/2005/8/layout/pyramid1"/>
    <dgm:cxn modelId="{52001769-481A-497A-8848-784C4A9967D8}" type="presOf" srcId="{045FC64F-FE20-452E-9659-513A810809A8}" destId="{FC2F0E19-C806-4A5A-8300-D36FF670ADAD}" srcOrd="0" destOrd="0" presId="urn:microsoft.com/office/officeart/2005/8/layout/pyramid1"/>
    <dgm:cxn modelId="{38863970-5B28-4680-9FE1-B79050B36307}" type="presOf" srcId="{A4D1EF47-6626-4A39-85A8-7463E4FF9EE9}" destId="{2D92CA01-4569-44BA-86EA-79D170259D20}" srcOrd="0" destOrd="0" presId="urn:microsoft.com/office/officeart/2005/8/layout/pyramid1"/>
    <dgm:cxn modelId="{216FC672-96FC-4B56-AA9E-6E26AC68BC7E}" type="presOf" srcId="{7D7AFE00-7E14-40A7-B26B-A1A3EC29D318}" destId="{C0CA973F-CAEC-44CE-AADC-AB8B43569C76}" srcOrd="0" destOrd="0" presId="urn:microsoft.com/office/officeart/2005/8/layout/pyramid1"/>
    <dgm:cxn modelId="{D9945953-8DE9-43C2-B9C6-C8B7D36AED94}" srcId="{4B0796D2-1373-477E-95DE-AC028D6AAE11}" destId="{F34ACE33-E373-4A3D-A7A7-1CF110A56860}" srcOrd="4" destOrd="0" parTransId="{E40269E2-5B60-4401-942D-5060FC5F9002}" sibTransId="{CFCEC97F-3AD2-42B1-AB6D-9642220067ED}"/>
    <dgm:cxn modelId="{63EAE155-CFC4-474C-B0D9-9646E3207284}" type="presOf" srcId="{383F1C15-A75F-4ED7-84A9-32B4FDF0895A}" destId="{A222A788-4DD7-48D3-A17A-376887E243F1}" srcOrd="1" destOrd="0" presId="urn:microsoft.com/office/officeart/2005/8/layout/pyramid1"/>
    <dgm:cxn modelId="{ED8F238B-5C06-42AD-80AB-EFC78400F1D4}" type="presOf" srcId="{045FC64F-FE20-452E-9659-513A810809A8}" destId="{B0AEF96C-C5C3-4774-B791-90D458425D97}" srcOrd="1" destOrd="0" presId="urn:microsoft.com/office/officeart/2005/8/layout/pyramid1"/>
    <dgm:cxn modelId="{37F7E195-638B-4368-AFF3-5FC3B1132919}" srcId="{4B0796D2-1373-477E-95DE-AC028D6AAE11}" destId="{045FC64F-FE20-452E-9659-513A810809A8}" srcOrd="3" destOrd="0" parTransId="{6167F170-DFF3-40FC-A74D-326C8C8B4A05}" sibTransId="{90EF98CA-AB9B-4A85-BA2E-22F6F9045B39}"/>
    <dgm:cxn modelId="{8462A096-BAB4-412B-95C7-9CFF03B0B8CE}" srcId="{4B0796D2-1373-477E-95DE-AC028D6AAE11}" destId="{383F1C15-A75F-4ED7-84A9-32B4FDF0895A}" srcOrd="2" destOrd="0" parTransId="{280BAD71-F80C-4B92-9748-B39A7B74E3F5}" sibTransId="{32E5742F-C646-4F11-AB91-C05B5EE652D4}"/>
    <dgm:cxn modelId="{E97540AF-E3F0-489A-A5D2-C7E7645E2B0D}" type="presOf" srcId="{4B0796D2-1373-477E-95DE-AC028D6AAE11}" destId="{D8298592-666C-44CF-8D8B-59C7AF0E2042}" srcOrd="0" destOrd="0" presId="urn:microsoft.com/office/officeart/2005/8/layout/pyramid1"/>
    <dgm:cxn modelId="{5DF5C7BF-A5D5-40DC-8F5B-080867757659}" srcId="{4B0796D2-1373-477E-95DE-AC028D6AAE11}" destId="{A4D1EF47-6626-4A39-85A8-7463E4FF9EE9}" srcOrd="1" destOrd="0" parTransId="{B574F948-C027-4AC2-B3B1-13D25AB87E33}" sibTransId="{A68F9931-38F5-410F-852E-2280CE287D7C}"/>
    <dgm:cxn modelId="{5E39D4C4-880D-415E-A6A8-5DC37E961AFF}" srcId="{4B0796D2-1373-477E-95DE-AC028D6AAE11}" destId="{7D7AFE00-7E14-40A7-B26B-A1A3EC29D318}" srcOrd="5" destOrd="0" parTransId="{D83B519C-E888-4F99-90D8-CDDF66E9BCA6}" sibTransId="{01AC504D-1962-406C-B5C7-993D96254E77}"/>
    <dgm:cxn modelId="{53312ED1-6D87-480D-9DC4-0B84A3D92F8E}" type="presOf" srcId="{7D7AFE00-7E14-40A7-B26B-A1A3EC29D318}" destId="{27470F53-01C1-4C3E-8068-65496D9E0AA7}" srcOrd="1" destOrd="0" presId="urn:microsoft.com/office/officeart/2005/8/layout/pyramid1"/>
    <dgm:cxn modelId="{23024CDB-D4D6-4A74-8EB0-A6945BE2924F}" type="presOf" srcId="{F34ACE33-E373-4A3D-A7A7-1CF110A56860}" destId="{E11C4073-41CD-4844-B361-D29A72E8675D}" srcOrd="0" destOrd="0" presId="urn:microsoft.com/office/officeart/2005/8/layout/pyramid1"/>
    <dgm:cxn modelId="{7B5C57DB-FB6A-4683-A85C-ECB29ADC3702}" type="presOf" srcId="{9C612211-042E-4193-A21A-FC5D7A577DB0}" destId="{4C5EA17A-7C60-4317-BCDF-8D3DC596538E}" srcOrd="0" destOrd="0" presId="urn:microsoft.com/office/officeart/2005/8/layout/pyramid1"/>
    <dgm:cxn modelId="{2B74F9E4-2ECE-4942-9B3B-3EBCCD044CA7}" type="presOf" srcId="{9C612211-042E-4193-A21A-FC5D7A577DB0}" destId="{57555C49-15D5-41EC-94FA-06AE48DEEFF1}" srcOrd="1" destOrd="0" presId="urn:microsoft.com/office/officeart/2005/8/layout/pyramid1"/>
    <dgm:cxn modelId="{EB6E2FEA-955C-48AA-8C9B-ED3F26449A35}" type="presOf" srcId="{B09A364C-82EC-40DE-8EB2-77FFF835CD33}" destId="{A92DBA8A-5E3C-41A4-9A96-8235CE8833C5}" srcOrd="0" destOrd="0" presId="urn:microsoft.com/office/officeart/2005/8/layout/pyramid1"/>
    <dgm:cxn modelId="{46F187EA-E0A0-4E86-911E-3AB70BF2A6E5}" srcId="{4B0796D2-1373-477E-95DE-AC028D6AAE11}" destId="{9C612211-042E-4193-A21A-FC5D7A577DB0}" srcOrd="6" destOrd="0" parTransId="{C299E5F7-C68A-45A1-99E4-23499EC84FF2}" sibTransId="{43B9B8D3-6BF8-4EF1-A69F-C20392A7A5A6}"/>
    <dgm:cxn modelId="{320304F4-72FB-4A08-91C8-A0E39498D0C7}" srcId="{4B0796D2-1373-477E-95DE-AC028D6AAE11}" destId="{B09A364C-82EC-40DE-8EB2-77FFF835CD33}" srcOrd="0" destOrd="0" parTransId="{E7F310A9-774C-4DD9-8DAB-65CBBC06E8D6}" sibTransId="{6AEB120D-FD68-46AB-91D0-C87060572DC5}"/>
    <dgm:cxn modelId="{ED58DDF9-1D2A-4EA8-A703-E141194BD71F}" type="presOf" srcId="{B09A364C-82EC-40DE-8EB2-77FFF835CD33}" destId="{36CE00B7-EE96-449F-A5B9-C776EF649691}" srcOrd="1" destOrd="0" presId="urn:microsoft.com/office/officeart/2005/8/layout/pyramid1"/>
    <dgm:cxn modelId="{2C6178FF-2AE7-4AC8-8434-85C092359960}" type="presOf" srcId="{A4D1EF47-6626-4A39-85A8-7463E4FF9EE9}" destId="{590B8C59-7A48-40C0-BB34-58684E727339}" srcOrd="1" destOrd="0" presId="urn:microsoft.com/office/officeart/2005/8/layout/pyramid1"/>
    <dgm:cxn modelId="{5C3B2C1E-97F2-40F0-A0E4-666D685F3311}" type="presParOf" srcId="{D8298592-666C-44CF-8D8B-59C7AF0E2042}" destId="{0F767810-D6CB-468D-912F-281946E2EA43}" srcOrd="0" destOrd="0" presId="urn:microsoft.com/office/officeart/2005/8/layout/pyramid1"/>
    <dgm:cxn modelId="{A634D66F-CCDC-4CB4-9AD1-FCFAEE8B5212}" type="presParOf" srcId="{0F767810-D6CB-468D-912F-281946E2EA43}" destId="{A92DBA8A-5E3C-41A4-9A96-8235CE8833C5}" srcOrd="0" destOrd="0" presId="urn:microsoft.com/office/officeart/2005/8/layout/pyramid1"/>
    <dgm:cxn modelId="{42BFC30E-DDC3-4782-9329-588342F21050}" type="presParOf" srcId="{0F767810-D6CB-468D-912F-281946E2EA43}" destId="{36CE00B7-EE96-449F-A5B9-C776EF649691}" srcOrd="1" destOrd="0" presId="urn:microsoft.com/office/officeart/2005/8/layout/pyramid1"/>
    <dgm:cxn modelId="{111E3DC5-0F74-4A70-9965-4F535C908701}" type="presParOf" srcId="{D8298592-666C-44CF-8D8B-59C7AF0E2042}" destId="{147AA5B7-6A93-4D44-B52F-B7070C3A6B55}" srcOrd="1" destOrd="0" presId="urn:microsoft.com/office/officeart/2005/8/layout/pyramid1"/>
    <dgm:cxn modelId="{02EA9186-B5A8-4C7F-902B-4F97B957CA00}" type="presParOf" srcId="{147AA5B7-6A93-4D44-B52F-B7070C3A6B55}" destId="{2D92CA01-4569-44BA-86EA-79D170259D20}" srcOrd="0" destOrd="0" presId="urn:microsoft.com/office/officeart/2005/8/layout/pyramid1"/>
    <dgm:cxn modelId="{C21CEA8B-65AE-498B-AA1D-59FE68B8BAA4}" type="presParOf" srcId="{147AA5B7-6A93-4D44-B52F-B7070C3A6B55}" destId="{590B8C59-7A48-40C0-BB34-58684E727339}" srcOrd="1" destOrd="0" presId="urn:microsoft.com/office/officeart/2005/8/layout/pyramid1"/>
    <dgm:cxn modelId="{278B45B4-FC4A-42F2-821A-C64572F76F7C}" type="presParOf" srcId="{D8298592-666C-44CF-8D8B-59C7AF0E2042}" destId="{5C8025CC-A956-4849-8661-602AD6EB2225}" srcOrd="2" destOrd="0" presId="urn:microsoft.com/office/officeart/2005/8/layout/pyramid1"/>
    <dgm:cxn modelId="{C6C71B37-63A8-4789-9F8E-DA6C9CD065D2}" type="presParOf" srcId="{5C8025CC-A956-4849-8661-602AD6EB2225}" destId="{7F289631-2DA8-4C93-AE6D-D694D43DBC97}" srcOrd="0" destOrd="0" presId="urn:microsoft.com/office/officeart/2005/8/layout/pyramid1"/>
    <dgm:cxn modelId="{8A23832F-5499-4BFA-9E37-FA1D4C041C9F}" type="presParOf" srcId="{5C8025CC-A956-4849-8661-602AD6EB2225}" destId="{A222A788-4DD7-48D3-A17A-376887E243F1}" srcOrd="1" destOrd="0" presId="urn:microsoft.com/office/officeart/2005/8/layout/pyramid1"/>
    <dgm:cxn modelId="{EA3AC363-FCEA-4BDA-8210-6393F5AFB75E}" type="presParOf" srcId="{D8298592-666C-44CF-8D8B-59C7AF0E2042}" destId="{FE6208E3-ABFB-45F6-8507-286C44F9D2EC}" srcOrd="3" destOrd="0" presId="urn:microsoft.com/office/officeart/2005/8/layout/pyramid1"/>
    <dgm:cxn modelId="{C3EA5687-0CF3-4CAD-89A6-63BC5C2B3CD5}" type="presParOf" srcId="{FE6208E3-ABFB-45F6-8507-286C44F9D2EC}" destId="{FC2F0E19-C806-4A5A-8300-D36FF670ADAD}" srcOrd="0" destOrd="0" presId="urn:microsoft.com/office/officeart/2005/8/layout/pyramid1"/>
    <dgm:cxn modelId="{4756C351-9F32-4581-8285-5CB6EC196F0B}" type="presParOf" srcId="{FE6208E3-ABFB-45F6-8507-286C44F9D2EC}" destId="{B0AEF96C-C5C3-4774-B791-90D458425D97}" srcOrd="1" destOrd="0" presId="urn:microsoft.com/office/officeart/2005/8/layout/pyramid1"/>
    <dgm:cxn modelId="{27143AD6-8AEB-44F7-9D70-09A725548A1A}" type="presParOf" srcId="{D8298592-666C-44CF-8D8B-59C7AF0E2042}" destId="{0B325424-0081-468E-A504-F6A1633214AD}" srcOrd="4" destOrd="0" presId="urn:microsoft.com/office/officeart/2005/8/layout/pyramid1"/>
    <dgm:cxn modelId="{D5814E15-B79E-4AF5-A51B-4172A1C47986}" type="presParOf" srcId="{0B325424-0081-468E-A504-F6A1633214AD}" destId="{E11C4073-41CD-4844-B361-D29A72E8675D}" srcOrd="0" destOrd="0" presId="urn:microsoft.com/office/officeart/2005/8/layout/pyramid1"/>
    <dgm:cxn modelId="{48B42887-E3A1-4FA7-81B4-46F0EEA7933E}" type="presParOf" srcId="{0B325424-0081-468E-A504-F6A1633214AD}" destId="{2ECA5F0B-2648-46A5-BDDD-E4F32E43F925}" srcOrd="1" destOrd="0" presId="urn:microsoft.com/office/officeart/2005/8/layout/pyramid1"/>
    <dgm:cxn modelId="{A5424F08-F230-4790-80FA-0EFD9D38D088}" type="presParOf" srcId="{D8298592-666C-44CF-8D8B-59C7AF0E2042}" destId="{30617392-2CC7-49BA-920D-36E585B835C5}" srcOrd="5" destOrd="0" presId="urn:microsoft.com/office/officeart/2005/8/layout/pyramid1"/>
    <dgm:cxn modelId="{FE1647FC-8D86-444D-AD21-01C68FF0D2DD}" type="presParOf" srcId="{30617392-2CC7-49BA-920D-36E585B835C5}" destId="{C0CA973F-CAEC-44CE-AADC-AB8B43569C76}" srcOrd="0" destOrd="0" presId="urn:microsoft.com/office/officeart/2005/8/layout/pyramid1"/>
    <dgm:cxn modelId="{0F10E39C-70DE-4B16-9A81-75B3E4ACF67B}" type="presParOf" srcId="{30617392-2CC7-49BA-920D-36E585B835C5}" destId="{27470F53-01C1-4C3E-8068-65496D9E0AA7}" srcOrd="1" destOrd="0" presId="urn:microsoft.com/office/officeart/2005/8/layout/pyramid1"/>
    <dgm:cxn modelId="{9DD88CD6-6231-4BDF-8283-0691AA497895}" type="presParOf" srcId="{D8298592-666C-44CF-8D8B-59C7AF0E2042}" destId="{C91A4894-C7C3-4431-8824-3E94E86B7D2E}" srcOrd="6" destOrd="0" presId="urn:microsoft.com/office/officeart/2005/8/layout/pyramid1"/>
    <dgm:cxn modelId="{CD6DC2E8-B73F-468C-80A4-BE4F715A96C6}" type="presParOf" srcId="{C91A4894-C7C3-4431-8824-3E94E86B7D2E}" destId="{4C5EA17A-7C60-4317-BCDF-8D3DC596538E}" srcOrd="0" destOrd="0" presId="urn:microsoft.com/office/officeart/2005/8/layout/pyramid1"/>
    <dgm:cxn modelId="{00B099A8-BBF5-437D-BAA1-C74E2F1E922D}" type="presParOf" srcId="{C91A4894-C7C3-4431-8824-3E94E86B7D2E}" destId="{57555C49-15D5-41EC-94FA-06AE48DEEFF1}" srcOrd="1" destOrd="0" presId="urn:microsoft.com/office/officeart/2005/8/layout/pyramid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0B0665-86FF-4755-93F5-2CF345DDAB3B}" type="doc">
      <dgm:prSet loTypeId="urn:microsoft.com/office/officeart/2005/8/layout/chart3" loCatId="cycle" qsTypeId="urn:microsoft.com/office/officeart/2005/8/quickstyle/simple1" qsCatId="simple" csTypeId="urn:microsoft.com/office/officeart/2005/8/colors/accent2_3" csCatId="accent2" phldr="1"/>
      <dgm:spPr/>
    </dgm:pt>
    <dgm:pt modelId="{60CE796F-CD01-4D09-8868-F2A0A7A62B04}">
      <dgm:prSet phldrT="[Text]"/>
      <dgm:spPr>
        <a:solidFill>
          <a:srgbClr val="893862"/>
        </a:solidFill>
      </dgm:spPr>
      <dgm:t>
        <a:bodyPr/>
        <a:lstStyle/>
        <a:p>
          <a:r>
            <a:rPr lang="en-AU" b="1" dirty="0"/>
            <a:t>PAA Ltd</a:t>
          </a:r>
        </a:p>
      </dgm:t>
    </dgm:pt>
    <dgm:pt modelId="{DB2D8CEA-A758-49CA-9DB8-1C3C2CC7FA06}" type="parTrans" cxnId="{44A2DE2A-D4F5-4A5D-8030-03962FA877C8}">
      <dgm:prSet/>
      <dgm:spPr/>
      <dgm:t>
        <a:bodyPr/>
        <a:lstStyle/>
        <a:p>
          <a:endParaRPr lang="en-AU"/>
        </a:p>
      </dgm:t>
    </dgm:pt>
    <dgm:pt modelId="{97EA6004-217D-41A2-8889-3755AFF60D01}" type="sibTrans" cxnId="{44A2DE2A-D4F5-4A5D-8030-03962FA877C8}">
      <dgm:prSet/>
      <dgm:spPr/>
      <dgm:t>
        <a:bodyPr/>
        <a:lstStyle/>
        <a:p>
          <a:endParaRPr lang="en-AU"/>
        </a:p>
      </dgm:t>
    </dgm:pt>
    <dgm:pt modelId="{713C107E-81BC-4D82-9CE9-D707E2590BB5}">
      <dgm:prSet phldrT="[Text]"/>
      <dgm:spPr>
        <a:solidFill>
          <a:srgbClr val="893862"/>
        </a:solidFill>
      </dgm:spPr>
      <dgm:t>
        <a:bodyPr/>
        <a:lstStyle/>
        <a:p>
          <a:r>
            <a:rPr lang="en-AU" dirty="0"/>
            <a:t>PAA United States</a:t>
          </a:r>
        </a:p>
      </dgm:t>
    </dgm:pt>
    <dgm:pt modelId="{41793E9E-887E-40D6-A63A-BA4A3C339477}" type="parTrans" cxnId="{0732AF5E-407A-4E7B-954B-737D75F70A8E}">
      <dgm:prSet/>
      <dgm:spPr/>
      <dgm:t>
        <a:bodyPr/>
        <a:lstStyle/>
        <a:p>
          <a:endParaRPr lang="en-AU"/>
        </a:p>
      </dgm:t>
    </dgm:pt>
    <dgm:pt modelId="{430E70C7-B750-4E8F-846D-2C96A0CD1EFF}" type="sibTrans" cxnId="{0732AF5E-407A-4E7B-954B-737D75F70A8E}">
      <dgm:prSet/>
      <dgm:spPr/>
      <dgm:t>
        <a:bodyPr/>
        <a:lstStyle/>
        <a:p>
          <a:endParaRPr lang="en-AU"/>
        </a:p>
      </dgm:t>
    </dgm:pt>
    <dgm:pt modelId="{051D060F-7C23-4FE4-A951-BDAAF22815A1}">
      <dgm:prSet phldrT="[Text]"/>
      <dgm:spPr>
        <a:solidFill>
          <a:srgbClr val="893862"/>
        </a:solidFill>
      </dgm:spPr>
      <dgm:t>
        <a:bodyPr/>
        <a:lstStyle/>
        <a:p>
          <a:r>
            <a:rPr lang="en-AU" dirty="0"/>
            <a:t>PAA India</a:t>
          </a:r>
        </a:p>
      </dgm:t>
    </dgm:pt>
    <dgm:pt modelId="{5AFE3A70-1B3B-44FF-8C48-21A0471FCD56}" type="parTrans" cxnId="{D29650A0-9212-482B-97F1-6C59A8DE9536}">
      <dgm:prSet/>
      <dgm:spPr/>
      <dgm:t>
        <a:bodyPr/>
        <a:lstStyle/>
        <a:p>
          <a:endParaRPr lang="en-AU"/>
        </a:p>
      </dgm:t>
    </dgm:pt>
    <dgm:pt modelId="{1E18937C-5C42-4027-B500-56FE087DA6D3}" type="sibTrans" cxnId="{D29650A0-9212-482B-97F1-6C59A8DE9536}">
      <dgm:prSet/>
      <dgm:spPr/>
      <dgm:t>
        <a:bodyPr/>
        <a:lstStyle/>
        <a:p>
          <a:endParaRPr lang="en-AU"/>
        </a:p>
      </dgm:t>
    </dgm:pt>
    <dgm:pt modelId="{31E5BC07-BA46-456A-AF12-82576C3E25DC}">
      <dgm:prSet phldrT="[Text]"/>
      <dgm:spPr>
        <a:solidFill>
          <a:srgbClr val="893862"/>
        </a:solidFill>
      </dgm:spPr>
      <dgm:t>
        <a:bodyPr/>
        <a:lstStyle/>
        <a:p>
          <a:r>
            <a:rPr lang="en-AU" dirty="0"/>
            <a:t>PAA China</a:t>
          </a:r>
        </a:p>
      </dgm:t>
    </dgm:pt>
    <dgm:pt modelId="{18D047DF-093E-4E6D-AE68-ECFB9C2183F9}" type="parTrans" cxnId="{C67F8B98-0B54-47C2-83F0-6D308621D1DA}">
      <dgm:prSet/>
      <dgm:spPr/>
      <dgm:t>
        <a:bodyPr/>
        <a:lstStyle/>
        <a:p>
          <a:endParaRPr lang="en-AU"/>
        </a:p>
      </dgm:t>
    </dgm:pt>
    <dgm:pt modelId="{D0F13997-9B4A-49EF-B7F9-EBD8224A4EA6}" type="sibTrans" cxnId="{C67F8B98-0B54-47C2-83F0-6D308621D1DA}">
      <dgm:prSet/>
      <dgm:spPr/>
      <dgm:t>
        <a:bodyPr/>
        <a:lstStyle/>
        <a:p>
          <a:endParaRPr lang="en-AU"/>
        </a:p>
      </dgm:t>
    </dgm:pt>
    <dgm:pt modelId="{3ACF0EB2-EF15-4258-9336-CCC151A9B24F}" type="pres">
      <dgm:prSet presAssocID="{730B0665-86FF-4755-93F5-2CF345DDAB3B}" presName="compositeShape" presStyleCnt="0">
        <dgm:presLayoutVars>
          <dgm:chMax val="7"/>
          <dgm:dir/>
          <dgm:resizeHandles val="exact"/>
        </dgm:presLayoutVars>
      </dgm:prSet>
      <dgm:spPr/>
    </dgm:pt>
    <dgm:pt modelId="{E6B8E219-6F1D-48A4-9C07-0A91C16E21E9}" type="pres">
      <dgm:prSet presAssocID="{730B0665-86FF-4755-93F5-2CF345DDAB3B}" presName="wedge1" presStyleLbl="node1" presStyleIdx="0" presStyleCnt="4"/>
      <dgm:spPr/>
    </dgm:pt>
    <dgm:pt modelId="{E5DD5DB1-C2E1-4478-9D3D-E664B52360F2}" type="pres">
      <dgm:prSet presAssocID="{730B0665-86FF-4755-93F5-2CF345DDAB3B}" presName="wedge1Tx" presStyleLbl="node1" presStyleIdx="0" presStyleCnt="4">
        <dgm:presLayoutVars>
          <dgm:chMax val="0"/>
          <dgm:chPref val="0"/>
          <dgm:bulletEnabled val="1"/>
        </dgm:presLayoutVars>
      </dgm:prSet>
      <dgm:spPr/>
    </dgm:pt>
    <dgm:pt modelId="{8DE62ECE-3789-4D8D-8B7F-6107D137E46E}" type="pres">
      <dgm:prSet presAssocID="{730B0665-86FF-4755-93F5-2CF345DDAB3B}" presName="wedge2" presStyleLbl="node1" presStyleIdx="1" presStyleCnt="4"/>
      <dgm:spPr/>
    </dgm:pt>
    <dgm:pt modelId="{F96BCDB9-303D-4741-B4BC-B83E169F230C}" type="pres">
      <dgm:prSet presAssocID="{730B0665-86FF-4755-93F5-2CF345DDAB3B}" presName="wedge2Tx" presStyleLbl="node1" presStyleIdx="1" presStyleCnt="4">
        <dgm:presLayoutVars>
          <dgm:chMax val="0"/>
          <dgm:chPref val="0"/>
          <dgm:bulletEnabled val="1"/>
        </dgm:presLayoutVars>
      </dgm:prSet>
      <dgm:spPr/>
    </dgm:pt>
    <dgm:pt modelId="{8A6D3241-B142-456C-AC73-8EDDFA48F933}" type="pres">
      <dgm:prSet presAssocID="{730B0665-86FF-4755-93F5-2CF345DDAB3B}" presName="wedge3" presStyleLbl="node1" presStyleIdx="2" presStyleCnt="4"/>
      <dgm:spPr/>
    </dgm:pt>
    <dgm:pt modelId="{29254DDA-EFEA-4EBD-9288-FAC92DC60FDA}" type="pres">
      <dgm:prSet presAssocID="{730B0665-86FF-4755-93F5-2CF345DDAB3B}" presName="wedge3Tx" presStyleLbl="node1" presStyleIdx="2" presStyleCnt="4">
        <dgm:presLayoutVars>
          <dgm:chMax val="0"/>
          <dgm:chPref val="0"/>
          <dgm:bulletEnabled val="1"/>
        </dgm:presLayoutVars>
      </dgm:prSet>
      <dgm:spPr/>
    </dgm:pt>
    <dgm:pt modelId="{730F7321-4BD2-491F-933A-F2BD865A2A94}" type="pres">
      <dgm:prSet presAssocID="{730B0665-86FF-4755-93F5-2CF345DDAB3B}" presName="wedge4" presStyleLbl="node1" presStyleIdx="3" presStyleCnt="4"/>
      <dgm:spPr/>
    </dgm:pt>
    <dgm:pt modelId="{D9510396-048E-4B22-ADDD-BC72811DD526}" type="pres">
      <dgm:prSet presAssocID="{730B0665-86FF-4755-93F5-2CF345DDAB3B}" presName="wedge4Tx" presStyleLbl="node1" presStyleIdx="3" presStyleCnt="4">
        <dgm:presLayoutVars>
          <dgm:chMax val="0"/>
          <dgm:chPref val="0"/>
          <dgm:bulletEnabled val="1"/>
        </dgm:presLayoutVars>
      </dgm:prSet>
      <dgm:spPr/>
    </dgm:pt>
  </dgm:ptLst>
  <dgm:cxnLst>
    <dgm:cxn modelId="{587F3400-97C0-48C4-895C-8C74E0D98E81}" type="presOf" srcId="{713C107E-81BC-4D82-9CE9-D707E2590BB5}" destId="{8DE62ECE-3789-4D8D-8B7F-6107D137E46E}" srcOrd="0" destOrd="0" presId="urn:microsoft.com/office/officeart/2005/8/layout/chart3"/>
    <dgm:cxn modelId="{B00B3A1B-49EE-4F63-ABC3-4513AF040787}" type="presOf" srcId="{60CE796F-CD01-4D09-8868-F2A0A7A62B04}" destId="{E6B8E219-6F1D-48A4-9C07-0A91C16E21E9}" srcOrd="0" destOrd="0" presId="urn:microsoft.com/office/officeart/2005/8/layout/chart3"/>
    <dgm:cxn modelId="{2B897827-857E-4AEE-B3BC-2C2C247D62C9}" type="presOf" srcId="{31E5BC07-BA46-456A-AF12-82576C3E25DC}" destId="{730F7321-4BD2-491F-933A-F2BD865A2A94}" srcOrd="0" destOrd="0" presId="urn:microsoft.com/office/officeart/2005/8/layout/chart3"/>
    <dgm:cxn modelId="{44A2DE2A-D4F5-4A5D-8030-03962FA877C8}" srcId="{730B0665-86FF-4755-93F5-2CF345DDAB3B}" destId="{60CE796F-CD01-4D09-8868-F2A0A7A62B04}" srcOrd="0" destOrd="0" parTransId="{DB2D8CEA-A758-49CA-9DB8-1C3C2CC7FA06}" sibTransId="{97EA6004-217D-41A2-8889-3755AFF60D01}"/>
    <dgm:cxn modelId="{0732AF5E-407A-4E7B-954B-737D75F70A8E}" srcId="{730B0665-86FF-4755-93F5-2CF345DDAB3B}" destId="{713C107E-81BC-4D82-9CE9-D707E2590BB5}" srcOrd="1" destOrd="0" parTransId="{41793E9E-887E-40D6-A63A-BA4A3C339477}" sibTransId="{430E70C7-B750-4E8F-846D-2C96A0CD1EFF}"/>
    <dgm:cxn modelId="{1ED8D17C-8E8A-435E-8D51-7008BFD0DC19}" type="presOf" srcId="{730B0665-86FF-4755-93F5-2CF345DDAB3B}" destId="{3ACF0EB2-EF15-4258-9336-CCC151A9B24F}" srcOrd="0" destOrd="0" presId="urn:microsoft.com/office/officeart/2005/8/layout/chart3"/>
    <dgm:cxn modelId="{5BF4B182-7472-4C89-962E-637E564DE350}" type="presOf" srcId="{60CE796F-CD01-4D09-8868-F2A0A7A62B04}" destId="{E5DD5DB1-C2E1-4478-9D3D-E664B52360F2}" srcOrd="1" destOrd="0" presId="urn:microsoft.com/office/officeart/2005/8/layout/chart3"/>
    <dgm:cxn modelId="{C67F8B98-0B54-47C2-83F0-6D308621D1DA}" srcId="{730B0665-86FF-4755-93F5-2CF345DDAB3B}" destId="{31E5BC07-BA46-456A-AF12-82576C3E25DC}" srcOrd="3" destOrd="0" parTransId="{18D047DF-093E-4E6D-AE68-ECFB9C2183F9}" sibTransId="{D0F13997-9B4A-49EF-B7F9-EBD8224A4EA6}"/>
    <dgm:cxn modelId="{D29650A0-9212-482B-97F1-6C59A8DE9536}" srcId="{730B0665-86FF-4755-93F5-2CF345DDAB3B}" destId="{051D060F-7C23-4FE4-A951-BDAAF22815A1}" srcOrd="2" destOrd="0" parTransId="{5AFE3A70-1B3B-44FF-8C48-21A0471FCD56}" sibTransId="{1E18937C-5C42-4027-B500-56FE087DA6D3}"/>
    <dgm:cxn modelId="{73575AA1-A88B-4024-90AF-BB5DA0F56AB8}" type="presOf" srcId="{713C107E-81BC-4D82-9CE9-D707E2590BB5}" destId="{F96BCDB9-303D-4741-B4BC-B83E169F230C}" srcOrd="1" destOrd="0" presId="urn:microsoft.com/office/officeart/2005/8/layout/chart3"/>
    <dgm:cxn modelId="{E19354A2-242A-46CB-BCF7-F06FBA504875}" type="presOf" srcId="{31E5BC07-BA46-456A-AF12-82576C3E25DC}" destId="{D9510396-048E-4B22-ADDD-BC72811DD526}" srcOrd="1" destOrd="0" presId="urn:microsoft.com/office/officeart/2005/8/layout/chart3"/>
    <dgm:cxn modelId="{01C363D8-73A3-4D68-B189-3B8A8F8909FD}" type="presOf" srcId="{051D060F-7C23-4FE4-A951-BDAAF22815A1}" destId="{29254DDA-EFEA-4EBD-9288-FAC92DC60FDA}" srcOrd="1" destOrd="0" presId="urn:microsoft.com/office/officeart/2005/8/layout/chart3"/>
    <dgm:cxn modelId="{42EA9BF8-B841-4A7B-81AF-973DCAEE982F}" type="presOf" srcId="{051D060F-7C23-4FE4-A951-BDAAF22815A1}" destId="{8A6D3241-B142-456C-AC73-8EDDFA48F933}" srcOrd="0" destOrd="0" presId="urn:microsoft.com/office/officeart/2005/8/layout/chart3"/>
    <dgm:cxn modelId="{A6DDB0AE-65E0-4F18-94F9-64FD1026F4E2}" type="presParOf" srcId="{3ACF0EB2-EF15-4258-9336-CCC151A9B24F}" destId="{E6B8E219-6F1D-48A4-9C07-0A91C16E21E9}" srcOrd="0" destOrd="0" presId="urn:microsoft.com/office/officeart/2005/8/layout/chart3"/>
    <dgm:cxn modelId="{121F5E30-C2FF-4612-A85F-2CFDC84C40A1}" type="presParOf" srcId="{3ACF0EB2-EF15-4258-9336-CCC151A9B24F}" destId="{E5DD5DB1-C2E1-4478-9D3D-E664B52360F2}" srcOrd="1" destOrd="0" presId="urn:microsoft.com/office/officeart/2005/8/layout/chart3"/>
    <dgm:cxn modelId="{7FEE90E2-DBE0-43E2-94DE-7E822994FF0A}" type="presParOf" srcId="{3ACF0EB2-EF15-4258-9336-CCC151A9B24F}" destId="{8DE62ECE-3789-4D8D-8B7F-6107D137E46E}" srcOrd="2" destOrd="0" presId="urn:microsoft.com/office/officeart/2005/8/layout/chart3"/>
    <dgm:cxn modelId="{BD39B797-8E45-405B-80BE-E86878B682B0}" type="presParOf" srcId="{3ACF0EB2-EF15-4258-9336-CCC151A9B24F}" destId="{F96BCDB9-303D-4741-B4BC-B83E169F230C}" srcOrd="3" destOrd="0" presId="urn:microsoft.com/office/officeart/2005/8/layout/chart3"/>
    <dgm:cxn modelId="{35C826EB-1890-4AB2-BD2B-4AD143711869}" type="presParOf" srcId="{3ACF0EB2-EF15-4258-9336-CCC151A9B24F}" destId="{8A6D3241-B142-456C-AC73-8EDDFA48F933}" srcOrd="4" destOrd="0" presId="urn:microsoft.com/office/officeart/2005/8/layout/chart3"/>
    <dgm:cxn modelId="{0C88699C-548F-494E-A5C2-2EE5353D6B5E}" type="presParOf" srcId="{3ACF0EB2-EF15-4258-9336-CCC151A9B24F}" destId="{29254DDA-EFEA-4EBD-9288-FAC92DC60FDA}" srcOrd="5" destOrd="0" presId="urn:microsoft.com/office/officeart/2005/8/layout/chart3"/>
    <dgm:cxn modelId="{DE9C08A2-8B44-4076-993C-A66C9D995F49}" type="presParOf" srcId="{3ACF0EB2-EF15-4258-9336-CCC151A9B24F}" destId="{730F7321-4BD2-491F-933A-F2BD865A2A94}" srcOrd="6" destOrd="0" presId="urn:microsoft.com/office/officeart/2005/8/layout/chart3"/>
    <dgm:cxn modelId="{CE219B75-C975-4122-9486-3B49B9E48F0C}" type="presParOf" srcId="{3ACF0EB2-EF15-4258-9336-CCC151A9B24F}" destId="{D9510396-048E-4B22-ADDD-BC72811DD526}" srcOrd="7" destOrd="0" presId="urn:microsoft.com/office/officeart/2005/8/layout/chart3"/>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0796D2-1373-477E-95DE-AC028D6AAE11}" type="doc">
      <dgm:prSet loTypeId="urn:microsoft.com/office/officeart/2005/8/layout/pyramid1" loCatId="pyramid" qsTypeId="urn:microsoft.com/office/officeart/2005/8/quickstyle/simple1" qsCatId="simple" csTypeId="urn:microsoft.com/office/officeart/2005/8/colors/accent1_2" csCatId="accent1" phldr="1"/>
      <dgm:spPr/>
    </dgm:pt>
    <dgm:pt modelId="{A4D1EF47-6626-4A39-85A8-7463E4FF9EE9}">
      <dgm:prSet phldrT="[Text]" custT="1"/>
      <dgm:spPr>
        <a:solidFill>
          <a:schemeClr val="accent2">
            <a:lumMod val="75000"/>
          </a:schemeClr>
        </a:solidFill>
        <a:ln>
          <a:noFill/>
        </a:ln>
      </dgm:spPr>
      <dgm:t>
        <a:bodyPr/>
        <a:lstStyle/>
        <a:p>
          <a:r>
            <a:rPr lang="en-AU" sz="1000">
              <a:solidFill>
                <a:schemeClr val="bg1"/>
              </a:solidFill>
            </a:rPr>
            <a:t>PAA Ltd Board</a:t>
          </a:r>
        </a:p>
      </dgm:t>
    </dgm:pt>
    <dgm:pt modelId="{B574F948-C027-4AC2-B3B1-13D25AB87E33}" type="parTrans" cxnId="{5DF5C7BF-A5D5-40DC-8F5B-080867757659}">
      <dgm:prSet/>
      <dgm:spPr/>
      <dgm:t>
        <a:bodyPr/>
        <a:lstStyle/>
        <a:p>
          <a:endParaRPr lang="en-AU" sz="1000"/>
        </a:p>
      </dgm:t>
    </dgm:pt>
    <dgm:pt modelId="{A68F9931-38F5-410F-852E-2280CE287D7C}" type="sibTrans" cxnId="{5DF5C7BF-A5D5-40DC-8F5B-080867757659}">
      <dgm:prSet/>
      <dgm:spPr/>
      <dgm:t>
        <a:bodyPr/>
        <a:lstStyle/>
        <a:p>
          <a:endParaRPr lang="en-AU" sz="1000"/>
        </a:p>
      </dgm:t>
    </dgm:pt>
    <dgm:pt modelId="{383F1C15-A75F-4ED7-84A9-32B4FDF0895A}">
      <dgm:prSet phldrT="[Text]" custT="1"/>
      <dgm:spPr>
        <a:solidFill>
          <a:schemeClr val="accent2"/>
        </a:solidFill>
      </dgm:spPr>
      <dgm:t>
        <a:bodyPr/>
        <a:lstStyle/>
        <a:p>
          <a:r>
            <a:rPr lang="en-AU" sz="1000">
              <a:solidFill>
                <a:schemeClr val="bg1"/>
              </a:solidFill>
            </a:rPr>
            <a:t>Audit and Risk Committee </a:t>
          </a:r>
        </a:p>
      </dgm:t>
    </dgm:pt>
    <dgm:pt modelId="{280BAD71-F80C-4B92-9748-B39A7B74E3F5}" type="parTrans" cxnId="{8462A096-BAB4-412B-95C7-9CFF03B0B8CE}">
      <dgm:prSet/>
      <dgm:spPr/>
      <dgm:t>
        <a:bodyPr/>
        <a:lstStyle/>
        <a:p>
          <a:endParaRPr lang="en-AU" sz="1000"/>
        </a:p>
      </dgm:t>
    </dgm:pt>
    <dgm:pt modelId="{32E5742F-C646-4F11-AB91-C05B5EE652D4}" type="sibTrans" cxnId="{8462A096-BAB4-412B-95C7-9CFF03B0B8CE}">
      <dgm:prSet/>
      <dgm:spPr/>
      <dgm:t>
        <a:bodyPr/>
        <a:lstStyle/>
        <a:p>
          <a:endParaRPr lang="en-AU" sz="1000"/>
        </a:p>
      </dgm:t>
    </dgm:pt>
    <dgm:pt modelId="{045FC64F-FE20-452E-9659-513A810809A8}">
      <dgm:prSet phldrT="[Text]" custT="1"/>
      <dgm:spPr>
        <a:solidFill>
          <a:schemeClr val="accent2">
            <a:lumMod val="60000"/>
            <a:lumOff val="40000"/>
          </a:schemeClr>
        </a:solidFill>
      </dgm:spPr>
      <dgm:t>
        <a:bodyPr/>
        <a:lstStyle/>
        <a:p>
          <a:r>
            <a:rPr lang="en-AU" sz="1000">
              <a:solidFill>
                <a:schemeClr val="bg1"/>
              </a:solidFill>
            </a:rPr>
            <a:t>Chief Financial Officer </a:t>
          </a:r>
        </a:p>
      </dgm:t>
    </dgm:pt>
    <dgm:pt modelId="{6167F170-DFF3-40FC-A74D-326C8C8B4A05}" type="parTrans" cxnId="{37F7E195-638B-4368-AFF3-5FC3B1132919}">
      <dgm:prSet/>
      <dgm:spPr/>
      <dgm:t>
        <a:bodyPr/>
        <a:lstStyle/>
        <a:p>
          <a:endParaRPr lang="en-AU" sz="1000"/>
        </a:p>
      </dgm:t>
    </dgm:pt>
    <dgm:pt modelId="{90EF98CA-AB9B-4A85-BA2E-22F6F9045B39}" type="sibTrans" cxnId="{37F7E195-638B-4368-AFF3-5FC3B1132919}">
      <dgm:prSet/>
      <dgm:spPr/>
      <dgm:t>
        <a:bodyPr/>
        <a:lstStyle/>
        <a:p>
          <a:endParaRPr lang="en-AU" sz="1000"/>
        </a:p>
      </dgm:t>
    </dgm:pt>
    <dgm:pt modelId="{7D7AFE00-7E14-40A7-B26B-A1A3EC29D318}">
      <dgm:prSet phldrT="[Text]" custT="1"/>
      <dgm:spPr>
        <a:solidFill>
          <a:schemeClr val="accent2">
            <a:lumMod val="40000"/>
            <a:lumOff val="60000"/>
          </a:schemeClr>
        </a:solidFill>
      </dgm:spPr>
      <dgm:t>
        <a:bodyPr/>
        <a:lstStyle/>
        <a:p>
          <a:r>
            <a:rPr lang="en-AU" sz="1000">
              <a:solidFill>
                <a:schemeClr val="bg1"/>
              </a:solidFill>
            </a:rPr>
            <a:t>PAA Ltd Group Tax Manager </a:t>
          </a:r>
        </a:p>
      </dgm:t>
    </dgm:pt>
    <dgm:pt modelId="{D83B519C-E888-4F99-90D8-CDDF66E9BCA6}" type="parTrans" cxnId="{5E39D4C4-880D-415E-A6A8-5DC37E961AFF}">
      <dgm:prSet/>
      <dgm:spPr/>
      <dgm:t>
        <a:bodyPr/>
        <a:lstStyle/>
        <a:p>
          <a:endParaRPr lang="en-AU" sz="1000"/>
        </a:p>
      </dgm:t>
    </dgm:pt>
    <dgm:pt modelId="{01AC504D-1962-406C-B5C7-993D96254E77}" type="sibTrans" cxnId="{5E39D4C4-880D-415E-A6A8-5DC37E961AFF}">
      <dgm:prSet/>
      <dgm:spPr/>
      <dgm:t>
        <a:bodyPr/>
        <a:lstStyle/>
        <a:p>
          <a:endParaRPr lang="en-AU" sz="1000"/>
        </a:p>
      </dgm:t>
    </dgm:pt>
    <dgm:pt modelId="{9C612211-042E-4193-A21A-FC5D7A577DB0}">
      <dgm:prSet phldrT="[Text]" custT="1"/>
      <dgm:spPr>
        <a:solidFill>
          <a:schemeClr val="accent2">
            <a:lumMod val="20000"/>
            <a:lumOff val="80000"/>
          </a:schemeClr>
        </a:solidFill>
      </dgm:spPr>
      <dgm:t>
        <a:bodyPr/>
        <a:lstStyle/>
        <a:p>
          <a:r>
            <a:rPr lang="en-AU" sz="1000">
              <a:solidFill>
                <a:schemeClr val="bg1"/>
              </a:solidFill>
            </a:rPr>
            <a:t>Tax Business Group</a:t>
          </a:r>
        </a:p>
      </dgm:t>
    </dgm:pt>
    <dgm:pt modelId="{C299E5F7-C68A-45A1-99E4-23499EC84FF2}" type="parTrans" cxnId="{46F187EA-E0A0-4E86-911E-3AB70BF2A6E5}">
      <dgm:prSet/>
      <dgm:spPr/>
      <dgm:t>
        <a:bodyPr/>
        <a:lstStyle/>
        <a:p>
          <a:endParaRPr lang="en-AU" sz="1000"/>
        </a:p>
      </dgm:t>
    </dgm:pt>
    <dgm:pt modelId="{43B9B8D3-6BF8-4EF1-A69F-C20392A7A5A6}" type="sibTrans" cxnId="{46F187EA-E0A0-4E86-911E-3AB70BF2A6E5}">
      <dgm:prSet/>
      <dgm:spPr/>
      <dgm:t>
        <a:bodyPr/>
        <a:lstStyle/>
        <a:p>
          <a:endParaRPr lang="en-AU" sz="1000"/>
        </a:p>
      </dgm:t>
    </dgm:pt>
    <dgm:pt modelId="{B09A364C-82EC-40DE-8EB2-77FFF835CD33}">
      <dgm:prSet phldrT="[Text]" custT="1"/>
      <dgm:spPr>
        <a:solidFill>
          <a:schemeClr val="accent2">
            <a:lumMod val="75000"/>
          </a:schemeClr>
        </a:solidFill>
      </dgm:spPr>
      <dgm:t>
        <a:bodyPr/>
        <a:lstStyle/>
        <a:p>
          <a:endParaRPr lang="en-AU" sz="1000">
            <a:solidFill>
              <a:schemeClr val="bg1"/>
            </a:solidFill>
          </a:endParaRPr>
        </a:p>
      </dgm:t>
    </dgm:pt>
    <dgm:pt modelId="{E7F310A9-774C-4DD9-8DAB-65CBBC06E8D6}" type="parTrans" cxnId="{320304F4-72FB-4A08-91C8-A0E39498D0C7}">
      <dgm:prSet/>
      <dgm:spPr/>
      <dgm:t>
        <a:bodyPr/>
        <a:lstStyle/>
        <a:p>
          <a:endParaRPr lang="en-AU" sz="1000"/>
        </a:p>
      </dgm:t>
    </dgm:pt>
    <dgm:pt modelId="{6AEB120D-FD68-46AB-91D0-C87060572DC5}" type="sibTrans" cxnId="{320304F4-72FB-4A08-91C8-A0E39498D0C7}">
      <dgm:prSet/>
      <dgm:spPr/>
      <dgm:t>
        <a:bodyPr/>
        <a:lstStyle/>
        <a:p>
          <a:endParaRPr lang="en-AU" sz="1000"/>
        </a:p>
      </dgm:t>
    </dgm:pt>
    <dgm:pt modelId="{D8298592-666C-44CF-8D8B-59C7AF0E2042}" type="pres">
      <dgm:prSet presAssocID="{4B0796D2-1373-477E-95DE-AC028D6AAE11}" presName="Name0" presStyleCnt="0">
        <dgm:presLayoutVars>
          <dgm:dir/>
          <dgm:animLvl val="lvl"/>
          <dgm:resizeHandles val="exact"/>
        </dgm:presLayoutVars>
      </dgm:prSet>
      <dgm:spPr/>
    </dgm:pt>
    <dgm:pt modelId="{0F767810-D6CB-468D-912F-281946E2EA43}" type="pres">
      <dgm:prSet presAssocID="{B09A364C-82EC-40DE-8EB2-77FFF835CD33}" presName="Name8" presStyleCnt="0"/>
      <dgm:spPr/>
    </dgm:pt>
    <dgm:pt modelId="{A92DBA8A-5E3C-41A4-9A96-8235CE8833C5}" type="pres">
      <dgm:prSet presAssocID="{B09A364C-82EC-40DE-8EB2-77FFF835CD33}" presName="level" presStyleLbl="node1" presStyleIdx="0" presStyleCnt="6" custScaleX="105045">
        <dgm:presLayoutVars>
          <dgm:chMax val="1"/>
          <dgm:bulletEnabled val="1"/>
        </dgm:presLayoutVars>
      </dgm:prSet>
      <dgm:spPr/>
    </dgm:pt>
    <dgm:pt modelId="{36CE00B7-EE96-449F-A5B9-C776EF649691}" type="pres">
      <dgm:prSet presAssocID="{B09A364C-82EC-40DE-8EB2-77FFF835CD33}" presName="levelTx" presStyleLbl="revTx" presStyleIdx="0" presStyleCnt="0">
        <dgm:presLayoutVars>
          <dgm:chMax val="1"/>
          <dgm:bulletEnabled val="1"/>
        </dgm:presLayoutVars>
      </dgm:prSet>
      <dgm:spPr/>
    </dgm:pt>
    <dgm:pt modelId="{147AA5B7-6A93-4D44-B52F-B7070C3A6B55}" type="pres">
      <dgm:prSet presAssocID="{A4D1EF47-6626-4A39-85A8-7463E4FF9EE9}" presName="Name8" presStyleCnt="0"/>
      <dgm:spPr/>
    </dgm:pt>
    <dgm:pt modelId="{2D92CA01-4569-44BA-86EA-79D170259D20}" type="pres">
      <dgm:prSet presAssocID="{A4D1EF47-6626-4A39-85A8-7463E4FF9EE9}" presName="level" presStyleLbl="node1" presStyleIdx="1" presStyleCnt="6">
        <dgm:presLayoutVars>
          <dgm:chMax val="1"/>
          <dgm:bulletEnabled val="1"/>
        </dgm:presLayoutVars>
      </dgm:prSet>
      <dgm:spPr/>
    </dgm:pt>
    <dgm:pt modelId="{590B8C59-7A48-40C0-BB34-58684E727339}" type="pres">
      <dgm:prSet presAssocID="{A4D1EF47-6626-4A39-85A8-7463E4FF9EE9}" presName="levelTx" presStyleLbl="revTx" presStyleIdx="0" presStyleCnt="0">
        <dgm:presLayoutVars>
          <dgm:chMax val="1"/>
          <dgm:bulletEnabled val="1"/>
        </dgm:presLayoutVars>
      </dgm:prSet>
      <dgm:spPr/>
    </dgm:pt>
    <dgm:pt modelId="{5C8025CC-A956-4849-8661-602AD6EB2225}" type="pres">
      <dgm:prSet presAssocID="{383F1C15-A75F-4ED7-84A9-32B4FDF0895A}" presName="Name8" presStyleCnt="0"/>
      <dgm:spPr/>
    </dgm:pt>
    <dgm:pt modelId="{7F289631-2DA8-4C93-AE6D-D694D43DBC97}" type="pres">
      <dgm:prSet presAssocID="{383F1C15-A75F-4ED7-84A9-32B4FDF0895A}" presName="level" presStyleLbl="node1" presStyleIdx="2" presStyleCnt="6">
        <dgm:presLayoutVars>
          <dgm:chMax val="1"/>
          <dgm:bulletEnabled val="1"/>
        </dgm:presLayoutVars>
      </dgm:prSet>
      <dgm:spPr/>
    </dgm:pt>
    <dgm:pt modelId="{A222A788-4DD7-48D3-A17A-376887E243F1}" type="pres">
      <dgm:prSet presAssocID="{383F1C15-A75F-4ED7-84A9-32B4FDF0895A}" presName="levelTx" presStyleLbl="revTx" presStyleIdx="0" presStyleCnt="0">
        <dgm:presLayoutVars>
          <dgm:chMax val="1"/>
          <dgm:bulletEnabled val="1"/>
        </dgm:presLayoutVars>
      </dgm:prSet>
      <dgm:spPr/>
    </dgm:pt>
    <dgm:pt modelId="{FE6208E3-ABFB-45F6-8507-286C44F9D2EC}" type="pres">
      <dgm:prSet presAssocID="{045FC64F-FE20-452E-9659-513A810809A8}" presName="Name8" presStyleCnt="0"/>
      <dgm:spPr/>
    </dgm:pt>
    <dgm:pt modelId="{FC2F0E19-C806-4A5A-8300-D36FF670ADAD}" type="pres">
      <dgm:prSet presAssocID="{045FC64F-FE20-452E-9659-513A810809A8}" presName="level" presStyleLbl="node1" presStyleIdx="3" presStyleCnt="6">
        <dgm:presLayoutVars>
          <dgm:chMax val="1"/>
          <dgm:bulletEnabled val="1"/>
        </dgm:presLayoutVars>
      </dgm:prSet>
      <dgm:spPr/>
    </dgm:pt>
    <dgm:pt modelId="{B0AEF96C-C5C3-4774-B791-90D458425D97}" type="pres">
      <dgm:prSet presAssocID="{045FC64F-FE20-452E-9659-513A810809A8}" presName="levelTx" presStyleLbl="revTx" presStyleIdx="0" presStyleCnt="0">
        <dgm:presLayoutVars>
          <dgm:chMax val="1"/>
          <dgm:bulletEnabled val="1"/>
        </dgm:presLayoutVars>
      </dgm:prSet>
      <dgm:spPr/>
    </dgm:pt>
    <dgm:pt modelId="{30617392-2CC7-49BA-920D-36E585B835C5}" type="pres">
      <dgm:prSet presAssocID="{7D7AFE00-7E14-40A7-B26B-A1A3EC29D318}" presName="Name8" presStyleCnt="0"/>
      <dgm:spPr/>
    </dgm:pt>
    <dgm:pt modelId="{C0CA973F-CAEC-44CE-AADC-AB8B43569C76}" type="pres">
      <dgm:prSet presAssocID="{7D7AFE00-7E14-40A7-B26B-A1A3EC29D318}" presName="level" presStyleLbl="node1" presStyleIdx="4" presStyleCnt="6">
        <dgm:presLayoutVars>
          <dgm:chMax val="1"/>
          <dgm:bulletEnabled val="1"/>
        </dgm:presLayoutVars>
      </dgm:prSet>
      <dgm:spPr/>
    </dgm:pt>
    <dgm:pt modelId="{27470F53-01C1-4C3E-8068-65496D9E0AA7}" type="pres">
      <dgm:prSet presAssocID="{7D7AFE00-7E14-40A7-B26B-A1A3EC29D318}" presName="levelTx" presStyleLbl="revTx" presStyleIdx="0" presStyleCnt="0">
        <dgm:presLayoutVars>
          <dgm:chMax val="1"/>
          <dgm:bulletEnabled val="1"/>
        </dgm:presLayoutVars>
      </dgm:prSet>
      <dgm:spPr/>
    </dgm:pt>
    <dgm:pt modelId="{C91A4894-C7C3-4431-8824-3E94E86B7D2E}" type="pres">
      <dgm:prSet presAssocID="{9C612211-042E-4193-A21A-FC5D7A577DB0}" presName="Name8" presStyleCnt="0"/>
      <dgm:spPr/>
    </dgm:pt>
    <dgm:pt modelId="{4C5EA17A-7C60-4317-BCDF-8D3DC596538E}" type="pres">
      <dgm:prSet presAssocID="{9C612211-042E-4193-A21A-FC5D7A577DB0}" presName="level" presStyleLbl="node1" presStyleIdx="5" presStyleCnt="6" custLinFactNeighborX="269" custLinFactNeighborY="5763">
        <dgm:presLayoutVars>
          <dgm:chMax val="1"/>
          <dgm:bulletEnabled val="1"/>
        </dgm:presLayoutVars>
      </dgm:prSet>
      <dgm:spPr/>
    </dgm:pt>
    <dgm:pt modelId="{57555C49-15D5-41EC-94FA-06AE48DEEFF1}" type="pres">
      <dgm:prSet presAssocID="{9C612211-042E-4193-A21A-FC5D7A577DB0}" presName="levelTx" presStyleLbl="revTx" presStyleIdx="0" presStyleCnt="0">
        <dgm:presLayoutVars>
          <dgm:chMax val="1"/>
          <dgm:bulletEnabled val="1"/>
        </dgm:presLayoutVars>
      </dgm:prSet>
      <dgm:spPr/>
    </dgm:pt>
  </dgm:ptLst>
  <dgm:cxnLst>
    <dgm:cxn modelId="{1923160C-9622-42F8-9D6E-D1E8D7A32C47}" type="presOf" srcId="{383F1C15-A75F-4ED7-84A9-32B4FDF0895A}" destId="{7F289631-2DA8-4C93-AE6D-D694D43DBC97}" srcOrd="0" destOrd="0" presId="urn:microsoft.com/office/officeart/2005/8/layout/pyramid1"/>
    <dgm:cxn modelId="{52001769-481A-497A-8848-784C4A9967D8}" type="presOf" srcId="{045FC64F-FE20-452E-9659-513A810809A8}" destId="{FC2F0E19-C806-4A5A-8300-D36FF670ADAD}" srcOrd="0" destOrd="0" presId="urn:microsoft.com/office/officeart/2005/8/layout/pyramid1"/>
    <dgm:cxn modelId="{38863970-5B28-4680-9FE1-B79050B36307}" type="presOf" srcId="{A4D1EF47-6626-4A39-85A8-7463E4FF9EE9}" destId="{2D92CA01-4569-44BA-86EA-79D170259D20}" srcOrd="0" destOrd="0" presId="urn:microsoft.com/office/officeart/2005/8/layout/pyramid1"/>
    <dgm:cxn modelId="{216FC672-96FC-4B56-AA9E-6E26AC68BC7E}" type="presOf" srcId="{7D7AFE00-7E14-40A7-B26B-A1A3EC29D318}" destId="{C0CA973F-CAEC-44CE-AADC-AB8B43569C76}" srcOrd="0" destOrd="0" presId="urn:microsoft.com/office/officeart/2005/8/layout/pyramid1"/>
    <dgm:cxn modelId="{63EAE155-CFC4-474C-B0D9-9646E3207284}" type="presOf" srcId="{383F1C15-A75F-4ED7-84A9-32B4FDF0895A}" destId="{A222A788-4DD7-48D3-A17A-376887E243F1}" srcOrd="1" destOrd="0" presId="urn:microsoft.com/office/officeart/2005/8/layout/pyramid1"/>
    <dgm:cxn modelId="{ED8F238B-5C06-42AD-80AB-EFC78400F1D4}" type="presOf" srcId="{045FC64F-FE20-452E-9659-513A810809A8}" destId="{B0AEF96C-C5C3-4774-B791-90D458425D97}" srcOrd="1" destOrd="0" presId="urn:microsoft.com/office/officeart/2005/8/layout/pyramid1"/>
    <dgm:cxn modelId="{37F7E195-638B-4368-AFF3-5FC3B1132919}" srcId="{4B0796D2-1373-477E-95DE-AC028D6AAE11}" destId="{045FC64F-FE20-452E-9659-513A810809A8}" srcOrd="3" destOrd="0" parTransId="{6167F170-DFF3-40FC-A74D-326C8C8B4A05}" sibTransId="{90EF98CA-AB9B-4A85-BA2E-22F6F9045B39}"/>
    <dgm:cxn modelId="{8462A096-BAB4-412B-95C7-9CFF03B0B8CE}" srcId="{4B0796D2-1373-477E-95DE-AC028D6AAE11}" destId="{383F1C15-A75F-4ED7-84A9-32B4FDF0895A}" srcOrd="2" destOrd="0" parTransId="{280BAD71-F80C-4B92-9748-B39A7B74E3F5}" sibTransId="{32E5742F-C646-4F11-AB91-C05B5EE652D4}"/>
    <dgm:cxn modelId="{E97540AF-E3F0-489A-A5D2-C7E7645E2B0D}" type="presOf" srcId="{4B0796D2-1373-477E-95DE-AC028D6AAE11}" destId="{D8298592-666C-44CF-8D8B-59C7AF0E2042}" srcOrd="0" destOrd="0" presId="urn:microsoft.com/office/officeart/2005/8/layout/pyramid1"/>
    <dgm:cxn modelId="{5DF5C7BF-A5D5-40DC-8F5B-080867757659}" srcId="{4B0796D2-1373-477E-95DE-AC028D6AAE11}" destId="{A4D1EF47-6626-4A39-85A8-7463E4FF9EE9}" srcOrd="1" destOrd="0" parTransId="{B574F948-C027-4AC2-B3B1-13D25AB87E33}" sibTransId="{A68F9931-38F5-410F-852E-2280CE287D7C}"/>
    <dgm:cxn modelId="{5E39D4C4-880D-415E-A6A8-5DC37E961AFF}" srcId="{4B0796D2-1373-477E-95DE-AC028D6AAE11}" destId="{7D7AFE00-7E14-40A7-B26B-A1A3EC29D318}" srcOrd="4" destOrd="0" parTransId="{D83B519C-E888-4F99-90D8-CDDF66E9BCA6}" sibTransId="{01AC504D-1962-406C-B5C7-993D96254E77}"/>
    <dgm:cxn modelId="{53312ED1-6D87-480D-9DC4-0B84A3D92F8E}" type="presOf" srcId="{7D7AFE00-7E14-40A7-B26B-A1A3EC29D318}" destId="{27470F53-01C1-4C3E-8068-65496D9E0AA7}" srcOrd="1" destOrd="0" presId="urn:microsoft.com/office/officeart/2005/8/layout/pyramid1"/>
    <dgm:cxn modelId="{7B5C57DB-FB6A-4683-A85C-ECB29ADC3702}" type="presOf" srcId="{9C612211-042E-4193-A21A-FC5D7A577DB0}" destId="{4C5EA17A-7C60-4317-BCDF-8D3DC596538E}" srcOrd="0" destOrd="0" presId="urn:microsoft.com/office/officeart/2005/8/layout/pyramid1"/>
    <dgm:cxn modelId="{2B74F9E4-2ECE-4942-9B3B-3EBCCD044CA7}" type="presOf" srcId="{9C612211-042E-4193-A21A-FC5D7A577DB0}" destId="{57555C49-15D5-41EC-94FA-06AE48DEEFF1}" srcOrd="1" destOrd="0" presId="urn:microsoft.com/office/officeart/2005/8/layout/pyramid1"/>
    <dgm:cxn modelId="{EB6E2FEA-955C-48AA-8C9B-ED3F26449A35}" type="presOf" srcId="{B09A364C-82EC-40DE-8EB2-77FFF835CD33}" destId="{A92DBA8A-5E3C-41A4-9A96-8235CE8833C5}" srcOrd="0" destOrd="0" presId="urn:microsoft.com/office/officeart/2005/8/layout/pyramid1"/>
    <dgm:cxn modelId="{46F187EA-E0A0-4E86-911E-3AB70BF2A6E5}" srcId="{4B0796D2-1373-477E-95DE-AC028D6AAE11}" destId="{9C612211-042E-4193-A21A-FC5D7A577DB0}" srcOrd="5" destOrd="0" parTransId="{C299E5F7-C68A-45A1-99E4-23499EC84FF2}" sibTransId="{43B9B8D3-6BF8-4EF1-A69F-C20392A7A5A6}"/>
    <dgm:cxn modelId="{320304F4-72FB-4A08-91C8-A0E39498D0C7}" srcId="{4B0796D2-1373-477E-95DE-AC028D6AAE11}" destId="{B09A364C-82EC-40DE-8EB2-77FFF835CD33}" srcOrd="0" destOrd="0" parTransId="{E7F310A9-774C-4DD9-8DAB-65CBBC06E8D6}" sibTransId="{6AEB120D-FD68-46AB-91D0-C87060572DC5}"/>
    <dgm:cxn modelId="{ED58DDF9-1D2A-4EA8-A703-E141194BD71F}" type="presOf" srcId="{B09A364C-82EC-40DE-8EB2-77FFF835CD33}" destId="{36CE00B7-EE96-449F-A5B9-C776EF649691}" srcOrd="1" destOrd="0" presId="urn:microsoft.com/office/officeart/2005/8/layout/pyramid1"/>
    <dgm:cxn modelId="{2C6178FF-2AE7-4AC8-8434-85C092359960}" type="presOf" srcId="{A4D1EF47-6626-4A39-85A8-7463E4FF9EE9}" destId="{590B8C59-7A48-40C0-BB34-58684E727339}" srcOrd="1" destOrd="0" presId="urn:microsoft.com/office/officeart/2005/8/layout/pyramid1"/>
    <dgm:cxn modelId="{5C3B2C1E-97F2-40F0-A0E4-666D685F3311}" type="presParOf" srcId="{D8298592-666C-44CF-8D8B-59C7AF0E2042}" destId="{0F767810-D6CB-468D-912F-281946E2EA43}" srcOrd="0" destOrd="0" presId="urn:microsoft.com/office/officeart/2005/8/layout/pyramid1"/>
    <dgm:cxn modelId="{A634D66F-CCDC-4CB4-9AD1-FCFAEE8B5212}" type="presParOf" srcId="{0F767810-D6CB-468D-912F-281946E2EA43}" destId="{A92DBA8A-5E3C-41A4-9A96-8235CE8833C5}" srcOrd="0" destOrd="0" presId="urn:microsoft.com/office/officeart/2005/8/layout/pyramid1"/>
    <dgm:cxn modelId="{42BFC30E-DDC3-4782-9329-588342F21050}" type="presParOf" srcId="{0F767810-D6CB-468D-912F-281946E2EA43}" destId="{36CE00B7-EE96-449F-A5B9-C776EF649691}" srcOrd="1" destOrd="0" presId="urn:microsoft.com/office/officeart/2005/8/layout/pyramid1"/>
    <dgm:cxn modelId="{111E3DC5-0F74-4A70-9965-4F535C908701}" type="presParOf" srcId="{D8298592-666C-44CF-8D8B-59C7AF0E2042}" destId="{147AA5B7-6A93-4D44-B52F-B7070C3A6B55}" srcOrd="1" destOrd="0" presId="urn:microsoft.com/office/officeart/2005/8/layout/pyramid1"/>
    <dgm:cxn modelId="{02EA9186-B5A8-4C7F-902B-4F97B957CA00}" type="presParOf" srcId="{147AA5B7-6A93-4D44-B52F-B7070C3A6B55}" destId="{2D92CA01-4569-44BA-86EA-79D170259D20}" srcOrd="0" destOrd="0" presId="urn:microsoft.com/office/officeart/2005/8/layout/pyramid1"/>
    <dgm:cxn modelId="{C21CEA8B-65AE-498B-AA1D-59FE68B8BAA4}" type="presParOf" srcId="{147AA5B7-6A93-4D44-B52F-B7070C3A6B55}" destId="{590B8C59-7A48-40C0-BB34-58684E727339}" srcOrd="1" destOrd="0" presId="urn:microsoft.com/office/officeart/2005/8/layout/pyramid1"/>
    <dgm:cxn modelId="{278B45B4-FC4A-42F2-821A-C64572F76F7C}" type="presParOf" srcId="{D8298592-666C-44CF-8D8B-59C7AF0E2042}" destId="{5C8025CC-A956-4849-8661-602AD6EB2225}" srcOrd="2" destOrd="0" presId="urn:microsoft.com/office/officeart/2005/8/layout/pyramid1"/>
    <dgm:cxn modelId="{C6C71B37-63A8-4789-9F8E-DA6C9CD065D2}" type="presParOf" srcId="{5C8025CC-A956-4849-8661-602AD6EB2225}" destId="{7F289631-2DA8-4C93-AE6D-D694D43DBC97}" srcOrd="0" destOrd="0" presId="urn:microsoft.com/office/officeart/2005/8/layout/pyramid1"/>
    <dgm:cxn modelId="{8A23832F-5499-4BFA-9E37-FA1D4C041C9F}" type="presParOf" srcId="{5C8025CC-A956-4849-8661-602AD6EB2225}" destId="{A222A788-4DD7-48D3-A17A-376887E243F1}" srcOrd="1" destOrd="0" presId="urn:microsoft.com/office/officeart/2005/8/layout/pyramid1"/>
    <dgm:cxn modelId="{EA3AC363-FCEA-4BDA-8210-6393F5AFB75E}" type="presParOf" srcId="{D8298592-666C-44CF-8D8B-59C7AF0E2042}" destId="{FE6208E3-ABFB-45F6-8507-286C44F9D2EC}" srcOrd="3" destOrd="0" presId="urn:microsoft.com/office/officeart/2005/8/layout/pyramid1"/>
    <dgm:cxn modelId="{C3EA5687-0CF3-4CAD-89A6-63BC5C2B3CD5}" type="presParOf" srcId="{FE6208E3-ABFB-45F6-8507-286C44F9D2EC}" destId="{FC2F0E19-C806-4A5A-8300-D36FF670ADAD}" srcOrd="0" destOrd="0" presId="urn:microsoft.com/office/officeart/2005/8/layout/pyramid1"/>
    <dgm:cxn modelId="{4756C351-9F32-4581-8285-5CB6EC196F0B}" type="presParOf" srcId="{FE6208E3-ABFB-45F6-8507-286C44F9D2EC}" destId="{B0AEF96C-C5C3-4774-B791-90D458425D97}" srcOrd="1" destOrd="0" presId="urn:microsoft.com/office/officeart/2005/8/layout/pyramid1"/>
    <dgm:cxn modelId="{A5424F08-F230-4790-80FA-0EFD9D38D088}" type="presParOf" srcId="{D8298592-666C-44CF-8D8B-59C7AF0E2042}" destId="{30617392-2CC7-49BA-920D-36E585B835C5}" srcOrd="4" destOrd="0" presId="urn:microsoft.com/office/officeart/2005/8/layout/pyramid1"/>
    <dgm:cxn modelId="{FE1647FC-8D86-444D-AD21-01C68FF0D2DD}" type="presParOf" srcId="{30617392-2CC7-49BA-920D-36E585B835C5}" destId="{C0CA973F-CAEC-44CE-AADC-AB8B43569C76}" srcOrd="0" destOrd="0" presId="urn:microsoft.com/office/officeart/2005/8/layout/pyramid1"/>
    <dgm:cxn modelId="{0F10E39C-70DE-4B16-9A81-75B3E4ACF67B}" type="presParOf" srcId="{30617392-2CC7-49BA-920D-36E585B835C5}" destId="{27470F53-01C1-4C3E-8068-65496D9E0AA7}" srcOrd="1" destOrd="0" presId="urn:microsoft.com/office/officeart/2005/8/layout/pyramid1"/>
    <dgm:cxn modelId="{9DD88CD6-6231-4BDF-8283-0691AA497895}" type="presParOf" srcId="{D8298592-666C-44CF-8D8B-59C7AF0E2042}" destId="{C91A4894-C7C3-4431-8824-3E94E86B7D2E}" srcOrd="5" destOrd="0" presId="urn:microsoft.com/office/officeart/2005/8/layout/pyramid1"/>
    <dgm:cxn modelId="{CD6DC2E8-B73F-468C-80A4-BE4F715A96C6}" type="presParOf" srcId="{C91A4894-C7C3-4431-8824-3E94E86B7D2E}" destId="{4C5EA17A-7C60-4317-BCDF-8D3DC596538E}" srcOrd="0" destOrd="0" presId="urn:microsoft.com/office/officeart/2005/8/layout/pyramid1"/>
    <dgm:cxn modelId="{00B099A8-BBF5-437D-BAA1-C74E2F1E922D}" type="presParOf" srcId="{C91A4894-C7C3-4431-8824-3E94E86B7D2E}" destId="{57555C49-15D5-41EC-94FA-06AE48DEEFF1}" srcOrd="1" destOrd="0" presId="urn:microsoft.com/office/officeart/2005/8/layout/pyramid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2DBA8A-5E3C-41A4-9A96-8235CE8833C5}">
      <dsp:nvSpPr>
        <dsp:cNvPr id="0" name=""/>
        <dsp:cNvSpPr/>
      </dsp:nvSpPr>
      <dsp:spPr>
        <a:xfrm>
          <a:off x="1374201" y="0"/>
          <a:ext cx="490096" cy="322489"/>
        </a:xfrm>
        <a:prstGeom prst="trapezoid">
          <a:avLst>
            <a:gd name="adj" fmla="val 7173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a:solidFill>
              <a:schemeClr val="bg1"/>
            </a:solidFill>
          </a:endParaRPr>
        </a:p>
      </dsp:txBody>
      <dsp:txXfrm>
        <a:off x="1374201" y="0"/>
        <a:ext cx="490096" cy="322489"/>
      </dsp:txXfrm>
    </dsp:sp>
    <dsp:sp modelId="{2D92CA01-4569-44BA-86EA-79D170259D20}">
      <dsp:nvSpPr>
        <dsp:cNvPr id="0" name=""/>
        <dsp:cNvSpPr/>
      </dsp:nvSpPr>
      <dsp:spPr>
        <a:xfrm>
          <a:off x="1156607" y="322489"/>
          <a:ext cx="925285" cy="322489"/>
        </a:xfrm>
        <a:prstGeom prst="trapezoid">
          <a:avLst>
            <a:gd name="adj" fmla="val 71730"/>
          </a:avLst>
        </a:prstGeom>
        <a:solidFill>
          <a:schemeClr val="accen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JAS Ltd Board</a:t>
          </a:r>
        </a:p>
      </dsp:txBody>
      <dsp:txXfrm>
        <a:off x="1318532" y="322489"/>
        <a:ext cx="601435" cy="322489"/>
      </dsp:txXfrm>
    </dsp:sp>
    <dsp:sp modelId="{7F289631-2DA8-4C93-AE6D-D694D43DBC97}">
      <dsp:nvSpPr>
        <dsp:cNvPr id="0" name=""/>
        <dsp:cNvSpPr/>
      </dsp:nvSpPr>
      <dsp:spPr>
        <a:xfrm>
          <a:off x="925285" y="644978"/>
          <a:ext cx="1387928" cy="322489"/>
        </a:xfrm>
        <a:prstGeom prst="trapezoid">
          <a:avLst>
            <a:gd name="adj" fmla="val 71730"/>
          </a:avLst>
        </a:prstGeom>
        <a:solidFill>
          <a:srgbClr val="1F346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Audit and Risk Committee </a:t>
          </a:r>
        </a:p>
      </dsp:txBody>
      <dsp:txXfrm>
        <a:off x="1168173" y="644978"/>
        <a:ext cx="902153" cy="322489"/>
      </dsp:txXfrm>
    </dsp:sp>
    <dsp:sp modelId="{FC2F0E19-C806-4A5A-8300-D36FF670ADAD}">
      <dsp:nvSpPr>
        <dsp:cNvPr id="0" name=""/>
        <dsp:cNvSpPr/>
      </dsp:nvSpPr>
      <dsp:spPr>
        <a:xfrm>
          <a:off x="693964" y="967467"/>
          <a:ext cx="1850571" cy="322489"/>
        </a:xfrm>
        <a:prstGeom prst="trapezoid">
          <a:avLst>
            <a:gd name="adj" fmla="val 71730"/>
          </a:avLst>
        </a:prstGeom>
        <a:solidFill>
          <a:srgbClr val="2C499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Chief Financial Officer </a:t>
          </a:r>
        </a:p>
      </dsp:txBody>
      <dsp:txXfrm>
        <a:off x="1017814" y="967467"/>
        <a:ext cx="1202871" cy="322489"/>
      </dsp:txXfrm>
    </dsp:sp>
    <dsp:sp modelId="{E11C4073-41CD-4844-B361-D29A72E8675D}">
      <dsp:nvSpPr>
        <dsp:cNvPr id="0" name=""/>
        <dsp:cNvSpPr/>
      </dsp:nvSpPr>
      <dsp:spPr>
        <a:xfrm>
          <a:off x="462642" y="1289957"/>
          <a:ext cx="2313214" cy="322489"/>
        </a:xfrm>
        <a:prstGeom prst="trapezoid">
          <a:avLst>
            <a:gd name="adj" fmla="val 71730"/>
          </a:avLst>
        </a:prstGeom>
        <a:solidFill>
          <a:srgbClr val="395EC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Executive General Manager, Finance Gorup</a:t>
          </a:r>
        </a:p>
      </dsp:txBody>
      <dsp:txXfrm>
        <a:off x="867455" y="1289957"/>
        <a:ext cx="1503589" cy="322489"/>
      </dsp:txXfrm>
    </dsp:sp>
    <dsp:sp modelId="{C0CA973F-CAEC-44CE-AADC-AB8B43569C76}">
      <dsp:nvSpPr>
        <dsp:cNvPr id="0" name=""/>
        <dsp:cNvSpPr/>
      </dsp:nvSpPr>
      <dsp:spPr>
        <a:xfrm>
          <a:off x="231321" y="1612446"/>
          <a:ext cx="2775857" cy="322489"/>
        </a:xfrm>
        <a:prstGeom prst="trapezoid">
          <a:avLst>
            <a:gd name="adj" fmla="val 71730"/>
          </a:avLst>
        </a:prstGeom>
        <a:solidFill>
          <a:srgbClr val="738DD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JAS Ltd Group Tax Manager </a:t>
          </a:r>
        </a:p>
      </dsp:txBody>
      <dsp:txXfrm>
        <a:off x="717096" y="1612446"/>
        <a:ext cx="1804307" cy="322489"/>
      </dsp:txXfrm>
    </dsp:sp>
    <dsp:sp modelId="{4C5EA17A-7C60-4317-BCDF-8D3DC596538E}">
      <dsp:nvSpPr>
        <dsp:cNvPr id="0" name=""/>
        <dsp:cNvSpPr/>
      </dsp:nvSpPr>
      <dsp:spPr>
        <a:xfrm>
          <a:off x="0" y="1934935"/>
          <a:ext cx="3238500" cy="322489"/>
        </a:xfrm>
        <a:prstGeom prst="trapezoid">
          <a:avLst>
            <a:gd name="adj" fmla="val 71730"/>
          </a:avLst>
        </a:prstGeom>
        <a:solidFill>
          <a:srgbClr val="B4C2E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Tax Business Unit</a:t>
          </a:r>
        </a:p>
      </dsp:txBody>
      <dsp:txXfrm>
        <a:off x="566737" y="1934935"/>
        <a:ext cx="2105025" cy="3224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8E219-6F1D-48A4-9C07-0A91C16E21E9}">
      <dsp:nvSpPr>
        <dsp:cNvPr id="0" name=""/>
        <dsp:cNvSpPr/>
      </dsp:nvSpPr>
      <dsp:spPr>
        <a:xfrm>
          <a:off x="329649" y="152505"/>
          <a:ext cx="2056257" cy="2056257"/>
        </a:xfrm>
        <a:prstGeom prst="pie">
          <a:avLst>
            <a:gd name="adj1" fmla="val 16200000"/>
            <a:gd name="adj2" fmla="val 0"/>
          </a:avLst>
        </a:prstGeom>
        <a:solidFill>
          <a:srgbClr val="8938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b="1" kern="1200" dirty="0"/>
            <a:t>PAA Ltd</a:t>
          </a:r>
        </a:p>
      </dsp:txBody>
      <dsp:txXfrm>
        <a:off x="1381278" y="532913"/>
        <a:ext cx="758856" cy="611981"/>
      </dsp:txXfrm>
    </dsp:sp>
    <dsp:sp modelId="{8DE62ECE-3789-4D8D-8B7F-6107D137E46E}">
      <dsp:nvSpPr>
        <dsp:cNvPr id="0" name=""/>
        <dsp:cNvSpPr/>
      </dsp:nvSpPr>
      <dsp:spPr>
        <a:xfrm>
          <a:off x="242993" y="239162"/>
          <a:ext cx="2056257" cy="2056257"/>
        </a:xfrm>
        <a:prstGeom prst="pie">
          <a:avLst>
            <a:gd name="adj1" fmla="val 0"/>
            <a:gd name="adj2" fmla="val 5400000"/>
          </a:avLst>
        </a:prstGeom>
        <a:solidFill>
          <a:srgbClr val="8938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t>PAA United States</a:t>
          </a:r>
        </a:p>
      </dsp:txBody>
      <dsp:txXfrm>
        <a:off x="1307840" y="1304009"/>
        <a:ext cx="758856" cy="611981"/>
      </dsp:txXfrm>
    </dsp:sp>
    <dsp:sp modelId="{8A6D3241-B142-456C-AC73-8EDDFA48F933}">
      <dsp:nvSpPr>
        <dsp:cNvPr id="0" name=""/>
        <dsp:cNvSpPr/>
      </dsp:nvSpPr>
      <dsp:spPr>
        <a:xfrm>
          <a:off x="242993" y="239162"/>
          <a:ext cx="2056257" cy="2056257"/>
        </a:xfrm>
        <a:prstGeom prst="pie">
          <a:avLst>
            <a:gd name="adj1" fmla="val 5400000"/>
            <a:gd name="adj2" fmla="val 10800000"/>
          </a:avLst>
        </a:prstGeom>
        <a:solidFill>
          <a:srgbClr val="8938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t>PAA India</a:t>
          </a:r>
        </a:p>
      </dsp:txBody>
      <dsp:txXfrm>
        <a:off x="475546" y="1304009"/>
        <a:ext cx="758856" cy="611981"/>
      </dsp:txXfrm>
    </dsp:sp>
    <dsp:sp modelId="{730F7321-4BD2-491F-933A-F2BD865A2A94}">
      <dsp:nvSpPr>
        <dsp:cNvPr id="0" name=""/>
        <dsp:cNvSpPr/>
      </dsp:nvSpPr>
      <dsp:spPr>
        <a:xfrm>
          <a:off x="242993" y="239162"/>
          <a:ext cx="2056257" cy="2056257"/>
        </a:xfrm>
        <a:prstGeom prst="pie">
          <a:avLst>
            <a:gd name="adj1" fmla="val 10800000"/>
            <a:gd name="adj2" fmla="val 16200000"/>
          </a:avLst>
        </a:prstGeom>
        <a:solidFill>
          <a:srgbClr val="8938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t>PAA China</a:t>
          </a:r>
        </a:p>
      </dsp:txBody>
      <dsp:txXfrm>
        <a:off x="475546" y="618590"/>
        <a:ext cx="758856" cy="6119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2DBA8A-5E3C-41A4-9A96-8235CE8833C5}">
      <dsp:nvSpPr>
        <dsp:cNvPr id="0" name=""/>
        <dsp:cNvSpPr/>
      </dsp:nvSpPr>
      <dsp:spPr>
        <a:xfrm>
          <a:off x="1323973" y="0"/>
          <a:ext cx="561977" cy="390525"/>
        </a:xfrm>
        <a:prstGeom prst="trapezoid">
          <a:avLst>
            <a:gd name="adj" fmla="val 68496"/>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a:solidFill>
              <a:schemeClr val="bg1"/>
            </a:solidFill>
          </a:endParaRPr>
        </a:p>
      </dsp:txBody>
      <dsp:txXfrm>
        <a:off x="1323973" y="0"/>
        <a:ext cx="561977" cy="390525"/>
      </dsp:txXfrm>
    </dsp:sp>
    <dsp:sp modelId="{2D92CA01-4569-44BA-86EA-79D170259D20}">
      <dsp:nvSpPr>
        <dsp:cNvPr id="0" name=""/>
        <dsp:cNvSpPr/>
      </dsp:nvSpPr>
      <dsp:spPr>
        <a:xfrm>
          <a:off x="1069975" y="390525"/>
          <a:ext cx="1069975" cy="390525"/>
        </a:xfrm>
        <a:prstGeom prst="trapezoid">
          <a:avLst>
            <a:gd name="adj" fmla="val 68496"/>
          </a:avLst>
        </a:prstGeom>
        <a:solidFill>
          <a:schemeClr val="accent2">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PAA Ltd Board</a:t>
          </a:r>
        </a:p>
      </dsp:txBody>
      <dsp:txXfrm>
        <a:off x="1257220" y="390525"/>
        <a:ext cx="695483" cy="390525"/>
      </dsp:txXfrm>
    </dsp:sp>
    <dsp:sp modelId="{7F289631-2DA8-4C93-AE6D-D694D43DBC97}">
      <dsp:nvSpPr>
        <dsp:cNvPr id="0" name=""/>
        <dsp:cNvSpPr/>
      </dsp:nvSpPr>
      <dsp:spPr>
        <a:xfrm>
          <a:off x="802481" y="781050"/>
          <a:ext cx="1604962" cy="390525"/>
        </a:xfrm>
        <a:prstGeom prst="trapezoid">
          <a:avLst>
            <a:gd name="adj" fmla="val 68496"/>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Audit and Risk Committee </a:t>
          </a:r>
        </a:p>
      </dsp:txBody>
      <dsp:txXfrm>
        <a:off x="1083349" y="781050"/>
        <a:ext cx="1043225" cy="390525"/>
      </dsp:txXfrm>
    </dsp:sp>
    <dsp:sp modelId="{FC2F0E19-C806-4A5A-8300-D36FF670ADAD}">
      <dsp:nvSpPr>
        <dsp:cNvPr id="0" name=""/>
        <dsp:cNvSpPr/>
      </dsp:nvSpPr>
      <dsp:spPr>
        <a:xfrm>
          <a:off x="534987" y="1171575"/>
          <a:ext cx="2139950" cy="390525"/>
        </a:xfrm>
        <a:prstGeom prst="trapezoid">
          <a:avLst>
            <a:gd name="adj" fmla="val 68496"/>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Chief Financial Officer </a:t>
          </a:r>
        </a:p>
      </dsp:txBody>
      <dsp:txXfrm>
        <a:off x="909478" y="1171575"/>
        <a:ext cx="1390967" cy="390525"/>
      </dsp:txXfrm>
    </dsp:sp>
    <dsp:sp modelId="{C0CA973F-CAEC-44CE-AADC-AB8B43569C76}">
      <dsp:nvSpPr>
        <dsp:cNvPr id="0" name=""/>
        <dsp:cNvSpPr/>
      </dsp:nvSpPr>
      <dsp:spPr>
        <a:xfrm>
          <a:off x="267493" y="1562100"/>
          <a:ext cx="2674937" cy="390525"/>
        </a:xfrm>
        <a:prstGeom prst="trapezoid">
          <a:avLst>
            <a:gd name="adj" fmla="val 68496"/>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PAA Ltd Group Tax Manager </a:t>
          </a:r>
        </a:p>
      </dsp:txBody>
      <dsp:txXfrm>
        <a:off x="735607" y="1562100"/>
        <a:ext cx="1738709" cy="390525"/>
      </dsp:txXfrm>
    </dsp:sp>
    <dsp:sp modelId="{4C5EA17A-7C60-4317-BCDF-8D3DC596538E}">
      <dsp:nvSpPr>
        <dsp:cNvPr id="0" name=""/>
        <dsp:cNvSpPr/>
      </dsp:nvSpPr>
      <dsp:spPr>
        <a:xfrm>
          <a:off x="0" y="1952625"/>
          <a:ext cx="3209924" cy="390525"/>
        </a:xfrm>
        <a:prstGeom prst="trapezoid">
          <a:avLst>
            <a:gd name="adj" fmla="val 68496"/>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rPr>
            <a:t>Tax Business Group</a:t>
          </a:r>
        </a:p>
      </dsp:txBody>
      <dsp:txXfrm>
        <a:off x="561736" y="1952625"/>
        <a:ext cx="2086451" cy="39052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oard of Tax">
      <a:dk1>
        <a:sysClr val="windowText" lastClr="000000"/>
      </a:dk1>
      <a:lt1>
        <a:sysClr val="window" lastClr="FFFFFF"/>
      </a:lt1>
      <a:dk2>
        <a:srgbClr val="5F5F5F"/>
      </a:dk2>
      <a:lt2>
        <a:srgbClr val="EEEEEE"/>
      </a:lt2>
      <a:accent1>
        <a:srgbClr val="142147"/>
      </a:accent1>
      <a:accent2>
        <a:srgbClr val="701F4D"/>
      </a:accent2>
      <a:accent3>
        <a:srgbClr val="D4C2A8"/>
      </a:accent3>
      <a:accent4>
        <a:srgbClr val="432B73"/>
      </a:accent4>
      <a:accent5>
        <a:srgbClr val="65ACDC"/>
      </a:accent5>
      <a:accent6>
        <a:srgbClr val="A2A0D5"/>
      </a:accent6>
      <a:hlink>
        <a:srgbClr val="3A6FAF"/>
      </a:hlink>
      <a:folHlink>
        <a:srgbClr val="844D9E"/>
      </a:folHlink>
    </a:clrScheme>
    <a:fontScheme name="Board of Tax">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10178</Words>
  <Characters>61802</Characters>
  <Application>Microsoft Office Word</Application>
  <DocSecurity>0</DocSecurity>
  <Lines>1236</Lines>
  <Paragraphs>727</Paragraphs>
  <ScaleCrop>false</ScaleCrop>
  <HeadingPairs>
    <vt:vector size="2" baseType="variant">
      <vt:variant>
        <vt:lpstr>Title</vt:lpstr>
      </vt:variant>
      <vt:variant>
        <vt:i4>1</vt:i4>
      </vt:variant>
    </vt:vector>
  </HeadingPairs>
  <TitlesOfParts>
    <vt:vector size="1" baseType="lpstr">
      <vt:lpstr>Draft: Voluntary Tax Transparency Code</vt:lpstr>
    </vt:vector>
  </TitlesOfParts>
  <Company/>
  <LinksUpToDate>false</LinksUpToDate>
  <CharactersWithSpaces>71253</CharactersWithSpaces>
  <SharedDoc>false</SharedDoc>
  <HLinks>
    <vt:vector size="252" baseType="variant">
      <vt:variant>
        <vt:i4>1048628</vt:i4>
      </vt:variant>
      <vt:variant>
        <vt:i4>182</vt:i4>
      </vt:variant>
      <vt:variant>
        <vt:i4>0</vt:i4>
      </vt:variant>
      <vt:variant>
        <vt:i4>5</vt:i4>
      </vt:variant>
      <vt:variant>
        <vt:lpwstr/>
      </vt:variant>
      <vt:variant>
        <vt:lpwstr>_International_related_party</vt:lpwstr>
      </vt:variant>
      <vt:variant>
        <vt:i4>393216</vt:i4>
      </vt:variant>
      <vt:variant>
        <vt:i4>179</vt:i4>
      </vt:variant>
      <vt:variant>
        <vt:i4>0</vt:i4>
      </vt:variant>
      <vt:variant>
        <vt:i4>5</vt:i4>
      </vt:variant>
      <vt:variant>
        <vt:lpwstr/>
      </vt:variant>
      <vt:variant>
        <vt:lpwstr>_Stakeholder_engagement_and_1</vt:lpwstr>
      </vt:variant>
      <vt:variant>
        <vt:i4>5373989</vt:i4>
      </vt:variant>
      <vt:variant>
        <vt:i4>176</vt:i4>
      </vt:variant>
      <vt:variant>
        <vt:i4>0</vt:i4>
      </vt:variant>
      <vt:variant>
        <vt:i4>5</vt:i4>
      </vt:variant>
      <vt:variant>
        <vt:lpwstr/>
      </vt:variant>
      <vt:variant>
        <vt:lpwstr>_Tax_governance,_control</vt:lpwstr>
      </vt:variant>
      <vt:variant>
        <vt:i4>2162718</vt:i4>
      </vt:variant>
      <vt:variant>
        <vt:i4>173</vt:i4>
      </vt:variant>
      <vt:variant>
        <vt:i4>0</vt:i4>
      </vt:variant>
      <vt:variant>
        <vt:i4>5</vt:i4>
      </vt:variant>
      <vt:variant>
        <vt:lpwstr/>
      </vt:variant>
      <vt:variant>
        <vt:lpwstr>_Approach_to_Tax</vt:lpwstr>
      </vt:variant>
      <vt:variant>
        <vt:i4>262216</vt:i4>
      </vt:variant>
      <vt:variant>
        <vt:i4>170</vt:i4>
      </vt:variant>
      <vt:variant>
        <vt:i4>0</vt:i4>
      </vt:variant>
      <vt:variant>
        <vt:i4>5</vt:i4>
      </vt:variant>
      <vt:variant>
        <vt:lpwstr/>
      </vt:variant>
      <vt:variant>
        <vt:lpwstr>_A_reconciliation_to_1</vt:lpwstr>
      </vt:variant>
      <vt:variant>
        <vt:i4>3932172</vt:i4>
      </vt:variant>
      <vt:variant>
        <vt:i4>167</vt:i4>
      </vt:variant>
      <vt:variant>
        <vt:i4>0</vt:i4>
      </vt:variant>
      <vt:variant>
        <vt:i4>5</vt:i4>
      </vt:variant>
      <vt:variant>
        <vt:lpwstr/>
      </vt:variant>
      <vt:variant>
        <vt:lpwstr>_A_reconciliation_of</vt:lpwstr>
      </vt:variant>
      <vt:variant>
        <vt:i4>6684766</vt:i4>
      </vt:variant>
      <vt:variant>
        <vt:i4>164</vt:i4>
      </vt:variant>
      <vt:variant>
        <vt:i4>0</vt:i4>
      </vt:variant>
      <vt:variant>
        <vt:i4>5</vt:i4>
      </vt:variant>
      <vt:variant>
        <vt:lpwstr/>
      </vt:variant>
      <vt:variant>
        <vt:lpwstr>_Effective_tax_rate</vt:lpwstr>
      </vt:variant>
      <vt:variant>
        <vt:i4>3932172</vt:i4>
      </vt:variant>
      <vt:variant>
        <vt:i4>161</vt:i4>
      </vt:variant>
      <vt:variant>
        <vt:i4>0</vt:i4>
      </vt:variant>
      <vt:variant>
        <vt:i4>5</vt:i4>
      </vt:variant>
      <vt:variant>
        <vt:lpwstr/>
      </vt:variant>
      <vt:variant>
        <vt:lpwstr>_A_reconciliation_of</vt:lpwstr>
      </vt:variant>
      <vt:variant>
        <vt:i4>6881407</vt:i4>
      </vt:variant>
      <vt:variant>
        <vt:i4>158</vt:i4>
      </vt:variant>
      <vt:variant>
        <vt:i4>0</vt:i4>
      </vt:variant>
      <vt:variant>
        <vt:i4>5</vt:i4>
      </vt:variant>
      <vt:variant>
        <vt:lpwstr/>
      </vt:variant>
      <vt:variant>
        <vt:lpwstr>_Basic_information</vt:lpwstr>
      </vt:variant>
      <vt:variant>
        <vt:i4>1048628</vt:i4>
      </vt:variant>
      <vt:variant>
        <vt:i4>155</vt:i4>
      </vt:variant>
      <vt:variant>
        <vt:i4>0</vt:i4>
      </vt:variant>
      <vt:variant>
        <vt:i4>5</vt:i4>
      </vt:variant>
      <vt:variant>
        <vt:lpwstr/>
      </vt:variant>
      <vt:variant>
        <vt:lpwstr>_International_related_party</vt:lpwstr>
      </vt:variant>
      <vt:variant>
        <vt:i4>5832804</vt:i4>
      </vt:variant>
      <vt:variant>
        <vt:i4>152</vt:i4>
      </vt:variant>
      <vt:variant>
        <vt:i4>0</vt:i4>
      </vt:variant>
      <vt:variant>
        <vt:i4>5</vt:i4>
      </vt:variant>
      <vt:variant>
        <vt:lpwstr/>
      </vt:variant>
      <vt:variant>
        <vt:lpwstr>_Stakeholder_engagement_and</vt:lpwstr>
      </vt:variant>
      <vt:variant>
        <vt:i4>5373989</vt:i4>
      </vt:variant>
      <vt:variant>
        <vt:i4>149</vt:i4>
      </vt:variant>
      <vt:variant>
        <vt:i4>0</vt:i4>
      </vt:variant>
      <vt:variant>
        <vt:i4>5</vt:i4>
      </vt:variant>
      <vt:variant>
        <vt:lpwstr/>
      </vt:variant>
      <vt:variant>
        <vt:lpwstr>_Tax_governance,_control,</vt:lpwstr>
      </vt:variant>
      <vt:variant>
        <vt:i4>3473431</vt:i4>
      </vt:variant>
      <vt:variant>
        <vt:i4>146</vt:i4>
      </vt:variant>
      <vt:variant>
        <vt:i4>0</vt:i4>
      </vt:variant>
      <vt:variant>
        <vt:i4>5</vt:i4>
      </vt:variant>
      <vt:variant>
        <vt:lpwstr/>
      </vt:variant>
      <vt:variant>
        <vt:lpwstr>_A_reconciliation_to</vt:lpwstr>
      </vt:variant>
      <vt:variant>
        <vt:i4>2556004</vt:i4>
      </vt:variant>
      <vt:variant>
        <vt:i4>143</vt:i4>
      </vt:variant>
      <vt:variant>
        <vt:i4>0</vt:i4>
      </vt:variant>
      <vt:variant>
        <vt:i4>5</vt:i4>
      </vt:variant>
      <vt:variant>
        <vt:lpwstr/>
      </vt:variant>
      <vt:variant>
        <vt:lpwstr>_Effective_tax_rates_2</vt:lpwstr>
      </vt:variant>
      <vt:variant>
        <vt:i4>3735600</vt:i4>
      </vt:variant>
      <vt:variant>
        <vt:i4>140</vt:i4>
      </vt:variant>
      <vt:variant>
        <vt:i4>0</vt:i4>
      </vt:variant>
      <vt:variant>
        <vt:i4>5</vt:i4>
      </vt:variant>
      <vt:variant>
        <vt:lpwstr/>
      </vt:variant>
      <vt:variant>
        <vt:lpwstr>_Total_tax_contribution_2</vt:lpwstr>
      </vt:variant>
      <vt:variant>
        <vt:i4>5767200</vt:i4>
      </vt:variant>
      <vt:variant>
        <vt:i4>137</vt:i4>
      </vt:variant>
      <vt:variant>
        <vt:i4>0</vt:i4>
      </vt:variant>
      <vt:variant>
        <vt:i4>5</vt:i4>
      </vt:variant>
      <vt:variant>
        <vt:lpwstr/>
      </vt:variant>
      <vt:variant>
        <vt:lpwstr>_Basic_information_1</vt:lpwstr>
      </vt:variant>
      <vt:variant>
        <vt:i4>4849708</vt:i4>
      </vt:variant>
      <vt:variant>
        <vt:i4>134</vt:i4>
      </vt:variant>
      <vt:variant>
        <vt:i4>0</vt:i4>
      </vt:variant>
      <vt:variant>
        <vt:i4>5</vt:i4>
      </vt:variant>
      <vt:variant>
        <vt:lpwstr/>
      </vt:variant>
      <vt:variant>
        <vt:lpwstr>_Non-CbC_reporter_1</vt:lpwstr>
      </vt:variant>
      <vt:variant>
        <vt:i4>4849774</vt:i4>
      </vt:variant>
      <vt:variant>
        <vt:i4>131</vt:i4>
      </vt:variant>
      <vt:variant>
        <vt:i4>0</vt:i4>
      </vt:variant>
      <vt:variant>
        <vt:i4>5</vt:i4>
      </vt:variant>
      <vt:variant>
        <vt:lpwstr/>
      </vt:variant>
      <vt:variant>
        <vt:lpwstr>_CbC_reporter_1</vt:lpwstr>
      </vt:variant>
      <vt:variant>
        <vt:i4>4063242</vt:i4>
      </vt:variant>
      <vt:variant>
        <vt:i4>128</vt:i4>
      </vt:variant>
      <vt:variant>
        <vt:i4>0</vt:i4>
      </vt:variant>
      <vt:variant>
        <vt:i4>5</vt:i4>
      </vt:variant>
      <vt:variant>
        <vt:lpwstr/>
      </vt:variant>
      <vt:variant>
        <vt:lpwstr>_Non-CbC_Reporter:_Example</vt:lpwstr>
      </vt:variant>
      <vt:variant>
        <vt:i4>1376304</vt:i4>
      </vt:variant>
      <vt:variant>
        <vt:i4>125</vt:i4>
      </vt:variant>
      <vt:variant>
        <vt:i4>0</vt:i4>
      </vt:variant>
      <vt:variant>
        <vt:i4>5</vt:i4>
      </vt:variant>
      <vt:variant>
        <vt:lpwstr/>
      </vt:variant>
      <vt:variant>
        <vt:lpwstr>_Public_CbC_Reporter:</vt:lpwstr>
      </vt:variant>
      <vt:variant>
        <vt:i4>1376350</vt:i4>
      </vt:variant>
      <vt:variant>
        <vt:i4>122</vt:i4>
      </vt:variant>
      <vt:variant>
        <vt:i4>0</vt:i4>
      </vt:variant>
      <vt:variant>
        <vt:i4>5</vt:i4>
      </vt:variant>
      <vt:variant>
        <vt:lpwstr/>
      </vt:variant>
      <vt:variant>
        <vt:lpwstr>_Non-CbC_reporter</vt:lpwstr>
      </vt:variant>
      <vt:variant>
        <vt:i4>1376284</vt:i4>
      </vt:variant>
      <vt:variant>
        <vt:i4>119</vt:i4>
      </vt:variant>
      <vt:variant>
        <vt:i4>0</vt:i4>
      </vt:variant>
      <vt:variant>
        <vt:i4>5</vt:i4>
      </vt:variant>
      <vt:variant>
        <vt:lpwstr/>
      </vt:variant>
      <vt:variant>
        <vt:lpwstr>_CbC_reporter</vt:lpwstr>
      </vt:variant>
      <vt:variant>
        <vt:i4>4792356</vt:i4>
      </vt:variant>
      <vt:variant>
        <vt:i4>116</vt:i4>
      </vt:variant>
      <vt:variant>
        <vt:i4>0</vt:i4>
      </vt:variant>
      <vt:variant>
        <vt:i4>5</vt:i4>
      </vt:variant>
      <vt:variant>
        <vt:lpwstr/>
      </vt:variant>
      <vt:variant>
        <vt:lpwstr>_Appendix_A_–_1</vt:lpwstr>
      </vt:variant>
      <vt:variant>
        <vt:i4>1441845</vt:i4>
      </vt:variant>
      <vt:variant>
        <vt:i4>113</vt:i4>
      </vt:variant>
      <vt:variant>
        <vt:i4>0</vt:i4>
      </vt:variant>
      <vt:variant>
        <vt:i4>5</vt:i4>
      </vt:variant>
      <vt:variant>
        <vt:lpwstr/>
      </vt:variant>
      <vt:variant>
        <vt:lpwstr>_Appendix_C_–</vt:lpwstr>
      </vt:variant>
      <vt:variant>
        <vt:i4>4792359</vt:i4>
      </vt:variant>
      <vt:variant>
        <vt:i4>110</vt:i4>
      </vt:variant>
      <vt:variant>
        <vt:i4>0</vt:i4>
      </vt:variant>
      <vt:variant>
        <vt:i4>5</vt:i4>
      </vt:variant>
      <vt:variant>
        <vt:lpwstr/>
      </vt:variant>
      <vt:variant>
        <vt:lpwstr>_Appendix_B_–_1</vt:lpwstr>
      </vt:variant>
      <vt:variant>
        <vt:i4>4792356</vt:i4>
      </vt:variant>
      <vt:variant>
        <vt:i4>107</vt:i4>
      </vt:variant>
      <vt:variant>
        <vt:i4>0</vt:i4>
      </vt:variant>
      <vt:variant>
        <vt:i4>5</vt:i4>
      </vt:variant>
      <vt:variant>
        <vt:lpwstr/>
      </vt:variant>
      <vt:variant>
        <vt:lpwstr>_Appendix_A_–_1</vt:lpwstr>
      </vt:variant>
      <vt:variant>
        <vt:i4>8126517</vt:i4>
      </vt:variant>
      <vt:variant>
        <vt:i4>104</vt:i4>
      </vt:variant>
      <vt:variant>
        <vt:i4>0</vt:i4>
      </vt:variant>
      <vt:variant>
        <vt:i4>5</vt:i4>
      </vt:variant>
      <vt:variant>
        <vt:lpwstr>https://www.ato.gov.au/businesses-and-organisations/corporate-tax-measures-and-assurance/large-business/corporate-tax-transparency/voluntary-tax-transparency-code</vt:lpwstr>
      </vt:variant>
      <vt:variant>
        <vt:lpwstr/>
      </vt:variant>
      <vt:variant>
        <vt:i4>720997</vt:i4>
      </vt:variant>
      <vt:variant>
        <vt:i4>101</vt:i4>
      </vt:variant>
      <vt:variant>
        <vt:i4>0</vt:i4>
      </vt:variant>
      <vt:variant>
        <vt:i4>5</vt:i4>
      </vt:variant>
      <vt:variant>
        <vt:lpwstr>mailto:ttc@ato.gov.au</vt:lpwstr>
      </vt:variant>
      <vt:variant>
        <vt:lpwstr/>
      </vt:variant>
      <vt:variant>
        <vt:i4>1441845</vt:i4>
      </vt:variant>
      <vt:variant>
        <vt:i4>98</vt:i4>
      </vt:variant>
      <vt:variant>
        <vt:i4>0</vt:i4>
      </vt:variant>
      <vt:variant>
        <vt:i4>5</vt:i4>
      </vt:variant>
      <vt:variant>
        <vt:lpwstr/>
      </vt:variant>
      <vt:variant>
        <vt:lpwstr>_Appendix_C_–</vt:lpwstr>
      </vt:variant>
      <vt:variant>
        <vt:i4>6029363</vt:i4>
      </vt:variant>
      <vt:variant>
        <vt:i4>95</vt:i4>
      </vt:variant>
      <vt:variant>
        <vt:i4>0</vt:i4>
      </vt:variant>
      <vt:variant>
        <vt:i4>5</vt:i4>
      </vt:variant>
      <vt:variant>
        <vt:lpwstr>mailto:taxboard@treasury.gov.au</vt:lpwstr>
      </vt:variant>
      <vt:variant>
        <vt:lpwstr/>
      </vt:variant>
      <vt:variant>
        <vt:i4>3342437</vt:i4>
      </vt:variant>
      <vt:variant>
        <vt:i4>92</vt:i4>
      </vt:variant>
      <vt:variant>
        <vt:i4>0</vt:i4>
      </vt:variant>
      <vt:variant>
        <vt:i4>5</vt:i4>
      </vt:variant>
      <vt:variant>
        <vt:lpwstr>https://taxboard.gov.au/current-activities/voluntary-tax-transparency-code</vt:lpwstr>
      </vt:variant>
      <vt:variant>
        <vt:lpwstr/>
      </vt:variant>
      <vt:variant>
        <vt:i4>105</vt:i4>
      </vt:variant>
      <vt:variant>
        <vt:i4>14</vt:i4>
      </vt:variant>
      <vt:variant>
        <vt:i4>0</vt:i4>
      </vt:variant>
      <vt:variant>
        <vt:i4>5</vt:i4>
      </vt:variant>
      <vt:variant>
        <vt:lpwstr>mailto:media@treasury.gov.au</vt:lpwstr>
      </vt:variant>
      <vt:variant>
        <vt:lpwstr/>
      </vt:variant>
      <vt:variant>
        <vt:i4>2818104</vt:i4>
      </vt:variant>
      <vt:variant>
        <vt:i4>11</vt:i4>
      </vt:variant>
      <vt:variant>
        <vt:i4>0</vt:i4>
      </vt:variant>
      <vt:variant>
        <vt:i4>5</vt:i4>
      </vt:variant>
      <vt:variant>
        <vt:lpwstr>http://www.pmc.gov.au/government/commonwealth-coat-arms</vt:lpwstr>
      </vt:variant>
      <vt:variant>
        <vt:lpwstr/>
      </vt:variant>
      <vt:variant>
        <vt:i4>5308424</vt:i4>
      </vt:variant>
      <vt:variant>
        <vt:i4>8</vt:i4>
      </vt:variant>
      <vt:variant>
        <vt:i4>0</vt:i4>
      </vt:variant>
      <vt:variant>
        <vt:i4>5</vt:i4>
      </vt:variant>
      <vt:variant>
        <vt:lpwstr>https://creativecommons.org/licenses/by/4.0/</vt:lpwstr>
      </vt:variant>
      <vt:variant>
        <vt:lpwstr/>
      </vt:variant>
      <vt:variant>
        <vt:i4>5373952</vt:i4>
      </vt:variant>
      <vt:variant>
        <vt:i4>5</vt:i4>
      </vt:variant>
      <vt:variant>
        <vt:i4>0</vt:i4>
      </vt:variant>
      <vt:variant>
        <vt:i4>5</vt:i4>
      </vt:variant>
      <vt:variant>
        <vt:lpwstr>https://creativecommons.org/licenses/by/4.0/legalcode</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65650</vt:i4>
      </vt:variant>
      <vt:variant>
        <vt:i4>15</vt:i4>
      </vt:variant>
      <vt:variant>
        <vt:i4>0</vt:i4>
      </vt:variant>
      <vt:variant>
        <vt:i4>5</vt:i4>
      </vt:variant>
      <vt:variant>
        <vt:lpwstr>https://www.aasb.gov.au/admin/file/content106/c2/TaxTransparency_sub_1_EY.pdf</vt:lpwstr>
      </vt:variant>
      <vt:variant>
        <vt:lpwstr/>
      </vt:variant>
      <vt:variant>
        <vt:i4>65650</vt:i4>
      </vt:variant>
      <vt:variant>
        <vt:i4>12</vt:i4>
      </vt:variant>
      <vt:variant>
        <vt:i4>0</vt:i4>
      </vt:variant>
      <vt:variant>
        <vt:i4>5</vt:i4>
      </vt:variant>
      <vt:variant>
        <vt:lpwstr>https://www.aasb.gov.au/admin/file/content106/c2/TaxTransparency_sub_1_EY.pdf</vt:lpwstr>
      </vt:variant>
      <vt:variant>
        <vt:lpwstr/>
      </vt:variant>
      <vt:variant>
        <vt:i4>65650</vt:i4>
      </vt:variant>
      <vt:variant>
        <vt:i4>9</vt:i4>
      </vt:variant>
      <vt:variant>
        <vt:i4>0</vt:i4>
      </vt:variant>
      <vt:variant>
        <vt:i4>5</vt:i4>
      </vt:variant>
      <vt:variant>
        <vt:lpwstr>https://www.aasb.gov.au/admin/file/content106/c2/TaxTransparency_sub_1_EY.pdf</vt:lpwstr>
      </vt:variant>
      <vt:variant>
        <vt:lpwstr/>
      </vt:variant>
      <vt:variant>
        <vt:i4>65650</vt:i4>
      </vt:variant>
      <vt:variant>
        <vt:i4>6</vt:i4>
      </vt:variant>
      <vt:variant>
        <vt:i4>0</vt:i4>
      </vt:variant>
      <vt:variant>
        <vt:i4>5</vt:i4>
      </vt:variant>
      <vt:variant>
        <vt:lpwstr>https://www.aasb.gov.au/admin/file/content106/c2/TaxTransparency_sub_1_EY.pdf</vt:lpwstr>
      </vt:variant>
      <vt:variant>
        <vt:lpwstr/>
      </vt:variant>
      <vt:variant>
        <vt:i4>65650</vt:i4>
      </vt:variant>
      <vt:variant>
        <vt:i4>3</vt:i4>
      </vt:variant>
      <vt:variant>
        <vt:i4>0</vt:i4>
      </vt:variant>
      <vt:variant>
        <vt:i4>5</vt:i4>
      </vt:variant>
      <vt:variant>
        <vt:lpwstr>https://www.aasb.gov.au/admin/file/content106/c2/TaxTransparency_sub_1_EY.pdf</vt:lpwstr>
      </vt:variant>
      <vt:variant>
        <vt:lpwstr/>
      </vt:variant>
      <vt:variant>
        <vt:i4>65650</vt:i4>
      </vt:variant>
      <vt:variant>
        <vt:i4>0</vt:i4>
      </vt:variant>
      <vt:variant>
        <vt:i4>0</vt:i4>
      </vt:variant>
      <vt:variant>
        <vt:i4>5</vt:i4>
      </vt:variant>
      <vt:variant>
        <vt:lpwstr>https://www.aasb.gov.au/admin/file/content106/c2/TaxTransparency_sub_1_EY.pdf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Voluntary Tax Transparency Code</dc:title>
  <dc:subject/>
  <dc:creator>Board of Taxation</dc:creator>
  <cp:keywords/>
  <cp:lastModifiedBy/>
  <cp:revision>1</cp:revision>
  <dcterms:created xsi:type="dcterms:W3CDTF">2025-06-03T23:14:00Z</dcterms:created>
  <dcterms:modified xsi:type="dcterms:W3CDTF">2025-06-03T23:15:00Z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2025-06-03T23:15:19Z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f70a054c-d4ac-47a7-83d9-a0f55d0ad05b</vt:lpwstr>
  </property>
  <property fmtid="{D5CDD505-2E9C-101B-9397-08002B2CF9AE}" pid="8" name="MSIP_Label_4f932d64-9ab1-4d9b-81d2-a3a8b82dd47d_ContentBits">
    <vt:lpwstr>0</vt:lpwstr>
  </property>
</Properties>
</file>